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A1D49">
            <w:pPr>
              <w:pStyle w:val="MemoHeading"/>
            </w:pPr>
            <w:bookmarkStart w:id="1" w:name="FilingDate"/>
            <w:r>
              <w:t>February 22</w:t>
            </w:r>
            <w:r w:rsidR="00B562C1">
              <w:t>,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A1D49" w:rsidRPr="004E2EA2" w:rsidRDefault="00B562C1">
            <w:pPr>
              <w:pStyle w:val="MemoHeading"/>
              <w:rPr>
                <w:rFonts w:ascii="Freestyle Script" w:hAnsi="Freestyle Script"/>
                <w:color w:val="00B0F0"/>
                <w:sz w:val="28"/>
                <w:szCs w:val="28"/>
              </w:rPr>
            </w:pPr>
            <w:bookmarkStart w:id="2" w:name="From"/>
            <w:r>
              <w:t>Office of the General Counsel (</w:t>
            </w:r>
            <w:r w:rsidR="003A1D49">
              <w:t>Sunshine</w:t>
            </w:r>
            <w:r w:rsidR="007F41CA">
              <w:t>)</w:t>
            </w:r>
            <w:r w:rsidR="004E2EA2">
              <w:t xml:space="preserve"> </w:t>
            </w:r>
            <w:r w:rsidR="004E2EA2">
              <w:rPr>
                <w:rFonts w:ascii="Freestyle Script" w:hAnsi="Freestyle Script"/>
                <w:color w:val="00B0F0"/>
                <w:sz w:val="28"/>
                <w:szCs w:val="28"/>
              </w:rPr>
              <w:t>SMC</w:t>
            </w:r>
          </w:p>
          <w:p w:rsidR="003A1D49" w:rsidRPr="004E2EA2" w:rsidRDefault="003A1D49">
            <w:pPr>
              <w:pStyle w:val="MemoHeading"/>
              <w:rPr>
                <w:rFonts w:ascii="Freestyle Script" w:hAnsi="Freestyle Script"/>
                <w:color w:val="00B0F0"/>
                <w:sz w:val="28"/>
                <w:szCs w:val="28"/>
              </w:rPr>
            </w:pPr>
            <w:r>
              <w:t>Division of Accounting and Finance (Cicchetti)</w:t>
            </w:r>
            <w:r w:rsidR="004E2EA2">
              <w:t xml:space="preserve"> </w:t>
            </w:r>
            <w:r w:rsidR="004E2EA2">
              <w:rPr>
                <w:rFonts w:ascii="Freestyle Script" w:hAnsi="Freestyle Script"/>
                <w:color w:val="00B0F0"/>
                <w:sz w:val="28"/>
                <w:szCs w:val="28"/>
              </w:rPr>
              <w:t>ALM</w:t>
            </w:r>
          </w:p>
          <w:p w:rsidR="007C0528" w:rsidRPr="004E2EA2" w:rsidRDefault="003A1D49" w:rsidP="007F41CA">
            <w:pPr>
              <w:pStyle w:val="MemoHeading"/>
              <w:rPr>
                <w:rFonts w:ascii="Freestyle Script" w:hAnsi="Freestyle Script"/>
                <w:color w:val="00B0F0"/>
                <w:sz w:val="28"/>
                <w:szCs w:val="28"/>
              </w:rPr>
            </w:pPr>
            <w:r>
              <w:t>Division of Economics (Guffey)</w:t>
            </w:r>
            <w:bookmarkEnd w:id="2"/>
            <w:r w:rsidR="004E2EA2">
              <w:t xml:space="preserve"> </w:t>
            </w:r>
            <w:r w:rsidR="004E2EA2">
              <w:rPr>
                <w:rFonts w:ascii="Freestyle Script" w:hAnsi="Freestyle Script"/>
                <w:color w:val="00B0F0"/>
                <w:sz w:val="28"/>
                <w:szCs w:val="28"/>
              </w:rPr>
              <w:t>EJD</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562C1" w:rsidP="00992F1B">
            <w:pPr>
              <w:pStyle w:val="MemoHeadingRe"/>
            </w:pPr>
            <w:bookmarkStart w:id="3" w:name="Re"/>
            <w:r>
              <w:t xml:space="preserve">Docket No. 20240022-WS – Proposed </w:t>
            </w:r>
            <w:r w:rsidR="00992F1B">
              <w:t>A</w:t>
            </w:r>
            <w:r>
              <w:t>mendment of Rule 25-30.0371, F</w:t>
            </w:r>
            <w:r w:rsidR="007F41CA">
              <w:t>.</w:t>
            </w:r>
            <w:r>
              <w:t>A</w:t>
            </w:r>
            <w:r w:rsidR="007F41CA">
              <w:t>.</w:t>
            </w:r>
            <w:r>
              <w:t>C</w:t>
            </w:r>
            <w:r w:rsidR="007F41CA">
              <w:t>.</w:t>
            </w:r>
            <w:r>
              <w:t>, Acquisition Adjustments.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562C1">
            <w:pPr>
              <w:pStyle w:val="MemoHeading"/>
            </w:pPr>
            <w:bookmarkStart w:id="4" w:name="AgendaDate"/>
            <w:r>
              <w:t>03/05/24</w:t>
            </w:r>
            <w:bookmarkEnd w:id="4"/>
            <w:r w:rsidR="007C0528">
              <w:t xml:space="preserve"> – </w:t>
            </w:r>
            <w:bookmarkStart w:id="5" w:name="PermittedStatus"/>
            <w:r>
              <w:t xml:space="preserve">Regular Agenda – </w:t>
            </w:r>
            <w:r w:rsidR="003A1D49">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A1D49">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A1D49">
            <w:pPr>
              <w:pStyle w:val="MemoHeading"/>
            </w:pPr>
            <w:r>
              <w:t>Graham</w:t>
            </w:r>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B562C1" w:rsidP="00506C03">
            <w:pPr>
              <w:pStyle w:val="MemoHeadingLabel"/>
            </w:pPr>
            <w:bookmarkStart w:id="7" w:name="CriticalDatesLabel"/>
            <w:r>
              <w:t>RULE STATUS:</w:t>
            </w:r>
            <w:bookmarkEnd w:id="7"/>
          </w:p>
        </w:tc>
        <w:tc>
          <w:tcPr>
            <w:tcW w:w="5785" w:type="dxa"/>
            <w:tcBorders>
              <w:top w:val="nil"/>
              <w:left w:val="nil"/>
              <w:bottom w:val="nil"/>
              <w:right w:val="nil"/>
            </w:tcBorders>
            <w:shd w:val="clear" w:color="auto" w:fill="auto"/>
          </w:tcPr>
          <w:p w:rsidR="007C0528" w:rsidRDefault="00900903" w:rsidP="00900903">
            <w:pPr>
              <w:pStyle w:val="MemoHeading"/>
            </w:pPr>
            <w:bookmarkStart w:id="8" w:name="CriticalDates"/>
            <w:bookmarkEnd w:id="8"/>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562C1">
            <w:pPr>
              <w:pStyle w:val="MemoHeading"/>
            </w:pPr>
            <w:bookmarkStart w:id="9" w:name="SpecialInstructions"/>
            <w:r>
              <w:t>None</w:t>
            </w:r>
            <w:bookmarkEnd w:id="9"/>
          </w:p>
        </w:tc>
      </w:tr>
    </w:tbl>
    <w:p w:rsidR="007C0528" w:rsidRDefault="007C0528">
      <w:pPr>
        <w:pStyle w:val="BodyText"/>
      </w:pPr>
    </w:p>
    <w:p w:rsidR="00C879D5" w:rsidRDefault="007C0528">
      <w:pPr>
        <w:pStyle w:val="RecommendationMajorSectionHeading"/>
      </w:pPr>
      <w:bookmarkStart w:id="10" w:name="RecToC"/>
      <w:bookmarkEnd w:id="10"/>
      <w:r>
        <w:t xml:space="preserve"> </w:t>
      </w:r>
      <w:bookmarkStart w:id="11" w:name="CaseBackground"/>
      <w:r>
        <w:t>Case Background</w:t>
      </w:r>
    </w:p>
    <w:p w:rsidR="00C879D5" w:rsidRDefault="00C879D5" w:rsidP="00C879D5">
      <w:pPr>
        <w:spacing w:after="200"/>
        <w:jc w:val="both"/>
      </w:pPr>
      <w:r w:rsidRPr="00314F43">
        <w:rPr>
          <w:rFonts w:eastAsiaTheme="minorHAnsi" w:cstheme="minorBidi"/>
        </w:rPr>
        <w:t xml:space="preserve">A </w:t>
      </w:r>
      <w:r>
        <w:rPr>
          <w:rFonts w:eastAsiaTheme="minorHAnsi" w:cstheme="minorBidi"/>
        </w:rPr>
        <w:t xml:space="preserve">staff </w:t>
      </w:r>
      <w:r w:rsidRPr="00314F43">
        <w:rPr>
          <w:rFonts w:eastAsiaTheme="minorHAnsi" w:cstheme="minorBidi"/>
        </w:rPr>
        <w:t xml:space="preserve">workshop </w:t>
      </w:r>
      <w:r w:rsidR="00AF4164">
        <w:rPr>
          <w:rFonts w:eastAsiaTheme="minorHAnsi" w:cstheme="minorBidi"/>
        </w:rPr>
        <w:t xml:space="preserve">was held on February </w:t>
      </w:r>
      <w:r>
        <w:rPr>
          <w:rFonts w:eastAsiaTheme="minorHAnsi" w:cstheme="minorBidi"/>
        </w:rPr>
        <w:t xml:space="preserve">1, 2023, </w:t>
      </w:r>
      <w:r w:rsidRPr="00314F43">
        <w:rPr>
          <w:rFonts w:eastAsiaTheme="minorHAnsi" w:cstheme="minorBidi"/>
        </w:rPr>
        <w:t xml:space="preserve">to examine the Commission’s regulatory policies and practices </w:t>
      </w:r>
      <w:r w:rsidRPr="00314F43">
        <w:t>in the water and wastewater industries in Florida</w:t>
      </w:r>
      <w:r>
        <w:t xml:space="preserve">, which included the topic of </w:t>
      </w:r>
      <w:r w:rsidRPr="00314F43">
        <w:t>acquisition adjustments</w:t>
      </w:r>
      <w:r>
        <w:t>. Participating in the workshop were the Office of Public Counsel (OPC) and representatives from the National Association of Water Companies (NAWC), U.S. Water Services Corporation (U.S. Water), Sunshine Water Services (SWS), Central States Water Resources-Florida (CSWR), Southwest Water Company, Florida Utility Services, Florida Community Water Systems, Ni Florida, Inc., and the Florida Rural Water Association (FRWA).</w:t>
      </w:r>
      <w:r w:rsidRPr="006E6FB0">
        <w:rPr>
          <w:shd w:val="clear" w:color="auto" w:fill="FFFFFF"/>
        </w:rPr>
        <w:t xml:space="preserve"> </w:t>
      </w:r>
      <w:r>
        <w:rPr>
          <w:shd w:val="clear" w:color="auto" w:fill="FFFFFF"/>
        </w:rPr>
        <w:t xml:space="preserve">Post-workshop and reply comments were submitted by OPC, SWS, and CSWR. </w:t>
      </w:r>
      <w:r w:rsidR="008342AA">
        <w:rPr>
          <w:shd w:val="clear" w:color="auto" w:fill="FFFFFF"/>
        </w:rPr>
        <w:t xml:space="preserve">It was identified at the workshop that </w:t>
      </w:r>
      <w:r>
        <w:t xml:space="preserve">Rule 25-30.0371, </w:t>
      </w:r>
      <w:r w:rsidR="00C25562">
        <w:t>Florida Administrative Code (</w:t>
      </w:r>
      <w:r>
        <w:t>F.A.C.</w:t>
      </w:r>
      <w:r w:rsidR="00C25562">
        <w:t>)</w:t>
      </w:r>
      <w:r>
        <w:t>,</w:t>
      </w:r>
      <w:r w:rsidR="00C25562">
        <w:t xml:space="preserve"> Acquisition Adjustments,</w:t>
      </w:r>
      <w:r>
        <w:t xml:space="preserve"> </w:t>
      </w:r>
      <w:r w:rsidR="008342AA">
        <w:t xml:space="preserve">last amended in 2010, </w:t>
      </w:r>
      <w:r>
        <w:t>was outdated</w:t>
      </w:r>
      <w:r w:rsidR="008342AA">
        <w:t xml:space="preserve"> and in need of modernization in order to prioritize the acquisition of smaller, troubled systems.</w:t>
      </w:r>
      <w:r>
        <w:t xml:space="preserve">  Based on workshop comments, staff initiated rulemaking to explore the potential amendment of Rule 25-30.0371, F.A.C.</w:t>
      </w:r>
    </w:p>
    <w:p w:rsidR="00C879D5" w:rsidRPr="00937F9A" w:rsidRDefault="00C879D5" w:rsidP="00937F9A">
      <w:pPr>
        <w:pStyle w:val="First-LevelSubheading"/>
        <w:rPr>
          <w:rFonts w:eastAsiaTheme="minorHAnsi" w:cstheme="minorBidi"/>
          <w:i/>
          <w:szCs w:val="22"/>
        </w:rPr>
      </w:pPr>
      <w:r w:rsidRPr="00937F9A">
        <w:rPr>
          <w:rFonts w:eastAsiaTheme="minorHAnsi"/>
          <w:i/>
        </w:rPr>
        <w:lastRenderedPageBreak/>
        <w:t>The Current Rule</w:t>
      </w:r>
    </w:p>
    <w:p w:rsidR="00700B08" w:rsidRDefault="00182876" w:rsidP="00182876">
      <w:pPr>
        <w:spacing w:after="200"/>
        <w:jc w:val="both"/>
        <w:rPr>
          <w:rFonts w:eastAsiaTheme="minorHAnsi" w:cstheme="minorBidi"/>
          <w:szCs w:val="22"/>
        </w:rPr>
      </w:pPr>
      <w:r>
        <w:rPr>
          <w:rFonts w:eastAsiaTheme="minorHAnsi" w:cstheme="minorBidi"/>
          <w:szCs w:val="22"/>
        </w:rPr>
        <w:t>Rule 25-30.0371</w:t>
      </w:r>
      <w:r w:rsidR="003A55F1">
        <w:rPr>
          <w:rFonts w:eastAsiaTheme="minorHAnsi" w:cstheme="minorBidi"/>
          <w:szCs w:val="22"/>
        </w:rPr>
        <w:t xml:space="preserve"> </w:t>
      </w:r>
      <w:r>
        <w:rPr>
          <w:rFonts w:eastAsiaTheme="minorHAnsi" w:cstheme="minorBidi"/>
          <w:szCs w:val="22"/>
        </w:rPr>
        <w:t xml:space="preserve">applies to water and wastewater utilities and </w:t>
      </w:r>
      <w:r w:rsidR="00900903">
        <w:rPr>
          <w:rFonts w:eastAsiaTheme="minorHAnsi" w:cstheme="minorBidi"/>
          <w:szCs w:val="22"/>
        </w:rPr>
        <w:t>sets forth</w:t>
      </w:r>
      <w:r>
        <w:rPr>
          <w:rFonts w:eastAsiaTheme="minorHAnsi" w:cstheme="minorBidi"/>
          <w:szCs w:val="22"/>
        </w:rPr>
        <w:t xml:space="preserve"> the Commission’s </w:t>
      </w:r>
      <w:r w:rsidR="00900903">
        <w:rPr>
          <w:rFonts w:eastAsiaTheme="minorHAnsi" w:cstheme="minorBidi"/>
          <w:szCs w:val="22"/>
        </w:rPr>
        <w:t>policy on acquisition adjustments.</w:t>
      </w:r>
      <w:r w:rsidR="00A72DA8">
        <w:rPr>
          <w:rFonts w:eastAsiaTheme="minorHAnsi" w:cstheme="minorBidi"/>
          <w:szCs w:val="22"/>
        </w:rPr>
        <w:t xml:space="preserve">  </w:t>
      </w:r>
      <w:r>
        <w:rPr>
          <w:rFonts w:eastAsiaTheme="minorHAnsi" w:cstheme="minorBidi"/>
          <w:szCs w:val="22"/>
        </w:rPr>
        <w:t xml:space="preserve">Specifically, the rule </w:t>
      </w:r>
      <w:r w:rsidR="00900903">
        <w:rPr>
          <w:rFonts w:eastAsiaTheme="minorHAnsi" w:cstheme="minorBidi"/>
          <w:szCs w:val="22"/>
        </w:rPr>
        <w:t>states that</w:t>
      </w:r>
      <w:r>
        <w:rPr>
          <w:rFonts w:eastAsiaTheme="minorHAnsi" w:cstheme="minorBidi"/>
          <w:szCs w:val="22"/>
        </w:rPr>
        <w:t xml:space="preserve"> a positive acquisition adjustment, which exists when the purchase price of utility system assets is greater than the net book value of the utility assets, shall not be included in rate base absent proof of extraordinary circumstances.  In determining whether extraordinary circumstances have been demonstrated by an entity that believes a positive acquisition adjustment should be </w:t>
      </w:r>
      <w:r w:rsidR="00031162">
        <w:rPr>
          <w:rFonts w:eastAsiaTheme="minorHAnsi" w:cstheme="minorBidi"/>
          <w:szCs w:val="22"/>
        </w:rPr>
        <w:t>allowed</w:t>
      </w:r>
      <w:r>
        <w:rPr>
          <w:rFonts w:eastAsiaTheme="minorHAnsi" w:cstheme="minorBidi"/>
          <w:szCs w:val="22"/>
        </w:rPr>
        <w:t>, the rule provides that the Commission shall consider evidence provided to it such as anticipated improvements in quality of service,</w:t>
      </w:r>
      <w:r w:rsidR="006062F6">
        <w:rPr>
          <w:rFonts w:eastAsiaTheme="minorHAnsi" w:cstheme="minorBidi"/>
          <w:szCs w:val="22"/>
        </w:rPr>
        <w:t xml:space="preserve"> </w:t>
      </w:r>
      <w:r w:rsidR="006062F6" w:rsidRPr="006062F6">
        <w:rPr>
          <w:rFonts w:eastAsiaTheme="minorHAnsi" w:cstheme="minorBidi"/>
          <w:szCs w:val="22"/>
        </w:rPr>
        <w:t>anticipated improvements in compliance with regulatory mandates, anticipated rate reductions or rate stability over a long term period,</w:t>
      </w:r>
      <w:r>
        <w:rPr>
          <w:rFonts w:eastAsiaTheme="minorHAnsi" w:cstheme="minorBidi"/>
          <w:szCs w:val="22"/>
        </w:rPr>
        <w:t xml:space="preserve"> anticipated cost efficiencies, and whether the purchase was made as part of an arms-length transaction.  </w:t>
      </w:r>
    </w:p>
    <w:p w:rsidR="00EF6EAB" w:rsidRDefault="00FF2B9D" w:rsidP="00182876">
      <w:pPr>
        <w:spacing w:after="200"/>
        <w:jc w:val="both"/>
        <w:rPr>
          <w:rFonts w:eastAsiaTheme="minorHAnsi" w:cstheme="minorBidi"/>
          <w:szCs w:val="22"/>
        </w:rPr>
      </w:pPr>
      <w:r>
        <w:t>Currently under the rule, a</w:t>
      </w:r>
      <w:r w:rsidRPr="00031162">
        <w:rPr>
          <w:rFonts w:eastAsiaTheme="minorHAnsi" w:cstheme="minorBidi"/>
          <w:szCs w:val="22"/>
        </w:rPr>
        <w:t xml:space="preserve"> negative acquisition adjustment </w:t>
      </w:r>
      <w:r>
        <w:t>will be included in rate base if the purchase price is equal to or less than 80 percent and will not be included in rate base if the purchase price is greater than 80 percent.  The proposed amendment to the rule does away with this distinction by providing that a negative acquisition adjustment will not be included in rate base.</w:t>
      </w:r>
      <w:r w:rsidDel="00FF2B9D">
        <w:rPr>
          <w:rFonts w:eastAsiaTheme="minorHAnsi" w:cstheme="minorBidi"/>
          <w:szCs w:val="22"/>
        </w:rPr>
        <w:t xml:space="preserve"> </w:t>
      </w:r>
    </w:p>
    <w:p w:rsidR="00700B08" w:rsidRDefault="00182876" w:rsidP="00182876">
      <w:pPr>
        <w:spacing w:after="200"/>
        <w:jc w:val="both"/>
        <w:rPr>
          <w:rFonts w:eastAsiaTheme="minorHAnsi" w:cstheme="minorBidi"/>
          <w:szCs w:val="22"/>
        </w:rPr>
      </w:pPr>
      <w:r>
        <w:rPr>
          <w:rFonts w:eastAsiaTheme="minorHAnsi" w:cstheme="minorBidi"/>
          <w:szCs w:val="22"/>
        </w:rPr>
        <w:t>The rule further provides that in setting an amortization period for a Commission</w:t>
      </w:r>
      <w:r w:rsidR="005D5570">
        <w:rPr>
          <w:rFonts w:eastAsiaTheme="minorHAnsi" w:cstheme="minorBidi"/>
          <w:szCs w:val="22"/>
        </w:rPr>
        <w:t>-</w:t>
      </w:r>
      <w:r>
        <w:rPr>
          <w:rFonts w:eastAsiaTheme="minorHAnsi" w:cstheme="minorBidi"/>
          <w:szCs w:val="22"/>
        </w:rPr>
        <w:t xml:space="preserve">approved positive acquisition adjustment, the Commission shall consider evidence such as the composite remaining life of the assets purchased and the condition of the assets purchased, with amortization beginning on the </w:t>
      </w:r>
      <w:r w:rsidR="00C879D5">
        <w:rPr>
          <w:rFonts w:eastAsiaTheme="minorHAnsi" w:cstheme="minorBidi"/>
          <w:szCs w:val="22"/>
        </w:rPr>
        <w:t>d</w:t>
      </w:r>
      <w:r>
        <w:rPr>
          <w:rFonts w:eastAsiaTheme="minorHAnsi" w:cstheme="minorBidi"/>
          <w:szCs w:val="22"/>
        </w:rPr>
        <w:t>ate of issuance of the order approving the transfer of assets, as well as providing how the appropriate period over which to amortize a Commission</w:t>
      </w:r>
      <w:r w:rsidR="005D5570">
        <w:rPr>
          <w:rFonts w:eastAsiaTheme="minorHAnsi" w:cstheme="minorBidi"/>
          <w:szCs w:val="22"/>
        </w:rPr>
        <w:t>-</w:t>
      </w:r>
      <w:r>
        <w:rPr>
          <w:rFonts w:eastAsiaTheme="minorHAnsi" w:cstheme="minorBidi"/>
          <w:szCs w:val="22"/>
        </w:rPr>
        <w:t xml:space="preserve">approved negative acquisition adjustment shall be determined.  </w:t>
      </w:r>
    </w:p>
    <w:p w:rsidR="00182876" w:rsidRDefault="00182876" w:rsidP="00182876">
      <w:pPr>
        <w:spacing w:after="200"/>
        <w:jc w:val="both"/>
        <w:rPr>
          <w:rFonts w:eastAsiaTheme="minorHAnsi" w:cstheme="minorBidi"/>
          <w:szCs w:val="22"/>
        </w:rPr>
      </w:pPr>
      <w:r>
        <w:rPr>
          <w:rFonts w:eastAsiaTheme="minorHAnsi" w:cstheme="minorBidi"/>
          <w:szCs w:val="22"/>
        </w:rPr>
        <w:t>Lastly, the rule provides for the subsequent modification of any full or partial positive acquisition adjustment if the extraordinary circumstances do not materialize or subsequently are eliminated or changed within five years of the date of issuance of the order approving the transfer of assets.</w:t>
      </w:r>
    </w:p>
    <w:p w:rsidR="00A72DA8" w:rsidRPr="000D1F37" w:rsidRDefault="00A72DA8" w:rsidP="00A72DA8">
      <w:pPr>
        <w:pStyle w:val="First-LevelSubheading"/>
        <w:rPr>
          <w:i/>
        </w:rPr>
      </w:pPr>
      <w:r w:rsidRPr="000D1F37">
        <w:rPr>
          <w:i/>
        </w:rPr>
        <w:t>Procedural Matters</w:t>
      </w:r>
    </w:p>
    <w:p w:rsidR="00900903" w:rsidRDefault="00B937DD" w:rsidP="00182876">
      <w:pPr>
        <w:spacing w:after="200"/>
        <w:jc w:val="both"/>
        <w:rPr>
          <w:rFonts w:eastAsiaTheme="minorHAnsi" w:cstheme="minorBidi"/>
        </w:rPr>
      </w:pPr>
      <w:r>
        <w:rPr>
          <w:rFonts w:eastAsiaTheme="minorHAnsi" w:cstheme="minorBidi"/>
        </w:rPr>
        <w:t xml:space="preserve">The purpose of this rulemaking is to update and clarify Rule 25-30.0371, F.A.C.  </w:t>
      </w:r>
      <w:r w:rsidR="00900903">
        <w:rPr>
          <w:rFonts w:eastAsiaTheme="minorHAnsi" w:cstheme="minorBidi"/>
        </w:rPr>
        <w:t xml:space="preserve">A Notice of Development of Rulemaking for Rule 25-30.0371, F.A.C., appeared in the March 29, 2023, edition of the Florida Administrative Register, Vol. 49, No. 61.  Staff held a rule development workshop on April 13, 2023. </w:t>
      </w:r>
      <w:r w:rsidR="00900903">
        <w:t>Participating in the workshop were</w:t>
      </w:r>
      <w:r w:rsidR="00900903" w:rsidRPr="003A62F2">
        <w:rPr>
          <w:rFonts w:eastAsiaTheme="minorHAnsi" w:cstheme="minorBidi"/>
          <w:szCs w:val="22"/>
        </w:rPr>
        <w:t xml:space="preserve"> </w:t>
      </w:r>
      <w:r w:rsidR="00900903">
        <w:rPr>
          <w:rFonts w:eastAsiaTheme="minorHAnsi" w:cstheme="minorBidi"/>
          <w:szCs w:val="22"/>
        </w:rPr>
        <w:t>representatives from OPC, CSW</w:t>
      </w:r>
      <w:r w:rsidR="00C25BC1">
        <w:rPr>
          <w:rFonts w:eastAsiaTheme="minorHAnsi" w:cstheme="minorBidi"/>
          <w:szCs w:val="22"/>
        </w:rPr>
        <w:t>R</w:t>
      </w:r>
      <w:r w:rsidR="00900903">
        <w:rPr>
          <w:rFonts w:eastAsiaTheme="minorHAnsi" w:cstheme="minorBidi"/>
          <w:szCs w:val="22"/>
        </w:rPr>
        <w:t xml:space="preserve">, U.S. Water, and SWS.  OPC, CSWR, SWS, and FRWA </w:t>
      </w:r>
      <w:r w:rsidR="00900903" w:rsidRPr="003A62F2">
        <w:rPr>
          <w:rFonts w:eastAsiaTheme="minorHAnsi" w:cstheme="minorBidi"/>
          <w:szCs w:val="22"/>
        </w:rPr>
        <w:t>submitted post-workshop comments.</w:t>
      </w:r>
    </w:p>
    <w:p w:rsidR="00182876" w:rsidRDefault="00182876" w:rsidP="00182876">
      <w:pPr>
        <w:spacing w:after="200"/>
        <w:jc w:val="both"/>
        <w:rPr>
          <w:rFonts w:eastAsiaTheme="minorHAnsi" w:cstheme="minorBidi"/>
          <w:szCs w:val="22"/>
        </w:rPr>
      </w:pPr>
      <w:r>
        <w:rPr>
          <w:rFonts w:eastAsiaTheme="minorHAnsi" w:cstheme="minorBidi"/>
        </w:rPr>
        <w:t xml:space="preserve">A second rule development workshop was held </w:t>
      </w:r>
      <w:r w:rsidRPr="003A62F2">
        <w:rPr>
          <w:rFonts w:eastAsiaTheme="minorHAnsi" w:cstheme="minorBidi"/>
          <w:szCs w:val="22"/>
        </w:rPr>
        <w:t xml:space="preserve">on </w:t>
      </w:r>
      <w:r w:rsidR="00751A4E">
        <w:rPr>
          <w:rFonts w:eastAsiaTheme="minorHAnsi" w:cstheme="minorBidi"/>
          <w:szCs w:val="22"/>
        </w:rPr>
        <w:t>September 25, 2023</w:t>
      </w:r>
      <w:r>
        <w:rPr>
          <w:rFonts w:eastAsiaTheme="minorHAnsi" w:cstheme="minorBidi"/>
          <w:szCs w:val="22"/>
        </w:rPr>
        <w:t xml:space="preserve">, </w:t>
      </w:r>
      <w:r>
        <w:rPr>
          <w:rFonts w:eastAsiaTheme="minorHAnsi" w:cstheme="minorBidi"/>
        </w:rPr>
        <w:t xml:space="preserve">with notice </w:t>
      </w:r>
      <w:r w:rsidRPr="00314F43">
        <w:rPr>
          <w:rFonts w:eastAsiaTheme="minorHAnsi" w:cstheme="minorBidi"/>
        </w:rPr>
        <w:t>appear</w:t>
      </w:r>
      <w:r>
        <w:rPr>
          <w:rFonts w:eastAsiaTheme="minorHAnsi" w:cstheme="minorBidi"/>
        </w:rPr>
        <w:t>ing</w:t>
      </w:r>
      <w:r w:rsidRPr="00314F43">
        <w:rPr>
          <w:rFonts w:eastAsiaTheme="minorHAnsi" w:cstheme="minorBidi"/>
        </w:rPr>
        <w:t xml:space="preserve"> in the </w:t>
      </w:r>
      <w:r w:rsidR="00751A4E">
        <w:rPr>
          <w:rFonts w:eastAsiaTheme="minorHAnsi" w:cstheme="minorBidi"/>
        </w:rPr>
        <w:t>September 11, 2023</w:t>
      </w:r>
      <w:r w:rsidRPr="00314F43">
        <w:rPr>
          <w:rFonts w:eastAsiaTheme="minorHAnsi" w:cstheme="minorBidi"/>
        </w:rPr>
        <w:t>, edition of the Florida Administrative Register, Vol</w:t>
      </w:r>
      <w:r>
        <w:rPr>
          <w:rFonts w:eastAsiaTheme="minorHAnsi" w:cstheme="minorBidi"/>
        </w:rPr>
        <w:t>.</w:t>
      </w:r>
      <w:r w:rsidRPr="00314F43">
        <w:rPr>
          <w:rFonts w:eastAsiaTheme="minorHAnsi" w:cstheme="minorBidi"/>
        </w:rPr>
        <w:t xml:space="preserve"> 49, N</w:t>
      </w:r>
      <w:r>
        <w:rPr>
          <w:rFonts w:eastAsiaTheme="minorHAnsi" w:cstheme="minorBidi"/>
        </w:rPr>
        <w:t xml:space="preserve">o. </w:t>
      </w:r>
      <w:r w:rsidR="00751A4E">
        <w:rPr>
          <w:rFonts w:eastAsiaTheme="minorHAnsi" w:cstheme="minorBidi"/>
        </w:rPr>
        <w:t>17</w:t>
      </w:r>
      <w:r>
        <w:rPr>
          <w:rFonts w:eastAsiaTheme="minorHAnsi" w:cstheme="minorBidi"/>
        </w:rPr>
        <w:t>6</w:t>
      </w:r>
      <w:r w:rsidRPr="003A62F2">
        <w:rPr>
          <w:rFonts w:eastAsiaTheme="minorHAnsi" w:cstheme="minorBidi"/>
          <w:szCs w:val="22"/>
        </w:rPr>
        <w:t xml:space="preserve">. </w:t>
      </w:r>
      <w:r>
        <w:t>Participating in the workshop were</w:t>
      </w:r>
      <w:r w:rsidRPr="003A62F2">
        <w:rPr>
          <w:rFonts w:eastAsiaTheme="minorHAnsi" w:cstheme="minorBidi"/>
          <w:szCs w:val="22"/>
        </w:rPr>
        <w:t xml:space="preserve"> </w:t>
      </w:r>
      <w:r>
        <w:rPr>
          <w:rFonts w:eastAsiaTheme="minorHAnsi" w:cstheme="minorBidi"/>
          <w:szCs w:val="22"/>
        </w:rPr>
        <w:t>representatives from OPC, CSW</w:t>
      </w:r>
      <w:r w:rsidR="00C25BC1">
        <w:rPr>
          <w:rFonts w:eastAsiaTheme="minorHAnsi" w:cstheme="minorBidi"/>
          <w:szCs w:val="22"/>
        </w:rPr>
        <w:t>R</w:t>
      </w:r>
      <w:r>
        <w:rPr>
          <w:rFonts w:eastAsiaTheme="minorHAnsi" w:cstheme="minorBidi"/>
          <w:szCs w:val="22"/>
        </w:rPr>
        <w:t xml:space="preserve">, </w:t>
      </w:r>
      <w:r w:rsidR="00414177">
        <w:rPr>
          <w:rFonts w:eastAsiaTheme="minorHAnsi" w:cstheme="minorBidi"/>
          <w:szCs w:val="22"/>
        </w:rPr>
        <w:t xml:space="preserve">SWS, and </w:t>
      </w:r>
      <w:r>
        <w:rPr>
          <w:rFonts w:eastAsiaTheme="minorHAnsi" w:cstheme="minorBidi"/>
          <w:szCs w:val="22"/>
        </w:rPr>
        <w:t>U.S. Water</w:t>
      </w:r>
      <w:r w:rsidR="00414177">
        <w:rPr>
          <w:rFonts w:eastAsiaTheme="minorHAnsi" w:cstheme="minorBidi"/>
          <w:szCs w:val="22"/>
        </w:rPr>
        <w:t>.</w:t>
      </w:r>
      <w:r>
        <w:rPr>
          <w:rFonts w:eastAsiaTheme="minorHAnsi" w:cstheme="minorBidi"/>
          <w:szCs w:val="22"/>
        </w:rPr>
        <w:t xml:space="preserve"> OPC</w:t>
      </w:r>
      <w:r w:rsidR="00414177">
        <w:rPr>
          <w:rFonts w:eastAsiaTheme="minorHAnsi" w:cstheme="minorBidi"/>
          <w:szCs w:val="22"/>
        </w:rPr>
        <w:t xml:space="preserve"> and</w:t>
      </w:r>
      <w:r>
        <w:rPr>
          <w:rFonts w:eastAsiaTheme="minorHAnsi" w:cstheme="minorBidi"/>
          <w:szCs w:val="22"/>
        </w:rPr>
        <w:t xml:space="preserve"> CSWR </w:t>
      </w:r>
      <w:r w:rsidRPr="003A62F2">
        <w:rPr>
          <w:rFonts w:eastAsiaTheme="minorHAnsi" w:cstheme="minorBidi"/>
          <w:szCs w:val="22"/>
        </w:rPr>
        <w:t>submitted post-workshop comments.</w:t>
      </w:r>
    </w:p>
    <w:p w:rsidR="003945E5" w:rsidRDefault="003945E5" w:rsidP="00182876">
      <w:pPr>
        <w:spacing w:after="200"/>
        <w:jc w:val="both"/>
        <w:rPr>
          <w:rFonts w:eastAsiaTheme="minorHAnsi" w:cstheme="minorBidi"/>
          <w:szCs w:val="22"/>
        </w:rPr>
      </w:pPr>
      <w:r>
        <w:rPr>
          <w:rFonts w:eastAsiaTheme="minorHAnsi" w:cstheme="minorBidi"/>
          <w:szCs w:val="22"/>
        </w:rPr>
        <w:t>This recommendation addresses whether the Commission should amend Rule 25-30.0371, F.A.C., Acquisition Adjustments.  The Commission has jurisdiction pursuant to Sections 120.54, 350.127(2), and 367.121(1)(f), F.S.</w:t>
      </w:r>
    </w:p>
    <w:bookmarkEnd w:id="11"/>
    <w:p w:rsidR="00B562C1" w:rsidRPr="00B562C1" w:rsidRDefault="00B562C1" w:rsidP="00B562C1">
      <w:pPr>
        <w:pStyle w:val="BodyText"/>
        <w:sectPr w:rsidR="00B562C1" w:rsidRPr="00B562C1">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4" w:name="DiscussionOfIssues"/>
      <w:r>
        <w:t>Discussion of Issues</w:t>
      </w:r>
    </w:p>
    <w:bookmarkEnd w:id="14"/>
    <w:p w:rsidR="00B562C1" w:rsidRDefault="00B562C1">
      <w:pPr>
        <w:pStyle w:val="IssueHeading"/>
        <w:rPr>
          <w:vanish/>
          <w:specVanish/>
        </w:rPr>
      </w:pPr>
      <w:r w:rsidRPr="004C3641">
        <w:t xml:space="preserve">Issue </w:t>
      </w:r>
      <w:fldSimple w:instr=" SEQ Issue \* MERGEFORMAT ">
        <w:r w:rsidR="004E2EA2">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4E2EA2">
        <w:rPr>
          <w:noProof/>
        </w:rPr>
        <w:instrText>1</w:instrText>
      </w:r>
      <w:r>
        <w:fldChar w:fldCharType="end"/>
      </w:r>
      <w:r>
        <w:tab/>
        <w:instrText xml:space="preserve">" \l 1 </w:instrText>
      </w:r>
      <w:r>
        <w:fldChar w:fldCharType="end"/>
      </w:r>
      <w:r>
        <w:t> </w:t>
      </w:r>
    </w:p>
    <w:p w:rsidR="00B562C1" w:rsidRDefault="00B562C1">
      <w:pPr>
        <w:pStyle w:val="BodyText"/>
      </w:pPr>
      <w:r>
        <w:t> </w:t>
      </w:r>
      <w:r w:rsidR="00182876">
        <w:t xml:space="preserve">Should the Commission propose the </w:t>
      </w:r>
      <w:r w:rsidR="002052EC">
        <w:t>amendment</w:t>
      </w:r>
      <w:r w:rsidR="00182876">
        <w:t xml:space="preserve"> of Rule 25-30.0371, F.A.C., Acquisition Adjustments?</w:t>
      </w:r>
    </w:p>
    <w:p w:rsidR="00B562C1" w:rsidRPr="004C3641" w:rsidRDefault="00B562C1">
      <w:pPr>
        <w:pStyle w:val="IssueSubsectionHeading"/>
        <w:rPr>
          <w:vanish/>
          <w:specVanish/>
        </w:rPr>
      </w:pPr>
      <w:r w:rsidRPr="004C3641">
        <w:t>Recommendation: </w:t>
      </w:r>
    </w:p>
    <w:p w:rsidR="00B562C1" w:rsidRDefault="00B562C1">
      <w:pPr>
        <w:pStyle w:val="BodyText"/>
      </w:pPr>
      <w:r>
        <w:t> </w:t>
      </w:r>
      <w:r w:rsidR="00182876">
        <w:t>Yes.  The Commission should propose the a</w:t>
      </w:r>
      <w:r w:rsidR="002052EC">
        <w:t>mendment</w:t>
      </w:r>
      <w:r w:rsidR="00182876">
        <w:t xml:space="preserve"> of Rule 25-30.0371, F.A.C.</w:t>
      </w:r>
      <w:r w:rsidR="002052EC">
        <w:rPr>
          <w:rFonts w:eastAsiaTheme="minorHAnsi" w:cstheme="minorBidi"/>
          <w:szCs w:val="22"/>
        </w:rPr>
        <w:t xml:space="preserve">, </w:t>
      </w:r>
      <w:r w:rsidR="00182876">
        <w:t xml:space="preserve">as set forth in Attachment A.  The Commission </w:t>
      </w:r>
      <w:r w:rsidR="00182876" w:rsidRPr="005A7492">
        <w:t>should</w:t>
      </w:r>
      <w:r w:rsidR="00182876">
        <w:t xml:space="preserve"> certify </w:t>
      </w:r>
      <w:r w:rsidR="002052EC">
        <w:t>the rule</w:t>
      </w:r>
      <w:r w:rsidR="00182876">
        <w:t xml:space="preserve"> as a minor violation rule. (Sunshine, </w:t>
      </w:r>
      <w:r w:rsidR="00182876" w:rsidRPr="00DE6FF4">
        <w:t>Cicchetti</w:t>
      </w:r>
      <w:r w:rsidR="00182876">
        <w:t xml:space="preserve">, Guffey) </w:t>
      </w:r>
      <w:r>
        <w:t xml:space="preserve"> </w:t>
      </w:r>
    </w:p>
    <w:p w:rsidR="00B562C1" w:rsidRPr="004C3641" w:rsidRDefault="00B562C1">
      <w:pPr>
        <w:pStyle w:val="IssueSubsectionHeading"/>
        <w:rPr>
          <w:vanish/>
          <w:specVanish/>
        </w:rPr>
      </w:pPr>
      <w:r w:rsidRPr="004C3641">
        <w:t>Staff Analysis: </w:t>
      </w:r>
    </w:p>
    <w:p w:rsidR="007D25D6" w:rsidRDefault="00B562C1" w:rsidP="00182876">
      <w:pPr>
        <w:pStyle w:val="BodyText"/>
      </w:pPr>
      <w:r>
        <w:t> </w:t>
      </w:r>
      <w:r w:rsidR="00182876">
        <w:t>The purpose of this rulemaking is to amend Rule 25-30.0371, F.A.C., to update and clarify</w:t>
      </w:r>
      <w:r w:rsidR="002052EC">
        <w:t xml:space="preserve"> the rule</w:t>
      </w:r>
      <w:r w:rsidR="00182876">
        <w:t xml:space="preserve">. </w:t>
      </w:r>
      <w:r w:rsidR="00E03868">
        <w:t>Based upon stakeholder responses and comments received at and from the workshops</w:t>
      </w:r>
      <w:r w:rsidR="000F7DB8" w:rsidRPr="000F7DB8">
        <w:rPr>
          <w:rFonts w:eastAsiaTheme="minorHAnsi" w:cstheme="minorBidi"/>
        </w:rPr>
        <w:t xml:space="preserve"> </w:t>
      </w:r>
      <w:r w:rsidR="000F7DB8" w:rsidRPr="00314F43">
        <w:rPr>
          <w:rFonts w:eastAsiaTheme="minorHAnsi" w:cstheme="minorBidi"/>
        </w:rPr>
        <w:t xml:space="preserve">to examine the Commission’s regulatory policies and practices </w:t>
      </w:r>
      <w:r w:rsidR="000F7DB8" w:rsidRPr="00314F43">
        <w:t>in the water and wastewater industries in Florida</w:t>
      </w:r>
      <w:r w:rsidR="00E03868">
        <w:t>, s</w:t>
      </w:r>
      <w:r w:rsidR="00182876">
        <w:t>taff recommends the Commission propose the amendment of Rule 25-30.0371, F.A.C., as set forth in Attachment A</w:t>
      </w:r>
      <w:r w:rsidR="008F14C5">
        <w:t xml:space="preserve">.  Staff is recommending </w:t>
      </w:r>
      <w:r w:rsidR="00E03868">
        <w:t>a substantial revision of the current rule</w:t>
      </w:r>
      <w:r w:rsidR="00182876">
        <w:t>.</w:t>
      </w:r>
      <w:r w:rsidR="00A539B7">
        <w:t xml:space="preserve">  </w:t>
      </w:r>
    </w:p>
    <w:p w:rsidR="00FF2B9D" w:rsidRDefault="008342AA" w:rsidP="00182876">
      <w:pPr>
        <w:pStyle w:val="BodyText"/>
      </w:pPr>
      <w:r>
        <w:t>The proposed amendments to the rule provide greater regulatory certainty and clarity to the acquisition adjustment process.  This includes establishing separate regulatory pathways for utilities to seek approval of a positive acquisition adjustment that are dependent upon the condition of the utility to be acquired.  Regulatory requirements for a “non-viable” utility mimic the traditional purpose of the rule, to incentivize the acquisition of “troubled systems” that are in financial distress or unable to provide safe service.  In addition, the rule amendments also provide an additional pathway for a positive acquisition adjustment if a utility seeks to acquire a “viable” system that is otherwise providing safe service and is in a financially healthy position if the acquisition results in net economic and quality of service benefits to customers.</w:t>
      </w:r>
      <w:r w:rsidDel="008342AA">
        <w:t xml:space="preserve"> </w:t>
      </w:r>
    </w:p>
    <w:p w:rsidR="00722A13" w:rsidRDefault="007D25D6" w:rsidP="00182876">
      <w:pPr>
        <w:pStyle w:val="BodyText"/>
      </w:pPr>
      <w:r>
        <w:t xml:space="preserve">The </w:t>
      </w:r>
      <w:r w:rsidR="007B1FC3">
        <w:t xml:space="preserve">recommended </w:t>
      </w:r>
      <w:r>
        <w:t>rule amendment</w:t>
      </w:r>
      <w:r w:rsidR="007B1FC3">
        <w:t>s</w:t>
      </w:r>
      <w:r>
        <w:t xml:space="preserve"> provide necessary definitions to effectuate th</w:t>
      </w:r>
      <w:r w:rsidR="00B937DD">
        <w:t>ese</w:t>
      </w:r>
      <w:r>
        <w:t xml:space="preserve"> new process</w:t>
      </w:r>
      <w:r w:rsidR="00B937DD">
        <w:t>es for viable and non-viable utilities</w:t>
      </w:r>
      <w:r>
        <w:t xml:space="preserve">; </w:t>
      </w:r>
      <w:r w:rsidR="00786A4B">
        <w:t>establish</w:t>
      </w:r>
      <w:r>
        <w:t xml:space="preserve"> when an acquiring utility may petition the Commission to </w:t>
      </w:r>
      <w:r w:rsidR="00786A4B">
        <w:t>receive</w:t>
      </w:r>
      <w:r>
        <w:t xml:space="preserve"> an acquisition adjustment; when and under what circumstances an acquisition adjustment will be allowed for the acquisition of either a viable or non-viable utility; </w:t>
      </w:r>
      <w:r w:rsidR="00786A4B">
        <w:t xml:space="preserve">enumerate </w:t>
      </w:r>
      <w:r w:rsidR="00722A13">
        <w:t>the required contents of a petition</w:t>
      </w:r>
      <w:r>
        <w:t>;</w:t>
      </w:r>
      <w:r w:rsidR="00722A13">
        <w:t xml:space="preserve"> </w:t>
      </w:r>
      <w:r w:rsidR="00786A4B">
        <w:t xml:space="preserve">delineate </w:t>
      </w:r>
      <w:r w:rsidR="00722A13">
        <w:t xml:space="preserve">the factors the Commission will consider in determining whether to allow an acquisition adjustment; </w:t>
      </w:r>
      <w:r w:rsidR="00786A4B">
        <w:t xml:space="preserve">determine </w:t>
      </w:r>
      <w:r w:rsidR="00722A13">
        <w:t>when the amortization period</w:t>
      </w:r>
      <w:r>
        <w:t xml:space="preserve"> </w:t>
      </w:r>
      <w:r w:rsidR="00722A13">
        <w:t>for an acquisition adjustment will begin; confirm the Commission’s existing authority to review an acquisition adjustment; establish that a negative acquisition adjustment will no longer be included in rate base; and provide a necessary notice provision to ensure customers of the acquiring utility and the acquired utility are made aware of the filing of a petition for an acquisition adjustment and advised that they may file a motion to intervene in any proceeding on the petition.</w:t>
      </w:r>
      <w:r>
        <w:t xml:space="preserve">  </w:t>
      </w:r>
      <w:r w:rsidR="004F0680">
        <w:t xml:space="preserve"> </w:t>
      </w:r>
    </w:p>
    <w:p w:rsidR="009B4733" w:rsidRDefault="00A539B7" w:rsidP="00B04FDF">
      <w:pPr>
        <w:pStyle w:val="BodyText"/>
        <w:rPr>
          <w:rFonts w:eastAsiaTheme="minorHAnsi"/>
        </w:rPr>
      </w:pPr>
      <w:r>
        <w:t xml:space="preserve">Below is a detailed explanation of each section of </w:t>
      </w:r>
      <w:r w:rsidR="007B1FC3">
        <w:t xml:space="preserve">staff’s recommended </w:t>
      </w:r>
      <w:r>
        <w:t>rule amendment</w:t>
      </w:r>
      <w:r w:rsidR="007B1FC3">
        <w:t>s</w:t>
      </w:r>
      <w:r w:rsidR="00786A4B">
        <w:t>,</w:t>
      </w:r>
      <w:r w:rsidR="00E03868">
        <w:t xml:space="preserve"> </w:t>
      </w:r>
      <w:r w:rsidR="00031162">
        <w:t>including</w:t>
      </w:r>
      <w:r>
        <w:t xml:space="preserve"> stakeholder comments on the specific </w:t>
      </w:r>
      <w:r w:rsidR="007B1FC3">
        <w:t xml:space="preserve">draft </w:t>
      </w:r>
      <w:r>
        <w:t>rule provisions.</w:t>
      </w:r>
    </w:p>
    <w:p w:rsidR="00BE1C2D" w:rsidRPr="00BE1C2D" w:rsidRDefault="008342AA" w:rsidP="007B1FC3">
      <w:pPr>
        <w:pStyle w:val="Second-LevelSubheading"/>
        <w:ind w:left="0"/>
        <w:rPr>
          <w:rFonts w:eastAsiaTheme="minorHAnsi"/>
        </w:rPr>
      </w:pPr>
      <w:r>
        <w:rPr>
          <w:rFonts w:eastAsiaTheme="minorHAnsi"/>
          <w:i w:val="0"/>
        </w:rPr>
        <w:t>Subsection (1)</w:t>
      </w:r>
      <w:r w:rsidR="009B4733" w:rsidRPr="00AA3B24">
        <w:rPr>
          <w:rFonts w:eastAsiaTheme="minorHAnsi"/>
          <w:i w:val="0"/>
        </w:rPr>
        <w:t xml:space="preserve"> </w:t>
      </w:r>
      <w:r w:rsidR="00BE1C2D" w:rsidRPr="00AA3B24">
        <w:rPr>
          <w:rFonts w:eastAsiaTheme="minorHAnsi"/>
          <w:i w:val="0"/>
        </w:rPr>
        <w:t>–</w:t>
      </w:r>
      <w:r w:rsidR="009B4733" w:rsidRPr="00AA3B24">
        <w:rPr>
          <w:rFonts w:eastAsiaTheme="minorHAnsi"/>
          <w:i w:val="0"/>
        </w:rPr>
        <w:t xml:space="preserve"> Definitions</w:t>
      </w:r>
    </w:p>
    <w:p w:rsidR="004F27EC" w:rsidRDefault="00D92BF0" w:rsidP="00D92BF0">
      <w:pPr>
        <w:spacing w:after="200"/>
        <w:jc w:val="both"/>
        <w:rPr>
          <w:rFonts w:eastAsiaTheme="minorHAnsi" w:cstheme="minorBidi"/>
          <w:szCs w:val="22"/>
        </w:rPr>
      </w:pPr>
      <w:r>
        <w:rPr>
          <w:rFonts w:eastAsiaTheme="minorHAnsi" w:cstheme="minorBidi"/>
          <w:szCs w:val="22"/>
        </w:rPr>
        <w:t xml:space="preserve">This subsection provides </w:t>
      </w:r>
      <w:r w:rsidR="005B491F">
        <w:rPr>
          <w:rFonts w:eastAsiaTheme="minorHAnsi" w:cstheme="minorBidi"/>
          <w:szCs w:val="22"/>
        </w:rPr>
        <w:t>specific</w:t>
      </w:r>
      <w:r w:rsidR="00DD34B8">
        <w:rPr>
          <w:rFonts w:eastAsiaTheme="minorHAnsi" w:cstheme="minorBidi"/>
          <w:szCs w:val="22"/>
        </w:rPr>
        <w:t xml:space="preserve"> </w:t>
      </w:r>
      <w:r>
        <w:rPr>
          <w:rFonts w:eastAsiaTheme="minorHAnsi" w:cstheme="minorBidi"/>
          <w:szCs w:val="22"/>
        </w:rPr>
        <w:t xml:space="preserve">definitions for the terms “acquisition adjustment,” “positive acquisition adjustment,” </w:t>
      </w:r>
      <w:r w:rsidR="007B1FC3">
        <w:rPr>
          <w:rFonts w:eastAsiaTheme="minorHAnsi" w:cstheme="minorBidi"/>
          <w:szCs w:val="22"/>
        </w:rPr>
        <w:t xml:space="preserve">and </w:t>
      </w:r>
      <w:r>
        <w:rPr>
          <w:rFonts w:eastAsiaTheme="minorHAnsi" w:cstheme="minorBidi"/>
          <w:szCs w:val="22"/>
        </w:rPr>
        <w:t>“negative acquisition adjustment</w:t>
      </w:r>
      <w:r w:rsidR="004B6594">
        <w:rPr>
          <w:rFonts w:eastAsiaTheme="minorHAnsi" w:cstheme="minorBidi"/>
          <w:szCs w:val="22"/>
        </w:rPr>
        <w:t>.</w:t>
      </w:r>
      <w:r>
        <w:rPr>
          <w:rFonts w:eastAsiaTheme="minorHAnsi" w:cstheme="minorBidi"/>
          <w:szCs w:val="22"/>
        </w:rPr>
        <w:t xml:space="preserve">” </w:t>
      </w:r>
      <w:r w:rsidR="004B6594">
        <w:rPr>
          <w:rFonts w:eastAsiaTheme="minorHAnsi" w:cstheme="minorBidi"/>
          <w:szCs w:val="22"/>
        </w:rPr>
        <w:t xml:space="preserve">Staff </w:t>
      </w:r>
      <w:r w:rsidR="00475A9B">
        <w:rPr>
          <w:rFonts w:eastAsiaTheme="minorHAnsi" w:cstheme="minorBidi"/>
          <w:szCs w:val="22"/>
        </w:rPr>
        <w:t xml:space="preserve">also </w:t>
      </w:r>
      <w:r w:rsidR="008F14C5">
        <w:rPr>
          <w:rFonts w:eastAsiaTheme="minorHAnsi" w:cstheme="minorBidi"/>
          <w:szCs w:val="22"/>
        </w:rPr>
        <w:t>recommends</w:t>
      </w:r>
      <w:r w:rsidR="001E5944">
        <w:rPr>
          <w:rFonts w:eastAsiaTheme="minorHAnsi" w:cstheme="minorBidi"/>
          <w:szCs w:val="22"/>
        </w:rPr>
        <w:t xml:space="preserve"> </w:t>
      </w:r>
      <w:r w:rsidR="00185809">
        <w:rPr>
          <w:rFonts w:eastAsiaTheme="minorHAnsi" w:cstheme="minorBidi"/>
          <w:szCs w:val="22"/>
        </w:rPr>
        <w:t>a</w:t>
      </w:r>
      <w:r w:rsidR="000D1F37">
        <w:rPr>
          <w:rFonts w:eastAsiaTheme="minorHAnsi" w:cstheme="minorBidi"/>
          <w:szCs w:val="22"/>
        </w:rPr>
        <w:t>dding a</w:t>
      </w:r>
      <w:r w:rsidR="00185809">
        <w:rPr>
          <w:rFonts w:eastAsiaTheme="minorHAnsi" w:cstheme="minorBidi"/>
          <w:szCs w:val="22"/>
        </w:rPr>
        <w:t xml:space="preserve"> </w:t>
      </w:r>
      <w:r w:rsidR="00DD34B8">
        <w:rPr>
          <w:rFonts w:eastAsiaTheme="minorHAnsi" w:cstheme="minorBidi"/>
          <w:szCs w:val="22"/>
        </w:rPr>
        <w:t xml:space="preserve">definition for “good cause,” </w:t>
      </w:r>
      <w:r w:rsidR="001412A8">
        <w:rPr>
          <w:rFonts w:eastAsiaTheme="minorHAnsi" w:cstheme="minorBidi"/>
          <w:szCs w:val="22"/>
        </w:rPr>
        <w:t xml:space="preserve">which </w:t>
      </w:r>
      <w:r w:rsidR="000D1F37">
        <w:rPr>
          <w:rFonts w:eastAsiaTheme="minorHAnsi" w:cstheme="minorBidi"/>
          <w:szCs w:val="22"/>
        </w:rPr>
        <w:t xml:space="preserve">will </w:t>
      </w:r>
      <w:r w:rsidR="001412A8">
        <w:rPr>
          <w:rFonts w:eastAsiaTheme="minorHAnsi" w:cstheme="minorBidi"/>
          <w:szCs w:val="22"/>
        </w:rPr>
        <w:t>clarif</w:t>
      </w:r>
      <w:r w:rsidR="000D1F37">
        <w:rPr>
          <w:rFonts w:eastAsiaTheme="minorHAnsi" w:cstheme="minorBidi"/>
          <w:szCs w:val="22"/>
        </w:rPr>
        <w:t>y</w:t>
      </w:r>
      <w:r w:rsidR="001412A8">
        <w:rPr>
          <w:rFonts w:eastAsiaTheme="minorHAnsi" w:cstheme="minorBidi"/>
          <w:szCs w:val="22"/>
        </w:rPr>
        <w:t xml:space="preserve"> when a utility may be granted an extension of the 3-year period to petition for an acquisition adjustment</w:t>
      </w:r>
      <w:r w:rsidR="00C25BAC">
        <w:rPr>
          <w:rFonts w:eastAsiaTheme="minorHAnsi" w:cstheme="minorBidi"/>
          <w:szCs w:val="22"/>
        </w:rPr>
        <w:t xml:space="preserve"> as provided in subsection (3) and (4) of the amended rule</w:t>
      </w:r>
      <w:r w:rsidR="004F27EC">
        <w:rPr>
          <w:rFonts w:eastAsiaTheme="minorHAnsi" w:cstheme="minorBidi"/>
          <w:szCs w:val="22"/>
        </w:rPr>
        <w:t>.</w:t>
      </w:r>
    </w:p>
    <w:p w:rsidR="00202615" w:rsidRDefault="004F27EC" w:rsidP="00D92BF0">
      <w:pPr>
        <w:spacing w:after="200"/>
        <w:jc w:val="both"/>
        <w:rPr>
          <w:rFonts w:eastAsiaTheme="minorHAnsi" w:cstheme="minorBidi"/>
          <w:szCs w:val="22"/>
        </w:rPr>
      </w:pPr>
      <w:r>
        <w:rPr>
          <w:rFonts w:eastAsiaTheme="minorHAnsi" w:cstheme="minorBidi"/>
          <w:szCs w:val="22"/>
        </w:rPr>
        <w:t xml:space="preserve">Of particular note are staff’s recommended definitions of </w:t>
      </w:r>
      <w:r w:rsidR="00D92BF0">
        <w:rPr>
          <w:rFonts w:eastAsiaTheme="minorHAnsi" w:cstheme="minorBidi"/>
          <w:szCs w:val="22"/>
        </w:rPr>
        <w:t>“non-viable utility”</w:t>
      </w:r>
      <w:r w:rsidR="004B6594">
        <w:rPr>
          <w:rFonts w:eastAsiaTheme="minorHAnsi" w:cstheme="minorBidi"/>
          <w:szCs w:val="22"/>
        </w:rPr>
        <w:t xml:space="preserve"> and “viable utility”</w:t>
      </w:r>
      <w:r w:rsidR="00D92BF0">
        <w:rPr>
          <w:rFonts w:eastAsiaTheme="minorHAnsi" w:cstheme="minorBidi"/>
          <w:szCs w:val="22"/>
        </w:rPr>
        <w:t xml:space="preserve"> </w:t>
      </w:r>
      <w:r w:rsidR="00A45FAD">
        <w:rPr>
          <w:rFonts w:eastAsiaTheme="minorHAnsi" w:cstheme="minorBidi"/>
          <w:szCs w:val="22"/>
        </w:rPr>
        <w:t xml:space="preserve">in paragraphs (1)(e) and (f) of the draft rule, </w:t>
      </w:r>
      <w:r w:rsidR="000D1F37">
        <w:rPr>
          <w:rFonts w:eastAsiaTheme="minorHAnsi" w:cstheme="minorBidi"/>
          <w:szCs w:val="22"/>
        </w:rPr>
        <w:t>which</w:t>
      </w:r>
      <w:r w:rsidR="001412A8">
        <w:rPr>
          <w:rFonts w:eastAsiaTheme="minorHAnsi" w:cstheme="minorBidi"/>
          <w:szCs w:val="22"/>
        </w:rPr>
        <w:t xml:space="preserve"> </w:t>
      </w:r>
      <w:r w:rsidR="00B937DD">
        <w:rPr>
          <w:rFonts w:eastAsiaTheme="minorHAnsi" w:cstheme="minorBidi"/>
          <w:szCs w:val="22"/>
        </w:rPr>
        <w:t>set forth</w:t>
      </w:r>
      <w:r w:rsidR="001412A8">
        <w:rPr>
          <w:rFonts w:eastAsiaTheme="minorHAnsi" w:cstheme="minorBidi"/>
          <w:szCs w:val="22"/>
        </w:rPr>
        <w:t xml:space="preserve"> the status of an acquired utility for purposes of </w:t>
      </w:r>
      <w:r w:rsidR="00031162">
        <w:rPr>
          <w:rFonts w:eastAsiaTheme="minorHAnsi" w:cstheme="minorBidi"/>
          <w:szCs w:val="22"/>
        </w:rPr>
        <w:t xml:space="preserve">determining </w:t>
      </w:r>
      <w:r w:rsidR="001412A8">
        <w:rPr>
          <w:rFonts w:eastAsiaTheme="minorHAnsi" w:cstheme="minorBidi"/>
          <w:szCs w:val="22"/>
        </w:rPr>
        <w:t>which process an acquiring utility must follow when petitioning the Commission for an acquisition adjustment</w:t>
      </w:r>
      <w:r w:rsidR="004B6594">
        <w:rPr>
          <w:rFonts w:eastAsiaTheme="minorHAnsi" w:cstheme="minorBidi"/>
          <w:szCs w:val="22"/>
        </w:rPr>
        <w:t>, with acqui</w:t>
      </w:r>
      <w:r w:rsidR="00185809">
        <w:rPr>
          <w:rFonts w:eastAsiaTheme="minorHAnsi" w:cstheme="minorBidi"/>
          <w:szCs w:val="22"/>
        </w:rPr>
        <w:t>sition</w:t>
      </w:r>
      <w:r w:rsidR="004B6594">
        <w:rPr>
          <w:rFonts w:eastAsiaTheme="minorHAnsi" w:cstheme="minorBidi"/>
          <w:szCs w:val="22"/>
        </w:rPr>
        <w:t xml:space="preserve"> of a “non-viable utility” follow</w:t>
      </w:r>
      <w:r w:rsidR="000F79DB">
        <w:rPr>
          <w:rFonts w:eastAsiaTheme="minorHAnsi" w:cstheme="minorBidi"/>
          <w:szCs w:val="22"/>
        </w:rPr>
        <w:t>ing</w:t>
      </w:r>
      <w:r w:rsidR="004B6594">
        <w:rPr>
          <w:rFonts w:eastAsiaTheme="minorHAnsi" w:cstheme="minorBidi"/>
          <w:szCs w:val="22"/>
        </w:rPr>
        <w:t xml:space="preserve"> the requirements of subsection (3)</w:t>
      </w:r>
      <w:r w:rsidR="00B937DD">
        <w:rPr>
          <w:rFonts w:eastAsiaTheme="minorHAnsi" w:cstheme="minorBidi"/>
          <w:szCs w:val="22"/>
        </w:rPr>
        <w:t xml:space="preserve"> of the draft rule</w:t>
      </w:r>
      <w:r w:rsidR="004B6594">
        <w:rPr>
          <w:rFonts w:eastAsiaTheme="minorHAnsi" w:cstheme="minorBidi"/>
          <w:szCs w:val="22"/>
        </w:rPr>
        <w:t xml:space="preserve"> and a “viable utility” follow</w:t>
      </w:r>
      <w:r w:rsidR="000F79DB">
        <w:rPr>
          <w:rFonts w:eastAsiaTheme="minorHAnsi" w:cstheme="minorBidi"/>
          <w:szCs w:val="22"/>
        </w:rPr>
        <w:t>ing</w:t>
      </w:r>
      <w:r w:rsidR="004B6594">
        <w:rPr>
          <w:rFonts w:eastAsiaTheme="minorHAnsi" w:cstheme="minorBidi"/>
          <w:szCs w:val="22"/>
        </w:rPr>
        <w:t xml:space="preserve"> the requirements of subsection (4)</w:t>
      </w:r>
      <w:r w:rsidR="00B937DD">
        <w:rPr>
          <w:rFonts w:eastAsiaTheme="minorHAnsi" w:cstheme="minorBidi"/>
          <w:szCs w:val="22"/>
        </w:rPr>
        <w:t xml:space="preserve"> of the draft rule</w:t>
      </w:r>
      <w:r w:rsidR="004B6594">
        <w:rPr>
          <w:rFonts w:eastAsiaTheme="minorHAnsi" w:cstheme="minorBidi"/>
          <w:szCs w:val="22"/>
        </w:rPr>
        <w:t>.</w:t>
      </w:r>
    </w:p>
    <w:p w:rsidR="00C86921" w:rsidRDefault="00202615" w:rsidP="00D92BF0">
      <w:pPr>
        <w:spacing w:after="200"/>
        <w:jc w:val="both"/>
        <w:rPr>
          <w:rFonts w:eastAsiaTheme="minorHAnsi" w:cstheme="minorBidi"/>
          <w:szCs w:val="22"/>
        </w:rPr>
      </w:pPr>
      <w:r>
        <w:rPr>
          <w:rFonts w:eastAsiaTheme="minorHAnsi" w:cstheme="minorBidi"/>
          <w:szCs w:val="22"/>
        </w:rPr>
        <w:t>A “non-viable utility,” as defined, means a utility that is either</w:t>
      </w:r>
      <w:r w:rsidR="00A45FAD">
        <w:rPr>
          <w:rFonts w:eastAsiaTheme="minorHAnsi" w:cstheme="minorBidi"/>
          <w:szCs w:val="22"/>
        </w:rPr>
        <w:t>:</w:t>
      </w:r>
      <w:r>
        <w:rPr>
          <w:rFonts w:eastAsiaTheme="minorHAnsi" w:cstheme="minorBidi"/>
          <w:szCs w:val="22"/>
        </w:rPr>
        <w:t xml:space="preserve"> </w:t>
      </w:r>
      <w:r w:rsidR="00A45FAD">
        <w:rPr>
          <w:rFonts w:eastAsiaTheme="minorHAnsi" w:cstheme="minorBidi"/>
          <w:szCs w:val="22"/>
        </w:rPr>
        <w:t>(</w:t>
      </w:r>
      <w:r>
        <w:rPr>
          <w:rFonts w:eastAsiaTheme="minorHAnsi" w:cstheme="minorBidi"/>
          <w:szCs w:val="22"/>
        </w:rPr>
        <w:t>1) currently unable</w:t>
      </w:r>
      <w:r w:rsidR="00031162">
        <w:rPr>
          <w:rFonts w:eastAsiaTheme="minorHAnsi" w:cstheme="minorBidi"/>
          <w:szCs w:val="22"/>
        </w:rPr>
        <w:t>,</w:t>
      </w:r>
      <w:r>
        <w:rPr>
          <w:rFonts w:eastAsiaTheme="minorHAnsi" w:cstheme="minorBidi"/>
          <w:szCs w:val="22"/>
        </w:rPr>
        <w:t xml:space="preserve"> or is projected to be unable</w:t>
      </w:r>
      <w:r w:rsidR="00031162">
        <w:rPr>
          <w:rFonts w:eastAsiaTheme="minorHAnsi" w:cstheme="minorBidi"/>
          <w:szCs w:val="22"/>
        </w:rPr>
        <w:t>,</w:t>
      </w:r>
      <w:r>
        <w:rPr>
          <w:rFonts w:eastAsiaTheme="minorHAnsi" w:cstheme="minorBidi"/>
          <w:szCs w:val="22"/>
        </w:rPr>
        <w:t xml:space="preserve"> to provide and maintain safe, adequate, and reliable service and facilities to its customers within </w:t>
      </w:r>
      <w:r w:rsidR="00031162">
        <w:rPr>
          <w:rFonts w:eastAsiaTheme="minorHAnsi" w:cstheme="minorBidi"/>
          <w:szCs w:val="22"/>
        </w:rPr>
        <w:t xml:space="preserve">the next </w:t>
      </w:r>
      <w:r>
        <w:rPr>
          <w:rFonts w:eastAsiaTheme="minorHAnsi" w:cstheme="minorBidi"/>
          <w:szCs w:val="22"/>
        </w:rPr>
        <w:t>5 years due to a history of enforcement or compliance actions by regulatory agencies based on violations of primary</w:t>
      </w:r>
      <w:r w:rsidR="00031162">
        <w:rPr>
          <w:rFonts w:eastAsiaTheme="minorHAnsi" w:cstheme="minorBidi"/>
          <w:szCs w:val="22"/>
        </w:rPr>
        <w:t>,</w:t>
      </w:r>
      <w:r>
        <w:rPr>
          <w:rFonts w:eastAsiaTheme="minorHAnsi" w:cstheme="minorBidi"/>
          <w:szCs w:val="22"/>
        </w:rPr>
        <w:t xml:space="preserve"> or exceedance of secondary</w:t>
      </w:r>
      <w:r w:rsidR="00031162">
        <w:rPr>
          <w:rFonts w:eastAsiaTheme="minorHAnsi" w:cstheme="minorBidi"/>
          <w:szCs w:val="22"/>
        </w:rPr>
        <w:t>,</w:t>
      </w:r>
      <w:r>
        <w:rPr>
          <w:rFonts w:eastAsiaTheme="minorHAnsi" w:cstheme="minorBidi"/>
          <w:szCs w:val="22"/>
        </w:rPr>
        <w:t xml:space="preserve"> water quality standards or other health, safety, and environmental standards; and insufficient investment, repair, </w:t>
      </w:r>
      <w:r w:rsidR="00031162">
        <w:rPr>
          <w:rFonts w:eastAsiaTheme="minorHAnsi" w:cstheme="minorBidi"/>
          <w:szCs w:val="22"/>
        </w:rPr>
        <w:t xml:space="preserve">or </w:t>
      </w:r>
      <w:r>
        <w:rPr>
          <w:rFonts w:eastAsiaTheme="minorHAnsi" w:cstheme="minorBidi"/>
          <w:szCs w:val="22"/>
        </w:rPr>
        <w:t xml:space="preserve">maintenance of assets or an inability to acquire and maintain adequate managerial, operational, financial, or technical capabilities to ensure safe and reliable service to its customers; or </w:t>
      </w:r>
      <w:r w:rsidR="00A45FAD">
        <w:rPr>
          <w:rFonts w:eastAsiaTheme="minorHAnsi" w:cstheme="minorBidi"/>
          <w:szCs w:val="22"/>
        </w:rPr>
        <w:t>(</w:t>
      </w:r>
      <w:r>
        <w:rPr>
          <w:rFonts w:eastAsiaTheme="minorHAnsi" w:cstheme="minorBidi"/>
          <w:szCs w:val="22"/>
        </w:rPr>
        <w:t>2) is insolvent, meaning it is unable to pay its debts.</w:t>
      </w:r>
      <w:r w:rsidR="001412A8">
        <w:rPr>
          <w:rFonts w:eastAsiaTheme="minorHAnsi" w:cstheme="minorBidi"/>
          <w:szCs w:val="22"/>
        </w:rPr>
        <w:t xml:space="preserve"> </w:t>
      </w:r>
      <w:r w:rsidR="00D2418A">
        <w:rPr>
          <w:rFonts w:eastAsiaTheme="minorHAnsi" w:cstheme="minorBidi"/>
          <w:szCs w:val="22"/>
        </w:rPr>
        <w:t xml:space="preserve"> A “viable utility,” is defined as all utilities that are not non-viable.</w:t>
      </w:r>
    </w:p>
    <w:p w:rsidR="00B937DD" w:rsidRDefault="00B937DD" w:rsidP="00937F9A">
      <w:pPr>
        <w:pStyle w:val="Second-LevelSubheading"/>
        <w:rPr>
          <w:rFonts w:eastAsiaTheme="minorHAnsi"/>
        </w:rPr>
      </w:pPr>
      <w:r>
        <w:rPr>
          <w:rFonts w:eastAsiaTheme="minorHAnsi"/>
        </w:rPr>
        <w:t>Stakeholder Comments</w:t>
      </w:r>
    </w:p>
    <w:p w:rsidR="007D17AF" w:rsidRPr="007D17AF" w:rsidRDefault="007D17AF" w:rsidP="007D17AF">
      <w:pPr>
        <w:pStyle w:val="BodyText"/>
        <w:rPr>
          <w:rFonts w:eastAsiaTheme="minorHAnsi"/>
        </w:rPr>
      </w:pPr>
      <w:r>
        <w:rPr>
          <w:rFonts w:eastAsiaTheme="minorHAnsi" w:cstheme="minorBidi"/>
          <w:szCs w:val="22"/>
        </w:rPr>
        <w:t>The inclusion of secondary water quality standards, as well as utility insolvency, within the definition of “non-viable utility,” as provided in subparagraphs (1)(e)1.a. and 2., were discussed at the workshops and raised in post-workshop comments.</w:t>
      </w:r>
    </w:p>
    <w:p w:rsidR="007D17AF" w:rsidRPr="007D17AF" w:rsidRDefault="007D17AF" w:rsidP="007D17AF">
      <w:pPr>
        <w:pStyle w:val="Third-LevelSubheading"/>
        <w:rPr>
          <w:rFonts w:eastAsiaTheme="minorHAnsi"/>
        </w:rPr>
      </w:pPr>
      <w:r>
        <w:rPr>
          <w:rFonts w:eastAsiaTheme="minorHAnsi"/>
        </w:rPr>
        <w:t>Inclusion of Secondary Water Quality Standards</w:t>
      </w:r>
    </w:p>
    <w:p w:rsidR="00D328AE" w:rsidRPr="00A45FAD" w:rsidRDefault="000F79DB" w:rsidP="00A45FAD">
      <w:pPr>
        <w:spacing w:after="200"/>
        <w:contextualSpacing/>
        <w:jc w:val="both"/>
        <w:rPr>
          <w:rFonts w:eastAsiaTheme="minorHAnsi" w:cstheme="minorBidi"/>
          <w:b/>
          <w:szCs w:val="22"/>
        </w:rPr>
      </w:pPr>
      <w:r>
        <w:rPr>
          <w:rFonts w:eastAsiaTheme="minorHAnsi" w:cstheme="minorBidi"/>
          <w:szCs w:val="22"/>
        </w:rPr>
        <w:t>OPC</w:t>
      </w:r>
      <w:r w:rsidR="00D92BF0">
        <w:rPr>
          <w:rFonts w:eastAsiaTheme="minorHAnsi" w:cstheme="minorBidi"/>
          <w:szCs w:val="22"/>
        </w:rPr>
        <w:t xml:space="preserve"> </w:t>
      </w:r>
      <w:r>
        <w:rPr>
          <w:rFonts w:eastAsiaTheme="minorHAnsi" w:cstheme="minorBidi"/>
          <w:szCs w:val="22"/>
        </w:rPr>
        <w:t>asserted</w:t>
      </w:r>
      <w:r w:rsidR="00D92BF0">
        <w:rPr>
          <w:rFonts w:eastAsiaTheme="minorHAnsi" w:cstheme="minorBidi"/>
          <w:szCs w:val="22"/>
        </w:rPr>
        <w:t xml:space="preserve"> </w:t>
      </w:r>
      <w:r w:rsidR="00D92BF0">
        <w:rPr>
          <w:rFonts w:ascii="TimesNewRomanPSMT" w:hAnsi="TimesNewRomanPSMT" w:cs="TimesNewRomanPSMT"/>
        </w:rPr>
        <w:t xml:space="preserve">secondary water quality standards </w:t>
      </w:r>
      <w:r w:rsidR="000F7DB8">
        <w:rPr>
          <w:rFonts w:ascii="TimesNewRomanPSMT" w:hAnsi="TimesNewRomanPSMT" w:cs="TimesNewRomanPSMT"/>
        </w:rPr>
        <w:t xml:space="preserve">should not be included </w:t>
      </w:r>
      <w:r w:rsidR="00D328AE">
        <w:rPr>
          <w:rFonts w:ascii="TimesNewRomanPSMT" w:hAnsi="TimesNewRomanPSMT" w:cs="TimesNewRomanPSMT"/>
        </w:rPr>
        <w:t>in</w:t>
      </w:r>
      <w:r w:rsidR="00D92BF0">
        <w:rPr>
          <w:rFonts w:ascii="TimesNewRomanPSMT" w:hAnsi="TimesNewRomanPSMT" w:cs="TimesNewRomanPSMT"/>
        </w:rPr>
        <w:t xml:space="preserve"> the definition of “non-viable utility,” as</w:t>
      </w:r>
      <w:r w:rsidR="008D1A45">
        <w:rPr>
          <w:rFonts w:ascii="TimesNewRomanPSMT" w:hAnsi="TimesNewRomanPSMT" w:cs="TimesNewRomanPSMT"/>
        </w:rPr>
        <w:t xml:space="preserve"> </w:t>
      </w:r>
      <w:r w:rsidR="00D92BF0">
        <w:rPr>
          <w:rFonts w:ascii="TimesNewRomanPSMT" w:hAnsi="TimesNewRomanPSMT" w:cs="TimesNewRomanPSMT"/>
        </w:rPr>
        <w:t>there are no Commission orders actually revoking a utility’s certificate due to secondary water quality standards</w:t>
      </w:r>
      <w:r w:rsidR="003A0D9F">
        <w:rPr>
          <w:rFonts w:ascii="TimesNewRomanPSMT" w:hAnsi="TimesNewRomanPSMT" w:cs="TimesNewRomanPSMT"/>
        </w:rPr>
        <w:t>,</w:t>
      </w:r>
      <w:r w:rsidR="008D1A45">
        <w:rPr>
          <w:rFonts w:ascii="TimesNewRomanPSMT" w:hAnsi="TimesNewRomanPSMT" w:cs="TimesNewRomanPSMT"/>
        </w:rPr>
        <w:t xml:space="preserve"> </w:t>
      </w:r>
      <w:r w:rsidR="008A4B87">
        <w:rPr>
          <w:rFonts w:ascii="TimesNewRomanPSMT" w:hAnsi="TimesNewRomanPSMT" w:cs="TimesNewRomanPSMT"/>
        </w:rPr>
        <w:t>which OPC believe</w:t>
      </w:r>
      <w:r w:rsidR="00FF2B9D">
        <w:rPr>
          <w:rFonts w:ascii="TimesNewRomanPSMT" w:hAnsi="TimesNewRomanPSMT" w:cs="TimesNewRomanPSMT"/>
        </w:rPr>
        <w:t>s</w:t>
      </w:r>
      <w:r w:rsidR="008A4B87">
        <w:rPr>
          <w:rFonts w:ascii="TimesNewRomanPSMT" w:hAnsi="TimesNewRomanPSMT" w:cs="TimesNewRomanPSMT"/>
        </w:rPr>
        <w:t xml:space="preserve"> will </w:t>
      </w:r>
      <w:r w:rsidR="00D92BF0">
        <w:rPr>
          <w:rFonts w:ascii="TimesNewRomanPSMT" w:hAnsi="TimesNewRomanPSMT" w:cs="TimesNewRomanPSMT"/>
        </w:rPr>
        <w:t>result in the unintended consequence of classifying otherwise viable utilities as non-viable utilities</w:t>
      </w:r>
      <w:r w:rsidR="003A0D9F">
        <w:rPr>
          <w:rFonts w:ascii="TimesNewRomanPSMT" w:hAnsi="TimesNewRomanPSMT" w:cs="TimesNewRomanPSMT"/>
        </w:rPr>
        <w:t xml:space="preserve"> and</w:t>
      </w:r>
      <w:r w:rsidR="00D92BF0">
        <w:rPr>
          <w:rFonts w:ascii="TimesNewRomanPSMT" w:hAnsi="TimesNewRomanPSMT" w:cs="TimesNewRomanPSMT"/>
        </w:rPr>
        <w:t xml:space="preserve"> thereby lowering the burden of proof for a positive acquisition adjustment.  </w:t>
      </w:r>
      <w:r w:rsidR="00D328AE">
        <w:rPr>
          <w:rFonts w:ascii="TimesNewRomanPSMT" w:hAnsi="TimesNewRomanPSMT" w:cs="TimesNewRomanPSMT"/>
        </w:rPr>
        <w:t xml:space="preserve">OPC additionally commented it could </w:t>
      </w:r>
      <w:r w:rsidR="00D328AE">
        <w:t xml:space="preserve">support the addition of secondary water quality violations to the definition of a non-viable utility </w:t>
      </w:r>
      <w:r w:rsidR="007A78A5">
        <w:t xml:space="preserve">by tying secondary standards to those which </w:t>
      </w:r>
      <w:r w:rsidR="00D328AE">
        <w:t xml:space="preserve">interfere with the customer’s ordinary use and enjoyment of water service such as black water or sulfur taste, </w:t>
      </w:r>
      <w:r w:rsidR="007A78A5">
        <w:t xml:space="preserve">which are </w:t>
      </w:r>
      <w:r w:rsidR="00D328AE">
        <w:t>the same standards considered by the Commission for return on equity adjustments in the rate-setting process.”</w:t>
      </w:r>
    </w:p>
    <w:p w:rsidR="00D92BF0" w:rsidRDefault="00D92BF0" w:rsidP="00D92BF0">
      <w:pPr>
        <w:autoSpaceDE w:val="0"/>
        <w:autoSpaceDN w:val="0"/>
        <w:adjustRightInd w:val="0"/>
        <w:jc w:val="both"/>
        <w:rPr>
          <w:rFonts w:ascii="TimesNewRomanPSMT" w:hAnsi="TimesNewRomanPSMT" w:cs="TimesNewRomanPSMT"/>
        </w:rPr>
      </w:pPr>
    </w:p>
    <w:p w:rsidR="00D92BF0" w:rsidRDefault="00D92BF0" w:rsidP="00D92BF0">
      <w:pPr>
        <w:autoSpaceDE w:val="0"/>
        <w:autoSpaceDN w:val="0"/>
        <w:adjustRightInd w:val="0"/>
        <w:jc w:val="both"/>
        <w:rPr>
          <w:rFonts w:ascii="TimesNewRomanPSMT" w:hAnsi="TimesNewRomanPSMT" w:cs="TimesNewRomanPSMT"/>
        </w:rPr>
      </w:pPr>
      <w:r>
        <w:rPr>
          <w:rFonts w:ascii="TimesNewRomanPSMT" w:hAnsi="TimesNewRomanPSMT" w:cs="TimesNewRomanPSMT"/>
        </w:rPr>
        <w:t>CSWR</w:t>
      </w:r>
      <w:r w:rsidR="007A78A5">
        <w:rPr>
          <w:rFonts w:ascii="TimesNewRomanPSMT" w:hAnsi="TimesNewRomanPSMT" w:cs="TimesNewRomanPSMT"/>
        </w:rPr>
        <w:t>, in response,</w:t>
      </w:r>
      <w:r>
        <w:rPr>
          <w:rFonts w:ascii="TimesNewRomanPSMT" w:hAnsi="TimesNewRomanPSMT" w:cs="TimesNewRomanPSMT"/>
        </w:rPr>
        <w:t xml:space="preserve"> state</w:t>
      </w:r>
      <w:r w:rsidR="003A0D9F">
        <w:rPr>
          <w:rFonts w:ascii="TimesNewRomanPSMT" w:hAnsi="TimesNewRomanPSMT" w:cs="TimesNewRomanPSMT"/>
        </w:rPr>
        <w:t>d</w:t>
      </w:r>
      <w:r>
        <w:rPr>
          <w:rFonts w:ascii="TimesNewRomanPSMT" w:hAnsi="TimesNewRomanPSMT" w:cs="TimesNewRomanPSMT"/>
        </w:rPr>
        <w:t xml:space="preserve"> </w:t>
      </w:r>
      <w:r w:rsidR="007A78A5">
        <w:rPr>
          <w:rFonts w:ascii="TimesNewRomanPSMT" w:hAnsi="TimesNewRomanPSMT" w:cs="TimesNewRomanPSMT"/>
        </w:rPr>
        <w:t>whether</w:t>
      </w:r>
      <w:r>
        <w:rPr>
          <w:rFonts w:ascii="TimesNewRomanPSMT" w:hAnsi="TimesNewRomanPSMT" w:cs="TimesNewRomanPSMT"/>
        </w:rPr>
        <w:t xml:space="preserve"> the Commission has </w:t>
      </w:r>
      <w:r w:rsidR="007A78A5">
        <w:rPr>
          <w:rFonts w:ascii="TimesNewRomanPSMT" w:hAnsi="TimesNewRomanPSMT" w:cs="TimesNewRomanPSMT"/>
        </w:rPr>
        <w:t>ever</w:t>
      </w:r>
      <w:r>
        <w:rPr>
          <w:rFonts w:ascii="TimesNewRomanPSMT" w:hAnsi="TimesNewRomanPSMT" w:cs="TimesNewRomanPSMT"/>
        </w:rPr>
        <w:t xml:space="preserve"> revoked a utility’s certificate for failing to comply with secondary water standards has no relevance to whether that criteria should be removed </w:t>
      </w:r>
      <w:r w:rsidR="00FF2B9D">
        <w:rPr>
          <w:rFonts w:ascii="TimesNewRomanPSMT" w:hAnsi="TimesNewRomanPSMT" w:cs="TimesNewRomanPSMT"/>
        </w:rPr>
        <w:t xml:space="preserve">given that </w:t>
      </w:r>
      <w:r>
        <w:rPr>
          <w:rFonts w:ascii="TimesNewRomanPSMT" w:hAnsi="TimesNewRomanPSMT" w:cs="TimesNewRomanPSMT"/>
        </w:rPr>
        <w:t xml:space="preserve">compliance with secondary standards is an element to be considered in fixing rates, and a failure to comply with those standards is indicative of a non-viable utility because it is unable to provide safe and reliable service.  </w:t>
      </w:r>
    </w:p>
    <w:p w:rsidR="00D92BF0" w:rsidRDefault="00D92BF0" w:rsidP="00D92BF0">
      <w:pPr>
        <w:autoSpaceDE w:val="0"/>
        <w:autoSpaceDN w:val="0"/>
        <w:adjustRightInd w:val="0"/>
        <w:jc w:val="both"/>
        <w:rPr>
          <w:rFonts w:eastAsiaTheme="minorHAnsi" w:cstheme="minorBidi"/>
          <w:szCs w:val="22"/>
        </w:rPr>
      </w:pPr>
    </w:p>
    <w:p w:rsidR="000F79DB" w:rsidRDefault="00D92BF0" w:rsidP="00D92BF0">
      <w:pPr>
        <w:autoSpaceDE w:val="0"/>
        <w:autoSpaceDN w:val="0"/>
        <w:adjustRightInd w:val="0"/>
        <w:jc w:val="both"/>
        <w:rPr>
          <w:rFonts w:ascii="TimesNewRomanPSMT" w:hAnsi="TimesNewRomanPSMT" w:cs="TimesNewRomanPSMT"/>
        </w:rPr>
      </w:pPr>
      <w:r>
        <w:rPr>
          <w:rFonts w:eastAsiaTheme="minorHAnsi" w:cstheme="minorBidi"/>
          <w:szCs w:val="22"/>
        </w:rPr>
        <w:t xml:space="preserve">SWS, in response to the definition for “non-viable utility,” </w:t>
      </w:r>
      <w:r w:rsidR="001A22A0">
        <w:rPr>
          <w:rFonts w:eastAsiaTheme="minorHAnsi" w:cstheme="minorBidi"/>
          <w:szCs w:val="22"/>
        </w:rPr>
        <w:t>suggested</w:t>
      </w:r>
      <w:r>
        <w:rPr>
          <w:rFonts w:eastAsiaTheme="minorHAnsi" w:cstheme="minorBidi"/>
          <w:szCs w:val="22"/>
        </w:rPr>
        <w:t xml:space="preserve"> “in addition to primary water quality standards, the Commission should consider secondary quality standards </w:t>
      </w:r>
      <w:r>
        <w:rPr>
          <w:rFonts w:ascii="TimesNewRomanPSMT" w:hAnsi="TimesNewRomanPSMT" w:cs="TimesNewRomanPSMT"/>
        </w:rPr>
        <w:t xml:space="preserve">as required or ordered by the Commission or an appropriate agency, and applicable wastewater or other environmental and safety standards. This treatment aligns with the treatment of water utilities during a rate case.”  </w:t>
      </w:r>
    </w:p>
    <w:p w:rsidR="007D17AF" w:rsidRDefault="00D92BF0" w:rsidP="00D92BF0">
      <w:pPr>
        <w:autoSpaceDE w:val="0"/>
        <w:autoSpaceDN w:val="0"/>
        <w:adjustRightInd w:val="0"/>
        <w:jc w:val="both"/>
        <w:rPr>
          <w:rFonts w:ascii="TimesNewRomanPSMT" w:hAnsi="TimesNewRomanPSMT" w:cs="TimesNewRomanPSMT"/>
        </w:rPr>
      </w:pPr>
      <w:r>
        <w:rPr>
          <w:rFonts w:ascii="TimesNewRomanPSMT" w:hAnsi="TimesNewRomanPSMT" w:cs="TimesNewRomanPSMT"/>
        </w:rPr>
        <w:t>Staff recommends inclusion of secondary water standards within the definition o</w:t>
      </w:r>
      <w:r w:rsidR="00031162">
        <w:rPr>
          <w:rFonts w:ascii="TimesNewRomanPSMT" w:hAnsi="TimesNewRomanPSMT" w:cs="TimesNewRomanPSMT"/>
        </w:rPr>
        <w:t>f</w:t>
      </w:r>
      <w:r>
        <w:rPr>
          <w:rFonts w:ascii="TimesNewRomanPSMT" w:hAnsi="TimesNewRomanPSMT" w:cs="TimesNewRomanPSMT"/>
        </w:rPr>
        <w:t xml:space="preserve"> “non-viable utility,” as it aligns with the treatment of water utilities during a rate case</w:t>
      </w:r>
      <w:r w:rsidR="00031162">
        <w:rPr>
          <w:rFonts w:ascii="TimesNewRomanPSMT" w:hAnsi="TimesNewRomanPSMT" w:cs="TimesNewRomanPSMT"/>
        </w:rPr>
        <w:t xml:space="preserve"> and certain utilities may lack the resources to adequately address secondary water quality standards</w:t>
      </w:r>
      <w:r>
        <w:rPr>
          <w:rFonts w:ascii="TimesNewRomanPSMT" w:hAnsi="TimesNewRomanPSMT" w:cs="TimesNewRomanPSMT"/>
        </w:rPr>
        <w:t>.</w:t>
      </w:r>
      <w:r w:rsidR="007A78A5">
        <w:rPr>
          <w:rFonts w:ascii="TimesNewRomanPSMT" w:hAnsi="TimesNewRomanPSMT" w:cs="TimesNewRomanPSMT"/>
        </w:rPr>
        <w:t xml:space="preserve">  OPC’s suggestion for the amended rule to be more explicit in the description of secondary standards is not necessary and may actually detract from </w:t>
      </w:r>
      <w:r w:rsidR="00FF2B9D">
        <w:rPr>
          <w:rFonts w:ascii="TimesNewRomanPSMT" w:hAnsi="TimesNewRomanPSMT" w:cs="TimesNewRomanPSMT"/>
        </w:rPr>
        <w:t xml:space="preserve">compliance with </w:t>
      </w:r>
      <w:r w:rsidR="007A78A5">
        <w:rPr>
          <w:rFonts w:ascii="TimesNewRomanPSMT" w:hAnsi="TimesNewRomanPSMT" w:cs="TimesNewRomanPSMT"/>
        </w:rPr>
        <w:t>all secondary water quality standards.</w:t>
      </w:r>
    </w:p>
    <w:p w:rsidR="00D92BF0" w:rsidRDefault="00D92BF0" w:rsidP="00D92BF0">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 </w:t>
      </w:r>
    </w:p>
    <w:p w:rsidR="007D17AF" w:rsidRDefault="007D17AF" w:rsidP="007D17AF">
      <w:pPr>
        <w:pStyle w:val="Third-LevelSubheading"/>
        <w:rPr>
          <w:rFonts w:ascii="TimesNewRomanPSMT" w:hAnsi="TimesNewRomanPSMT" w:cs="TimesNewRomanPSMT"/>
        </w:rPr>
      </w:pPr>
      <w:r>
        <w:t>Definition of Insolvent Utilities</w:t>
      </w:r>
    </w:p>
    <w:p w:rsidR="00D92BF0" w:rsidRDefault="00031162" w:rsidP="00D92BF0">
      <w:pPr>
        <w:autoSpaceDE w:val="0"/>
        <w:autoSpaceDN w:val="0"/>
        <w:adjustRightInd w:val="0"/>
        <w:jc w:val="both"/>
      </w:pPr>
      <w:r>
        <w:rPr>
          <w:rFonts w:ascii="TimesNewRomanPSMT" w:hAnsi="TimesNewRomanPSMT" w:cs="TimesNewRomanPSMT"/>
        </w:rPr>
        <w:t xml:space="preserve">Regarding insolvent utilities, </w:t>
      </w:r>
      <w:r w:rsidR="00D92BF0">
        <w:rPr>
          <w:rFonts w:ascii="TimesNewRomanPSMT" w:hAnsi="TimesNewRomanPSMT" w:cs="TimesNewRomanPSMT"/>
        </w:rPr>
        <w:t xml:space="preserve">OPC </w:t>
      </w:r>
      <w:r w:rsidR="004A7EB9">
        <w:rPr>
          <w:rFonts w:ascii="TimesNewRomanPSMT" w:hAnsi="TimesNewRomanPSMT" w:cs="TimesNewRomanPSMT"/>
        </w:rPr>
        <w:t>suggested</w:t>
      </w:r>
      <w:r w:rsidR="00D92BF0">
        <w:rPr>
          <w:rFonts w:ascii="TimesNewRomanPSMT" w:hAnsi="TimesNewRomanPSMT" w:cs="TimesNewRomanPSMT"/>
        </w:rPr>
        <w:t xml:space="preserve"> the inclusion of the phrase “</w:t>
      </w:r>
      <w:r w:rsidR="00D92BF0">
        <w:t>or with the financial assistance of its parent company” after the word “utility</w:t>
      </w:r>
      <w:r w:rsidR="007F2578">
        <w:t>,</w:t>
      </w:r>
      <w:r w:rsidR="00D92BF0">
        <w:t>” as there are several small utilities that reflect net operating losses on their annual reports on a standalone basis and</w:t>
      </w:r>
      <w:r w:rsidR="000F7DB8">
        <w:t>/or</w:t>
      </w:r>
      <w:r w:rsidR="00D92BF0">
        <w:t xml:space="preserve"> their parent is the only reason the utilities are able to pay all their debts and make plant improvements.  Additionally, OPC recommends “the rule should include an objective measure for determining whether the acquired utility is insolvent or unable to service its debt obligations, </w:t>
      </w:r>
      <w:r w:rsidR="00D92BF0" w:rsidRPr="002F63D9">
        <w:t>such as a debt service coverage ratio of less than 1 or some other certain level or measure</w:t>
      </w:r>
      <w:r w:rsidR="00D92BF0">
        <w:t>. This change would ensure that financial distress to the owners of the acquired utility was real and not just a matter of the way books are kept.”</w:t>
      </w:r>
    </w:p>
    <w:p w:rsidR="00D92BF0" w:rsidRDefault="00D92BF0" w:rsidP="00D92BF0">
      <w:pPr>
        <w:autoSpaceDE w:val="0"/>
        <w:autoSpaceDN w:val="0"/>
        <w:adjustRightInd w:val="0"/>
        <w:jc w:val="both"/>
      </w:pPr>
    </w:p>
    <w:p w:rsidR="00D92BF0" w:rsidRDefault="00D92BF0" w:rsidP="00D92BF0">
      <w:pPr>
        <w:autoSpaceDE w:val="0"/>
        <w:autoSpaceDN w:val="0"/>
        <w:adjustRightInd w:val="0"/>
        <w:jc w:val="both"/>
      </w:pPr>
      <w:r>
        <w:t>CSWR, in response, states “[w]hether there is a parent that can provide financial support does not change the fact that the utility is operating in an unsustainable manner because it cannot meet the financial obligations attendant to providing utility service.”</w:t>
      </w:r>
    </w:p>
    <w:p w:rsidR="004A7EB9" w:rsidRDefault="004A7EB9" w:rsidP="00D92BF0">
      <w:pPr>
        <w:autoSpaceDE w:val="0"/>
        <w:autoSpaceDN w:val="0"/>
        <w:adjustRightInd w:val="0"/>
        <w:jc w:val="both"/>
      </w:pPr>
    </w:p>
    <w:p w:rsidR="00D328AE" w:rsidRDefault="004A7EB9" w:rsidP="00D92BF0">
      <w:pPr>
        <w:autoSpaceDE w:val="0"/>
        <w:autoSpaceDN w:val="0"/>
        <w:adjustRightInd w:val="0"/>
        <w:jc w:val="both"/>
      </w:pPr>
      <w:r>
        <w:t xml:space="preserve">Staff agrees with CSWR and recommends </w:t>
      </w:r>
      <w:r w:rsidR="00C16A6F">
        <w:t xml:space="preserve">approval of </w:t>
      </w:r>
      <w:r>
        <w:t xml:space="preserve">the </w:t>
      </w:r>
      <w:r w:rsidR="00C16A6F">
        <w:t xml:space="preserve">rule </w:t>
      </w:r>
      <w:r>
        <w:t xml:space="preserve">language in subsections (1), </w:t>
      </w:r>
      <w:r w:rsidR="00113EFC">
        <w:t>which</w:t>
      </w:r>
      <w:r w:rsidR="003A0D9F">
        <w:t xml:space="preserve"> defin</w:t>
      </w:r>
      <w:r w:rsidR="00113EFC">
        <w:t>es</w:t>
      </w:r>
      <w:r w:rsidR="003A0D9F">
        <w:t xml:space="preserve"> one of the two means of establishing when a utility is non-viable, i.e., </w:t>
      </w:r>
      <w:r>
        <w:t xml:space="preserve">a utility </w:t>
      </w:r>
      <w:r w:rsidR="00272FB1">
        <w:t xml:space="preserve">that </w:t>
      </w:r>
      <w:r>
        <w:t>is insolvent or unable to service its debt</w:t>
      </w:r>
      <w:r w:rsidR="00031162">
        <w:t>.</w:t>
      </w:r>
      <w:r w:rsidR="00D328AE">
        <w:t xml:space="preserve"> </w:t>
      </w:r>
      <w:r w:rsidR="007A78A5">
        <w:t xml:space="preserve"> OPC’s suggestion of incorporating a more explicit</w:t>
      </w:r>
      <w:r w:rsidR="008D193D">
        <w:t xml:space="preserve"> </w:t>
      </w:r>
      <w:r w:rsidR="007A78A5">
        <w:t xml:space="preserve">definition of insolvency </w:t>
      </w:r>
      <w:r w:rsidR="00814751">
        <w:t>such as</w:t>
      </w:r>
      <w:r w:rsidR="007A78A5">
        <w:t xml:space="preserve"> a debt service </w:t>
      </w:r>
      <w:r w:rsidR="008D193D">
        <w:t xml:space="preserve">coverage </w:t>
      </w:r>
      <w:r w:rsidR="007A78A5">
        <w:t xml:space="preserve">ratio of less than 1 </w:t>
      </w:r>
      <w:r w:rsidR="00CB413D">
        <w:t>is not recommended</w:t>
      </w:r>
      <w:r w:rsidR="007A78A5">
        <w:t xml:space="preserve"> because</w:t>
      </w:r>
      <w:r w:rsidR="00CB413D">
        <w:t xml:space="preserve"> </w:t>
      </w:r>
      <w:r w:rsidR="0020510D">
        <w:t>it is just one of potentially many factors that may need to be considered depending on the circumstances.</w:t>
      </w:r>
      <w:r w:rsidR="00D328AE">
        <w:t xml:space="preserve"> </w:t>
      </w:r>
    </w:p>
    <w:p w:rsidR="00D328AE" w:rsidRDefault="00D328AE" w:rsidP="00D92BF0">
      <w:pPr>
        <w:autoSpaceDE w:val="0"/>
        <w:autoSpaceDN w:val="0"/>
        <w:adjustRightInd w:val="0"/>
        <w:jc w:val="both"/>
      </w:pPr>
    </w:p>
    <w:p w:rsidR="00D805B9" w:rsidRDefault="007A78A5" w:rsidP="00A45FAD">
      <w:pPr>
        <w:pStyle w:val="Second-LevelSubheading"/>
        <w:ind w:left="0"/>
        <w:rPr>
          <w:rFonts w:eastAsiaTheme="minorHAnsi" w:cstheme="minorBidi"/>
          <w:szCs w:val="22"/>
          <w:u w:val="single"/>
        </w:rPr>
      </w:pPr>
      <w:r>
        <w:rPr>
          <w:rFonts w:eastAsiaTheme="minorHAnsi"/>
          <w:i w:val="0"/>
        </w:rPr>
        <w:t>Subsection (2)</w:t>
      </w:r>
      <w:r w:rsidR="00BE1C2D" w:rsidRPr="00AA3B24">
        <w:rPr>
          <w:rFonts w:eastAsiaTheme="minorHAnsi"/>
          <w:i w:val="0"/>
        </w:rPr>
        <w:t xml:space="preserve"> - Petition</w:t>
      </w:r>
    </w:p>
    <w:p w:rsidR="000C66CF" w:rsidRDefault="000C66CF" w:rsidP="00D805B9">
      <w:pPr>
        <w:autoSpaceDE w:val="0"/>
        <w:autoSpaceDN w:val="0"/>
        <w:adjustRightInd w:val="0"/>
        <w:jc w:val="both"/>
        <w:rPr>
          <w:rFonts w:eastAsiaTheme="minorHAnsi" w:cstheme="minorBidi"/>
          <w:szCs w:val="22"/>
        </w:rPr>
      </w:pPr>
      <w:r>
        <w:rPr>
          <w:rFonts w:eastAsiaTheme="minorHAnsi" w:cstheme="minorBidi"/>
          <w:szCs w:val="22"/>
        </w:rPr>
        <w:t xml:space="preserve">This subsection </w:t>
      </w:r>
      <w:r w:rsidR="00A34CD2">
        <w:rPr>
          <w:rFonts w:eastAsiaTheme="minorHAnsi" w:cstheme="minorBidi"/>
          <w:szCs w:val="22"/>
        </w:rPr>
        <w:t>provid</w:t>
      </w:r>
      <w:r>
        <w:rPr>
          <w:rFonts w:eastAsiaTheme="minorHAnsi" w:cstheme="minorBidi"/>
          <w:szCs w:val="22"/>
        </w:rPr>
        <w:t xml:space="preserve">es the process by which a water or wastewater utility may petition the Commission to </w:t>
      </w:r>
      <w:r w:rsidR="00A34CD2">
        <w:rPr>
          <w:rFonts w:eastAsiaTheme="minorHAnsi" w:cstheme="minorBidi"/>
          <w:szCs w:val="22"/>
        </w:rPr>
        <w:t>establish</w:t>
      </w:r>
      <w:r>
        <w:rPr>
          <w:rFonts w:eastAsiaTheme="minorHAnsi" w:cstheme="minorBidi"/>
          <w:szCs w:val="22"/>
        </w:rPr>
        <w:t xml:space="preserve"> an acquisition adjustment</w:t>
      </w:r>
      <w:r w:rsidR="006C0734">
        <w:rPr>
          <w:rFonts w:eastAsiaTheme="minorHAnsi" w:cstheme="minorBidi"/>
          <w:szCs w:val="22"/>
        </w:rPr>
        <w:t>,</w:t>
      </w:r>
      <w:r>
        <w:rPr>
          <w:rFonts w:eastAsiaTheme="minorHAnsi" w:cstheme="minorBidi"/>
          <w:szCs w:val="22"/>
        </w:rPr>
        <w:t xml:space="preserve"> for either a viable or non</w:t>
      </w:r>
      <w:r w:rsidR="005B491F">
        <w:rPr>
          <w:rFonts w:eastAsiaTheme="minorHAnsi" w:cstheme="minorBidi"/>
          <w:szCs w:val="22"/>
        </w:rPr>
        <w:t>-viable utility</w:t>
      </w:r>
      <w:r w:rsidR="006C0734">
        <w:rPr>
          <w:rFonts w:eastAsiaTheme="minorHAnsi" w:cstheme="minorBidi"/>
          <w:szCs w:val="22"/>
        </w:rPr>
        <w:t>,</w:t>
      </w:r>
      <w:r w:rsidR="005B491F">
        <w:rPr>
          <w:rFonts w:eastAsiaTheme="minorHAnsi" w:cstheme="minorBidi"/>
          <w:szCs w:val="22"/>
        </w:rPr>
        <w:t xml:space="preserve"> to include some or all of a positive acquisition adjustment in the acquired utility’s rate base; provides that an acquiring utility may seek such approval at the time </w:t>
      </w:r>
      <w:r w:rsidR="00EE0B89">
        <w:rPr>
          <w:rFonts w:eastAsiaTheme="minorHAnsi" w:cstheme="minorBidi"/>
          <w:szCs w:val="22"/>
        </w:rPr>
        <w:t xml:space="preserve">of </w:t>
      </w:r>
      <w:r w:rsidR="005B491F">
        <w:rPr>
          <w:rFonts w:eastAsiaTheme="minorHAnsi" w:cstheme="minorBidi"/>
          <w:szCs w:val="22"/>
        </w:rPr>
        <w:t xml:space="preserve">transfer </w:t>
      </w:r>
      <w:r w:rsidR="00EE0B89">
        <w:rPr>
          <w:rFonts w:eastAsiaTheme="minorHAnsi" w:cstheme="minorBidi"/>
          <w:szCs w:val="22"/>
        </w:rPr>
        <w:t xml:space="preserve">of </w:t>
      </w:r>
      <w:r w:rsidR="005B491F">
        <w:rPr>
          <w:rFonts w:eastAsiaTheme="minorHAnsi" w:cstheme="minorBidi"/>
          <w:szCs w:val="22"/>
        </w:rPr>
        <w:t xml:space="preserve">the certificate of authorization or anytime within 3 years from Commission’s transfer order; </w:t>
      </w:r>
      <w:r w:rsidR="006C0734">
        <w:rPr>
          <w:rFonts w:eastAsiaTheme="minorHAnsi" w:cstheme="minorBidi"/>
          <w:szCs w:val="22"/>
        </w:rPr>
        <w:t>authorizes a</w:t>
      </w:r>
      <w:r w:rsidR="005B491F">
        <w:rPr>
          <w:rFonts w:eastAsiaTheme="minorHAnsi" w:cstheme="minorBidi"/>
          <w:szCs w:val="22"/>
        </w:rPr>
        <w:t xml:space="preserve"> utility </w:t>
      </w:r>
      <w:r w:rsidR="006C0734">
        <w:rPr>
          <w:rFonts w:eastAsiaTheme="minorHAnsi" w:cstheme="minorBidi"/>
          <w:szCs w:val="22"/>
        </w:rPr>
        <w:t>to</w:t>
      </w:r>
      <w:r w:rsidR="005B491F">
        <w:rPr>
          <w:rFonts w:eastAsiaTheme="minorHAnsi" w:cstheme="minorBidi"/>
          <w:szCs w:val="22"/>
        </w:rPr>
        <w:t xml:space="preserve"> request </w:t>
      </w:r>
      <w:r w:rsidR="00EE0B89">
        <w:rPr>
          <w:rFonts w:eastAsiaTheme="minorHAnsi" w:cstheme="minorBidi"/>
          <w:szCs w:val="22"/>
        </w:rPr>
        <w:t xml:space="preserve">an extension of </w:t>
      </w:r>
      <w:r w:rsidR="005B491F">
        <w:rPr>
          <w:rFonts w:eastAsiaTheme="minorHAnsi" w:cstheme="minorBidi"/>
          <w:szCs w:val="22"/>
        </w:rPr>
        <w:t xml:space="preserve">the 3-year period </w:t>
      </w:r>
      <w:r w:rsidR="00EE0B89">
        <w:rPr>
          <w:rFonts w:eastAsiaTheme="minorHAnsi" w:cstheme="minorBidi"/>
          <w:szCs w:val="22"/>
        </w:rPr>
        <w:t>for</w:t>
      </w:r>
      <w:r w:rsidR="005B491F">
        <w:rPr>
          <w:rFonts w:eastAsiaTheme="minorHAnsi" w:cstheme="minorBidi"/>
          <w:szCs w:val="22"/>
        </w:rPr>
        <w:t xml:space="preserve"> good cause; and </w:t>
      </w:r>
      <w:r w:rsidR="00EE0B89">
        <w:rPr>
          <w:rFonts w:eastAsiaTheme="minorHAnsi" w:cstheme="minorBidi"/>
          <w:szCs w:val="22"/>
        </w:rPr>
        <w:t xml:space="preserve">provides </w:t>
      </w:r>
      <w:r w:rsidR="005B491F">
        <w:rPr>
          <w:rFonts w:eastAsiaTheme="minorHAnsi" w:cstheme="minorBidi"/>
          <w:szCs w:val="22"/>
        </w:rPr>
        <w:t>the petition may be made as a separate filing or as part of a rate proceeding.</w:t>
      </w:r>
    </w:p>
    <w:p w:rsidR="000C66CF" w:rsidRDefault="000C66CF" w:rsidP="00D805B9">
      <w:pPr>
        <w:autoSpaceDE w:val="0"/>
        <w:autoSpaceDN w:val="0"/>
        <w:adjustRightInd w:val="0"/>
        <w:jc w:val="both"/>
        <w:rPr>
          <w:rFonts w:eastAsiaTheme="minorHAnsi" w:cstheme="minorBidi"/>
          <w:szCs w:val="22"/>
        </w:rPr>
      </w:pPr>
    </w:p>
    <w:p w:rsidR="007F2578" w:rsidRDefault="007F2578" w:rsidP="007F2578">
      <w:pPr>
        <w:pStyle w:val="Second-LevelSubheading"/>
        <w:rPr>
          <w:rFonts w:eastAsiaTheme="minorHAnsi" w:cstheme="minorBidi"/>
          <w:szCs w:val="22"/>
        </w:rPr>
      </w:pPr>
      <w:r>
        <w:rPr>
          <w:rFonts w:eastAsiaTheme="minorHAnsi"/>
        </w:rPr>
        <w:t>Stakeholder Comments</w:t>
      </w:r>
    </w:p>
    <w:p w:rsidR="00D805B9" w:rsidRDefault="00D805B9" w:rsidP="00D805B9">
      <w:pPr>
        <w:autoSpaceDE w:val="0"/>
        <w:autoSpaceDN w:val="0"/>
        <w:adjustRightInd w:val="0"/>
        <w:jc w:val="both"/>
      </w:pPr>
      <w:r>
        <w:rPr>
          <w:rFonts w:eastAsiaTheme="minorHAnsi" w:cstheme="minorBidi"/>
          <w:szCs w:val="22"/>
        </w:rPr>
        <w:t xml:space="preserve">OPC </w:t>
      </w:r>
      <w:r w:rsidR="001A22A0">
        <w:rPr>
          <w:rFonts w:eastAsiaTheme="minorHAnsi" w:cstheme="minorBidi"/>
          <w:szCs w:val="22"/>
        </w:rPr>
        <w:t>suggested</w:t>
      </w:r>
      <w:r>
        <w:rPr>
          <w:rFonts w:eastAsiaTheme="minorHAnsi" w:cstheme="minorBidi"/>
          <w:szCs w:val="22"/>
        </w:rPr>
        <w:t xml:space="preserve"> the 3-year time period should </w:t>
      </w:r>
      <w:r w:rsidR="001A22A0">
        <w:rPr>
          <w:rFonts w:eastAsiaTheme="minorHAnsi" w:cstheme="minorBidi"/>
          <w:szCs w:val="22"/>
        </w:rPr>
        <w:t xml:space="preserve">not </w:t>
      </w:r>
      <w:r>
        <w:rPr>
          <w:rFonts w:eastAsiaTheme="minorHAnsi" w:cstheme="minorBidi"/>
          <w:szCs w:val="22"/>
        </w:rPr>
        <w:t xml:space="preserve">be </w:t>
      </w:r>
      <w:r w:rsidR="001A22A0">
        <w:rPr>
          <w:rFonts w:eastAsiaTheme="minorHAnsi" w:cstheme="minorBidi"/>
          <w:szCs w:val="22"/>
        </w:rPr>
        <w:t>included, reasoning</w:t>
      </w:r>
      <w:r>
        <w:rPr>
          <w:rFonts w:eastAsiaTheme="minorHAnsi" w:cstheme="minorBidi"/>
          <w:szCs w:val="22"/>
        </w:rPr>
        <w:t xml:space="preserve"> “</w:t>
      </w:r>
      <w:r>
        <w:t>the customers of the utility deserve to know how their rates will change due to a positive acquisition adjustment at the time of transfer, and that the customers’ point of entry to object to a transfer is when the transfer is before the Commission for approval, not at a future time.”  OPC further reasoned “there is potential risk exposure to customers by not addressing an acquisition at the time of the transfer. If the acquiring utility is later denied a portion or all of its requested positive acquisition adjustment, it could result in a utility management decision to divest the acquired assets and/or delay planned plant improvements, leaving captive customers in limbo and creating the opposite effect of worsening service.</w:t>
      </w:r>
      <w:r w:rsidR="00EE0B89">
        <w:t>”</w:t>
      </w:r>
      <w:r>
        <w:t xml:space="preserve">  Lastly, OPC </w:t>
      </w:r>
      <w:r w:rsidR="00EE0B89">
        <w:t>suggested</w:t>
      </w:r>
      <w:r>
        <w:t xml:space="preserve"> the acquiring utility be required to submit its petition in conjunction with its transfer application</w:t>
      </w:r>
      <w:r w:rsidR="00EE0B89">
        <w:t>.</w:t>
      </w:r>
    </w:p>
    <w:p w:rsidR="00D805B9" w:rsidRDefault="00D805B9" w:rsidP="00D805B9">
      <w:pPr>
        <w:autoSpaceDE w:val="0"/>
        <w:autoSpaceDN w:val="0"/>
        <w:adjustRightInd w:val="0"/>
        <w:jc w:val="both"/>
      </w:pPr>
    </w:p>
    <w:p w:rsidR="00D805B9" w:rsidRDefault="00D805B9" w:rsidP="00D805B9">
      <w:pPr>
        <w:autoSpaceDE w:val="0"/>
        <w:autoSpaceDN w:val="0"/>
        <w:adjustRightInd w:val="0"/>
        <w:jc w:val="both"/>
      </w:pPr>
      <w:r>
        <w:t>CSWR state</w:t>
      </w:r>
      <w:r w:rsidR="00EE0B89">
        <w:t>d</w:t>
      </w:r>
      <w:r>
        <w:t xml:space="preserve"> an acquiring </w:t>
      </w:r>
      <w:r w:rsidRPr="00444799">
        <w:rPr>
          <w:rFonts w:ascii="TimesNewRomanPSMT" w:hAnsi="TimesNewRomanPSMT" w:cs="TimesNewRomanPSMT"/>
        </w:rPr>
        <w:t>utility should</w:t>
      </w:r>
      <w:r>
        <w:rPr>
          <w:rFonts w:ascii="TimesNewRomanPSMT" w:hAnsi="TimesNewRomanPSMT" w:cs="TimesNewRomanPSMT"/>
        </w:rPr>
        <w:t xml:space="preserve"> </w:t>
      </w:r>
      <w:r w:rsidRPr="00444799">
        <w:rPr>
          <w:rFonts w:ascii="TimesNewRomanPSMT" w:hAnsi="TimesNewRomanPSMT" w:cs="TimesNewRomanPSMT"/>
        </w:rPr>
        <w:t>have the option of filing a request for an acquisition adjustment at the time of</w:t>
      </w:r>
      <w:r>
        <w:rPr>
          <w:rFonts w:ascii="TimesNewRomanPSMT" w:hAnsi="TimesNewRomanPSMT" w:cs="TimesNewRomanPSMT"/>
        </w:rPr>
        <w:t xml:space="preserve"> </w:t>
      </w:r>
      <w:r w:rsidRPr="00444799">
        <w:rPr>
          <w:rFonts w:ascii="TimesNewRomanPSMT" w:hAnsi="TimesNewRomanPSMT" w:cs="TimesNewRomanPSMT"/>
        </w:rPr>
        <w:t>transfer or at a later date after th</w:t>
      </w:r>
      <w:r>
        <w:rPr>
          <w:rFonts w:ascii="TimesNewRomanPSMT" w:hAnsi="TimesNewRomanPSMT" w:cs="TimesNewRomanPSMT"/>
        </w:rPr>
        <w:t xml:space="preserve">e approval </w:t>
      </w:r>
      <w:r w:rsidR="00994098">
        <w:rPr>
          <w:rFonts w:ascii="TimesNewRomanPSMT" w:hAnsi="TimesNewRomanPSMT" w:cs="TimesNewRomanPSMT"/>
        </w:rPr>
        <w:t>of</w:t>
      </w:r>
      <w:r>
        <w:rPr>
          <w:rFonts w:ascii="TimesNewRomanPSMT" w:hAnsi="TimesNewRomanPSMT" w:cs="TimesNewRomanPSMT"/>
        </w:rPr>
        <w:t xml:space="preserve"> the transfer, believing that </w:t>
      </w:r>
      <w:r w:rsidRPr="00444799">
        <w:rPr>
          <w:rFonts w:ascii="TimesNewRomanPSMT" w:hAnsi="TimesNewRomanPSMT" w:cs="TimesNewRomanPSMT"/>
        </w:rPr>
        <w:t>a</w:t>
      </w:r>
      <w:r>
        <w:rPr>
          <w:rFonts w:ascii="TimesNewRomanPSMT" w:hAnsi="TimesNewRomanPSMT" w:cs="TimesNewRomanPSMT"/>
        </w:rPr>
        <w:t xml:space="preserve"> </w:t>
      </w:r>
      <w:r w:rsidRPr="00444799">
        <w:rPr>
          <w:rFonts w:ascii="TimesNewRomanPSMT" w:hAnsi="TimesNewRomanPSMT" w:cs="TimesNewRomanPSMT"/>
        </w:rPr>
        <w:t>utility should have the opportunity to operate a system for a period of time after</w:t>
      </w:r>
      <w:r>
        <w:rPr>
          <w:rFonts w:ascii="TimesNewRomanPSMT" w:hAnsi="TimesNewRomanPSMT" w:cs="TimesNewRomanPSMT"/>
        </w:rPr>
        <w:t xml:space="preserve"> </w:t>
      </w:r>
      <w:r w:rsidRPr="00444799">
        <w:rPr>
          <w:rFonts w:ascii="TimesNewRomanPSMT" w:hAnsi="TimesNewRomanPSMT" w:cs="TimesNewRomanPSMT"/>
        </w:rPr>
        <w:t>closing to identify needed improvements and to present a more complete picture of</w:t>
      </w:r>
      <w:r>
        <w:rPr>
          <w:rFonts w:ascii="TimesNewRomanPSMT" w:hAnsi="TimesNewRomanPSMT" w:cs="TimesNewRomanPSMT"/>
        </w:rPr>
        <w:t xml:space="preserve"> </w:t>
      </w:r>
      <w:r w:rsidRPr="00444799">
        <w:rPr>
          <w:rFonts w:ascii="TimesNewRomanPSMT" w:hAnsi="TimesNewRomanPSMT" w:cs="TimesNewRomanPSMT"/>
        </w:rPr>
        <w:t>the benefits to be realized by the acquisition</w:t>
      </w:r>
      <w:r>
        <w:rPr>
          <w:rFonts w:ascii="TimesNewRomanPSMT" w:hAnsi="TimesNewRomanPSMT" w:cs="TimesNewRomanPSMT"/>
        </w:rPr>
        <w:t xml:space="preserve">, </w:t>
      </w:r>
      <w:r w:rsidR="00B6274E">
        <w:rPr>
          <w:rFonts w:ascii="TimesNewRomanPSMT" w:hAnsi="TimesNewRomanPSMT" w:cs="TimesNewRomanPSMT"/>
        </w:rPr>
        <w:t xml:space="preserve">adding that </w:t>
      </w:r>
      <w:r>
        <w:rPr>
          <w:rFonts w:ascii="TimesNewRomanPSMT" w:hAnsi="TimesNewRomanPSMT" w:cs="TimesNewRomanPSMT"/>
        </w:rPr>
        <w:t>a</w:t>
      </w:r>
      <w:r w:rsidRPr="00D114F1">
        <w:rPr>
          <w:rFonts w:ascii="TimesNewRomanPSMT" w:hAnsi="TimesNewRomanPSMT" w:cs="TimesNewRomanPSMT"/>
        </w:rPr>
        <w:t>llowing a request for an acquisition</w:t>
      </w:r>
      <w:r>
        <w:rPr>
          <w:rFonts w:ascii="TimesNewRomanPSMT" w:hAnsi="TimesNewRomanPSMT" w:cs="TimesNewRomanPSMT"/>
        </w:rPr>
        <w:t xml:space="preserve"> </w:t>
      </w:r>
      <w:r w:rsidRPr="00D114F1">
        <w:rPr>
          <w:rFonts w:ascii="TimesNewRomanPSMT" w:hAnsi="TimesNewRomanPSMT" w:cs="TimesNewRomanPSMT"/>
        </w:rPr>
        <w:t>adjustment to be made after a transfer does not harm customers</w:t>
      </w:r>
      <w:r>
        <w:rPr>
          <w:rFonts w:ascii="TimesNewRomanPSMT" w:hAnsi="TimesNewRomanPSMT" w:cs="TimesNewRomanPSMT"/>
        </w:rPr>
        <w:t xml:space="preserve"> who </w:t>
      </w:r>
      <w:r w:rsidRPr="00D114F1">
        <w:rPr>
          <w:rFonts w:ascii="TimesNewRomanPSMT" w:hAnsi="TimesNewRomanPSMT" w:cs="TimesNewRomanPSMT"/>
        </w:rPr>
        <w:t>will</w:t>
      </w:r>
      <w:r>
        <w:rPr>
          <w:rFonts w:ascii="TimesNewRomanPSMT" w:hAnsi="TimesNewRomanPSMT" w:cs="TimesNewRomanPSMT"/>
        </w:rPr>
        <w:t xml:space="preserve"> </w:t>
      </w:r>
      <w:r w:rsidRPr="00D114F1">
        <w:rPr>
          <w:rFonts w:ascii="TimesNewRomanPSMT" w:hAnsi="TimesNewRomanPSMT" w:cs="TimesNewRomanPSMT"/>
        </w:rPr>
        <w:t>still have the ability to object to an acquisition adjustment when a utility files a</w:t>
      </w:r>
      <w:r>
        <w:rPr>
          <w:rFonts w:ascii="TimesNewRomanPSMT" w:hAnsi="TimesNewRomanPSMT" w:cs="TimesNewRomanPSMT"/>
        </w:rPr>
        <w:t xml:space="preserve"> </w:t>
      </w:r>
      <w:r w:rsidRPr="00D114F1">
        <w:rPr>
          <w:rFonts w:ascii="TimesNewRomanPSMT" w:hAnsi="TimesNewRomanPSMT" w:cs="TimesNewRomanPSMT"/>
        </w:rPr>
        <w:t xml:space="preserve">request for an adjustment. </w:t>
      </w:r>
    </w:p>
    <w:p w:rsidR="00D805B9" w:rsidRDefault="00D805B9" w:rsidP="00D805B9">
      <w:pPr>
        <w:autoSpaceDE w:val="0"/>
        <w:autoSpaceDN w:val="0"/>
        <w:adjustRightInd w:val="0"/>
      </w:pPr>
    </w:p>
    <w:p w:rsidR="00D805B9" w:rsidRDefault="00D805B9" w:rsidP="00D805B9">
      <w:pPr>
        <w:autoSpaceDE w:val="0"/>
        <w:autoSpaceDN w:val="0"/>
        <w:adjustRightInd w:val="0"/>
        <w:jc w:val="both"/>
        <w:rPr>
          <w:rFonts w:ascii="TimesNewRomanPSMT" w:hAnsi="TimesNewRomanPSMT" w:cs="TimesNewRomanPSMT"/>
        </w:rPr>
      </w:pPr>
      <w:r>
        <w:t>SWS state</w:t>
      </w:r>
      <w:r w:rsidR="00B6274E">
        <w:t>d</w:t>
      </w:r>
      <w:r>
        <w:t xml:space="preserve"> </w:t>
      </w:r>
      <w:r>
        <w:rPr>
          <w:rFonts w:ascii="TimesNewRomanPSMT" w:hAnsi="TimesNewRomanPSMT" w:cs="TimesNewRomanPSMT"/>
        </w:rPr>
        <w:t xml:space="preserve">the timing of application for an acquisition adjustment being limited to </w:t>
      </w:r>
      <w:r w:rsidR="00EE0B89">
        <w:rPr>
          <w:rFonts w:ascii="TimesNewRomanPSMT" w:hAnsi="TimesNewRomanPSMT" w:cs="TimesNewRomanPSMT"/>
        </w:rPr>
        <w:t>3</w:t>
      </w:r>
      <w:r>
        <w:rPr>
          <w:rFonts w:ascii="TimesNewRomanPSMT" w:hAnsi="TimesNewRomanPSMT" w:cs="TimesNewRomanPSMT"/>
        </w:rPr>
        <w:t xml:space="preserve"> years from the transfer is an arbitrary and unnecessary structure that could add to the regulatory burden of the parties to the extent that requiring a filing by a certain date, as opposed to the preferred timing of inclusion in a </w:t>
      </w:r>
      <w:r w:rsidR="00EE0B89">
        <w:rPr>
          <w:rFonts w:ascii="TimesNewRomanPSMT" w:hAnsi="TimesNewRomanPSMT" w:cs="TimesNewRomanPSMT"/>
        </w:rPr>
        <w:t>subsequent</w:t>
      </w:r>
      <w:r>
        <w:rPr>
          <w:rFonts w:ascii="TimesNewRomanPSMT" w:hAnsi="TimesNewRomanPSMT" w:cs="TimesNewRomanPSMT"/>
        </w:rPr>
        <w:t xml:space="preserve"> base rate case, does not support administrative efficiency and the more natural demonstration of benefits based on evidence available and commonly presented in a ratemaking proceeding.</w:t>
      </w:r>
      <w:r w:rsidR="00FC5BB3">
        <w:rPr>
          <w:rFonts w:ascii="TimesNewRomanPSMT" w:hAnsi="TimesNewRomanPSMT" w:cs="TimesNewRomanPSMT"/>
        </w:rPr>
        <w:t xml:space="preserve">  However, nothing in the amended rule prevents a utility from filing its petition as a part of a rate case proceeding within 3 years of the transfer.</w:t>
      </w:r>
    </w:p>
    <w:p w:rsidR="00D805B9" w:rsidRDefault="00D805B9" w:rsidP="00D805B9">
      <w:pPr>
        <w:autoSpaceDE w:val="0"/>
        <w:autoSpaceDN w:val="0"/>
        <w:adjustRightInd w:val="0"/>
        <w:rPr>
          <w:rFonts w:ascii="TimesNewRomanPSMT" w:hAnsi="TimesNewRomanPSMT" w:cs="TimesNewRomanPSMT"/>
        </w:rPr>
      </w:pPr>
    </w:p>
    <w:p w:rsidR="00D805B9" w:rsidRDefault="00D805B9" w:rsidP="00D805B9">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Staff </w:t>
      </w:r>
      <w:r w:rsidR="001A22A0">
        <w:rPr>
          <w:rFonts w:ascii="TimesNewRomanPSMT" w:hAnsi="TimesNewRomanPSMT" w:cs="TimesNewRomanPSMT"/>
        </w:rPr>
        <w:t xml:space="preserve">agrees with </w:t>
      </w:r>
      <w:r w:rsidR="001418D2">
        <w:rPr>
          <w:rFonts w:ascii="TimesNewRomanPSMT" w:hAnsi="TimesNewRomanPSMT" w:cs="TimesNewRomanPSMT"/>
        </w:rPr>
        <w:t>the rationale of CSWR which supports a reasonable timeframe to seek an acquisition adjustment after the time of transfer.  The</w:t>
      </w:r>
      <w:r w:rsidR="00762307">
        <w:rPr>
          <w:rFonts w:ascii="TimesNewRomanPSMT" w:hAnsi="TimesNewRomanPSMT" w:cs="TimesNewRomanPSMT"/>
        </w:rPr>
        <w:t xml:space="preserve"> acquiring utility</w:t>
      </w:r>
      <w:r w:rsidR="001C31FC">
        <w:rPr>
          <w:rFonts w:ascii="TimesNewRomanPSMT" w:hAnsi="TimesNewRomanPSMT" w:cs="TimesNewRomanPSMT"/>
        </w:rPr>
        <w:t xml:space="preserve"> </w:t>
      </w:r>
      <w:r w:rsidR="001A22A0">
        <w:t>should have</w:t>
      </w:r>
      <w:r>
        <w:t xml:space="preserve"> the flexibility to submit its petition at the time of transfer or anytime within </w:t>
      </w:r>
      <w:r w:rsidR="00EE0B89">
        <w:t>3</w:t>
      </w:r>
      <w:r>
        <w:t xml:space="preserve"> years </w:t>
      </w:r>
      <w:r w:rsidR="00762307">
        <w:t>thereafter</w:t>
      </w:r>
      <w:r w:rsidR="001418D2">
        <w:t xml:space="preserve"> as three</w:t>
      </w:r>
      <w:r w:rsidR="00FC5BB3">
        <w:t xml:space="preserve"> years is </w:t>
      </w:r>
      <w:r w:rsidR="001418D2">
        <w:t>a reasonable</w:t>
      </w:r>
      <w:r w:rsidR="00FC5BB3">
        <w:t xml:space="preserve"> time</w:t>
      </w:r>
      <w:r>
        <w:t xml:space="preserve"> </w:t>
      </w:r>
      <w:r w:rsidR="00762307">
        <w:t xml:space="preserve">for the utility </w:t>
      </w:r>
      <w:r>
        <w:t xml:space="preserve">to operate the acquired system after transfer and closing and  </w:t>
      </w:r>
      <w:r w:rsidRPr="00444799">
        <w:rPr>
          <w:rFonts w:ascii="TimesNewRomanPSMT" w:hAnsi="TimesNewRomanPSMT" w:cs="TimesNewRomanPSMT"/>
        </w:rPr>
        <w:t>identify needed improvements</w:t>
      </w:r>
      <w:r w:rsidR="00762307">
        <w:rPr>
          <w:rFonts w:ascii="TimesNewRomanPSMT" w:hAnsi="TimesNewRomanPSMT" w:cs="TimesNewRomanPSMT"/>
        </w:rPr>
        <w:t xml:space="preserve"> </w:t>
      </w:r>
      <w:r w:rsidRPr="00444799">
        <w:rPr>
          <w:rFonts w:ascii="TimesNewRomanPSMT" w:hAnsi="TimesNewRomanPSMT" w:cs="TimesNewRomanPSMT"/>
        </w:rPr>
        <w:t xml:space="preserve">to present a more </w:t>
      </w:r>
      <w:r w:rsidR="001418D2">
        <w:rPr>
          <w:rFonts w:ascii="TimesNewRomanPSMT" w:hAnsi="TimesNewRomanPSMT" w:cs="TimesNewRomanPSMT"/>
        </w:rPr>
        <w:t xml:space="preserve">accurate and </w:t>
      </w:r>
      <w:r w:rsidRPr="00444799">
        <w:rPr>
          <w:rFonts w:ascii="TimesNewRomanPSMT" w:hAnsi="TimesNewRomanPSMT" w:cs="TimesNewRomanPSMT"/>
        </w:rPr>
        <w:t>complete picture of</w:t>
      </w:r>
      <w:r>
        <w:rPr>
          <w:rFonts w:ascii="TimesNewRomanPSMT" w:hAnsi="TimesNewRomanPSMT" w:cs="TimesNewRomanPSMT"/>
        </w:rPr>
        <w:t xml:space="preserve"> </w:t>
      </w:r>
      <w:r w:rsidRPr="00444799">
        <w:rPr>
          <w:rFonts w:ascii="TimesNewRomanPSMT" w:hAnsi="TimesNewRomanPSMT" w:cs="TimesNewRomanPSMT"/>
        </w:rPr>
        <w:t xml:space="preserve">the benefits to be realized </w:t>
      </w:r>
      <w:r w:rsidR="00994098">
        <w:rPr>
          <w:rFonts w:ascii="TimesNewRomanPSMT" w:hAnsi="TimesNewRomanPSMT" w:cs="TimesNewRomanPSMT"/>
        </w:rPr>
        <w:t>from</w:t>
      </w:r>
      <w:r w:rsidRPr="00444799">
        <w:rPr>
          <w:rFonts w:ascii="TimesNewRomanPSMT" w:hAnsi="TimesNewRomanPSMT" w:cs="TimesNewRomanPSMT"/>
        </w:rPr>
        <w:t xml:space="preserve"> the acquisition</w:t>
      </w:r>
      <w:r>
        <w:rPr>
          <w:rFonts w:ascii="TimesNewRomanPSMT" w:hAnsi="TimesNewRomanPSMT" w:cs="TimesNewRomanPSMT"/>
        </w:rPr>
        <w:t xml:space="preserve">. </w:t>
      </w:r>
      <w:r w:rsidR="001418D2">
        <w:rPr>
          <w:rFonts w:ascii="TimesNewRomanPSMT" w:hAnsi="TimesNewRomanPSMT" w:cs="TimesNewRomanPSMT"/>
        </w:rPr>
        <w:t xml:space="preserve">Three years is also appropriate because </w:t>
      </w:r>
      <w:r w:rsidR="0068479E">
        <w:rPr>
          <w:rFonts w:ascii="TimesNewRomanPSMT" w:hAnsi="TimesNewRomanPSMT" w:cs="TimesNewRomanPSMT"/>
        </w:rPr>
        <w:t xml:space="preserve">data </w:t>
      </w:r>
      <w:r w:rsidR="001418D2">
        <w:rPr>
          <w:rFonts w:ascii="TimesNewRomanPSMT" w:hAnsi="TimesNewRomanPSMT" w:cs="TimesNewRomanPSMT"/>
        </w:rPr>
        <w:t xml:space="preserve">tends to </w:t>
      </w:r>
      <w:r w:rsidR="0068479E">
        <w:rPr>
          <w:rFonts w:ascii="TimesNewRomanPSMT" w:hAnsi="TimesNewRomanPSMT" w:cs="TimesNewRomanPSMT"/>
        </w:rPr>
        <w:t>get stale after 3 years.</w:t>
      </w:r>
      <w:r>
        <w:rPr>
          <w:rFonts w:ascii="TimesNewRomanPSMT" w:hAnsi="TimesNewRomanPSMT" w:cs="TimesNewRomanPSMT"/>
        </w:rPr>
        <w:t xml:space="preserve"> </w:t>
      </w:r>
      <w:r w:rsidR="001418D2">
        <w:rPr>
          <w:rFonts w:ascii="TimesNewRomanPSMT" w:hAnsi="TimesNewRomanPSMT" w:cs="TimesNewRomanPSMT"/>
        </w:rPr>
        <w:t xml:space="preserve"> OPC’s concern of potential exposure to customers if an acquisition is not addressed at the time of transfer is without merit as </w:t>
      </w:r>
      <w:r w:rsidR="00D404F0">
        <w:rPr>
          <w:rFonts w:ascii="TimesNewRomanPSMT" w:hAnsi="TimesNewRomanPSMT" w:cs="TimesNewRomanPSMT"/>
        </w:rPr>
        <w:t>the recommended rule language requires the acquiring utility to provide notice to customers in advance of the proceeding considering the inclusion of an acquisition adjustment. In addition, the recommended rule requires a CPVRR analysis to support the projected 5-year rate impact on customers in the case of the acquisition of viable systems. Finally, the recommended rule codifies the Commission’s existing authority to review and prospectively reduce or remove a positive acquisition adjustment if the Commission finds that customer benefits did not materialize or subsequently changed within 5 years of the order approving the acquisition adjustment.</w:t>
      </w:r>
    </w:p>
    <w:p w:rsidR="00D404F0" w:rsidRDefault="00D404F0" w:rsidP="00D805B9">
      <w:pPr>
        <w:autoSpaceDE w:val="0"/>
        <w:autoSpaceDN w:val="0"/>
        <w:adjustRightInd w:val="0"/>
        <w:jc w:val="both"/>
        <w:rPr>
          <w:rFonts w:ascii="TimesNewRomanPSMT" w:hAnsi="TimesNewRomanPSMT" w:cs="TimesNewRomanPSMT"/>
        </w:rPr>
      </w:pPr>
    </w:p>
    <w:p w:rsidR="00BE1C2D" w:rsidRPr="00AA3B24" w:rsidRDefault="00FC5BB3" w:rsidP="001A22A0">
      <w:pPr>
        <w:pStyle w:val="Second-LevelSubheading"/>
        <w:ind w:left="0"/>
        <w:rPr>
          <w:i w:val="0"/>
        </w:rPr>
      </w:pPr>
      <w:r>
        <w:rPr>
          <w:i w:val="0"/>
        </w:rPr>
        <w:t xml:space="preserve">Subsection (3) </w:t>
      </w:r>
      <w:r w:rsidR="00BE1C2D" w:rsidRPr="00AA3B24">
        <w:rPr>
          <w:i w:val="0"/>
        </w:rPr>
        <w:t>–</w:t>
      </w:r>
      <w:r>
        <w:rPr>
          <w:i w:val="0"/>
        </w:rPr>
        <w:t xml:space="preserve"> </w:t>
      </w:r>
      <w:r w:rsidR="00BE1C2D" w:rsidRPr="00AA3B24">
        <w:rPr>
          <w:i w:val="0"/>
        </w:rPr>
        <w:t>Positive Acquisition Adjustments for Non-Viable Utility</w:t>
      </w:r>
    </w:p>
    <w:p w:rsidR="00044A4A" w:rsidRDefault="00CB3119" w:rsidP="00D805B9">
      <w:pPr>
        <w:autoSpaceDE w:val="0"/>
        <w:autoSpaceDN w:val="0"/>
        <w:adjustRightInd w:val="0"/>
        <w:jc w:val="both"/>
      </w:pPr>
      <w:r>
        <w:t xml:space="preserve">This subsection </w:t>
      </w:r>
      <w:r w:rsidR="001A22A0">
        <w:t xml:space="preserve">sets forth factors the Commission will consider for a utility </w:t>
      </w:r>
      <w:r>
        <w:t>to be allowed a full or partial positive acquisition adjustment</w:t>
      </w:r>
      <w:r w:rsidR="00C07470">
        <w:t xml:space="preserve"> for a non-viable utility</w:t>
      </w:r>
      <w:r>
        <w:t>; factors consider</w:t>
      </w:r>
      <w:r w:rsidR="00611CBB">
        <w:t>ed</w:t>
      </w:r>
      <w:r>
        <w:t xml:space="preserve"> in determining whether</w:t>
      </w:r>
      <w:r w:rsidR="00994098">
        <w:t xml:space="preserve"> an</w:t>
      </w:r>
      <w:r>
        <w:t xml:space="preserve"> acquired utility</w:t>
      </w:r>
      <w:r w:rsidR="00994098">
        <w:t>’s</w:t>
      </w:r>
      <w:r>
        <w:t xml:space="preserve"> customers</w:t>
      </w:r>
      <w:r w:rsidR="00C07470">
        <w:t xml:space="preserve"> benefit</w:t>
      </w:r>
      <w:r>
        <w:t xml:space="preserve">; and the information the acquiring utility must </w:t>
      </w:r>
      <w:r w:rsidR="00C07470">
        <w:t xml:space="preserve">file </w:t>
      </w:r>
      <w:r w:rsidR="00831AD2">
        <w:t>in its petition for a positive acquisition adjustment.</w:t>
      </w:r>
      <w:r w:rsidR="001A22A0">
        <w:t xml:space="preserve">  It should be noted that a utility is not required to meet all of the factors enumerated in paragraph (3)(a); rather, the rule simply </w:t>
      </w:r>
      <w:r w:rsidR="00611CBB">
        <w:t>sets out</w:t>
      </w:r>
      <w:r w:rsidR="001A22A0">
        <w:t xml:space="preserve"> the </w:t>
      </w:r>
      <w:r w:rsidR="00611CBB">
        <w:t>specific</w:t>
      </w:r>
      <w:r w:rsidR="001A22A0">
        <w:t xml:space="preserve"> factors the Commission will consider in determining whether the acquired utility customers benefit</w:t>
      </w:r>
      <w:r w:rsidR="001C31FC">
        <w:t xml:space="preserve"> and give whatever weight it believes is appropriate to the factors based on the record of the hearing</w:t>
      </w:r>
      <w:r w:rsidR="001A22A0">
        <w:t>.</w:t>
      </w:r>
      <w:r w:rsidR="000D1F37">
        <w:t xml:space="preserve">  </w:t>
      </w:r>
    </w:p>
    <w:p w:rsidR="00044A4A" w:rsidRDefault="00044A4A" w:rsidP="00D805B9">
      <w:pPr>
        <w:autoSpaceDE w:val="0"/>
        <w:autoSpaceDN w:val="0"/>
        <w:adjustRightInd w:val="0"/>
        <w:jc w:val="both"/>
      </w:pPr>
    </w:p>
    <w:p w:rsidR="00FC5BB3" w:rsidRDefault="00B937DD">
      <w:pPr>
        <w:autoSpaceDE w:val="0"/>
        <w:autoSpaceDN w:val="0"/>
        <w:adjustRightInd w:val="0"/>
        <w:jc w:val="both"/>
      </w:pPr>
      <w:r>
        <w:t xml:space="preserve">Paragraph (3)(b) of the draft rule encompasses what information staff believes should be contained in the utility’s petition for an acquisition adjustment for a non-viable utility.  </w:t>
      </w:r>
      <w:r w:rsidR="00732EC5">
        <w:t>Staff has crafted the language in p</w:t>
      </w:r>
      <w:r w:rsidR="00611CBB">
        <w:t>aragraph (3)(b)</w:t>
      </w:r>
      <w:r w:rsidR="00732EC5">
        <w:t xml:space="preserve"> to align with the factors </w:t>
      </w:r>
      <w:r w:rsidR="00E010B4">
        <w:t>in paragraph (3)(a)</w:t>
      </w:r>
      <w:r w:rsidR="00B6274E">
        <w:t xml:space="preserve">, which </w:t>
      </w:r>
      <w:r w:rsidR="00732EC5">
        <w:t xml:space="preserve">the Commission will consider </w:t>
      </w:r>
      <w:r w:rsidR="00E010B4">
        <w:t>in determining whether the acquired utility customers benefit from the requested acquisition adjustment.  Staff recommends</w:t>
      </w:r>
      <w:r w:rsidR="00611CBB">
        <w:t xml:space="preserve"> </w:t>
      </w:r>
      <w:r>
        <w:t>the</w:t>
      </w:r>
      <w:r w:rsidR="00E010B4">
        <w:t xml:space="preserve"> </w:t>
      </w:r>
      <w:r w:rsidR="000D7525">
        <w:t>information</w:t>
      </w:r>
      <w:r w:rsidR="00611CBB">
        <w:t xml:space="preserve"> the utility must file with its petition</w:t>
      </w:r>
      <w:r>
        <w:t xml:space="preserve"> </w:t>
      </w:r>
      <w:r w:rsidR="0068479E">
        <w:t>include</w:t>
      </w:r>
      <w:r w:rsidR="00FC5BB3">
        <w:t>:</w:t>
      </w:r>
    </w:p>
    <w:p w:rsidR="00FC5BB3" w:rsidRDefault="00FC5BB3">
      <w:pPr>
        <w:autoSpaceDE w:val="0"/>
        <w:autoSpaceDN w:val="0"/>
        <w:adjustRightInd w:val="0"/>
        <w:jc w:val="both"/>
      </w:pPr>
    </w:p>
    <w:p w:rsidR="00FC5BB3" w:rsidRDefault="001C31FC" w:rsidP="002F63D9">
      <w:pPr>
        <w:pStyle w:val="ListParagraph"/>
        <w:numPr>
          <w:ilvl w:val="0"/>
          <w:numId w:val="14"/>
        </w:numPr>
        <w:autoSpaceDE w:val="0"/>
        <w:autoSpaceDN w:val="0"/>
        <w:adjustRightInd w:val="0"/>
        <w:ind w:right="630"/>
        <w:jc w:val="both"/>
      </w:pPr>
      <w:r>
        <w:t xml:space="preserve">the amount of acquisition adjustment </w:t>
      </w:r>
      <w:r w:rsidR="003F13EE">
        <w:t xml:space="preserve">and amortization period </w:t>
      </w:r>
      <w:r>
        <w:t>requested;</w:t>
      </w:r>
    </w:p>
    <w:p w:rsidR="00FC5BB3" w:rsidRDefault="001C31FC" w:rsidP="002F63D9">
      <w:pPr>
        <w:pStyle w:val="ListParagraph"/>
        <w:numPr>
          <w:ilvl w:val="0"/>
          <w:numId w:val="14"/>
        </w:numPr>
        <w:autoSpaceDE w:val="0"/>
        <w:autoSpaceDN w:val="0"/>
        <w:adjustRightInd w:val="0"/>
        <w:ind w:right="630"/>
        <w:jc w:val="both"/>
      </w:pPr>
      <w:r>
        <w:t xml:space="preserve">how acquisition was part of an arms-length </w:t>
      </w:r>
      <w:r w:rsidR="00044A4A">
        <w:t>transaction</w:t>
      </w:r>
      <w:r>
        <w:t>;</w:t>
      </w:r>
      <w:r w:rsidR="00302903">
        <w:t xml:space="preserve"> </w:t>
      </w:r>
    </w:p>
    <w:p w:rsidR="00FC5BB3" w:rsidRDefault="001C31FC" w:rsidP="002F63D9">
      <w:pPr>
        <w:pStyle w:val="ListParagraph"/>
        <w:numPr>
          <w:ilvl w:val="0"/>
          <w:numId w:val="14"/>
        </w:numPr>
        <w:autoSpaceDE w:val="0"/>
        <w:autoSpaceDN w:val="0"/>
        <w:adjustRightInd w:val="0"/>
        <w:ind w:right="630"/>
        <w:jc w:val="both"/>
      </w:pPr>
      <w:r>
        <w:t>the contract of sale</w:t>
      </w:r>
      <w:r w:rsidR="00383148">
        <w:t>,</w:t>
      </w:r>
      <w:r>
        <w:t xml:space="preserve"> estimated cost of fees</w:t>
      </w:r>
      <w:r w:rsidR="00383148">
        <w:t>,</w:t>
      </w:r>
      <w:r>
        <w:t xml:space="preserve"> and closing costs;</w:t>
      </w:r>
      <w:r w:rsidR="00302903">
        <w:t xml:space="preserve"> </w:t>
      </w:r>
    </w:p>
    <w:p w:rsidR="00FC5BB3" w:rsidRDefault="001C31FC" w:rsidP="002F63D9">
      <w:pPr>
        <w:pStyle w:val="ListParagraph"/>
        <w:numPr>
          <w:ilvl w:val="0"/>
          <w:numId w:val="14"/>
        </w:numPr>
        <w:autoSpaceDE w:val="0"/>
        <w:autoSpaceDN w:val="0"/>
        <w:adjustRightInd w:val="0"/>
        <w:ind w:right="630"/>
        <w:jc w:val="both"/>
      </w:pPr>
      <w:r>
        <w:t>calculation of book value</w:t>
      </w:r>
      <w:r w:rsidR="00383148">
        <w:t xml:space="preserve"> and</w:t>
      </w:r>
      <w:r>
        <w:t xml:space="preserve"> composite remaining life of assets purchased; </w:t>
      </w:r>
    </w:p>
    <w:p w:rsidR="00FC5BB3" w:rsidRDefault="001C31FC" w:rsidP="002F63D9">
      <w:pPr>
        <w:pStyle w:val="ListParagraph"/>
        <w:numPr>
          <w:ilvl w:val="0"/>
          <w:numId w:val="14"/>
        </w:numPr>
        <w:autoSpaceDE w:val="0"/>
        <w:autoSpaceDN w:val="0"/>
        <w:adjustRightInd w:val="0"/>
        <w:ind w:right="630"/>
        <w:jc w:val="both"/>
      </w:pPr>
      <w:r>
        <w:t>whether acquired utility is solvent;</w:t>
      </w:r>
      <w:r w:rsidR="00302903">
        <w:t xml:space="preserve"> </w:t>
      </w:r>
      <w:r>
        <w:t xml:space="preserve">description of acquiring utility’s managerial, operational, financial, or technical capabilities to furnish and maintain safe and adequate service and facilities over </w:t>
      </w:r>
      <w:r w:rsidR="00FC5BB3">
        <w:t xml:space="preserve">the </w:t>
      </w:r>
      <w:r w:rsidR="00383148">
        <w:t>next</w:t>
      </w:r>
      <w:r>
        <w:t xml:space="preserve"> 5 years; </w:t>
      </w:r>
    </w:p>
    <w:p w:rsidR="00FC5BB3" w:rsidRDefault="001C31FC" w:rsidP="002F63D9">
      <w:pPr>
        <w:pStyle w:val="ListParagraph"/>
        <w:numPr>
          <w:ilvl w:val="0"/>
          <w:numId w:val="14"/>
        </w:numPr>
        <w:autoSpaceDE w:val="0"/>
        <w:autoSpaceDN w:val="0"/>
        <w:adjustRightInd w:val="0"/>
        <w:ind w:right="630"/>
        <w:jc w:val="both"/>
      </w:pPr>
      <w:r>
        <w:t>an</w:t>
      </w:r>
      <w:r w:rsidR="00044A4A">
        <w:t>y</w:t>
      </w:r>
      <w:r>
        <w:t xml:space="preserve"> regulatory actions issued by </w:t>
      </w:r>
      <w:r w:rsidR="00044A4A">
        <w:t>governmental agencies regarding provision of  acquired utility’s service</w:t>
      </w:r>
      <w:r w:rsidR="003F13EE">
        <w:t>(s)</w:t>
      </w:r>
      <w:r w:rsidR="00044A4A">
        <w:t xml:space="preserve"> over </w:t>
      </w:r>
      <w:r w:rsidR="00FC5BB3">
        <w:t xml:space="preserve">the </w:t>
      </w:r>
      <w:r w:rsidR="00044A4A">
        <w:t>past 5 years;</w:t>
      </w:r>
      <w:r w:rsidR="00302903">
        <w:t xml:space="preserve"> </w:t>
      </w:r>
    </w:p>
    <w:p w:rsidR="00FC5BB3" w:rsidRDefault="000D7525" w:rsidP="002F63D9">
      <w:pPr>
        <w:pStyle w:val="ListParagraph"/>
        <w:numPr>
          <w:ilvl w:val="0"/>
          <w:numId w:val="14"/>
        </w:numPr>
        <w:autoSpaceDE w:val="0"/>
        <w:autoSpaceDN w:val="0"/>
        <w:adjustRightInd w:val="0"/>
        <w:ind w:right="630"/>
        <w:jc w:val="both"/>
      </w:pPr>
      <w:r>
        <w:t xml:space="preserve">acquired utility’s annual capital investments and </w:t>
      </w:r>
      <w:r w:rsidRPr="00383148">
        <w:t>operations and maintenance expenses</w:t>
      </w:r>
      <w:r w:rsidR="003F13EE">
        <w:t xml:space="preserve"> </w:t>
      </w:r>
      <w:r>
        <w:t xml:space="preserve">over </w:t>
      </w:r>
      <w:r w:rsidR="00FC5BB3">
        <w:t xml:space="preserve">the </w:t>
      </w:r>
      <w:r>
        <w:t xml:space="preserve">past 5 years; </w:t>
      </w:r>
    </w:p>
    <w:p w:rsidR="00FC5BB3" w:rsidRDefault="00302903" w:rsidP="002F63D9">
      <w:pPr>
        <w:pStyle w:val="ListParagraph"/>
        <w:numPr>
          <w:ilvl w:val="0"/>
          <w:numId w:val="14"/>
        </w:numPr>
        <w:autoSpaceDE w:val="0"/>
        <w:autoSpaceDN w:val="0"/>
        <w:adjustRightInd w:val="0"/>
        <w:ind w:right="630"/>
        <w:jc w:val="both"/>
      </w:pPr>
      <w:r>
        <w:t>5-year project</w:t>
      </w:r>
      <w:r w:rsidR="00E809B5">
        <w:t>ed</w:t>
      </w:r>
      <w:r>
        <w:t xml:space="preserve"> impact on cost of service to acquired utility customers;</w:t>
      </w:r>
    </w:p>
    <w:p w:rsidR="00FC5BB3" w:rsidRDefault="00044A4A" w:rsidP="002F63D9">
      <w:pPr>
        <w:pStyle w:val="ListParagraph"/>
        <w:numPr>
          <w:ilvl w:val="0"/>
          <w:numId w:val="14"/>
        </w:numPr>
        <w:autoSpaceDE w:val="0"/>
        <w:autoSpaceDN w:val="0"/>
        <w:adjustRightInd w:val="0"/>
        <w:ind w:right="630"/>
        <w:jc w:val="both"/>
      </w:pPr>
      <w:r>
        <w:t xml:space="preserve">any planned infrastructure additions and maintenance to improve acquired utility’s quality of service or compliance with environmental regulations; </w:t>
      </w:r>
    </w:p>
    <w:p w:rsidR="00FC5BB3" w:rsidRDefault="00044A4A" w:rsidP="002F63D9">
      <w:pPr>
        <w:pStyle w:val="ListParagraph"/>
        <w:numPr>
          <w:ilvl w:val="0"/>
          <w:numId w:val="14"/>
        </w:numPr>
        <w:autoSpaceDE w:val="0"/>
        <w:autoSpaceDN w:val="0"/>
        <w:adjustRightInd w:val="0"/>
        <w:ind w:right="630"/>
        <w:jc w:val="both"/>
      </w:pPr>
      <w:r>
        <w:t xml:space="preserve">any engineering studies or appraisals </w:t>
      </w:r>
      <w:r w:rsidR="00302903">
        <w:t xml:space="preserve">done regarding </w:t>
      </w:r>
      <w:r w:rsidR="00FC5BB3">
        <w:t xml:space="preserve">the </w:t>
      </w:r>
      <w:r w:rsidR="00302903">
        <w:t>purchase</w:t>
      </w:r>
      <w:r>
        <w:t>;</w:t>
      </w:r>
      <w:r w:rsidR="00302903">
        <w:t xml:space="preserve"> </w:t>
      </w:r>
      <w:r>
        <w:t xml:space="preserve">and </w:t>
      </w:r>
    </w:p>
    <w:p w:rsidR="00E010B4" w:rsidRDefault="00044A4A" w:rsidP="002F63D9">
      <w:pPr>
        <w:pStyle w:val="ListParagraph"/>
        <w:numPr>
          <w:ilvl w:val="0"/>
          <w:numId w:val="14"/>
        </w:numPr>
        <w:autoSpaceDE w:val="0"/>
        <w:autoSpaceDN w:val="0"/>
        <w:adjustRightInd w:val="0"/>
        <w:ind w:right="630"/>
        <w:jc w:val="both"/>
      </w:pPr>
      <w:r>
        <w:t xml:space="preserve">how </w:t>
      </w:r>
      <w:r w:rsidR="00B51F4A">
        <w:t xml:space="preserve">the </w:t>
      </w:r>
      <w:r>
        <w:t xml:space="preserve">acquiring utility has greater access to capital than </w:t>
      </w:r>
      <w:r w:rsidR="00B51F4A">
        <w:t xml:space="preserve">the </w:t>
      </w:r>
      <w:r>
        <w:t>acquired utility, if applicable</w:t>
      </w:r>
      <w:r w:rsidR="00611CBB">
        <w:t>.</w:t>
      </w:r>
    </w:p>
    <w:p w:rsidR="00FC5BB3" w:rsidRDefault="00FC5BB3" w:rsidP="002F63D9">
      <w:pPr>
        <w:pStyle w:val="ListParagraph"/>
        <w:autoSpaceDE w:val="0"/>
        <w:autoSpaceDN w:val="0"/>
        <w:adjustRightInd w:val="0"/>
        <w:ind w:left="1500" w:right="630"/>
        <w:jc w:val="both"/>
      </w:pPr>
    </w:p>
    <w:p w:rsidR="00383148" w:rsidRDefault="00383148" w:rsidP="00937F9A">
      <w:pPr>
        <w:pStyle w:val="Second-LevelSubheading"/>
      </w:pPr>
      <w:r>
        <w:t>Stakeholder Comments</w:t>
      </w:r>
    </w:p>
    <w:p w:rsidR="001418D2" w:rsidRDefault="0068479E" w:rsidP="00D805B9">
      <w:pPr>
        <w:autoSpaceDE w:val="0"/>
        <w:autoSpaceDN w:val="0"/>
        <w:adjustRightInd w:val="0"/>
        <w:jc w:val="both"/>
      </w:pPr>
      <w:r>
        <w:t xml:space="preserve">This subsection was debated by the stakeholders at the workshops and in post-workshop comments. </w:t>
      </w:r>
      <w:r w:rsidR="00D805B9">
        <w:t>OPC state</w:t>
      </w:r>
      <w:r w:rsidR="001A22A0">
        <w:t>d</w:t>
      </w:r>
      <w:r w:rsidR="00D805B9">
        <w:t xml:space="preserve"> the </w:t>
      </w:r>
      <w:r w:rsidR="005361EA">
        <w:t xml:space="preserve">recommended </w:t>
      </w:r>
      <w:r w:rsidR="00D805B9">
        <w:t xml:space="preserve">rule removes the longstanding </w:t>
      </w:r>
      <w:r w:rsidR="006839DA">
        <w:t>“</w:t>
      </w:r>
      <w:r w:rsidR="00D805B9">
        <w:t>extraordinary circumstances</w:t>
      </w:r>
      <w:r w:rsidR="006839DA">
        <w:t>”</w:t>
      </w:r>
      <w:r w:rsidR="00D805B9">
        <w:t xml:space="preserve"> and </w:t>
      </w:r>
      <w:r w:rsidR="006839DA">
        <w:t>“</w:t>
      </w:r>
      <w:r w:rsidR="00D805B9">
        <w:t>negative acquisition adjustment</w:t>
      </w:r>
      <w:r w:rsidR="006839DA">
        <w:t>”</w:t>
      </w:r>
      <w:r w:rsidR="00D805B9">
        <w:t xml:space="preserve"> policies, which </w:t>
      </w:r>
      <w:r>
        <w:t xml:space="preserve">it says </w:t>
      </w:r>
      <w:r w:rsidR="00D805B9">
        <w:t xml:space="preserve">were designed to balance all of the provisions of the public interest, </w:t>
      </w:r>
      <w:r w:rsidR="006839DA">
        <w:t>suggesting</w:t>
      </w:r>
      <w:r w:rsidR="00D805B9">
        <w:t xml:space="preserve"> that if those previous lines of safeguard protections for customers are removed, the rule must be modified in a way that places fair and equitable surrogate safeguards for customers of both viable and non-viable utilities purchased by acquiring utilities.</w:t>
      </w:r>
      <w:r w:rsidR="00642569">
        <w:t xml:space="preserve"> </w:t>
      </w:r>
    </w:p>
    <w:p w:rsidR="001418D2" w:rsidRDefault="001418D2" w:rsidP="00D805B9">
      <w:pPr>
        <w:autoSpaceDE w:val="0"/>
        <w:autoSpaceDN w:val="0"/>
        <w:adjustRightInd w:val="0"/>
        <w:jc w:val="both"/>
      </w:pPr>
    </w:p>
    <w:p w:rsidR="007B6A11" w:rsidRDefault="00D805B9" w:rsidP="00D26CDA">
      <w:pPr>
        <w:autoSpaceDE w:val="0"/>
        <w:autoSpaceDN w:val="0"/>
        <w:adjustRightInd w:val="0"/>
        <w:jc w:val="both"/>
      </w:pPr>
      <w:r>
        <w:t>OPC</w:t>
      </w:r>
      <w:r w:rsidR="001418D2">
        <w:t xml:space="preserve"> opposes the proposed rule because it fails to provide customer safeguards</w:t>
      </w:r>
      <w:r w:rsidR="00D26CDA">
        <w:t xml:space="preserve"> and</w:t>
      </w:r>
      <w:r>
        <w:t xml:space="preserve"> </w:t>
      </w:r>
      <w:r w:rsidR="00D26CDA">
        <w:t>creates an incentive for</w:t>
      </w:r>
      <w:r>
        <w:t xml:space="preserve"> acquiring utilities to willfully grow their rate base through acquisitions via premium purchase prices above net book values (“NBV”) that would serve to economically enrich utility shareholders on the backs of captive utility customers through increased rates in the future, despite the purported non-economic qualitative benefits that customers would be receiving from the acquiring utility.</w:t>
      </w:r>
    </w:p>
    <w:p w:rsidR="007B6A11" w:rsidRDefault="00642569" w:rsidP="007B6A11">
      <w:pPr>
        <w:autoSpaceDE w:val="0"/>
        <w:autoSpaceDN w:val="0"/>
        <w:adjustRightInd w:val="0"/>
        <w:ind w:left="720" w:right="630"/>
        <w:jc w:val="both"/>
      </w:pPr>
      <w:r>
        <w:t xml:space="preserve"> </w:t>
      </w:r>
    </w:p>
    <w:p w:rsidR="00D805B9" w:rsidRDefault="00B65B06" w:rsidP="00D26CDA">
      <w:pPr>
        <w:autoSpaceDE w:val="0"/>
        <w:autoSpaceDN w:val="0"/>
        <w:adjustRightInd w:val="0"/>
        <w:jc w:val="both"/>
      </w:pPr>
      <w:r>
        <w:t xml:space="preserve">OPC </w:t>
      </w:r>
      <w:r w:rsidR="00D26CDA">
        <w:t>asserts that</w:t>
      </w:r>
      <w:r w:rsidR="00D404F0">
        <w:t xml:space="preserve"> </w:t>
      </w:r>
      <w:r w:rsidR="00D805B9">
        <w:t>Florida is an original cost state,</w:t>
      </w:r>
      <w:r w:rsidR="00D805B9">
        <w:rPr>
          <w:sz w:val="16"/>
          <w:szCs w:val="16"/>
        </w:rPr>
        <w:t xml:space="preserve"> </w:t>
      </w:r>
      <w:r w:rsidR="00D805B9">
        <w:t xml:space="preserve">and </w:t>
      </w:r>
      <w:r w:rsidR="00D26CDA">
        <w:t xml:space="preserve">the rule appears to move Florida away from </w:t>
      </w:r>
      <w:r w:rsidR="00D805B9">
        <w:t>cost-based regulation to a form of market-based regulation, without any discernable guidelines, solely for the benefit of acquiring utilities. Th</w:t>
      </w:r>
      <w:r w:rsidR="00D26CDA">
        <w:t>e rule thus</w:t>
      </w:r>
      <w:r w:rsidR="00D805B9">
        <w:t xml:space="preserve"> unfairly discriminate</w:t>
      </w:r>
      <w:r w:rsidR="00D26CDA">
        <w:t>s</w:t>
      </w:r>
      <w:r w:rsidR="00D805B9">
        <w:t xml:space="preserve"> against existing regulated utilities who are fulfilling their part of the compact and already providing satisfactory quality of service to their customers.</w:t>
      </w:r>
      <w:r w:rsidR="00845A15">
        <w:t xml:space="preserve"> </w:t>
      </w:r>
    </w:p>
    <w:p w:rsidR="00D805B9" w:rsidRDefault="00D805B9" w:rsidP="00D805B9">
      <w:pPr>
        <w:autoSpaceDE w:val="0"/>
        <w:autoSpaceDN w:val="0"/>
        <w:adjustRightInd w:val="0"/>
      </w:pPr>
    </w:p>
    <w:p w:rsidR="0068479E" w:rsidRDefault="00D805B9" w:rsidP="00D805B9">
      <w:pPr>
        <w:autoSpaceDE w:val="0"/>
        <w:autoSpaceDN w:val="0"/>
        <w:adjustRightInd w:val="0"/>
        <w:jc w:val="both"/>
        <w:rPr>
          <w:rFonts w:ascii="TimesNewRomanPSMT" w:hAnsi="TimesNewRomanPSMT" w:cs="TimesNewRomanPSMT"/>
        </w:rPr>
      </w:pPr>
      <w:r>
        <w:rPr>
          <w:rFonts w:ascii="TimesNewRomanPSMT" w:hAnsi="TimesNewRomanPSMT" w:cs="TimesNewRomanPSMT"/>
        </w:rPr>
        <w:t>SWS</w:t>
      </w:r>
      <w:r w:rsidR="00A274E4">
        <w:rPr>
          <w:rFonts w:ascii="TimesNewRomanPSMT" w:hAnsi="TimesNewRomanPSMT" w:cs="TimesNewRomanPSMT"/>
        </w:rPr>
        <w:t xml:space="preserve"> </w:t>
      </w:r>
      <w:r w:rsidR="00EF6EAB">
        <w:rPr>
          <w:rFonts w:ascii="TimesNewRomanPSMT" w:hAnsi="TimesNewRomanPSMT" w:cs="TimesNewRomanPSMT"/>
        </w:rPr>
        <w:t>disagreed with OPC, arguing that its</w:t>
      </w:r>
      <w:r>
        <w:rPr>
          <w:rFonts w:ascii="TimesNewRomanPSMT" w:hAnsi="TimesNewRomanPSMT" w:cs="TimesNewRomanPSMT"/>
        </w:rPr>
        <w:t xml:space="preserve"> comments do not address or provide practical solutions for the very real concern that struggling utilities are not incented to transfer their systems before or while experiencing service or financial issues</w:t>
      </w:r>
      <w:r w:rsidR="00FC5BB3">
        <w:rPr>
          <w:rFonts w:ascii="TimesNewRomanPSMT" w:hAnsi="TimesNewRomanPSMT" w:cs="TimesNewRomanPSMT"/>
        </w:rPr>
        <w:t>.  A</w:t>
      </w:r>
      <w:r>
        <w:rPr>
          <w:rFonts w:ascii="TimesNewRomanPSMT" w:hAnsi="TimesNewRomanPSMT" w:cs="TimesNewRomanPSMT"/>
        </w:rPr>
        <w:t>llowing greater flexibility in the setting of acquisition adjustments will incentivize owners of non-viable systems to pursue a transfer</w:t>
      </w:r>
      <w:r w:rsidR="002F63D9">
        <w:rPr>
          <w:rFonts w:ascii="TimesNewRomanPSMT" w:hAnsi="TimesNewRomanPSMT" w:cs="TimesNewRomanPSMT"/>
        </w:rPr>
        <w:t xml:space="preserve"> </w:t>
      </w:r>
      <w:r>
        <w:rPr>
          <w:rFonts w:ascii="TimesNewRomanPSMT" w:hAnsi="TimesNewRomanPSMT" w:cs="TimesNewRomanPSMT"/>
        </w:rPr>
        <w:t>for a reasonable price</w:t>
      </w:r>
      <w:r w:rsidR="004C6E59">
        <w:rPr>
          <w:rFonts w:ascii="TimesNewRomanPSMT" w:hAnsi="TimesNewRomanPSMT" w:cs="TimesNewRomanPSMT"/>
        </w:rPr>
        <w:t>, which</w:t>
      </w:r>
      <w:r>
        <w:rPr>
          <w:rFonts w:ascii="TimesNewRomanPSMT" w:hAnsi="TimesNewRomanPSMT" w:cs="TimesNewRomanPSMT"/>
        </w:rPr>
        <w:t xml:space="preserve"> is not only in the best interest of owners of the non-viable system, but is also in the best interest of the customers of the non-viable system</w:t>
      </w:r>
      <w:r w:rsidR="00A274E4">
        <w:rPr>
          <w:rFonts w:ascii="TimesNewRomanPSMT" w:hAnsi="TimesNewRomanPSMT" w:cs="TimesNewRomanPSMT"/>
        </w:rPr>
        <w:t xml:space="preserve"> as a result of </w:t>
      </w:r>
      <w:r>
        <w:rPr>
          <w:rFonts w:ascii="TimesNewRomanPSMT" w:hAnsi="TimesNewRomanPSMT" w:cs="TimesNewRomanPSMT"/>
        </w:rPr>
        <w:t>be</w:t>
      </w:r>
      <w:r w:rsidR="00A274E4">
        <w:rPr>
          <w:rFonts w:ascii="TimesNewRomanPSMT" w:hAnsi="TimesNewRomanPSMT" w:cs="TimesNewRomanPSMT"/>
        </w:rPr>
        <w:t>ing</w:t>
      </w:r>
      <w:r>
        <w:rPr>
          <w:rFonts w:ascii="TimesNewRomanPSMT" w:hAnsi="TimesNewRomanPSMT" w:cs="TimesNewRomanPSMT"/>
        </w:rPr>
        <w:t xml:space="preserve"> taken over by a capable utility operator for the long-term.</w:t>
      </w:r>
      <w:r w:rsidR="00D0030C">
        <w:rPr>
          <w:rFonts w:ascii="TimesNewRomanPSMT" w:hAnsi="TimesNewRomanPSMT" w:cs="TimesNewRomanPSMT"/>
        </w:rPr>
        <w:t xml:space="preserve"> </w:t>
      </w:r>
      <w:r w:rsidR="004C6E59">
        <w:rPr>
          <w:rFonts w:ascii="TimesNewRomanPSMT" w:hAnsi="TimesNewRomanPSMT" w:cs="TimesNewRomanPSMT"/>
        </w:rPr>
        <w:t xml:space="preserve"> </w:t>
      </w:r>
      <w:r>
        <w:rPr>
          <w:rFonts w:ascii="TimesNewRomanPSMT" w:hAnsi="TimesNewRomanPSMT" w:cs="TimesNewRomanPSMT"/>
        </w:rPr>
        <w:t xml:space="preserve">SWS </w:t>
      </w:r>
      <w:r w:rsidR="00D0030C">
        <w:rPr>
          <w:rFonts w:ascii="TimesNewRomanPSMT" w:hAnsi="TimesNewRomanPSMT" w:cs="TimesNewRomanPSMT"/>
        </w:rPr>
        <w:t xml:space="preserve">lastly </w:t>
      </w:r>
      <w:r>
        <w:rPr>
          <w:rFonts w:ascii="TimesNewRomanPSMT" w:hAnsi="TimesNewRomanPSMT" w:cs="TimesNewRomanPSMT"/>
        </w:rPr>
        <w:t>suggests</w:t>
      </w:r>
      <w:r w:rsidR="0068479E">
        <w:rPr>
          <w:rFonts w:ascii="TimesNewRomanPSMT" w:hAnsi="TimesNewRomanPSMT" w:cs="TimesNewRomanPSMT"/>
        </w:rPr>
        <w:t>:</w:t>
      </w:r>
    </w:p>
    <w:p w:rsidR="0068479E" w:rsidRDefault="0068479E" w:rsidP="00D805B9">
      <w:pPr>
        <w:autoSpaceDE w:val="0"/>
        <w:autoSpaceDN w:val="0"/>
        <w:adjustRightInd w:val="0"/>
        <w:jc w:val="both"/>
        <w:rPr>
          <w:rFonts w:ascii="TimesNewRomanPSMT" w:hAnsi="TimesNewRomanPSMT" w:cs="TimesNewRomanPSMT"/>
        </w:rPr>
      </w:pPr>
    </w:p>
    <w:p w:rsidR="00D805B9" w:rsidRDefault="0068479E" w:rsidP="0068479E">
      <w:pPr>
        <w:autoSpaceDE w:val="0"/>
        <w:autoSpaceDN w:val="0"/>
        <w:adjustRightInd w:val="0"/>
        <w:ind w:left="720" w:right="720"/>
        <w:jc w:val="both"/>
        <w:rPr>
          <w:rFonts w:ascii="TimesNewRomanPSMT" w:hAnsi="TimesNewRomanPSMT" w:cs="TimesNewRomanPSMT"/>
        </w:rPr>
      </w:pPr>
      <w:r>
        <w:rPr>
          <w:rFonts w:ascii="TimesNewRomanPSMT" w:hAnsi="TimesNewRomanPSMT" w:cs="TimesNewRomanPSMT"/>
        </w:rPr>
        <w:t>T</w:t>
      </w:r>
      <w:r w:rsidR="00D805B9">
        <w:rPr>
          <w:rFonts w:ascii="TimesNewRomanPSMT" w:hAnsi="TimesNewRomanPSMT" w:cs="TimesNewRomanPSMT"/>
        </w:rPr>
        <w:t xml:space="preserve">he Commission should be incentivizing acquisitions before ‘extraordinary circumstances’ come to pass – struggling systems that lack long-term viability should have an incentive to divest to a utility with more competent management, operations, and finances. The Commission’s policies and </w:t>
      </w:r>
      <w:r>
        <w:rPr>
          <w:rFonts w:ascii="TimesNewRomanPSMT" w:hAnsi="TimesNewRomanPSMT" w:cs="TimesNewRomanPSMT"/>
        </w:rPr>
        <w:t>[r]</w:t>
      </w:r>
      <w:r w:rsidR="00D805B9">
        <w:rPr>
          <w:rFonts w:ascii="TimesNewRomanPSMT" w:hAnsi="TimesNewRomanPSMT" w:cs="TimesNewRomanPSMT"/>
        </w:rPr>
        <w:t>ules should reflect this and incentivize – for buyer and seller – acquisitions of non-viable systems.</w:t>
      </w:r>
    </w:p>
    <w:p w:rsidR="00C031C5" w:rsidRDefault="00C031C5" w:rsidP="00D805B9">
      <w:pPr>
        <w:autoSpaceDE w:val="0"/>
        <w:autoSpaceDN w:val="0"/>
        <w:adjustRightInd w:val="0"/>
        <w:jc w:val="both"/>
        <w:rPr>
          <w:rFonts w:ascii="TimesNewRomanPSMT" w:hAnsi="TimesNewRomanPSMT" w:cs="TimesNewRomanPSMT"/>
        </w:rPr>
      </w:pPr>
    </w:p>
    <w:p w:rsidR="00C031C5" w:rsidRDefault="00C031C5" w:rsidP="00C031C5">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CSWR </w:t>
      </w:r>
      <w:r w:rsidR="004C6E59">
        <w:rPr>
          <w:rFonts w:ascii="TimesNewRomanPSMT" w:hAnsi="TimesNewRomanPSMT" w:cs="TimesNewRomanPSMT"/>
        </w:rPr>
        <w:t>supported</w:t>
      </w:r>
      <w:r>
        <w:rPr>
          <w:rFonts w:ascii="TimesNewRomanPSMT" w:hAnsi="TimesNewRomanPSMT" w:cs="TimesNewRomanPSMT"/>
        </w:rPr>
        <w:t xml:space="preserve"> the </w:t>
      </w:r>
      <w:r w:rsidR="00D26CDA">
        <w:rPr>
          <w:rFonts w:ascii="TimesNewRomanPSMT" w:hAnsi="TimesNewRomanPSMT" w:cs="TimesNewRomanPSMT"/>
        </w:rPr>
        <w:t xml:space="preserve">proposed rule </w:t>
      </w:r>
      <w:r>
        <w:rPr>
          <w:rFonts w:ascii="TimesNewRomanPSMT" w:hAnsi="TimesNewRomanPSMT" w:cs="TimesNewRomanPSMT"/>
        </w:rPr>
        <w:t>am</w:t>
      </w:r>
      <w:r w:rsidRPr="00C031C5">
        <w:rPr>
          <w:rFonts w:ascii="TimesNewRomanPSMT" w:hAnsi="TimesNewRomanPSMT" w:cs="TimesNewRomanPSMT"/>
        </w:rPr>
        <w:t>endments</w:t>
      </w:r>
      <w:r w:rsidR="004C6E59">
        <w:rPr>
          <w:rFonts w:ascii="TimesNewRomanPSMT" w:hAnsi="TimesNewRomanPSMT" w:cs="TimesNewRomanPSMT"/>
        </w:rPr>
        <w:t>, as they</w:t>
      </w:r>
      <w:r w:rsidRPr="00C031C5">
        <w:rPr>
          <w:rFonts w:ascii="TimesNewRomanPSMT" w:hAnsi="TimesNewRomanPSMT" w:cs="TimesNewRomanPSMT"/>
        </w:rPr>
        <w:t xml:space="preserve"> “retain the Commission’s flexibility to consider other potential</w:t>
      </w:r>
      <w:r>
        <w:rPr>
          <w:rFonts w:ascii="TimesNewRomanPSMT" w:hAnsi="TimesNewRomanPSMT" w:cs="TimesNewRomanPSMT"/>
        </w:rPr>
        <w:t xml:space="preserve"> </w:t>
      </w:r>
      <w:r w:rsidRPr="00C031C5">
        <w:rPr>
          <w:rFonts w:ascii="TimesNewRomanPSMT" w:hAnsi="TimesNewRomanPSMT" w:cs="TimesNewRomanPSMT"/>
        </w:rPr>
        <w:t>benefits, and an acquiring utility is not required to show all the listed benefits in</w:t>
      </w:r>
      <w:r>
        <w:rPr>
          <w:rFonts w:ascii="TimesNewRomanPSMT" w:hAnsi="TimesNewRomanPSMT" w:cs="TimesNewRomanPSMT"/>
        </w:rPr>
        <w:t xml:space="preserve"> </w:t>
      </w:r>
      <w:r w:rsidRPr="00C031C5">
        <w:rPr>
          <w:rFonts w:ascii="TimesNewRomanPSMT" w:hAnsi="TimesNewRomanPSMT" w:cs="TimesNewRomanPSMT"/>
        </w:rPr>
        <w:t>order to receive a full or partial adjustment.”</w:t>
      </w:r>
    </w:p>
    <w:p w:rsidR="004C6E59" w:rsidRPr="00C031C5" w:rsidRDefault="004C6E59" w:rsidP="00C031C5">
      <w:pPr>
        <w:autoSpaceDE w:val="0"/>
        <w:autoSpaceDN w:val="0"/>
        <w:adjustRightInd w:val="0"/>
        <w:jc w:val="both"/>
        <w:rPr>
          <w:rFonts w:ascii="TimesNewRomanPSMT" w:hAnsi="TimesNewRomanPSMT" w:cs="TimesNewRomanPSMT"/>
        </w:rPr>
      </w:pPr>
    </w:p>
    <w:p w:rsidR="00236D5C" w:rsidRDefault="00D805B9" w:rsidP="00F90C7B">
      <w:pPr>
        <w:autoSpaceDE w:val="0"/>
        <w:autoSpaceDN w:val="0"/>
        <w:adjustRightInd w:val="0"/>
        <w:jc w:val="both"/>
      </w:pPr>
      <w:r>
        <w:rPr>
          <w:rFonts w:ascii="TimesNewRomanPSMT" w:hAnsi="TimesNewRomanPSMT" w:cs="TimesNewRomanPSMT"/>
        </w:rPr>
        <w:t xml:space="preserve">Staff recommends </w:t>
      </w:r>
      <w:r>
        <w:t>approv</w:t>
      </w:r>
      <w:r w:rsidR="00762307">
        <w:t xml:space="preserve">al of </w:t>
      </w:r>
      <w:r>
        <w:t xml:space="preserve">the </w:t>
      </w:r>
      <w:r w:rsidR="00762307">
        <w:t xml:space="preserve">rule </w:t>
      </w:r>
      <w:r>
        <w:t xml:space="preserve">language in subsection (3), as </w:t>
      </w:r>
      <w:r w:rsidR="00A274E4">
        <w:t xml:space="preserve">it has the effect of </w:t>
      </w:r>
      <w:r>
        <w:t>incentiviz</w:t>
      </w:r>
      <w:r w:rsidR="00A274E4">
        <w:t>ing</w:t>
      </w:r>
      <w:r>
        <w:t xml:space="preserve"> non-viable utilities to transfer </w:t>
      </w:r>
      <w:r w:rsidR="00A274E4">
        <w:t xml:space="preserve">their </w:t>
      </w:r>
      <w:r>
        <w:t>troubled systems to viable utilities</w:t>
      </w:r>
      <w:r w:rsidR="00C031C5">
        <w:t>;</w:t>
      </w:r>
      <w:r>
        <w:t xml:space="preserve"> incentiviz</w:t>
      </w:r>
      <w:r w:rsidR="00C031C5">
        <w:t>es</w:t>
      </w:r>
      <w:r>
        <w:t xml:space="preserve"> viable utilities to pursue such transfers at a reasonable price</w:t>
      </w:r>
      <w:r w:rsidR="00C031C5">
        <w:t>; and provides flexibility to the Commission to consider various potential customer benefits</w:t>
      </w:r>
      <w:r>
        <w:t>.</w:t>
      </w:r>
      <w:r w:rsidR="00994098">
        <w:t xml:space="preserve"> </w:t>
      </w:r>
      <w:r w:rsidR="00CB5F32">
        <w:t xml:space="preserve">The </w:t>
      </w:r>
      <w:r w:rsidR="005361EA">
        <w:t>recommended</w:t>
      </w:r>
      <w:r w:rsidR="00CB5F32">
        <w:t xml:space="preserve"> rule makes clear under what circumstances a positive acquisition adjustment can be allowed for a non-viable</w:t>
      </w:r>
      <w:r w:rsidR="002F63D9">
        <w:t xml:space="preserve"> </w:t>
      </w:r>
      <w:r w:rsidR="0079513A" w:rsidRPr="002F63D9">
        <w:t>system</w:t>
      </w:r>
      <w:r w:rsidR="00CB5F32">
        <w:t>. Furthermore, the Commission has the discretion to determine</w:t>
      </w:r>
      <w:r w:rsidR="00383148">
        <w:t>,</w:t>
      </w:r>
      <w:r w:rsidR="00CB5F32">
        <w:t xml:space="preserve"> </w:t>
      </w:r>
      <w:r w:rsidR="00383148">
        <w:t xml:space="preserve">based on the record of the hearing, </w:t>
      </w:r>
      <w:r w:rsidR="00CB5F32">
        <w:t>if qualitative factors indicate the acquisition will be to the customers</w:t>
      </w:r>
      <w:r w:rsidR="00EF6EAB">
        <w:t>’</w:t>
      </w:r>
      <w:r w:rsidR="00CB5F32">
        <w:t xml:space="preserve"> benefit. </w:t>
      </w:r>
      <w:r w:rsidR="002613B4">
        <w:t xml:space="preserve">  </w:t>
      </w:r>
      <w:r w:rsidR="00D26CDA">
        <w:t xml:space="preserve"> </w:t>
      </w:r>
      <w:r w:rsidR="00D404F0">
        <w:t xml:space="preserve">Staff </w:t>
      </w:r>
      <w:r w:rsidR="00D26CDA">
        <w:t>disagrees with OPC’s concern about a lack of safeguards because</w:t>
      </w:r>
      <w:r w:rsidR="00D404F0">
        <w:t xml:space="preserve"> </w:t>
      </w:r>
      <w:r w:rsidR="00D404F0">
        <w:rPr>
          <w:rFonts w:ascii="TimesNewRomanPSMT" w:hAnsi="TimesNewRomanPSMT" w:cs="TimesNewRomanPSMT"/>
        </w:rPr>
        <w:t>the recommended rule codifies the Commission’s existing authority to review and prospectively reduce or remove a positive acquisition adjustment if the Commission finds that customer benefits did not materialize or subsequently changed within 5 years of the order approving the acquisition adjustment.</w:t>
      </w:r>
      <w:r w:rsidR="00D26CDA">
        <w:t xml:space="preserve"> </w:t>
      </w:r>
      <w:r w:rsidR="00D404F0">
        <w:t xml:space="preserve"> </w:t>
      </w:r>
      <w:r w:rsidR="00CB5F32">
        <w:t xml:space="preserve">Staff believes the </w:t>
      </w:r>
      <w:r w:rsidR="00383148">
        <w:t>recommended</w:t>
      </w:r>
      <w:r w:rsidR="00CB5F32">
        <w:t xml:space="preserve"> rule </w:t>
      </w:r>
      <w:r w:rsidR="00383148">
        <w:t xml:space="preserve">language </w:t>
      </w:r>
      <w:r w:rsidR="00CB5F32">
        <w:t>will allow for acquisitions when it is in everyone’s best interest, even when there are not extraordinary circumstances.</w:t>
      </w:r>
    </w:p>
    <w:p w:rsidR="00F90C7B" w:rsidRDefault="00F90C7B" w:rsidP="00F90C7B">
      <w:pPr>
        <w:autoSpaceDE w:val="0"/>
        <w:autoSpaceDN w:val="0"/>
        <w:adjustRightInd w:val="0"/>
        <w:jc w:val="both"/>
        <w:rPr>
          <w:rFonts w:ascii="Arial" w:eastAsiaTheme="minorHAnsi" w:hAnsi="Arial" w:cs="Arial"/>
          <w:b/>
          <w:bCs/>
          <w:i/>
          <w:iCs/>
          <w:szCs w:val="28"/>
        </w:rPr>
      </w:pPr>
    </w:p>
    <w:p w:rsidR="00D805B9" w:rsidRDefault="004C6E59" w:rsidP="00513BCE">
      <w:pPr>
        <w:pStyle w:val="Second-LevelSubheading"/>
        <w:ind w:left="0"/>
        <w:rPr>
          <w:rFonts w:eastAsiaTheme="minorHAnsi" w:cstheme="minorBidi"/>
          <w:szCs w:val="22"/>
          <w:u w:val="single"/>
        </w:rPr>
      </w:pPr>
      <w:r>
        <w:rPr>
          <w:rFonts w:eastAsiaTheme="minorHAnsi"/>
          <w:i w:val="0"/>
        </w:rPr>
        <w:t>Subsection (4)</w:t>
      </w:r>
      <w:r w:rsidR="00BE1C2D" w:rsidRPr="00AA3B24">
        <w:rPr>
          <w:rFonts w:eastAsiaTheme="minorHAnsi"/>
          <w:i w:val="0"/>
        </w:rPr>
        <w:t xml:space="preserve"> – Positive Acquisition Adjustments for Viable Utility</w:t>
      </w:r>
    </w:p>
    <w:p w:rsidR="00C07470" w:rsidRDefault="00C07470" w:rsidP="00C07470">
      <w:pPr>
        <w:autoSpaceDE w:val="0"/>
        <w:autoSpaceDN w:val="0"/>
        <w:adjustRightInd w:val="0"/>
        <w:jc w:val="both"/>
      </w:pPr>
      <w:r>
        <w:rPr>
          <w:rFonts w:eastAsiaTheme="minorHAnsi" w:cstheme="minorBidi"/>
          <w:szCs w:val="22"/>
        </w:rPr>
        <w:t>This s</w:t>
      </w:r>
      <w:r w:rsidR="00D805B9">
        <w:rPr>
          <w:rFonts w:eastAsiaTheme="minorHAnsi" w:cstheme="minorBidi"/>
          <w:szCs w:val="22"/>
        </w:rPr>
        <w:t xml:space="preserve">ubsection </w:t>
      </w:r>
      <w:r>
        <w:t xml:space="preserve">provides the requirements that </w:t>
      </w:r>
      <w:r w:rsidR="00236D5C">
        <w:t xml:space="preserve">must be demonstrated by </w:t>
      </w:r>
      <w:r>
        <w:t>an acquiring utility to be allowed a full or partial positive acquisition adjustment for a viable utility; the factors the Commission will consider in determining whether acquired utility customers benefit; and the information that the acquiring utility must file in its petition for a positive acquisition adjustment.</w:t>
      </w:r>
    </w:p>
    <w:p w:rsidR="00C07470" w:rsidRDefault="00C07470" w:rsidP="00C07470">
      <w:pPr>
        <w:autoSpaceDE w:val="0"/>
        <w:autoSpaceDN w:val="0"/>
        <w:adjustRightInd w:val="0"/>
        <w:jc w:val="both"/>
      </w:pPr>
    </w:p>
    <w:p w:rsidR="00D805B9" w:rsidRDefault="00C07470" w:rsidP="00C07470">
      <w:pPr>
        <w:autoSpaceDE w:val="0"/>
        <w:autoSpaceDN w:val="0"/>
        <w:adjustRightInd w:val="0"/>
        <w:jc w:val="both"/>
        <w:rPr>
          <w:rFonts w:eastAsiaTheme="minorHAnsi" w:cstheme="minorBidi"/>
          <w:szCs w:val="22"/>
        </w:rPr>
      </w:pPr>
      <w:r>
        <w:rPr>
          <w:rFonts w:eastAsiaTheme="minorHAnsi" w:cstheme="minorBidi"/>
          <w:szCs w:val="22"/>
        </w:rPr>
        <w:t>Th</w:t>
      </w:r>
      <w:r w:rsidR="007A4208">
        <w:rPr>
          <w:rFonts w:eastAsiaTheme="minorHAnsi" w:cstheme="minorBidi"/>
          <w:szCs w:val="22"/>
        </w:rPr>
        <w:t>is subsection further</w:t>
      </w:r>
      <w:r>
        <w:rPr>
          <w:rFonts w:eastAsiaTheme="minorHAnsi" w:cstheme="minorBidi"/>
          <w:szCs w:val="22"/>
        </w:rPr>
        <w:t xml:space="preserve"> </w:t>
      </w:r>
      <w:r w:rsidR="00D805B9">
        <w:rPr>
          <w:rFonts w:eastAsiaTheme="minorHAnsi" w:cstheme="minorBidi"/>
          <w:szCs w:val="22"/>
        </w:rPr>
        <w:t xml:space="preserve">requires that when an acquiring utility purchases a viable system and seeks approval of a </w:t>
      </w:r>
      <w:r w:rsidR="005D5570">
        <w:rPr>
          <w:rFonts w:eastAsiaTheme="minorHAnsi" w:cstheme="minorBidi"/>
          <w:szCs w:val="22"/>
        </w:rPr>
        <w:t>positive</w:t>
      </w:r>
      <w:r w:rsidR="00D805B9">
        <w:rPr>
          <w:rFonts w:eastAsiaTheme="minorHAnsi" w:cstheme="minorBidi"/>
          <w:szCs w:val="22"/>
        </w:rPr>
        <w:t xml:space="preserve"> acquisition adjustment, it must demonstrate that the purchase was made as part of an arms-length transaction</w:t>
      </w:r>
      <w:r w:rsidR="005C6B8B">
        <w:rPr>
          <w:rFonts w:eastAsiaTheme="minorHAnsi" w:cstheme="minorBidi"/>
          <w:szCs w:val="22"/>
        </w:rPr>
        <w:t xml:space="preserve"> and</w:t>
      </w:r>
      <w:r w:rsidR="00D805B9">
        <w:rPr>
          <w:rFonts w:eastAsiaTheme="minorHAnsi" w:cstheme="minorBidi"/>
          <w:szCs w:val="22"/>
        </w:rPr>
        <w:t xml:space="preserve"> that the transaction incorporating a full or partial acquisition adjustment is projected to provide a positive </w:t>
      </w:r>
      <w:r w:rsidR="00AA736C">
        <w:rPr>
          <w:rFonts w:eastAsiaTheme="minorHAnsi" w:cstheme="minorBidi"/>
          <w:szCs w:val="22"/>
        </w:rPr>
        <w:t>cumulative present value of the revenue requirements (</w:t>
      </w:r>
      <w:r w:rsidR="00D805B9">
        <w:rPr>
          <w:rFonts w:eastAsiaTheme="minorHAnsi" w:cstheme="minorBidi"/>
          <w:szCs w:val="22"/>
        </w:rPr>
        <w:t>CPVRR</w:t>
      </w:r>
      <w:r w:rsidR="00AA736C">
        <w:rPr>
          <w:rFonts w:eastAsiaTheme="minorHAnsi" w:cstheme="minorBidi"/>
          <w:szCs w:val="22"/>
        </w:rPr>
        <w:t>)</w:t>
      </w:r>
      <w:r w:rsidR="00D805B9">
        <w:rPr>
          <w:rFonts w:eastAsiaTheme="minorHAnsi" w:cstheme="minorBidi"/>
          <w:szCs w:val="22"/>
        </w:rPr>
        <w:t xml:space="preserve"> customer benefit over a 5-year period from the date of acquisition.  In the event the CPVRR does not result in an objective positive customer benefit, the </w:t>
      </w:r>
      <w:r w:rsidR="00597BF6">
        <w:rPr>
          <w:rFonts w:eastAsiaTheme="minorHAnsi" w:cstheme="minorBidi"/>
          <w:szCs w:val="22"/>
        </w:rPr>
        <w:t xml:space="preserve">recommended </w:t>
      </w:r>
      <w:r w:rsidR="00D805B9">
        <w:rPr>
          <w:rFonts w:eastAsiaTheme="minorHAnsi" w:cstheme="minorBidi"/>
          <w:szCs w:val="22"/>
        </w:rPr>
        <w:t xml:space="preserve">rule </w:t>
      </w:r>
      <w:r w:rsidR="005C6B8B">
        <w:rPr>
          <w:rFonts w:eastAsiaTheme="minorHAnsi" w:cstheme="minorBidi"/>
          <w:szCs w:val="22"/>
        </w:rPr>
        <w:t>amendment</w:t>
      </w:r>
      <w:r w:rsidR="00597BF6">
        <w:rPr>
          <w:rFonts w:eastAsiaTheme="minorHAnsi" w:cstheme="minorBidi"/>
          <w:szCs w:val="22"/>
        </w:rPr>
        <w:t>s</w:t>
      </w:r>
      <w:r w:rsidR="005C6B8B">
        <w:rPr>
          <w:rFonts w:eastAsiaTheme="minorHAnsi" w:cstheme="minorBidi"/>
          <w:szCs w:val="22"/>
        </w:rPr>
        <w:t xml:space="preserve"> </w:t>
      </w:r>
      <w:r w:rsidR="00D805B9">
        <w:rPr>
          <w:rFonts w:eastAsiaTheme="minorHAnsi" w:cstheme="minorBidi"/>
          <w:szCs w:val="22"/>
        </w:rPr>
        <w:t>provide the Commission will consider specified factors in determining whether to allow an acquisition adjustment.</w:t>
      </w:r>
      <w:r w:rsidR="00677391">
        <w:rPr>
          <w:rFonts w:eastAsiaTheme="minorHAnsi" w:cstheme="minorBidi"/>
          <w:szCs w:val="22"/>
        </w:rPr>
        <w:t xml:space="preserve">  </w:t>
      </w:r>
      <w:r w:rsidR="00677391" w:rsidRPr="00677391">
        <w:rPr>
          <w:rFonts w:eastAsiaTheme="minorHAnsi" w:cstheme="minorBidi"/>
          <w:szCs w:val="22"/>
        </w:rPr>
        <w:t>By operation of math, the inclusion of any amount of acquisition adjustment in the determination of revenue requirement will place upward pressure on customer rates, all other elements held constant. In order for the Commission to make an informed decision whether to approve a requested acquisition adjustment, it must have reliable information from the acquiring utility regarding the magnitude of the impact on customer rates. Based on comments received from the stakeholders, staff believes the 5-year period for the CPVRR analysis strikes an appropriate balance between obtaining this relevant and necessary information while not being overly burdensome on the acquiring utility.</w:t>
      </w:r>
      <w:r w:rsidR="00383148">
        <w:rPr>
          <w:rFonts w:eastAsiaTheme="minorHAnsi" w:cstheme="minorBidi"/>
          <w:szCs w:val="22"/>
        </w:rPr>
        <w:t xml:space="preserve"> </w:t>
      </w:r>
    </w:p>
    <w:p w:rsidR="00C07470" w:rsidRPr="00C07470" w:rsidRDefault="00C07470" w:rsidP="00C07470">
      <w:pPr>
        <w:autoSpaceDE w:val="0"/>
        <w:autoSpaceDN w:val="0"/>
        <w:adjustRightInd w:val="0"/>
        <w:jc w:val="both"/>
      </w:pPr>
    </w:p>
    <w:p w:rsidR="0084248A" w:rsidRDefault="00D805B9" w:rsidP="00D805B9">
      <w:pPr>
        <w:spacing w:after="200"/>
        <w:jc w:val="both"/>
        <w:rPr>
          <w:rFonts w:eastAsiaTheme="minorHAnsi" w:cstheme="minorBidi"/>
          <w:color w:val="000000"/>
          <w:szCs w:val="22"/>
        </w:rPr>
      </w:pPr>
      <w:r>
        <w:rPr>
          <w:rFonts w:eastAsiaTheme="minorHAnsi" w:cstheme="minorBidi"/>
          <w:szCs w:val="22"/>
        </w:rPr>
        <w:t>To assist the Commission in the determination of whether the CPVRR result</w:t>
      </w:r>
      <w:r w:rsidR="005C6B8B">
        <w:rPr>
          <w:rFonts w:eastAsiaTheme="minorHAnsi" w:cstheme="minorBidi"/>
          <w:szCs w:val="22"/>
        </w:rPr>
        <w:t>s</w:t>
      </w:r>
      <w:r>
        <w:rPr>
          <w:rFonts w:eastAsiaTheme="minorHAnsi" w:cstheme="minorBidi"/>
          <w:szCs w:val="22"/>
        </w:rPr>
        <w:t xml:space="preserve"> in a positive customer benefit over the 5-year period, the acquiring utility must file a CPVRR in the form of a spreadsheet with its petition.  </w:t>
      </w:r>
      <w:r w:rsidRPr="003A62F2">
        <w:rPr>
          <w:rFonts w:eastAsiaTheme="minorHAnsi" w:cstheme="minorBidi"/>
          <w:szCs w:val="22"/>
        </w:rPr>
        <w:t>Rule 25-30.</w:t>
      </w:r>
      <w:r w:rsidRPr="00EB4E08">
        <w:rPr>
          <w:rFonts w:eastAsiaTheme="minorHAnsi" w:cstheme="minorBidi"/>
          <w:szCs w:val="22"/>
        </w:rPr>
        <w:t>0371</w:t>
      </w:r>
      <w:r>
        <w:rPr>
          <w:rFonts w:eastAsiaTheme="minorHAnsi" w:cstheme="minorBidi"/>
          <w:szCs w:val="22"/>
        </w:rPr>
        <w:t>(4)(b)6.</w:t>
      </w:r>
      <w:r w:rsidRPr="003A62F2">
        <w:rPr>
          <w:rFonts w:eastAsiaTheme="minorHAnsi" w:cstheme="minorBidi"/>
          <w:szCs w:val="22"/>
        </w:rPr>
        <w:t xml:space="preserve">, F.A.C., </w:t>
      </w:r>
      <w:r>
        <w:rPr>
          <w:rFonts w:eastAsiaTheme="minorHAnsi" w:cstheme="minorBidi"/>
          <w:szCs w:val="22"/>
        </w:rPr>
        <w:t>creates</w:t>
      </w:r>
      <w:r w:rsidRPr="003A62F2">
        <w:rPr>
          <w:rFonts w:eastAsiaTheme="minorHAnsi" w:cstheme="minorBidi"/>
          <w:szCs w:val="22"/>
        </w:rPr>
        <w:t xml:space="preserve"> a </w:t>
      </w:r>
      <w:r>
        <w:rPr>
          <w:rFonts w:eastAsiaTheme="minorHAnsi" w:cstheme="minorBidi"/>
          <w:szCs w:val="22"/>
        </w:rPr>
        <w:t xml:space="preserve">form titled, “Water and/or Wastewater Utilities </w:t>
      </w:r>
      <w:r w:rsidRPr="003A62F2">
        <w:rPr>
          <w:rFonts w:eastAsiaTheme="minorHAnsi" w:cstheme="minorBidi"/>
          <w:color w:val="000000"/>
          <w:szCs w:val="22"/>
        </w:rPr>
        <w:t>Cumulative Present Value of the Revenue Requirement</w:t>
      </w:r>
      <w:r>
        <w:rPr>
          <w:rFonts w:eastAsiaTheme="minorHAnsi" w:cstheme="minorBidi"/>
          <w:color w:val="000000"/>
          <w:szCs w:val="22"/>
        </w:rPr>
        <w:t>s for Acquisition Adjustment Worksheet”</w:t>
      </w:r>
      <w:r w:rsidRPr="003A62F2">
        <w:rPr>
          <w:rFonts w:eastAsiaTheme="minorHAnsi" w:cstheme="minorBidi"/>
          <w:color w:val="000000"/>
          <w:szCs w:val="22"/>
        </w:rPr>
        <w:t xml:space="preserve"> </w:t>
      </w:r>
      <w:r w:rsidR="004C6E59">
        <w:rPr>
          <w:rFonts w:eastAsiaTheme="minorHAnsi" w:cstheme="minorBidi"/>
          <w:color w:val="000000"/>
          <w:szCs w:val="22"/>
        </w:rPr>
        <w:t>that</w:t>
      </w:r>
      <w:r w:rsidRPr="003A62F2">
        <w:rPr>
          <w:rFonts w:eastAsiaTheme="minorHAnsi" w:cstheme="minorBidi"/>
          <w:color w:val="000000"/>
          <w:szCs w:val="22"/>
        </w:rPr>
        <w:t xml:space="preserve"> m</w:t>
      </w:r>
      <w:r>
        <w:rPr>
          <w:rFonts w:eastAsiaTheme="minorHAnsi" w:cstheme="minorBidi"/>
          <w:color w:val="000000"/>
          <w:szCs w:val="22"/>
        </w:rPr>
        <w:t xml:space="preserve">ay be completed by a viable utility acquiring another viable system and </w:t>
      </w:r>
      <w:r w:rsidR="004C6E59">
        <w:rPr>
          <w:rFonts w:eastAsiaTheme="minorHAnsi" w:cstheme="minorBidi"/>
          <w:color w:val="000000"/>
          <w:szCs w:val="22"/>
        </w:rPr>
        <w:t>that</w:t>
      </w:r>
      <w:r>
        <w:rPr>
          <w:rFonts w:eastAsiaTheme="minorHAnsi" w:cstheme="minorBidi"/>
          <w:color w:val="000000"/>
          <w:szCs w:val="22"/>
        </w:rPr>
        <w:t xml:space="preserve"> may be included in its petition for a positive acquisition adjustment unless </w:t>
      </w:r>
      <w:r w:rsidR="00B6274E">
        <w:rPr>
          <w:rFonts w:eastAsiaTheme="minorHAnsi" w:cstheme="minorBidi"/>
          <w:color w:val="000000"/>
          <w:szCs w:val="22"/>
        </w:rPr>
        <w:t>the acquiring utility</w:t>
      </w:r>
      <w:r>
        <w:rPr>
          <w:rFonts w:eastAsiaTheme="minorHAnsi" w:cstheme="minorBidi"/>
          <w:color w:val="000000"/>
          <w:szCs w:val="22"/>
        </w:rPr>
        <w:t xml:space="preserve"> decides to provide its own CPVRR in an Excel spreadsheet with the data and information included in the CPVRR analysis, </w:t>
      </w:r>
      <w:r w:rsidR="005C6B8B">
        <w:rPr>
          <w:rFonts w:eastAsiaTheme="minorHAnsi" w:cstheme="minorBidi"/>
          <w:color w:val="000000"/>
          <w:szCs w:val="22"/>
        </w:rPr>
        <w:t xml:space="preserve">along </w:t>
      </w:r>
      <w:r>
        <w:rPr>
          <w:rFonts w:eastAsiaTheme="minorHAnsi" w:cstheme="minorBidi"/>
          <w:color w:val="000000"/>
          <w:szCs w:val="22"/>
        </w:rPr>
        <w:t xml:space="preserve">with </w:t>
      </w:r>
      <w:r w:rsidR="005C6B8B">
        <w:rPr>
          <w:rFonts w:eastAsiaTheme="minorHAnsi" w:cstheme="minorBidi"/>
          <w:color w:val="000000"/>
          <w:szCs w:val="22"/>
        </w:rPr>
        <w:t xml:space="preserve">providing </w:t>
      </w:r>
      <w:r>
        <w:rPr>
          <w:rFonts w:eastAsiaTheme="minorHAnsi" w:cstheme="minorBidi"/>
          <w:color w:val="000000"/>
          <w:szCs w:val="22"/>
        </w:rPr>
        <w:t>the spreadsheet formulas intact and all supporting data and assumptions used in the spreadsheet.</w:t>
      </w:r>
    </w:p>
    <w:p w:rsidR="004C6E59" w:rsidRDefault="0084248A" w:rsidP="00D805B9">
      <w:pPr>
        <w:spacing w:after="200"/>
        <w:jc w:val="both"/>
      </w:pPr>
      <w:r>
        <w:t xml:space="preserve">Paragraph (4)(b) of the draft rule encompasses what information staff believes should be contained in the utility’s petition for an acquisition adjustment for a viable utility.  Staff has crafted the language in paragraph (4)(b) to align with the factors in paragraph (4)(a), which the Commission will consider in determining whether the acquired utility customers benefit from the requested acquisition adjustment.  Staff recommends that the information the utility must file with its petition </w:t>
      </w:r>
      <w:r w:rsidR="00AA736C">
        <w:t>in</w:t>
      </w:r>
      <w:r w:rsidR="00511535">
        <w:t>c</w:t>
      </w:r>
      <w:r w:rsidR="00AA736C">
        <w:t>l</w:t>
      </w:r>
      <w:r w:rsidR="00511535">
        <w:t>u</w:t>
      </w:r>
      <w:r>
        <w:t>de</w:t>
      </w:r>
      <w:r w:rsidR="004C6E59">
        <w:t>:</w:t>
      </w:r>
    </w:p>
    <w:p w:rsidR="004C6E59" w:rsidRPr="002F63D9" w:rsidRDefault="0084248A" w:rsidP="002F63D9">
      <w:pPr>
        <w:pStyle w:val="ListParagraph"/>
        <w:numPr>
          <w:ilvl w:val="0"/>
          <w:numId w:val="15"/>
        </w:numPr>
        <w:spacing w:after="200"/>
        <w:ind w:right="720"/>
        <w:rPr>
          <w:rFonts w:eastAsiaTheme="minorHAnsi" w:cstheme="minorBidi"/>
          <w:color w:val="000000"/>
          <w:szCs w:val="22"/>
        </w:rPr>
      </w:pPr>
      <w:r>
        <w:t xml:space="preserve">the amount of acquisition adjustment and amortization period requested; </w:t>
      </w:r>
    </w:p>
    <w:p w:rsidR="004C6E59" w:rsidRPr="002F63D9" w:rsidRDefault="0084248A" w:rsidP="002F63D9">
      <w:pPr>
        <w:pStyle w:val="ListParagraph"/>
        <w:numPr>
          <w:ilvl w:val="0"/>
          <w:numId w:val="15"/>
        </w:numPr>
        <w:spacing w:after="200"/>
        <w:ind w:right="720"/>
        <w:rPr>
          <w:rFonts w:eastAsiaTheme="minorHAnsi" w:cstheme="minorBidi"/>
          <w:color w:val="000000"/>
          <w:szCs w:val="22"/>
        </w:rPr>
      </w:pPr>
      <w:r>
        <w:t xml:space="preserve">how acquisition was part of an arms-length transaction; </w:t>
      </w:r>
    </w:p>
    <w:p w:rsidR="004C6E59" w:rsidRPr="002F63D9" w:rsidRDefault="0084248A" w:rsidP="002F63D9">
      <w:pPr>
        <w:pStyle w:val="ListParagraph"/>
        <w:numPr>
          <w:ilvl w:val="0"/>
          <w:numId w:val="15"/>
        </w:numPr>
        <w:spacing w:after="200"/>
        <w:ind w:right="720"/>
        <w:rPr>
          <w:rFonts w:eastAsiaTheme="minorHAnsi" w:cstheme="minorBidi"/>
          <w:color w:val="000000"/>
          <w:szCs w:val="22"/>
        </w:rPr>
      </w:pPr>
      <w:r>
        <w:t xml:space="preserve">the contract of sale, estimated cost of fees, and closing costs; </w:t>
      </w:r>
    </w:p>
    <w:p w:rsidR="004C6E59" w:rsidRPr="002F63D9" w:rsidRDefault="0084248A" w:rsidP="002F63D9">
      <w:pPr>
        <w:pStyle w:val="ListParagraph"/>
        <w:numPr>
          <w:ilvl w:val="0"/>
          <w:numId w:val="15"/>
        </w:numPr>
        <w:spacing w:after="200"/>
        <w:ind w:right="720"/>
        <w:rPr>
          <w:rFonts w:eastAsiaTheme="minorHAnsi" w:cstheme="minorBidi"/>
          <w:color w:val="000000"/>
          <w:szCs w:val="22"/>
        </w:rPr>
      </w:pPr>
      <w:r>
        <w:t xml:space="preserve">calculation of book value and composite remaining life of assets purchased; </w:t>
      </w:r>
    </w:p>
    <w:p w:rsidR="004C6E59" w:rsidRPr="002F63D9" w:rsidRDefault="0084248A" w:rsidP="002F63D9">
      <w:pPr>
        <w:pStyle w:val="ListParagraph"/>
        <w:numPr>
          <w:ilvl w:val="0"/>
          <w:numId w:val="15"/>
        </w:numPr>
        <w:spacing w:after="200"/>
        <w:ind w:right="720"/>
        <w:rPr>
          <w:rFonts w:eastAsiaTheme="minorHAnsi" w:cstheme="minorBidi"/>
          <w:color w:val="000000"/>
          <w:szCs w:val="22"/>
        </w:rPr>
      </w:pPr>
      <w:r>
        <w:t>C</w:t>
      </w:r>
      <w:r w:rsidR="006B4A01">
        <w:t>P</w:t>
      </w:r>
      <w:r>
        <w:t>VRR in spreadsheet form</w:t>
      </w:r>
      <w:r w:rsidR="00E809B5">
        <w:t xml:space="preserve"> or</w:t>
      </w:r>
      <w:r>
        <w:t xml:space="preserve"> Excel spreadsheet with data and information</w:t>
      </w:r>
      <w:r w:rsidR="00E809B5">
        <w:t xml:space="preserve"> included </w:t>
      </w:r>
      <w:r>
        <w:t>in C</w:t>
      </w:r>
      <w:r w:rsidR="006B4A01">
        <w:t>P</w:t>
      </w:r>
      <w:r>
        <w:t>VRR analysis</w:t>
      </w:r>
      <w:r w:rsidR="00E809B5">
        <w:t xml:space="preserve"> with all supporting data and assumptions used; </w:t>
      </w:r>
    </w:p>
    <w:p w:rsidR="004C6E59" w:rsidRPr="002F63D9" w:rsidRDefault="0084248A" w:rsidP="002F63D9">
      <w:pPr>
        <w:pStyle w:val="ListParagraph"/>
        <w:numPr>
          <w:ilvl w:val="0"/>
          <w:numId w:val="15"/>
        </w:numPr>
        <w:spacing w:after="200"/>
        <w:ind w:right="720"/>
        <w:rPr>
          <w:rFonts w:eastAsiaTheme="minorHAnsi" w:cstheme="minorBidi"/>
          <w:color w:val="000000"/>
          <w:szCs w:val="22"/>
        </w:rPr>
      </w:pPr>
      <w:r>
        <w:t xml:space="preserve">description of </w:t>
      </w:r>
      <w:r w:rsidR="00E809B5">
        <w:t>anticipated improvements or planned infrastructure additions and maintenance by</w:t>
      </w:r>
      <w:r w:rsidR="004C6E59">
        <w:t xml:space="preserve"> the</w:t>
      </w:r>
      <w:r w:rsidR="00E809B5">
        <w:t xml:space="preserve"> acquiring utility; </w:t>
      </w:r>
    </w:p>
    <w:p w:rsidR="004C6E59" w:rsidRPr="002F63D9" w:rsidRDefault="00E809B5" w:rsidP="002F63D9">
      <w:pPr>
        <w:pStyle w:val="ListParagraph"/>
        <w:numPr>
          <w:ilvl w:val="0"/>
          <w:numId w:val="15"/>
        </w:numPr>
        <w:spacing w:after="200"/>
        <w:ind w:right="720"/>
        <w:rPr>
          <w:rFonts w:eastAsiaTheme="minorHAnsi" w:cstheme="minorBidi"/>
          <w:color w:val="000000"/>
          <w:szCs w:val="22"/>
        </w:rPr>
      </w:pPr>
      <w:r>
        <w:t xml:space="preserve">description of anticipated cost savings from </w:t>
      </w:r>
      <w:r w:rsidR="004C6E59">
        <w:t xml:space="preserve">the </w:t>
      </w:r>
      <w:r>
        <w:t xml:space="preserve">acquisition; </w:t>
      </w:r>
    </w:p>
    <w:p w:rsidR="004C6E59" w:rsidRPr="002F63D9" w:rsidRDefault="0084248A" w:rsidP="002F63D9">
      <w:pPr>
        <w:pStyle w:val="ListParagraph"/>
        <w:numPr>
          <w:ilvl w:val="0"/>
          <w:numId w:val="15"/>
        </w:numPr>
        <w:spacing w:after="200"/>
        <w:ind w:right="720"/>
        <w:rPr>
          <w:rFonts w:eastAsiaTheme="minorHAnsi" w:cstheme="minorBidi"/>
          <w:color w:val="000000"/>
          <w:szCs w:val="22"/>
        </w:rPr>
      </w:pPr>
      <w:r>
        <w:t>5-year project</w:t>
      </w:r>
      <w:r w:rsidR="00E809B5">
        <w:t>ed</w:t>
      </w:r>
      <w:r>
        <w:t xml:space="preserve"> impact on cost of service to acquired utility customers; an</w:t>
      </w:r>
      <w:r w:rsidR="00E809B5">
        <w:t>d</w:t>
      </w:r>
      <w:r>
        <w:t xml:space="preserve"> </w:t>
      </w:r>
    </w:p>
    <w:p w:rsidR="00D805B9" w:rsidRPr="004C6E59" w:rsidRDefault="0084248A" w:rsidP="002F63D9">
      <w:pPr>
        <w:pStyle w:val="ListParagraph"/>
        <w:numPr>
          <w:ilvl w:val="0"/>
          <w:numId w:val="15"/>
        </w:numPr>
        <w:spacing w:after="200"/>
        <w:ind w:right="720"/>
        <w:rPr>
          <w:rFonts w:eastAsiaTheme="minorHAnsi" w:cstheme="minorBidi"/>
          <w:color w:val="000000"/>
          <w:szCs w:val="22"/>
        </w:rPr>
      </w:pPr>
      <w:r>
        <w:t>any engineering studies or appraisals done regarding purchase.</w:t>
      </w:r>
      <w:r w:rsidR="00D805B9" w:rsidRPr="004C6E59">
        <w:rPr>
          <w:rFonts w:eastAsiaTheme="minorHAnsi" w:cstheme="minorBidi"/>
          <w:color w:val="000000"/>
          <w:szCs w:val="22"/>
        </w:rPr>
        <w:t xml:space="preserve">  </w:t>
      </w:r>
    </w:p>
    <w:p w:rsidR="00383148" w:rsidRDefault="00383148" w:rsidP="00937F9A">
      <w:pPr>
        <w:pStyle w:val="Second-LevelSubheading"/>
        <w:rPr>
          <w:rFonts w:eastAsiaTheme="minorHAnsi"/>
        </w:rPr>
      </w:pPr>
      <w:r>
        <w:rPr>
          <w:rFonts w:eastAsiaTheme="minorHAnsi"/>
        </w:rPr>
        <w:t>Stakeholder Comments</w:t>
      </w:r>
    </w:p>
    <w:p w:rsidR="00D805B9" w:rsidRDefault="00D805B9" w:rsidP="00D805B9">
      <w:pPr>
        <w:spacing w:after="200"/>
        <w:jc w:val="both"/>
        <w:rPr>
          <w:rFonts w:eastAsiaTheme="minorHAnsi" w:cstheme="minorBidi"/>
          <w:szCs w:val="22"/>
        </w:rPr>
      </w:pPr>
      <w:r w:rsidRPr="003A62F2">
        <w:rPr>
          <w:rFonts w:eastAsiaTheme="minorHAnsi" w:cstheme="minorBidi"/>
          <w:szCs w:val="22"/>
        </w:rPr>
        <w:t>None of the stakeholders objected to the concept of a CPVRR being required to substantiate the projected 5-year rate impact or disputed the Commission’s need to obtain the information the CPVRR provides</w:t>
      </w:r>
      <w:r>
        <w:rPr>
          <w:rFonts w:eastAsiaTheme="minorHAnsi" w:cstheme="minorBidi"/>
          <w:szCs w:val="22"/>
        </w:rPr>
        <w:t>; however, SWS raised its concern that the CPVRR limits the calculation of benefits to a 5-year window</w:t>
      </w:r>
      <w:r w:rsidRPr="003A62F2">
        <w:rPr>
          <w:rFonts w:eastAsiaTheme="minorHAnsi" w:cstheme="minorBidi"/>
          <w:szCs w:val="22"/>
        </w:rPr>
        <w:t xml:space="preserve">. </w:t>
      </w:r>
    </w:p>
    <w:p w:rsidR="00D805B9" w:rsidRDefault="00D805B9" w:rsidP="00D805B9">
      <w:pPr>
        <w:autoSpaceDE w:val="0"/>
        <w:autoSpaceDN w:val="0"/>
        <w:adjustRightInd w:val="0"/>
        <w:jc w:val="both"/>
      </w:pPr>
      <w:r w:rsidRPr="003A62F2">
        <w:rPr>
          <w:rFonts w:eastAsiaTheme="minorHAnsi" w:cstheme="minorBidi"/>
          <w:szCs w:val="22"/>
        </w:rPr>
        <w:t xml:space="preserve">OPC </w:t>
      </w:r>
      <w:r w:rsidR="004C6E59">
        <w:rPr>
          <w:rFonts w:eastAsiaTheme="minorHAnsi" w:cstheme="minorBidi"/>
          <w:szCs w:val="22"/>
        </w:rPr>
        <w:t>also supported a CPVRR projected 5-year rate impact, stating that,</w:t>
      </w:r>
      <w:r>
        <w:rPr>
          <w:rFonts w:eastAsiaTheme="minorHAnsi" w:cstheme="minorBidi"/>
          <w:szCs w:val="22"/>
        </w:rPr>
        <w:t xml:space="preserve"> “[t]he objective standard of a 5-year CPVRR analysis must be applicable for all positive acquisition adjustments in order to demonstrate offsetting economic customer savings in the public interest</w:t>
      </w:r>
      <w:r w:rsidR="004C6E59">
        <w:rPr>
          <w:rFonts w:eastAsiaTheme="minorHAnsi" w:cstheme="minorBidi"/>
          <w:szCs w:val="22"/>
        </w:rPr>
        <w:t>.</w:t>
      </w:r>
      <w:r w:rsidR="006B4A01">
        <w:rPr>
          <w:rFonts w:eastAsiaTheme="minorHAnsi" w:cstheme="minorBidi"/>
          <w:szCs w:val="22"/>
        </w:rPr>
        <w:t>”</w:t>
      </w:r>
      <w:r w:rsidR="004C6E59">
        <w:rPr>
          <w:rFonts w:eastAsiaTheme="minorHAnsi" w:cstheme="minorBidi"/>
          <w:szCs w:val="22"/>
        </w:rPr>
        <w:t xml:space="preserve">  However, it also asserted that </w:t>
      </w:r>
      <w:r>
        <w:rPr>
          <w:rFonts w:eastAsiaTheme="minorHAnsi" w:cstheme="minorBidi"/>
          <w:szCs w:val="22"/>
        </w:rPr>
        <w:t xml:space="preserve"> </w:t>
      </w:r>
      <w:r w:rsidR="006B4A01">
        <w:rPr>
          <w:rFonts w:eastAsiaTheme="minorHAnsi" w:cstheme="minorBidi"/>
          <w:szCs w:val="22"/>
        </w:rPr>
        <w:t>“</w:t>
      </w:r>
      <w:r>
        <w:rPr>
          <w:rFonts w:eastAsiaTheme="minorHAnsi" w:cstheme="minorBidi"/>
          <w:szCs w:val="22"/>
        </w:rPr>
        <w:t xml:space="preserve">it would be impossible to demonstrate that any qualitative benefits outweigh the potential rate impact to customers, </w:t>
      </w:r>
      <w:r w:rsidRPr="00C219D8">
        <w:t xml:space="preserve"> </w:t>
      </w:r>
      <w:r w:rsidR="004C6E59">
        <w:t xml:space="preserve">absent </w:t>
      </w:r>
      <w:r w:rsidRPr="00C219D8">
        <w:t xml:space="preserve">a positive CPVRR benefit for customers over a </w:t>
      </w:r>
      <w:r>
        <w:t>5</w:t>
      </w:r>
      <w:r w:rsidRPr="00C219D8">
        <w:t>-year period.</w:t>
      </w:r>
      <w:r>
        <w:t xml:space="preserve">  </w:t>
      </w:r>
    </w:p>
    <w:p w:rsidR="00D805B9" w:rsidRDefault="00D805B9" w:rsidP="00D805B9">
      <w:pPr>
        <w:autoSpaceDE w:val="0"/>
        <w:autoSpaceDN w:val="0"/>
        <w:adjustRightInd w:val="0"/>
        <w:jc w:val="both"/>
      </w:pPr>
    </w:p>
    <w:p w:rsidR="00D805B9" w:rsidRDefault="00D805B9" w:rsidP="005157A4">
      <w:pPr>
        <w:autoSpaceDE w:val="0"/>
        <w:autoSpaceDN w:val="0"/>
        <w:adjustRightInd w:val="0"/>
        <w:jc w:val="both"/>
        <w:rPr>
          <w:rFonts w:eastAsiaTheme="minorHAnsi" w:cstheme="minorBidi"/>
        </w:rPr>
      </w:pPr>
      <w:r>
        <w:t xml:space="preserve">SWS </w:t>
      </w:r>
      <w:r w:rsidR="00236D5C">
        <w:t>suggested</w:t>
      </w:r>
      <w:r>
        <w:t xml:space="preserve"> </w:t>
      </w:r>
      <w:r w:rsidR="005157A4">
        <w:t>the CPVRR “</w:t>
      </w:r>
      <w:r w:rsidR="005157A4">
        <w:rPr>
          <w:rFonts w:ascii="TimesNewRomanPSMT" w:hAnsi="TimesNewRomanPSMT" w:cs="TimesNewRomanPSMT"/>
        </w:rPr>
        <w:t>presents a formulaic, limited calculation of benefits to customers that omits relevant and valuable qualitative benefits that the acquirer can bring to the acquired customers,” adding “[t]he Commission’s considerations or criteria to approve a transaction, and any applicable acquisition adjustment, should consider all relevant aspects of the acquisition</w:t>
      </w:r>
      <w:r w:rsidR="004C6E59">
        <w:rPr>
          <w:rFonts w:ascii="TimesNewRomanPSMT" w:hAnsi="TimesNewRomanPSMT" w:cs="TimesNewRomanPSMT"/>
        </w:rPr>
        <w:t>.  SWS further suggested that a CPVRR</w:t>
      </w:r>
      <w:r w:rsidR="005157A4">
        <w:rPr>
          <w:rFonts w:ascii="TimesNewRomanPSMT" w:hAnsi="TimesNewRomanPSMT" w:cs="TimesNewRomanPSMT"/>
        </w:rPr>
        <w:t xml:space="preserve"> does not account for the potential array of scenarios that may be presented</w:t>
      </w:r>
      <w:r w:rsidR="004C6E59">
        <w:rPr>
          <w:rFonts w:ascii="TimesNewRomanPSMT" w:hAnsi="TimesNewRomanPSMT" w:cs="TimesNewRomanPSMT"/>
        </w:rPr>
        <w:t xml:space="preserve"> and</w:t>
      </w:r>
      <w:r w:rsidR="0020510D">
        <w:rPr>
          <w:rFonts w:ascii="TimesNewRomanPSMT" w:hAnsi="TimesNewRomanPSMT" w:cs="TimesNewRomanPSMT"/>
        </w:rPr>
        <w:t xml:space="preserve"> </w:t>
      </w:r>
      <w:r w:rsidR="005157A4">
        <w:rPr>
          <w:rFonts w:ascii="TimesNewRomanPSMT" w:hAnsi="TimesNewRomanPSMT" w:cs="TimesNewRomanPSMT"/>
        </w:rPr>
        <w:t>limits the calculation of benefits to a 5-year window</w:t>
      </w:r>
      <w:r w:rsidR="004C6E59">
        <w:rPr>
          <w:rFonts w:ascii="TimesNewRomanPSMT" w:hAnsi="TimesNewRomanPSMT" w:cs="TimesNewRomanPSMT"/>
        </w:rPr>
        <w:t>, adding that in</w:t>
      </w:r>
      <w:r w:rsidR="005157A4">
        <w:rPr>
          <w:rFonts w:ascii="TimesNewRomanPSMT" w:hAnsi="TimesNewRomanPSMT" w:cs="TimesNewRomanPSMT"/>
        </w:rPr>
        <w:t xml:space="preserve"> many acquisitions, especially of viable systems, the cost efficiency opportunities that come from integration of the utilities may take time, and costs to effectuate the integration will likely come before benefits.”</w:t>
      </w:r>
    </w:p>
    <w:p w:rsidR="00D805B9" w:rsidRDefault="00D805B9" w:rsidP="005157A4">
      <w:pPr>
        <w:autoSpaceDE w:val="0"/>
        <w:autoSpaceDN w:val="0"/>
        <w:adjustRightInd w:val="0"/>
        <w:jc w:val="both"/>
        <w:rPr>
          <w:rFonts w:eastAsiaTheme="minorHAnsi" w:cstheme="minorBidi"/>
        </w:rPr>
      </w:pPr>
    </w:p>
    <w:p w:rsidR="00D805B9" w:rsidRPr="00B030CC" w:rsidRDefault="00D805B9" w:rsidP="00D805B9">
      <w:pPr>
        <w:autoSpaceDE w:val="0"/>
        <w:autoSpaceDN w:val="0"/>
        <w:adjustRightInd w:val="0"/>
        <w:jc w:val="both"/>
        <w:rPr>
          <w:rFonts w:eastAsiaTheme="minorHAnsi" w:cstheme="minorBidi"/>
        </w:rPr>
      </w:pPr>
      <w:r>
        <w:rPr>
          <w:rFonts w:eastAsiaTheme="minorHAnsi" w:cstheme="minorBidi"/>
        </w:rPr>
        <w:t>CSWR</w:t>
      </w:r>
      <w:r w:rsidR="00236D5C">
        <w:rPr>
          <w:rFonts w:eastAsiaTheme="minorHAnsi" w:cstheme="minorBidi"/>
        </w:rPr>
        <w:t xml:space="preserve"> suggested</w:t>
      </w:r>
      <w:r>
        <w:rPr>
          <w:rFonts w:eastAsiaTheme="minorHAnsi" w:cstheme="minorBidi"/>
        </w:rPr>
        <w:t xml:space="preserve"> a full or partial acqui</w:t>
      </w:r>
      <w:r w:rsidRPr="00B030CC">
        <w:rPr>
          <w:rFonts w:eastAsiaTheme="minorHAnsi" w:cstheme="minorBidi"/>
        </w:rPr>
        <w:t>sition adjustment “</w:t>
      </w:r>
      <w:r w:rsidRPr="00B030CC">
        <w:t>should still be allowed if there are other qualitative</w:t>
      </w:r>
      <w:r>
        <w:t xml:space="preserve"> </w:t>
      </w:r>
      <w:r w:rsidRPr="00B030CC">
        <w:t>benefits such as improved customer service, improved monitoring and reporting of</w:t>
      </w:r>
      <w:r>
        <w:t xml:space="preserve"> </w:t>
      </w:r>
      <w:r w:rsidRPr="00B030CC">
        <w:t>and response to health and safety requirements, or improved billing, record</w:t>
      </w:r>
      <w:r>
        <w:t xml:space="preserve"> </w:t>
      </w:r>
      <w:r w:rsidRPr="00B030CC">
        <w:t>keeping and compliance with regulatory reporting requirements.”</w:t>
      </w:r>
    </w:p>
    <w:p w:rsidR="00D805B9" w:rsidRPr="00B030CC" w:rsidRDefault="00D805B9" w:rsidP="00D805B9">
      <w:pPr>
        <w:autoSpaceDE w:val="0"/>
        <w:autoSpaceDN w:val="0"/>
        <w:adjustRightInd w:val="0"/>
        <w:rPr>
          <w:rFonts w:eastAsiaTheme="minorHAnsi" w:cstheme="minorBidi"/>
        </w:rPr>
      </w:pPr>
    </w:p>
    <w:p w:rsidR="00D805B9" w:rsidRDefault="00D805B9" w:rsidP="00557E7C">
      <w:pPr>
        <w:autoSpaceDE w:val="0"/>
        <w:autoSpaceDN w:val="0"/>
        <w:adjustRightInd w:val="0"/>
        <w:jc w:val="both"/>
      </w:pPr>
      <w:r>
        <w:rPr>
          <w:rFonts w:ascii="TimesNewRomanPSMT" w:hAnsi="TimesNewRomanPSMT" w:cs="TimesNewRomanPSMT"/>
        </w:rPr>
        <w:t xml:space="preserve">Staff recommends </w:t>
      </w:r>
      <w:r>
        <w:t xml:space="preserve">approval of the </w:t>
      </w:r>
      <w:r w:rsidR="00762307">
        <w:t xml:space="preserve">rule </w:t>
      </w:r>
      <w:r>
        <w:t xml:space="preserve">language in subsection (4), as it will provide viable utilities the flexibility to seek a positive acquisition adjustment if the CPVRR quantitatively establishes a positive customer benefit, </w:t>
      </w:r>
      <w:r w:rsidR="00597BF6">
        <w:t xml:space="preserve">as well as providing flexibility </w:t>
      </w:r>
      <w:r w:rsidR="00F71EBA">
        <w:t>for</w:t>
      </w:r>
      <w:r w:rsidR="00597BF6">
        <w:t xml:space="preserve"> when</w:t>
      </w:r>
      <w:r>
        <w:t xml:space="preserve"> </w:t>
      </w:r>
      <w:r w:rsidR="00597BF6">
        <w:t>the CPVRR</w:t>
      </w:r>
      <w:r>
        <w:t xml:space="preserve"> does not</w:t>
      </w:r>
      <w:r w:rsidR="00597BF6">
        <w:t xml:space="preserve"> result in a positive customer benefit</w:t>
      </w:r>
      <w:r w:rsidR="00940AF4">
        <w:t>.  It does so</w:t>
      </w:r>
      <w:r w:rsidR="00597BF6">
        <w:t xml:space="preserve"> by providing</w:t>
      </w:r>
      <w:r>
        <w:t xml:space="preserve"> the </w:t>
      </w:r>
      <w:r w:rsidR="00940AF4">
        <w:t xml:space="preserve">Commission the ability to weigh other factors described in </w:t>
      </w:r>
      <w:r w:rsidR="0000354D">
        <w:t>sub</w:t>
      </w:r>
      <w:r w:rsidR="00597BF6">
        <w:t>paragraph</w:t>
      </w:r>
      <w:r w:rsidR="0000354D">
        <w:t>s</w:t>
      </w:r>
      <w:r w:rsidR="00597BF6">
        <w:t xml:space="preserve"> (4)</w:t>
      </w:r>
      <w:r w:rsidR="0000354D">
        <w:t xml:space="preserve">(a)1.-6., which </w:t>
      </w:r>
      <w:r w:rsidR="00940AF4">
        <w:t>demonstrate a positive customer benefit.</w:t>
      </w:r>
    </w:p>
    <w:p w:rsidR="00557E7C" w:rsidRDefault="00557E7C" w:rsidP="00557E7C">
      <w:pPr>
        <w:autoSpaceDE w:val="0"/>
        <w:autoSpaceDN w:val="0"/>
        <w:adjustRightInd w:val="0"/>
        <w:jc w:val="both"/>
        <w:rPr>
          <w:rFonts w:eastAsiaTheme="minorHAnsi" w:cstheme="minorBidi"/>
          <w:szCs w:val="22"/>
          <w:u w:val="single"/>
        </w:rPr>
      </w:pPr>
    </w:p>
    <w:p w:rsidR="00BE1C2D" w:rsidRDefault="00940AF4" w:rsidP="005157A4">
      <w:pPr>
        <w:pStyle w:val="Second-LevelSubheading"/>
        <w:ind w:left="0"/>
        <w:contextualSpacing/>
        <w:rPr>
          <w:rFonts w:eastAsiaTheme="minorHAnsi"/>
          <w:i w:val="0"/>
        </w:rPr>
      </w:pPr>
      <w:r>
        <w:rPr>
          <w:rFonts w:eastAsiaTheme="minorHAnsi"/>
          <w:i w:val="0"/>
        </w:rPr>
        <w:t>Subsection (5)</w:t>
      </w:r>
      <w:r w:rsidR="00BE1C2D" w:rsidRPr="00AA3B24">
        <w:rPr>
          <w:rFonts w:eastAsiaTheme="minorHAnsi"/>
          <w:i w:val="0"/>
        </w:rPr>
        <w:t xml:space="preserve"> – Amortization Period for a Positive Acquisition</w:t>
      </w:r>
      <w:r w:rsidR="00BE1C2D">
        <w:rPr>
          <w:rFonts w:eastAsiaTheme="minorHAnsi"/>
        </w:rPr>
        <w:t xml:space="preserve"> </w:t>
      </w:r>
      <w:r w:rsidR="00BE1C2D" w:rsidRPr="00AA3B24">
        <w:rPr>
          <w:rFonts w:eastAsiaTheme="minorHAnsi"/>
          <w:i w:val="0"/>
        </w:rPr>
        <w:t>Adjustment</w:t>
      </w:r>
    </w:p>
    <w:p w:rsidR="00D805B9" w:rsidRDefault="00860470" w:rsidP="00860470">
      <w:pPr>
        <w:pStyle w:val="BodyText"/>
        <w:rPr>
          <w:rFonts w:ascii="TimesNewRomanPSMT" w:hAnsi="TimesNewRomanPSMT" w:cs="TimesNewRomanPSMT"/>
        </w:rPr>
      </w:pPr>
      <w:r>
        <w:rPr>
          <w:rFonts w:eastAsiaTheme="minorHAnsi"/>
        </w:rPr>
        <w:t xml:space="preserve">This </w:t>
      </w:r>
      <w:r w:rsidR="00557E7C">
        <w:rPr>
          <w:rFonts w:eastAsiaTheme="minorHAnsi" w:cstheme="minorBidi"/>
          <w:szCs w:val="22"/>
        </w:rPr>
        <w:t>s</w:t>
      </w:r>
      <w:r w:rsidR="00D805B9" w:rsidRPr="005F2682">
        <w:rPr>
          <w:rFonts w:eastAsiaTheme="minorHAnsi" w:cstheme="minorBidi"/>
          <w:szCs w:val="22"/>
        </w:rPr>
        <w:t xml:space="preserve">ubsection </w:t>
      </w:r>
      <w:r w:rsidR="00D805B9">
        <w:rPr>
          <w:rFonts w:eastAsiaTheme="minorHAnsi" w:cstheme="minorBidi"/>
          <w:szCs w:val="22"/>
        </w:rPr>
        <w:t>amend</w:t>
      </w:r>
      <w:r w:rsidR="00D46486">
        <w:rPr>
          <w:rFonts w:eastAsiaTheme="minorHAnsi" w:cstheme="minorBidi"/>
          <w:szCs w:val="22"/>
        </w:rPr>
        <w:t>s</w:t>
      </w:r>
      <w:r w:rsidR="00D805B9">
        <w:rPr>
          <w:rFonts w:eastAsiaTheme="minorHAnsi" w:cstheme="minorBidi"/>
          <w:szCs w:val="22"/>
        </w:rPr>
        <w:t xml:space="preserve"> the date upon which a positive acquisition adjustment will begin </w:t>
      </w:r>
      <w:r w:rsidR="00557E7C">
        <w:rPr>
          <w:rFonts w:eastAsiaTheme="minorHAnsi" w:cstheme="minorBidi"/>
          <w:szCs w:val="22"/>
        </w:rPr>
        <w:t xml:space="preserve">by providing that the </w:t>
      </w:r>
      <w:r w:rsidR="00E51FD7">
        <w:rPr>
          <w:rFonts w:eastAsiaTheme="minorHAnsi" w:cstheme="minorBidi"/>
          <w:szCs w:val="22"/>
        </w:rPr>
        <w:t xml:space="preserve">Commission will set the </w:t>
      </w:r>
      <w:r w:rsidR="00557E7C">
        <w:rPr>
          <w:rFonts w:eastAsiaTheme="minorHAnsi" w:cstheme="minorBidi"/>
          <w:szCs w:val="22"/>
        </w:rPr>
        <w:t xml:space="preserve">amortization period </w:t>
      </w:r>
      <w:r w:rsidR="00E51FD7">
        <w:rPr>
          <w:rFonts w:eastAsiaTheme="minorHAnsi" w:cstheme="minorBidi"/>
          <w:szCs w:val="22"/>
        </w:rPr>
        <w:t xml:space="preserve">in the order approving a positive acquisition adjustment, which will begin either on the date of the approving order or </w:t>
      </w:r>
      <w:r w:rsidR="00D805B9">
        <w:rPr>
          <w:rFonts w:eastAsiaTheme="minorHAnsi" w:cstheme="minorBidi"/>
          <w:szCs w:val="22"/>
        </w:rPr>
        <w:t xml:space="preserve">on the date the sale closes, whichever occurs last.  </w:t>
      </w:r>
    </w:p>
    <w:p w:rsidR="00383148" w:rsidRDefault="00383148" w:rsidP="00937F9A">
      <w:pPr>
        <w:pStyle w:val="Second-LevelSubheading"/>
      </w:pPr>
      <w:r>
        <w:t>Stakeholder Comments</w:t>
      </w:r>
    </w:p>
    <w:p w:rsidR="00F71EBA" w:rsidRDefault="00F71EBA" w:rsidP="00D805B9">
      <w:pPr>
        <w:autoSpaceDE w:val="0"/>
        <w:autoSpaceDN w:val="0"/>
        <w:adjustRightInd w:val="0"/>
        <w:jc w:val="both"/>
      </w:pPr>
      <w:r>
        <w:rPr>
          <w:rFonts w:ascii="TimesNewRomanPSMT" w:hAnsi="TimesNewRomanPSMT" w:cs="TimesNewRomanPSMT"/>
        </w:rPr>
        <w:t xml:space="preserve">OPC </w:t>
      </w:r>
      <w:r>
        <w:t xml:space="preserve">stated that since the rule became effective in 2002, no utility has raised the concern that the amortization should not start until after closing.  In response, SWS stated the Commission has never approved a positive acquisition adjustment since the rule became effective, which OPC publicly acknowledged is correct.  </w:t>
      </w:r>
    </w:p>
    <w:p w:rsidR="00F71EBA" w:rsidRDefault="00F71EBA" w:rsidP="00D805B9">
      <w:pPr>
        <w:autoSpaceDE w:val="0"/>
        <w:autoSpaceDN w:val="0"/>
        <w:adjustRightInd w:val="0"/>
        <w:jc w:val="both"/>
      </w:pPr>
    </w:p>
    <w:p w:rsidR="00B042F3" w:rsidRDefault="00E51FD7" w:rsidP="00D805B9">
      <w:pPr>
        <w:autoSpaceDE w:val="0"/>
        <w:autoSpaceDN w:val="0"/>
        <w:adjustRightInd w:val="0"/>
        <w:jc w:val="both"/>
      </w:pPr>
      <w:r>
        <w:t xml:space="preserve">SWS </w:t>
      </w:r>
      <w:r w:rsidR="00940AF4">
        <w:t>supports the language in the recommended proposed rule, stating it provides for flexibility should the acquiring utility request a deferral of the approval of the transfer, or if the Commission were to only provisionally approve the acquisition adjustment at the time of acquisition approval</w:t>
      </w:r>
      <w:r w:rsidR="00245F09">
        <w:t>.  SWS further added that amortization before closing would be inconsistent with the matching of amortization of the adjustment with the acquired system assets’ depreciation.</w:t>
      </w:r>
    </w:p>
    <w:p w:rsidR="00B042F3" w:rsidRDefault="00B042F3" w:rsidP="00B042F3">
      <w:pPr>
        <w:autoSpaceDE w:val="0"/>
        <w:autoSpaceDN w:val="0"/>
        <w:adjustRightInd w:val="0"/>
        <w:ind w:left="720" w:right="720"/>
        <w:jc w:val="both"/>
        <w:rPr>
          <w:rFonts w:ascii="TimesNewRomanPSMT" w:hAnsi="TimesNewRomanPSMT" w:cs="TimesNewRomanPSMT"/>
        </w:rPr>
      </w:pPr>
    </w:p>
    <w:p w:rsidR="00FD3492" w:rsidRPr="00FD3492" w:rsidRDefault="00FD3492" w:rsidP="00FD3492">
      <w:pPr>
        <w:autoSpaceDE w:val="0"/>
        <w:autoSpaceDN w:val="0"/>
        <w:adjustRightInd w:val="0"/>
        <w:jc w:val="both"/>
        <w:rPr>
          <w:rFonts w:ascii="TimesNewRomanPSMT" w:hAnsi="TimesNewRomanPSMT" w:cs="TimesNewRomanPSMT"/>
        </w:rPr>
      </w:pPr>
      <w:r>
        <w:t xml:space="preserve">CSWR stated </w:t>
      </w:r>
      <w:r w:rsidRPr="00FD3492">
        <w:rPr>
          <w:rFonts w:ascii="TimesNewRomanPSMT" w:hAnsi="TimesNewRomanPSMT" w:cs="TimesNewRomanPSMT"/>
        </w:rPr>
        <w:t>this section</w:t>
      </w:r>
      <w:r w:rsidR="00245F09">
        <w:rPr>
          <w:rFonts w:ascii="TimesNewRomanPSMT" w:hAnsi="TimesNewRomanPSMT" w:cs="TimesNewRomanPSMT"/>
        </w:rPr>
        <w:t xml:space="preserve"> is</w:t>
      </w:r>
      <w:r w:rsidRPr="00FD3492">
        <w:rPr>
          <w:rFonts w:ascii="TimesNewRomanPSMT" w:hAnsi="TimesNewRomanPSMT" w:cs="TimesNewRomanPSMT"/>
        </w:rPr>
        <w:t xml:space="preserve"> to address the circumstance where the</w:t>
      </w:r>
      <w:r>
        <w:rPr>
          <w:rFonts w:ascii="TimesNewRomanPSMT" w:hAnsi="TimesNewRomanPSMT" w:cs="TimesNewRomanPSMT"/>
        </w:rPr>
        <w:t xml:space="preserve"> </w:t>
      </w:r>
      <w:r w:rsidRPr="00FD3492">
        <w:rPr>
          <w:rFonts w:ascii="TimesNewRomanPSMT" w:hAnsi="TimesNewRomanPSMT" w:cs="TimesNewRomanPSMT"/>
        </w:rPr>
        <w:t>closing of a transfer takes place after an acquisition adjustment is approved.</w:t>
      </w:r>
    </w:p>
    <w:p w:rsidR="00D805B9" w:rsidRDefault="00D805B9" w:rsidP="00D805B9">
      <w:pPr>
        <w:autoSpaceDE w:val="0"/>
        <w:autoSpaceDN w:val="0"/>
        <w:adjustRightInd w:val="0"/>
        <w:rPr>
          <w:rFonts w:eastAsiaTheme="minorHAnsi" w:cstheme="minorBidi"/>
        </w:rPr>
      </w:pPr>
    </w:p>
    <w:p w:rsidR="00D805B9" w:rsidRDefault="00D805B9" w:rsidP="005157A4">
      <w:pPr>
        <w:autoSpaceDE w:val="0"/>
        <w:autoSpaceDN w:val="0"/>
        <w:adjustRightInd w:val="0"/>
        <w:jc w:val="both"/>
        <w:rPr>
          <w:rFonts w:ascii="TimesNewRomanPSMT" w:hAnsi="TimesNewRomanPSMT" w:cs="TimesNewRomanPSMT"/>
        </w:rPr>
      </w:pPr>
      <w:r>
        <w:rPr>
          <w:rFonts w:eastAsiaTheme="minorHAnsi" w:cstheme="minorBidi"/>
        </w:rPr>
        <w:t xml:space="preserve">Staff recommends </w:t>
      </w:r>
      <w:r>
        <w:t xml:space="preserve">approval of the </w:t>
      </w:r>
      <w:r w:rsidR="00762307">
        <w:t xml:space="preserve">rule </w:t>
      </w:r>
      <w:r>
        <w:t>language in subsection (5)</w:t>
      </w:r>
      <w:r>
        <w:rPr>
          <w:rFonts w:eastAsiaTheme="minorHAnsi" w:cstheme="minorBidi"/>
        </w:rPr>
        <w:t xml:space="preserve">, </w:t>
      </w:r>
      <w:r w:rsidRPr="005F2682">
        <w:rPr>
          <w:rFonts w:ascii="TimesNewRomanPSMT" w:hAnsi="TimesNewRomanPSMT" w:cs="TimesNewRomanPSMT"/>
        </w:rPr>
        <w:t xml:space="preserve">for </w:t>
      </w:r>
      <w:r>
        <w:rPr>
          <w:rFonts w:ascii="TimesNewRomanPSMT" w:hAnsi="TimesNewRomanPSMT" w:cs="TimesNewRomanPSMT"/>
        </w:rPr>
        <w:t xml:space="preserve">both </w:t>
      </w:r>
      <w:r w:rsidR="00FD3492">
        <w:rPr>
          <w:rFonts w:ascii="TimesNewRomanPSMT" w:hAnsi="TimesNewRomanPSMT" w:cs="TimesNewRomanPSMT"/>
        </w:rPr>
        <w:t xml:space="preserve">internal </w:t>
      </w:r>
      <w:r w:rsidRPr="005F2682">
        <w:rPr>
          <w:rFonts w:ascii="TimesNewRomanPSMT" w:hAnsi="TimesNewRomanPSMT" w:cs="TimesNewRomanPSMT"/>
        </w:rPr>
        <w:t>consistency with</w:t>
      </w:r>
      <w:r w:rsidR="00FD3492">
        <w:rPr>
          <w:rFonts w:ascii="TimesNewRomanPSMT" w:hAnsi="TimesNewRomanPSMT" w:cs="TimesNewRomanPSMT"/>
        </w:rPr>
        <w:t xml:space="preserve">in the </w:t>
      </w:r>
      <w:r w:rsidR="00B740D3">
        <w:rPr>
          <w:rFonts w:ascii="TimesNewRomanPSMT" w:hAnsi="TimesNewRomanPSMT" w:cs="TimesNewRomanPSMT"/>
        </w:rPr>
        <w:t>amended</w:t>
      </w:r>
      <w:r w:rsidR="00FD3492">
        <w:rPr>
          <w:rFonts w:ascii="TimesNewRomanPSMT" w:hAnsi="TimesNewRomanPSMT" w:cs="TimesNewRomanPSMT"/>
        </w:rPr>
        <w:t xml:space="preserve"> rule</w:t>
      </w:r>
      <w:r>
        <w:rPr>
          <w:rFonts w:ascii="TimesNewRomanPSMT" w:hAnsi="TimesNewRomanPSMT" w:cs="TimesNewRomanPSMT"/>
        </w:rPr>
        <w:t xml:space="preserve">, as well as </w:t>
      </w:r>
      <w:r w:rsidRPr="005F2682">
        <w:rPr>
          <w:rFonts w:ascii="TimesNewRomanPSMT" w:hAnsi="TimesNewRomanPSMT" w:cs="TimesNewRomanPSMT"/>
        </w:rPr>
        <w:t>to address the circumstance where the</w:t>
      </w:r>
      <w:r>
        <w:rPr>
          <w:rFonts w:ascii="TimesNewRomanPSMT" w:hAnsi="TimesNewRomanPSMT" w:cs="TimesNewRomanPSMT"/>
        </w:rPr>
        <w:t xml:space="preserve"> </w:t>
      </w:r>
      <w:r w:rsidRPr="005F2682">
        <w:rPr>
          <w:rFonts w:ascii="TimesNewRomanPSMT" w:hAnsi="TimesNewRomanPSMT" w:cs="TimesNewRomanPSMT"/>
        </w:rPr>
        <w:t xml:space="preserve">closing of a transfer </w:t>
      </w:r>
      <w:r>
        <w:rPr>
          <w:rFonts w:ascii="TimesNewRomanPSMT" w:hAnsi="TimesNewRomanPSMT" w:cs="TimesNewRomanPSMT"/>
        </w:rPr>
        <w:t xml:space="preserve">may </w:t>
      </w:r>
      <w:r w:rsidRPr="005F2682">
        <w:rPr>
          <w:rFonts w:ascii="TimesNewRomanPSMT" w:hAnsi="TimesNewRomanPSMT" w:cs="TimesNewRomanPSMT"/>
        </w:rPr>
        <w:t>take place after an acquisition adjustment is approved.</w:t>
      </w:r>
    </w:p>
    <w:p w:rsidR="00634E5C" w:rsidRDefault="00634E5C" w:rsidP="005157A4">
      <w:pPr>
        <w:autoSpaceDE w:val="0"/>
        <w:autoSpaceDN w:val="0"/>
        <w:adjustRightInd w:val="0"/>
        <w:jc w:val="both"/>
        <w:rPr>
          <w:rFonts w:ascii="TimesNewRomanPSMT" w:hAnsi="TimesNewRomanPSMT" w:cs="TimesNewRomanPSMT"/>
        </w:rPr>
      </w:pPr>
    </w:p>
    <w:p w:rsidR="00BE1C2D" w:rsidRDefault="00245F09" w:rsidP="005157A4">
      <w:pPr>
        <w:pStyle w:val="Second-LevelSubheading"/>
        <w:ind w:left="0"/>
        <w:contextualSpacing/>
        <w:rPr>
          <w:rFonts w:eastAsiaTheme="minorHAnsi"/>
          <w:i w:val="0"/>
        </w:rPr>
      </w:pPr>
      <w:r>
        <w:rPr>
          <w:rFonts w:eastAsiaTheme="minorHAnsi"/>
          <w:i w:val="0"/>
        </w:rPr>
        <w:t>Subsection (6)</w:t>
      </w:r>
      <w:r w:rsidR="00383148">
        <w:rPr>
          <w:rFonts w:eastAsiaTheme="minorHAnsi"/>
          <w:i w:val="0"/>
        </w:rPr>
        <w:t xml:space="preserve"> – Subsequent Review of Acquisition Adjustments</w:t>
      </w:r>
    </w:p>
    <w:p w:rsidR="00D805B9" w:rsidRDefault="00860470" w:rsidP="00860470">
      <w:pPr>
        <w:pStyle w:val="BodyText"/>
        <w:rPr>
          <w:rFonts w:ascii="TimesNewRomanPSMT" w:hAnsi="TimesNewRomanPSMT" w:cs="TimesNewRomanPSMT"/>
          <w:sz w:val="28"/>
          <w:szCs w:val="28"/>
        </w:rPr>
      </w:pPr>
      <w:r>
        <w:rPr>
          <w:rFonts w:eastAsiaTheme="minorHAnsi"/>
        </w:rPr>
        <w:t>T</w:t>
      </w:r>
      <w:r w:rsidR="004A4A7D">
        <w:rPr>
          <w:rFonts w:eastAsiaTheme="minorHAnsi" w:cstheme="minorBidi"/>
          <w:szCs w:val="22"/>
        </w:rPr>
        <w:t>h</w:t>
      </w:r>
      <w:r w:rsidR="00994098">
        <w:rPr>
          <w:rFonts w:eastAsiaTheme="minorHAnsi" w:cstheme="minorBidi"/>
          <w:szCs w:val="22"/>
        </w:rPr>
        <w:t>is</w:t>
      </w:r>
      <w:r w:rsidR="004A4A7D">
        <w:rPr>
          <w:rFonts w:eastAsiaTheme="minorHAnsi" w:cstheme="minorBidi"/>
          <w:szCs w:val="22"/>
        </w:rPr>
        <w:t xml:space="preserve"> s</w:t>
      </w:r>
      <w:r w:rsidR="00D805B9" w:rsidRPr="0001116D">
        <w:rPr>
          <w:rFonts w:eastAsiaTheme="minorHAnsi" w:cstheme="minorBidi"/>
          <w:szCs w:val="22"/>
        </w:rPr>
        <w:t xml:space="preserve">ubsection </w:t>
      </w:r>
      <w:r w:rsidR="00B042F3">
        <w:rPr>
          <w:rFonts w:eastAsiaTheme="minorHAnsi" w:cstheme="minorBidi"/>
          <w:szCs w:val="22"/>
        </w:rPr>
        <w:t>recognizes</w:t>
      </w:r>
      <w:r w:rsidR="00D805B9">
        <w:rPr>
          <w:rFonts w:eastAsiaTheme="minorHAnsi" w:cstheme="minorBidi"/>
          <w:szCs w:val="22"/>
        </w:rPr>
        <w:t xml:space="preserve"> the Commission’s authority to review a positive acquisition adjustment if it finds customer benefits did not materialize or subsequently changed within 5 years of the date of the order approving the positive acquisition adjustment.</w:t>
      </w:r>
    </w:p>
    <w:p w:rsidR="00D805B9" w:rsidRDefault="00D805B9" w:rsidP="004A4A7D">
      <w:pPr>
        <w:autoSpaceDE w:val="0"/>
        <w:autoSpaceDN w:val="0"/>
        <w:adjustRightInd w:val="0"/>
        <w:jc w:val="both"/>
        <w:rPr>
          <w:rFonts w:eastAsiaTheme="minorHAnsi" w:cstheme="minorBidi"/>
        </w:rPr>
      </w:pPr>
      <w:r>
        <w:rPr>
          <w:rFonts w:eastAsiaTheme="minorHAnsi" w:cstheme="minorBidi"/>
        </w:rPr>
        <w:t xml:space="preserve">Staff recommends </w:t>
      </w:r>
      <w:r>
        <w:t xml:space="preserve">approval of the </w:t>
      </w:r>
      <w:r w:rsidR="00B042F3">
        <w:t xml:space="preserve">recommended </w:t>
      </w:r>
      <w:r w:rsidR="00762307">
        <w:t xml:space="preserve">rule </w:t>
      </w:r>
      <w:r>
        <w:t>language in subsection (6)</w:t>
      </w:r>
      <w:r>
        <w:rPr>
          <w:rFonts w:eastAsiaTheme="minorHAnsi" w:cstheme="minorBidi"/>
        </w:rPr>
        <w:t xml:space="preserve">, as it </w:t>
      </w:r>
      <w:r w:rsidR="00B042F3">
        <w:rPr>
          <w:rFonts w:eastAsiaTheme="minorHAnsi" w:cstheme="minorBidi"/>
        </w:rPr>
        <w:t>recognizes</w:t>
      </w:r>
      <w:r>
        <w:rPr>
          <w:rFonts w:eastAsiaTheme="minorHAnsi" w:cstheme="minorBidi"/>
        </w:rPr>
        <w:t xml:space="preserve"> the Commission</w:t>
      </w:r>
      <w:r w:rsidR="00B042F3">
        <w:rPr>
          <w:rFonts w:eastAsiaTheme="minorHAnsi" w:cstheme="minorBidi"/>
        </w:rPr>
        <w:t>’s</w:t>
      </w:r>
      <w:r>
        <w:rPr>
          <w:rFonts w:eastAsiaTheme="minorHAnsi" w:cstheme="minorBidi"/>
        </w:rPr>
        <w:t xml:space="preserve"> existing author</w:t>
      </w:r>
      <w:r w:rsidR="00B042F3">
        <w:rPr>
          <w:rFonts w:eastAsiaTheme="minorHAnsi" w:cstheme="minorBidi"/>
        </w:rPr>
        <w:t>ity</w:t>
      </w:r>
      <w:r w:rsidR="00CC0CC7">
        <w:rPr>
          <w:rFonts w:eastAsiaTheme="minorHAnsi" w:cstheme="minorBidi"/>
        </w:rPr>
        <w:t xml:space="preserve"> </w:t>
      </w:r>
      <w:r w:rsidR="00EF6EAB">
        <w:rPr>
          <w:rFonts w:eastAsiaTheme="minorHAnsi" w:cstheme="minorBidi"/>
        </w:rPr>
        <w:t xml:space="preserve">and flexibility </w:t>
      </w:r>
      <w:r w:rsidR="00CC0CC7">
        <w:rPr>
          <w:rFonts w:eastAsiaTheme="minorHAnsi" w:cstheme="minorBidi"/>
        </w:rPr>
        <w:t xml:space="preserve">to </w:t>
      </w:r>
      <w:r w:rsidR="00511535">
        <w:rPr>
          <w:rFonts w:eastAsiaTheme="minorHAnsi" w:cstheme="minorBidi"/>
        </w:rPr>
        <w:t>review an acquisition adjustment</w:t>
      </w:r>
      <w:r w:rsidR="00EF6EAB">
        <w:rPr>
          <w:rFonts w:eastAsiaTheme="minorHAnsi" w:cstheme="minorBidi"/>
        </w:rPr>
        <w:t xml:space="preserve"> on a case-by-case basis</w:t>
      </w:r>
      <w:r w:rsidR="00B042F3">
        <w:rPr>
          <w:rFonts w:eastAsiaTheme="minorHAnsi" w:cstheme="minorBidi"/>
        </w:rPr>
        <w:t xml:space="preserve">, as well as </w:t>
      </w:r>
      <w:r w:rsidR="00CC0CC7">
        <w:rPr>
          <w:rFonts w:eastAsiaTheme="minorHAnsi" w:cstheme="minorBidi"/>
        </w:rPr>
        <w:t>providing</w:t>
      </w:r>
      <w:r w:rsidR="00383148">
        <w:rPr>
          <w:rFonts w:eastAsiaTheme="minorHAnsi" w:cstheme="minorBidi"/>
        </w:rPr>
        <w:t xml:space="preserve"> the Commission </w:t>
      </w:r>
      <w:r w:rsidR="00B042F3">
        <w:rPr>
          <w:rFonts w:eastAsiaTheme="minorHAnsi" w:cstheme="minorBidi"/>
        </w:rPr>
        <w:t>flexibility</w:t>
      </w:r>
      <w:r>
        <w:rPr>
          <w:rFonts w:eastAsiaTheme="minorHAnsi" w:cstheme="minorBidi"/>
        </w:rPr>
        <w:t xml:space="preserve"> to address</w:t>
      </w:r>
      <w:r w:rsidR="00383148">
        <w:rPr>
          <w:rFonts w:eastAsiaTheme="minorHAnsi" w:cstheme="minorBidi"/>
        </w:rPr>
        <w:t xml:space="preserve"> on a case-by-case basis</w:t>
      </w:r>
      <w:r w:rsidR="004006C2">
        <w:rPr>
          <w:rFonts w:eastAsiaTheme="minorHAnsi" w:cstheme="minorBidi"/>
        </w:rPr>
        <w:t>,</w:t>
      </w:r>
      <w:r w:rsidR="00383148">
        <w:rPr>
          <w:rFonts w:eastAsiaTheme="minorHAnsi" w:cstheme="minorBidi"/>
        </w:rPr>
        <w:t xml:space="preserve"> depending o</w:t>
      </w:r>
      <w:r w:rsidR="00EF6EAB">
        <w:rPr>
          <w:rFonts w:eastAsiaTheme="minorHAnsi" w:cstheme="minorBidi"/>
        </w:rPr>
        <w:t>n</w:t>
      </w:r>
      <w:r w:rsidR="00383148">
        <w:rPr>
          <w:rFonts w:eastAsiaTheme="minorHAnsi" w:cstheme="minorBidi"/>
        </w:rPr>
        <w:t xml:space="preserve"> the evidence</w:t>
      </w:r>
      <w:r w:rsidR="004006C2">
        <w:rPr>
          <w:rFonts w:eastAsiaTheme="minorHAnsi" w:cstheme="minorBidi"/>
        </w:rPr>
        <w:t xml:space="preserve"> in the record of the hearing</w:t>
      </w:r>
      <w:r w:rsidR="00EF6EAB">
        <w:rPr>
          <w:rFonts w:eastAsiaTheme="minorHAnsi" w:cstheme="minorBidi"/>
        </w:rPr>
        <w:t xml:space="preserve"> and</w:t>
      </w:r>
      <w:r>
        <w:rPr>
          <w:rFonts w:eastAsiaTheme="minorHAnsi" w:cstheme="minorBidi"/>
        </w:rPr>
        <w:t xml:space="preserve"> the appropriateness of an acquisition adjustment in </w:t>
      </w:r>
      <w:r w:rsidR="00EF6EAB">
        <w:rPr>
          <w:rFonts w:eastAsiaTheme="minorHAnsi" w:cstheme="minorBidi"/>
        </w:rPr>
        <w:t xml:space="preserve">light of whether </w:t>
      </w:r>
      <w:r>
        <w:rPr>
          <w:rFonts w:eastAsiaTheme="minorHAnsi" w:cstheme="minorBidi"/>
        </w:rPr>
        <w:t>customer benefits materialize</w:t>
      </w:r>
      <w:r w:rsidR="00EF6EAB">
        <w:rPr>
          <w:rFonts w:eastAsiaTheme="minorHAnsi" w:cstheme="minorBidi"/>
        </w:rPr>
        <w:t>d</w:t>
      </w:r>
      <w:r>
        <w:rPr>
          <w:rFonts w:eastAsiaTheme="minorHAnsi" w:cstheme="minorBidi"/>
        </w:rPr>
        <w:t xml:space="preserve"> as projected or subsequently changed within 5 years of the approval of the acquisition adjustment</w:t>
      </w:r>
      <w:r w:rsidR="00B042F3">
        <w:rPr>
          <w:rFonts w:eastAsiaTheme="minorHAnsi" w:cstheme="minorBidi"/>
        </w:rPr>
        <w:t xml:space="preserve"> </w:t>
      </w:r>
      <w:r w:rsidR="00EF6EAB">
        <w:rPr>
          <w:rFonts w:eastAsiaTheme="minorHAnsi" w:cstheme="minorBidi"/>
        </w:rPr>
        <w:t>(</w:t>
      </w:r>
      <w:r w:rsidR="00B042F3">
        <w:rPr>
          <w:rFonts w:eastAsiaTheme="minorHAnsi" w:cstheme="minorBidi"/>
        </w:rPr>
        <w:t>thus enabling the Commission to modify an acquisition adjustment accordingly</w:t>
      </w:r>
      <w:r w:rsidR="00EF6EAB">
        <w:rPr>
          <w:rFonts w:eastAsiaTheme="minorHAnsi" w:cstheme="minorBidi"/>
        </w:rPr>
        <w:t>)</w:t>
      </w:r>
      <w:r>
        <w:rPr>
          <w:rFonts w:eastAsiaTheme="minorHAnsi" w:cstheme="minorBidi"/>
        </w:rPr>
        <w:t>.</w:t>
      </w:r>
    </w:p>
    <w:p w:rsidR="004006C2" w:rsidRDefault="004006C2">
      <w:pPr>
        <w:rPr>
          <w:rFonts w:ascii="Arial" w:eastAsiaTheme="minorHAnsi" w:hAnsi="Arial" w:cs="Arial"/>
          <w:b/>
          <w:bCs/>
          <w:iCs/>
          <w:szCs w:val="28"/>
        </w:rPr>
      </w:pPr>
    </w:p>
    <w:p w:rsidR="00BE1C2D" w:rsidRPr="00EF6EAB" w:rsidRDefault="00245F09" w:rsidP="00242E48">
      <w:pPr>
        <w:pStyle w:val="Second-LevelSubheading"/>
        <w:ind w:left="0"/>
        <w:contextualSpacing/>
        <w:rPr>
          <w:rFonts w:eastAsiaTheme="minorHAnsi"/>
          <w:i w:val="0"/>
        </w:rPr>
      </w:pPr>
      <w:r w:rsidRPr="00EF6EAB">
        <w:rPr>
          <w:rFonts w:eastAsiaTheme="minorHAnsi"/>
          <w:i w:val="0"/>
        </w:rPr>
        <w:t>Subsection (7)</w:t>
      </w:r>
      <w:r w:rsidR="006736B0" w:rsidRPr="00EF6EAB">
        <w:rPr>
          <w:rFonts w:eastAsiaTheme="minorHAnsi"/>
          <w:i w:val="0"/>
        </w:rPr>
        <w:t xml:space="preserve"> – Negative Acquisition Adjustment</w:t>
      </w:r>
    </w:p>
    <w:p w:rsidR="00D805B9" w:rsidRDefault="00860470" w:rsidP="00860470">
      <w:pPr>
        <w:pStyle w:val="BodyText"/>
        <w:rPr>
          <w:rFonts w:eastAsiaTheme="minorHAnsi" w:cstheme="minorBidi"/>
        </w:rPr>
      </w:pPr>
      <w:r w:rsidRPr="00EF6EAB">
        <w:rPr>
          <w:rFonts w:eastAsiaTheme="minorHAnsi"/>
        </w:rPr>
        <w:t>T</w:t>
      </w:r>
      <w:r w:rsidR="004A4A7D" w:rsidRPr="00EF6EAB">
        <w:rPr>
          <w:rFonts w:eastAsiaTheme="minorHAnsi" w:cstheme="minorBidi"/>
        </w:rPr>
        <w:t>his s</w:t>
      </w:r>
      <w:r w:rsidR="00D805B9" w:rsidRPr="00EF6EAB">
        <w:rPr>
          <w:rFonts w:eastAsiaTheme="minorHAnsi" w:cstheme="minorBidi"/>
        </w:rPr>
        <w:t>ubsection eliminate</w:t>
      </w:r>
      <w:r w:rsidR="00D46486" w:rsidRPr="00EF6EAB">
        <w:rPr>
          <w:rFonts w:eastAsiaTheme="minorHAnsi" w:cstheme="minorBidi"/>
        </w:rPr>
        <w:t>s</w:t>
      </w:r>
      <w:r w:rsidR="00D805B9" w:rsidRPr="00EF6EAB">
        <w:rPr>
          <w:rFonts w:eastAsiaTheme="minorHAnsi" w:cstheme="minorBidi"/>
        </w:rPr>
        <w:t xml:space="preserve"> the provisions of the current rule regarding negative acquisition adjustments</w:t>
      </w:r>
      <w:r w:rsidR="00D404F0" w:rsidRPr="00EF6EAB">
        <w:rPr>
          <w:rFonts w:eastAsiaTheme="minorHAnsi" w:cstheme="minorBidi"/>
        </w:rPr>
        <w:t xml:space="preserve">.  </w:t>
      </w:r>
      <w:r w:rsidR="002613B4" w:rsidRPr="00EF6EAB">
        <w:rPr>
          <w:rFonts w:eastAsiaTheme="minorHAnsi" w:cstheme="minorBidi"/>
        </w:rPr>
        <w:t>The</w:t>
      </w:r>
      <w:r w:rsidR="00D805B9" w:rsidRPr="00EF6EAB">
        <w:rPr>
          <w:rFonts w:eastAsiaTheme="minorHAnsi" w:cstheme="minorBidi"/>
        </w:rPr>
        <w:t xml:space="preserve"> </w:t>
      </w:r>
      <w:r w:rsidR="00B740D3" w:rsidRPr="00EF6EAB">
        <w:rPr>
          <w:rFonts w:eastAsiaTheme="minorHAnsi" w:cstheme="minorBidi"/>
        </w:rPr>
        <w:t>amended</w:t>
      </w:r>
      <w:r w:rsidR="00D805B9" w:rsidRPr="00EF6EAB">
        <w:rPr>
          <w:rFonts w:eastAsiaTheme="minorHAnsi" w:cstheme="minorBidi"/>
        </w:rPr>
        <w:t xml:space="preserve"> rule provides </w:t>
      </w:r>
      <w:r w:rsidR="002613B4" w:rsidRPr="00EF6EAB">
        <w:rPr>
          <w:rFonts w:eastAsiaTheme="minorHAnsi" w:cstheme="minorBidi"/>
        </w:rPr>
        <w:t xml:space="preserve">that </w:t>
      </w:r>
      <w:r w:rsidR="00D805B9" w:rsidRPr="00EF6EAB">
        <w:rPr>
          <w:rFonts w:eastAsiaTheme="minorHAnsi" w:cstheme="minorBidi"/>
        </w:rPr>
        <w:t xml:space="preserve">a negative </w:t>
      </w:r>
      <w:r w:rsidR="004A4A7D" w:rsidRPr="00EF6EAB">
        <w:rPr>
          <w:rFonts w:eastAsiaTheme="minorHAnsi" w:cstheme="minorBidi"/>
        </w:rPr>
        <w:t>a</w:t>
      </w:r>
      <w:r w:rsidR="00D805B9" w:rsidRPr="00EF6EAB">
        <w:rPr>
          <w:rFonts w:eastAsiaTheme="minorHAnsi" w:cstheme="minorBidi"/>
        </w:rPr>
        <w:t>cquisition adjustment will not be included in rate base.</w:t>
      </w:r>
    </w:p>
    <w:p w:rsidR="004006C2" w:rsidRDefault="004006C2" w:rsidP="00937F9A">
      <w:pPr>
        <w:pStyle w:val="Second-LevelSubheading"/>
        <w:rPr>
          <w:rFonts w:eastAsiaTheme="minorHAnsi"/>
        </w:rPr>
      </w:pPr>
      <w:r>
        <w:rPr>
          <w:rFonts w:eastAsiaTheme="minorHAnsi"/>
        </w:rPr>
        <w:t>Stakeholder Comments</w:t>
      </w:r>
    </w:p>
    <w:p w:rsidR="00E440DC" w:rsidRDefault="00E440DC" w:rsidP="00D805B9">
      <w:pPr>
        <w:autoSpaceDE w:val="0"/>
        <w:autoSpaceDN w:val="0"/>
        <w:adjustRightInd w:val="0"/>
        <w:jc w:val="both"/>
        <w:rPr>
          <w:rFonts w:eastAsiaTheme="minorHAnsi" w:cstheme="minorBidi"/>
        </w:rPr>
      </w:pPr>
      <w:r>
        <w:rPr>
          <w:rFonts w:eastAsiaTheme="minorHAnsi" w:cstheme="minorBidi"/>
        </w:rPr>
        <w:t>OPC believes that a negative acquisition adjustment should remain in the rule</w:t>
      </w:r>
      <w:r w:rsidR="002613B4">
        <w:rPr>
          <w:rFonts w:eastAsiaTheme="minorHAnsi" w:cstheme="minorBidi"/>
        </w:rPr>
        <w:t>.</w:t>
      </w:r>
      <w:r>
        <w:rPr>
          <w:rFonts w:eastAsiaTheme="minorHAnsi" w:cstheme="minorBidi"/>
        </w:rPr>
        <w:t xml:space="preserve">  OPC asserted the current policy benefits customers with a lower rate base if the purchase price is equal to or less than 80 percent of the net book value.  OPC lastly asserted </w:t>
      </w:r>
      <w:r w:rsidR="00CC429B">
        <w:rPr>
          <w:rFonts w:eastAsiaTheme="minorHAnsi" w:cstheme="minorBidi"/>
        </w:rPr>
        <w:t>that the current rule balances the interest of the acquiring utility and its customers, particularly where the acquired utility has been neglected, thus selling below book value and causing customers to pay for improvements.</w:t>
      </w:r>
    </w:p>
    <w:p w:rsidR="00E440DC" w:rsidRDefault="00E440DC" w:rsidP="00D805B9">
      <w:pPr>
        <w:autoSpaceDE w:val="0"/>
        <w:autoSpaceDN w:val="0"/>
        <w:adjustRightInd w:val="0"/>
        <w:jc w:val="both"/>
        <w:rPr>
          <w:rFonts w:eastAsiaTheme="minorHAnsi" w:cstheme="minorBidi"/>
        </w:rPr>
      </w:pPr>
    </w:p>
    <w:p w:rsidR="00EE49F3" w:rsidRDefault="00D805B9" w:rsidP="00D805B9">
      <w:pPr>
        <w:autoSpaceDE w:val="0"/>
        <w:autoSpaceDN w:val="0"/>
        <w:adjustRightInd w:val="0"/>
        <w:jc w:val="both"/>
      </w:pPr>
      <w:r w:rsidRPr="00BC19AA">
        <w:rPr>
          <w:rFonts w:eastAsiaTheme="minorHAnsi" w:cstheme="minorBidi"/>
        </w:rPr>
        <w:t>CSWR</w:t>
      </w:r>
      <w:r>
        <w:rPr>
          <w:rFonts w:eastAsiaTheme="minorHAnsi" w:cstheme="minorBidi"/>
        </w:rPr>
        <w:t xml:space="preserve"> agrees with the </w:t>
      </w:r>
      <w:r w:rsidR="00B740D3">
        <w:rPr>
          <w:rFonts w:eastAsiaTheme="minorHAnsi" w:cstheme="minorBidi"/>
        </w:rPr>
        <w:t>amended</w:t>
      </w:r>
      <w:r>
        <w:rPr>
          <w:rFonts w:eastAsiaTheme="minorHAnsi" w:cstheme="minorBidi"/>
        </w:rPr>
        <w:t xml:space="preserve"> language a</w:t>
      </w:r>
      <w:r w:rsidR="00A258F9">
        <w:rPr>
          <w:rFonts w:eastAsiaTheme="minorHAnsi" w:cstheme="minorBidi"/>
        </w:rPr>
        <w:t xml:space="preserve">dvising </w:t>
      </w:r>
      <w:r>
        <w:rPr>
          <w:rFonts w:eastAsiaTheme="minorHAnsi" w:cstheme="minorBidi"/>
        </w:rPr>
        <w:t>“[t]he</w:t>
      </w:r>
      <w:r w:rsidRPr="0053345C">
        <w:rPr>
          <w:rFonts w:eastAsiaTheme="minorHAnsi" w:cstheme="minorBidi"/>
        </w:rPr>
        <w:t xml:space="preserve"> </w:t>
      </w:r>
      <w:r w:rsidRPr="0053345C">
        <w:rPr>
          <w:rFonts w:ascii="TimesNewRomanPSMT" w:hAnsi="TimesNewRomanPSMT" w:cs="TimesNewRomanPSMT"/>
        </w:rPr>
        <w:t>imposition of a negative acquisition</w:t>
      </w:r>
      <w:r>
        <w:rPr>
          <w:rFonts w:ascii="TimesNewRomanPSMT" w:hAnsi="TimesNewRomanPSMT" w:cs="TimesNewRomanPSMT"/>
        </w:rPr>
        <w:t xml:space="preserve"> </w:t>
      </w:r>
      <w:r w:rsidRPr="0053345C">
        <w:rPr>
          <w:rFonts w:ascii="TimesNewRomanPSMT" w:hAnsi="TimesNewRomanPSMT" w:cs="TimesNewRomanPSMT"/>
        </w:rPr>
        <w:t>adjustment does not align with the goal of encouraging beneficial acquisitions.</w:t>
      </w:r>
      <w:r>
        <w:rPr>
          <w:rFonts w:ascii="TimesNewRomanPSMT" w:hAnsi="TimesNewRomanPSMT" w:cs="TimesNewRomanPSMT"/>
        </w:rPr>
        <w:t xml:space="preserve"> </w:t>
      </w:r>
      <w:r w:rsidRPr="0053345C">
        <w:rPr>
          <w:rFonts w:ascii="TimesNewRomanPSMT" w:hAnsi="TimesNewRomanPSMT" w:cs="TimesNewRomanPSMT"/>
        </w:rPr>
        <w:t>Elimination of the negative adjustment does not harm customers</w:t>
      </w:r>
      <w:r w:rsidR="00245F09">
        <w:rPr>
          <w:rFonts w:ascii="TimesNewRomanPSMT" w:hAnsi="TimesNewRomanPSMT" w:cs="TimesNewRomanPSMT"/>
        </w:rPr>
        <w:t>.  It</w:t>
      </w:r>
      <w:r w:rsidRPr="0053345C">
        <w:rPr>
          <w:rFonts w:ascii="TimesNewRomanPSMT" w:hAnsi="TimesNewRomanPSMT" w:cs="TimesNewRomanPSMT"/>
        </w:rPr>
        <w:t xml:space="preserve"> encourages the</w:t>
      </w:r>
      <w:r>
        <w:rPr>
          <w:rFonts w:ascii="TimesNewRomanPSMT" w:hAnsi="TimesNewRomanPSMT" w:cs="TimesNewRomanPSMT"/>
        </w:rPr>
        <w:t xml:space="preserve"> </w:t>
      </w:r>
      <w:r w:rsidRPr="0053345C">
        <w:rPr>
          <w:rFonts w:ascii="TimesNewRomanPSMT" w:hAnsi="TimesNewRomanPSMT" w:cs="TimesNewRomanPSMT"/>
        </w:rPr>
        <w:t>acquiring utility to negotiate for a lower price, and the additional earnings provide</w:t>
      </w:r>
      <w:r>
        <w:rPr>
          <w:rFonts w:ascii="TimesNewRomanPSMT" w:hAnsi="TimesNewRomanPSMT" w:cs="TimesNewRomanPSMT"/>
        </w:rPr>
        <w:t xml:space="preserve"> </w:t>
      </w:r>
      <w:r w:rsidRPr="0053345C">
        <w:rPr>
          <w:rFonts w:ascii="TimesNewRomanPSMT" w:hAnsi="TimesNewRomanPSMT" w:cs="TimesNewRomanPSMT"/>
        </w:rPr>
        <w:t>a resource that could be used to reinvest in the acquired system.</w:t>
      </w:r>
      <w:r>
        <w:rPr>
          <w:rFonts w:ascii="TimesNewRomanPSMT" w:hAnsi="TimesNewRomanPSMT" w:cs="TimesNewRomanPSMT"/>
        </w:rPr>
        <w:t xml:space="preserve">” </w:t>
      </w:r>
      <w:r>
        <w:t>CSWR further noted</w:t>
      </w:r>
      <w:r w:rsidR="00EE49F3">
        <w:t>:</w:t>
      </w:r>
    </w:p>
    <w:p w:rsidR="00EE49F3" w:rsidRDefault="00EE49F3" w:rsidP="00D805B9">
      <w:pPr>
        <w:autoSpaceDE w:val="0"/>
        <w:autoSpaceDN w:val="0"/>
        <w:adjustRightInd w:val="0"/>
        <w:jc w:val="both"/>
      </w:pPr>
    </w:p>
    <w:p w:rsidR="00D805B9" w:rsidRDefault="00EE49F3" w:rsidP="00EE49F3">
      <w:pPr>
        <w:autoSpaceDE w:val="0"/>
        <w:autoSpaceDN w:val="0"/>
        <w:adjustRightInd w:val="0"/>
        <w:ind w:left="720" w:right="720"/>
        <w:jc w:val="both"/>
      </w:pPr>
      <w:r>
        <w:t>A</w:t>
      </w:r>
      <w:r w:rsidR="00D805B9">
        <w:t>s S</w:t>
      </w:r>
      <w:r w:rsidR="00D805B9" w:rsidRPr="00BC19AA">
        <w:t>taff has pointed out</w:t>
      </w:r>
      <w:r w:rsidR="00D805B9">
        <w:t xml:space="preserve"> that</w:t>
      </w:r>
      <w:r w:rsidR="00D805B9" w:rsidRPr="00BC19AA">
        <w:t xml:space="preserve"> no other state imposes</w:t>
      </w:r>
      <w:r w:rsidR="00D805B9">
        <w:t xml:space="preserve"> </w:t>
      </w:r>
      <w:r w:rsidR="00D805B9" w:rsidRPr="00BC19AA">
        <w:t xml:space="preserve">a negative acquisition adjustment and </w:t>
      </w:r>
      <w:r w:rsidR="00D805B9">
        <w:t xml:space="preserve">that </w:t>
      </w:r>
      <w:r w:rsidR="00D805B9" w:rsidRPr="00BC19AA">
        <w:t>there is a lack of parity in the treatment of</w:t>
      </w:r>
      <w:r w:rsidR="00D805B9">
        <w:t xml:space="preserve"> </w:t>
      </w:r>
      <w:r w:rsidR="00D805B9" w:rsidRPr="00BC19AA">
        <w:t>rate base in a transfer situation in that the rate base of the existing utility carries</w:t>
      </w:r>
      <w:r w:rsidR="00D805B9">
        <w:t xml:space="preserve"> </w:t>
      </w:r>
      <w:r w:rsidR="00D805B9" w:rsidRPr="00BC19AA">
        <w:t>over to the acquiring utility unless the acquiring utility pays less that the existing</w:t>
      </w:r>
      <w:r w:rsidR="00D805B9">
        <w:t xml:space="preserve"> </w:t>
      </w:r>
      <w:r w:rsidR="00D805B9" w:rsidRPr="00BC19AA">
        <w:t xml:space="preserve">rate base. </w:t>
      </w:r>
      <w:r w:rsidR="00D805B9">
        <w:t>I</w:t>
      </w:r>
      <w:r w:rsidR="00D805B9" w:rsidRPr="00BC19AA">
        <w:t>mposition of a negative adjustment discourages an acquiring utility to</w:t>
      </w:r>
      <w:r w:rsidR="00D805B9">
        <w:t xml:space="preserve"> </w:t>
      </w:r>
      <w:r w:rsidR="00D805B9" w:rsidRPr="00BC19AA">
        <w:t>negotiate the lowest price or from acquiring a small troubled system at all.</w:t>
      </w:r>
      <w:r w:rsidR="00D805B9">
        <w:t xml:space="preserve">  </w:t>
      </w:r>
      <w:r w:rsidR="00D805B9" w:rsidRPr="00BC19AA">
        <w:t>Furthermore, allowing the acquiring utility to earn on the seller’s actual rate base</w:t>
      </w:r>
      <w:r w:rsidR="00D805B9">
        <w:t xml:space="preserve"> </w:t>
      </w:r>
      <w:r w:rsidR="00D805B9" w:rsidRPr="00BC19AA">
        <w:t>provides an additional source of revenue that could be used to reinvest in the</w:t>
      </w:r>
      <w:r w:rsidR="00D805B9">
        <w:t xml:space="preserve"> </w:t>
      </w:r>
      <w:r w:rsidR="00D805B9" w:rsidRPr="00BC19AA">
        <w:t>utility.</w:t>
      </w:r>
    </w:p>
    <w:p w:rsidR="00D805B9" w:rsidRPr="00BC19AA" w:rsidRDefault="00D805B9" w:rsidP="00D805B9">
      <w:pPr>
        <w:autoSpaceDE w:val="0"/>
        <w:autoSpaceDN w:val="0"/>
        <w:adjustRightInd w:val="0"/>
      </w:pPr>
    </w:p>
    <w:p w:rsidR="00D805B9" w:rsidRDefault="00D805B9" w:rsidP="00D805B9">
      <w:pPr>
        <w:autoSpaceDE w:val="0"/>
        <w:autoSpaceDN w:val="0"/>
        <w:adjustRightInd w:val="0"/>
        <w:jc w:val="both"/>
        <w:rPr>
          <w:rFonts w:ascii="TimesNewRomanPSMT" w:hAnsi="TimesNewRomanPSMT" w:cs="TimesNewRomanPSMT"/>
        </w:rPr>
      </w:pPr>
      <w:r w:rsidRPr="00BC19AA">
        <w:t>SWS</w:t>
      </w:r>
      <w:r w:rsidRPr="00BC19AA">
        <w:rPr>
          <w:rFonts w:ascii="TimesNewRomanPSMT" w:hAnsi="TimesNewRomanPSMT" w:cs="TimesNewRomanPSMT"/>
        </w:rPr>
        <w:t xml:space="preserve"> </w:t>
      </w:r>
      <w:r w:rsidR="00242E48">
        <w:rPr>
          <w:rFonts w:ascii="TimesNewRomanPSMT" w:hAnsi="TimesNewRomanPSMT" w:cs="TimesNewRomanPSMT"/>
        </w:rPr>
        <w:t>opined</w:t>
      </w:r>
      <w:r>
        <w:rPr>
          <w:rFonts w:ascii="TimesNewRomanPSMT" w:hAnsi="TimesNewRomanPSMT" w:cs="TimesNewRomanPSMT"/>
        </w:rPr>
        <w:t xml:space="preserve"> there are serious concerns with maintaining negative acquisition adjustments, </w:t>
      </w:r>
      <w:r w:rsidRPr="00BC19AA">
        <w:rPr>
          <w:rFonts w:ascii="TimesNewRomanPSMT" w:hAnsi="TimesNewRomanPSMT" w:cs="TimesNewRomanPSMT"/>
        </w:rPr>
        <w:t>not</w:t>
      </w:r>
      <w:r>
        <w:rPr>
          <w:rFonts w:ascii="TimesNewRomanPSMT" w:hAnsi="TimesNewRomanPSMT" w:cs="TimesNewRomanPSMT"/>
        </w:rPr>
        <w:t>ing</w:t>
      </w:r>
      <w:r w:rsidRPr="00BC19AA">
        <w:rPr>
          <w:rFonts w:ascii="TimesNewRomanPSMT" w:hAnsi="TimesNewRomanPSMT" w:cs="TimesNewRomanPSMT"/>
        </w:rPr>
        <w:t xml:space="preserve"> </w:t>
      </w:r>
      <w:r>
        <w:rPr>
          <w:rFonts w:ascii="TimesNewRomanPSMT" w:hAnsi="TimesNewRomanPSMT" w:cs="TimesNewRomanPSMT"/>
        </w:rPr>
        <w:t>“</w:t>
      </w:r>
      <w:r w:rsidRPr="00BC19AA">
        <w:rPr>
          <w:rFonts w:ascii="TimesNewRomanPSMT" w:hAnsi="TimesNewRomanPSMT" w:cs="TimesNewRomanPSMT"/>
        </w:rPr>
        <w:t>the proposed rule does not appear to contemplate scenarios that</w:t>
      </w:r>
      <w:r>
        <w:rPr>
          <w:rFonts w:ascii="TimesNewRomanPSMT" w:hAnsi="TimesNewRomanPSMT" w:cs="TimesNewRomanPSMT"/>
        </w:rPr>
        <w:t xml:space="preserve"> </w:t>
      </w:r>
      <w:r w:rsidRPr="00BC19AA">
        <w:rPr>
          <w:rFonts w:ascii="TimesNewRomanPSMT" w:hAnsi="TimesNewRomanPSMT" w:cs="TimesNewRomanPSMT"/>
        </w:rPr>
        <w:t>include a seller with a negative book value (negative rate base). Uncertainty on</w:t>
      </w:r>
      <w:r>
        <w:rPr>
          <w:rFonts w:ascii="TimesNewRomanPSMT" w:hAnsi="TimesNewRomanPSMT" w:cs="TimesNewRomanPSMT"/>
        </w:rPr>
        <w:t xml:space="preserve"> </w:t>
      </w:r>
      <w:r w:rsidRPr="00BC19AA">
        <w:rPr>
          <w:rFonts w:ascii="TimesNewRomanPSMT" w:hAnsi="TimesNewRomanPSMT" w:cs="TimesNewRomanPSMT"/>
        </w:rPr>
        <w:t>the treatment of such acquisitions inevitably will limit the ability and incentive</w:t>
      </w:r>
      <w:r>
        <w:rPr>
          <w:rFonts w:ascii="TimesNewRomanPSMT" w:hAnsi="TimesNewRomanPSMT" w:cs="TimesNewRomanPSMT"/>
        </w:rPr>
        <w:t xml:space="preserve"> </w:t>
      </w:r>
      <w:r w:rsidRPr="00BC19AA">
        <w:rPr>
          <w:rFonts w:ascii="TimesNewRomanPSMT" w:hAnsi="TimesNewRomanPSMT" w:cs="TimesNewRomanPSMT"/>
        </w:rPr>
        <w:t>for well-managed utilities to acquire these systems, constraining the seller’s</w:t>
      </w:r>
      <w:r>
        <w:rPr>
          <w:rFonts w:ascii="TimesNewRomanPSMT" w:hAnsi="TimesNewRomanPSMT" w:cs="TimesNewRomanPSMT"/>
        </w:rPr>
        <w:t xml:space="preserve"> </w:t>
      </w:r>
      <w:r w:rsidRPr="00BC19AA">
        <w:rPr>
          <w:rFonts w:ascii="TimesNewRomanPSMT" w:hAnsi="TimesNewRomanPSMT" w:cs="TimesNewRomanPSMT"/>
        </w:rPr>
        <w:t>market for buyers and resulting in missed opportunities for consolidation and</w:t>
      </w:r>
      <w:r>
        <w:rPr>
          <w:rFonts w:ascii="TimesNewRomanPSMT" w:hAnsi="TimesNewRomanPSMT" w:cs="TimesNewRomanPSMT"/>
        </w:rPr>
        <w:t xml:space="preserve"> </w:t>
      </w:r>
      <w:r w:rsidRPr="00BC19AA">
        <w:rPr>
          <w:rFonts w:ascii="TimesNewRomanPSMT" w:hAnsi="TimesNewRomanPSMT" w:cs="TimesNewRomanPSMT"/>
        </w:rPr>
        <w:t>regionalization of water and wastewater systems in the State.</w:t>
      </w:r>
      <w:r>
        <w:rPr>
          <w:rFonts w:ascii="TimesNewRomanPSMT" w:hAnsi="TimesNewRomanPSMT" w:cs="TimesNewRomanPSMT"/>
        </w:rPr>
        <w:t>”</w:t>
      </w:r>
    </w:p>
    <w:p w:rsidR="00D805B9" w:rsidRDefault="00D805B9" w:rsidP="00D805B9">
      <w:pPr>
        <w:autoSpaceDE w:val="0"/>
        <w:autoSpaceDN w:val="0"/>
        <w:adjustRightInd w:val="0"/>
        <w:jc w:val="both"/>
        <w:rPr>
          <w:rFonts w:ascii="TimesNewRomanPSMT" w:hAnsi="TimesNewRomanPSMT" w:cs="TimesNewRomanPSMT"/>
        </w:rPr>
      </w:pPr>
    </w:p>
    <w:p w:rsidR="00EF6EAB" w:rsidRDefault="00D805B9" w:rsidP="004A4A7D">
      <w:pPr>
        <w:autoSpaceDE w:val="0"/>
        <w:autoSpaceDN w:val="0"/>
        <w:adjustRightInd w:val="0"/>
        <w:jc w:val="both"/>
        <w:rPr>
          <w:rFonts w:eastAsiaTheme="minorHAnsi" w:cstheme="minorBidi"/>
        </w:rPr>
      </w:pPr>
      <w:r>
        <w:rPr>
          <w:rFonts w:ascii="TimesNewRomanPSMT" w:hAnsi="TimesNewRomanPSMT" w:cs="TimesNewRomanPSMT"/>
        </w:rPr>
        <w:t xml:space="preserve">Staff recommends </w:t>
      </w:r>
      <w:r>
        <w:t xml:space="preserve">approval of the </w:t>
      </w:r>
      <w:r w:rsidR="00762307">
        <w:t xml:space="preserve">rule </w:t>
      </w:r>
      <w:r>
        <w:t>language in subsection (7)</w:t>
      </w:r>
      <w:r w:rsidR="00A258F9">
        <w:t xml:space="preserve">.  </w:t>
      </w:r>
      <w:r w:rsidR="002613B4">
        <w:rPr>
          <w:rFonts w:eastAsiaTheme="minorHAnsi" w:cstheme="minorBidi"/>
        </w:rPr>
        <w:t>Continuing to apply</w:t>
      </w:r>
      <w:r>
        <w:rPr>
          <w:rFonts w:eastAsiaTheme="minorHAnsi" w:cstheme="minorBidi"/>
        </w:rPr>
        <w:t xml:space="preserve"> negative acquisition adjustment</w:t>
      </w:r>
      <w:r w:rsidR="002613B4">
        <w:rPr>
          <w:rFonts w:eastAsiaTheme="minorHAnsi" w:cstheme="minorBidi"/>
        </w:rPr>
        <w:t>s, as defined,</w:t>
      </w:r>
      <w:r>
        <w:rPr>
          <w:rFonts w:eastAsiaTheme="minorHAnsi" w:cstheme="minorBidi"/>
        </w:rPr>
        <w:t xml:space="preserve"> in rate base </w:t>
      </w:r>
      <w:r w:rsidR="002613B4">
        <w:rPr>
          <w:rFonts w:eastAsiaTheme="minorHAnsi" w:cstheme="minorBidi"/>
        </w:rPr>
        <w:t>has</w:t>
      </w:r>
      <w:r>
        <w:rPr>
          <w:rFonts w:eastAsiaTheme="minorHAnsi" w:cstheme="minorBidi"/>
        </w:rPr>
        <w:t xml:space="preserve"> the </w:t>
      </w:r>
      <w:r w:rsidR="00A258F9">
        <w:rPr>
          <w:rFonts w:eastAsiaTheme="minorHAnsi" w:cstheme="minorBidi"/>
        </w:rPr>
        <w:t xml:space="preserve">negative </w:t>
      </w:r>
      <w:r>
        <w:rPr>
          <w:rFonts w:eastAsiaTheme="minorHAnsi" w:cstheme="minorBidi"/>
        </w:rPr>
        <w:t>effect of limiting the ability</w:t>
      </w:r>
      <w:r w:rsidR="00E3479E">
        <w:rPr>
          <w:rFonts w:eastAsiaTheme="minorHAnsi" w:cstheme="minorBidi"/>
        </w:rPr>
        <w:t xml:space="preserve"> of</w:t>
      </w:r>
      <w:r>
        <w:rPr>
          <w:rFonts w:eastAsiaTheme="minorHAnsi" w:cstheme="minorBidi"/>
        </w:rPr>
        <w:t>, and thereby disincentivizing</w:t>
      </w:r>
      <w:r w:rsidR="00E3479E">
        <w:rPr>
          <w:rFonts w:eastAsiaTheme="minorHAnsi" w:cstheme="minorBidi"/>
        </w:rPr>
        <w:t>,</w:t>
      </w:r>
      <w:r>
        <w:rPr>
          <w:rFonts w:eastAsiaTheme="minorHAnsi" w:cstheme="minorBidi"/>
        </w:rPr>
        <w:t xml:space="preserve"> viable utilities from acquiring non-viable systems, as well as constraining the seller’s market for buyers, resulting in missed opportunities for consolidation and regionalization of water and wastewater systems in Florida.</w:t>
      </w:r>
      <w:r w:rsidR="002613B4">
        <w:rPr>
          <w:rFonts w:eastAsiaTheme="minorHAnsi" w:cstheme="minorBidi"/>
        </w:rPr>
        <w:t xml:space="preserve">  </w:t>
      </w:r>
      <w:r w:rsidR="002613B4" w:rsidRPr="00EF6EAB">
        <w:rPr>
          <w:rFonts w:eastAsiaTheme="minorHAnsi" w:cstheme="minorBidi"/>
        </w:rPr>
        <w:t>Furthermore, denying the net book value of a system to a purchaser, notwithstanding a purchase price lower than net book value, is not consistent with original cost-based accounting.</w:t>
      </w:r>
    </w:p>
    <w:p w:rsidR="004A4A7D" w:rsidRDefault="002613B4" w:rsidP="004A4A7D">
      <w:pPr>
        <w:autoSpaceDE w:val="0"/>
        <w:autoSpaceDN w:val="0"/>
        <w:adjustRightInd w:val="0"/>
        <w:jc w:val="both"/>
        <w:rPr>
          <w:rFonts w:eastAsiaTheme="minorHAnsi" w:cstheme="minorBidi"/>
          <w:u w:val="single"/>
        </w:rPr>
      </w:pPr>
      <w:r w:rsidRPr="00EF6EAB">
        <w:rPr>
          <w:rFonts w:eastAsiaTheme="minorHAnsi" w:cstheme="minorBidi"/>
          <w:highlight w:val="yellow"/>
        </w:rPr>
        <w:t xml:space="preserve"> </w:t>
      </w:r>
    </w:p>
    <w:p w:rsidR="00BE1C2D" w:rsidRDefault="00CC429B" w:rsidP="00242E48">
      <w:pPr>
        <w:pStyle w:val="Second-LevelSubheading"/>
        <w:ind w:left="0"/>
        <w:contextualSpacing/>
        <w:rPr>
          <w:rFonts w:eastAsiaTheme="minorHAnsi"/>
          <w:i w:val="0"/>
        </w:rPr>
      </w:pPr>
      <w:r>
        <w:rPr>
          <w:rFonts w:eastAsiaTheme="minorHAnsi"/>
          <w:i w:val="0"/>
        </w:rPr>
        <w:t>Subsection (8)</w:t>
      </w:r>
      <w:r w:rsidR="006736B0" w:rsidRPr="00AA3B24">
        <w:rPr>
          <w:rFonts w:eastAsiaTheme="minorHAnsi"/>
          <w:i w:val="0"/>
        </w:rPr>
        <w:t xml:space="preserve"> </w:t>
      </w:r>
      <w:r w:rsidR="00860470">
        <w:rPr>
          <w:rFonts w:eastAsiaTheme="minorHAnsi"/>
          <w:i w:val="0"/>
        </w:rPr>
        <w:t>–</w:t>
      </w:r>
      <w:r w:rsidR="006736B0" w:rsidRPr="00AA3B24">
        <w:rPr>
          <w:rFonts w:eastAsiaTheme="minorHAnsi"/>
          <w:i w:val="0"/>
        </w:rPr>
        <w:t xml:space="preserve"> Notice</w:t>
      </w:r>
    </w:p>
    <w:p w:rsidR="00D805B9" w:rsidRDefault="00860470" w:rsidP="00937F9A">
      <w:pPr>
        <w:pStyle w:val="BodyText"/>
        <w:rPr>
          <w:rFonts w:eastAsiaTheme="minorHAnsi" w:cstheme="minorBidi"/>
          <w:szCs w:val="22"/>
        </w:rPr>
      </w:pPr>
      <w:r>
        <w:rPr>
          <w:rFonts w:eastAsiaTheme="minorHAnsi"/>
        </w:rPr>
        <w:t>T</w:t>
      </w:r>
      <w:r w:rsidR="004A4A7D">
        <w:rPr>
          <w:rFonts w:eastAsiaTheme="minorHAnsi" w:cstheme="minorBidi"/>
          <w:szCs w:val="22"/>
        </w:rPr>
        <w:t xml:space="preserve">his subsection </w:t>
      </w:r>
      <w:r w:rsidR="00052D8F">
        <w:rPr>
          <w:rFonts w:eastAsiaTheme="minorHAnsi" w:cstheme="minorBidi"/>
          <w:szCs w:val="22"/>
        </w:rPr>
        <w:t>requires,</w:t>
      </w:r>
      <w:r w:rsidR="004A4A7D">
        <w:rPr>
          <w:rFonts w:eastAsiaTheme="minorHAnsi" w:cstheme="minorBidi"/>
          <w:szCs w:val="22"/>
        </w:rPr>
        <w:t xml:space="preserve"> </w:t>
      </w:r>
      <w:r w:rsidR="00052D8F">
        <w:rPr>
          <w:rFonts w:eastAsiaTheme="minorHAnsi" w:cstheme="minorBidi"/>
          <w:szCs w:val="22"/>
        </w:rPr>
        <w:t>at the time an acquiring utility files its petition, to</w:t>
      </w:r>
      <w:r w:rsidR="004A4A7D">
        <w:rPr>
          <w:rFonts w:eastAsiaTheme="minorHAnsi" w:cstheme="minorBidi"/>
          <w:szCs w:val="22"/>
        </w:rPr>
        <w:t xml:space="preserve"> provide</w:t>
      </w:r>
      <w:r w:rsidR="00052D8F">
        <w:rPr>
          <w:rFonts w:eastAsiaTheme="minorHAnsi" w:cstheme="minorBidi"/>
          <w:szCs w:val="22"/>
        </w:rPr>
        <w:t xml:space="preserve"> a draft notice for review by Commission staff</w:t>
      </w:r>
      <w:r w:rsidR="00B65B06">
        <w:rPr>
          <w:rFonts w:eastAsiaTheme="minorHAnsi" w:cstheme="minorBidi"/>
          <w:szCs w:val="22"/>
        </w:rPr>
        <w:t xml:space="preserve">.  </w:t>
      </w:r>
      <w:r w:rsidR="00D805B9">
        <w:rPr>
          <w:rFonts w:eastAsiaTheme="minorHAnsi" w:cstheme="minorBidi"/>
          <w:szCs w:val="22"/>
        </w:rPr>
        <w:t>Commission staff</w:t>
      </w:r>
      <w:r w:rsidR="00052D8F">
        <w:rPr>
          <w:rFonts w:eastAsiaTheme="minorHAnsi" w:cstheme="minorBidi"/>
          <w:szCs w:val="22"/>
        </w:rPr>
        <w:t xml:space="preserve"> wi</w:t>
      </w:r>
      <w:r w:rsidR="00D805B9">
        <w:rPr>
          <w:rFonts w:eastAsiaTheme="minorHAnsi" w:cstheme="minorBidi"/>
          <w:szCs w:val="22"/>
        </w:rPr>
        <w:t xml:space="preserve">ll review the </w:t>
      </w:r>
      <w:r w:rsidR="00052D8F">
        <w:rPr>
          <w:rFonts w:eastAsiaTheme="minorHAnsi" w:cstheme="minorBidi"/>
          <w:szCs w:val="22"/>
        </w:rPr>
        <w:t xml:space="preserve">draft </w:t>
      </w:r>
      <w:r w:rsidR="00D805B9">
        <w:rPr>
          <w:rFonts w:eastAsiaTheme="minorHAnsi" w:cstheme="minorBidi"/>
          <w:szCs w:val="22"/>
        </w:rPr>
        <w:t>notice within 7 days</w:t>
      </w:r>
      <w:r w:rsidR="00052D8F">
        <w:rPr>
          <w:rFonts w:eastAsiaTheme="minorHAnsi" w:cstheme="minorBidi"/>
          <w:szCs w:val="22"/>
        </w:rPr>
        <w:t>, and o</w:t>
      </w:r>
      <w:r w:rsidR="00D805B9">
        <w:rPr>
          <w:rFonts w:eastAsiaTheme="minorHAnsi" w:cstheme="minorBidi"/>
          <w:szCs w:val="22"/>
        </w:rPr>
        <w:t xml:space="preserve">nce approved, the acquiring utility must provide </w:t>
      </w:r>
      <w:r w:rsidR="00B65B06">
        <w:rPr>
          <w:rFonts w:eastAsiaTheme="minorHAnsi" w:cstheme="minorBidi"/>
          <w:szCs w:val="22"/>
        </w:rPr>
        <w:t xml:space="preserve">the </w:t>
      </w:r>
      <w:r w:rsidR="00D805B9">
        <w:rPr>
          <w:rFonts w:eastAsiaTheme="minorHAnsi" w:cstheme="minorBidi"/>
          <w:szCs w:val="22"/>
        </w:rPr>
        <w:t>notice</w:t>
      </w:r>
      <w:r w:rsidR="00B65B06">
        <w:rPr>
          <w:rFonts w:eastAsiaTheme="minorHAnsi" w:cstheme="minorBidi"/>
          <w:szCs w:val="22"/>
        </w:rPr>
        <w:t>,</w:t>
      </w:r>
      <w:r w:rsidR="00D805B9">
        <w:rPr>
          <w:rFonts w:eastAsiaTheme="minorHAnsi" w:cstheme="minorBidi"/>
          <w:szCs w:val="22"/>
        </w:rPr>
        <w:t xml:space="preserve"> in the manner directed in the rule</w:t>
      </w:r>
      <w:r w:rsidR="00B65B06">
        <w:rPr>
          <w:rFonts w:eastAsiaTheme="minorHAnsi" w:cstheme="minorBidi"/>
          <w:szCs w:val="22"/>
        </w:rPr>
        <w:t>,</w:t>
      </w:r>
      <w:r w:rsidR="00D805B9">
        <w:rPr>
          <w:rFonts w:eastAsiaTheme="minorHAnsi" w:cstheme="minorBidi"/>
          <w:szCs w:val="22"/>
        </w:rPr>
        <w:t xml:space="preserve"> to OPC and to each customer and owner of property located within the service area for both the acquiring utility and </w:t>
      </w:r>
      <w:r w:rsidR="00B65B06">
        <w:rPr>
          <w:rFonts w:eastAsiaTheme="minorHAnsi" w:cstheme="minorBidi"/>
          <w:szCs w:val="22"/>
        </w:rPr>
        <w:t>to</w:t>
      </w:r>
      <w:r w:rsidR="00D805B9">
        <w:rPr>
          <w:rFonts w:eastAsiaTheme="minorHAnsi" w:cstheme="minorBidi"/>
          <w:szCs w:val="22"/>
        </w:rPr>
        <w:t xml:space="preserve"> customers of the utility being acquired.  The </w:t>
      </w:r>
      <w:r w:rsidR="004006C2">
        <w:rPr>
          <w:rFonts w:eastAsiaTheme="minorHAnsi" w:cstheme="minorBidi"/>
          <w:szCs w:val="22"/>
        </w:rPr>
        <w:t>recommended</w:t>
      </w:r>
      <w:r w:rsidR="00B65B06">
        <w:rPr>
          <w:rFonts w:eastAsiaTheme="minorHAnsi" w:cstheme="minorBidi"/>
          <w:szCs w:val="22"/>
        </w:rPr>
        <w:t xml:space="preserve"> </w:t>
      </w:r>
      <w:r w:rsidR="00D805B9">
        <w:rPr>
          <w:rFonts w:eastAsiaTheme="minorHAnsi" w:cstheme="minorBidi"/>
          <w:szCs w:val="22"/>
        </w:rPr>
        <w:t xml:space="preserve">rule </w:t>
      </w:r>
      <w:r w:rsidR="004006C2">
        <w:rPr>
          <w:rFonts w:eastAsiaTheme="minorHAnsi" w:cstheme="minorBidi"/>
          <w:szCs w:val="22"/>
        </w:rPr>
        <w:t xml:space="preserve">language </w:t>
      </w:r>
      <w:r w:rsidR="00D805B9">
        <w:rPr>
          <w:rFonts w:eastAsiaTheme="minorHAnsi" w:cstheme="minorBidi"/>
          <w:szCs w:val="22"/>
        </w:rPr>
        <w:t>permits the acquiring utility to combine this notice with the notice of Application for Authority to Transfer and provides what the notice must contain,</w:t>
      </w:r>
      <w:r w:rsidR="00D805B9" w:rsidRPr="00E10568">
        <w:rPr>
          <w:rFonts w:eastAsiaTheme="minorHAnsi" w:cstheme="minorBidi"/>
          <w:szCs w:val="22"/>
        </w:rPr>
        <w:t xml:space="preserve"> </w:t>
      </w:r>
      <w:r w:rsidR="00D805B9" w:rsidRPr="003A62F2">
        <w:rPr>
          <w:rFonts w:eastAsiaTheme="minorHAnsi" w:cstheme="minorBidi"/>
          <w:szCs w:val="22"/>
        </w:rPr>
        <w:t>th</w:t>
      </w:r>
      <w:r w:rsidR="00D805B9">
        <w:rPr>
          <w:rFonts w:eastAsiaTheme="minorHAnsi" w:cstheme="minorBidi"/>
          <w:szCs w:val="22"/>
        </w:rPr>
        <w:t>ereby</w:t>
      </w:r>
      <w:r w:rsidR="00D805B9" w:rsidRPr="003A62F2">
        <w:rPr>
          <w:rFonts w:eastAsiaTheme="minorHAnsi" w:cstheme="minorBidi"/>
          <w:szCs w:val="22"/>
        </w:rPr>
        <w:t xml:space="preserve"> allowing </w:t>
      </w:r>
      <w:r w:rsidR="00D805B9">
        <w:rPr>
          <w:rFonts w:eastAsiaTheme="minorHAnsi" w:cstheme="minorBidi"/>
          <w:szCs w:val="22"/>
        </w:rPr>
        <w:t>the acquiring utility t</w:t>
      </w:r>
      <w:r w:rsidR="00D805B9" w:rsidRPr="003A62F2">
        <w:rPr>
          <w:rFonts w:eastAsiaTheme="minorHAnsi" w:cstheme="minorBidi"/>
          <w:szCs w:val="22"/>
        </w:rPr>
        <w:t>o avoid duplication of efforts</w:t>
      </w:r>
      <w:r w:rsidR="00D805B9">
        <w:rPr>
          <w:rFonts w:eastAsiaTheme="minorHAnsi" w:cstheme="minorBidi"/>
          <w:szCs w:val="22"/>
        </w:rPr>
        <w:t>.</w:t>
      </w:r>
      <w:r w:rsidR="00052D8F">
        <w:rPr>
          <w:rFonts w:eastAsiaTheme="minorHAnsi" w:cstheme="minorBidi"/>
          <w:szCs w:val="22"/>
        </w:rPr>
        <w:t xml:space="preserve">  </w:t>
      </w:r>
    </w:p>
    <w:p w:rsidR="00AA3B24" w:rsidRDefault="00062D2E" w:rsidP="00062D2E">
      <w:pPr>
        <w:spacing w:before="120"/>
        <w:jc w:val="both"/>
        <w:rPr>
          <w:rFonts w:eastAsiaTheme="minorHAnsi" w:cstheme="minorBidi"/>
          <w:szCs w:val="22"/>
        </w:rPr>
      </w:pPr>
      <w:r>
        <w:rPr>
          <w:rFonts w:eastAsiaTheme="minorHAnsi" w:cstheme="minorBidi"/>
          <w:szCs w:val="22"/>
        </w:rPr>
        <w:t xml:space="preserve">Staff recommends </w:t>
      </w:r>
      <w:r w:rsidR="00AA3B24">
        <w:rPr>
          <w:rFonts w:eastAsiaTheme="minorHAnsi" w:cstheme="minorBidi"/>
          <w:szCs w:val="22"/>
        </w:rPr>
        <w:t>approval of the language in subsection (8), as</w:t>
      </w:r>
      <w:r>
        <w:rPr>
          <w:rFonts w:eastAsiaTheme="minorHAnsi" w:cstheme="minorBidi"/>
          <w:szCs w:val="22"/>
        </w:rPr>
        <w:t xml:space="preserve"> a notice requirement safeguards the due process rights of both the acquiring and acquired utility customers by </w:t>
      </w:r>
      <w:r w:rsidR="00AA3B24">
        <w:rPr>
          <w:rFonts w:eastAsiaTheme="minorHAnsi" w:cstheme="minorBidi"/>
          <w:szCs w:val="22"/>
        </w:rPr>
        <w:t xml:space="preserve">requiring the notice </w:t>
      </w:r>
      <w:r>
        <w:rPr>
          <w:rFonts w:eastAsiaTheme="minorHAnsi" w:cstheme="minorBidi"/>
          <w:szCs w:val="22"/>
        </w:rPr>
        <w:t>provid</w:t>
      </w:r>
      <w:r w:rsidR="00AA3B24">
        <w:rPr>
          <w:rFonts w:eastAsiaTheme="minorHAnsi" w:cstheme="minorBidi"/>
          <w:szCs w:val="22"/>
        </w:rPr>
        <w:t xml:space="preserve">e a statement </w:t>
      </w:r>
      <w:r>
        <w:rPr>
          <w:rFonts w:eastAsiaTheme="minorHAnsi" w:cstheme="minorBidi"/>
          <w:szCs w:val="22"/>
        </w:rPr>
        <w:t>that any customer substantially affected by the petition may file a motion to intervene in accordance with Rule 28-106.205, F.A.C.</w:t>
      </w:r>
    </w:p>
    <w:p w:rsidR="00B65B06" w:rsidRDefault="00B65B06" w:rsidP="006736B0">
      <w:pPr>
        <w:pStyle w:val="First-LevelSubheading"/>
        <w:contextualSpacing/>
        <w:rPr>
          <w:rFonts w:eastAsiaTheme="minorHAnsi"/>
        </w:rPr>
      </w:pPr>
    </w:p>
    <w:p w:rsidR="00BE1C2D" w:rsidRDefault="006736B0" w:rsidP="006736B0">
      <w:pPr>
        <w:pStyle w:val="First-LevelSubheading"/>
        <w:contextualSpacing/>
        <w:rPr>
          <w:rFonts w:eastAsiaTheme="minorHAnsi"/>
        </w:rPr>
      </w:pPr>
      <w:r>
        <w:rPr>
          <w:rFonts w:eastAsiaTheme="minorHAnsi"/>
        </w:rPr>
        <w:t>Minor Violation Rule Certification</w:t>
      </w:r>
    </w:p>
    <w:p w:rsidR="006736B0" w:rsidRDefault="00860470" w:rsidP="00860470">
      <w:pPr>
        <w:pStyle w:val="BodyText"/>
        <w:rPr>
          <w:rFonts w:eastAsiaTheme="minorHAnsi" w:cstheme="minorBidi"/>
          <w:szCs w:val="22"/>
        </w:rPr>
      </w:pPr>
      <w:r>
        <w:rPr>
          <w:rFonts w:eastAsiaTheme="minorHAnsi"/>
        </w:rPr>
        <w:t>P</w:t>
      </w:r>
      <w:r w:rsidR="00D805B9" w:rsidRPr="003A62F2">
        <w:rPr>
          <w:rFonts w:eastAsiaTheme="minorHAnsi" w:cstheme="minorBidi"/>
          <w:szCs w:val="22"/>
        </w:rPr>
        <w:t xml:space="preserve">ursuant to Section 120.695, F.S., for each rule filed for adoption, the agency head shall certify whether any part of the rule is designated as a rule the violation of which would be a minor violation. </w:t>
      </w:r>
      <w:r w:rsidR="00D805B9" w:rsidRPr="003A62F2">
        <w:rPr>
          <w:rFonts w:eastAsiaTheme="minorHAnsi"/>
        </w:rPr>
        <w:t xml:space="preserve">Under Section 120.695(2)(b), F.S., a violation of a rule is minor if it does not result in economic or physical harm to a person or adversely affect the public health, safety, or welfare or create a significant threat of such harm. </w:t>
      </w:r>
      <w:r w:rsidR="00D805B9" w:rsidRPr="003A62F2">
        <w:rPr>
          <w:rFonts w:eastAsiaTheme="minorHAnsi" w:cstheme="minorBidi"/>
          <w:szCs w:val="22"/>
        </w:rPr>
        <w:t>Rule 25-30.037</w:t>
      </w:r>
      <w:r w:rsidR="00D805B9">
        <w:rPr>
          <w:rFonts w:eastAsiaTheme="minorHAnsi" w:cstheme="minorBidi"/>
          <w:szCs w:val="22"/>
        </w:rPr>
        <w:t>1</w:t>
      </w:r>
      <w:r w:rsidR="00D805B9" w:rsidRPr="003A62F2">
        <w:rPr>
          <w:rFonts w:eastAsiaTheme="minorHAnsi" w:cstheme="minorBidi"/>
          <w:szCs w:val="22"/>
        </w:rPr>
        <w:t>, F.A.C., should be listed as a minor violation rule by the Commission. This rule is a minor violation rule because the violation of this rule would not result in economic or physical harm to a person, cause an adverse effect on the public health, safety, or welfare, or create a significant threat of such harm. Violations of Rule 25-30.037</w:t>
      </w:r>
      <w:r w:rsidR="00D805B9">
        <w:rPr>
          <w:rFonts w:eastAsiaTheme="minorHAnsi" w:cstheme="minorBidi"/>
          <w:szCs w:val="22"/>
        </w:rPr>
        <w:t>1</w:t>
      </w:r>
      <w:r w:rsidR="00D805B9" w:rsidRPr="003A62F2">
        <w:rPr>
          <w:rFonts w:eastAsiaTheme="minorHAnsi" w:cstheme="minorBidi"/>
          <w:szCs w:val="22"/>
        </w:rPr>
        <w:t xml:space="preserve">, F.A.C., would be minor violations. Therefore, </w:t>
      </w:r>
      <w:r w:rsidR="00511535">
        <w:rPr>
          <w:rFonts w:eastAsiaTheme="minorHAnsi" w:cstheme="minorBidi"/>
          <w:szCs w:val="22"/>
        </w:rPr>
        <w:t>for the purposes of filing the r</w:t>
      </w:r>
      <w:r w:rsidR="00D805B9" w:rsidRPr="003A62F2">
        <w:rPr>
          <w:rFonts w:eastAsiaTheme="minorHAnsi" w:cstheme="minorBidi"/>
          <w:szCs w:val="22"/>
        </w:rPr>
        <w:t>ule for adoption with the Department of State, staff recommends that the Commission certify Rule 25-30.037</w:t>
      </w:r>
      <w:r w:rsidR="00D805B9">
        <w:rPr>
          <w:rFonts w:eastAsiaTheme="minorHAnsi" w:cstheme="minorBidi"/>
          <w:szCs w:val="22"/>
        </w:rPr>
        <w:t>1</w:t>
      </w:r>
      <w:r w:rsidR="00D805B9" w:rsidRPr="003A62F2">
        <w:rPr>
          <w:rFonts w:eastAsiaTheme="minorHAnsi" w:cstheme="minorBidi"/>
          <w:szCs w:val="22"/>
        </w:rPr>
        <w:t>, F.A.C., as a minor violation rule.</w:t>
      </w:r>
    </w:p>
    <w:p w:rsidR="006736B0" w:rsidRPr="00937F9A" w:rsidRDefault="006736B0" w:rsidP="006736B0">
      <w:pPr>
        <w:pStyle w:val="First-LevelSubheading"/>
        <w:contextualSpacing/>
        <w:rPr>
          <w:rFonts w:eastAsiaTheme="minorHAnsi"/>
        </w:rPr>
      </w:pPr>
      <w:r w:rsidRPr="00937F9A">
        <w:rPr>
          <w:rFonts w:eastAsiaTheme="minorHAnsi"/>
        </w:rPr>
        <w:t>Statement of Estimated Regulatory Costs</w:t>
      </w:r>
    </w:p>
    <w:p w:rsidR="00D805B9" w:rsidRPr="003A62F2" w:rsidRDefault="00860470" w:rsidP="00860470">
      <w:pPr>
        <w:pStyle w:val="BodyText"/>
        <w:rPr>
          <w:rFonts w:eastAsiaTheme="minorHAnsi" w:cstheme="minorBidi"/>
          <w:szCs w:val="22"/>
          <w:highlight w:val="yellow"/>
        </w:rPr>
      </w:pPr>
      <w:r w:rsidRPr="00937F9A">
        <w:rPr>
          <w:rFonts w:eastAsiaTheme="minorHAnsi"/>
        </w:rPr>
        <w:t>S</w:t>
      </w:r>
      <w:r w:rsidR="00D805B9" w:rsidRPr="00937F9A">
        <w:rPr>
          <w:rFonts w:eastAsiaTheme="minorHAnsi" w:cstheme="minorBidi"/>
          <w:szCs w:val="22"/>
        </w:rPr>
        <w:t>ection 120.54(3)(b)1., F.S.</w:t>
      </w:r>
      <w:r w:rsidR="00052D8F">
        <w:rPr>
          <w:rFonts w:eastAsiaTheme="minorHAnsi" w:cstheme="minorBidi"/>
          <w:szCs w:val="22"/>
        </w:rPr>
        <w:t>,</w:t>
      </w:r>
      <w:r w:rsidR="00D805B9" w:rsidRPr="00937F9A">
        <w:rPr>
          <w:rFonts w:eastAsiaTheme="minorHAnsi" w:cstheme="minorBidi"/>
          <w:szCs w:val="22"/>
        </w:rPr>
        <w:t xml:space="preserve"> encourages agencies to prepare a Statement of Estimated Regulatory Costs (SERC) before the adoption, amendment, or repeal of any rule. A SERC was prepared for this rulemaking and is appended as Attachment B. As required by Section 120.541(2)(a)1., F.S., the SERC analysis includes whether the </w:t>
      </w:r>
      <w:r w:rsidR="00AD6372">
        <w:rPr>
          <w:rFonts w:eastAsiaTheme="minorHAnsi" w:cstheme="minorBidi"/>
          <w:szCs w:val="22"/>
        </w:rPr>
        <w:t xml:space="preserve">amended </w:t>
      </w:r>
      <w:r w:rsidR="00511535">
        <w:rPr>
          <w:rFonts w:eastAsiaTheme="minorHAnsi" w:cstheme="minorBidi"/>
          <w:szCs w:val="22"/>
        </w:rPr>
        <w:t>r</w:t>
      </w:r>
      <w:r w:rsidR="00D805B9" w:rsidRPr="00937F9A">
        <w:rPr>
          <w:rFonts w:eastAsiaTheme="minorHAnsi" w:cstheme="minorBidi"/>
          <w:szCs w:val="22"/>
        </w:rPr>
        <w:t>ule is likely to have an adverse impact on economic growth, private sector job creation or employment, or private sector investment in excess of $1 million in the aggregate within five years after implementation.</w:t>
      </w:r>
    </w:p>
    <w:p w:rsidR="00D805B9" w:rsidRPr="00937F9A" w:rsidRDefault="00D805B9" w:rsidP="00D805B9">
      <w:pPr>
        <w:spacing w:after="200"/>
        <w:jc w:val="both"/>
        <w:rPr>
          <w:rFonts w:eastAsiaTheme="minorHAnsi" w:cstheme="minorBidi"/>
          <w:szCs w:val="22"/>
        </w:rPr>
      </w:pPr>
      <w:r w:rsidRPr="00937F9A">
        <w:rPr>
          <w:rFonts w:eastAsiaTheme="minorHAnsi" w:cstheme="minorBidi"/>
          <w:szCs w:val="22"/>
        </w:rPr>
        <w:t xml:space="preserve">The SERC concludes that the </w:t>
      </w:r>
      <w:r w:rsidR="00D86F0A" w:rsidRPr="00937F9A">
        <w:rPr>
          <w:rFonts w:eastAsiaTheme="minorHAnsi" w:cstheme="minorBidi"/>
          <w:szCs w:val="22"/>
        </w:rPr>
        <w:t xml:space="preserve">amended </w:t>
      </w:r>
      <w:r w:rsidR="00511535">
        <w:rPr>
          <w:rFonts w:eastAsiaTheme="minorHAnsi" w:cstheme="minorBidi"/>
          <w:szCs w:val="22"/>
        </w:rPr>
        <w:t>r</w:t>
      </w:r>
      <w:r w:rsidRPr="00937F9A">
        <w:rPr>
          <w:rFonts w:eastAsiaTheme="minorHAnsi" w:cstheme="minorBidi"/>
          <w:szCs w:val="22"/>
        </w:rPr>
        <w:t xml:space="preserve">ule will likely not directly or indirectly increase regulatory costs in excess of $200,000 in the aggregate in Florida within one year after implementation. Further, the SERC concludes that the </w:t>
      </w:r>
      <w:r w:rsidR="00D86F0A" w:rsidRPr="00937F9A">
        <w:rPr>
          <w:rFonts w:eastAsiaTheme="minorHAnsi" w:cstheme="minorBidi"/>
          <w:szCs w:val="22"/>
        </w:rPr>
        <w:t xml:space="preserve">amended </w:t>
      </w:r>
      <w:r w:rsidR="00511535">
        <w:rPr>
          <w:rFonts w:eastAsiaTheme="minorHAnsi" w:cstheme="minorBidi"/>
          <w:szCs w:val="22"/>
        </w:rPr>
        <w:t>r</w:t>
      </w:r>
      <w:r w:rsidRPr="00937F9A">
        <w:rPr>
          <w:rFonts w:eastAsiaTheme="minorHAnsi" w:cstheme="minorBidi"/>
          <w:szCs w:val="22"/>
        </w:rPr>
        <w:t>ule will not likely increase regulatory costs, including any transactional costs, or have an adverse impact on business competitiveness, productivity, or innovation, in excess of $1 million in the aggregate within five years of implementation. Thus, pursuant to Section 120.541(3), F.S., the rule do</w:t>
      </w:r>
      <w:r w:rsidR="00CC429B">
        <w:rPr>
          <w:rFonts w:eastAsiaTheme="minorHAnsi" w:cstheme="minorBidi"/>
          <w:szCs w:val="22"/>
        </w:rPr>
        <w:t>es</w:t>
      </w:r>
      <w:r w:rsidRPr="00937F9A">
        <w:rPr>
          <w:rFonts w:eastAsiaTheme="minorHAnsi" w:cstheme="minorBidi"/>
          <w:szCs w:val="22"/>
        </w:rPr>
        <w:t xml:space="preserve"> not require legislative ratification.</w:t>
      </w:r>
    </w:p>
    <w:p w:rsidR="00D805B9" w:rsidRPr="00937F9A" w:rsidRDefault="00D805B9" w:rsidP="00D805B9">
      <w:pPr>
        <w:autoSpaceDE w:val="0"/>
        <w:autoSpaceDN w:val="0"/>
        <w:adjustRightInd w:val="0"/>
        <w:jc w:val="both"/>
        <w:rPr>
          <w:rFonts w:eastAsiaTheme="minorHAnsi"/>
        </w:rPr>
      </w:pPr>
      <w:r w:rsidRPr="00937F9A">
        <w:rPr>
          <w:rFonts w:eastAsiaTheme="minorHAnsi"/>
        </w:rPr>
        <w:t xml:space="preserve">Further, the SERC concludes that the </w:t>
      </w:r>
      <w:r w:rsidR="00D86F0A" w:rsidRPr="00937F9A">
        <w:rPr>
          <w:rFonts w:eastAsiaTheme="minorHAnsi"/>
        </w:rPr>
        <w:t xml:space="preserve">amended </w:t>
      </w:r>
      <w:r w:rsidR="00511535">
        <w:rPr>
          <w:rFonts w:eastAsiaTheme="minorHAnsi"/>
        </w:rPr>
        <w:t>r</w:t>
      </w:r>
      <w:r w:rsidRPr="00937F9A">
        <w:rPr>
          <w:rFonts w:eastAsiaTheme="minorHAnsi"/>
        </w:rPr>
        <w:t xml:space="preserve">ule will not likely have an adverse impact on economic growth, private-sector job creation or employment, private sector investment, business competitiveness, productivity, or innovation in excess of $1 million in the aggregate within five years of implementation. Thus, the </w:t>
      </w:r>
      <w:r w:rsidR="00D86F0A" w:rsidRPr="00937F9A">
        <w:rPr>
          <w:rFonts w:eastAsiaTheme="minorHAnsi"/>
        </w:rPr>
        <w:t>amended</w:t>
      </w:r>
      <w:r w:rsidRPr="00937F9A">
        <w:rPr>
          <w:rFonts w:eastAsiaTheme="minorHAnsi"/>
        </w:rPr>
        <w:t xml:space="preserve"> </w:t>
      </w:r>
      <w:r w:rsidR="00511535">
        <w:rPr>
          <w:rFonts w:eastAsiaTheme="minorHAnsi"/>
        </w:rPr>
        <w:t>r</w:t>
      </w:r>
      <w:r w:rsidRPr="00937F9A">
        <w:rPr>
          <w:rFonts w:eastAsiaTheme="minorHAnsi"/>
        </w:rPr>
        <w:t>ule does not require legislative ratification pursuant to Section 120.541(3), F.S.</w:t>
      </w:r>
    </w:p>
    <w:p w:rsidR="00D805B9" w:rsidRPr="00937F9A" w:rsidRDefault="00D805B9" w:rsidP="00D805B9">
      <w:pPr>
        <w:autoSpaceDE w:val="0"/>
        <w:autoSpaceDN w:val="0"/>
        <w:adjustRightInd w:val="0"/>
        <w:jc w:val="both"/>
        <w:rPr>
          <w:rFonts w:eastAsiaTheme="minorHAnsi"/>
        </w:rPr>
      </w:pPr>
    </w:p>
    <w:p w:rsidR="00D805B9" w:rsidRPr="003A62F2" w:rsidRDefault="00D805B9" w:rsidP="00D805B9">
      <w:pPr>
        <w:spacing w:after="200"/>
        <w:jc w:val="both"/>
        <w:rPr>
          <w:rFonts w:eastAsiaTheme="minorHAnsi" w:cstheme="minorBidi"/>
          <w:szCs w:val="22"/>
        </w:rPr>
      </w:pPr>
      <w:r w:rsidRPr="00937F9A">
        <w:rPr>
          <w:rFonts w:eastAsiaTheme="minorHAnsi" w:cstheme="minorBidi"/>
          <w:szCs w:val="22"/>
        </w:rPr>
        <w:t xml:space="preserve">In addition, the SERC states that the </w:t>
      </w:r>
      <w:r w:rsidR="00D86F0A" w:rsidRPr="00937F9A">
        <w:rPr>
          <w:rFonts w:eastAsiaTheme="minorHAnsi" w:cstheme="minorBidi"/>
          <w:szCs w:val="22"/>
        </w:rPr>
        <w:t xml:space="preserve">amended </w:t>
      </w:r>
      <w:r w:rsidR="00511535">
        <w:rPr>
          <w:rFonts w:eastAsiaTheme="minorHAnsi" w:cstheme="minorBidi"/>
          <w:szCs w:val="22"/>
        </w:rPr>
        <w:t>r</w:t>
      </w:r>
      <w:r w:rsidRPr="00937F9A">
        <w:rPr>
          <w:rFonts w:eastAsiaTheme="minorHAnsi" w:cstheme="minorBidi"/>
          <w:szCs w:val="22"/>
        </w:rPr>
        <w:t xml:space="preserve">ule would have no adverse impact on small businesses, would have no implementation or enforcement costs on the Commission or any other state or local government entity, and would have no impact on small cities or small counties. The SERC states that there will be no transactional costs likely to be incurred by individuals and entities required to comply with the requirements. None of the impact/cost criteria established in Section 120.541(2)(a), F.S., will be exceeded as a result of the </w:t>
      </w:r>
      <w:r w:rsidR="00D86F0A" w:rsidRPr="00937F9A">
        <w:rPr>
          <w:rFonts w:eastAsiaTheme="minorHAnsi" w:cstheme="minorBidi"/>
          <w:szCs w:val="22"/>
        </w:rPr>
        <w:t xml:space="preserve">amended </w:t>
      </w:r>
      <w:r w:rsidR="00511535">
        <w:rPr>
          <w:rFonts w:eastAsiaTheme="minorHAnsi" w:cstheme="minorBidi"/>
          <w:szCs w:val="22"/>
        </w:rPr>
        <w:t>r</w:t>
      </w:r>
      <w:r w:rsidRPr="00937F9A">
        <w:rPr>
          <w:rFonts w:eastAsiaTheme="minorHAnsi" w:cstheme="minorBidi"/>
          <w:szCs w:val="22"/>
        </w:rPr>
        <w:t>ule.</w:t>
      </w:r>
    </w:p>
    <w:p w:rsidR="00BE1C2D" w:rsidRDefault="00C135AA" w:rsidP="00BE1C2D">
      <w:pPr>
        <w:pStyle w:val="First-LevelSubheading"/>
        <w:contextualSpacing/>
        <w:rPr>
          <w:rFonts w:eastAsiaTheme="minorHAnsi"/>
        </w:rPr>
      </w:pPr>
      <w:r>
        <w:rPr>
          <w:rFonts w:eastAsiaTheme="minorHAnsi"/>
        </w:rPr>
        <w:t>Conclusion</w:t>
      </w:r>
    </w:p>
    <w:p w:rsidR="00D805B9" w:rsidRPr="00D805B9" w:rsidRDefault="00860470" w:rsidP="00860470">
      <w:pPr>
        <w:pStyle w:val="BodyText"/>
        <w:rPr>
          <w:rFonts w:eastAsiaTheme="minorHAnsi" w:cstheme="minorBidi"/>
          <w:sz w:val="22"/>
          <w:u w:val="single"/>
        </w:rPr>
      </w:pPr>
      <w:r>
        <w:rPr>
          <w:rFonts w:eastAsiaTheme="minorHAnsi"/>
        </w:rPr>
        <w:t>B</w:t>
      </w:r>
      <w:r w:rsidR="00D805B9" w:rsidRPr="003A62F2">
        <w:rPr>
          <w:rFonts w:eastAsiaTheme="minorHAnsi" w:cstheme="minorBidi"/>
          <w:szCs w:val="22"/>
        </w:rPr>
        <w:t>ased on the foregoing, staff recommends the Commission should propose the a</w:t>
      </w:r>
      <w:r w:rsidR="00242E48">
        <w:rPr>
          <w:rFonts w:eastAsiaTheme="minorHAnsi" w:cstheme="minorBidi"/>
          <w:szCs w:val="22"/>
        </w:rPr>
        <w:t xml:space="preserve">mendment </w:t>
      </w:r>
      <w:r w:rsidR="00D805B9" w:rsidRPr="003A62F2">
        <w:rPr>
          <w:rFonts w:eastAsiaTheme="minorHAnsi" w:cstheme="minorBidi"/>
          <w:szCs w:val="22"/>
        </w:rPr>
        <w:t>of Rule 25-30.037</w:t>
      </w:r>
      <w:r w:rsidR="00D805B9">
        <w:rPr>
          <w:rFonts w:eastAsiaTheme="minorHAnsi" w:cstheme="minorBidi"/>
          <w:szCs w:val="22"/>
        </w:rPr>
        <w:t>1</w:t>
      </w:r>
      <w:r w:rsidR="00D805B9" w:rsidRPr="003A62F2">
        <w:rPr>
          <w:rFonts w:eastAsiaTheme="minorHAnsi" w:cstheme="minorBidi"/>
          <w:szCs w:val="22"/>
        </w:rPr>
        <w:t>, F.A.C., as set forth in Attachment A. Staff</w:t>
      </w:r>
      <w:r w:rsidR="00D805B9">
        <w:rPr>
          <w:rFonts w:eastAsiaTheme="minorHAnsi" w:cstheme="minorBidi"/>
          <w:szCs w:val="22"/>
        </w:rPr>
        <w:t xml:space="preserve"> further</w:t>
      </w:r>
      <w:r w:rsidR="00D805B9" w:rsidRPr="003A62F2">
        <w:rPr>
          <w:rFonts w:eastAsiaTheme="minorHAnsi" w:cstheme="minorBidi"/>
          <w:szCs w:val="22"/>
        </w:rPr>
        <w:t xml:space="preserve"> recommends the Commission certify Rule 25-30.037</w:t>
      </w:r>
      <w:r w:rsidR="00D805B9">
        <w:rPr>
          <w:rFonts w:eastAsiaTheme="minorHAnsi" w:cstheme="minorBidi"/>
          <w:szCs w:val="22"/>
        </w:rPr>
        <w:t>1</w:t>
      </w:r>
      <w:r w:rsidR="00D805B9" w:rsidRPr="003A62F2">
        <w:rPr>
          <w:rFonts w:eastAsiaTheme="minorHAnsi" w:cstheme="minorBidi"/>
          <w:szCs w:val="22"/>
        </w:rPr>
        <w:t>, F.A.C., as a minor violation rule</w:t>
      </w:r>
      <w:r w:rsidR="00D805B9">
        <w:rPr>
          <w:rFonts w:eastAsiaTheme="minorHAnsi" w:cstheme="minorBidi"/>
          <w:szCs w:val="22"/>
        </w:rPr>
        <w:t>.</w:t>
      </w:r>
    </w:p>
    <w:p w:rsidR="00D805B9" w:rsidRDefault="00D805B9" w:rsidP="00D805B9">
      <w:pPr>
        <w:spacing w:after="200"/>
        <w:rPr>
          <w:rFonts w:eastAsiaTheme="minorHAnsi" w:cstheme="minorBidi"/>
          <w:szCs w:val="22"/>
          <w:u w:val="single"/>
        </w:rPr>
      </w:pPr>
    </w:p>
    <w:p w:rsidR="00D805B9" w:rsidRPr="003A62F2" w:rsidRDefault="00D805B9" w:rsidP="00D805B9">
      <w:pPr>
        <w:spacing w:after="200"/>
        <w:rPr>
          <w:rFonts w:eastAsiaTheme="minorHAnsi" w:cstheme="minorBidi"/>
          <w:szCs w:val="22"/>
          <w:u w:val="single"/>
        </w:rPr>
      </w:pPr>
    </w:p>
    <w:p w:rsidR="00F30D3E" w:rsidRDefault="00F30D3E">
      <w:r>
        <w:br w:type="page"/>
      </w:r>
    </w:p>
    <w:p w:rsidR="00B562C1" w:rsidRDefault="00B562C1">
      <w:pPr>
        <w:pStyle w:val="IssueHeading"/>
        <w:rPr>
          <w:vanish/>
          <w:specVanish/>
        </w:rPr>
      </w:pPr>
      <w:r w:rsidRPr="004C3641">
        <w:t xml:space="preserve">Issue </w:t>
      </w:r>
      <w:fldSimple w:instr=" SEQ Issue \* MERGEFORMAT ">
        <w:r w:rsidR="004E2EA2">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4E2EA2">
        <w:rPr>
          <w:noProof/>
        </w:rPr>
        <w:instrText>2</w:instrText>
      </w:r>
      <w:r>
        <w:fldChar w:fldCharType="end"/>
      </w:r>
      <w:r>
        <w:tab/>
        <w:instrText xml:space="preserve">" \l 1 </w:instrText>
      </w:r>
      <w:r>
        <w:fldChar w:fldCharType="end"/>
      </w:r>
      <w:r>
        <w:t> </w:t>
      </w:r>
    </w:p>
    <w:p w:rsidR="00B562C1" w:rsidRDefault="00B562C1">
      <w:pPr>
        <w:pStyle w:val="BodyText"/>
      </w:pPr>
      <w:r>
        <w:t> Should this docket be closed?</w:t>
      </w:r>
    </w:p>
    <w:p w:rsidR="00B562C1" w:rsidRPr="004C3641" w:rsidRDefault="00B562C1">
      <w:pPr>
        <w:pStyle w:val="IssueSubsectionHeading"/>
        <w:rPr>
          <w:vanish/>
          <w:specVanish/>
        </w:rPr>
      </w:pPr>
      <w:r w:rsidRPr="004C3641">
        <w:t>Recommendation: </w:t>
      </w:r>
    </w:p>
    <w:p w:rsidR="00D805B9" w:rsidRDefault="00B562C1" w:rsidP="00D805B9">
      <w:pPr>
        <w:pStyle w:val="BodyText"/>
      </w:pPr>
      <w:r>
        <w:t> </w:t>
      </w:r>
      <w:r w:rsidR="00D805B9">
        <w:t xml:space="preserve">Yes.  If no requests for hearing or JAPC comments are filed, the rule should be filed for adoption with the Department of State, and the docket should be closed. (Sunshine) </w:t>
      </w:r>
    </w:p>
    <w:p w:rsidR="00B562C1" w:rsidRPr="004C3641" w:rsidRDefault="00B562C1">
      <w:pPr>
        <w:pStyle w:val="IssueSubsectionHeading"/>
        <w:rPr>
          <w:vanish/>
          <w:specVanish/>
        </w:rPr>
      </w:pPr>
      <w:r w:rsidRPr="004C3641">
        <w:t>Staff Analysis: </w:t>
      </w:r>
    </w:p>
    <w:p w:rsidR="00D805B9" w:rsidRDefault="00B562C1" w:rsidP="00D805B9">
      <w:pPr>
        <w:pStyle w:val="BodyText"/>
      </w:pPr>
      <w:r>
        <w:t> </w:t>
      </w:r>
      <w:r w:rsidR="00D805B9">
        <w:t>If no requests</w:t>
      </w:r>
      <w:r w:rsidR="00D805B9" w:rsidRPr="00DC5155">
        <w:t xml:space="preserve"> </w:t>
      </w:r>
      <w:r w:rsidR="00D805B9">
        <w:t>for hearing or JAPC comments are filed, the rule should be filed for adoption with the Department of State, and the docket should be closed.</w:t>
      </w:r>
    </w:p>
    <w:p w:rsidR="00937F9A" w:rsidRDefault="00937F9A" w:rsidP="00D805B9">
      <w:pPr>
        <w:pStyle w:val="BodyText"/>
        <w:sectPr w:rsidR="00937F9A" w:rsidSect="0068481F">
          <w:headerReference w:type="default" r:id="rId11"/>
          <w:pgSz w:w="12240" w:h="15840" w:code="1"/>
          <w:pgMar w:top="1584" w:right="1440" w:bottom="1440" w:left="1440" w:header="720" w:footer="720" w:gutter="0"/>
          <w:cols w:space="720"/>
          <w:formProt w:val="0"/>
          <w:docGrid w:linePitch="360"/>
        </w:sectPr>
      </w:pPr>
    </w:p>
    <w:p w:rsidR="00282F9D" w:rsidRDefault="00282F9D" w:rsidP="00FC5BB3">
      <w:pPr>
        <w:widowControl w:val="0"/>
        <w:overflowPunct w:val="0"/>
        <w:autoSpaceDE w:val="0"/>
        <w:autoSpaceDN w:val="0"/>
        <w:adjustRightInd w:val="0"/>
        <w:spacing w:line="536" w:lineRule="exact"/>
        <w:ind w:firstLine="360"/>
        <w:textAlignment w:val="baseline"/>
        <w:rPr>
          <w:b/>
          <w:color w:val="000000"/>
        </w:rPr>
      </w:pPr>
      <w:r w:rsidRPr="0060675F">
        <w:rPr>
          <w:b/>
          <w:color w:val="000000"/>
        </w:rPr>
        <w:t>2</w:t>
      </w:r>
      <w:r w:rsidRPr="00B178AD">
        <w:rPr>
          <w:b/>
          <w:color w:val="000000"/>
        </w:rPr>
        <w:t>5-30.0371 Acquisition Adjustments.</w:t>
      </w:r>
    </w:p>
    <w:p w:rsidR="00282F9D" w:rsidRPr="00304409" w:rsidRDefault="00282F9D" w:rsidP="00FC5BB3">
      <w:pPr>
        <w:pStyle w:val="ListParagraph"/>
        <w:widowControl w:val="0"/>
        <w:overflowPunct w:val="0"/>
        <w:autoSpaceDE w:val="0"/>
        <w:autoSpaceDN w:val="0"/>
        <w:adjustRightInd w:val="0"/>
        <w:spacing w:line="536" w:lineRule="exact"/>
        <w:ind w:left="0" w:firstLine="360"/>
        <w:textAlignment w:val="baseline"/>
        <w:rPr>
          <w:color w:val="000000"/>
        </w:rPr>
      </w:pPr>
      <w:r w:rsidRPr="004510EE">
        <w:rPr>
          <w:color w:val="000000"/>
        </w:rPr>
        <w:t xml:space="preserve"> (1)</w:t>
      </w:r>
      <w:r>
        <w:rPr>
          <w:color w:val="000000"/>
        </w:rPr>
        <w:t xml:space="preserve"> </w:t>
      </w:r>
      <w:r w:rsidRPr="00AC236E">
        <w:rPr>
          <w:color w:val="000000"/>
          <w:u w:val="single"/>
        </w:rPr>
        <w:t>Definitions</w:t>
      </w:r>
      <w:r w:rsidRPr="00AC236E">
        <w:rPr>
          <w:color w:val="000000"/>
        </w:rPr>
        <w:t xml:space="preserve"> </w:t>
      </w:r>
      <w:r w:rsidRPr="005E5AFE">
        <w:rPr>
          <w:strike/>
          <w:color w:val="000000"/>
        </w:rPr>
        <w:t>Definition</w:t>
      </w:r>
      <w:r w:rsidRPr="003F7279">
        <w:rPr>
          <w:color w:val="000000"/>
        </w:rPr>
        <w:t>.</w:t>
      </w:r>
      <w:r w:rsidRPr="009B7708">
        <w:rPr>
          <w:color w:val="000000"/>
        </w:rPr>
        <w:t xml:space="preserve"> For the purpose of this rule,</w:t>
      </w:r>
      <w:r>
        <w:rPr>
          <w:color w:val="000000"/>
          <w:u w:val="single"/>
        </w:rPr>
        <w:t xml:space="preserve"> the following definitions apply:</w:t>
      </w:r>
      <w:r w:rsidRPr="00B178AD">
        <w:rPr>
          <w:strike/>
          <w:color w:val="000000"/>
        </w:rPr>
        <w:t xml:space="preserve"> an acquisiti</w:t>
      </w:r>
      <w:r>
        <w:rPr>
          <w:strike/>
          <w:color w:val="000000"/>
        </w:rPr>
        <w:t>on adjustment is defined as the</w:t>
      </w:r>
      <w:r w:rsidRPr="003F7279">
        <w:rPr>
          <w:strike/>
          <w:color w:val="000000"/>
        </w:rPr>
        <w:t xml:space="preserve"> difference between the purchase price of utility system assets to an acquiring utility and the net book value of the utility assets. </w:t>
      </w:r>
      <w:r w:rsidRPr="00B178AD">
        <w:rPr>
          <w:strike/>
          <w:color w:val="000000"/>
        </w:rPr>
        <w:t>A positive acquisition adjustment exists when the purchase price is greater than the net book value. A negative acquisition adjustment exists when the purchase price is less than the net book value.</w:t>
      </w:r>
    </w:p>
    <w:p w:rsidR="00282F9D" w:rsidRDefault="00282F9D" w:rsidP="00FC5BB3">
      <w:pPr>
        <w:pStyle w:val="ListParagraph"/>
        <w:widowControl w:val="0"/>
        <w:overflowPunct w:val="0"/>
        <w:autoSpaceDE w:val="0"/>
        <w:autoSpaceDN w:val="0"/>
        <w:adjustRightInd w:val="0"/>
        <w:spacing w:line="536" w:lineRule="exact"/>
        <w:ind w:left="0" w:firstLine="360"/>
        <w:textAlignment w:val="baseline"/>
        <w:rPr>
          <w:color w:val="000000"/>
          <w:u w:val="single"/>
        </w:rPr>
      </w:pPr>
      <w:r>
        <w:rPr>
          <w:color w:val="000000"/>
          <w:u w:val="single"/>
        </w:rPr>
        <w:t>(a) “Acquisition a</w:t>
      </w:r>
      <w:r w:rsidRPr="00B178AD">
        <w:rPr>
          <w:color w:val="000000"/>
          <w:u w:val="single"/>
        </w:rPr>
        <w:t>djustment” mean</w:t>
      </w:r>
      <w:r>
        <w:rPr>
          <w:color w:val="000000"/>
          <w:u w:val="single"/>
        </w:rPr>
        <w:t>s</w:t>
      </w:r>
      <w:r w:rsidRPr="00B178AD">
        <w:rPr>
          <w:color w:val="000000"/>
          <w:u w:val="single"/>
        </w:rPr>
        <w:t xml:space="preserve"> the</w:t>
      </w:r>
      <w:r w:rsidRPr="003F7279">
        <w:rPr>
          <w:color w:val="000000"/>
          <w:u w:val="single"/>
        </w:rPr>
        <w:t xml:space="preserve"> difference between the purchase price of utili</w:t>
      </w:r>
      <w:r>
        <w:rPr>
          <w:color w:val="000000"/>
          <w:u w:val="single"/>
        </w:rPr>
        <w:t>ty system assets to an acquiring</w:t>
      </w:r>
      <w:r w:rsidRPr="003F7279">
        <w:rPr>
          <w:color w:val="000000"/>
          <w:u w:val="single"/>
        </w:rPr>
        <w:t xml:space="preserve"> utility and the net book value of the </w:t>
      </w:r>
      <w:r>
        <w:rPr>
          <w:color w:val="000000"/>
          <w:u w:val="single"/>
        </w:rPr>
        <w:t xml:space="preserve">acquired </w:t>
      </w:r>
      <w:r w:rsidRPr="003F7279">
        <w:rPr>
          <w:color w:val="000000"/>
          <w:u w:val="single"/>
        </w:rPr>
        <w:t>utility</w:t>
      </w:r>
      <w:r>
        <w:rPr>
          <w:color w:val="000000"/>
          <w:u w:val="single"/>
        </w:rPr>
        <w:t>’s</w:t>
      </w:r>
      <w:r w:rsidRPr="003F7279">
        <w:rPr>
          <w:color w:val="000000"/>
          <w:u w:val="single"/>
        </w:rPr>
        <w:t xml:space="preserve"> assets.</w:t>
      </w:r>
    </w:p>
    <w:p w:rsidR="00282F9D" w:rsidRPr="0070531A" w:rsidRDefault="00282F9D" w:rsidP="00FC5BB3">
      <w:pPr>
        <w:pStyle w:val="ListParagraph"/>
        <w:widowControl w:val="0"/>
        <w:overflowPunct w:val="0"/>
        <w:autoSpaceDE w:val="0"/>
        <w:autoSpaceDN w:val="0"/>
        <w:adjustRightInd w:val="0"/>
        <w:spacing w:line="536" w:lineRule="exact"/>
        <w:ind w:left="0" w:firstLine="360"/>
        <w:textAlignment w:val="baseline"/>
        <w:rPr>
          <w:color w:val="000000"/>
          <w:u w:val="single"/>
        </w:rPr>
      </w:pPr>
      <w:r>
        <w:rPr>
          <w:color w:val="000000"/>
          <w:u w:val="single"/>
        </w:rPr>
        <w:t>(b) “Good cause” means a showing of financial hardship, unforeseen events, or other events outside the utility’s control.</w:t>
      </w:r>
    </w:p>
    <w:p w:rsidR="00282F9D" w:rsidRPr="00B178AD" w:rsidRDefault="00282F9D" w:rsidP="00FC5BB3">
      <w:pPr>
        <w:pStyle w:val="ListParagraph"/>
        <w:widowControl w:val="0"/>
        <w:tabs>
          <w:tab w:val="left" w:pos="450"/>
        </w:tabs>
        <w:overflowPunct w:val="0"/>
        <w:autoSpaceDE w:val="0"/>
        <w:autoSpaceDN w:val="0"/>
        <w:adjustRightInd w:val="0"/>
        <w:spacing w:line="536" w:lineRule="exact"/>
        <w:ind w:left="0" w:firstLine="360"/>
        <w:textAlignment w:val="baseline"/>
        <w:rPr>
          <w:color w:val="000000"/>
        </w:rPr>
      </w:pPr>
      <w:r>
        <w:rPr>
          <w:color w:val="000000"/>
          <w:u w:val="single"/>
        </w:rPr>
        <w:t>(c) “Positive acquisition a</w:t>
      </w:r>
      <w:r w:rsidRPr="00B178AD">
        <w:rPr>
          <w:color w:val="000000"/>
          <w:u w:val="single"/>
        </w:rPr>
        <w:t>djustment” means the purchase price is greater than the net book value.</w:t>
      </w:r>
      <w:r>
        <w:rPr>
          <w:color w:val="000000"/>
          <w:u w:val="single"/>
        </w:rPr>
        <w:t xml:space="preserve"> </w:t>
      </w:r>
    </w:p>
    <w:p w:rsidR="00282F9D" w:rsidRPr="00B178AD" w:rsidRDefault="00282F9D" w:rsidP="00FC5BB3">
      <w:pPr>
        <w:pStyle w:val="ListParagraph"/>
        <w:widowControl w:val="0"/>
        <w:overflowPunct w:val="0"/>
        <w:autoSpaceDE w:val="0"/>
        <w:autoSpaceDN w:val="0"/>
        <w:adjustRightInd w:val="0"/>
        <w:spacing w:line="536" w:lineRule="exact"/>
        <w:ind w:left="0" w:firstLine="360"/>
        <w:textAlignment w:val="baseline"/>
        <w:rPr>
          <w:color w:val="000000"/>
        </w:rPr>
      </w:pPr>
      <w:r>
        <w:rPr>
          <w:color w:val="000000"/>
          <w:u w:val="single"/>
        </w:rPr>
        <w:t>(d) “Negative acquisition a</w:t>
      </w:r>
      <w:r w:rsidRPr="00B178AD">
        <w:rPr>
          <w:color w:val="000000"/>
          <w:u w:val="single"/>
        </w:rPr>
        <w:t>djustment” means the purchase price is less than the net book value.</w:t>
      </w:r>
      <w:r>
        <w:rPr>
          <w:color w:val="000000"/>
          <w:u w:val="single"/>
        </w:rPr>
        <w:t xml:space="preserve"> </w:t>
      </w:r>
    </w:p>
    <w:p w:rsidR="00282F9D" w:rsidRPr="00B178AD" w:rsidRDefault="00282F9D" w:rsidP="00FC5BB3">
      <w:pPr>
        <w:pStyle w:val="ListParagraph"/>
        <w:widowControl w:val="0"/>
        <w:overflowPunct w:val="0"/>
        <w:autoSpaceDE w:val="0"/>
        <w:autoSpaceDN w:val="0"/>
        <w:adjustRightInd w:val="0"/>
        <w:spacing w:line="536" w:lineRule="exact"/>
        <w:ind w:left="0" w:firstLine="360"/>
        <w:textAlignment w:val="baseline"/>
        <w:rPr>
          <w:color w:val="000000"/>
        </w:rPr>
      </w:pPr>
      <w:r>
        <w:rPr>
          <w:color w:val="000000"/>
          <w:u w:val="single"/>
        </w:rPr>
        <w:t>(e) “Non-v</w:t>
      </w:r>
      <w:r w:rsidRPr="00B178AD">
        <w:rPr>
          <w:color w:val="000000"/>
          <w:u w:val="single"/>
        </w:rPr>
        <w:t xml:space="preserve">iable </w:t>
      </w:r>
      <w:r>
        <w:rPr>
          <w:color w:val="000000"/>
          <w:u w:val="single"/>
        </w:rPr>
        <w:t>utility” means a utility that meets either of the following subparagraphs</w:t>
      </w:r>
      <w:r w:rsidRPr="00B178AD">
        <w:rPr>
          <w:color w:val="000000"/>
          <w:u w:val="single"/>
        </w:rPr>
        <w:t>:</w:t>
      </w:r>
    </w:p>
    <w:p w:rsidR="00282F9D" w:rsidRDefault="00282F9D" w:rsidP="00FC5BB3">
      <w:pPr>
        <w:pStyle w:val="ListParagraph"/>
        <w:widowControl w:val="0"/>
        <w:tabs>
          <w:tab w:val="left" w:pos="360"/>
          <w:tab w:val="left" w:pos="360"/>
        </w:tabs>
        <w:overflowPunct w:val="0"/>
        <w:autoSpaceDE w:val="0"/>
        <w:autoSpaceDN w:val="0"/>
        <w:adjustRightInd w:val="0"/>
        <w:spacing w:line="536" w:lineRule="exact"/>
        <w:ind w:left="0"/>
        <w:textAlignment w:val="baseline"/>
        <w:rPr>
          <w:color w:val="000000"/>
          <w:u w:val="single"/>
        </w:rPr>
      </w:pPr>
      <w:r>
        <w:rPr>
          <w:color w:val="000000"/>
        </w:rPr>
        <w:tab/>
      </w:r>
      <w:r>
        <w:rPr>
          <w:color w:val="000000"/>
          <w:u w:val="single"/>
        </w:rPr>
        <w:t>1. A utility that is currently unable or is projected to be unable to provide and maintain safe, adequate, and reliable service and facilities to its customers over the 5-year period following the date of acquisition due to:</w:t>
      </w:r>
    </w:p>
    <w:p w:rsidR="00282F9D" w:rsidRDefault="00282F9D" w:rsidP="00FC5BB3">
      <w:pPr>
        <w:pStyle w:val="ListParagraph"/>
        <w:widowControl w:val="0"/>
        <w:tabs>
          <w:tab w:val="left" w:pos="360"/>
          <w:tab w:val="left" w:pos="360"/>
        </w:tabs>
        <w:overflowPunct w:val="0"/>
        <w:autoSpaceDE w:val="0"/>
        <w:autoSpaceDN w:val="0"/>
        <w:adjustRightInd w:val="0"/>
        <w:spacing w:line="536" w:lineRule="exact"/>
        <w:ind w:left="0"/>
        <w:textAlignment w:val="baseline"/>
        <w:rPr>
          <w:color w:val="000000"/>
          <w:u w:val="single"/>
        </w:rPr>
      </w:pPr>
      <w:r>
        <w:rPr>
          <w:color w:val="000000"/>
        </w:rPr>
        <w:tab/>
      </w:r>
      <w:r>
        <w:rPr>
          <w:color w:val="000000"/>
          <w:u w:val="single"/>
        </w:rPr>
        <w:t>a. A history of enforcement or compliance actions by federal, state, or local regulatory agencies based on violations of primary or exceedance of secondary water quality standards or other health, safety, and environmental standards; and</w:t>
      </w:r>
    </w:p>
    <w:p w:rsidR="00282F9D" w:rsidRPr="00501FF6" w:rsidRDefault="00282F9D" w:rsidP="00FC5BB3">
      <w:pPr>
        <w:pStyle w:val="ListParagraph"/>
        <w:widowControl w:val="0"/>
        <w:tabs>
          <w:tab w:val="left" w:pos="360"/>
          <w:tab w:val="left" w:pos="360"/>
        </w:tabs>
        <w:overflowPunct w:val="0"/>
        <w:autoSpaceDE w:val="0"/>
        <w:autoSpaceDN w:val="0"/>
        <w:adjustRightInd w:val="0"/>
        <w:spacing w:line="536" w:lineRule="exact"/>
        <w:ind w:left="0"/>
        <w:textAlignment w:val="baseline"/>
        <w:rPr>
          <w:color w:val="000000"/>
          <w:u w:val="single"/>
        </w:rPr>
      </w:pPr>
      <w:r>
        <w:rPr>
          <w:color w:val="000000"/>
        </w:rPr>
        <w:tab/>
      </w:r>
      <w:r>
        <w:rPr>
          <w:color w:val="000000"/>
          <w:u w:val="single"/>
        </w:rPr>
        <w:t xml:space="preserve">b. Insufficient investment, repair, maintenance of assets or an inability to acquire and maintain adequate managerial, operational, financial, or technical capabilities to ensure safe and reliable service to its customers; or </w:t>
      </w:r>
      <w:r>
        <w:rPr>
          <w:color w:val="000000"/>
        </w:rPr>
        <w:tab/>
      </w:r>
      <w:r>
        <w:rPr>
          <w:color w:val="000000"/>
        </w:rPr>
        <w:tab/>
      </w:r>
    </w:p>
    <w:p w:rsidR="00282F9D" w:rsidRDefault="00282F9D" w:rsidP="00FC5BB3">
      <w:pPr>
        <w:pStyle w:val="ListParagraph"/>
        <w:widowControl w:val="0"/>
        <w:tabs>
          <w:tab w:val="left" w:pos="360"/>
          <w:tab w:val="left" w:pos="360"/>
        </w:tabs>
        <w:overflowPunct w:val="0"/>
        <w:autoSpaceDE w:val="0"/>
        <w:autoSpaceDN w:val="0"/>
        <w:adjustRightInd w:val="0"/>
        <w:spacing w:line="536" w:lineRule="exact"/>
        <w:ind w:left="0"/>
        <w:textAlignment w:val="baseline"/>
        <w:rPr>
          <w:color w:val="000000"/>
          <w:u w:val="single"/>
        </w:rPr>
      </w:pPr>
      <w:r>
        <w:rPr>
          <w:color w:val="000000"/>
        </w:rPr>
        <w:tab/>
      </w:r>
      <w:r>
        <w:rPr>
          <w:color w:val="000000"/>
          <w:u w:val="single"/>
        </w:rPr>
        <w:t>2.  A utility that is insolvent, i.e., unable to pay debts.</w:t>
      </w:r>
    </w:p>
    <w:p w:rsidR="00282F9D" w:rsidRDefault="00282F9D" w:rsidP="00FC5BB3">
      <w:pPr>
        <w:pStyle w:val="ListParagraph"/>
        <w:widowControl w:val="0"/>
        <w:tabs>
          <w:tab w:val="left" w:pos="360"/>
          <w:tab w:val="left" w:pos="360"/>
        </w:tabs>
        <w:overflowPunct w:val="0"/>
        <w:autoSpaceDE w:val="0"/>
        <w:autoSpaceDN w:val="0"/>
        <w:adjustRightInd w:val="0"/>
        <w:spacing w:line="536" w:lineRule="exact"/>
        <w:ind w:left="0"/>
        <w:textAlignment w:val="baseline"/>
        <w:rPr>
          <w:color w:val="000000"/>
          <w:u w:val="single"/>
        </w:rPr>
      </w:pPr>
      <w:r>
        <w:rPr>
          <w:color w:val="000000"/>
        </w:rPr>
        <w:tab/>
      </w:r>
      <w:r>
        <w:rPr>
          <w:color w:val="000000"/>
          <w:u w:val="single"/>
        </w:rPr>
        <w:t>(f) “Viable utility” means all utilities that are not non-viable as defined in paragraph (1)(e) of this rule.</w:t>
      </w:r>
    </w:p>
    <w:p w:rsidR="00282F9D" w:rsidRPr="005E3A5C" w:rsidRDefault="00282F9D" w:rsidP="00FC5BB3">
      <w:pPr>
        <w:pStyle w:val="ListParagraph"/>
        <w:widowControl w:val="0"/>
        <w:tabs>
          <w:tab w:val="left" w:pos="360"/>
          <w:tab w:val="left" w:pos="360"/>
        </w:tabs>
        <w:overflowPunct w:val="0"/>
        <w:autoSpaceDE w:val="0"/>
        <w:autoSpaceDN w:val="0"/>
        <w:adjustRightInd w:val="0"/>
        <w:spacing w:line="536" w:lineRule="exact"/>
        <w:ind w:left="0"/>
        <w:textAlignment w:val="baseline"/>
        <w:rPr>
          <w:color w:val="000000"/>
          <w:u w:val="single"/>
        </w:rPr>
      </w:pPr>
      <w:r>
        <w:rPr>
          <w:color w:val="000000"/>
        </w:rPr>
        <w:tab/>
      </w:r>
      <w:r>
        <w:rPr>
          <w:color w:val="000000"/>
          <w:u w:val="single"/>
        </w:rPr>
        <w:t>(2) Petition. A utility that acquires another utility may petition the Commission to establish an acquisition adjustment under either subsection (3) or subsection (4) of this rule to include some or all of a positive acquisition adjustment in the acquired utility’s rate base. A utility may seek approval of a positive acquisition adjustment at the time the utility seeks approval to transfer the certificate of authorization or anytime within 3 years of the issuance date of the Commission order approving the transfer of the certificate of authorization. The utility may request an extension of the 3-year period, which must include a statement of good cause. The petition for a positive acquisition adjustment may be made as a separate filing or as part of a rate proceeding.</w:t>
      </w:r>
    </w:p>
    <w:p w:rsidR="00282F9D" w:rsidRPr="00B178A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rPr>
      </w:pPr>
      <w:r w:rsidRPr="0070531A">
        <w:rPr>
          <w:color w:val="000000"/>
          <w:u w:val="single"/>
        </w:rPr>
        <w:t>(</w:t>
      </w:r>
      <w:r>
        <w:rPr>
          <w:color w:val="000000"/>
          <w:u w:val="single"/>
        </w:rPr>
        <w:t>3</w:t>
      </w:r>
      <w:r w:rsidRPr="0070531A">
        <w:rPr>
          <w:color w:val="000000"/>
          <w:u w:val="single"/>
        </w:rPr>
        <w:t>)</w:t>
      </w:r>
      <w:r w:rsidRPr="0070531A">
        <w:rPr>
          <w:strike/>
          <w:color w:val="000000"/>
        </w:rPr>
        <w:t>(2)</w:t>
      </w:r>
      <w:r w:rsidRPr="00B178AD">
        <w:rPr>
          <w:color w:val="000000"/>
        </w:rPr>
        <w:t xml:space="preserve"> Positive Acquisition Adjustments</w:t>
      </w:r>
      <w:r w:rsidRPr="00AC236E">
        <w:rPr>
          <w:color w:val="000000"/>
        </w:rPr>
        <w:t xml:space="preserve"> </w:t>
      </w:r>
      <w:r w:rsidRPr="00B178AD">
        <w:rPr>
          <w:color w:val="000000"/>
          <w:u w:val="single"/>
        </w:rPr>
        <w:t>for Non-Viable Utility</w:t>
      </w:r>
      <w:r w:rsidRPr="00B178AD">
        <w:rPr>
          <w:color w:val="000000"/>
        </w:rPr>
        <w:t xml:space="preserve">. </w:t>
      </w:r>
      <w:r w:rsidRPr="00B178AD">
        <w:rPr>
          <w:strike/>
          <w:color w:val="000000"/>
        </w:rPr>
        <w:t>A positive acquisition adjustment shall not be included in rate base absent proof of extraordinary circumstan</w:t>
      </w:r>
      <w:r>
        <w:rPr>
          <w:strike/>
          <w:color w:val="000000"/>
        </w:rPr>
        <w:t xml:space="preserve">ces. Any entity that believes a full or partial positive acquisition adjustment </w:t>
      </w:r>
      <w:r w:rsidRPr="00B178AD">
        <w:rPr>
          <w:strike/>
          <w:color w:val="000000"/>
        </w:rPr>
        <w:t>should be made has the burden to prove the existenc</w:t>
      </w:r>
      <w:r>
        <w:rPr>
          <w:strike/>
          <w:color w:val="000000"/>
        </w:rPr>
        <w:t>e of extraordinary circumstances.</w:t>
      </w:r>
      <w:r w:rsidRPr="00B815E1">
        <w:rPr>
          <w:strike/>
          <w:color w:val="000000"/>
        </w:rPr>
        <w:t xml:space="preserve"> In determining whether</w:t>
      </w:r>
      <w:r>
        <w:rPr>
          <w:color w:val="000000"/>
        </w:rPr>
        <w:t xml:space="preserve"> </w:t>
      </w:r>
      <w:r w:rsidRPr="00B178AD">
        <w:rPr>
          <w:strike/>
          <w:color w:val="000000"/>
        </w:rPr>
        <w:t xml:space="preserve">extraordinary circumstances have been demonstrated, </w:t>
      </w:r>
      <w:r>
        <w:rPr>
          <w:strike/>
          <w:color w:val="000000"/>
        </w:rPr>
        <w:t xml:space="preserve">the Commission </w:t>
      </w:r>
      <w:r w:rsidRPr="00B178AD">
        <w:rPr>
          <w:strike/>
          <w:color w:val="000000"/>
        </w:rPr>
        <w:t>shall</w:t>
      </w:r>
      <w:r w:rsidRPr="00A2046A">
        <w:rPr>
          <w:strike/>
          <w:color w:val="000000"/>
        </w:rPr>
        <w:t xml:space="preserve"> </w:t>
      </w:r>
      <w:r w:rsidRPr="00B815E1">
        <w:rPr>
          <w:strike/>
          <w:color w:val="000000"/>
        </w:rPr>
        <w:t xml:space="preserve">consider </w:t>
      </w:r>
      <w:r w:rsidRPr="00A2046A">
        <w:rPr>
          <w:strike/>
          <w:color w:val="000000"/>
        </w:rPr>
        <w:t>evidence provided to</w:t>
      </w:r>
      <w:r w:rsidRPr="00B815E1">
        <w:rPr>
          <w:strike/>
          <w:color w:val="000000"/>
        </w:rPr>
        <w:t xml:space="preserve"> the </w:t>
      </w:r>
      <w:r w:rsidRPr="00A2046A">
        <w:rPr>
          <w:strike/>
          <w:color w:val="000000"/>
        </w:rPr>
        <w:t>Commission such as</w:t>
      </w:r>
      <w:r w:rsidRPr="00B815E1">
        <w:rPr>
          <w:strike/>
          <w:color w:val="000000"/>
        </w:rPr>
        <w:t xml:space="preserve"> anticipated improvements in quality of service,</w:t>
      </w:r>
      <w:r>
        <w:rPr>
          <w:color w:val="000000"/>
          <w:u w:val="single"/>
        </w:rPr>
        <w:t xml:space="preserve"> </w:t>
      </w:r>
      <w:r w:rsidRPr="000C3EFF">
        <w:rPr>
          <w:strike/>
          <w:color w:val="000000"/>
        </w:rPr>
        <w:t>anticipated improvements i</w:t>
      </w:r>
      <w:r w:rsidRPr="00B815E1">
        <w:rPr>
          <w:strike/>
          <w:color w:val="000000"/>
        </w:rPr>
        <w:t xml:space="preserve">n compliance with regulatory </w:t>
      </w:r>
      <w:r w:rsidRPr="000C3EFF">
        <w:rPr>
          <w:strike/>
          <w:color w:val="000000"/>
        </w:rPr>
        <w:t>mandate</w:t>
      </w:r>
      <w:r w:rsidRPr="00B815E1">
        <w:rPr>
          <w:strike/>
          <w:color w:val="000000"/>
        </w:rPr>
        <w:t>s, anticipated rate reductions or rate stability</w:t>
      </w:r>
      <w:r w:rsidRPr="000C3EFF">
        <w:rPr>
          <w:strike/>
          <w:color w:val="000000"/>
        </w:rPr>
        <w:t xml:space="preserve"> over a long-term period</w:t>
      </w:r>
      <w:r w:rsidRPr="00B815E1">
        <w:rPr>
          <w:strike/>
          <w:color w:val="000000"/>
        </w:rPr>
        <w:t>, anticipated cost efficiencies, and whether the purchase was made as part of an arms-length transaction. Amortization of a positive acquisition adjustment shall be pursuant to paragraph (4)(a) below.</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(a) </w:t>
      </w:r>
      <w:r w:rsidRPr="00B178AD">
        <w:rPr>
          <w:color w:val="000000"/>
          <w:u w:val="single"/>
        </w:rPr>
        <w:t>A</w:t>
      </w:r>
      <w:r w:rsidRPr="00B815E1">
        <w:rPr>
          <w:color w:val="000000"/>
          <w:u w:val="single"/>
        </w:rPr>
        <w:t xml:space="preserve"> full or partial positive acquisition adjustment </w:t>
      </w:r>
      <w:r w:rsidRPr="00B178AD">
        <w:rPr>
          <w:color w:val="000000"/>
          <w:u w:val="single"/>
        </w:rPr>
        <w:t xml:space="preserve">will be allowed </w:t>
      </w:r>
      <w:r>
        <w:rPr>
          <w:color w:val="000000"/>
          <w:u w:val="single"/>
        </w:rPr>
        <w:t xml:space="preserve">if it is demonstrated that the acquired utility meets the definition of non-viable utility under paragraph (1)(e) of this rule; that the purchase was made as part of an arms-length transaction; and that </w:t>
      </w:r>
      <w:r w:rsidRPr="00B178AD">
        <w:rPr>
          <w:color w:val="000000"/>
          <w:u w:val="single"/>
        </w:rPr>
        <w:t xml:space="preserve">customers </w:t>
      </w:r>
      <w:r>
        <w:rPr>
          <w:color w:val="000000"/>
          <w:u w:val="single"/>
        </w:rPr>
        <w:t xml:space="preserve">from the acquired utility </w:t>
      </w:r>
      <w:r w:rsidRPr="00B178AD">
        <w:rPr>
          <w:color w:val="000000"/>
          <w:u w:val="single"/>
        </w:rPr>
        <w:t>will benefit</w:t>
      </w:r>
      <w:r>
        <w:rPr>
          <w:color w:val="000000"/>
          <w:u w:val="single"/>
        </w:rPr>
        <w:t xml:space="preserve"> from the acquisition</w:t>
      </w:r>
      <w:r w:rsidRPr="00B815E1">
        <w:rPr>
          <w:color w:val="000000"/>
          <w:u w:val="single"/>
        </w:rPr>
        <w:t xml:space="preserve">. In determining whether </w:t>
      </w:r>
      <w:r>
        <w:rPr>
          <w:color w:val="000000"/>
          <w:u w:val="single"/>
        </w:rPr>
        <w:t>the acquired utility customers benefit, the Commission will consider the following factors:</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1. A</w:t>
      </w:r>
      <w:r w:rsidRPr="0011217F">
        <w:rPr>
          <w:color w:val="000000"/>
          <w:u w:val="single"/>
        </w:rPr>
        <w:t>ntic</w:t>
      </w:r>
      <w:r>
        <w:rPr>
          <w:color w:val="000000"/>
          <w:u w:val="single"/>
        </w:rPr>
        <w:t xml:space="preserve">ipated improvements in </w:t>
      </w:r>
      <w:r w:rsidRPr="0011217F">
        <w:rPr>
          <w:color w:val="000000"/>
          <w:u w:val="single"/>
        </w:rPr>
        <w:t>quality of service</w:t>
      </w:r>
      <w:r>
        <w:rPr>
          <w:color w:val="000000"/>
          <w:u w:val="single"/>
        </w:rPr>
        <w:t xml:space="preserve">; </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2. Anticipated improvements in </w:t>
      </w:r>
      <w:r w:rsidRPr="0011217F">
        <w:rPr>
          <w:color w:val="000000"/>
          <w:u w:val="single"/>
        </w:rPr>
        <w:t>compliance w</w:t>
      </w:r>
      <w:r>
        <w:rPr>
          <w:color w:val="000000"/>
          <w:u w:val="single"/>
        </w:rPr>
        <w:t xml:space="preserve">ith water or wastewater regulatory requirements; </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3. Anticipated impacts on the cost of providing service over the next 5 years from the date of acquisition;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4. Anticipated cost efficiencies, including any economies of scale; </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5. Ability to attract capital at reasonable cost; and </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6. The professional and experienced managerial, financial, technical, and operational resources of the acquiring utility.</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(b) Contents of Petition. The acquiring utility must file the following information in its petition: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1. The amount of the acquisition adjustment requested; </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2. The amortization period requested;</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3. An explanation of how the acquisition was made as part of an arms-length transaction;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4. The contract of sale, including the estimated cost of the fees and transaction closing costs to be incurred by the acquiring utility;</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5. A calculation of the net book value of the acquired utility including the composite remaining life of the assets purchased;</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6. A statement as to whether the acquired utility is insolvent or unable to service its debt obligations;</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7</w:t>
      </w:r>
      <w:r w:rsidRPr="001C4085">
        <w:rPr>
          <w:color w:val="000000"/>
          <w:u w:val="single"/>
        </w:rPr>
        <w:t xml:space="preserve">. A description of the </w:t>
      </w:r>
      <w:r>
        <w:rPr>
          <w:color w:val="000000"/>
          <w:u w:val="single"/>
        </w:rPr>
        <w:t xml:space="preserve">acquiring utility’s managerial, operational, financial, or technical capabilities </w:t>
      </w:r>
      <w:r w:rsidRPr="001C4085">
        <w:rPr>
          <w:color w:val="000000"/>
          <w:u w:val="single"/>
        </w:rPr>
        <w:t>to furnish and maintain safe and adequate service and facilities over the n</w:t>
      </w:r>
      <w:r>
        <w:rPr>
          <w:color w:val="000000"/>
          <w:u w:val="single"/>
        </w:rPr>
        <w:t>ext 5 years from the date of acquisition</w:t>
      </w:r>
      <w:r w:rsidRPr="001C4085">
        <w:rPr>
          <w:color w:val="000000"/>
          <w:u w:val="single"/>
        </w:rPr>
        <w:t>;</w:t>
      </w:r>
    </w:p>
    <w:p w:rsidR="00282F9D" w:rsidRPr="00B34C27"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8</w:t>
      </w:r>
      <w:r w:rsidRPr="00B34C27">
        <w:rPr>
          <w:color w:val="000000"/>
          <w:u w:val="single"/>
        </w:rPr>
        <w:t>. Any notices of violation, consent decrees or other regulatory actions issued by a federal, state, regional, or local agency regarding the provision of the acquired utility’s water or wast</w:t>
      </w:r>
      <w:r>
        <w:rPr>
          <w:color w:val="000000"/>
          <w:u w:val="single"/>
        </w:rPr>
        <w:t>ewater service over the past 5 years from the date of acquisition, including any notices of violation of primary or notices of exceedances of secondary water quality standards</w:t>
      </w:r>
      <w:r w:rsidRPr="00B34C27">
        <w:rPr>
          <w:color w:val="000000"/>
          <w:u w:val="single"/>
        </w:rPr>
        <w:t>;</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9.  The acquired utility’s annual capital investments and operations and maintenance expenses over the past 5 years from the date of acquisition;</w:t>
      </w:r>
    </w:p>
    <w:p w:rsidR="00282F9D" w:rsidRPr="00B34C27"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10. Any </w:t>
      </w:r>
      <w:r w:rsidRPr="00B34C27">
        <w:rPr>
          <w:color w:val="000000"/>
          <w:u w:val="single"/>
        </w:rPr>
        <w:t>planned infrastructure additions and maintenance</w:t>
      </w:r>
      <w:r>
        <w:rPr>
          <w:color w:val="000000"/>
          <w:u w:val="single"/>
        </w:rPr>
        <w:t xml:space="preserve"> by the acquiring utility</w:t>
      </w:r>
      <w:r w:rsidRPr="00B34C27">
        <w:rPr>
          <w:color w:val="000000"/>
          <w:u w:val="single"/>
        </w:rPr>
        <w:t xml:space="preserve"> to improve the acquired </w:t>
      </w:r>
      <w:r>
        <w:rPr>
          <w:color w:val="000000"/>
          <w:u w:val="single"/>
        </w:rPr>
        <w:t>utility’s quality of service or</w:t>
      </w:r>
      <w:r w:rsidRPr="00B34C27">
        <w:rPr>
          <w:color w:val="000000"/>
          <w:u w:val="single"/>
        </w:rPr>
        <w:t xml:space="preserve"> compliance with environmental regulations;</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11. Any engineering studies or appraisals the acquiring utility procured pertaining to the purchase of the acquired utility;</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12. The 5-year projected impact on the cost of providing service to the customers of the utility system being acquired, including the impact of any operation and maintenance cost savings and economies of scale expected to result from the acquisition transaction, the impact of the cost of any plant infrastructure additions, and the impact of the acquisition adjustment; and</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13. An explanation as to how the acquiring utility has greater access to capital than the acquired utility, if applicable.</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strike/>
          <w:color w:val="000000"/>
        </w:rPr>
      </w:pPr>
      <w:r>
        <w:rPr>
          <w:strike/>
          <w:color w:val="000000"/>
        </w:rPr>
        <w:t xml:space="preserve">(3) </w:t>
      </w:r>
      <w:r w:rsidRPr="00B178AD">
        <w:rPr>
          <w:strike/>
          <w:color w:val="000000"/>
        </w:rPr>
        <w:t xml:space="preserve">Negative Acquisition Adjustments. </w:t>
      </w:r>
      <w:r w:rsidRPr="00B178AD">
        <w:rPr>
          <w:strike/>
        </w:rPr>
        <w:t>If the purchase price is greater than 80 percent of net book value, a negative acquisition adjustment will not be included in rate base. When the purchase price is equal to or less than 80 percent of net book value, a</w:t>
      </w:r>
      <w:r w:rsidRPr="00B178AD">
        <w:rPr>
          <w:strike/>
          <w:color w:val="000000"/>
        </w:rPr>
        <w:t xml:space="preserve"> negative acquisition adjustment shall be included in rate base and will be equal to 80 percent of net book value less the purchase price. Amortization of a negative acquisition adjustment shall be pursuant to subparagraph (4)(b)1. or (4)(b)2. below.</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strike/>
          <w:color w:val="000000"/>
        </w:rPr>
      </w:pPr>
      <w:r>
        <w:rPr>
          <w:color w:val="000000"/>
          <w:u w:val="single"/>
        </w:rPr>
        <w:t xml:space="preserve">(4) </w:t>
      </w:r>
      <w:r w:rsidRPr="00B178AD">
        <w:rPr>
          <w:color w:val="000000"/>
          <w:u w:val="single"/>
        </w:rPr>
        <w:t>Positive Acquisition Adjustments for Viable Utility</w:t>
      </w:r>
      <w:r>
        <w:rPr>
          <w:color w:val="000000"/>
          <w:u w:val="single"/>
        </w:rPr>
        <w:t>.</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(a) A</w:t>
      </w:r>
      <w:r w:rsidRPr="00B178AD">
        <w:rPr>
          <w:color w:val="000000"/>
          <w:u w:val="single"/>
        </w:rPr>
        <w:t xml:space="preserve"> full or partial positive acquisition adju</w:t>
      </w:r>
      <w:r>
        <w:rPr>
          <w:color w:val="000000"/>
          <w:u w:val="single"/>
        </w:rPr>
        <w:t>stment will be allowed if the acquiring utility demonstrates</w:t>
      </w:r>
      <w:r w:rsidRPr="00B178AD">
        <w:rPr>
          <w:color w:val="000000"/>
          <w:u w:val="single"/>
        </w:rPr>
        <w:t xml:space="preserve"> that </w:t>
      </w:r>
      <w:r>
        <w:rPr>
          <w:color w:val="000000"/>
          <w:u w:val="single"/>
        </w:rPr>
        <w:t xml:space="preserve">the purchase was made as part of an arms-length transaction and </w:t>
      </w:r>
      <w:r w:rsidRPr="00B178AD">
        <w:rPr>
          <w:color w:val="000000"/>
          <w:u w:val="single"/>
        </w:rPr>
        <w:t>the transaction incorporating the full or partial positive acquisition adjustment is projected to</w:t>
      </w:r>
      <w:r>
        <w:rPr>
          <w:color w:val="000000"/>
          <w:u w:val="single"/>
        </w:rPr>
        <w:t xml:space="preserve"> provide a positive cumulative present value of the revenue requirements (CPVRR) customer benefit over a 5-year period from the date of acquisition. If the CPVRR does not result in a positive customer benefit over the 5-year period, the Commission will consider the following factors in determining whether to allow a full or partial acquisition adjustment:</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1. Anticipated improvements in quality of service and compliance with any regulatory requirements; </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2. Anticipated rate reductions or rate stability over the next 5 years from the date of acquisition;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3. Anticipated cost savings;</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4. Increased ability to attract capital at reasonable cost;</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5. Lower overall cost of capital; and</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6. Additional professional and experienced managerial, financial, technical, and operational resources.</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(b) Contents of Petition. The acquiring utility must file the following information in its petition: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1. The amount of the acquisition adjustment requested;</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2. The amortization period requested;</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3. An explanation of how the acquisition was made as part of an arms-length transaction;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4. The contract of sale, including the estimated cost of fees and transaction closing costs to be incurred by the acquiring utility;</w:t>
      </w:r>
    </w:p>
    <w:p w:rsidR="00282F9D" w:rsidRPr="00554F45"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strike/>
          <w:color w:val="000000"/>
        </w:rPr>
      </w:pPr>
      <w:r>
        <w:rPr>
          <w:color w:val="000000"/>
          <w:u w:val="single"/>
        </w:rPr>
        <w:t xml:space="preserve">5. A calculation of the net book value of the acquired utility including the composite remaining life of the assets purchased; </w:t>
      </w:r>
      <w:r w:rsidRPr="00B178AD">
        <w:rPr>
          <w:color w:val="000000"/>
          <w:u w:val="single"/>
        </w:rPr>
        <w:t xml:space="preserve"> </w:t>
      </w:r>
    </w:p>
    <w:p w:rsidR="00282F9D" w:rsidRDefault="00282F9D" w:rsidP="00FC5BB3">
      <w:pPr>
        <w:widowControl w:val="0"/>
        <w:tabs>
          <w:tab w:val="left" w:pos="360"/>
          <w:tab w:val="left" w:pos="360"/>
        </w:tabs>
        <w:overflowPunct w:val="0"/>
        <w:autoSpaceDE w:val="0"/>
        <w:autoSpaceDN w:val="0"/>
        <w:adjustRightInd w:val="0"/>
        <w:spacing w:line="536" w:lineRule="exact"/>
        <w:textAlignment w:val="baseline"/>
        <w:rPr>
          <w:color w:val="000000"/>
          <w:u w:val="single"/>
        </w:rPr>
      </w:pPr>
      <w:r>
        <w:rPr>
          <w:color w:val="000000"/>
        </w:rPr>
        <w:tab/>
      </w:r>
      <w:r>
        <w:rPr>
          <w:color w:val="000000"/>
          <w:u w:val="single"/>
        </w:rPr>
        <w:t xml:space="preserve">6. A CPVRR in the form of a spreadsheet. Form PSC </w:t>
      </w:r>
      <w:r w:rsidR="00875D39">
        <w:rPr>
          <w:color w:val="000000"/>
          <w:u w:val="single"/>
        </w:rPr>
        <w:t>1034</w:t>
      </w:r>
      <w:r>
        <w:rPr>
          <w:color w:val="000000"/>
          <w:u w:val="single"/>
        </w:rPr>
        <w:t xml:space="preserve"> (</w:t>
      </w:r>
      <w:r w:rsidR="00875D39">
        <w:rPr>
          <w:color w:val="000000"/>
          <w:u w:val="single"/>
        </w:rPr>
        <w:t>3</w:t>
      </w:r>
      <w:r>
        <w:rPr>
          <w:color w:val="000000"/>
          <w:u w:val="single"/>
        </w:rPr>
        <w:t>/2</w:t>
      </w:r>
      <w:r w:rsidR="00875D39">
        <w:rPr>
          <w:color w:val="000000"/>
          <w:u w:val="single"/>
        </w:rPr>
        <w:t>4</w:t>
      </w:r>
      <w:r>
        <w:rPr>
          <w:color w:val="000000"/>
          <w:u w:val="single"/>
        </w:rPr>
        <w:t>), entitled “Water and/or Wastewater Utilities Cumulative Present Value of the Revenue Requirements for Acquisition Adjustment Worksheet,” which is incorporated by reference in this rule and is available at [hyperlink], is an example CPVRR that may be completed and included in the acquiring utility’s petition to comply with this subparagraph. The form may also be obtained from the Commission’s website, www.floridapsc.com;</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7. An Excel spreadsheet with the data and information included in the CPVRR analysis with the spreadsheet formulas intact;</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8. All supporting data and assumptions used in the CPVRR spreadsheet;</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9. A description of any anticipated improvements or planned infrastructure additions and maintenance by the acquiring utility;</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10. A description, including any supporting data, of any anticipated cost savings resulting from the acquisition;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11. The 5-year projected rate impact on the customers of the utility system being acquired, including the rate impact of any cost efficiencies and economies of scale expected to result from the acquisition transaction, the rate impact of the cost of any plant infrastructure additions, and the rate impact of the acquisition adjustment; and</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12. Any engineering studies or appraisals the acquiring utility procured pertaining to the purchase of the acquired utility.</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strike/>
          <w:color w:val="000000"/>
        </w:rPr>
      </w:pPr>
      <w:r>
        <w:rPr>
          <w:strike/>
          <w:color w:val="000000"/>
        </w:rPr>
        <w:t>(4) Amortization Period.</w:t>
      </w:r>
    </w:p>
    <w:p w:rsidR="00282F9D" w:rsidRPr="00103461"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strike/>
          <w:color w:val="000000"/>
        </w:rPr>
      </w:pPr>
      <w:r>
        <w:rPr>
          <w:strike/>
          <w:color w:val="000000"/>
        </w:rPr>
        <w:t>(a) In setting the amortization period for a Commission approved positive acquisition adjustment pursuant to subsection (2), above, the Commission shall consider evidence such as the composite remaining life of the assets purchased and the condition of the assets purchased. Amortization of the acquisition adjustment shall begin on the date of issuance of the order approving the transfer of assets.</w:t>
      </w:r>
    </w:p>
    <w:p w:rsidR="00282F9D" w:rsidRPr="00B178AD" w:rsidRDefault="00282F9D" w:rsidP="00FC5BB3">
      <w:pPr>
        <w:widowControl w:val="0"/>
        <w:tabs>
          <w:tab w:val="left" w:pos="720"/>
        </w:tabs>
        <w:spacing w:line="536" w:lineRule="exact"/>
        <w:ind w:firstLine="360"/>
        <w:rPr>
          <w:strike/>
        </w:rPr>
      </w:pPr>
      <w:r w:rsidRPr="00B178AD">
        <w:rPr>
          <w:strike/>
        </w:rPr>
        <w:t>(b) The appropriate period over which to amortize a Commission approved negative acquisition adjustment pursuant to subsection (3)</w:t>
      </w:r>
      <w:r>
        <w:rPr>
          <w:strike/>
        </w:rPr>
        <w:t>,</w:t>
      </w:r>
      <w:r w:rsidRPr="00B178AD">
        <w:rPr>
          <w:strike/>
        </w:rPr>
        <w:t xml:space="preserve"> above, shall be determined as follows: </w:t>
      </w:r>
    </w:p>
    <w:p w:rsidR="00282F9D" w:rsidRPr="00B178AD" w:rsidRDefault="00282F9D" w:rsidP="00FC5BB3">
      <w:pPr>
        <w:widowControl w:val="0"/>
        <w:tabs>
          <w:tab w:val="left" w:pos="720"/>
        </w:tabs>
        <w:spacing w:line="536" w:lineRule="exact"/>
        <w:ind w:firstLine="360"/>
        <w:rPr>
          <w:strike/>
        </w:rPr>
      </w:pPr>
      <w:r w:rsidRPr="00B178AD">
        <w:rPr>
          <w:strike/>
        </w:rPr>
        <w:t>1. If the purchase price is greater than 50 percent of net book value, the negative acquisition adjustment shall be amortized over a 7-year period from the date of issuance of the order approving the transfer of assets. In this case, the negative acquisition adjustment shall not be recorded on the books for ratemaking purposes or used for any earnings review unless the purchaser files for a rate increase pursuant to Section 367.081(2), 367.0814, 367.0817 or 367.0822, F.S., that will be effective during the amortization period.</w:t>
      </w:r>
    </w:p>
    <w:p w:rsidR="00282F9D" w:rsidRPr="00B178AD" w:rsidRDefault="00282F9D" w:rsidP="00FC5BB3">
      <w:pPr>
        <w:widowControl w:val="0"/>
        <w:tabs>
          <w:tab w:val="left" w:pos="720"/>
        </w:tabs>
        <w:spacing w:line="536" w:lineRule="exact"/>
        <w:ind w:firstLine="360"/>
        <w:rPr>
          <w:strike/>
        </w:rPr>
      </w:pPr>
      <w:r w:rsidRPr="00B178AD">
        <w:rPr>
          <w:strike/>
        </w:rPr>
        <w:t xml:space="preserve">2. If the purchase price is 50 percent of net book value or less, the negative acquisition adjustment shall be amortized from the date of issuance of the order approving the transfer of assets as follows: </w:t>
      </w:r>
    </w:p>
    <w:p w:rsidR="00282F9D" w:rsidRPr="00B178AD" w:rsidRDefault="00282F9D" w:rsidP="00FC5BB3">
      <w:pPr>
        <w:widowControl w:val="0"/>
        <w:tabs>
          <w:tab w:val="left" w:pos="720"/>
        </w:tabs>
        <w:spacing w:line="536" w:lineRule="exact"/>
        <w:ind w:firstLine="360"/>
        <w:rPr>
          <w:strike/>
        </w:rPr>
      </w:pPr>
      <w:r w:rsidRPr="00B178AD">
        <w:rPr>
          <w:strike/>
        </w:rPr>
        <w:t xml:space="preserve">a. 50 percent of the negative acquisition adjustment shall be amortized over a 7-year period; and </w:t>
      </w:r>
    </w:p>
    <w:p w:rsidR="00282F9D" w:rsidRPr="00B178AD" w:rsidRDefault="00282F9D" w:rsidP="00FC5BB3">
      <w:pPr>
        <w:widowControl w:val="0"/>
        <w:tabs>
          <w:tab w:val="left" w:pos="720"/>
        </w:tabs>
        <w:spacing w:line="536" w:lineRule="exact"/>
        <w:ind w:firstLine="360"/>
      </w:pPr>
      <w:r w:rsidRPr="00B178AD">
        <w:rPr>
          <w:strike/>
        </w:rPr>
        <w:t>b. 50 percent of the negative acquisition adjustment shall be amortized over the remaining life of the assets.</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sidRPr="00103461">
        <w:rPr>
          <w:color w:val="000000"/>
          <w:u w:val="single"/>
        </w:rPr>
        <w:t>(</w:t>
      </w:r>
      <w:r>
        <w:rPr>
          <w:color w:val="000000"/>
          <w:u w:val="single"/>
        </w:rPr>
        <w:t>5</w:t>
      </w:r>
      <w:r w:rsidRPr="00103461">
        <w:rPr>
          <w:color w:val="000000"/>
          <w:u w:val="single"/>
        </w:rPr>
        <w:t xml:space="preserve">) Amortization Period for a Positive Acquisition Adjustment. </w:t>
      </w:r>
      <w:r>
        <w:rPr>
          <w:color w:val="000000"/>
          <w:u w:val="single"/>
        </w:rPr>
        <w:t>The Commission will set the amortization period in the order approving the positive acquisition adjustment.  Amortization of the acquisition adjustment will begin on the date of issuance of the order approving the positive acquisition adjustment or on the date the sale closes, whichever occurs last.</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(6) Nothing herein removes the Commission’s existing authority to review a positive acquisition adjustment if the Commission finds that customer benefits did not materialize or subsequently changed within 5 years of the date of the order approving the positive acquisition adjustment.</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(7)</w:t>
      </w:r>
      <w:r w:rsidRPr="00B178AD">
        <w:rPr>
          <w:color w:val="000000"/>
          <w:u w:val="single"/>
        </w:rPr>
        <w:t xml:space="preserve"> Negative Acquisition Adjustment. A negative acquisition adjustment will not be included in rate base.</w:t>
      </w:r>
    </w:p>
    <w:p w:rsidR="00282F9D" w:rsidRDefault="00282F9D" w:rsidP="00FC5BB3">
      <w:pPr>
        <w:widowControl w:val="0"/>
        <w:tabs>
          <w:tab w:val="left" w:pos="360"/>
          <w:tab w:val="left" w:pos="360"/>
        </w:tabs>
        <w:overflowPunct w:val="0"/>
        <w:autoSpaceDE w:val="0"/>
        <w:autoSpaceDN w:val="0"/>
        <w:adjustRightInd w:val="0"/>
        <w:spacing w:line="536" w:lineRule="exact"/>
        <w:textAlignment w:val="baseline"/>
        <w:rPr>
          <w:color w:val="000000"/>
          <w:u w:val="single"/>
        </w:rPr>
      </w:pPr>
      <w:r>
        <w:tab/>
      </w:r>
      <w:r>
        <w:rPr>
          <w:u w:val="single"/>
        </w:rPr>
        <w:t>(8) Notice. At the time the petition is filed with the Commission, the acquiring utility must provide a draft notice for review by Commission staff. Commission staff will review the draft notice within 7 days. Once staff has approved the notice, the acquiring utility must provide notice by regular mail to the Office of Public Counsel and by regular mail or personal service</w:t>
      </w:r>
      <w:r>
        <w:rPr>
          <w:color w:val="000000"/>
          <w:u w:val="single"/>
        </w:rPr>
        <w:t xml:space="preserve"> to each customer and owner of property located within the service area for both the acquiring utility and the utility being acquired, to the extent the utilities’ customers are within the Commission’s jurisdiction. The notice required by this rule may be combined with the notice of Application for Authority to Transfer issued pursuant to Rule 25-30.030, F.A.C. The notice must contain: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(a) Title: Notice of Utility’s Petition to Establish an Acquisition Adjustment;</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(b)</w:t>
      </w:r>
      <w:r>
        <w:rPr>
          <w:color w:val="000000"/>
          <w:u w:val="single"/>
        </w:rPr>
        <w:tab/>
      </w:r>
      <w:r w:rsidRPr="00903F78">
        <w:rPr>
          <w:color w:val="000000"/>
          <w:u w:val="single"/>
        </w:rPr>
        <w:t xml:space="preserve">A statement that the utility has filed a petition </w:t>
      </w:r>
      <w:r>
        <w:rPr>
          <w:color w:val="000000"/>
          <w:u w:val="single"/>
        </w:rPr>
        <w:t>with the Commission</w:t>
      </w:r>
      <w:r w:rsidRPr="00903F78">
        <w:rPr>
          <w:color w:val="000000"/>
          <w:u w:val="single"/>
        </w:rPr>
        <w:t xml:space="preserve"> </w:t>
      </w:r>
      <w:r>
        <w:rPr>
          <w:color w:val="000000"/>
          <w:u w:val="single"/>
        </w:rPr>
        <w:t>to</w:t>
      </w:r>
      <w:r w:rsidRPr="00903F78">
        <w:rPr>
          <w:color w:val="000000"/>
          <w:u w:val="single"/>
        </w:rPr>
        <w:t xml:space="preserve"> establish </w:t>
      </w:r>
      <w:r>
        <w:rPr>
          <w:color w:val="000000"/>
          <w:u w:val="single"/>
        </w:rPr>
        <w:t xml:space="preserve">an acquisition adjustment for either a viable or a non-viable </w:t>
      </w:r>
      <w:r w:rsidRPr="00903F78">
        <w:rPr>
          <w:color w:val="000000"/>
          <w:u w:val="single"/>
        </w:rPr>
        <w:t>util</w:t>
      </w:r>
      <w:r>
        <w:rPr>
          <w:color w:val="000000"/>
          <w:u w:val="single"/>
        </w:rPr>
        <w:t>ity system;</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(c) The date the petition was filed with the Commission;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(d) The docket number associated with the petition;</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(e) </w:t>
      </w:r>
      <w:r w:rsidRPr="00903F78">
        <w:rPr>
          <w:color w:val="000000"/>
          <w:u w:val="single"/>
        </w:rPr>
        <w:t xml:space="preserve">A statement </w:t>
      </w:r>
      <w:r>
        <w:rPr>
          <w:color w:val="000000"/>
          <w:u w:val="single"/>
        </w:rPr>
        <w:t xml:space="preserve">of </w:t>
      </w:r>
      <w:r w:rsidRPr="00903F78">
        <w:rPr>
          <w:color w:val="000000"/>
          <w:u w:val="single"/>
        </w:rPr>
        <w:t>t</w:t>
      </w:r>
      <w:r>
        <w:rPr>
          <w:color w:val="000000"/>
          <w:u w:val="single"/>
        </w:rPr>
        <w:t>he 5-year projected rate impact</w:t>
      </w:r>
      <w:r w:rsidRPr="00903F78">
        <w:rPr>
          <w:color w:val="000000"/>
          <w:u w:val="single"/>
        </w:rPr>
        <w:t xml:space="preserve"> or the anticipated effect of the requested </w:t>
      </w:r>
      <w:r>
        <w:rPr>
          <w:color w:val="000000"/>
          <w:u w:val="single"/>
        </w:rPr>
        <w:t>acquisition adjustment</w:t>
      </w:r>
      <w:r w:rsidRPr="00903F78">
        <w:rPr>
          <w:color w:val="000000"/>
          <w:u w:val="single"/>
        </w:rPr>
        <w:t xml:space="preserve"> on rate</w:t>
      </w:r>
      <w:r>
        <w:rPr>
          <w:color w:val="000000"/>
          <w:u w:val="single"/>
        </w:rPr>
        <w:t>s for the next five years;</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(f) </w:t>
      </w:r>
      <w:r w:rsidRPr="00903F78">
        <w:rPr>
          <w:color w:val="000000"/>
          <w:u w:val="single"/>
        </w:rPr>
        <w:t>A statement that the utility’s petition</w:t>
      </w:r>
      <w:r>
        <w:rPr>
          <w:color w:val="000000"/>
          <w:u w:val="single"/>
        </w:rPr>
        <w:t xml:space="preserve"> is available on the Commission’s website;</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(g) </w:t>
      </w:r>
      <w:r w:rsidRPr="00903F78">
        <w:rPr>
          <w:color w:val="000000"/>
          <w:u w:val="single"/>
        </w:rPr>
        <w:t>The acquiring utility’s address, telep</w:t>
      </w:r>
      <w:r>
        <w:rPr>
          <w:color w:val="000000"/>
          <w:u w:val="single"/>
        </w:rPr>
        <w:t>hone number, and business hours; and</w:t>
      </w:r>
    </w:p>
    <w:p w:rsidR="00282F9D" w:rsidRDefault="00282F9D" w:rsidP="00FC5BB3">
      <w:pPr>
        <w:widowControl w:val="0"/>
        <w:tabs>
          <w:tab w:val="left" w:pos="360"/>
          <w:tab w:val="left" w:pos="360"/>
        </w:tabs>
        <w:overflowPunct w:val="0"/>
        <w:autoSpaceDE w:val="0"/>
        <w:autoSpaceDN w:val="0"/>
        <w:adjustRightInd w:val="0"/>
        <w:spacing w:line="536" w:lineRule="exact"/>
        <w:ind w:firstLine="360"/>
        <w:textAlignment w:val="baseline"/>
        <w:rPr>
          <w:color w:val="000000"/>
          <w:u w:val="single"/>
        </w:rPr>
      </w:pPr>
      <w:r>
        <w:rPr>
          <w:color w:val="000000"/>
          <w:u w:val="single"/>
        </w:rPr>
        <w:t xml:space="preserve">(h) A statement that any </w:t>
      </w:r>
      <w:r w:rsidRPr="00221383">
        <w:rPr>
          <w:color w:val="000000"/>
          <w:u w:val="single"/>
        </w:rPr>
        <w:t>customer</w:t>
      </w:r>
      <w:r>
        <w:rPr>
          <w:color w:val="000000"/>
          <w:u w:val="single"/>
        </w:rPr>
        <w:t xml:space="preserve"> substantially affected by the petition may file a motion to intervene in accordance with Rule 28-106.205, F.A.C.</w:t>
      </w:r>
    </w:p>
    <w:p w:rsidR="00282F9D" w:rsidRDefault="00282F9D" w:rsidP="00FC5BB3">
      <w:pPr>
        <w:widowControl w:val="0"/>
        <w:overflowPunct w:val="0"/>
        <w:autoSpaceDE w:val="0"/>
        <w:autoSpaceDN w:val="0"/>
        <w:adjustRightInd w:val="0"/>
        <w:spacing w:line="536" w:lineRule="exact"/>
        <w:ind w:firstLine="360"/>
        <w:textAlignment w:val="baseline"/>
        <w:rPr>
          <w:color w:val="000000"/>
          <w:u w:val="single"/>
        </w:rPr>
      </w:pPr>
      <w:r w:rsidRPr="00B178AD">
        <w:rPr>
          <w:i/>
          <w:color w:val="000000"/>
        </w:rPr>
        <w:t>Rulemaking Authority 350.127(2), 367.121(1)(f) FS. Law Implemented 367.071(5), 367.081(2)(a), 367.121(1)(a), (b) FS. History–New 8-4-02, Amended 11-22-10</w:t>
      </w:r>
      <w:r w:rsidR="000613AA">
        <w:rPr>
          <w:color w:val="000000"/>
          <w:u w:val="single"/>
        </w:rPr>
        <w:t>.</w:t>
      </w:r>
    </w:p>
    <w:p w:rsidR="000613AA" w:rsidRDefault="000613AA" w:rsidP="00FC5BB3">
      <w:pPr>
        <w:widowControl w:val="0"/>
        <w:overflowPunct w:val="0"/>
        <w:autoSpaceDE w:val="0"/>
        <w:autoSpaceDN w:val="0"/>
        <w:adjustRightInd w:val="0"/>
        <w:spacing w:line="536" w:lineRule="exact"/>
        <w:ind w:firstLine="360"/>
        <w:textAlignment w:val="baseline"/>
        <w:rPr>
          <w:color w:val="000000"/>
        </w:rPr>
        <w:sectPr w:rsidR="000613AA" w:rsidSect="00FC5BB3">
          <w:headerReference w:type="default" r:id="rId12"/>
          <w:footerReference w:type="default" r:id="rId13"/>
          <w:headerReference w:type="first" r:id="rId14"/>
          <w:footerReference w:type="first" r:id="rId15"/>
          <w:pgSz w:w="12240" w:h="15840" w:code="1"/>
          <w:pgMar w:top="360" w:right="720" w:bottom="360" w:left="2405" w:header="360" w:footer="360" w:gutter="0"/>
          <w:cols w:space="720"/>
          <w:formProt w:val="0"/>
          <w:docGrid w:linePitch="360"/>
        </w:sectPr>
      </w:pPr>
    </w:p>
    <w:p w:rsidR="003E6C9F" w:rsidRDefault="003E6C9F" w:rsidP="0052511A">
      <w:pPr>
        <w:pStyle w:val="BodyText"/>
        <w:jc w:val="center"/>
      </w:pPr>
      <w:r>
        <w:rPr>
          <w:noProof/>
        </w:rPr>
        <w:drawing>
          <wp:inline distT="0" distB="0" distL="0" distR="0">
            <wp:extent cx="5787390" cy="687787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q Adj CPVRR Table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3903" cy="6909387"/>
                    </a:xfrm>
                    <a:prstGeom prst="rect">
                      <a:avLst/>
                    </a:prstGeom>
                  </pic:spPr>
                </pic:pic>
              </a:graphicData>
            </a:graphic>
          </wp:inline>
        </w:drawing>
      </w:r>
    </w:p>
    <w:p w:rsidR="00987E1C" w:rsidRDefault="003E6C9F" w:rsidP="0052511A">
      <w:pPr>
        <w:pStyle w:val="BodyText"/>
        <w:jc w:val="center"/>
        <w:sectPr w:rsidR="00987E1C" w:rsidSect="001E028A">
          <w:headerReference w:type="default" r:id="rId17"/>
          <w:footerReference w:type="default" r:id="rId18"/>
          <w:pgSz w:w="12240" w:h="15840" w:code="1"/>
          <w:pgMar w:top="360" w:right="720" w:bottom="360" w:left="2405" w:header="360" w:footer="360" w:gutter="0"/>
          <w:cols w:space="720"/>
          <w:docGrid w:linePitch="360"/>
        </w:sectPr>
      </w:pPr>
      <w:r>
        <w:rPr>
          <w:noProof/>
        </w:rPr>
        <w:drawing>
          <wp:inline distT="0" distB="0" distL="0" distR="0">
            <wp:extent cx="5788025" cy="5597718"/>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q Adj CPVRR Table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165" cy="5600755"/>
                    </a:xfrm>
                    <a:prstGeom prst="rect">
                      <a:avLst/>
                    </a:prstGeom>
                  </pic:spPr>
                </pic:pic>
              </a:graphicData>
            </a:graphic>
          </wp:inline>
        </w:drawing>
      </w:r>
      <w:r>
        <w:rPr>
          <w:noProof/>
        </w:rPr>
        <w:drawing>
          <wp:inline distT="0" distB="0" distL="0" distR="0">
            <wp:extent cx="5788025" cy="749046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q Adj CPVRR Table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p>
    <w:p w:rsidR="00987E1C" w:rsidRDefault="004F345D" w:rsidP="00282F9D">
      <w:pPr>
        <w:pStyle w:val="BodyText"/>
        <w:sectPr w:rsidR="00987E1C" w:rsidSect="00E356EC">
          <w:headerReference w:type="default" r:id="rId21"/>
          <w:footerReference w:type="default" r:id="rId22"/>
          <w:pgSz w:w="12240" w:h="15840" w:code="1"/>
          <w:pgMar w:top="360" w:right="720" w:bottom="360" w:left="2405" w:header="360" w:footer="360" w:gutter="0"/>
          <w:pgNumType w:start="26"/>
          <w:cols w:space="720"/>
          <w:docGrid w:linePitch="360"/>
        </w:sectPr>
      </w:pPr>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 B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ment B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1ED5" w:rsidRDefault="00987E1C" w:rsidP="00282F9D">
      <w:pPr>
        <w:pStyle w:val="BodyText"/>
      </w:pPr>
      <w:r>
        <w:rPr>
          <w:noProof/>
        </w:rPr>
        <w:drawing>
          <wp:inline distT="0" distB="0" distL="0" distR="0">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40022 Draft SERC Form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40022 Draft SERC Form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40022 Draft SERC Form_Page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40022 Draft SERC Form_Page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40022 Draft SERC Form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01ED5" w:rsidSect="00CC66CF">
      <w:pgSz w:w="12240" w:h="15840" w:code="1"/>
      <w:pgMar w:top="360" w:right="720" w:bottom="360" w:left="2405"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C33" w:rsidRDefault="00AD2C33">
      <w:r>
        <w:separator/>
      </w:r>
    </w:p>
  </w:endnote>
  <w:endnote w:type="continuationSeparator" w:id="0">
    <w:p w:rsidR="00AD2C33" w:rsidRDefault="00AD2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37B89">
      <w:rPr>
        <w:rStyle w:val="PageNumber"/>
        <w:noProof/>
      </w:rPr>
      <w:t>14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rsidP="00FC5BB3">
    <w:pPr>
      <w:pStyle w:val="Footer"/>
    </w:pPr>
    <w:r>
      <w:tab/>
      <w:t xml:space="preserve">CODING: Words </w:t>
    </w:r>
    <w:r>
      <w:rPr>
        <w:u w:val="single"/>
      </w:rPr>
      <w:t>underlined</w:t>
    </w:r>
    <w:r>
      <w:t xml:space="preserve"> are additions; words in </w:t>
    </w:r>
    <w:r>
      <w:rPr>
        <w:strike/>
      </w:rPr>
      <w:t>struck through</w:t>
    </w:r>
    <w:r>
      <w:t xml:space="preserve"> type are deletions from existing law.</w:t>
    </w:r>
  </w:p>
  <w:p w:rsidR="002F63D9" w:rsidRDefault="002F63D9" w:rsidP="00FC5BB3">
    <w:pPr>
      <w:pStyle w:val="Footer"/>
      <w:ind w:left="-1440"/>
      <w:jc w:val="center"/>
    </w:pPr>
    <w:r>
      <w:t xml:space="preserve">- </w:t>
    </w:r>
    <w:r>
      <w:rPr>
        <w:rStyle w:val="PageNumber"/>
      </w:rPr>
      <w:fldChar w:fldCharType="begin"/>
    </w:r>
    <w:r>
      <w:rPr>
        <w:rStyle w:val="PageNumber"/>
      </w:rPr>
      <w:instrText xml:space="preserve"> PAGE </w:instrText>
    </w:r>
    <w:r>
      <w:rPr>
        <w:rStyle w:val="PageNumber"/>
      </w:rPr>
      <w:fldChar w:fldCharType="separate"/>
    </w:r>
    <w:r w:rsidR="00537B89">
      <w:rPr>
        <w:rStyle w:val="PageNumber"/>
        <w:noProof/>
      </w:rPr>
      <w:t>21</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F63D9" w:rsidRDefault="002F63D9">
    <w:pPr>
      <w:pStyle w:val="Footer"/>
    </w:pPr>
    <w:r>
      <w:t xml:space="preserve">CODING: Words </w:t>
    </w:r>
    <w:r>
      <w:rPr>
        <w:u w:val="single"/>
      </w:rPr>
      <w:t>underlined</w:t>
    </w:r>
    <w:r>
      <w:t xml:space="preserve"> are additions; words in struck through type are deletions from existing law.</w:t>
    </w:r>
  </w:p>
  <w:p w:rsidR="002F63D9" w:rsidRDefault="002F63D9">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rsidP="00DD67EB">
    <w:pPr>
      <w:pStyle w:val="Footer"/>
      <w:ind w:left="-1440"/>
      <w:jc w:val="center"/>
    </w:pPr>
    <w:r>
      <w:t xml:space="preserve">- </w:t>
    </w:r>
    <w:r>
      <w:rPr>
        <w:rStyle w:val="PageNumber"/>
      </w:rPr>
      <w:fldChar w:fldCharType="begin"/>
    </w:r>
    <w:r>
      <w:rPr>
        <w:rStyle w:val="PageNumber"/>
      </w:rPr>
      <w:instrText xml:space="preserve"> PAGE </w:instrText>
    </w:r>
    <w:r>
      <w:rPr>
        <w:rStyle w:val="PageNumber"/>
      </w:rPr>
      <w:fldChar w:fldCharType="separate"/>
    </w:r>
    <w:r w:rsidR="00537B89">
      <w:rPr>
        <w:rStyle w:val="PageNumber"/>
        <w:noProof/>
      </w:rPr>
      <w:t>25</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rsidP="00CC66CF">
    <w:pPr>
      <w:pStyle w:val="Footer"/>
      <w:ind w:left="-1440"/>
      <w:jc w:val="center"/>
    </w:pPr>
    <w:r>
      <w:t xml:space="preserve">- </w:t>
    </w:r>
    <w:r>
      <w:rPr>
        <w:rStyle w:val="PageNumber"/>
      </w:rPr>
      <w:fldChar w:fldCharType="begin"/>
    </w:r>
    <w:r>
      <w:rPr>
        <w:rStyle w:val="PageNumber"/>
      </w:rPr>
      <w:instrText xml:space="preserve"> PAGE </w:instrText>
    </w:r>
    <w:r>
      <w:rPr>
        <w:rStyle w:val="PageNumber"/>
      </w:rPr>
      <w:fldChar w:fldCharType="separate"/>
    </w:r>
    <w:r w:rsidR="00537B89">
      <w:rPr>
        <w:rStyle w:val="PageNumber"/>
        <w:noProof/>
      </w:rPr>
      <w:t>32</w:t>
    </w:r>
    <w:r>
      <w:rPr>
        <w:rStyle w:val="PageNumber"/>
      </w:rPr>
      <w:fldChar w:fldCharType="end"/>
    </w:r>
    <w:r>
      <w:rPr>
        <w:rStyle w:val="PageNumber"/>
      </w:rPr>
      <w:t xml:space="preserve"> -</w:t>
    </w:r>
  </w:p>
  <w:p w:rsidR="002F63D9" w:rsidRPr="000B3BBC" w:rsidRDefault="002F63D9" w:rsidP="00DD67EB">
    <w:pPr>
      <w:pStyle w:val="Footer"/>
      <w:ind w:left="-144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C33" w:rsidRDefault="00AD2C33">
      <w:r>
        <w:separator/>
      </w:r>
    </w:p>
  </w:footnote>
  <w:footnote w:type="continuationSeparator" w:id="0">
    <w:p w:rsidR="00AD2C33" w:rsidRDefault="00AD2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rsidP="00220732">
    <w:pPr>
      <w:pStyle w:val="Header"/>
      <w:tabs>
        <w:tab w:val="clear" w:pos="4320"/>
        <w:tab w:val="clear" w:pos="8640"/>
        <w:tab w:val="right" w:pos="9360"/>
      </w:tabs>
    </w:pPr>
    <w:bookmarkStart w:id="12" w:name="DocketLabel"/>
    <w:r>
      <w:t>Docket No.</w:t>
    </w:r>
    <w:bookmarkEnd w:id="12"/>
    <w:r>
      <w:t xml:space="preserve"> </w:t>
    </w:r>
    <w:bookmarkStart w:id="13" w:name="DocketList"/>
    <w:r>
      <w:t>20240022-WS</w:t>
    </w:r>
    <w:bookmarkEnd w:id="13"/>
  </w:p>
  <w:p w:rsidR="002F63D9" w:rsidRDefault="002F63D9">
    <w:pPr>
      <w:pStyle w:val="Header"/>
    </w:pPr>
    <w:r>
      <w:t xml:space="preserve">Date: </w:t>
    </w:r>
    <w:fldSimple w:instr=" REF FilingDate ">
      <w:r w:rsidR="004E2EA2">
        <w:t>February 22,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rsidP="00220732">
    <w:pPr>
      <w:pStyle w:val="Header"/>
      <w:tabs>
        <w:tab w:val="clear" w:pos="4320"/>
        <w:tab w:val="clear" w:pos="8640"/>
        <w:tab w:val="right" w:pos="9360"/>
      </w:tabs>
    </w:pPr>
    <w:r>
      <w:fldChar w:fldCharType="begin"/>
    </w:r>
    <w:r>
      <w:instrText xml:space="preserve"> REF DocketLabel</w:instrText>
    </w:r>
    <w:r>
      <w:fldChar w:fldCharType="separate"/>
    </w:r>
    <w:r w:rsidR="004E2EA2">
      <w:t>Docket No.</w:t>
    </w:r>
    <w:r>
      <w:fldChar w:fldCharType="end"/>
    </w:r>
    <w:r>
      <w:t xml:space="preserve"> </w:t>
    </w:r>
    <w:r>
      <w:fldChar w:fldCharType="begin"/>
    </w:r>
    <w:r>
      <w:instrText xml:space="preserve"> REF DocketList</w:instrText>
    </w:r>
    <w:r>
      <w:fldChar w:fldCharType="separate"/>
    </w:r>
    <w:r w:rsidR="004E2EA2">
      <w:t>20240022-WS</w:t>
    </w:r>
    <w:r>
      <w:fldChar w:fldCharType="end"/>
    </w:r>
    <w:r>
      <w:tab/>
      <w:t xml:space="preserve">Issue </w:t>
    </w:r>
    <w:fldSimple w:instr=" Seq Issue \c \* Arabic ">
      <w:r w:rsidR="00537B89">
        <w:rPr>
          <w:noProof/>
        </w:rPr>
        <w:t>2</w:t>
      </w:r>
    </w:fldSimple>
  </w:p>
  <w:p w:rsidR="002F63D9" w:rsidRDefault="002F63D9">
    <w:pPr>
      <w:pStyle w:val="Header"/>
    </w:pPr>
    <w:r>
      <w:t>Date:  February 22, 2024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rsidP="00282F9D">
    <w:pPr>
      <w:pStyle w:val="Header"/>
      <w:tabs>
        <w:tab w:val="clear" w:pos="4320"/>
        <w:tab w:val="clear" w:pos="8640"/>
        <w:tab w:val="right" w:pos="9360"/>
      </w:tabs>
    </w:pPr>
    <w:r>
      <w:fldChar w:fldCharType="begin"/>
    </w:r>
    <w:r>
      <w:instrText xml:space="preserve"> REF DocketLabel</w:instrText>
    </w:r>
    <w:r>
      <w:fldChar w:fldCharType="separate"/>
    </w:r>
    <w:r w:rsidR="004E2EA2">
      <w:t>Docket No.</w:t>
    </w:r>
    <w:r>
      <w:fldChar w:fldCharType="end"/>
    </w:r>
    <w:r>
      <w:t xml:space="preserve"> </w:t>
    </w:r>
    <w:r>
      <w:fldChar w:fldCharType="begin"/>
    </w:r>
    <w:r>
      <w:instrText xml:space="preserve"> REF DocketList</w:instrText>
    </w:r>
    <w:r>
      <w:fldChar w:fldCharType="separate"/>
    </w:r>
    <w:r w:rsidR="004E2EA2">
      <w:t>20240022-WS</w:t>
    </w:r>
    <w:r>
      <w:fldChar w:fldCharType="end"/>
    </w:r>
    <w:r>
      <w:tab/>
      <w:t>Attachment A</w:t>
    </w:r>
  </w:p>
  <w:p w:rsidR="002F63D9" w:rsidRPr="00B56A35" w:rsidRDefault="002F63D9" w:rsidP="00FC5BB3">
    <w:pPr>
      <w:pStyle w:val="Header"/>
    </w:pPr>
    <w:r>
      <w:rPr>
        <w:b/>
        <w:noProof/>
      </w:rPr>
      <mc:AlternateContent>
        <mc:Choice Requires="wps">
          <w:drawing>
            <wp:anchor distT="0" distB="0" distL="114300" distR="114300" simplePos="0" relativeHeight="251652096" behindDoc="0" locked="0" layoutInCell="1" allowOverlap="1">
              <wp:simplePos x="0" y="0"/>
              <wp:positionH relativeFrom="page">
                <wp:posOffset>1497438</wp:posOffset>
              </wp:positionH>
              <wp:positionV relativeFrom="page">
                <wp:posOffset>663922</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5CF25" id="LeftBorder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9pt,52.3pt" to="117.9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r8McT98AAAAMAQAADwAAAGRycy9kb3ducmV2LnhtbEyPzU7DMBCE70i8g7VI&#10;XKrWbvojFOJUCMiNC4WK6zZZkoh4ncZuG3h6FnGA486MZr/JNqPr1ImG0Hq2MJ8ZUMSlr1quLby+&#10;FNMbUCEiV9h5JgufFGCTX15kmFb+zM902sZaSQmHFC00Mfap1qFsyGGY+Z5YvHc/OIxyDrWuBjxL&#10;uet0YsxaO2xZPjTY031D5cf26CyEYkeH4mtSTszbovaUHB6eHtHa66vx7hZUpDH+heEHX9AhF6a9&#10;P3IVVGchWawEPYphlmtQkvhV9qIs5ysDOs/0/xH5NwAAAP//AwBQSwECLQAUAAYACAAAACEAtoM4&#10;kv4AAADhAQAAEwAAAAAAAAAAAAAAAAAAAAAAW0NvbnRlbnRfVHlwZXNdLnhtbFBLAQItABQABgAI&#10;AAAAIQA4/SH/1gAAAJQBAAALAAAAAAAAAAAAAAAAAC8BAABfcmVscy8ucmVsc1BLAQItABQABgAI&#10;AAAAIQBD/uf/GAIAAC0EAAAOAAAAAAAAAAAAAAAAAC4CAABkcnMvZTJvRG9jLnhtbFBLAQItABQA&#10;BgAIAAAAIQCvwxxP3wAAAAwBAAAPAAAAAAAAAAAAAAAAAHIEAABkcnMvZG93bnJldi54bWxQSwUG&#10;AAAAAAQABADzAAAAfgUAAAAA&#10;">
              <w10:wrap anchorx="page" anchory="page"/>
            </v:line>
          </w:pict>
        </mc:Fallback>
      </mc:AlternateContent>
    </w:r>
    <w:r>
      <w:t>Date:  February 22, 2024</w:t>
    </w:r>
    <w:r>
      <w:rPr>
        <w:b/>
        <w:noProof/>
      </w:rPr>
      <mc:AlternateContent>
        <mc:Choice Requires="wps">
          <w:drawing>
            <wp:anchor distT="0" distB="0" distL="114300" distR="114300" simplePos="0" relativeHeight="251661312"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63D9" w:rsidRDefault="002F63D9">
                          <w:pPr>
                            <w:pStyle w:val="RuleHeader"/>
                            <w:rPr>
                              <w:rStyle w:val="RuleChar"/>
                            </w:rPr>
                          </w:pPr>
                          <w:r>
                            <w:t>1</w:t>
                          </w:r>
                        </w:p>
                        <w:p w:rsidR="002F63D9" w:rsidRDefault="002F63D9">
                          <w:pPr>
                            <w:pStyle w:val="RuleHeader"/>
                          </w:pPr>
                          <w:r>
                            <w:t>2</w:t>
                          </w:r>
                        </w:p>
                        <w:p w:rsidR="002F63D9" w:rsidRDefault="002F63D9">
                          <w:pPr>
                            <w:pStyle w:val="RuleHeader"/>
                          </w:pPr>
                          <w:r>
                            <w:t>3</w:t>
                          </w:r>
                        </w:p>
                        <w:p w:rsidR="002F63D9" w:rsidRDefault="002F63D9">
                          <w:pPr>
                            <w:pStyle w:val="RuleHeader"/>
                          </w:pPr>
                          <w:r>
                            <w:t>4</w:t>
                          </w:r>
                        </w:p>
                        <w:p w:rsidR="002F63D9" w:rsidRDefault="002F63D9">
                          <w:pPr>
                            <w:pStyle w:val="RuleHeader"/>
                          </w:pPr>
                          <w:r>
                            <w:t>5</w:t>
                          </w:r>
                        </w:p>
                        <w:p w:rsidR="002F63D9" w:rsidRDefault="002F63D9">
                          <w:pPr>
                            <w:pStyle w:val="RuleHeader"/>
                          </w:pPr>
                          <w:r>
                            <w:t>6</w:t>
                          </w:r>
                        </w:p>
                        <w:p w:rsidR="002F63D9" w:rsidRDefault="002F63D9">
                          <w:pPr>
                            <w:pStyle w:val="RuleHeader"/>
                          </w:pPr>
                          <w:r>
                            <w:t>7</w:t>
                          </w:r>
                        </w:p>
                        <w:p w:rsidR="002F63D9" w:rsidRDefault="002F63D9">
                          <w:pPr>
                            <w:pStyle w:val="RuleHeader"/>
                          </w:pPr>
                          <w:r>
                            <w:t>8</w:t>
                          </w:r>
                        </w:p>
                        <w:p w:rsidR="002F63D9" w:rsidRDefault="002F63D9">
                          <w:pPr>
                            <w:pStyle w:val="RuleHeader"/>
                          </w:pPr>
                          <w:r>
                            <w:t>9</w:t>
                          </w:r>
                        </w:p>
                        <w:p w:rsidR="002F63D9" w:rsidRDefault="002F63D9">
                          <w:pPr>
                            <w:pStyle w:val="RuleHeader"/>
                          </w:pPr>
                          <w:r>
                            <w:t>10</w:t>
                          </w:r>
                        </w:p>
                        <w:p w:rsidR="002F63D9" w:rsidRDefault="002F63D9">
                          <w:pPr>
                            <w:pStyle w:val="RuleHeader"/>
                          </w:pPr>
                          <w:r>
                            <w:t>11</w:t>
                          </w:r>
                        </w:p>
                        <w:p w:rsidR="002F63D9" w:rsidRDefault="002F63D9">
                          <w:pPr>
                            <w:pStyle w:val="RuleHeader"/>
                          </w:pPr>
                          <w:r>
                            <w:t>12</w:t>
                          </w:r>
                        </w:p>
                        <w:p w:rsidR="002F63D9" w:rsidRDefault="002F63D9">
                          <w:pPr>
                            <w:pStyle w:val="RuleHeader"/>
                          </w:pPr>
                          <w:r>
                            <w:t>13</w:t>
                          </w:r>
                        </w:p>
                        <w:p w:rsidR="002F63D9" w:rsidRDefault="002F63D9">
                          <w:pPr>
                            <w:pStyle w:val="RuleHeader"/>
                          </w:pPr>
                          <w:r>
                            <w:t>14</w:t>
                          </w:r>
                        </w:p>
                        <w:p w:rsidR="002F63D9" w:rsidRDefault="002F63D9">
                          <w:pPr>
                            <w:pStyle w:val="RuleHeader"/>
                          </w:pPr>
                          <w:r>
                            <w:t>15</w:t>
                          </w:r>
                        </w:p>
                        <w:p w:rsidR="002F63D9" w:rsidRDefault="002F63D9">
                          <w:pPr>
                            <w:pStyle w:val="RuleHeader"/>
                          </w:pPr>
                          <w:r>
                            <w:t>16</w:t>
                          </w:r>
                        </w:p>
                        <w:p w:rsidR="002F63D9" w:rsidRDefault="002F63D9">
                          <w:pPr>
                            <w:pStyle w:val="RuleHeader"/>
                          </w:pPr>
                          <w:r>
                            <w:t>17</w:t>
                          </w:r>
                        </w:p>
                        <w:p w:rsidR="002F63D9" w:rsidRDefault="002F63D9">
                          <w:pPr>
                            <w:pStyle w:val="RuleHeader"/>
                          </w:pPr>
                          <w:r>
                            <w:t>18</w:t>
                          </w:r>
                        </w:p>
                        <w:p w:rsidR="002F63D9" w:rsidRDefault="002F63D9">
                          <w:pPr>
                            <w:pStyle w:val="RuleHeader"/>
                          </w:pPr>
                          <w:r>
                            <w:t>19</w:t>
                          </w:r>
                        </w:p>
                        <w:p w:rsidR="002F63D9" w:rsidRDefault="002F63D9">
                          <w:pPr>
                            <w:pStyle w:val="RuleHeader"/>
                          </w:pPr>
                          <w:r>
                            <w:t>20</w:t>
                          </w:r>
                        </w:p>
                        <w:p w:rsidR="002F63D9" w:rsidRDefault="002F63D9">
                          <w:pPr>
                            <w:pStyle w:val="RuleHeader"/>
                          </w:pPr>
                          <w:r>
                            <w:t>21</w:t>
                          </w:r>
                        </w:p>
                        <w:p w:rsidR="002F63D9" w:rsidRDefault="002F63D9">
                          <w:pPr>
                            <w:pStyle w:val="RuleHeader"/>
                          </w:pPr>
                          <w:r>
                            <w:t>22</w:t>
                          </w:r>
                        </w:p>
                        <w:p w:rsidR="002F63D9" w:rsidRDefault="002F63D9">
                          <w:pPr>
                            <w:pStyle w:val="RuleHeader"/>
                          </w:pPr>
                          <w:r>
                            <w:t>23</w:t>
                          </w:r>
                        </w:p>
                        <w:p w:rsidR="002F63D9" w:rsidRDefault="002F63D9">
                          <w:pPr>
                            <w:pStyle w:val="RuleHeader"/>
                          </w:pPr>
                          <w:r>
                            <w:t>24</w:t>
                          </w:r>
                        </w:p>
                        <w:p w:rsidR="002F63D9" w:rsidRDefault="002F63D9">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left:0;text-align:left;margin-left:69.85pt;margin-top:0;width:36pt;height:6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2F63D9" w:rsidRDefault="002F63D9">
                    <w:pPr>
                      <w:pStyle w:val="RuleHeader"/>
                      <w:rPr>
                        <w:rStyle w:val="RuleChar"/>
                      </w:rPr>
                    </w:pPr>
                    <w:r>
                      <w:t>1</w:t>
                    </w:r>
                  </w:p>
                  <w:p w:rsidR="002F63D9" w:rsidRDefault="002F63D9">
                    <w:pPr>
                      <w:pStyle w:val="RuleHeader"/>
                    </w:pPr>
                    <w:r>
                      <w:t>2</w:t>
                    </w:r>
                  </w:p>
                  <w:p w:rsidR="002F63D9" w:rsidRDefault="002F63D9">
                    <w:pPr>
                      <w:pStyle w:val="RuleHeader"/>
                    </w:pPr>
                    <w:r>
                      <w:t>3</w:t>
                    </w:r>
                  </w:p>
                  <w:p w:rsidR="002F63D9" w:rsidRDefault="002F63D9">
                    <w:pPr>
                      <w:pStyle w:val="RuleHeader"/>
                    </w:pPr>
                    <w:r>
                      <w:t>4</w:t>
                    </w:r>
                  </w:p>
                  <w:p w:rsidR="002F63D9" w:rsidRDefault="002F63D9">
                    <w:pPr>
                      <w:pStyle w:val="RuleHeader"/>
                    </w:pPr>
                    <w:r>
                      <w:t>5</w:t>
                    </w:r>
                  </w:p>
                  <w:p w:rsidR="002F63D9" w:rsidRDefault="002F63D9">
                    <w:pPr>
                      <w:pStyle w:val="RuleHeader"/>
                    </w:pPr>
                    <w:r>
                      <w:t>6</w:t>
                    </w:r>
                  </w:p>
                  <w:p w:rsidR="002F63D9" w:rsidRDefault="002F63D9">
                    <w:pPr>
                      <w:pStyle w:val="RuleHeader"/>
                    </w:pPr>
                    <w:r>
                      <w:t>7</w:t>
                    </w:r>
                  </w:p>
                  <w:p w:rsidR="002F63D9" w:rsidRDefault="002F63D9">
                    <w:pPr>
                      <w:pStyle w:val="RuleHeader"/>
                    </w:pPr>
                    <w:r>
                      <w:t>8</w:t>
                    </w:r>
                  </w:p>
                  <w:p w:rsidR="002F63D9" w:rsidRDefault="002F63D9">
                    <w:pPr>
                      <w:pStyle w:val="RuleHeader"/>
                    </w:pPr>
                    <w:r>
                      <w:t>9</w:t>
                    </w:r>
                  </w:p>
                  <w:p w:rsidR="002F63D9" w:rsidRDefault="002F63D9">
                    <w:pPr>
                      <w:pStyle w:val="RuleHeader"/>
                    </w:pPr>
                    <w:r>
                      <w:t>10</w:t>
                    </w:r>
                  </w:p>
                  <w:p w:rsidR="002F63D9" w:rsidRDefault="002F63D9">
                    <w:pPr>
                      <w:pStyle w:val="RuleHeader"/>
                    </w:pPr>
                    <w:r>
                      <w:t>11</w:t>
                    </w:r>
                  </w:p>
                  <w:p w:rsidR="002F63D9" w:rsidRDefault="002F63D9">
                    <w:pPr>
                      <w:pStyle w:val="RuleHeader"/>
                    </w:pPr>
                    <w:r>
                      <w:t>12</w:t>
                    </w:r>
                  </w:p>
                  <w:p w:rsidR="002F63D9" w:rsidRDefault="002F63D9">
                    <w:pPr>
                      <w:pStyle w:val="RuleHeader"/>
                    </w:pPr>
                    <w:r>
                      <w:t>13</w:t>
                    </w:r>
                  </w:p>
                  <w:p w:rsidR="002F63D9" w:rsidRDefault="002F63D9">
                    <w:pPr>
                      <w:pStyle w:val="RuleHeader"/>
                    </w:pPr>
                    <w:r>
                      <w:t>14</w:t>
                    </w:r>
                  </w:p>
                  <w:p w:rsidR="002F63D9" w:rsidRDefault="002F63D9">
                    <w:pPr>
                      <w:pStyle w:val="RuleHeader"/>
                    </w:pPr>
                    <w:r>
                      <w:t>15</w:t>
                    </w:r>
                  </w:p>
                  <w:p w:rsidR="002F63D9" w:rsidRDefault="002F63D9">
                    <w:pPr>
                      <w:pStyle w:val="RuleHeader"/>
                    </w:pPr>
                    <w:r>
                      <w:t>16</w:t>
                    </w:r>
                  </w:p>
                  <w:p w:rsidR="002F63D9" w:rsidRDefault="002F63D9">
                    <w:pPr>
                      <w:pStyle w:val="RuleHeader"/>
                    </w:pPr>
                    <w:r>
                      <w:t>17</w:t>
                    </w:r>
                  </w:p>
                  <w:p w:rsidR="002F63D9" w:rsidRDefault="002F63D9">
                    <w:pPr>
                      <w:pStyle w:val="RuleHeader"/>
                    </w:pPr>
                    <w:r>
                      <w:t>18</w:t>
                    </w:r>
                  </w:p>
                  <w:p w:rsidR="002F63D9" w:rsidRDefault="002F63D9">
                    <w:pPr>
                      <w:pStyle w:val="RuleHeader"/>
                    </w:pPr>
                    <w:r>
                      <w:t>19</w:t>
                    </w:r>
                  </w:p>
                  <w:p w:rsidR="002F63D9" w:rsidRDefault="002F63D9">
                    <w:pPr>
                      <w:pStyle w:val="RuleHeader"/>
                    </w:pPr>
                    <w:r>
                      <w:t>20</w:t>
                    </w:r>
                  </w:p>
                  <w:p w:rsidR="002F63D9" w:rsidRDefault="002F63D9">
                    <w:pPr>
                      <w:pStyle w:val="RuleHeader"/>
                    </w:pPr>
                    <w:r>
                      <w:t>21</w:t>
                    </w:r>
                  </w:p>
                  <w:p w:rsidR="002F63D9" w:rsidRDefault="002F63D9">
                    <w:pPr>
                      <w:pStyle w:val="RuleHeader"/>
                    </w:pPr>
                    <w:r>
                      <w:t>22</w:t>
                    </w:r>
                  </w:p>
                  <w:p w:rsidR="002F63D9" w:rsidRDefault="002F63D9">
                    <w:pPr>
                      <w:pStyle w:val="RuleHeader"/>
                    </w:pPr>
                    <w:r>
                      <w:t>23</w:t>
                    </w:r>
                  </w:p>
                  <w:p w:rsidR="002F63D9" w:rsidRDefault="002F63D9">
                    <w:pPr>
                      <w:pStyle w:val="RuleHeader"/>
                    </w:pPr>
                    <w:r>
                      <w:t>24</w:t>
                    </w:r>
                  </w:p>
                  <w:p w:rsidR="002F63D9" w:rsidRDefault="002F63D9">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5414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20EBE" id="RightBorder" o:spid="_x0000_s1026" style="position:absolute;z-index:2516541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5312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26C8" id="LeftBorder2" o:spid="_x0000_s1026" style="position:absolute;z-index:2516531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pPr>
      <w:tabs>
        <w:tab w:val="left" w:pos="3770"/>
      </w:tabs>
    </w:pPr>
    <w:r>
      <w:rPr>
        <w:noProof/>
      </w:rPr>
      <mc:AlternateContent>
        <mc:Choice Requires="wps">
          <w:drawing>
            <wp:anchor distT="0" distB="0" distL="114300" distR="114300" simplePos="0" relativeHeight="251655168"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29537" id="LeftBorder1"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63D9" w:rsidRDefault="002F63D9">
                          <w:pPr>
                            <w:jc w:val="right"/>
                          </w:pPr>
                          <w:r>
                            <w:t>1</w:t>
                          </w:r>
                        </w:p>
                        <w:p w:rsidR="002F63D9" w:rsidRDefault="002F63D9">
                          <w:pPr>
                            <w:jc w:val="right"/>
                          </w:pPr>
                          <w:r>
                            <w:t>2</w:t>
                          </w:r>
                        </w:p>
                        <w:p w:rsidR="002F63D9" w:rsidRDefault="002F63D9">
                          <w:pPr>
                            <w:jc w:val="right"/>
                          </w:pPr>
                          <w:r>
                            <w:t>3</w:t>
                          </w:r>
                        </w:p>
                        <w:p w:rsidR="002F63D9" w:rsidRDefault="002F63D9">
                          <w:pPr>
                            <w:jc w:val="right"/>
                          </w:pPr>
                          <w:r>
                            <w:t>4</w:t>
                          </w:r>
                        </w:p>
                        <w:p w:rsidR="002F63D9" w:rsidRDefault="002F63D9">
                          <w:pPr>
                            <w:jc w:val="right"/>
                          </w:pPr>
                          <w:r>
                            <w:t>5</w:t>
                          </w:r>
                        </w:p>
                        <w:p w:rsidR="002F63D9" w:rsidRDefault="002F63D9">
                          <w:pPr>
                            <w:jc w:val="right"/>
                          </w:pPr>
                          <w:r>
                            <w:t>6</w:t>
                          </w:r>
                        </w:p>
                        <w:p w:rsidR="002F63D9" w:rsidRDefault="002F63D9">
                          <w:pPr>
                            <w:jc w:val="right"/>
                          </w:pPr>
                          <w:r>
                            <w:t>7</w:t>
                          </w:r>
                        </w:p>
                        <w:p w:rsidR="002F63D9" w:rsidRDefault="002F63D9">
                          <w:pPr>
                            <w:jc w:val="right"/>
                          </w:pPr>
                          <w:r>
                            <w:t>8</w:t>
                          </w:r>
                        </w:p>
                        <w:p w:rsidR="002F63D9" w:rsidRDefault="002F63D9">
                          <w:pPr>
                            <w:jc w:val="right"/>
                          </w:pPr>
                          <w:r>
                            <w:t>9</w:t>
                          </w:r>
                        </w:p>
                        <w:p w:rsidR="002F63D9" w:rsidRDefault="002F63D9">
                          <w:pPr>
                            <w:jc w:val="right"/>
                          </w:pPr>
                          <w:r>
                            <w:t>10</w:t>
                          </w:r>
                        </w:p>
                        <w:p w:rsidR="002F63D9" w:rsidRDefault="002F63D9">
                          <w:pPr>
                            <w:jc w:val="right"/>
                          </w:pPr>
                          <w:r>
                            <w:t>11</w:t>
                          </w:r>
                        </w:p>
                        <w:p w:rsidR="002F63D9" w:rsidRDefault="002F63D9">
                          <w:pPr>
                            <w:jc w:val="right"/>
                          </w:pPr>
                          <w:r>
                            <w:t>12</w:t>
                          </w:r>
                        </w:p>
                        <w:p w:rsidR="002F63D9" w:rsidRDefault="002F63D9">
                          <w:pPr>
                            <w:jc w:val="right"/>
                          </w:pPr>
                          <w:r>
                            <w:t>13</w:t>
                          </w:r>
                        </w:p>
                        <w:p w:rsidR="002F63D9" w:rsidRDefault="002F63D9">
                          <w:pPr>
                            <w:jc w:val="right"/>
                          </w:pPr>
                          <w:r>
                            <w:t>14</w:t>
                          </w:r>
                        </w:p>
                        <w:p w:rsidR="002F63D9" w:rsidRDefault="002F63D9">
                          <w:pPr>
                            <w:jc w:val="right"/>
                          </w:pPr>
                          <w:r>
                            <w:t>15</w:t>
                          </w:r>
                        </w:p>
                        <w:p w:rsidR="002F63D9" w:rsidRDefault="002F63D9">
                          <w:pPr>
                            <w:jc w:val="right"/>
                          </w:pPr>
                          <w:r>
                            <w:t>16</w:t>
                          </w:r>
                        </w:p>
                        <w:p w:rsidR="002F63D9" w:rsidRDefault="002F63D9">
                          <w:pPr>
                            <w:jc w:val="right"/>
                          </w:pPr>
                          <w:r>
                            <w:t>17</w:t>
                          </w:r>
                        </w:p>
                        <w:p w:rsidR="002F63D9" w:rsidRDefault="002F63D9">
                          <w:pPr>
                            <w:jc w:val="right"/>
                          </w:pPr>
                          <w:r>
                            <w:t>18</w:t>
                          </w:r>
                        </w:p>
                        <w:p w:rsidR="002F63D9" w:rsidRDefault="002F63D9">
                          <w:pPr>
                            <w:jc w:val="right"/>
                          </w:pPr>
                          <w:r>
                            <w:t>19</w:t>
                          </w:r>
                        </w:p>
                        <w:p w:rsidR="002F63D9" w:rsidRDefault="002F63D9">
                          <w:pPr>
                            <w:jc w:val="right"/>
                          </w:pPr>
                          <w:r>
                            <w:t>20</w:t>
                          </w:r>
                        </w:p>
                        <w:p w:rsidR="002F63D9" w:rsidRDefault="002F63D9">
                          <w:pPr>
                            <w:jc w:val="right"/>
                          </w:pPr>
                          <w:r>
                            <w:t>21</w:t>
                          </w:r>
                        </w:p>
                        <w:p w:rsidR="002F63D9" w:rsidRDefault="002F63D9">
                          <w:pPr>
                            <w:jc w:val="right"/>
                          </w:pPr>
                          <w:r>
                            <w:t>22</w:t>
                          </w:r>
                        </w:p>
                        <w:p w:rsidR="002F63D9" w:rsidRDefault="002F63D9">
                          <w:pPr>
                            <w:jc w:val="right"/>
                          </w:pPr>
                          <w:r>
                            <w:t>23</w:t>
                          </w:r>
                        </w:p>
                        <w:p w:rsidR="002F63D9" w:rsidRDefault="002F63D9">
                          <w:pPr>
                            <w:jc w:val="right"/>
                          </w:pPr>
                          <w:r>
                            <w:t>24</w:t>
                          </w:r>
                        </w:p>
                        <w:p w:rsidR="002F63D9" w:rsidRDefault="002F63D9">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2F63D9" w:rsidRDefault="002F63D9">
                    <w:pPr>
                      <w:jc w:val="right"/>
                    </w:pPr>
                    <w:r>
                      <w:t>1</w:t>
                    </w:r>
                  </w:p>
                  <w:p w:rsidR="002F63D9" w:rsidRDefault="002F63D9">
                    <w:pPr>
                      <w:jc w:val="right"/>
                    </w:pPr>
                    <w:r>
                      <w:t>2</w:t>
                    </w:r>
                  </w:p>
                  <w:p w:rsidR="002F63D9" w:rsidRDefault="002F63D9">
                    <w:pPr>
                      <w:jc w:val="right"/>
                    </w:pPr>
                    <w:r>
                      <w:t>3</w:t>
                    </w:r>
                  </w:p>
                  <w:p w:rsidR="002F63D9" w:rsidRDefault="002F63D9">
                    <w:pPr>
                      <w:jc w:val="right"/>
                    </w:pPr>
                    <w:r>
                      <w:t>4</w:t>
                    </w:r>
                  </w:p>
                  <w:p w:rsidR="002F63D9" w:rsidRDefault="002F63D9">
                    <w:pPr>
                      <w:jc w:val="right"/>
                    </w:pPr>
                    <w:r>
                      <w:t>5</w:t>
                    </w:r>
                  </w:p>
                  <w:p w:rsidR="002F63D9" w:rsidRDefault="002F63D9">
                    <w:pPr>
                      <w:jc w:val="right"/>
                    </w:pPr>
                    <w:r>
                      <w:t>6</w:t>
                    </w:r>
                  </w:p>
                  <w:p w:rsidR="002F63D9" w:rsidRDefault="002F63D9">
                    <w:pPr>
                      <w:jc w:val="right"/>
                    </w:pPr>
                    <w:r>
                      <w:t>7</w:t>
                    </w:r>
                  </w:p>
                  <w:p w:rsidR="002F63D9" w:rsidRDefault="002F63D9">
                    <w:pPr>
                      <w:jc w:val="right"/>
                    </w:pPr>
                    <w:r>
                      <w:t>8</w:t>
                    </w:r>
                  </w:p>
                  <w:p w:rsidR="002F63D9" w:rsidRDefault="002F63D9">
                    <w:pPr>
                      <w:jc w:val="right"/>
                    </w:pPr>
                    <w:r>
                      <w:t>9</w:t>
                    </w:r>
                  </w:p>
                  <w:p w:rsidR="002F63D9" w:rsidRDefault="002F63D9">
                    <w:pPr>
                      <w:jc w:val="right"/>
                    </w:pPr>
                    <w:r>
                      <w:t>10</w:t>
                    </w:r>
                  </w:p>
                  <w:p w:rsidR="002F63D9" w:rsidRDefault="002F63D9">
                    <w:pPr>
                      <w:jc w:val="right"/>
                    </w:pPr>
                    <w:r>
                      <w:t>11</w:t>
                    </w:r>
                  </w:p>
                  <w:p w:rsidR="002F63D9" w:rsidRDefault="002F63D9">
                    <w:pPr>
                      <w:jc w:val="right"/>
                    </w:pPr>
                    <w:r>
                      <w:t>12</w:t>
                    </w:r>
                  </w:p>
                  <w:p w:rsidR="002F63D9" w:rsidRDefault="002F63D9">
                    <w:pPr>
                      <w:jc w:val="right"/>
                    </w:pPr>
                    <w:r>
                      <w:t>13</w:t>
                    </w:r>
                  </w:p>
                  <w:p w:rsidR="002F63D9" w:rsidRDefault="002F63D9">
                    <w:pPr>
                      <w:jc w:val="right"/>
                    </w:pPr>
                    <w:r>
                      <w:t>14</w:t>
                    </w:r>
                  </w:p>
                  <w:p w:rsidR="002F63D9" w:rsidRDefault="002F63D9">
                    <w:pPr>
                      <w:jc w:val="right"/>
                    </w:pPr>
                    <w:r>
                      <w:t>15</w:t>
                    </w:r>
                  </w:p>
                  <w:p w:rsidR="002F63D9" w:rsidRDefault="002F63D9">
                    <w:pPr>
                      <w:jc w:val="right"/>
                    </w:pPr>
                    <w:r>
                      <w:t>16</w:t>
                    </w:r>
                  </w:p>
                  <w:p w:rsidR="002F63D9" w:rsidRDefault="002F63D9">
                    <w:pPr>
                      <w:jc w:val="right"/>
                    </w:pPr>
                    <w:r>
                      <w:t>17</w:t>
                    </w:r>
                  </w:p>
                  <w:p w:rsidR="002F63D9" w:rsidRDefault="002F63D9">
                    <w:pPr>
                      <w:jc w:val="right"/>
                    </w:pPr>
                    <w:r>
                      <w:t>18</w:t>
                    </w:r>
                  </w:p>
                  <w:p w:rsidR="002F63D9" w:rsidRDefault="002F63D9">
                    <w:pPr>
                      <w:jc w:val="right"/>
                    </w:pPr>
                    <w:r>
                      <w:t>19</w:t>
                    </w:r>
                  </w:p>
                  <w:p w:rsidR="002F63D9" w:rsidRDefault="002F63D9">
                    <w:pPr>
                      <w:jc w:val="right"/>
                    </w:pPr>
                    <w:r>
                      <w:t>20</w:t>
                    </w:r>
                  </w:p>
                  <w:p w:rsidR="002F63D9" w:rsidRDefault="002F63D9">
                    <w:pPr>
                      <w:jc w:val="right"/>
                    </w:pPr>
                    <w:r>
                      <w:t>21</w:t>
                    </w:r>
                  </w:p>
                  <w:p w:rsidR="002F63D9" w:rsidRDefault="002F63D9">
                    <w:pPr>
                      <w:jc w:val="right"/>
                    </w:pPr>
                    <w:r>
                      <w:t>22</w:t>
                    </w:r>
                  </w:p>
                  <w:p w:rsidR="002F63D9" w:rsidRDefault="002F63D9">
                    <w:pPr>
                      <w:jc w:val="right"/>
                    </w:pPr>
                    <w:r>
                      <w:t>23</w:t>
                    </w:r>
                  </w:p>
                  <w:p w:rsidR="002F63D9" w:rsidRDefault="002F63D9">
                    <w:pPr>
                      <w:jc w:val="right"/>
                    </w:pPr>
                    <w:r>
                      <w:t>24</w:t>
                    </w:r>
                  </w:p>
                  <w:p w:rsidR="002F63D9" w:rsidRDefault="002F63D9">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BD2FB" id="RightBorder" o:spid="_x0000_s1026" style="position:absolute;z-index:2516572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56CAB" id="LeftBorder2" o:spid="_x0000_s1026" style="position:absolute;z-index:2516561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rsidP="00282F9D">
    <w:pPr>
      <w:pStyle w:val="Header"/>
      <w:tabs>
        <w:tab w:val="clear" w:pos="4320"/>
        <w:tab w:val="clear" w:pos="8640"/>
        <w:tab w:val="right" w:pos="9360"/>
      </w:tabs>
    </w:pPr>
    <w:r>
      <w:fldChar w:fldCharType="begin"/>
    </w:r>
    <w:r>
      <w:instrText xml:space="preserve"> REF DocketLabel</w:instrText>
    </w:r>
    <w:r>
      <w:fldChar w:fldCharType="separate"/>
    </w:r>
    <w:r w:rsidR="004E2EA2">
      <w:t>Docket No.</w:t>
    </w:r>
    <w:r>
      <w:fldChar w:fldCharType="end"/>
    </w:r>
    <w:r>
      <w:t xml:space="preserve"> </w:t>
    </w:r>
    <w:r>
      <w:fldChar w:fldCharType="begin"/>
    </w:r>
    <w:r>
      <w:instrText xml:space="preserve"> REF DocketList</w:instrText>
    </w:r>
    <w:r>
      <w:fldChar w:fldCharType="separate"/>
    </w:r>
    <w:r w:rsidR="004E2EA2">
      <w:t>20240022-WS</w:t>
    </w:r>
    <w:r>
      <w:fldChar w:fldCharType="end"/>
    </w:r>
    <w:r>
      <w:tab/>
      <w:t>Attachment A</w:t>
    </w:r>
  </w:p>
  <w:p w:rsidR="002F63D9" w:rsidRDefault="002F63D9" w:rsidP="00FC5BB3">
    <w:pPr>
      <w:pStyle w:val="Header"/>
    </w:pPr>
    <w:r>
      <w:t>Date:  February 22, 2024</w:t>
    </w:r>
  </w:p>
  <w:p w:rsidR="002F63D9" w:rsidRPr="00B56A35" w:rsidRDefault="002F63D9" w:rsidP="00FC5BB3">
    <w:pPr>
      <w:pStyle w:val="Header"/>
    </w:pPr>
    <w:r>
      <w:rPr>
        <w:b/>
        <w:noProof/>
      </w:rPr>
      <mc:AlternateContent>
        <mc:Choice Requires="wps">
          <w:drawing>
            <wp:anchor distT="0" distB="0" distL="114300" distR="114300" simplePos="0" relativeHeight="251662336" behindDoc="0" locked="0" layoutInCell="1" allowOverlap="1" wp14:anchorId="2B172FD5" wp14:editId="3392BC0C">
              <wp:simplePos x="0" y="0"/>
              <wp:positionH relativeFrom="margin">
                <wp:posOffset>5943600</wp:posOffset>
              </wp:positionH>
              <wp:positionV relativeFrom="page">
                <wp:posOffset>0</wp:posOffset>
              </wp:positionV>
              <wp:extent cx="0" cy="10058400"/>
              <wp:effectExtent l="9525" t="9525" r="9525" b="9525"/>
              <wp:wrapNone/>
              <wp:docPr id="3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E680A" id="RightBorder" o:spid="_x0000_s1026" style="position:absolute;z-index:2516623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A+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a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LFcD4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58240" behindDoc="0" locked="0" layoutInCell="1" allowOverlap="1" wp14:anchorId="1F44DEA5" wp14:editId="301E21F4">
              <wp:simplePos x="0" y="0"/>
              <wp:positionH relativeFrom="margin">
                <wp:posOffset>-91440</wp:posOffset>
              </wp:positionH>
              <wp:positionV relativeFrom="page">
                <wp:posOffset>0</wp:posOffset>
              </wp:positionV>
              <wp:extent cx="0" cy="10058400"/>
              <wp:effectExtent l="13335" t="9525" r="5715" b="9525"/>
              <wp:wrapNone/>
              <wp:docPr id="3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4E786" id="LeftBorder2" o:spid="_x0000_s1026" style="position:absolute;z-index:2516582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5lHwIAADoEAAAOAAAAZHJzL2Uyb0RvYy54bWysU02P2jAQvVfqf7B8hyRsYCEirNoEetm2&#10;SLv9AcZ2iFXHtmxDQFX/e8cO0NJeqqo5OP6YeX7z3nj5dOokOnLrhFYlzsYpRlxRzYTal/jL62Y0&#10;x8h5ohiRWvESn7nDT6u3b5a9KfhEt1oybhGAKFf0psSt96ZIEkdb3hE31oYrOGy07YiHpd0nzJIe&#10;0DuZTNJ0lvTaMmM15c7Bbj0c4lXEbxpO/eemcdwjWWLg5uNo47gLY7JakmJviWkFvdAg/8CiI0LB&#10;pTeomniCDlb8AdUJarXTjR9T3SW6aQTlsQaoJkt/q+alJYbHWkAcZ24yuf8HSz8dtxYJVuKHR4wU&#10;6cCjZ9749yArtxOMWsEYD9YGqXrjCsio1NaGYulJvZhnTb86pHTVErXnkfLr2QBMzEjuUsLCGbhw&#10;13/UDGLIweuo26mxXYAERdAp2nO+2cNPHtFhk8JulqbTeZ5G7xJSXDONdf4D1x0KkxJLoYJ0pCDH&#10;Z+eBO4ReQ8K20hshZbRfKtSXeDGdTGOC01KwcBjCnN3vKmnRkYQGil8QAsDuwqw+KBbBWk7Y+jL3&#10;RMhhDvFSBTyoBehcZkOHfFuki/V8Pc9H+WS2HuVpXY/ebap8NNtkj9P6oa6qOvseqGV5MdgR2F27&#10;Ncv/rhsu72bos1u/3mRI7tFjiUD2+o+ko5nBv6ETdpqdtzaoEXyFBo3Bl8cUXsCv6xj188mvfg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EIdLmU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3D9" w:rsidRDefault="002F63D9" w:rsidP="00282F9D">
    <w:pPr>
      <w:pStyle w:val="Header"/>
      <w:tabs>
        <w:tab w:val="clear" w:pos="4320"/>
        <w:tab w:val="clear" w:pos="8640"/>
        <w:tab w:val="right" w:pos="9360"/>
      </w:tabs>
    </w:pPr>
    <w:r>
      <w:fldChar w:fldCharType="begin"/>
    </w:r>
    <w:r>
      <w:instrText xml:space="preserve"> REF DocketLabel</w:instrText>
    </w:r>
    <w:r>
      <w:fldChar w:fldCharType="separate"/>
    </w:r>
    <w:r w:rsidR="004E2EA2">
      <w:t>Docket No.</w:t>
    </w:r>
    <w:r>
      <w:fldChar w:fldCharType="end"/>
    </w:r>
    <w:r>
      <w:t xml:space="preserve"> </w:t>
    </w:r>
    <w:r>
      <w:fldChar w:fldCharType="begin"/>
    </w:r>
    <w:r>
      <w:instrText xml:space="preserve"> REF DocketList</w:instrText>
    </w:r>
    <w:r>
      <w:fldChar w:fldCharType="separate"/>
    </w:r>
    <w:r w:rsidR="004E2EA2">
      <w:t>20240022-WS</w:t>
    </w:r>
    <w:r>
      <w:fldChar w:fldCharType="end"/>
    </w:r>
    <w:r>
      <w:tab/>
      <w:t>Attachment B</w:t>
    </w:r>
  </w:p>
  <w:p w:rsidR="002F63D9" w:rsidRPr="00B56A35" w:rsidRDefault="002F63D9" w:rsidP="00FC5BB3">
    <w:pPr>
      <w:pStyle w:val="Header"/>
    </w:pPr>
    <w:r>
      <w:t>Date:  February 22, 2024</w:t>
    </w:r>
    <w:r>
      <w:rPr>
        <w:b/>
        <w:noProof/>
      </w:rPr>
      <mc:AlternateContent>
        <mc:Choice Requires="wps">
          <w:drawing>
            <wp:anchor distT="0" distB="0" distL="114300" distR="114300" simplePos="0" relativeHeight="251663360" behindDoc="0" locked="0" layoutInCell="1" allowOverlap="1" wp14:anchorId="381E1C36" wp14:editId="762D1A9B">
              <wp:simplePos x="0" y="0"/>
              <wp:positionH relativeFrom="margin">
                <wp:posOffset>5943600</wp:posOffset>
              </wp:positionH>
              <wp:positionV relativeFrom="page">
                <wp:posOffset>0</wp:posOffset>
              </wp:positionV>
              <wp:extent cx="0" cy="10058400"/>
              <wp:effectExtent l="9525" t="9525" r="9525" b="9525"/>
              <wp:wrapNone/>
              <wp:docPr id="39"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521AA" id="RightBorder" o:spid="_x0000_s1026" style="position:absolute;z-index:2516633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6j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5YYK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G3DPq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3B62A817" wp14:editId="52D756E4">
              <wp:simplePos x="0" y="0"/>
              <wp:positionH relativeFrom="margin">
                <wp:posOffset>-91440</wp:posOffset>
              </wp:positionH>
              <wp:positionV relativeFrom="page">
                <wp:posOffset>0</wp:posOffset>
              </wp:positionV>
              <wp:extent cx="0" cy="10058400"/>
              <wp:effectExtent l="13335" t="9525" r="5715" b="9525"/>
              <wp:wrapNone/>
              <wp:docPr id="40"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8CD55"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0+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XOQR5EO&#10;PNryxr8HWbmdYNQKxniwNkjVG1dARqV2NhRLz+rZbDX96pDSVUvUgUfKLxcDMDEjeUgJC2fgwn3/&#10;UTOIIUevo27nxnYBEhRB52jP5W4PP3tEh00Ku1maTud5Gr1LSHHLNNb5D1x3KExKLIUK0pGCnLbO&#10;A3cIvYWEbaU3Qspov1SoL/FiOpnGBKelYOEwhDl72FfSohMJDRS/IASAPYRZfVQsgrWcsPV17omQ&#10;wxzipQp4UAvQuc6GDvm2SBfr+Xqej/LJbD3K07oevdtU+Wi2yd5O6zd1VdXZ90Aty4vBjsDu1q1Z&#10;/nfdcH03Q5/d+/UuQ/KIHksEsrd/JB3NDP4NnbDX7LKzQY3gKzRoDL4+pvACfl3HqJ9PfvUD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Lh50+HQIAADoEAAAOAAAAAAAAAAAAAAAAAC4CAABkcnMvZTJvRG9jLnhtbFBLAQIt&#10;ABQABgAIAAAAIQBhbTiQ3QAAAAkBAAAPAAAAAAAAAAAAAAAAAHcEAABkcnMvZG93bnJldi54bWxQ&#10;SwUGAAAAAAQABADzAAAAgQUAAAAA&#10;">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56EB7"/>
    <w:multiLevelType w:val="hybridMultilevel"/>
    <w:tmpl w:val="5860DE52"/>
    <w:lvl w:ilvl="0" w:tplc="425C21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1331276"/>
    <w:multiLevelType w:val="hybridMultilevel"/>
    <w:tmpl w:val="C79890E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16A7441E"/>
    <w:multiLevelType w:val="hybridMultilevel"/>
    <w:tmpl w:val="0EA40C5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25F43C93"/>
    <w:multiLevelType w:val="hybridMultilevel"/>
    <w:tmpl w:val="2F7AB6DC"/>
    <w:lvl w:ilvl="0" w:tplc="1D9A22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A1CC4"/>
    <w:multiLevelType w:val="hybridMultilevel"/>
    <w:tmpl w:val="14FC8E2E"/>
    <w:lvl w:ilvl="0" w:tplc="9C60AF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562C1"/>
    <w:rsid w:val="00002491"/>
    <w:rsid w:val="0000354D"/>
    <w:rsid w:val="000043D5"/>
    <w:rsid w:val="00006170"/>
    <w:rsid w:val="00010E37"/>
    <w:rsid w:val="000172DA"/>
    <w:rsid w:val="00022337"/>
    <w:rsid w:val="00023A0E"/>
    <w:rsid w:val="000247C5"/>
    <w:rsid w:val="000277C2"/>
    <w:rsid w:val="00031162"/>
    <w:rsid w:val="00035B48"/>
    <w:rsid w:val="00036CE2"/>
    <w:rsid w:val="000437FE"/>
    <w:rsid w:val="00044A4A"/>
    <w:rsid w:val="000513BE"/>
    <w:rsid w:val="00051573"/>
    <w:rsid w:val="00052D8F"/>
    <w:rsid w:val="0005451B"/>
    <w:rsid w:val="000613AA"/>
    <w:rsid w:val="00062D2E"/>
    <w:rsid w:val="00065A06"/>
    <w:rsid w:val="000666F3"/>
    <w:rsid w:val="00070DCB"/>
    <w:rsid w:val="00072CCA"/>
    <w:rsid w:val="00073120"/>
    <w:rsid w:val="000764D0"/>
    <w:rsid w:val="000828D3"/>
    <w:rsid w:val="000A2B57"/>
    <w:rsid w:val="000A418B"/>
    <w:rsid w:val="000B0ACE"/>
    <w:rsid w:val="000B3BBC"/>
    <w:rsid w:val="000C4431"/>
    <w:rsid w:val="000C6607"/>
    <w:rsid w:val="000C66CF"/>
    <w:rsid w:val="000D1C06"/>
    <w:rsid w:val="000D1F37"/>
    <w:rsid w:val="000D3043"/>
    <w:rsid w:val="000D4319"/>
    <w:rsid w:val="000D7525"/>
    <w:rsid w:val="000E24FA"/>
    <w:rsid w:val="000E338A"/>
    <w:rsid w:val="000E4392"/>
    <w:rsid w:val="000F374A"/>
    <w:rsid w:val="000F4DAF"/>
    <w:rsid w:val="000F79DB"/>
    <w:rsid w:val="000F7DB8"/>
    <w:rsid w:val="00105BA1"/>
    <w:rsid w:val="001076AF"/>
    <w:rsid w:val="001109F6"/>
    <w:rsid w:val="00113EFC"/>
    <w:rsid w:val="00116394"/>
    <w:rsid w:val="00116C6B"/>
    <w:rsid w:val="00117C8C"/>
    <w:rsid w:val="001239F0"/>
    <w:rsid w:val="00124C38"/>
    <w:rsid w:val="00124E2E"/>
    <w:rsid w:val="00125ED4"/>
    <w:rsid w:val="001303BF"/>
    <w:rsid w:val="001305E9"/>
    <w:rsid w:val="001307AF"/>
    <w:rsid w:val="0013347E"/>
    <w:rsid w:val="00135687"/>
    <w:rsid w:val="00136BD1"/>
    <w:rsid w:val="001412A8"/>
    <w:rsid w:val="001418D2"/>
    <w:rsid w:val="00146B5D"/>
    <w:rsid w:val="00150ECE"/>
    <w:rsid w:val="0015506E"/>
    <w:rsid w:val="00163031"/>
    <w:rsid w:val="001654C4"/>
    <w:rsid w:val="00171A90"/>
    <w:rsid w:val="00180254"/>
    <w:rsid w:val="00182876"/>
    <w:rsid w:val="00185809"/>
    <w:rsid w:val="00191E1F"/>
    <w:rsid w:val="00191EE8"/>
    <w:rsid w:val="00192943"/>
    <w:rsid w:val="00193BAF"/>
    <w:rsid w:val="00194791"/>
    <w:rsid w:val="001A22A0"/>
    <w:rsid w:val="001A5072"/>
    <w:rsid w:val="001A7406"/>
    <w:rsid w:val="001A7AE4"/>
    <w:rsid w:val="001B1EDC"/>
    <w:rsid w:val="001B4053"/>
    <w:rsid w:val="001B4FEE"/>
    <w:rsid w:val="001B51C5"/>
    <w:rsid w:val="001B672A"/>
    <w:rsid w:val="001B6F3F"/>
    <w:rsid w:val="001C31FC"/>
    <w:rsid w:val="001C52B5"/>
    <w:rsid w:val="001D0D3E"/>
    <w:rsid w:val="001D2817"/>
    <w:rsid w:val="001D2899"/>
    <w:rsid w:val="001D3343"/>
    <w:rsid w:val="001E028A"/>
    <w:rsid w:val="001E0BE4"/>
    <w:rsid w:val="001E14A3"/>
    <w:rsid w:val="001E390F"/>
    <w:rsid w:val="001E5944"/>
    <w:rsid w:val="001E7FF4"/>
    <w:rsid w:val="001F2245"/>
    <w:rsid w:val="001F2C63"/>
    <w:rsid w:val="001F48C7"/>
    <w:rsid w:val="001F6DA1"/>
    <w:rsid w:val="00200178"/>
    <w:rsid w:val="00202615"/>
    <w:rsid w:val="00204200"/>
    <w:rsid w:val="002044E6"/>
    <w:rsid w:val="0020510D"/>
    <w:rsid w:val="002052EC"/>
    <w:rsid w:val="00205C82"/>
    <w:rsid w:val="00205DC2"/>
    <w:rsid w:val="00212B17"/>
    <w:rsid w:val="002163B6"/>
    <w:rsid w:val="00217215"/>
    <w:rsid w:val="00220732"/>
    <w:rsid w:val="0022121F"/>
    <w:rsid w:val="00221D32"/>
    <w:rsid w:val="00222AC1"/>
    <w:rsid w:val="00225C3F"/>
    <w:rsid w:val="00236D5C"/>
    <w:rsid w:val="00242E48"/>
    <w:rsid w:val="00245F09"/>
    <w:rsid w:val="00256E74"/>
    <w:rsid w:val="002613B4"/>
    <w:rsid w:val="00263D44"/>
    <w:rsid w:val="002702AD"/>
    <w:rsid w:val="00272FB1"/>
    <w:rsid w:val="00281EB4"/>
    <w:rsid w:val="00282F9D"/>
    <w:rsid w:val="00292D82"/>
    <w:rsid w:val="00293327"/>
    <w:rsid w:val="00293EE7"/>
    <w:rsid w:val="002963CB"/>
    <w:rsid w:val="002B2DAC"/>
    <w:rsid w:val="002B4A01"/>
    <w:rsid w:val="002C291B"/>
    <w:rsid w:val="002C746A"/>
    <w:rsid w:val="002C7E4E"/>
    <w:rsid w:val="002D226D"/>
    <w:rsid w:val="002D74E3"/>
    <w:rsid w:val="002F6030"/>
    <w:rsid w:val="002F63D9"/>
    <w:rsid w:val="003001AC"/>
    <w:rsid w:val="00301ABF"/>
    <w:rsid w:val="00302903"/>
    <w:rsid w:val="003037E1"/>
    <w:rsid w:val="00307E51"/>
    <w:rsid w:val="003103EC"/>
    <w:rsid w:val="00312132"/>
    <w:rsid w:val="003130BA"/>
    <w:rsid w:val="003144EF"/>
    <w:rsid w:val="0031480E"/>
    <w:rsid w:val="00316877"/>
    <w:rsid w:val="00317903"/>
    <w:rsid w:val="00322F74"/>
    <w:rsid w:val="00325E15"/>
    <w:rsid w:val="0033028A"/>
    <w:rsid w:val="00336A83"/>
    <w:rsid w:val="00340073"/>
    <w:rsid w:val="003411D8"/>
    <w:rsid w:val="003445B0"/>
    <w:rsid w:val="00353B66"/>
    <w:rsid w:val="00355934"/>
    <w:rsid w:val="00357928"/>
    <w:rsid w:val="00362FA2"/>
    <w:rsid w:val="003632FD"/>
    <w:rsid w:val="00370F78"/>
    <w:rsid w:val="00371EE8"/>
    <w:rsid w:val="00372805"/>
    <w:rsid w:val="00373180"/>
    <w:rsid w:val="00375A72"/>
    <w:rsid w:val="00375AB9"/>
    <w:rsid w:val="0037691E"/>
    <w:rsid w:val="003821A0"/>
    <w:rsid w:val="00383148"/>
    <w:rsid w:val="00385B04"/>
    <w:rsid w:val="003864CF"/>
    <w:rsid w:val="003945E5"/>
    <w:rsid w:val="003948AE"/>
    <w:rsid w:val="003A08C0"/>
    <w:rsid w:val="003A0D9F"/>
    <w:rsid w:val="003A1D49"/>
    <w:rsid w:val="003A22A6"/>
    <w:rsid w:val="003A32EB"/>
    <w:rsid w:val="003A5494"/>
    <w:rsid w:val="003A55F1"/>
    <w:rsid w:val="003B250F"/>
    <w:rsid w:val="003B2510"/>
    <w:rsid w:val="003B4355"/>
    <w:rsid w:val="003C2CC4"/>
    <w:rsid w:val="003C3710"/>
    <w:rsid w:val="003C42A3"/>
    <w:rsid w:val="003C48F7"/>
    <w:rsid w:val="003E0463"/>
    <w:rsid w:val="003E0EFC"/>
    <w:rsid w:val="003E4A2B"/>
    <w:rsid w:val="003E6C9F"/>
    <w:rsid w:val="003E6FE9"/>
    <w:rsid w:val="003E76C2"/>
    <w:rsid w:val="003F1367"/>
    <w:rsid w:val="003F13EE"/>
    <w:rsid w:val="003F1679"/>
    <w:rsid w:val="003F21EB"/>
    <w:rsid w:val="003F4A35"/>
    <w:rsid w:val="003F5F03"/>
    <w:rsid w:val="003F7FDD"/>
    <w:rsid w:val="004006C2"/>
    <w:rsid w:val="00402101"/>
    <w:rsid w:val="00402481"/>
    <w:rsid w:val="004042B4"/>
    <w:rsid w:val="00410DC4"/>
    <w:rsid w:val="00412DAE"/>
    <w:rsid w:val="0041302D"/>
    <w:rsid w:val="00414177"/>
    <w:rsid w:val="004242E6"/>
    <w:rsid w:val="00427B35"/>
    <w:rsid w:val="00431598"/>
    <w:rsid w:val="004319AD"/>
    <w:rsid w:val="004426B8"/>
    <w:rsid w:val="00444432"/>
    <w:rsid w:val="00447CD3"/>
    <w:rsid w:val="00447D5C"/>
    <w:rsid w:val="00450202"/>
    <w:rsid w:val="004502B2"/>
    <w:rsid w:val="00455499"/>
    <w:rsid w:val="004637B5"/>
    <w:rsid w:val="004649A7"/>
    <w:rsid w:val="00470A4B"/>
    <w:rsid w:val="00471860"/>
    <w:rsid w:val="00472321"/>
    <w:rsid w:val="00475A9B"/>
    <w:rsid w:val="00477026"/>
    <w:rsid w:val="00477730"/>
    <w:rsid w:val="004A4A7D"/>
    <w:rsid w:val="004A744D"/>
    <w:rsid w:val="004A7EB9"/>
    <w:rsid w:val="004B60BD"/>
    <w:rsid w:val="004B6594"/>
    <w:rsid w:val="004C3150"/>
    <w:rsid w:val="004C3641"/>
    <w:rsid w:val="004C3873"/>
    <w:rsid w:val="004C4390"/>
    <w:rsid w:val="004C4AF7"/>
    <w:rsid w:val="004C4C43"/>
    <w:rsid w:val="004C6E59"/>
    <w:rsid w:val="004C7501"/>
    <w:rsid w:val="004D020C"/>
    <w:rsid w:val="004D2881"/>
    <w:rsid w:val="004D2D7D"/>
    <w:rsid w:val="004D385F"/>
    <w:rsid w:val="004D5B39"/>
    <w:rsid w:val="004D64A0"/>
    <w:rsid w:val="004D7976"/>
    <w:rsid w:val="004E0CEA"/>
    <w:rsid w:val="004E2EA2"/>
    <w:rsid w:val="004E330D"/>
    <w:rsid w:val="004E4985"/>
    <w:rsid w:val="004E5147"/>
    <w:rsid w:val="004E69B5"/>
    <w:rsid w:val="004F0680"/>
    <w:rsid w:val="004F27EC"/>
    <w:rsid w:val="004F345D"/>
    <w:rsid w:val="004F50D1"/>
    <w:rsid w:val="004F5C43"/>
    <w:rsid w:val="00501145"/>
    <w:rsid w:val="00501F53"/>
    <w:rsid w:val="005050A2"/>
    <w:rsid w:val="00506030"/>
    <w:rsid w:val="0050652D"/>
    <w:rsid w:val="00506C03"/>
    <w:rsid w:val="00511535"/>
    <w:rsid w:val="00511A11"/>
    <w:rsid w:val="00513BCE"/>
    <w:rsid w:val="005157A4"/>
    <w:rsid w:val="00516496"/>
    <w:rsid w:val="00522E7D"/>
    <w:rsid w:val="00523B11"/>
    <w:rsid w:val="0052455B"/>
    <w:rsid w:val="0052511A"/>
    <w:rsid w:val="0052572A"/>
    <w:rsid w:val="00532DFB"/>
    <w:rsid w:val="005361EA"/>
    <w:rsid w:val="00537B89"/>
    <w:rsid w:val="00543CB3"/>
    <w:rsid w:val="005442E4"/>
    <w:rsid w:val="005469AD"/>
    <w:rsid w:val="00547652"/>
    <w:rsid w:val="0055529B"/>
    <w:rsid w:val="00557E7C"/>
    <w:rsid w:val="00560FF0"/>
    <w:rsid w:val="005614BD"/>
    <w:rsid w:val="0057154F"/>
    <w:rsid w:val="00577259"/>
    <w:rsid w:val="00580F69"/>
    <w:rsid w:val="00581CA3"/>
    <w:rsid w:val="00585031"/>
    <w:rsid w:val="00586E8B"/>
    <w:rsid w:val="00587090"/>
    <w:rsid w:val="00587A44"/>
    <w:rsid w:val="00597730"/>
    <w:rsid w:val="005977EC"/>
    <w:rsid w:val="00597BF6"/>
    <w:rsid w:val="00597DE7"/>
    <w:rsid w:val="005A1CD3"/>
    <w:rsid w:val="005A4AA2"/>
    <w:rsid w:val="005B34B6"/>
    <w:rsid w:val="005B491F"/>
    <w:rsid w:val="005B606A"/>
    <w:rsid w:val="005B6C8F"/>
    <w:rsid w:val="005B6EC3"/>
    <w:rsid w:val="005C17D7"/>
    <w:rsid w:val="005C2672"/>
    <w:rsid w:val="005C33CE"/>
    <w:rsid w:val="005C6B8B"/>
    <w:rsid w:val="005D0F74"/>
    <w:rsid w:val="005D2048"/>
    <w:rsid w:val="005D2E7D"/>
    <w:rsid w:val="005D4A8F"/>
    <w:rsid w:val="005D5570"/>
    <w:rsid w:val="005D561B"/>
    <w:rsid w:val="005D578F"/>
    <w:rsid w:val="005D5ECF"/>
    <w:rsid w:val="005F468D"/>
    <w:rsid w:val="005F69A3"/>
    <w:rsid w:val="00604CC7"/>
    <w:rsid w:val="006062F6"/>
    <w:rsid w:val="00611CBB"/>
    <w:rsid w:val="00613441"/>
    <w:rsid w:val="00615423"/>
    <w:rsid w:val="006165B2"/>
    <w:rsid w:val="00617276"/>
    <w:rsid w:val="006179EC"/>
    <w:rsid w:val="0062326C"/>
    <w:rsid w:val="0062527B"/>
    <w:rsid w:val="00625562"/>
    <w:rsid w:val="00625D97"/>
    <w:rsid w:val="00625F1C"/>
    <w:rsid w:val="0062658E"/>
    <w:rsid w:val="006279E1"/>
    <w:rsid w:val="00630CEB"/>
    <w:rsid w:val="00632264"/>
    <w:rsid w:val="00634E5C"/>
    <w:rsid w:val="006355F2"/>
    <w:rsid w:val="00642569"/>
    <w:rsid w:val="006470BC"/>
    <w:rsid w:val="00652F67"/>
    <w:rsid w:val="006554D3"/>
    <w:rsid w:val="006603F4"/>
    <w:rsid w:val="00661708"/>
    <w:rsid w:val="00666522"/>
    <w:rsid w:val="00667036"/>
    <w:rsid w:val="00667B89"/>
    <w:rsid w:val="006736B0"/>
    <w:rsid w:val="00673BDB"/>
    <w:rsid w:val="00674341"/>
    <w:rsid w:val="006771B8"/>
    <w:rsid w:val="00677391"/>
    <w:rsid w:val="00682631"/>
    <w:rsid w:val="006839DA"/>
    <w:rsid w:val="00683A89"/>
    <w:rsid w:val="006843B6"/>
    <w:rsid w:val="0068479E"/>
    <w:rsid w:val="0068481F"/>
    <w:rsid w:val="00693EA1"/>
    <w:rsid w:val="0069636F"/>
    <w:rsid w:val="00696F5D"/>
    <w:rsid w:val="00697249"/>
    <w:rsid w:val="006A06F3"/>
    <w:rsid w:val="006A1A67"/>
    <w:rsid w:val="006B09C4"/>
    <w:rsid w:val="006B3947"/>
    <w:rsid w:val="006B4293"/>
    <w:rsid w:val="006B4A01"/>
    <w:rsid w:val="006B624F"/>
    <w:rsid w:val="006B6CA6"/>
    <w:rsid w:val="006C0734"/>
    <w:rsid w:val="006C0C95"/>
    <w:rsid w:val="006C31E3"/>
    <w:rsid w:val="006D18D3"/>
    <w:rsid w:val="006D1EE9"/>
    <w:rsid w:val="006D3BD1"/>
    <w:rsid w:val="006E010E"/>
    <w:rsid w:val="006E08CB"/>
    <w:rsid w:val="006E598D"/>
    <w:rsid w:val="006F5AA3"/>
    <w:rsid w:val="00700B08"/>
    <w:rsid w:val="00701ED5"/>
    <w:rsid w:val="0070437D"/>
    <w:rsid w:val="00704CF1"/>
    <w:rsid w:val="00705B04"/>
    <w:rsid w:val="0071040E"/>
    <w:rsid w:val="00717EE9"/>
    <w:rsid w:val="00722A13"/>
    <w:rsid w:val="00724992"/>
    <w:rsid w:val="00724F64"/>
    <w:rsid w:val="00727F90"/>
    <w:rsid w:val="00732EC5"/>
    <w:rsid w:val="00734820"/>
    <w:rsid w:val="007349DC"/>
    <w:rsid w:val="00736A12"/>
    <w:rsid w:val="0074365E"/>
    <w:rsid w:val="00744B55"/>
    <w:rsid w:val="007515FD"/>
    <w:rsid w:val="00751A4E"/>
    <w:rsid w:val="00760D80"/>
    <w:rsid w:val="00761CB4"/>
    <w:rsid w:val="00762307"/>
    <w:rsid w:val="00780C09"/>
    <w:rsid w:val="00780DDF"/>
    <w:rsid w:val="007834E9"/>
    <w:rsid w:val="00786A4B"/>
    <w:rsid w:val="00787DBC"/>
    <w:rsid w:val="0079019A"/>
    <w:rsid w:val="00792935"/>
    <w:rsid w:val="0079513A"/>
    <w:rsid w:val="007A04A1"/>
    <w:rsid w:val="007A1840"/>
    <w:rsid w:val="007A4208"/>
    <w:rsid w:val="007A78A5"/>
    <w:rsid w:val="007B1FC3"/>
    <w:rsid w:val="007B6A11"/>
    <w:rsid w:val="007B730C"/>
    <w:rsid w:val="007C0528"/>
    <w:rsid w:val="007C08EA"/>
    <w:rsid w:val="007C3D38"/>
    <w:rsid w:val="007D0F35"/>
    <w:rsid w:val="007D1783"/>
    <w:rsid w:val="007D17AF"/>
    <w:rsid w:val="007D25D6"/>
    <w:rsid w:val="007D4546"/>
    <w:rsid w:val="007D4FEB"/>
    <w:rsid w:val="007D6146"/>
    <w:rsid w:val="007E0CE7"/>
    <w:rsid w:val="007F1193"/>
    <w:rsid w:val="007F2578"/>
    <w:rsid w:val="007F417F"/>
    <w:rsid w:val="007F41CA"/>
    <w:rsid w:val="007F7644"/>
    <w:rsid w:val="00801B81"/>
    <w:rsid w:val="008042BD"/>
    <w:rsid w:val="00804E17"/>
    <w:rsid w:val="008050B3"/>
    <w:rsid w:val="00814751"/>
    <w:rsid w:val="00816624"/>
    <w:rsid w:val="00822427"/>
    <w:rsid w:val="00822562"/>
    <w:rsid w:val="00823663"/>
    <w:rsid w:val="00823664"/>
    <w:rsid w:val="008305B7"/>
    <w:rsid w:val="00831AD2"/>
    <w:rsid w:val="00832DDC"/>
    <w:rsid w:val="008342AA"/>
    <w:rsid w:val="0084248A"/>
    <w:rsid w:val="008426B0"/>
    <w:rsid w:val="008431BB"/>
    <w:rsid w:val="00845A15"/>
    <w:rsid w:val="00845E34"/>
    <w:rsid w:val="00850BAC"/>
    <w:rsid w:val="00854A3E"/>
    <w:rsid w:val="00855D08"/>
    <w:rsid w:val="00860470"/>
    <w:rsid w:val="008618A4"/>
    <w:rsid w:val="008731AB"/>
    <w:rsid w:val="00874344"/>
    <w:rsid w:val="0087505D"/>
    <w:rsid w:val="00875D39"/>
    <w:rsid w:val="00877703"/>
    <w:rsid w:val="00882155"/>
    <w:rsid w:val="0088233B"/>
    <w:rsid w:val="0088599E"/>
    <w:rsid w:val="00886C37"/>
    <w:rsid w:val="008915FC"/>
    <w:rsid w:val="00892D99"/>
    <w:rsid w:val="00893315"/>
    <w:rsid w:val="00894C09"/>
    <w:rsid w:val="00894DED"/>
    <w:rsid w:val="008A4B87"/>
    <w:rsid w:val="008B5C68"/>
    <w:rsid w:val="008B62AE"/>
    <w:rsid w:val="008C04B5"/>
    <w:rsid w:val="008C14FA"/>
    <w:rsid w:val="008C7B0B"/>
    <w:rsid w:val="008D193D"/>
    <w:rsid w:val="008D1A45"/>
    <w:rsid w:val="008D4057"/>
    <w:rsid w:val="008E1F19"/>
    <w:rsid w:val="008F14C5"/>
    <w:rsid w:val="008F2262"/>
    <w:rsid w:val="008F43D8"/>
    <w:rsid w:val="008F4D2B"/>
    <w:rsid w:val="008F5B91"/>
    <w:rsid w:val="008F7736"/>
    <w:rsid w:val="0090019E"/>
    <w:rsid w:val="00900435"/>
    <w:rsid w:val="00900903"/>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37F9A"/>
    <w:rsid w:val="00940AF4"/>
    <w:rsid w:val="009429FF"/>
    <w:rsid w:val="009444D1"/>
    <w:rsid w:val="00945BD6"/>
    <w:rsid w:val="009479FB"/>
    <w:rsid w:val="00951C45"/>
    <w:rsid w:val="00951DD8"/>
    <w:rsid w:val="009656F2"/>
    <w:rsid w:val="00966A08"/>
    <w:rsid w:val="009701B7"/>
    <w:rsid w:val="00971207"/>
    <w:rsid w:val="00975CB4"/>
    <w:rsid w:val="009863B0"/>
    <w:rsid w:val="00987DE1"/>
    <w:rsid w:val="00987E1C"/>
    <w:rsid w:val="00990571"/>
    <w:rsid w:val="00991905"/>
    <w:rsid w:val="009926B2"/>
    <w:rsid w:val="00992F1B"/>
    <w:rsid w:val="00994098"/>
    <w:rsid w:val="0099673A"/>
    <w:rsid w:val="009A3291"/>
    <w:rsid w:val="009A3330"/>
    <w:rsid w:val="009A548F"/>
    <w:rsid w:val="009A6813"/>
    <w:rsid w:val="009A7C96"/>
    <w:rsid w:val="009B4733"/>
    <w:rsid w:val="009B61BF"/>
    <w:rsid w:val="009C3253"/>
    <w:rsid w:val="009C3DB9"/>
    <w:rsid w:val="009C5968"/>
    <w:rsid w:val="009D0436"/>
    <w:rsid w:val="009D46E5"/>
    <w:rsid w:val="009D568A"/>
    <w:rsid w:val="009F04EC"/>
    <w:rsid w:val="009F1D05"/>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58F9"/>
    <w:rsid w:val="00A26D6B"/>
    <w:rsid w:val="00A274E4"/>
    <w:rsid w:val="00A27D6E"/>
    <w:rsid w:val="00A328EC"/>
    <w:rsid w:val="00A33A51"/>
    <w:rsid w:val="00A34CD2"/>
    <w:rsid w:val="00A41CA6"/>
    <w:rsid w:val="00A431ED"/>
    <w:rsid w:val="00A45FAD"/>
    <w:rsid w:val="00A47927"/>
    <w:rsid w:val="00A47FFC"/>
    <w:rsid w:val="00A539B7"/>
    <w:rsid w:val="00A5442F"/>
    <w:rsid w:val="00A54FF9"/>
    <w:rsid w:val="00A56765"/>
    <w:rsid w:val="00A62A1C"/>
    <w:rsid w:val="00A675AC"/>
    <w:rsid w:val="00A7097D"/>
    <w:rsid w:val="00A72DA8"/>
    <w:rsid w:val="00A753FE"/>
    <w:rsid w:val="00A7581F"/>
    <w:rsid w:val="00A76D30"/>
    <w:rsid w:val="00A81274"/>
    <w:rsid w:val="00A86ACA"/>
    <w:rsid w:val="00A92439"/>
    <w:rsid w:val="00A92FB1"/>
    <w:rsid w:val="00A95980"/>
    <w:rsid w:val="00A95A0C"/>
    <w:rsid w:val="00A9623E"/>
    <w:rsid w:val="00AA2765"/>
    <w:rsid w:val="00AA3B24"/>
    <w:rsid w:val="00AA736C"/>
    <w:rsid w:val="00AA77B5"/>
    <w:rsid w:val="00AB6C5D"/>
    <w:rsid w:val="00AC3401"/>
    <w:rsid w:val="00AC51A7"/>
    <w:rsid w:val="00AC603B"/>
    <w:rsid w:val="00AD0E89"/>
    <w:rsid w:val="00AD2C33"/>
    <w:rsid w:val="00AD444B"/>
    <w:rsid w:val="00AD5614"/>
    <w:rsid w:val="00AD6372"/>
    <w:rsid w:val="00AD6C78"/>
    <w:rsid w:val="00AE03F0"/>
    <w:rsid w:val="00AE1DA4"/>
    <w:rsid w:val="00AE2EAB"/>
    <w:rsid w:val="00AF13D0"/>
    <w:rsid w:val="00AF1A06"/>
    <w:rsid w:val="00AF4164"/>
    <w:rsid w:val="00AF5E0E"/>
    <w:rsid w:val="00AF5F89"/>
    <w:rsid w:val="00AF6FB4"/>
    <w:rsid w:val="00AF73CB"/>
    <w:rsid w:val="00B002D6"/>
    <w:rsid w:val="00B02EF0"/>
    <w:rsid w:val="00B03379"/>
    <w:rsid w:val="00B03FA5"/>
    <w:rsid w:val="00B04110"/>
    <w:rsid w:val="00B042F3"/>
    <w:rsid w:val="00B04FDF"/>
    <w:rsid w:val="00B05B51"/>
    <w:rsid w:val="00B14E5A"/>
    <w:rsid w:val="00B15370"/>
    <w:rsid w:val="00B16DA4"/>
    <w:rsid w:val="00B17BEB"/>
    <w:rsid w:val="00B21A3C"/>
    <w:rsid w:val="00B223C0"/>
    <w:rsid w:val="00B234ED"/>
    <w:rsid w:val="00B249B2"/>
    <w:rsid w:val="00B25CA3"/>
    <w:rsid w:val="00B2765A"/>
    <w:rsid w:val="00B3109A"/>
    <w:rsid w:val="00B32D37"/>
    <w:rsid w:val="00B379BB"/>
    <w:rsid w:val="00B417BC"/>
    <w:rsid w:val="00B41AA8"/>
    <w:rsid w:val="00B42B45"/>
    <w:rsid w:val="00B516ED"/>
    <w:rsid w:val="00B51F4A"/>
    <w:rsid w:val="00B562C1"/>
    <w:rsid w:val="00B565DA"/>
    <w:rsid w:val="00B57A6A"/>
    <w:rsid w:val="00B6274E"/>
    <w:rsid w:val="00B62D0D"/>
    <w:rsid w:val="00B65B06"/>
    <w:rsid w:val="00B66B7C"/>
    <w:rsid w:val="00B740D3"/>
    <w:rsid w:val="00B760F1"/>
    <w:rsid w:val="00B7669E"/>
    <w:rsid w:val="00B76EBB"/>
    <w:rsid w:val="00B77DA1"/>
    <w:rsid w:val="00B822A0"/>
    <w:rsid w:val="00B82F85"/>
    <w:rsid w:val="00B858AE"/>
    <w:rsid w:val="00B85964"/>
    <w:rsid w:val="00B937DD"/>
    <w:rsid w:val="00B93850"/>
    <w:rsid w:val="00B946A7"/>
    <w:rsid w:val="00B96250"/>
    <w:rsid w:val="00BA0D55"/>
    <w:rsid w:val="00BA1D7F"/>
    <w:rsid w:val="00BA37B3"/>
    <w:rsid w:val="00BA4CC6"/>
    <w:rsid w:val="00BA7F46"/>
    <w:rsid w:val="00BB0F1D"/>
    <w:rsid w:val="00BB3493"/>
    <w:rsid w:val="00BB3E85"/>
    <w:rsid w:val="00BB6E4C"/>
    <w:rsid w:val="00BB7468"/>
    <w:rsid w:val="00BC0514"/>
    <w:rsid w:val="00BC188A"/>
    <w:rsid w:val="00BC402E"/>
    <w:rsid w:val="00BC70C6"/>
    <w:rsid w:val="00BD0F48"/>
    <w:rsid w:val="00BD14E5"/>
    <w:rsid w:val="00BE0E50"/>
    <w:rsid w:val="00BE1C2D"/>
    <w:rsid w:val="00BE6DDB"/>
    <w:rsid w:val="00BF03E0"/>
    <w:rsid w:val="00BF5010"/>
    <w:rsid w:val="00C00908"/>
    <w:rsid w:val="00C03009"/>
    <w:rsid w:val="00C031C5"/>
    <w:rsid w:val="00C03D5F"/>
    <w:rsid w:val="00C07470"/>
    <w:rsid w:val="00C135AA"/>
    <w:rsid w:val="00C13791"/>
    <w:rsid w:val="00C16A6F"/>
    <w:rsid w:val="00C210BD"/>
    <w:rsid w:val="00C25562"/>
    <w:rsid w:val="00C2575A"/>
    <w:rsid w:val="00C25BAC"/>
    <w:rsid w:val="00C25BC1"/>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86921"/>
    <w:rsid w:val="00C879D5"/>
    <w:rsid w:val="00C907A8"/>
    <w:rsid w:val="00C91670"/>
    <w:rsid w:val="00C93211"/>
    <w:rsid w:val="00C93DB8"/>
    <w:rsid w:val="00C942EC"/>
    <w:rsid w:val="00C96047"/>
    <w:rsid w:val="00C979D0"/>
    <w:rsid w:val="00CA0818"/>
    <w:rsid w:val="00CA15C8"/>
    <w:rsid w:val="00CA2C8F"/>
    <w:rsid w:val="00CA30DA"/>
    <w:rsid w:val="00CA3A24"/>
    <w:rsid w:val="00CB1777"/>
    <w:rsid w:val="00CB3119"/>
    <w:rsid w:val="00CB33E9"/>
    <w:rsid w:val="00CB413D"/>
    <w:rsid w:val="00CB5F32"/>
    <w:rsid w:val="00CC0CC7"/>
    <w:rsid w:val="00CC10A9"/>
    <w:rsid w:val="00CC429B"/>
    <w:rsid w:val="00CC66CF"/>
    <w:rsid w:val="00CD0655"/>
    <w:rsid w:val="00CD176E"/>
    <w:rsid w:val="00CE249C"/>
    <w:rsid w:val="00CE2BF8"/>
    <w:rsid w:val="00CE484E"/>
    <w:rsid w:val="00CE4D20"/>
    <w:rsid w:val="00CE656F"/>
    <w:rsid w:val="00CF0DA8"/>
    <w:rsid w:val="00CF2E25"/>
    <w:rsid w:val="00CF4453"/>
    <w:rsid w:val="00CF5589"/>
    <w:rsid w:val="00CF5D94"/>
    <w:rsid w:val="00CF7E0F"/>
    <w:rsid w:val="00D0030C"/>
    <w:rsid w:val="00D00893"/>
    <w:rsid w:val="00D034D7"/>
    <w:rsid w:val="00D04BE4"/>
    <w:rsid w:val="00D06FC7"/>
    <w:rsid w:val="00D12565"/>
    <w:rsid w:val="00D140C1"/>
    <w:rsid w:val="00D14127"/>
    <w:rsid w:val="00D2418A"/>
    <w:rsid w:val="00D26CDA"/>
    <w:rsid w:val="00D328AE"/>
    <w:rsid w:val="00D404F0"/>
    <w:rsid w:val="00D46486"/>
    <w:rsid w:val="00D479AE"/>
    <w:rsid w:val="00D50FCD"/>
    <w:rsid w:val="00D533E3"/>
    <w:rsid w:val="00D545BE"/>
    <w:rsid w:val="00D60B16"/>
    <w:rsid w:val="00D60F02"/>
    <w:rsid w:val="00D66E49"/>
    <w:rsid w:val="00D70D71"/>
    <w:rsid w:val="00D72F74"/>
    <w:rsid w:val="00D805B9"/>
    <w:rsid w:val="00D81563"/>
    <w:rsid w:val="00D837C1"/>
    <w:rsid w:val="00D85907"/>
    <w:rsid w:val="00D860AC"/>
    <w:rsid w:val="00D86F0A"/>
    <w:rsid w:val="00D9073E"/>
    <w:rsid w:val="00D9221D"/>
    <w:rsid w:val="00D9253C"/>
    <w:rsid w:val="00D92BF0"/>
    <w:rsid w:val="00D958DF"/>
    <w:rsid w:val="00D96DA1"/>
    <w:rsid w:val="00DA2AE6"/>
    <w:rsid w:val="00DA51E7"/>
    <w:rsid w:val="00DB0260"/>
    <w:rsid w:val="00DB1C78"/>
    <w:rsid w:val="00DB7D96"/>
    <w:rsid w:val="00DC23FE"/>
    <w:rsid w:val="00DC59E6"/>
    <w:rsid w:val="00DD150B"/>
    <w:rsid w:val="00DD3356"/>
    <w:rsid w:val="00DD34B8"/>
    <w:rsid w:val="00DD5025"/>
    <w:rsid w:val="00DD5464"/>
    <w:rsid w:val="00DD67EB"/>
    <w:rsid w:val="00DD6F85"/>
    <w:rsid w:val="00DE254E"/>
    <w:rsid w:val="00DE32C0"/>
    <w:rsid w:val="00DE76A7"/>
    <w:rsid w:val="00DF1510"/>
    <w:rsid w:val="00E010B4"/>
    <w:rsid w:val="00E02F1F"/>
    <w:rsid w:val="00E03868"/>
    <w:rsid w:val="00E05454"/>
    <w:rsid w:val="00E06484"/>
    <w:rsid w:val="00E06B24"/>
    <w:rsid w:val="00E20A7D"/>
    <w:rsid w:val="00E23FE4"/>
    <w:rsid w:val="00E275D8"/>
    <w:rsid w:val="00E30F6A"/>
    <w:rsid w:val="00E3117C"/>
    <w:rsid w:val="00E31288"/>
    <w:rsid w:val="00E34307"/>
    <w:rsid w:val="00E34511"/>
    <w:rsid w:val="00E3479E"/>
    <w:rsid w:val="00E356EC"/>
    <w:rsid w:val="00E3635B"/>
    <w:rsid w:val="00E375C3"/>
    <w:rsid w:val="00E375CA"/>
    <w:rsid w:val="00E440DC"/>
    <w:rsid w:val="00E51FD7"/>
    <w:rsid w:val="00E5364F"/>
    <w:rsid w:val="00E53CDE"/>
    <w:rsid w:val="00E54D9F"/>
    <w:rsid w:val="00E567E8"/>
    <w:rsid w:val="00E63766"/>
    <w:rsid w:val="00E64679"/>
    <w:rsid w:val="00E65EBC"/>
    <w:rsid w:val="00E6602E"/>
    <w:rsid w:val="00E677FE"/>
    <w:rsid w:val="00E73432"/>
    <w:rsid w:val="00E77B0C"/>
    <w:rsid w:val="00E77FB8"/>
    <w:rsid w:val="00E809B5"/>
    <w:rsid w:val="00E838B0"/>
    <w:rsid w:val="00E86A7C"/>
    <w:rsid w:val="00E878E1"/>
    <w:rsid w:val="00E87F2C"/>
    <w:rsid w:val="00E95278"/>
    <w:rsid w:val="00E96A42"/>
    <w:rsid w:val="00EA2273"/>
    <w:rsid w:val="00EA7C3C"/>
    <w:rsid w:val="00EB2DB3"/>
    <w:rsid w:val="00EC3FBB"/>
    <w:rsid w:val="00EC6B7A"/>
    <w:rsid w:val="00ED3A87"/>
    <w:rsid w:val="00ED5065"/>
    <w:rsid w:val="00ED5B67"/>
    <w:rsid w:val="00EE0B89"/>
    <w:rsid w:val="00EE1A5C"/>
    <w:rsid w:val="00EE49F3"/>
    <w:rsid w:val="00EE5F5A"/>
    <w:rsid w:val="00EF264C"/>
    <w:rsid w:val="00EF3FEE"/>
    <w:rsid w:val="00EF6B41"/>
    <w:rsid w:val="00EF6EAB"/>
    <w:rsid w:val="00EF7A17"/>
    <w:rsid w:val="00EF7BC1"/>
    <w:rsid w:val="00F04B59"/>
    <w:rsid w:val="00F07B69"/>
    <w:rsid w:val="00F11741"/>
    <w:rsid w:val="00F117B0"/>
    <w:rsid w:val="00F12B1C"/>
    <w:rsid w:val="00F13CF8"/>
    <w:rsid w:val="00F15855"/>
    <w:rsid w:val="00F200B2"/>
    <w:rsid w:val="00F227DC"/>
    <w:rsid w:val="00F263B9"/>
    <w:rsid w:val="00F30701"/>
    <w:rsid w:val="00F30D3E"/>
    <w:rsid w:val="00F32978"/>
    <w:rsid w:val="00F45CB2"/>
    <w:rsid w:val="00F511F3"/>
    <w:rsid w:val="00F544C0"/>
    <w:rsid w:val="00F55332"/>
    <w:rsid w:val="00F6156E"/>
    <w:rsid w:val="00F6504A"/>
    <w:rsid w:val="00F65519"/>
    <w:rsid w:val="00F66D9F"/>
    <w:rsid w:val="00F713C0"/>
    <w:rsid w:val="00F71EBA"/>
    <w:rsid w:val="00F75DDC"/>
    <w:rsid w:val="00F7792F"/>
    <w:rsid w:val="00F842AA"/>
    <w:rsid w:val="00F8476F"/>
    <w:rsid w:val="00F853E1"/>
    <w:rsid w:val="00F85604"/>
    <w:rsid w:val="00F90C7B"/>
    <w:rsid w:val="00F93809"/>
    <w:rsid w:val="00F94B7A"/>
    <w:rsid w:val="00F95C37"/>
    <w:rsid w:val="00FA17AC"/>
    <w:rsid w:val="00FA32DE"/>
    <w:rsid w:val="00FA3382"/>
    <w:rsid w:val="00FA59CD"/>
    <w:rsid w:val="00FB0CDC"/>
    <w:rsid w:val="00FB1740"/>
    <w:rsid w:val="00FB4235"/>
    <w:rsid w:val="00FC4446"/>
    <w:rsid w:val="00FC5469"/>
    <w:rsid w:val="00FC5BB3"/>
    <w:rsid w:val="00FC6D7D"/>
    <w:rsid w:val="00FD16B0"/>
    <w:rsid w:val="00FD3492"/>
    <w:rsid w:val="00FD4FED"/>
    <w:rsid w:val="00FE00C8"/>
    <w:rsid w:val="00FE0577"/>
    <w:rsid w:val="00FE2FF8"/>
    <w:rsid w:val="00FE59EC"/>
    <w:rsid w:val="00FE5B67"/>
    <w:rsid w:val="00FE60D6"/>
    <w:rsid w:val="00FF2B9D"/>
    <w:rsid w:val="00FF4046"/>
    <w:rsid w:val="00FF7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4D8A00A5-594A-4D0B-B1D8-AE3C1CC3E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qFormat/>
    <w:rsid w:val="00282F9D"/>
    <w:pPr>
      <w:widowControl w:val="0"/>
      <w:tabs>
        <w:tab w:val="left" w:pos="720"/>
      </w:tabs>
      <w:spacing w:line="536" w:lineRule="exact"/>
    </w:pPr>
    <w:rPr>
      <w:sz w:val="24"/>
      <w:szCs w:val="24"/>
    </w:rPr>
  </w:style>
  <w:style w:type="character" w:customStyle="1" w:styleId="RuleChar">
    <w:name w:val="Rule Char"/>
    <w:link w:val="Rule"/>
    <w:rsid w:val="00282F9D"/>
    <w:rPr>
      <w:sz w:val="24"/>
      <w:szCs w:val="24"/>
    </w:rPr>
  </w:style>
  <w:style w:type="paragraph" w:customStyle="1" w:styleId="RuleHeader">
    <w:name w:val="Rule Header"/>
    <w:basedOn w:val="Rule"/>
    <w:rsid w:val="00282F9D"/>
    <w:pPr>
      <w:jc w:val="right"/>
    </w:pPr>
  </w:style>
  <w:style w:type="paragraph" w:styleId="ListParagraph">
    <w:name w:val="List Paragraph"/>
    <w:basedOn w:val="Normal"/>
    <w:uiPriority w:val="34"/>
    <w:qFormat/>
    <w:rsid w:val="00282F9D"/>
    <w:pPr>
      <w:ind w:left="720"/>
      <w:contextualSpacing/>
    </w:pPr>
  </w:style>
  <w:style w:type="character" w:customStyle="1" w:styleId="FooterChar">
    <w:name w:val="Footer Char"/>
    <w:basedOn w:val="DefaultParagraphFont"/>
    <w:link w:val="Footer"/>
    <w:rsid w:val="00282F9D"/>
    <w:rPr>
      <w:sz w:val="24"/>
      <w:szCs w:val="24"/>
    </w:rPr>
  </w:style>
  <w:style w:type="character" w:styleId="CommentReference">
    <w:name w:val="annotation reference"/>
    <w:basedOn w:val="DefaultParagraphFont"/>
    <w:semiHidden/>
    <w:unhideWhenUsed/>
    <w:rsid w:val="007A78A5"/>
    <w:rPr>
      <w:sz w:val="16"/>
      <w:szCs w:val="16"/>
    </w:rPr>
  </w:style>
  <w:style w:type="paragraph" w:styleId="Revision">
    <w:name w:val="Revision"/>
    <w:hidden/>
    <w:uiPriority w:val="99"/>
    <w:semiHidden/>
    <w:rsid w:val="007A78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4.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9.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CF4DC-B940-403A-89D5-44D31F48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32</Pages>
  <Words>8378</Words>
  <Characters>47550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55817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Janet Cayson</dc:creator>
  <cp:lastModifiedBy>Janet Cayson</cp:lastModifiedBy>
  <cp:revision>2</cp:revision>
  <cp:lastPrinted>2024-02-22T17:32:00Z</cp:lastPrinted>
  <dcterms:created xsi:type="dcterms:W3CDTF">2024-02-22T18:03:00Z</dcterms:created>
  <dcterms:modified xsi:type="dcterms:W3CDTF">2024-02-22T18:03:00Z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20240022-WS</vt:lpwstr>
  </property>
  <property fmtid="{D5CDD505-2E9C-101B-9397-08002B2CF9AE}" pid="3" name="MasterDocument">
    <vt:bool>false</vt:bool>
  </property>
</Properties>
</file>