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F7AFD" w:rsidP="005F7AFD">
      <w:pPr>
        <w:pStyle w:val="OrderHeading"/>
      </w:pPr>
      <w:r>
        <w:t>BEFORE THE FLORIDA PUBLIC SERVICE COMMISSION</w:t>
      </w:r>
    </w:p>
    <w:p w:rsidR="005F7AFD" w:rsidRDefault="005F7AFD" w:rsidP="005F7A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7AFD" w:rsidRPr="00C63FCF" w:rsidTr="00C63FCF">
        <w:trPr>
          <w:trHeight w:val="828"/>
        </w:trPr>
        <w:tc>
          <w:tcPr>
            <w:tcW w:w="4788" w:type="dxa"/>
            <w:tcBorders>
              <w:bottom w:val="single" w:sz="8" w:space="0" w:color="auto"/>
              <w:right w:val="double" w:sz="6" w:space="0" w:color="auto"/>
            </w:tcBorders>
            <w:shd w:val="clear" w:color="auto" w:fill="auto"/>
          </w:tcPr>
          <w:p w:rsidR="005F7AFD" w:rsidRDefault="005F7AF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F7AFD" w:rsidRDefault="005F7AFD" w:rsidP="005F7AFD">
            <w:pPr>
              <w:pStyle w:val="OrderBody"/>
            </w:pPr>
            <w:r>
              <w:t xml:space="preserve">DOCKET NO. </w:t>
            </w:r>
            <w:bookmarkStart w:id="1" w:name="SSDocketNo"/>
            <w:bookmarkEnd w:id="1"/>
            <w:r>
              <w:t>20240001-EI</w:t>
            </w:r>
          </w:p>
          <w:p w:rsidR="005F7AFD" w:rsidRDefault="005F7AFD" w:rsidP="00C63FCF">
            <w:pPr>
              <w:pStyle w:val="OrderBody"/>
              <w:tabs>
                <w:tab w:val="center" w:pos="4320"/>
                <w:tab w:val="right" w:pos="8640"/>
              </w:tabs>
              <w:jc w:val="left"/>
            </w:pPr>
            <w:r>
              <w:t xml:space="preserve">ORDER NO. </w:t>
            </w:r>
            <w:bookmarkStart w:id="2" w:name="OrderNo0062"/>
            <w:r w:rsidR="00932FFE">
              <w:t>PSC-2024-0062-PCO-EI</w:t>
            </w:r>
            <w:bookmarkEnd w:id="2"/>
          </w:p>
          <w:p w:rsidR="005F7AFD" w:rsidRDefault="005F7AFD" w:rsidP="00C63FCF">
            <w:pPr>
              <w:pStyle w:val="OrderBody"/>
              <w:tabs>
                <w:tab w:val="center" w:pos="4320"/>
                <w:tab w:val="right" w:pos="8640"/>
              </w:tabs>
              <w:jc w:val="left"/>
            </w:pPr>
            <w:r>
              <w:t xml:space="preserve">ISSUED: </w:t>
            </w:r>
            <w:r w:rsidR="00932FFE">
              <w:t>March 11, 2024</w:t>
            </w:r>
          </w:p>
        </w:tc>
      </w:tr>
    </w:tbl>
    <w:p w:rsidR="005F7AFD" w:rsidRDefault="005F7AFD" w:rsidP="005F7AFD"/>
    <w:p w:rsidR="009053B1" w:rsidRDefault="005F7AFD" w:rsidP="005F7AFD">
      <w:pPr>
        <w:pStyle w:val="CenterUnderline"/>
      </w:pPr>
      <w:bookmarkStart w:id="3" w:name="Commissioners"/>
      <w:bookmarkEnd w:id="3"/>
      <w:r>
        <w:t>ORDER</w:t>
      </w:r>
      <w:bookmarkStart w:id="4" w:name="OrderTitle"/>
      <w:r>
        <w:t xml:space="preserve"> GRANTING </w:t>
      </w:r>
      <w:r w:rsidR="009053B1">
        <w:t xml:space="preserve">FLORIDA POWER &amp; LIGHT </w:t>
      </w:r>
    </w:p>
    <w:p w:rsidR="00CB5276" w:rsidRDefault="009053B1" w:rsidP="005F7AFD">
      <w:pPr>
        <w:pStyle w:val="CenterUnderline"/>
      </w:pPr>
      <w:r>
        <w:t xml:space="preserve">COMPANY’S UNOPPOSED MOTION TO </w:t>
      </w:r>
      <w:r w:rsidR="005F7AFD">
        <w:t xml:space="preserve">STAY </w:t>
      </w:r>
      <w:bookmarkEnd w:id="4"/>
    </w:p>
    <w:p w:rsidR="005F7AFD" w:rsidRDefault="009053B1" w:rsidP="005F7AFD">
      <w:pPr>
        <w:pStyle w:val="CenterUnderline"/>
      </w:pPr>
      <w:r>
        <w:t>REBUTTAL TESTIMONY DEADLINE</w:t>
      </w:r>
    </w:p>
    <w:p w:rsidR="009053B1" w:rsidRDefault="009053B1" w:rsidP="005F7AFD">
      <w:pPr>
        <w:pStyle w:val="CenterUnderline"/>
      </w:pPr>
    </w:p>
    <w:p w:rsidR="00307C5B" w:rsidRDefault="005F7AFD" w:rsidP="005F7AFD">
      <w:pPr>
        <w:pStyle w:val="CenterUnderline"/>
        <w:jc w:val="both"/>
        <w:rPr>
          <w:u w:val="none"/>
        </w:rPr>
      </w:pPr>
      <w:r>
        <w:rPr>
          <w:u w:val="none"/>
        </w:rPr>
        <w:tab/>
        <w:t xml:space="preserve">On March 8, 2024, Florida Power &amp; Light Company (FPL) filed an Unopposed Motion to Stay Rebuttal Testimony Deadline (Motion).  In its Motion, FPL states that Order No. PSC-2023-0207-PCO-EI, issued </w:t>
      </w:r>
      <w:r w:rsidR="00307C5B">
        <w:rPr>
          <w:u w:val="none"/>
        </w:rPr>
        <w:t xml:space="preserve">July 24, 2023, set a hearing schedule and filing dates for testimony on </w:t>
      </w:r>
      <w:r>
        <w:rPr>
          <w:u w:val="none"/>
        </w:rPr>
        <w:t>issues associated with FPL’s nuclear power plant replacement power costs for the years 2020 through 2022</w:t>
      </w:r>
      <w:r w:rsidR="00307C5B">
        <w:rPr>
          <w:u w:val="none"/>
        </w:rPr>
        <w:t>.  FPL filed direct testimony on January 5, 2024, and the Office of Public Counsel and Commission Staff filed opposing direct testimony on February 5, 2024.</w:t>
      </w:r>
      <w:r w:rsidR="00B514BF">
        <w:rPr>
          <w:u w:val="none"/>
        </w:rPr>
        <w:t xml:space="preserve">  FPL’s rebuttal testimony is currently scheduled to be filed on Tuesday, March 12, 2024. </w:t>
      </w:r>
    </w:p>
    <w:p w:rsidR="00307C5B" w:rsidRDefault="00307C5B" w:rsidP="005F7AFD">
      <w:pPr>
        <w:pStyle w:val="CenterUnderline"/>
        <w:jc w:val="both"/>
        <w:rPr>
          <w:u w:val="none"/>
        </w:rPr>
      </w:pPr>
    </w:p>
    <w:p w:rsidR="00876F48" w:rsidRDefault="00307C5B" w:rsidP="005F7AFD">
      <w:pPr>
        <w:pStyle w:val="CenterUnderline"/>
        <w:jc w:val="both"/>
        <w:rPr>
          <w:u w:val="none"/>
        </w:rPr>
      </w:pPr>
      <w:r>
        <w:rPr>
          <w:u w:val="none"/>
        </w:rPr>
        <w:tab/>
        <w:t>At this time FPL and OPC have reached agreement on stipulated positions that would resolve all issues</w:t>
      </w:r>
      <w:r w:rsidR="00B514BF">
        <w:rPr>
          <w:u w:val="none"/>
        </w:rPr>
        <w:t xml:space="preserve">.  </w:t>
      </w:r>
      <w:r>
        <w:rPr>
          <w:u w:val="none"/>
        </w:rPr>
        <w:t>No party opposes the stipulated positions.</w:t>
      </w:r>
      <w:r w:rsidR="00B514BF">
        <w:rPr>
          <w:rStyle w:val="FootnoteReference"/>
          <w:u w:val="none"/>
        </w:rPr>
        <w:footnoteReference w:id="1"/>
      </w:r>
      <w:r>
        <w:rPr>
          <w:u w:val="none"/>
        </w:rPr>
        <w:t xml:space="preserve">  That being the case, FPL is requesting that </w:t>
      </w:r>
      <w:r w:rsidR="00B514BF">
        <w:rPr>
          <w:u w:val="none"/>
        </w:rPr>
        <w:t xml:space="preserve">the </w:t>
      </w:r>
      <w:r>
        <w:rPr>
          <w:u w:val="none"/>
        </w:rPr>
        <w:t>proposed stipulations be considered by the Commission</w:t>
      </w:r>
      <w:r w:rsidR="00B514BF">
        <w:rPr>
          <w:u w:val="none"/>
        </w:rPr>
        <w:t xml:space="preserve"> on the first day of the March 26-27, 2024 final hearing and that the filing of </w:t>
      </w:r>
      <w:r w:rsidR="00876F48">
        <w:rPr>
          <w:u w:val="none"/>
        </w:rPr>
        <w:t xml:space="preserve">FPL’s </w:t>
      </w:r>
      <w:r w:rsidR="00B514BF">
        <w:rPr>
          <w:u w:val="none"/>
        </w:rPr>
        <w:t>rebuttal testimony be stayed pending the Commission’s consideration of the stipulated positions on March 26</w:t>
      </w:r>
      <w:r w:rsidR="00B514BF" w:rsidRPr="00B514BF">
        <w:rPr>
          <w:u w:val="none"/>
          <w:vertAlign w:val="superscript"/>
        </w:rPr>
        <w:t>th</w:t>
      </w:r>
      <w:r w:rsidR="00B514BF">
        <w:rPr>
          <w:u w:val="none"/>
        </w:rPr>
        <w:t xml:space="preserve">.  </w:t>
      </w:r>
      <w:r w:rsidR="00870A0A">
        <w:rPr>
          <w:u w:val="none"/>
        </w:rPr>
        <w:t xml:space="preserve"> In the event that the Commission declines to approve the stipulated positions on March 26</w:t>
      </w:r>
      <w:r w:rsidR="00870A0A" w:rsidRPr="00F36B9A">
        <w:rPr>
          <w:u w:val="none"/>
          <w:vertAlign w:val="superscript"/>
        </w:rPr>
        <w:t>th</w:t>
      </w:r>
      <w:r w:rsidR="00870A0A">
        <w:rPr>
          <w:u w:val="none"/>
        </w:rPr>
        <w:t>, FPL requests that a new trial schedule be set, e.</w:t>
      </w:r>
      <w:r w:rsidR="00876F48">
        <w:rPr>
          <w:u w:val="none"/>
        </w:rPr>
        <w:t>g.</w:t>
      </w:r>
      <w:r w:rsidR="00870A0A">
        <w:rPr>
          <w:u w:val="none"/>
        </w:rPr>
        <w:t xml:space="preserve">, dates for </w:t>
      </w:r>
      <w:r w:rsidR="00876F48">
        <w:rPr>
          <w:u w:val="none"/>
        </w:rPr>
        <w:t xml:space="preserve">filing </w:t>
      </w:r>
      <w:r w:rsidR="00870A0A">
        <w:rPr>
          <w:u w:val="none"/>
        </w:rPr>
        <w:t>rebuttal testimony</w:t>
      </w:r>
      <w:r w:rsidR="00876F48">
        <w:rPr>
          <w:u w:val="none"/>
        </w:rPr>
        <w:t xml:space="preserve">, prehearing statements, hearing, etc.  </w:t>
      </w:r>
    </w:p>
    <w:p w:rsidR="00876F48" w:rsidRDefault="00876F48" w:rsidP="005F7AFD">
      <w:pPr>
        <w:pStyle w:val="CenterUnderline"/>
        <w:jc w:val="both"/>
        <w:rPr>
          <w:u w:val="none"/>
        </w:rPr>
      </w:pPr>
    </w:p>
    <w:p w:rsidR="00EA0DDB" w:rsidRDefault="00876F48" w:rsidP="005F7AFD">
      <w:pPr>
        <w:pStyle w:val="CenterUnderline"/>
        <w:jc w:val="both"/>
        <w:rPr>
          <w:u w:val="none"/>
        </w:rPr>
      </w:pPr>
      <w:r>
        <w:rPr>
          <w:u w:val="none"/>
        </w:rPr>
        <w:tab/>
        <w:t xml:space="preserve">Given the limited nature of the matters at issue in this proceeding, the procedure outlined above </w:t>
      </w:r>
      <w:r w:rsidR="00EA0DDB">
        <w:rPr>
          <w:u w:val="none"/>
        </w:rPr>
        <w:t>will allow this matter to be resolved efficiently while protecting the due process rights of all parties involved.  For these reasons, F</w:t>
      </w:r>
      <w:r w:rsidR="009053B1">
        <w:rPr>
          <w:u w:val="none"/>
        </w:rPr>
        <w:t xml:space="preserve">PL’s </w:t>
      </w:r>
      <w:r w:rsidR="00EA0DDB">
        <w:rPr>
          <w:u w:val="none"/>
        </w:rPr>
        <w:t>Unopposed Motion to Stay Rebuttal Testimony Deadline is hereby granted.</w:t>
      </w:r>
    </w:p>
    <w:p w:rsidR="00EA0DDB" w:rsidRDefault="00EA0DDB" w:rsidP="005F7AFD">
      <w:pPr>
        <w:pStyle w:val="CenterUnderline"/>
        <w:jc w:val="both"/>
        <w:rPr>
          <w:u w:val="none"/>
        </w:rPr>
      </w:pPr>
    </w:p>
    <w:p w:rsidR="00EA0DDB" w:rsidRDefault="00EA0DDB" w:rsidP="005F7AFD">
      <w:pPr>
        <w:pStyle w:val="CenterUnderline"/>
        <w:jc w:val="both"/>
        <w:rPr>
          <w:u w:val="none"/>
        </w:rPr>
      </w:pPr>
      <w:r>
        <w:rPr>
          <w:u w:val="none"/>
        </w:rPr>
        <w:tab/>
        <w:t>Therefore, it is</w:t>
      </w:r>
    </w:p>
    <w:p w:rsidR="00EA0DDB" w:rsidRDefault="00EA0DDB" w:rsidP="005F7AFD">
      <w:pPr>
        <w:pStyle w:val="CenterUnderline"/>
        <w:jc w:val="both"/>
        <w:rPr>
          <w:u w:val="none"/>
        </w:rPr>
      </w:pPr>
    </w:p>
    <w:p w:rsidR="00EA0DDB" w:rsidRDefault="00EA0DDB" w:rsidP="005F7AFD">
      <w:pPr>
        <w:pStyle w:val="CenterUnderline"/>
        <w:jc w:val="both"/>
        <w:rPr>
          <w:u w:val="none"/>
        </w:rPr>
      </w:pPr>
      <w:r>
        <w:rPr>
          <w:u w:val="none"/>
        </w:rPr>
        <w:tab/>
        <w:t xml:space="preserve">ORDERED that Florida Power &amp; Light Company’s  </w:t>
      </w:r>
      <w:r w:rsidR="00EF36ED">
        <w:rPr>
          <w:u w:val="none"/>
        </w:rPr>
        <w:t>Unopposed Motion to Stay Rebuttal Testimony Deadline is hereby granted as set forth herein.</w:t>
      </w:r>
      <w:r w:rsidR="005C336A">
        <w:rPr>
          <w:u w:val="none"/>
        </w:rPr>
        <w:t xml:space="preserve">  It is further</w:t>
      </w:r>
    </w:p>
    <w:p w:rsidR="005C336A" w:rsidRDefault="005C336A" w:rsidP="005F7AFD">
      <w:pPr>
        <w:pStyle w:val="CenterUnderline"/>
        <w:jc w:val="both"/>
        <w:rPr>
          <w:u w:val="none"/>
        </w:rPr>
      </w:pPr>
    </w:p>
    <w:p w:rsidR="00EF36ED" w:rsidRDefault="005C336A" w:rsidP="009B17E9">
      <w:pPr>
        <w:pStyle w:val="CenterUnderline"/>
        <w:jc w:val="both"/>
      </w:pPr>
      <w:r>
        <w:rPr>
          <w:u w:val="none"/>
        </w:rPr>
        <w:tab/>
        <w:t xml:space="preserve">ORDERED that </w:t>
      </w:r>
      <w:r w:rsidR="009B17E9">
        <w:rPr>
          <w:u w:val="none"/>
        </w:rPr>
        <w:t xml:space="preserve">the filing date of March 12, 2024 for Florida Power &amp; Light Company’s rebuttal testimony is hereby stayed.   </w:t>
      </w:r>
      <w:r w:rsidR="00EF36ED">
        <w:rPr>
          <w:u w:val="none"/>
        </w:rPr>
        <w:br w:type="page"/>
      </w:r>
    </w:p>
    <w:p w:rsidR="00EF36ED" w:rsidRDefault="00EF36ED" w:rsidP="00EF36ED">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932FFE">
        <w:t>11th</w:t>
      </w:r>
      <w:r w:rsidR="00932FFE">
        <w:rPr>
          <w:u w:val="none"/>
        </w:rPr>
        <w:t xml:space="preserve"> day of </w:t>
      </w:r>
      <w:r w:rsidR="00932FFE">
        <w:t>March</w:t>
      </w:r>
      <w:r w:rsidR="00932FFE">
        <w:rPr>
          <w:u w:val="none"/>
        </w:rPr>
        <w:t xml:space="preserve">, </w:t>
      </w:r>
      <w:r w:rsidR="00932FFE">
        <w:t>2024</w:t>
      </w:r>
      <w:r w:rsidR="00932FFE">
        <w:rPr>
          <w:u w:val="none"/>
        </w:rPr>
        <w:t>.</w:t>
      </w:r>
    </w:p>
    <w:p w:rsidR="00932FFE" w:rsidRPr="00932FFE" w:rsidRDefault="00932FFE" w:rsidP="00EF36ED">
      <w:pPr>
        <w:pStyle w:val="CenterUnderline"/>
        <w:keepNext/>
        <w:keepLines/>
        <w:jc w:val="both"/>
        <w:rPr>
          <w:u w:val="none"/>
        </w:rPr>
      </w:pPr>
    </w:p>
    <w:p w:rsidR="00EF36ED" w:rsidRDefault="00EF36ED" w:rsidP="00EF36ED">
      <w:pPr>
        <w:pStyle w:val="CenterUnderline"/>
        <w:keepNext/>
        <w:keepLines/>
        <w:jc w:val="both"/>
        <w:rPr>
          <w:u w:val="none"/>
        </w:rPr>
      </w:pPr>
    </w:p>
    <w:p w:rsidR="00EF36ED" w:rsidRDefault="00EF36ED" w:rsidP="00EF36E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F36ED" w:rsidTr="00EF36ED">
        <w:tc>
          <w:tcPr>
            <w:tcW w:w="720" w:type="dxa"/>
            <w:shd w:val="clear" w:color="auto" w:fill="auto"/>
          </w:tcPr>
          <w:p w:rsidR="00EF36ED" w:rsidRDefault="00EF36ED" w:rsidP="00EF36E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F36ED" w:rsidRDefault="00932FFE" w:rsidP="00EF36ED">
            <w:pPr>
              <w:pStyle w:val="CenterUnderline"/>
              <w:keepNext/>
              <w:keepLines/>
              <w:jc w:val="both"/>
              <w:rPr>
                <w:u w:val="none"/>
              </w:rPr>
            </w:pPr>
            <w:r>
              <w:rPr>
                <w:u w:val="none"/>
              </w:rPr>
              <w:t>/s/ Gabriella Passidomo</w:t>
            </w:r>
            <w:bookmarkStart w:id="7" w:name="_GoBack"/>
            <w:bookmarkEnd w:id="7"/>
          </w:p>
        </w:tc>
      </w:tr>
      <w:bookmarkEnd w:id="6"/>
      <w:tr w:rsidR="00EF36ED" w:rsidTr="00EF36ED">
        <w:tc>
          <w:tcPr>
            <w:tcW w:w="720" w:type="dxa"/>
            <w:shd w:val="clear" w:color="auto" w:fill="auto"/>
          </w:tcPr>
          <w:p w:rsidR="00EF36ED" w:rsidRDefault="00EF36ED" w:rsidP="00EF36ED">
            <w:pPr>
              <w:pStyle w:val="CenterUnderline"/>
              <w:keepNext/>
              <w:keepLines/>
              <w:jc w:val="both"/>
              <w:rPr>
                <w:u w:val="none"/>
              </w:rPr>
            </w:pPr>
          </w:p>
        </w:tc>
        <w:tc>
          <w:tcPr>
            <w:tcW w:w="4320" w:type="dxa"/>
            <w:tcBorders>
              <w:top w:val="single" w:sz="4" w:space="0" w:color="auto"/>
            </w:tcBorders>
            <w:shd w:val="clear" w:color="auto" w:fill="auto"/>
          </w:tcPr>
          <w:p w:rsidR="00EF36ED" w:rsidRDefault="00EF36ED" w:rsidP="00EF36ED">
            <w:pPr>
              <w:pStyle w:val="CenterUnderline"/>
              <w:keepNext/>
              <w:keepLines/>
              <w:jc w:val="both"/>
              <w:rPr>
                <w:u w:val="none"/>
              </w:rPr>
            </w:pPr>
            <w:r>
              <w:rPr>
                <w:u w:val="none"/>
              </w:rPr>
              <w:t>Gabriella Passidomo</w:t>
            </w:r>
          </w:p>
          <w:p w:rsidR="00EF36ED" w:rsidRDefault="00EF36ED" w:rsidP="00EF36ED">
            <w:pPr>
              <w:pStyle w:val="CenterUnderline"/>
              <w:keepNext/>
              <w:keepLines/>
              <w:jc w:val="both"/>
              <w:rPr>
                <w:u w:val="none"/>
              </w:rPr>
            </w:pPr>
            <w:r>
              <w:rPr>
                <w:u w:val="none"/>
              </w:rPr>
              <w:t>Commissioner and Prehearing Officer</w:t>
            </w:r>
          </w:p>
        </w:tc>
      </w:tr>
    </w:tbl>
    <w:p w:rsidR="00EF36ED" w:rsidRDefault="00EF36ED" w:rsidP="00EF36ED">
      <w:pPr>
        <w:pStyle w:val="OrderSigInfo"/>
        <w:keepNext/>
        <w:keepLines/>
      </w:pPr>
      <w:r>
        <w:t>Florida Public Service Commission</w:t>
      </w:r>
    </w:p>
    <w:p w:rsidR="00EF36ED" w:rsidRDefault="00EF36ED" w:rsidP="00EF36ED">
      <w:pPr>
        <w:pStyle w:val="OrderSigInfo"/>
        <w:keepNext/>
        <w:keepLines/>
      </w:pPr>
      <w:r>
        <w:t>2540 Shumard Oak Boulevard</w:t>
      </w:r>
    </w:p>
    <w:p w:rsidR="00EF36ED" w:rsidRDefault="00EF36ED" w:rsidP="00EF36ED">
      <w:pPr>
        <w:pStyle w:val="OrderSigInfo"/>
        <w:keepNext/>
        <w:keepLines/>
      </w:pPr>
      <w:r>
        <w:t>Tallahassee, Florida 32399</w:t>
      </w:r>
    </w:p>
    <w:p w:rsidR="00EF36ED" w:rsidRDefault="00EF36ED" w:rsidP="00EF36ED">
      <w:pPr>
        <w:pStyle w:val="OrderSigInfo"/>
        <w:keepNext/>
        <w:keepLines/>
      </w:pPr>
      <w:r>
        <w:t>(850) 413</w:t>
      </w:r>
      <w:r>
        <w:noBreakHyphen/>
        <w:t>6770</w:t>
      </w:r>
    </w:p>
    <w:p w:rsidR="00EF36ED" w:rsidRDefault="00EF36ED" w:rsidP="00EF36ED">
      <w:pPr>
        <w:pStyle w:val="OrderSigInfo"/>
        <w:keepNext/>
        <w:keepLines/>
      </w:pPr>
      <w:r>
        <w:t>www.floridapsc.com</w:t>
      </w:r>
    </w:p>
    <w:p w:rsidR="00EF36ED" w:rsidRDefault="00EF36ED" w:rsidP="00EF36ED">
      <w:pPr>
        <w:pStyle w:val="OrderSigInfo"/>
        <w:keepNext/>
        <w:keepLines/>
      </w:pPr>
    </w:p>
    <w:p w:rsidR="00EF36ED" w:rsidRDefault="00EF36ED" w:rsidP="00EF36ED">
      <w:pPr>
        <w:pStyle w:val="OrderSigInfo"/>
        <w:keepNext/>
        <w:keepLines/>
      </w:pPr>
      <w:r>
        <w:t>Copies furnished:  A copy of this document is provided to the parties of record at the time of issuance and, if applicable, interested persons.</w:t>
      </w:r>
    </w:p>
    <w:p w:rsidR="00EF36ED" w:rsidRDefault="00EF36ED" w:rsidP="00EF36ED">
      <w:pPr>
        <w:pStyle w:val="OrderBody"/>
        <w:keepNext/>
        <w:keepLines/>
      </w:pPr>
    </w:p>
    <w:p w:rsidR="00EF36ED" w:rsidRDefault="00EF36ED" w:rsidP="00EF36ED">
      <w:pPr>
        <w:pStyle w:val="CenterUnderline"/>
        <w:keepNext/>
        <w:keepLines/>
        <w:jc w:val="both"/>
        <w:rPr>
          <w:u w:val="none"/>
        </w:rPr>
      </w:pPr>
      <w:r>
        <w:rPr>
          <w:u w:val="none"/>
        </w:rPr>
        <w:t>SBr</w:t>
      </w:r>
    </w:p>
    <w:p w:rsidR="00EF36ED" w:rsidRDefault="00EF36ED" w:rsidP="00EF36ED">
      <w:pPr>
        <w:pStyle w:val="CenterUnderline"/>
        <w:keepNext/>
        <w:keepLines/>
        <w:jc w:val="both"/>
        <w:rPr>
          <w:u w:val="none"/>
        </w:rPr>
      </w:pPr>
    </w:p>
    <w:p w:rsidR="00EF36ED" w:rsidRDefault="00EF36ED" w:rsidP="00EF36ED">
      <w:pPr>
        <w:pStyle w:val="CenterUnderline"/>
      </w:pPr>
      <w:r>
        <w:t>NOTICE OF FURTHER PROCEEDINGS OR JUDICIAL REVIEW</w:t>
      </w:r>
    </w:p>
    <w:p w:rsidR="00EF36ED" w:rsidRDefault="00EF36ED" w:rsidP="00EF36ED">
      <w:pPr>
        <w:pStyle w:val="CenterUnderline"/>
      </w:pPr>
    </w:p>
    <w:p w:rsidR="00EF36ED" w:rsidRDefault="00EF36ED" w:rsidP="00EF36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36ED" w:rsidRDefault="00EF36ED" w:rsidP="00EF36ED">
      <w:pPr>
        <w:pStyle w:val="OrderBody"/>
      </w:pPr>
    </w:p>
    <w:p w:rsidR="00EF36ED" w:rsidRDefault="00EF36ED" w:rsidP="00EF36ED">
      <w:pPr>
        <w:pStyle w:val="OrderBody"/>
      </w:pPr>
      <w:r>
        <w:tab/>
        <w:t>Mediation may be available on a case-by-case basis.  If mediation is conducted, it does not affect a substantially interested person's right to a hearing.</w:t>
      </w:r>
    </w:p>
    <w:p w:rsidR="00EF36ED" w:rsidRDefault="00EF36ED" w:rsidP="00EF36ED">
      <w:pPr>
        <w:pStyle w:val="OrderBody"/>
      </w:pPr>
    </w:p>
    <w:p w:rsidR="00EF36ED" w:rsidRDefault="00EF36ED" w:rsidP="00EF36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F36ED" w:rsidRDefault="00EF36ED" w:rsidP="00EF36ED">
      <w:pPr>
        <w:pStyle w:val="OrderBody"/>
      </w:pPr>
    </w:p>
    <w:p w:rsidR="00EF36ED" w:rsidRDefault="00EF36ED" w:rsidP="00EF36ED">
      <w:pPr>
        <w:pStyle w:val="OrderBody"/>
      </w:pPr>
    </w:p>
    <w:p w:rsidR="00EF36ED" w:rsidRDefault="00EF36ED" w:rsidP="00EF36ED">
      <w:pPr>
        <w:pStyle w:val="OrderBody"/>
      </w:pPr>
    </w:p>
    <w:sectPr w:rsidR="00EF36E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AFD" w:rsidRDefault="005F7AFD">
      <w:r>
        <w:separator/>
      </w:r>
    </w:p>
  </w:endnote>
  <w:endnote w:type="continuationSeparator" w:id="0">
    <w:p w:rsidR="005F7AFD" w:rsidRDefault="005F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AFD" w:rsidRDefault="005F7AFD">
      <w:r>
        <w:separator/>
      </w:r>
    </w:p>
  </w:footnote>
  <w:footnote w:type="continuationSeparator" w:id="0">
    <w:p w:rsidR="005F7AFD" w:rsidRDefault="005F7AFD">
      <w:r>
        <w:continuationSeparator/>
      </w:r>
    </w:p>
  </w:footnote>
  <w:footnote w:id="1">
    <w:p w:rsidR="00B514BF" w:rsidRDefault="00B514BF">
      <w:pPr>
        <w:pStyle w:val="FootnoteText"/>
      </w:pPr>
      <w:r>
        <w:rPr>
          <w:rStyle w:val="FootnoteReference"/>
        </w:rPr>
        <w:footnoteRef/>
      </w:r>
      <w:r>
        <w:t xml:space="preserve"> The Florida Retail Federation and Florida Industrial Power Users Group are the only other partie</w:t>
      </w:r>
      <w:r w:rsidR="00EA0DDB">
        <w:t>s</w:t>
      </w:r>
      <w:r>
        <w:t xml:space="preserve"> to this docket that have standing to participate in this proceeding.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2 ">
      <w:r w:rsidR="00932FFE">
        <w:t>PSC-2024-0062-PCO-EI</w:t>
      </w:r>
    </w:fldSimple>
  </w:p>
  <w:p w:rsidR="00FA6EFD" w:rsidRDefault="005F7AFD">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35C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5F7AFD"/>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2BE7"/>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07C5B"/>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2B7F"/>
    <w:rsid w:val="003D3989"/>
    <w:rsid w:val="003D4CCA"/>
    <w:rsid w:val="003D52A6"/>
    <w:rsid w:val="003D6416"/>
    <w:rsid w:val="003E1D48"/>
    <w:rsid w:val="003E711F"/>
    <w:rsid w:val="003F1D2B"/>
    <w:rsid w:val="003F49A6"/>
    <w:rsid w:val="003F518F"/>
    <w:rsid w:val="003F6BA7"/>
    <w:rsid w:val="003F7445"/>
    <w:rsid w:val="00410D8A"/>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35CD"/>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36A"/>
    <w:rsid w:val="005C5033"/>
    <w:rsid w:val="005D4E1B"/>
    <w:rsid w:val="005E751B"/>
    <w:rsid w:val="005F2751"/>
    <w:rsid w:val="005F3354"/>
    <w:rsid w:val="005F4AD6"/>
    <w:rsid w:val="005F7AFD"/>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0A0A"/>
    <w:rsid w:val="00874429"/>
    <w:rsid w:val="00875D22"/>
    <w:rsid w:val="00876F48"/>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3B1"/>
    <w:rsid w:val="009057FD"/>
    <w:rsid w:val="00906FBA"/>
    <w:rsid w:val="009163E8"/>
    <w:rsid w:val="00921BD3"/>
    <w:rsid w:val="009228C7"/>
    <w:rsid w:val="00922A7F"/>
    <w:rsid w:val="00923A5E"/>
    <w:rsid w:val="00924FE7"/>
    <w:rsid w:val="00926E27"/>
    <w:rsid w:val="00931C8C"/>
    <w:rsid w:val="00932FFE"/>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17E9"/>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14BF"/>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38D9"/>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0DDB"/>
    <w:rsid w:val="00EA172C"/>
    <w:rsid w:val="00EA259B"/>
    <w:rsid w:val="00EA35A3"/>
    <w:rsid w:val="00EA3E6A"/>
    <w:rsid w:val="00EB18EF"/>
    <w:rsid w:val="00EB58F4"/>
    <w:rsid w:val="00EB7951"/>
    <w:rsid w:val="00ED6A79"/>
    <w:rsid w:val="00EE17DF"/>
    <w:rsid w:val="00EF1482"/>
    <w:rsid w:val="00EF36ED"/>
    <w:rsid w:val="00EF4621"/>
    <w:rsid w:val="00EF4D52"/>
    <w:rsid w:val="00EF6312"/>
    <w:rsid w:val="00F038B0"/>
    <w:rsid w:val="00F05F34"/>
    <w:rsid w:val="00F22A66"/>
    <w:rsid w:val="00F22B27"/>
    <w:rsid w:val="00F234A7"/>
    <w:rsid w:val="00F277B6"/>
    <w:rsid w:val="00F27DA5"/>
    <w:rsid w:val="00F36B9A"/>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2FFE"/>
    <w:rPr>
      <w:rFonts w:ascii="Segoe UI" w:hAnsi="Segoe UI" w:cs="Segoe UI"/>
      <w:sz w:val="18"/>
      <w:szCs w:val="18"/>
    </w:rPr>
  </w:style>
  <w:style w:type="character" w:customStyle="1" w:styleId="BalloonTextChar">
    <w:name w:val="Balloon Text Char"/>
    <w:basedOn w:val="DefaultParagraphFont"/>
    <w:link w:val="BalloonText"/>
    <w:semiHidden/>
    <w:rsid w:val="00932F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BAA1-8F6B-4150-9C27-A7D0E3E4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2024-03-11T17:04:00Z</dcterms:created>
  <dcterms:modified xsi:type="dcterms:W3CDTF">2024-03-11T18:00:00Z</dcterms:modified>
</cp:coreProperties>
</file>