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bookmarkStart w:id="0" w:name="_GoBack"/>
            <w:bookmarkEnd w:id="0"/>
            <w:r>
              <w:t>State of Florida</w:t>
            </w:r>
          </w:p>
          <w:p w:rsidR="007C0528" w:rsidRDefault="00072CCA">
            <w:pPr>
              <w:jc w:val="center"/>
            </w:pPr>
            <w:r>
              <w:rPr>
                <w:noProof/>
              </w:rPr>
              <w:drawing>
                <wp:inline distT="0" distB="0" distL="0" distR="0" wp14:anchorId="7BF42CBA" wp14:editId="6164E104">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DA38E9">
            <w:pPr>
              <w:pStyle w:val="MemoHeading"/>
            </w:pPr>
            <w:bookmarkStart w:id="1" w:name="FilingDate"/>
            <w:r>
              <w:t>March 21</w:t>
            </w:r>
            <w:r w:rsidR="00126A73">
              <w:t>, 2024</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126A73" w:rsidRDefault="00126A73">
            <w:pPr>
              <w:pStyle w:val="MemoHeading"/>
            </w:pPr>
            <w:bookmarkStart w:id="2" w:name="From"/>
            <w:r>
              <w:t>Division of Economics (Kaymak, Barrett)</w:t>
            </w:r>
          </w:p>
          <w:p w:rsidR="007C0528" w:rsidRDefault="00126A73">
            <w:pPr>
              <w:pStyle w:val="MemoHeading"/>
            </w:pPr>
            <w:r>
              <w:t>Office of the General Counsel (Dose)</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126A73">
            <w:pPr>
              <w:pStyle w:val="MemoHeadingRe"/>
            </w:pPr>
            <w:bookmarkStart w:id="3" w:name="Re"/>
            <w:r>
              <w:t>Docket No. 20230140-EU – Joint petition for approval of modification to territorial agreement in Sumter County, by Sumter Electric Cooperative, Inc. and the City of Bushnell.</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126A73" w:rsidP="00DA38E9">
            <w:pPr>
              <w:pStyle w:val="MemoHeading"/>
            </w:pPr>
            <w:bookmarkStart w:id="4" w:name="AgendaDate"/>
            <w:r>
              <w:t>0</w:t>
            </w:r>
            <w:r w:rsidR="00DA38E9">
              <w:t>4</w:t>
            </w:r>
            <w:r>
              <w:t>/0</w:t>
            </w:r>
            <w:r w:rsidR="00DA38E9">
              <w:t>2</w:t>
            </w:r>
            <w:r>
              <w:t>/24</w:t>
            </w:r>
            <w:bookmarkEnd w:id="4"/>
            <w:r w:rsidR="007C0528">
              <w:t xml:space="preserve"> – </w:t>
            </w:r>
            <w:bookmarkStart w:id="5" w:name="PermittedStatus"/>
            <w:r>
              <w:t>Regular Agenda –</w:t>
            </w:r>
            <w:r w:rsidR="00F37A46">
              <w:t xml:space="preserve"> Proposed Agency Action –</w:t>
            </w:r>
            <w:r>
              <w:t xml:space="preserve"> 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126A73">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126A73">
            <w:pPr>
              <w:pStyle w:val="MemoHeading"/>
            </w:pPr>
            <w:bookmarkStart w:id="7" w:name="PrehearingOfficer"/>
            <w:r>
              <w:t>Graham</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126A73">
            <w:pPr>
              <w:pStyle w:val="MemoHeading"/>
            </w:pPr>
            <w:bookmarkStart w:id="9" w:name="CriticalDates"/>
            <w:r>
              <w:t>None</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126A73">
            <w:pPr>
              <w:pStyle w:val="MemoHeading"/>
            </w:pPr>
            <w:bookmarkStart w:id="10" w:name="SpecialInstructions"/>
            <w:r>
              <w:t>None</w:t>
            </w:r>
            <w:bookmarkEnd w:id="10"/>
          </w:p>
        </w:tc>
      </w:tr>
    </w:tbl>
    <w:p w:rsidR="007C0528" w:rsidRDefault="007C0528">
      <w:pPr>
        <w:pStyle w:val="BodyText"/>
      </w:pPr>
    </w:p>
    <w:p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bookmarkEnd w:id="12"/>
    <w:p w:rsidR="00DE3A74" w:rsidRDefault="00285212" w:rsidP="00DE3A74">
      <w:pPr>
        <w:pStyle w:val="BodyText"/>
      </w:pPr>
      <w:r>
        <w:t xml:space="preserve">On December </w:t>
      </w:r>
      <w:r w:rsidR="00660AE2">
        <w:t>27</w:t>
      </w:r>
      <w:r>
        <w:t>, 2023, Sumter Electric Cooperative, Inc. (S</w:t>
      </w:r>
      <w:r w:rsidR="00E511C3">
        <w:t>ECO</w:t>
      </w:r>
      <w:r>
        <w:t>) and the City of Bushnell</w:t>
      </w:r>
      <w:r w:rsidR="00E511C3">
        <w:t xml:space="preserve"> (City or Bushnell)</w:t>
      </w:r>
      <w:r>
        <w:t>, collecti</w:t>
      </w:r>
      <w:r w:rsidR="00DF32DF">
        <w:t>vely the joint petitioners, fil</w:t>
      </w:r>
      <w:r>
        <w:t>ed a petition seeking C</w:t>
      </w:r>
      <w:r w:rsidR="00660AE2">
        <w:t>ommission approval of a Modification to their Territorial A</w:t>
      </w:r>
      <w:r>
        <w:t>greement in Sumter County</w:t>
      </w:r>
      <w:r w:rsidR="00660AE2">
        <w:t>, Florida</w:t>
      </w:r>
      <w:r>
        <w:t xml:space="preserve">. </w:t>
      </w:r>
      <w:r w:rsidR="00660AE2">
        <w:t>SECO and Bushnell are parties to a currently effective territorial agreement delineating their respective service territories in Sumter County</w:t>
      </w:r>
      <w:r w:rsidR="00420098">
        <w:t xml:space="preserve"> and the proposed changes at issue are detailed in the Second Amendment to Territorial Agreement (</w:t>
      </w:r>
      <w:r w:rsidR="005D5D10">
        <w:t>s</w:t>
      </w:r>
      <w:r w:rsidR="00420098">
        <w:t xml:space="preserve">econd </w:t>
      </w:r>
      <w:r w:rsidR="005D5D10">
        <w:t>a</w:t>
      </w:r>
      <w:r w:rsidR="00420098">
        <w:t xml:space="preserve">mendment), which was </w:t>
      </w:r>
      <w:r w:rsidR="00CB7222">
        <w:t>inadvertently</w:t>
      </w:r>
      <w:r w:rsidR="00420098">
        <w:t xml:space="preserve"> omitted in the original filing, but was provided on December 28, 2023 as an errata filing</w:t>
      </w:r>
      <w:r w:rsidR="00660AE2">
        <w:t>.</w:t>
      </w:r>
      <w:r w:rsidR="00420098">
        <w:rPr>
          <w:rStyle w:val="FootnoteReference"/>
        </w:rPr>
        <w:footnoteReference w:id="1"/>
      </w:r>
      <w:r w:rsidR="00660AE2">
        <w:t xml:space="preserve"> </w:t>
      </w:r>
      <w:r w:rsidR="005D5D10">
        <w:t>The second a</w:t>
      </w:r>
      <w:r w:rsidR="00420098">
        <w:t xml:space="preserve">mendment, with signature pages, maps and legal descriptions is </w:t>
      </w:r>
      <w:r w:rsidR="00660AE2">
        <w:t>attached hereto as Attachment A</w:t>
      </w:r>
      <w:r w:rsidR="00420098">
        <w:t xml:space="preserve">. </w:t>
      </w:r>
      <w:r w:rsidR="005D5D10">
        <w:t>The second a</w:t>
      </w:r>
      <w:r w:rsidR="005729A2">
        <w:t xml:space="preserve">mendment seeks Commission approval </w:t>
      </w:r>
      <w:r w:rsidR="00660AE2">
        <w:t>to transfer two parcels</w:t>
      </w:r>
      <w:r w:rsidR="001753EC">
        <w:t xml:space="preserve"> (N14-013, N14-</w:t>
      </w:r>
      <w:r w:rsidR="001753EC">
        <w:lastRenderedPageBreak/>
        <w:t>015)</w:t>
      </w:r>
      <w:r w:rsidR="00660AE2">
        <w:t xml:space="preserve"> from Bushnell to SECO </w:t>
      </w:r>
      <w:r w:rsidR="005729A2">
        <w:t>by mutual agreement,</w:t>
      </w:r>
      <w:r w:rsidR="00660AE2">
        <w:t xml:space="preserve"> </w:t>
      </w:r>
      <w:r w:rsidR="00494B2C">
        <w:t>asserting that SECO can</w:t>
      </w:r>
      <w:r w:rsidR="00660AE2">
        <w:t xml:space="preserve"> timely and economically </w:t>
      </w:r>
      <w:r w:rsidR="00494B2C">
        <w:t xml:space="preserve">serve the </w:t>
      </w:r>
      <w:r w:rsidR="00660AE2">
        <w:t>new construction</w:t>
      </w:r>
      <w:r w:rsidR="00494B2C">
        <w:t xml:space="preserve"> projects on each parcel</w:t>
      </w:r>
      <w:r w:rsidR="00660AE2">
        <w:t>.</w:t>
      </w:r>
      <w:r w:rsidR="00D71FD5" w:rsidRPr="003E29BF">
        <w:t xml:space="preserve"> As d</w:t>
      </w:r>
      <w:r w:rsidR="00A91170" w:rsidRPr="003E29BF">
        <w:t>iscussed in more detail in the staff a</w:t>
      </w:r>
      <w:r w:rsidR="00D71FD5" w:rsidRPr="003E29BF">
        <w:t xml:space="preserve">nalysis, SECO has been serving the two new residential customers on the subject parcels pursuant to a temporary service </w:t>
      </w:r>
      <w:r w:rsidR="002E6FFD" w:rsidRPr="003E29BF">
        <w:t>agreement</w:t>
      </w:r>
      <w:r w:rsidR="00D71FD5" w:rsidRPr="003E29BF">
        <w:t xml:space="preserve"> signed between the two utilities.</w:t>
      </w:r>
    </w:p>
    <w:p w:rsidR="001938EB" w:rsidRDefault="005729A2" w:rsidP="00660AE2">
      <w:pPr>
        <w:autoSpaceDE w:val="0"/>
        <w:autoSpaceDN w:val="0"/>
        <w:adjustRightInd w:val="0"/>
        <w:jc w:val="both"/>
      </w:pPr>
      <w:r>
        <w:t>SECO and Bushnell are parties to a currently effective territorial agreement th</w:t>
      </w:r>
      <w:r w:rsidR="005B0FA3">
        <w:t>e Commission approved in 2020 th</w:t>
      </w:r>
      <w:r>
        <w:t>at sets forth their respective service territories in Sumter County, Florida (original Territorial Agreement).</w:t>
      </w:r>
      <w:r w:rsidR="00E511C3">
        <w:rPr>
          <w:rStyle w:val="FootnoteReference"/>
        </w:rPr>
        <w:footnoteReference w:id="2"/>
      </w:r>
      <w:r w:rsidR="00080563">
        <w:t xml:space="preserve"> </w:t>
      </w:r>
      <w:r w:rsidR="005B0FA3">
        <w:t>Prior to the instant filing, the Commission approved the First Amendment to Territorial Agreement in 2022</w:t>
      </w:r>
      <w:r w:rsidR="00C4219C">
        <w:t>.</w:t>
      </w:r>
      <w:r w:rsidR="00C4219C">
        <w:rPr>
          <w:rStyle w:val="FootnoteReference"/>
        </w:rPr>
        <w:footnoteReference w:id="3"/>
      </w:r>
      <w:r w:rsidR="005B0FA3">
        <w:t xml:space="preserve"> </w:t>
      </w:r>
    </w:p>
    <w:p w:rsidR="00285212" w:rsidRDefault="00285212" w:rsidP="00660AE2">
      <w:pPr>
        <w:autoSpaceDE w:val="0"/>
        <w:autoSpaceDN w:val="0"/>
        <w:adjustRightInd w:val="0"/>
        <w:jc w:val="both"/>
      </w:pPr>
    </w:p>
    <w:p w:rsidR="00285212" w:rsidRDefault="005A7546" w:rsidP="00DE3A74">
      <w:pPr>
        <w:pStyle w:val="BodyText"/>
      </w:pPr>
      <w:r>
        <w:t xml:space="preserve">During the review </w:t>
      </w:r>
      <w:r w:rsidR="003028B7">
        <w:t>process</w:t>
      </w:r>
      <w:r>
        <w:t>, s</w:t>
      </w:r>
      <w:r w:rsidR="00285212">
        <w:t xml:space="preserve">taff issued </w:t>
      </w:r>
      <w:r>
        <w:t xml:space="preserve">two </w:t>
      </w:r>
      <w:r w:rsidR="006062E6">
        <w:t>d</w:t>
      </w:r>
      <w:r w:rsidR="00285212">
        <w:t>ata request</w:t>
      </w:r>
      <w:r>
        <w:t>s</w:t>
      </w:r>
      <w:r w:rsidR="00285212">
        <w:t xml:space="preserve"> to the joint petitioners</w:t>
      </w:r>
      <w:r w:rsidR="005D5D10">
        <w:t>, the first</w:t>
      </w:r>
      <w:r w:rsidR="00285212">
        <w:t xml:space="preserve"> on January 16, </w:t>
      </w:r>
      <w:r w:rsidR="005D5D10">
        <w:t>2024, and the second on</w:t>
      </w:r>
      <w:r>
        <w:t xml:space="preserve"> February 13, </w:t>
      </w:r>
      <w:r w:rsidR="00285212">
        <w:t>2024</w:t>
      </w:r>
      <w:r>
        <w:t xml:space="preserve">. Responses </w:t>
      </w:r>
      <w:r w:rsidR="005D5D10">
        <w:t xml:space="preserve">to these data requests </w:t>
      </w:r>
      <w:r>
        <w:t xml:space="preserve">were received on January 26, </w:t>
      </w:r>
      <w:r w:rsidR="005D5D10">
        <w:t xml:space="preserve">2024 and </w:t>
      </w:r>
      <w:r>
        <w:t xml:space="preserve">February </w:t>
      </w:r>
      <w:r w:rsidR="005D5D10">
        <w:t>16</w:t>
      </w:r>
      <w:r>
        <w:t>, 2024.</w:t>
      </w:r>
      <w:r w:rsidR="00AB21B9">
        <w:rPr>
          <w:rStyle w:val="FootnoteReference"/>
        </w:rPr>
        <w:footnoteReference w:id="4"/>
      </w:r>
      <w:r>
        <w:t xml:space="preserve"> Staff also had an informal telephonic meeting with joint petitioners on February 13, 2024.</w:t>
      </w:r>
    </w:p>
    <w:p w:rsidR="00285212" w:rsidRDefault="00285212" w:rsidP="00DE3A74">
      <w:pPr>
        <w:pStyle w:val="BodyText"/>
      </w:pPr>
      <w:r>
        <w:t>The Commission has jurisdiction over this matter pursuant to Section 366.04, Florida Statutes (F.S.).</w:t>
      </w:r>
    </w:p>
    <w:p w:rsidR="00EA2273" w:rsidRDefault="00EA2273" w:rsidP="00DE3A74">
      <w:pPr>
        <w:pStyle w:val="BodyText"/>
      </w:pPr>
    </w:p>
    <w:p w:rsidR="007A47C1" w:rsidRDefault="007A47C1" w:rsidP="00DE3A74">
      <w:pPr>
        <w:pStyle w:val="BodyText"/>
        <w:sectPr w:rsidR="007A47C1">
          <w:headerReference w:type="default" r:id="rId9"/>
          <w:footerReference w:type="default" r:id="rId10"/>
          <w:type w:val="continuous"/>
          <w:pgSz w:w="12240" w:h="15840" w:code="1"/>
          <w:pgMar w:top="1584" w:right="1440" w:bottom="1440" w:left="1440" w:header="720" w:footer="720" w:gutter="0"/>
          <w:cols w:space="720"/>
          <w:formProt w:val="0"/>
          <w:titlePg/>
          <w:docGrid w:linePitch="360"/>
        </w:sectPr>
      </w:pPr>
    </w:p>
    <w:p w:rsidR="00A91170" w:rsidRPr="00A91170" w:rsidRDefault="00A91170" w:rsidP="00A91170">
      <w:pPr>
        <w:pStyle w:val="IssueHeading"/>
        <w:jc w:val="center"/>
        <w:rPr>
          <w:i w:val="0"/>
        </w:rPr>
      </w:pPr>
      <w:r w:rsidRPr="00A91170">
        <w:rPr>
          <w:i w:val="0"/>
        </w:rPr>
        <w:lastRenderedPageBreak/>
        <w:t>Discussion of Issues</w:t>
      </w:r>
    </w:p>
    <w:p w:rsidR="00DE3A74" w:rsidRDefault="00DE3A74">
      <w:pPr>
        <w:pStyle w:val="IssueHeading"/>
        <w:rPr>
          <w:vanish/>
          <w:specVanish/>
        </w:rPr>
      </w:pPr>
      <w:r w:rsidRPr="004C3641">
        <w:t xml:space="preserve">Issue </w:t>
      </w:r>
      <w:r w:rsidR="00A30F8F">
        <w:fldChar w:fldCharType="begin"/>
      </w:r>
      <w:r w:rsidR="00A30F8F">
        <w:instrText xml:space="preserve"> SEQ Issue \* MERGEFORMAT </w:instrText>
      </w:r>
      <w:r w:rsidR="00A30F8F">
        <w:fldChar w:fldCharType="separate"/>
      </w:r>
      <w:r w:rsidR="00C31522">
        <w:rPr>
          <w:noProof/>
        </w:rPr>
        <w:t>1</w:t>
      </w:r>
      <w:r w:rsidR="00A30F8F">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C31522">
        <w:rPr>
          <w:noProof/>
        </w:rPr>
        <w:instrText>1</w:instrText>
      </w:r>
      <w:r>
        <w:fldChar w:fldCharType="end"/>
      </w:r>
      <w:r>
        <w:tab/>
        <w:instrText xml:space="preserve">" \l 1 </w:instrText>
      </w:r>
      <w:r>
        <w:fldChar w:fldCharType="end"/>
      </w:r>
      <w:r>
        <w:t> </w:t>
      </w:r>
    </w:p>
    <w:p w:rsidR="00DE3A74" w:rsidRDefault="00DE3A74">
      <w:pPr>
        <w:pStyle w:val="BodyText"/>
      </w:pPr>
      <w:r>
        <w:t> </w:t>
      </w:r>
      <w:r w:rsidR="00285212">
        <w:t>Should the Commission approve the</w:t>
      </w:r>
      <w:r w:rsidR="008C2391">
        <w:t xml:space="preserve"> </w:t>
      </w:r>
      <w:r w:rsidR="00AB21B9">
        <w:t>proposed second a</w:t>
      </w:r>
      <w:r w:rsidR="00A4267C">
        <w:t>mendment</w:t>
      </w:r>
      <w:r w:rsidR="00AB21B9">
        <w:t xml:space="preserve"> </w:t>
      </w:r>
      <w:r w:rsidR="008C2391">
        <w:t>for</w:t>
      </w:r>
      <w:r w:rsidR="00285212">
        <w:t xml:space="preserve"> </w:t>
      </w:r>
      <w:r w:rsidR="008C2391">
        <w:t>proposed m</w:t>
      </w:r>
      <w:r w:rsidR="00285212">
        <w:t xml:space="preserve">odification to </w:t>
      </w:r>
      <w:r w:rsidR="008C2391">
        <w:t>t</w:t>
      </w:r>
      <w:r w:rsidR="00285212">
        <w:t xml:space="preserve">erritorial </w:t>
      </w:r>
      <w:r w:rsidR="008C2391">
        <w:t>a</w:t>
      </w:r>
      <w:r w:rsidR="00285212">
        <w:t xml:space="preserve">greement in Sumter County </w:t>
      </w:r>
      <w:r w:rsidR="008C2391">
        <w:t>by</w:t>
      </w:r>
      <w:r w:rsidR="00285212">
        <w:t xml:space="preserve"> S</w:t>
      </w:r>
      <w:r w:rsidR="00A96ABB">
        <w:t>ECO and Bushnell, which transfers two parcels from Bushnell to SECO</w:t>
      </w:r>
      <w:r w:rsidR="00477BE6">
        <w:t>?</w:t>
      </w:r>
    </w:p>
    <w:p w:rsidR="00DE3A74" w:rsidRPr="004C3641" w:rsidRDefault="00DE3A74">
      <w:pPr>
        <w:pStyle w:val="IssueSubsectionHeading"/>
        <w:rPr>
          <w:vanish/>
          <w:specVanish/>
        </w:rPr>
      </w:pPr>
      <w:r w:rsidRPr="004C3641">
        <w:t>Recommendation: </w:t>
      </w:r>
    </w:p>
    <w:p w:rsidR="00E511C3" w:rsidRDefault="00DE3A74" w:rsidP="0023097E">
      <w:pPr>
        <w:jc w:val="both"/>
        <w:rPr>
          <w:rFonts w:ascii="TimesNewRomanPSMT" w:hAnsi="TimesNewRomanPSMT" w:cs="TimesNewRomanPSMT"/>
        </w:rPr>
      </w:pPr>
      <w:r>
        <w:t> </w:t>
      </w:r>
      <w:r w:rsidR="00477BE6">
        <w:t xml:space="preserve">Yes, the Commission should approve </w:t>
      </w:r>
      <w:r w:rsidR="008C2391" w:rsidRPr="008C2391">
        <w:t xml:space="preserve">the joint petition for proposed modification to </w:t>
      </w:r>
      <w:r w:rsidR="00341B53">
        <w:t>territorial agreement in</w:t>
      </w:r>
      <w:r w:rsidR="008C2391" w:rsidRPr="008C2391">
        <w:t xml:space="preserve"> Sumter County by SECO and Bushnell,</w:t>
      </w:r>
      <w:r w:rsidR="00395B34">
        <w:t xml:space="preserve"> which transfers two parcels from Bushnell to SECO. The proposed </w:t>
      </w:r>
      <w:r w:rsidR="000263EA">
        <w:t>s</w:t>
      </w:r>
      <w:r w:rsidR="00395B34">
        <w:t xml:space="preserve">econd </w:t>
      </w:r>
      <w:r w:rsidR="000263EA">
        <w:t>a</w:t>
      </w:r>
      <w:r w:rsidR="007A6A31">
        <w:t>mendment</w:t>
      </w:r>
      <w:r w:rsidR="00395B34">
        <w:t xml:space="preserve"> would </w:t>
      </w:r>
      <w:r w:rsidR="00395B34" w:rsidRPr="003F5AF7">
        <w:t>facilitate the provision</w:t>
      </w:r>
      <w:r w:rsidR="00E52C18">
        <w:t xml:space="preserve"> of economical and</w:t>
      </w:r>
      <w:r w:rsidR="00395B34" w:rsidRPr="003F5AF7">
        <w:t xml:space="preserve"> reliable</w:t>
      </w:r>
      <w:r w:rsidR="00395B34">
        <w:t xml:space="preserve"> electri</w:t>
      </w:r>
      <w:r w:rsidR="000263EA">
        <w:t>c service by SECO to the two</w:t>
      </w:r>
      <w:r w:rsidR="00395B34">
        <w:t xml:space="preserve"> residential  c</w:t>
      </w:r>
      <w:r w:rsidR="000263EA">
        <w:t xml:space="preserve">ustomers in the transferred </w:t>
      </w:r>
      <w:r w:rsidR="00395B34">
        <w:t>parcels</w:t>
      </w:r>
      <w:r w:rsidR="008C2391">
        <w:t xml:space="preserve"> </w:t>
      </w:r>
      <w:r w:rsidR="00395B34" w:rsidRPr="003F5AF7">
        <w:t xml:space="preserve">thereby </w:t>
      </w:r>
      <w:r w:rsidR="00395B34" w:rsidRPr="003F5AF7">
        <w:rPr>
          <w:rFonts w:ascii="TimesNewRomanPSMT" w:hAnsi="TimesNewRomanPSMT" w:cs="TimesNewRomanPSMT"/>
        </w:rPr>
        <w:t>avoiding</w:t>
      </w:r>
      <w:r w:rsidR="002E6FFD">
        <w:rPr>
          <w:rFonts w:ascii="TimesNewRomanPSMT" w:hAnsi="TimesNewRomanPSMT" w:cs="TimesNewRomanPSMT"/>
        </w:rPr>
        <w:t xml:space="preserve"> potential uneconomic</w:t>
      </w:r>
      <w:r w:rsidR="00395B34" w:rsidRPr="003F5AF7">
        <w:rPr>
          <w:rFonts w:ascii="TimesNewRomanPSMT" w:hAnsi="TimesNewRomanPSMT" w:cs="TimesNewRomanPSMT"/>
        </w:rPr>
        <w:t xml:space="preserve"> duplication of facilities</w:t>
      </w:r>
      <w:r w:rsidR="00456559">
        <w:rPr>
          <w:rFonts w:ascii="TimesNewRomanPSMT" w:hAnsi="TimesNewRomanPSMT" w:cs="TimesNewRomanPSMT"/>
        </w:rPr>
        <w:t>.</w:t>
      </w:r>
      <w:r w:rsidR="00395B34" w:rsidRPr="003F5AF7">
        <w:rPr>
          <w:rFonts w:ascii="TimesNewRomanPSMT" w:hAnsi="TimesNewRomanPSMT" w:cs="TimesNewRomanPSMT"/>
        </w:rPr>
        <w:t xml:space="preserve"> </w:t>
      </w:r>
      <w:r w:rsidR="004A563D">
        <w:rPr>
          <w:rFonts w:ascii="TimesNewRomanPSMT" w:hAnsi="TimesNewRomanPSMT" w:cs="TimesNewRomanPSMT"/>
        </w:rPr>
        <w:t>Should the</w:t>
      </w:r>
      <w:r w:rsidR="00775038">
        <w:rPr>
          <w:rFonts w:ascii="TimesNewRomanPSMT" w:hAnsi="TimesNewRomanPSMT" w:cs="TimesNewRomanPSMT"/>
        </w:rPr>
        <w:t xml:space="preserve"> </w:t>
      </w:r>
      <w:r w:rsidR="00775038">
        <w:t>utilities find themselves in similar circumstances in the future, staff recommends the parties should be required to promptly notify Commission staff and state how the boundary is expected to change. The notification should also include the date service was first connected and when a petition to modify the territorial boundary will be filed. The petition, when filed, should contain sufficient detail for staff and the Commission to fully understand the timing and circumstances of the territorial modification.</w:t>
      </w:r>
      <w:r w:rsidR="00775038" w:rsidRPr="003F5AF7">
        <w:rPr>
          <w:rFonts w:ascii="TimesNewRomanPSMT" w:hAnsi="TimesNewRomanPSMT" w:cs="TimesNewRomanPSMT"/>
        </w:rPr>
        <w:t xml:space="preserve"> </w:t>
      </w:r>
      <w:r w:rsidR="00395B34" w:rsidRPr="003F5AF7">
        <w:rPr>
          <w:rFonts w:ascii="TimesNewRomanPSMT" w:hAnsi="TimesNewRomanPSMT" w:cs="TimesNewRomanPSMT"/>
        </w:rPr>
        <w:t xml:space="preserve">(Kaymak, </w:t>
      </w:r>
      <w:r w:rsidR="00395B34">
        <w:rPr>
          <w:rFonts w:ascii="TimesNewRomanPSMT" w:hAnsi="TimesNewRomanPSMT" w:cs="TimesNewRomanPSMT"/>
        </w:rPr>
        <w:t>Barrett</w:t>
      </w:r>
      <w:r w:rsidR="006623CF">
        <w:rPr>
          <w:rFonts w:ascii="TimesNewRomanPSMT" w:hAnsi="TimesNewRomanPSMT" w:cs="TimesNewRomanPSMT"/>
        </w:rPr>
        <w:t>, Dose</w:t>
      </w:r>
      <w:r w:rsidR="00395B34" w:rsidRPr="003F5AF7">
        <w:rPr>
          <w:rFonts w:ascii="TimesNewRomanPSMT" w:hAnsi="TimesNewRomanPSMT" w:cs="TimesNewRomanPSMT"/>
        </w:rPr>
        <w:t>)</w:t>
      </w:r>
      <w:r w:rsidR="00395B34">
        <w:rPr>
          <w:rFonts w:ascii="TimesNewRomanPSMT" w:hAnsi="TimesNewRomanPSMT" w:cs="TimesNewRomanPSMT"/>
        </w:rPr>
        <w:t xml:space="preserve"> </w:t>
      </w:r>
    </w:p>
    <w:p w:rsidR="004A563D" w:rsidRDefault="004A563D" w:rsidP="0023097E">
      <w:pPr>
        <w:jc w:val="both"/>
      </w:pPr>
    </w:p>
    <w:p w:rsidR="00DE3A74" w:rsidRPr="004C3641" w:rsidRDefault="00DE3A74">
      <w:pPr>
        <w:pStyle w:val="IssueSubsectionHeading"/>
        <w:rPr>
          <w:vanish/>
          <w:specVanish/>
        </w:rPr>
      </w:pPr>
      <w:r w:rsidRPr="004C3641">
        <w:t>Staff Analysis: </w:t>
      </w:r>
    </w:p>
    <w:p w:rsidR="00E511C3" w:rsidRDefault="00DE3A74" w:rsidP="00E511C3">
      <w:pPr>
        <w:autoSpaceDE w:val="0"/>
        <w:autoSpaceDN w:val="0"/>
        <w:adjustRightInd w:val="0"/>
        <w:jc w:val="both"/>
        <w:rPr>
          <w:rFonts w:ascii="TimesNewRomanPSMT" w:hAnsi="TimesNewRomanPSMT" w:cs="TimesNewRomanPSMT"/>
        </w:rPr>
      </w:pPr>
      <w:r>
        <w:t> </w:t>
      </w:r>
      <w:r w:rsidR="00E511C3">
        <w:rPr>
          <w:rFonts w:ascii="TimesNewRomanPSMT" w:hAnsi="TimesNewRomanPSMT" w:cs="TimesNewRomanPSMT"/>
        </w:rPr>
        <w:t>Pursuant to Section 366.04(2)(d), F.S., and Rule 25-6.0440(2), F</w:t>
      </w:r>
      <w:r w:rsidR="008C2391">
        <w:rPr>
          <w:rFonts w:ascii="TimesNewRomanPSMT" w:hAnsi="TimesNewRomanPSMT" w:cs="TimesNewRomanPSMT"/>
        </w:rPr>
        <w:t>lorida Administrative Code (F</w:t>
      </w:r>
      <w:r w:rsidR="00E511C3">
        <w:rPr>
          <w:rFonts w:ascii="TimesNewRomanPSMT" w:hAnsi="TimesNewRomanPSMT" w:cs="TimesNewRomanPSMT"/>
        </w:rPr>
        <w:t>.A.C.</w:t>
      </w:r>
      <w:r w:rsidR="008C2391">
        <w:rPr>
          <w:rFonts w:ascii="TimesNewRomanPSMT" w:hAnsi="TimesNewRomanPSMT" w:cs="TimesNewRomanPSMT"/>
        </w:rPr>
        <w:t>)</w:t>
      </w:r>
      <w:r w:rsidR="00E511C3">
        <w:rPr>
          <w:rFonts w:ascii="TimesNewRomanPSMT" w:hAnsi="TimesNewRomanPSMT" w:cs="TimesNewRomanPSMT"/>
        </w:rPr>
        <w:t>, the Commission has jurisdiction to approve territorial agreements between and among rural electric cooperatives, municipal electric utilities, and other electric utilities. Unless the Commission determines that the agreement will cause a detriment to the public interest, the agreement should be approved.</w:t>
      </w:r>
      <w:r w:rsidR="00E511C3">
        <w:rPr>
          <w:rStyle w:val="FootnoteReference"/>
          <w:rFonts w:ascii="TimesNewRomanPSMT" w:hAnsi="TimesNewRomanPSMT" w:cs="TimesNewRomanPSMT"/>
        </w:rPr>
        <w:footnoteReference w:id="5"/>
      </w:r>
    </w:p>
    <w:p w:rsidR="00E511C3" w:rsidRDefault="00E511C3" w:rsidP="00E511C3">
      <w:pPr>
        <w:autoSpaceDE w:val="0"/>
        <w:autoSpaceDN w:val="0"/>
        <w:adjustRightInd w:val="0"/>
        <w:jc w:val="both"/>
        <w:rPr>
          <w:rFonts w:ascii="TimesNewRomanPSMT" w:hAnsi="TimesNewRomanPSMT" w:cs="TimesNewRomanPSMT"/>
        </w:rPr>
      </w:pPr>
    </w:p>
    <w:p w:rsidR="00E511C3" w:rsidRDefault="00C4219C" w:rsidP="00E511C3">
      <w:pPr>
        <w:pStyle w:val="First-LevelSubheading"/>
      </w:pPr>
      <w:r>
        <w:t xml:space="preserve">Proposed </w:t>
      </w:r>
      <w:r w:rsidR="00E511C3">
        <w:t>Territorial Agreement</w:t>
      </w:r>
      <w:r>
        <w:t xml:space="preserve"> Changes</w:t>
      </w:r>
    </w:p>
    <w:p w:rsidR="004F3591" w:rsidRDefault="00274CB5" w:rsidP="008C2391">
      <w:pPr>
        <w:pStyle w:val="BodyText"/>
        <w:spacing w:after="0"/>
      </w:pPr>
      <w:r>
        <w:t>Bushnell and SECO began territorial agreeme</w:t>
      </w:r>
      <w:r w:rsidR="001753EC">
        <w:t xml:space="preserve">nt discussions after </w:t>
      </w:r>
      <w:r w:rsidR="009333AC">
        <w:t>service applications were received for new single-family residential construction projects</w:t>
      </w:r>
      <w:r w:rsidR="00C4219C">
        <w:t xml:space="preserve">, one </w:t>
      </w:r>
      <w:r w:rsidR="008C2391">
        <w:t xml:space="preserve">on </w:t>
      </w:r>
      <w:r w:rsidR="00C4219C">
        <w:t>each</w:t>
      </w:r>
      <w:r>
        <w:t xml:space="preserve"> </w:t>
      </w:r>
      <w:r w:rsidR="008C2391">
        <w:t>parcel (</w:t>
      </w:r>
      <w:r w:rsidR="00767CE2">
        <w:t>P</w:t>
      </w:r>
      <w:r w:rsidR="001753EC">
        <w:t>arcels N14-013 and N14-015</w:t>
      </w:r>
      <w:r w:rsidR="008C2391">
        <w:t>)</w:t>
      </w:r>
      <w:r w:rsidR="001753EC">
        <w:t xml:space="preserve"> in Sumter County</w:t>
      </w:r>
      <w:r w:rsidR="009333AC">
        <w:t>.</w:t>
      </w:r>
      <w:r w:rsidR="00C4219C">
        <w:t xml:space="preserve"> </w:t>
      </w:r>
      <w:r w:rsidR="009333AC">
        <w:t>Upon review and careful consideration</w:t>
      </w:r>
      <w:r w:rsidR="001753EC">
        <w:t xml:space="preserve">, the joint petitioners </w:t>
      </w:r>
      <w:r w:rsidR="00E30059">
        <w:t xml:space="preserve">maintain </w:t>
      </w:r>
      <w:r w:rsidR="009333AC">
        <w:t>that</w:t>
      </w:r>
      <w:r w:rsidR="00465978">
        <w:t>,</w:t>
      </w:r>
      <w:r w:rsidR="009333AC">
        <w:t xml:space="preserve"> although </w:t>
      </w:r>
      <w:r w:rsidR="001753EC">
        <w:t>the two parcels are</w:t>
      </w:r>
      <w:r>
        <w:t xml:space="preserve"> </w:t>
      </w:r>
      <w:r w:rsidR="009333AC">
        <w:t xml:space="preserve">in Bushnell’s current service territory, SECO could serve both parcels in a more </w:t>
      </w:r>
      <w:r>
        <w:t xml:space="preserve">economical and timely </w:t>
      </w:r>
      <w:r w:rsidR="009333AC">
        <w:t>manner.</w:t>
      </w:r>
      <w:r w:rsidR="00EF4354" w:rsidRPr="00EF4354">
        <w:t xml:space="preserve"> </w:t>
      </w:r>
    </w:p>
    <w:p w:rsidR="004F3591" w:rsidRDefault="004F3591" w:rsidP="008C2391">
      <w:pPr>
        <w:pStyle w:val="BodyText"/>
        <w:spacing w:after="0"/>
      </w:pPr>
    </w:p>
    <w:p w:rsidR="008E52BC" w:rsidRDefault="004F3591" w:rsidP="004F3591">
      <w:pPr>
        <w:pStyle w:val="BodyText"/>
        <w:spacing w:after="0"/>
      </w:pPr>
      <w:r>
        <w:t>T</w:t>
      </w:r>
      <w:r w:rsidR="00EF4354">
        <w:t xml:space="preserve">he joint participants indicate that, due to the </w:t>
      </w:r>
      <w:r>
        <w:t xml:space="preserve">two </w:t>
      </w:r>
      <w:r w:rsidR="00EF4354">
        <w:t>customers’ pressing need to have their new homes connected to electric service, SECO established electric service to them on or around July 12, 2023 (Parcel N14-013) and November 22, 2023 (Parcel N14-015)</w:t>
      </w:r>
      <w:r>
        <w:t>. The joint participants did so under the terms of a temporary service a</w:t>
      </w:r>
      <w:r w:rsidR="00EF4354">
        <w:t xml:space="preserve">greement </w:t>
      </w:r>
      <w:r>
        <w:t xml:space="preserve">until the time that </w:t>
      </w:r>
      <w:r w:rsidR="006F1C3F">
        <w:t xml:space="preserve">the </w:t>
      </w:r>
      <w:r>
        <w:t xml:space="preserve">Commission could decide whether to approve the second amendment. </w:t>
      </w:r>
    </w:p>
    <w:p w:rsidR="008E52BC" w:rsidRDefault="008E52BC" w:rsidP="004F3591">
      <w:pPr>
        <w:pStyle w:val="BodyText"/>
        <w:spacing w:after="0"/>
      </w:pPr>
    </w:p>
    <w:p w:rsidR="004F3591" w:rsidRDefault="00B514B7" w:rsidP="004F3591">
      <w:pPr>
        <w:pStyle w:val="BodyText"/>
        <w:spacing w:after="0"/>
      </w:pPr>
      <w:r>
        <w:t>T</w:t>
      </w:r>
      <w:r w:rsidR="004F3591">
        <w:t>he joint petitioners note that Paragraph 5 of the second amendment (Meeting C</w:t>
      </w:r>
      <w:r w:rsidR="00A91170">
        <w:t>ustomers Needs) references the temporary service agreement</w:t>
      </w:r>
      <w:r w:rsidR="004F3591">
        <w:t xml:space="preserve"> that was signed by each utility in order to facilitate providing immediate electric service for construction needs on these parcels during the pendency of this matter at the Commission.</w:t>
      </w:r>
      <w:r w:rsidR="004F3591">
        <w:rPr>
          <w:rStyle w:val="FootnoteReference"/>
        </w:rPr>
        <w:footnoteReference w:id="6"/>
      </w:r>
      <w:r w:rsidR="004F3591">
        <w:t xml:space="preserve"> </w:t>
      </w:r>
      <w:r w:rsidR="004F3591" w:rsidRPr="004D5380">
        <w:t xml:space="preserve">The temporary service agreement </w:t>
      </w:r>
      <w:r w:rsidR="004F3591">
        <w:t xml:space="preserve">was signed on June 23, 2023, and the joint petitioners assert that the customers requesting service on each parcel were notified by telephone </w:t>
      </w:r>
      <w:r w:rsidR="004F3591" w:rsidRPr="004D5380">
        <w:t>t</w:t>
      </w:r>
      <w:r w:rsidR="004F3591">
        <w:t>hat permanent service by SECO would be contingent upon SECO and the City executing an agreement that would require C</w:t>
      </w:r>
      <w:r w:rsidR="004F3591" w:rsidRPr="004D5380">
        <w:t xml:space="preserve">ommission </w:t>
      </w:r>
      <w:r w:rsidR="004F3591">
        <w:t>approval.</w:t>
      </w:r>
      <w:r w:rsidR="004F3591">
        <w:rPr>
          <w:rStyle w:val="FootnoteReference"/>
        </w:rPr>
        <w:footnoteReference w:id="7"/>
      </w:r>
      <w:r w:rsidR="004F3591">
        <w:t xml:space="preserve"> </w:t>
      </w:r>
      <w:r>
        <w:t>T</w:t>
      </w:r>
      <w:r w:rsidR="004F3591">
        <w:t xml:space="preserve">he joint petitioners </w:t>
      </w:r>
      <w:r>
        <w:t>state</w:t>
      </w:r>
      <w:r w:rsidR="004F3591">
        <w:t xml:space="preserve"> that negotiations for the second amendment took longer than expected, and when concluded acknowledged that further delays were encountered because approvals were needed from City and SECO officials before the joint petitioners made their instant filing.</w:t>
      </w:r>
      <w:r w:rsidR="004F3591">
        <w:rPr>
          <w:rStyle w:val="FootnoteReference"/>
        </w:rPr>
        <w:footnoteReference w:id="8"/>
      </w:r>
    </w:p>
    <w:p w:rsidR="004F3591" w:rsidRDefault="004F3591" w:rsidP="004F3591">
      <w:pPr>
        <w:pStyle w:val="BodyText"/>
        <w:spacing w:after="0"/>
      </w:pPr>
    </w:p>
    <w:p w:rsidR="008C2391" w:rsidRDefault="004F3591" w:rsidP="004F3591">
      <w:pPr>
        <w:pStyle w:val="BodyText"/>
        <w:spacing w:after="0"/>
      </w:pPr>
      <w:r>
        <w:t>With the Commission approval of the second amendment, the joint petitioners contend the original Territorial Agreement otherwise remains in full effect with no other changes. If approved, the second a</w:t>
      </w:r>
      <w:r w:rsidRPr="008C2391">
        <w:t xml:space="preserve">mendment </w:t>
      </w:r>
      <w:r>
        <w:t>as written would remain in effect until and unless either Party provides written notice of termination.</w:t>
      </w:r>
    </w:p>
    <w:p w:rsidR="00B514B7" w:rsidRDefault="00B514B7" w:rsidP="004F3591">
      <w:pPr>
        <w:pStyle w:val="BodyText"/>
        <w:spacing w:after="0"/>
      </w:pPr>
    </w:p>
    <w:p w:rsidR="00A75B9A" w:rsidRPr="001938EB" w:rsidRDefault="00A75B9A" w:rsidP="008C2391">
      <w:pPr>
        <w:pStyle w:val="BodyText"/>
        <w:spacing w:after="0"/>
        <w:ind w:firstLine="720"/>
        <w:rPr>
          <w:rFonts w:ascii="Arial" w:hAnsi="Arial" w:cs="Arial"/>
          <w:b/>
          <w:i/>
        </w:rPr>
      </w:pPr>
      <w:r w:rsidRPr="001938EB">
        <w:rPr>
          <w:rFonts w:ascii="Arial" w:hAnsi="Arial" w:cs="Arial"/>
          <w:b/>
          <w:i/>
        </w:rPr>
        <w:t>Parcel N14-013</w:t>
      </w:r>
    </w:p>
    <w:p w:rsidR="00C4219C" w:rsidRDefault="001753EC" w:rsidP="001938EB">
      <w:pPr>
        <w:pStyle w:val="BodyText"/>
        <w:spacing w:after="0"/>
      </w:pPr>
      <w:r>
        <w:t>Parcel N14-013</w:t>
      </w:r>
      <w:r w:rsidR="00A75B9A">
        <w:t xml:space="preserve"> covers 5.64 acres</w:t>
      </w:r>
      <w:r>
        <w:t xml:space="preserve">, </w:t>
      </w:r>
      <w:r w:rsidR="00A75B9A">
        <w:t xml:space="preserve">and electric service for this parcel </w:t>
      </w:r>
      <w:r w:rsidR="008C2391">
        <w:t>is for</w:t>
      </w:r>
      <w:r w:rsidR="00A75B9A">
        <w:t xml:space="preserve"> a new single-family residence.</w:t>
      </w:r>
      <w:r w:rsidR="008D3F0D" w:rsidRPr="008D3F0D">
        <w:t xml:space="preserve"> The </w:t>
      </w:r>
      <w:r w:rsidR="00F94548">
        <w:t>joint petitioners assert that the nearest</w:t>
      </w:r>
      <w:r w:rsidR="008D3F0D" w:rsidRPr="008D3F0D">
        <w:t xml:space="preserve"> existing Bushnell facilities </w:t>
      </w:r>
      <w:r w:rsidR="00F94548">
        <w:t xml:space="preserve">to this parcel </w:t>
      </w:r>
      <w:r w:rsidR="008D3F0D" w:rsidRPr="008D3F0D">
        <w:t>are approximately 1</w:t>
      </w:r>
      <w:r w:rsidR="00C4219C">
        <w:t>,</w:t>
      </w:r>
      <w:r w:rsidR="008D3F0D" w:rsidRPr="008D3F0D">
        <w:t xml:space="preserve">100 feet due </w:t>
      </w:r>
      <w:r w:rsidR="00F94548">
        <w:t>w</w:t>
      </w:r>
      <w:r w:rsidR="008D3F0D" w:rsidRPr="008D3F0D">
        <w:t>est</w:t>
      </w:r>
      <w:r w:rsidR="00F94548">
        <w:t>, and notes that those facilities</w:t>
      </w:r>
      <w:r w:rsidR="008D3F0D" w:rsidRPr="008D3F0D">
        <w:t xml:space="preserve"> are at capacity </w:t>
      </w:r>
      <w:r w:rsidR="00F94548">
        <w:t xml:space="preserve">for </w:t>
      </w:r>
      <w:r w:rsidR="008D3F0D" w:rsidRPr="008D3F0D">
        <w:t>maintain</w:t>
      </w:r>
      <w:r w:rsidR="00F94548">
        <w:t>ing</w:t>
      </w:r>
      <w:r w:rsidR="008D3F0D" w:rsidRPr="008D3F0D">
        <w:t xml:space="preserve"> </w:t>
      </w:r>
      <w:r w:rsidR="00F94548">
        <w:t xml:space="preserve">optimum </w:t>
      </w:r>
      <w:r w:rsidR="008D3F0D" w:rsidRPr="008D3F0D">
        <w:t>reliability for</w:t>
      </w:r>
      <w:r w:rsidR="00C4219C">
        <w:t xml:space="preserve"> </w:t>
      </w:r>
      <w:r w:rsidR="008D3F0D" w:rsidRPr="008D3F0D">
        <w:t xml:space="preserve">existing customers </w:t>
      </w:r>
      <w:r w:rsidR="00F94548">
        <w:t>that are served by</w:t>
      </w:r>
      <w:r w:rsidR="008D3F0D" w:rsidRPr="008D3F0D">
        <w:t xml:space="preserve"> that feed</w:t>
      </w:r>
      <w:r w:rsidR="00A4267C">
        <w:t>er</w:t>
      </w:r>
      <w:r w:rsidR="008D3F0D" w:rsidRPr="008D3F0D">
        <w:t>.</w:t>
      </w:r>
      <w:r w:rsidR="008C2391">
        <w:rPr>
          <w:rStyle w:val="FootnoteReference"/>
        </w:rPr>
        <w:footnoteReference w:id="9"/>
      </w:r>
      <w:r w:rsidR="008D3F0D">
        <w:t xml:space="preserve"> </w:t>
      </w:r>
    </w:p>
    <w:p w:rsidR="00C4219C" w:rsidRDefault="00C4219C" w:rsidP="001938EB">
      <w:pPr>
        <w:pStyle w:val="BodyText"/>
        <w:spacing w:after="0"/>
      </w:pPr>
    </w:p>
    <w:p w:rsidR="009F5A0B" w:rsidRDefault="00E05A11" w:rsidP="008C2391">
      <w:pPr>
        <w:pStyle w:val="BodyText"/>
        <w:spacing w:after="0"/>
      </w:pPr>
      <w:r>
        <w:t>The joint petitioners stated that i</w:t>
      </w:r>
      <w:r w:rsidR="00F94548">
        <w:t>n order to serve Parcel N14-013</w:t>
      </w:r>
      <w:r w:rsidR="00456559">
        <w:t xml:space="preserve"> and/or the other parcel (Parcel N14-015) identified in the petition</w:t>
      </w:r>
      <w:r w:rsidR="00F94548">
        <w:t xml:space="preserve">, </w:t>
      </w:r>
      <w:r w:rsidR="008D3F0D" w:rsidRPr="008D3F0D">
        <w:t>Bushnell would have to re</w:t>
      </w:r>
      <w:r w:rsidR="00AF237F">
        <w:t>-</w:t>
      </w:r>
      <w:r w:rsidR="008D3F0D" w:rsidRPr="008D3F0D">
        <w:t>conductor approximately 3</w:t>
      </w:r>
      <w:r w:rsidR="00C4219C">
        <w:t>,</w:t>
      </w:r>
      <w:r w:rsidR="008D3F0D" w:rsidRPr="008D3F0D">
        <w:t xml:space="preserve">400 feet </w:t>
      </w:r>
      <w:r w:rsidR="00F94548">
        <w:t>of primary service facilities</w:t>
      </w:r>
      <w:r w:rsidR="00456559">
        <w:t>.</w:t>
      </w:r>
      <w:r w:rsidR="00F94548">
        <w:t xml:space="preserve"> </w:t>
      </w:r>
      <w:r w:rsidR="008D3F0D">
        <w:t>The c</w:t>
      </w:r>
      <w:r w:rsidR="00861270">
        <w:t>ost</w:t>
      </w:r>
      <w:r w:rsidR="009F5A0B">
        <w:t xml:space="preserve"> </w:t>
      </w:r>
      <w:r w:rsidR="00AD6343">
        <w:t xml:space="preserve">to enhance the primary service facilities as described is </w:t>
      </w:r>
      <w:r w:rsidR="009F5A0B">
        <w:t>esti</w:t>
      </w:r>
      <w:r w:rsidR="008D3F0D">
        <w:t xml:space="preserve">mated by Bushnell </w:t>
      </w:r>
      <w:r w:rsidR="00861270">
        <w:t xml:space="preserve">to </w:t>
      </w:r>
      <w:r w:rsidR="00AD6343">
        <w:t>be</w:t>
      </w:r>
      <w:r w:rsidR="00C4219C">
        <w:t xml:space="preserve"> </w:t>
      </w:r>
      <w:r w:rsidR="008D3F0D" w:rsidRPr="008D3F0D">
        <w:t>no less than $50,000</w:t>
      </w:r>
      <w:r w:rsidR="00AD6343">
        <w:t>,</w:t>
      </w:r>
      <w:r w:rsidR="008D3F0D" w:rsidRPr="008D3F0D">
        <w:t xml:space="preserve"> whether one or both customers </w:t>
      </w:r>
      <w:r w:rsidR="00AD6343">
        <w:t>are served</w:t>
      </w:r>
      <w:r w:rsidR="008D3F0D" w:rsidRPr="008D3F0D">
        <w:t>.</w:t>
      </w:r>
      <w:r w:rsidR="00861270">
        <w:rPr>
          <w:rStyle w:val="FootnoteReference"/>
        </w:rPr>
        <w:footnoteReference w:id="10"/>
      </w:r>
      <w:r w:rsidR="008D3F0D">
        <w:t xml:space="preserve"> </w:t>
      </w:r>
    </w:p>
    <w:p w:rsidR="00C4219C" w:rsidRDefault="00C4219C" w:rsidP="008C2391">
      <w:pPr>
        <w:pStyle w:val="BodyText"/>
        <w:spacing w:after="0"/>
      </w:pPr>
    </w:p>
    <w:p w:rsidR="008D3F0D" w:rsidRDefault="008D3F0D" w:rsidP="008C2391">
      <w:pPr>
        <w:pStyle w:val="BodyText"/>
        <w:spacing w:after="0"/>
      </w:pPr>
      <w:r>
        <w:t xml:space="preserve">The </w:t>
      </w:r>
      <w:r w:rsidR="007A6A31">
        <w:t>nearest</w:t>
      </w:r>
      <w:r>
        <w:t xml:space="preserve"> SECO </w:t>
      </w:r>
      <w:r w:rsidRPr="008D3F0D">
        <w:t xml:space="preserve">service </w:t>
      </w:r>
      <w:r w:rsidR="00AD6343">
        <w:t xml:space="preserve">facilities are adjacent to Parcel N14-013. </w:t>
      </w:r>
      <w:r w:rsidRPr="008D3F0D">
        <w:t xml:space="preserve">Because SECO already has existing single phase underground primary facilities located along the east property line, </w:t>
      </w:r>
      <w:r w:rsidR="00AD6343">
        <w:t xml:space="preserve">a minimal amount of construction activity </w:t>
      </w:r>
      <w:r w:rsidR="00E30F40">
        <w:t xml:space="preserve">was </w:t>
      </w:r>
      <w:r w:rsidR="00AD6343">
        <w:t>necessary for it to serve the parcel. An</w:t>
      </w:r>
      <w:r w:rsidR="00C4219C">
        <w:t xml:space="preserve"> </w:t>
      </w:r>
      <w:r w:rsidRPr="008D3F0D">
        <w:t>underground pad-mount</w:t>
      </w:r>
      <w:r w:rsidR="00AD6343">
        <w:t>ed</w:t>
      </w:r>
      <w:r w:rsidRPr="008D3F0D">
        <w:t xml:space="preserve"> transformer </w:t>
      </w:r>
      <w:r w:rsidR="00E30F40">
        <w:t xml:space="preserve">had to </w:t>
      </w:r>
      <w:r w:rsidR="00AD6343">
        <w:t>be installed, plus</w:t>
      </w:r>
      <w:r w:rsidRPr="008D3F0D">
        <w:t xml:space="preserve"> approximately 155’ of secondary service wire </w:t>
      </w:r>
      <w:r w:rsidR="002876D7">
        <w:t xml:space="preserve">had to </w:t>
      </w:r>
      <w:r w:rsidR="00AD6343">
        <w:t xml:space="preserve">be placed in order </w:t>
      </w:r>
      <w:r w:rsidRPr="008D3F0D">
        <w:t>to s</w:t>
      </w:r>
      <w:r>
        <w:t>erve the new single-family home</w:t>
      </w:r>
      <w:r w:rsidR="00AD6343">
        <w:t xml:space="preserve"> on Parcel N14-01</w:t>
      </w:r>
      <w:r w:rsidR="00E30F40">
        <w:t>3</w:t>
      </w:r>
      <w:r>
        <w:t xml:space="preserve">. </w:t>
      </w:r>
      <w:r w:rsidR="0055645B">
        <w:t>The estimated cost of these</w:t>
      </w:r>
      <w:r w:rsidR="00AD6343">
        <w:t xml:space="preserve"> facilities </w:t>
      </w:r>
      <w:r w:rsidR="00A4267C" w:rsidRPr="00A4267C">
        <w:t>was</w:t>
      </w:r>
      <w:r>
        <w:t xml:space="preserve"> $939.</w:t>
      </w:r>
      <w:r w:rsidR="00861270">
        <w:rPr>
          <w:rStyle w:val="FootnoteReference"/>
        </w:rPr>
        <w:footnoteReference w:id="11"/>
      </w:r>
      <w:r w:rsidR="009F5A0B" w:rsidRPr="009F5A0B">
        <w:t xml:space="preserve"> </w:t>
      </w:r>
    </w:p>
    <w:p w:rsidR="008C2391" w:rsidRDefault="008C2391" w:rsidP="008C2391">
      <w:pPr>
        <w:pStyle w:val="BodyText"/>
        <w:spacing w:after="0"/>
      </w:pPr>
    </w:p>
    <w:p w:rsidR="00B61F82" w:rsidRPr="001938EB" w:rsidRDefault="00B932A7" w:rsidP="008C2391">
      <w:pPr>
        <w:pStyle w:val="BodyText"/>
        <w:spacing w:after="0"/>
        <w:ind w:firstLine="720"/>
        <w:rPr>
          <w:rFonts w:ascii="Arial" w:hAnsi="Arial" w:cs="Arial"/>
          <w:b/>
          <w:i/>
        </w:rPr>
      </w:pPr>
      <w:r w:rsidRPr="001938EB">
        <w:rPr>
          <w:rFonts w:ascii="Arial" w:hAnsi="Arial" w:cs="Arial"/>
          <w:b/>
          <w:i/>
        </w:rPr>
        <w:t>Parcel N14-015</w:t>
      </w:r>
    </w:p>
    <w:p w:rsidR="009D03AF" w:rsidRDefault="001753EC" w:rsidP="001938EB">
      <w:pPr>
        <w:pStyle w:val="BodyText"/>
        <w:spacing w:after="0"/>
      </w:pPr>
      <w:r>
        <w:t>Parcel N14-015</w:t>
      </w:r>
      <w:r w:rsidR="00B61F82">
        <w:t xml:space="preserve"> covers 2.32 acres</w:t>
      </w:r>
      <w:r>
        <w:t xml:space="preserve">, </w:t>
      </w:r>
      <w:r w:rsidR="00B61F82">
        <w:t>and el</w:t>
      </w:r>
      <w:r w:rsidR="00C9576C">
        <w:t>ectric service for this parcel is for</w:t>
      </w:r>
      <w:r w:rsidR="00B61F82">
        <w:t xml:space="preserve"> a newly-constructed </w:t>
      </w:r>
      <w:r w:rsidR="008D3F0D">
        <w:t>s</w:t>
      </w:r>
      <w:r w:rsidR="008D3F0D" w:rsidRPr="008D3F0D">
        <w:t xml:space="preserve">ingle </w:t>
      </w:r>
      <w:r w:rsidR="00B61F82">
        <w:t>f</w:t>
      </w:r>
      <w:r w:rsidR="008D3F0D" w:rsidRPr="008D3F0D">
        <w:t>am</w:t>
      </w:r>
      <w:r w:rsidR="008D3F0D">
        <w:t xml:space="preserve">ily </w:t>
      </w:r>
      <w:r w:rsidR="00B61F82">
        <w:t>r</w:t>
      </w:r>
      <w:r w:rsidR="008D3F0D">
        <w:t xml:space="preserve">esidence with </w:t>
      </w:r>
      <w:r>
        <w:t>a</w:t>
      </w:r>
      <w:r w:rsidR="00B61F82">
        <w:t>n outbuilding (a</w:t>
      </w:r>
      <w:r>
        <w:t xml:space="preserve"> pole barn</w:t>
      </w:r>
      <w:r w:rsidR="00B61F82">
        <w:t>).</w:t>
      </w:r>
      <w:r w:rsidR="00C36F3A">
        <w:t xml:space="preserve"> </w:t>
      </w:r>
      <w:r w:rsidR="008D3F0D" w:rsidRPr="008D3F0D">
        <w:t xml:space="preserve">The </w:t>
      </w:r>
      <w:r w:rsidR="00B61F82">
        <w:t>joint petitioners assert that the nearest</w:t>
      </w:r>
      <w:r w:rsidR="008D3F0D" w:rsidRPr="008D3F0D">
        <w:t xml:space="preserve"> existing Bushnell facilities are approximately 1</w:t>
      </w:r>
      <w:r w:rsidR="00C4219C">
        <w:t>,</w:t>
      </w:r>
      <w:r w:rsidR="008D3F0D" w:rsidRPr="008D3F0D">
        <w:t xml:space="preserve">030 feet due </w:t>
      </w:r>
      <w:r w:rsidR="00B61F82">
        <w:t>w</w:t>
      </w:r>
      <w:r w:rsidR="008D3F0D" w:rsidRPr="008D3F0D">
        <w:t>est of Parcel N14-015</w:t>
      </w:r>
      <w:r w:rsidR="00B61F82">
        <w:t>,</w:t>
      </w:r>
      <w:r w:rsidR="009D03AF">
        <w:t xml:space="preserve"> and note that the same capacity concerns </w:t>
      </w:r>
      <w:r w:rsidR="00020A39">
        <w:t xml:space="preserve">and construction </w:t>
      </w:r>
      <w:r w:rsidR="00452926">
        <w:t>requirements</w:t>
      </w:r>
      <w:r w:rsidR="00020A39">
        <w:t xml:space="preserve"> </w:t>
      </w:r>
      <w:r w:rsidR="009D03AF">
        <w:t>referenced for Parcel N14-013 are applicable for this parcel as well.</w:t>
      </w:r>
      <w:r w:rsidR="009F5A0B" w:rsidRPr="009F5A0B">
        <w:t xml:space="preserve"> </w:t>
      </w:r>
    </w:p>
    <w:p w:rsidR="00B932A7" w:rsidRDefault="00B932A7" w:rsidP="008C2391">
      <w:pPr>
        <w:pStyle w:val="BodyText"/>
        <w:spacing w:after="0"/>
      </w:pPr>
    </w:p>
    <w:p w:rsidR="00E60179" w:rsidRPr="00661912" w:rsidRDefault="00642109" w:rsidP="00661912">
      <w:pPr>
        <w:pStyle w:val="BodyText"/>
        <w:spacing w:after="0"/>
      </w:pPr>
      <w:r>
        <w:t xml:space="preserve">In </w:t>
      </w:r>
      <w:r w:rsidR="009F5A0B" w:rsidRPr="009F5A0B">
        <w:t xml:space="preserve">SECO’s </w:t>
      </w:r>
      <w:r>
        <w:t xml:space="preserve">service territory, a </w:t>
      </w:r>
      <w:r w:rsidR="009F5A0B" w:rsidRPr="009F5A0B">
        <w:t>single phase overhead primary facility is located just south of the existing property line</w:t>
      </w:r>
      <w:r>
        <w:t xml:space="preserve"> for Parcel N14-015</w:t>
      </w:r>
      <w:r w:rsidR="009F5A0B" w:rsidRPr="009F5A0B">
        <w:t xml:space="preserve">. </w:t>
      </w:r>
      <w:r>
        <w:t xml:space="preserve">As such, the only construction necessary for SECO to provide service to this parcel </w:t>
      </w:r>
      <w:r w:rsidR="00DE10ED">
        <w:t>was</w:t>
      </w:r>
      <w:r>
        <w:t xml:space="preserve"> the placement of</w:t>
      </w:r>
      <w:r w:rsidR="009F5A0B" w:rsidRPr="009F5A0B">
        <w:t xml:space="preserve"> approximately 150’ of secondary underground service wire</w:t>
      </w:r>
      <w:r>
        <w:t>.</w:t>
      </w:r>
      <w:r w:rsidR="009F5A0B" w:rsidRPr="009F5A0B">
        <w:t xml:space="preserve"> </w:t>
      </w:r>
      <w:r w:rsidR="00850960">
        <w:t>The estimated cos</w:t>
      </w:r>
      <w:r w:rsidR="00107B2A">
        <w:t xml:space="preserve">t of this construction activity was </w:t>
      </w:r>
      <w:r w:rsidR="009F5A0B">
        <w:t>$877.</w:t>
      </w:r>
      <w:r w:rsidR="00861270">
        <w:rPr>
          <w:rStyle w:val="FootnoteReference"/>
        </w:rPr>
        <w:footnoteReference w:id="12"/>
      </w:r>
    </w:p>
    <w:p w:rsidR="00A91170" w:rsidRDefault="00A91170" w:rsidP="00FD5C6A">
      <w:pPr>
        <w:autoSpaceDE w:val="0"/>
        <w:autoSpaceDN w:val="0"/>
        <w:adjustRightInd w:val="0"/>
        <w:jc w:val="both"/>
        <w:rPr>
          <w:rFonts w:ascii="Arial" w:hAnsi="Arial" w:cs="Arial"/>
          <w:b/>
          <w:i/>
        </w:rPr>
      </w:pPr>
    </w:p>
    <w:p w:rsidR="00052C0E" w:rsidRDefault="00A27ACB" w:rsidP="00FD5C6A">
      <w:pPr>
        <w:autoSpaceDE w:val="0"/>
        <w:autoSpaceDN w:val="0"/>
        <w:adjustRightInd w:val="0"/>
        <w:jc w:val="both"/>
      </w:pPr>
      <w:r>
        <w:rPr>
          <w:rFonts w:ascii="Arial" w:hAnsi="Arial" w:cs="Arial"/>
          <w:b/>
          <w:i/>
        </w:rPr>
        <w:t>Analysis</w:t>
      </w:r>
    </w:p>
    <w:p w:rsidR="00D3402E" w:rsidRDefault="00D3402E" w:rsidP="0086734B">
      <w:pPr>
        <w:autoSpaceDE w:val="0"/>
        <w:autoSpaceDN w:val="0"/>
        <w:adjustRightInd w:val="0"/>
        <w:jc w:val="both"/>
      </w:pPr>
      <w:r>
        <w:t>Rule 25-</w:t>
      </w:r>
      <w:r w:rsidR="00B744F5">
        <w:t>6</w:t>
      </w:r>
      <w:r>
        <w:t xml:space="preserve">.0440(2), F.A.C., addresses the standards the Commission should consider for approving territorial agreements for electric utilities. The Rule states: </w:t>
      </w:r>
    </w:p>
    <w:p w:rsidR="0086734B" w:rsidRPr="00D3402E" w:rsidRDefault="0086734B" w:rsidP="0086734B">
      <w:pPr>
        <w:autoSpaceDE w:val="0"/>
        <w:autoSpaceDN w:val="0"/>
        <w:adjustRightInd w:val="0"/>
        <w:jc w:val="both"/>
      </w:pPr>
    </w:p>
    <w:p w:rsidR="00D3402E" w:rsidRPr="00D3402E" w:rsidRDefault="00D3402E" w:rsidP="00D3402E">
      <w:pPr>
        <w:widowControl w:val="0"/>
        <w:tabs>
          <w:tab w:val="left" w:pos="360"/>
          <w:tab w:val="left" w:pos="360"/>
          <w:tab w:val="left" w:pos="360"/>
        </w:tabs>
        <w:overflowPunct w:val="0"/>
        <w:autoSpaceDE w:val="0"/>
        <w:autoSpaceDN w:val="0"/>
        <w:adjustRightInd w:val="0"/>
        <w:spacing w:line="260" w:lineRule="atLeast"/>
        <w:ind w:left="1080" w:right="720"/>
        <w:jc w:val="both"/>
        <w:textAlignment w:val="baseline"/>
        <w:rPr>
          <w:noProof/>
          <w:color w:val="000000"/>
        </w:rPr>
      </w:pPr>
      <w:r w:rsidRPr="00D3402E">
        <w:rPr>
          <w:noProof/>
          <w:color w:val="000000"/>
        </w:rPr>
        <w:t>(2) Standards for Approval. In approving territorial agreements, the Commission may consider:</w:t>
      </w:r>
    </w:p>
    <w:p w:rsidR="00D3402E" w:rsidRPr="00D3402E" w:rsidRDefault="00D3402E" w:rsidP="00D3402E">
      <w:pPr>
        <w:widowControl w:val="0"/>
        <w:tabs>
          <w:tab w:val="left" w:pos="360"/>
          <w:tab w:val="left" w:pos="360"/>
          <w:tab w:val="left" w:pos="360"/>
        </w:tabs>
        <w:overflowPunct w:val="0"/>
        <w:autoSpaceDE w:val="0"/>
        <w:autoSpaceDN w:val="0"/>
        <w:adjustRightInd w:val="0"/>
        <w:spacing w:line="260" w:lineRule="atLeast"/>
        <w:ind w:left="1080" w:right="720"/>
        <w:jc w:val="both"/>
        <w:textAlignment w:val="baseline"/>
        <w:rPr>
          <w:noProof/>
          <w:color w:val="000000"/>
        </w:rPr>
      </w:pPr>
      <w:r w:rsidRPr="00D3402E">
        <w:rPr>
          <w:noProof/>
          <w:color w:val="000000"/>
        </w:rPr>
        <w:t>(a) The reasonableness of the purchase price of any facilities being transferred;</w:t>
      </w:r>
    </w:p>
    <w:p w:rsidR="00D3402E" w:rsidRPr="00D3402E" w:rsidRDefault="00D3402E" w:rsidP="00D3402E">
      <w:pPr>
        <w:widowControl w:val="0"/>
        <w:tabs>
          <w:tab w:val="left" w:pos="360"/>
          <w:tab w:val="left" w:pos="360"/>
          <w:tab w:val="left" w:pos="360"/>
        </w:tabs>
        <w:overflowPunct w:val="0"/>
        <w:autoSpaceDE w:val="0"/>
        <w:autoSpaceDN w:val="0"/>
        <w:adjustRightInd w:val="0"/>
        <w:spacing w:line="260" w:lineRule="atLeast"/>
        <w:ind w:left="1080" w:right="720"/>
        <w:jc w:val="both"/>
        <w:textAlignment w:val="baseline"/>
        <w:rPr>
          <w:noProof/>
          <w:color w:val="000000"/>
        </w:rPr>
      </w:pPr>
      <w:r w:rsidRPr="00D3402E">
        <w:rPr>
          <w:noProof/>
          <w:color w:val="000000"/>
        </w:rPr>
        <w:t>(b) The reasonable likelihood that the agreement, in and of itself, will not cause a decrease in the reliability of electrical service to the existing or future ratepayers of any utility party to the agreement;</w:t>
      </w:r>
    </w:p>
    <w:p w:rsidR="00D3402E" w:rsidRPr="00D3402E" w:rsidRDefault="00D3402E" w:rsidP="00D3402E">
      <w:pPr>
        <w:widowControl w:val="0"/>
        <w:tabs>
          <w:tab w:val="left" w:pos="360"/>
          <w:tab w:val="left" w:pos="360"/>
          <w:tab w:val="left" w:pos="360"/>
        </w:tabs>
        <w:overflowPunct w:val="0"/>
        <w:autoSpaceDE w:val="0"/>
        <w:autoSpaceDN w:val="0"/>
        <w:adjustRightInd w:val="0"/>
        <w:spacing w:line="260" w:lineRule="atLeast"/>
        <w:ind w:left="1080" w:right="720"/>
        <w:jc w:val="both"/>
        <w:textAlignment w:val="baseline"/>
        <w:rPr>
          <w:noProof/>
          <w:color w:val="000000"/>
        </w:rPr>
      </w:pPr>
      <w:r w:rsidRPr="00D3402E">
        <w:rPr>
          <w:noProof/>
          <w:color w:val="000000"/>
        </w:rPr>
        <w:t>(c) The reasonable likelihood that the agreement will eliminate existing or potential uneconomic duplication of facilities; and</w:t>
      </w:r>
    </w:p>
    <w:p w:rsidR="00D3402E" w:rsidRPr="00D3402E" w:rsidRDefault="00D3402E" w:rsidP="00D3402E">
      <w:pPr>
        <w:widowControl w:val="0"/>
        <w:tabs>
          <w:tab w:val="left" w:pos="360"/>
          <w:tab w:val="left" w:pos="360"/>
          <w:tab w:val="left" w:pos="360"/>
        </w:tabs>
        <w:overflowPunct w:val="0"/>
        <w:autoSpaceDE w:val="0"/>
        <w:autoSpaceDN w:val="0"/>
        <w:adjustRightInd w:val="0"/>
        <w:spacing w:line="260" w:lineRule="atLeast"/>
        <w:ind w:left="1080" w:right="720"/>
        <w:jc w:val="both"/>
        <w:textAlignment w:val="baseline"/>
        <w:rPr>
          <w:noProof/>
          <w:color w:val="000000"/>
        </w:rPr>
      </w:pPr>
      <w:r w:rsidRPr="00D3402E">
        <w:rPr>
          <w:noProof/>
          <w:color w:val="000000"/>
        </w:rPr>
        <w:t>(d) Any other factor the Commission finds relevant in reaching a determination that the territorial agreement is in the public interest.</w:t>
      </w:r>
    </w:p>
    <w:p w:rsidR="00D3402E" w:rsidRPr="00330EF6" w:rsidRDefault="00D3402E" w:rsidP="00D3402E">
      <w:pPr>
        <w:widowControl w:val="0"/>
        <w:tabs>
          <w:tab w:val="left" w:pos="360"/>
          <w:tab w:val="left" w:pos="360"/>
          <w:tab w:val="left" w:pos="360"/>
          <w:tab w:val="left" w:pos="360"/>
        </w:tabs>
        <w:overflowPunct w:val="0"/>
        <w:autoSpaceDE w:val="0"/>
        <w:autoSpaceDN w:val="0"/>
        <w:adjustRightInd w:val="0"/>
        <w:spacing w:line="260" w:lineRule="atLeast"/>
        <w:ind w:left="1080" w:right="720"/>
        <w:jc w:val="both"/>
        <w:textAlignment w:val="baseline"/>
        <w:rPr>
          <w:noProof/>
          <w:color w:val="000000"/>
        </w:rPr>
      </w:pPr>
    </w:p>
    <w:p w:rsidR="00E511C3" w:rsidRDefault="00D3402E" w:rsidP="00E511C3">
      <w:pPr>
        <w:pStyle w:val="BodyText"/>
      </w:pPr>
      <w:r>
        <w:t>In its review, staff considered each component of 25-</w:t>
      </w:r>
      <w:r w:rsidR="000C591C">
        <w:t>6</w:t>
      </w:r>
      <w:r>
        <w:t xml:space="preserve">.0440(2), F.A.C. Regarding paragraph (2)(a), </w:t>
      </w:r>
      <w:r w:rsidR="007A6A31">
        <w:t>staff notes that Bushnell agreed to transfer the two parcels to SECO without</w:t>
      </w:r>
      <w:r w:rsidR="007A6A31" w:rsidRPr="007A6A31">
        <w:t xml:space="preserve"> </w:t>
      </w:r>
      <w:r w:rsidR="007A6A31">
        <w:t>compensation, which staff believes is reasonable because no facilities are being transferred.</w:t>
      </w:r>
      <w:r w:rsidR="007A6A31">
        <w:rPr>
          <w:rStyle w:val="FootnoteReference"/>
        </w:rPr>
        <w:footnoteReference w:id="13"/>
      </w:r>
      <w:r w:rsidR="007A6A31" w:rsidRPr="00A3007D">
        <w:t xml:space="preserve"> </w:t>
      </w:r>
      <w:r w:rsidR="007A6A31">
        <w:t>Regarding paragraph (2)(b), the joint petitioners’ have confirmed that the availability and reliability of service to existing or future customers will not be decreased for either petitioner.</w:t>
      </w:r>
      <w:r w:rsidR="007A6A31" w:rsidRPr="007A6A31">
        <w:t xml:space="preserve"> </w:t>
      </w:r>
      <w:r w:rsidR="007A6A31">
        <w:t xml:space="preserve">The joint petitioners verified that </w:t>
      </w:r>
      <w:r w:rsidR="00C95B01">
        <w:t xml:space="preserve">existing electric facilities are adjacent to these parcels, but </w:t>
      </w:r>
      <w:r w:rsidR="00321371">
        <w:t xml:space="preserve">there are no electric </w:t>
      </w:r>
      <w:r w:rsidR="00F077CA">
        <w:t xml:space="preserve">facilities inside </w:t>
      </w:r>
      <w:r w:rsidR="00C95B01">
        <w:t xml:space="preserve">either parcel. </w:t>
      </w:r>
      <w:r w:rsidR="007A6A31">
        <w:t xml:space="preserve">SECO has electric facilities </w:t>
      </w:r>
      <w:r w:rsidR="00C17361">
        <w:t>with available capacity in close proximity to P</w:t>
      </w:r>
      <w:r w:rsidR="007A6A31">
        <w:t xml:space="preserve">arcel </w:t>
      </w:r>
      <w:r w:rsidR="007A6A31" w:rsidRPr="008D3F0D">
        <w:t>N14-013</w:t>
      </w:r>
      <w:r w:rsidR="007A6A31">
        <w:t xml:space="preserve"> and </w:t>
      </w:r>
      <w:r w:rsidR="00C17361">
        <w:t>also to Parcel</w:t>
      </w:r>
      <w:r w:rsidR="00DC09D6">
        <w:t xml:space="preserve"> </w:t>
      </w:r>
      <w:r w:rsidR="007A6A31">
        <w:t xml:space="preserve">N14-015, and </w:t>
      </w:r>
      <w:r w:rsidR="00F077CA" w:rsidRPr="009F5A0B">
        <w:t xml:space="preserve">can more economically serve the </w:t>
      </w:r>
      <w:r w:rsidR="00C17361">
        <w:t xml:space="preserve">two new single-family </w:t>
      </w:r>
      <w:r w:rsidR="00CB7222">
        <w:t>houses than</w:t>
      </w:r>
      <w:r w:rsidR="00F077CA">
        <w:t xml:space="preserve"> Bushnell.</w:t>
      </w:r>
      <w:r w:rsidR="0055645B">
        <w:t xml:space="preserve"> </w:t>
      </w:r>
      <w:r w:rsidR="00C17361">
        <w:t>Staff believes</w:t>
      </w:r>
      <w:r w:rsidR="00F077CA">
        <w:t xml:space="preserve"> Paragraph (2)(c) has been appropriately considered because</w:t>
      </w:r>
      <w:r w:rsidR="00F077CA" w:rsidRPr="00F0024F">
        <w:t xml:space="preserve">, </w:t>
      </w:r>
      <w:r w:rsidR="00F077CA" w:rsidRPr="00F0024F">
        <w:rPr>
          <w:noProof/>
          <w:color w:val="000000"/>
        </w:rPr>
        <w:t>under the proposed</w:t>
      </w:r>
      <w:r w:rsidR="00F077CA">
        <w:rPr>
          <w:noProof/>
          <w:color w:val="000000"/>
        </w:rPr>
        <w:t xml:space="preserve"> </w:t>
      </w:r>
      <w:r w:rsidR="00CC05E6">
        <w:rPr>
          <w:noProof/>
          <w:color w:val="000000"/>
        </w:rPr>
        <w:t>second a</w:t>
      </w:r>
      <w:r w:rsidR="00C17361">
        <w:rPr>
          <w:noProof/>
          <w:color w:val="000000"/>
        </w:rPr>
        <w:t>mendment</w:t>
      </w:r>
      <w:r w:rsidR="00F077CA" w:rsidRPr="00F0024F">
        <w:rPr>
          <w:noProof/>
          <w:color w:val="000000"/>
        </w:rPr>
        <w:t xml:space="preserve">, </w:t>
      </w:r>
      <w:r w:rsidR="00C17361">
        <w:rPr>
          <w:noProof/>
          <w:color w:val="000000"/>
        </w:rPr>
        <w:t xml:space="preserve"> existing or potential</w:t>
      </w:r>
      <w:r w:rsidR="00F077CA" w:rsidRPr="00F0024F">
        <w:rPr>
          <w:noProof/>
          <w:color w:val="000000"/>
        </w:rPr>
        <w:t xml:space="preserve"> uneconomic duplication of facilities</w:t>
      </w:r>
      <w:r w:rsidR="00F077CA" w:rsidRPr="00F0024F">
        <w:t xml:space="preserve"> would not occur</w:t>
      </w:r>
      <w:r w:rsidR="00C17361">
        <w:t>,</w:t>
      </w:r>
      <w:r w:rsidR="00F077CA" w:rsidRPr="00F0024F">
        <w:t xml:space="preserve"> because </w:t>
      </w:r>
      <w:r w:rsidR="00F077CA">
        <w:t xml:space="preserve">SECO </w:t>
      </w:r>
      <w:r w:rsidR="00F077CA" w:rsidRPr="00F0024F">
        <w:t xml:space="preserve">facilities are </w:t>
      </w:r>
      <w:r w:rsidR="0055645B">
        <w:t xml:space="preserve">very near the parcels, which means SECO is </w:t>
      </w:r>
      <w:r w:rsidR="00F077CA" w:rsidRPr="00F0024F">
        <w:t xml:space="preserve">better positioned to serve the </w:t>
      </w:r>
      <w:r w:rsidR="00C17361">
        <w:t>lots</w:t>
      </w:r>
      <w:r w:rsidR="00F077CA" w:rsidRPr="00F0024F">
        <w:t xml:space="preserve"> economically and efficiently.</w:t>
      </w:r>
      <w:r w:rsidR="00F077CA" w:rsidRPr="00F077CA">
        <w:t xml:space="preserve"> </w:t>
      </w:r>
      <w:r w:rsidR="00F077CA">
        <w:t>Staff believe</w:t>
      </w:r>
      <w:r w:rsidR="00C17361">
        <w:t>s</w:t>
      </w:r>
      <w:r w:rsidR="00F077CA">
        <w:t xml:space="preserve"> paragraph</w:t>
      </w:r>
      <w:r w:rsidR="00420DB8">
        <w:t xml:space="preserve"> </w:t>
      </w:r>
      <w:r w:rsidR="00F077CA">
        <w:t xml:space="preserve">(2)(d) </w:t>
      </w:r>
      <w:r w:rsidR="00F077CA" w:rsidRPr="00F0024F">
        <w:t>gives the Commission the flexibility to address any other relevant concerns that are case-specific.</w:t>
      </w:r>
      <w:r w:rsidR="00F077CA" w:rsidRPr="00F0024F" w:rsidDel="009A4309">
        <w:t xml:space="preserve"> </w:t>
      </w:r>
      <w:r w:rsidR="00F077CA" w:rsidRPr="00F0024F">
        <w:t>The joint petitioners assert</w:t>
      </w:r>
      <w:r w:rsidR="00F077CA">
        <w:t xml:space="preserve"> that</w:t>
      </w:r>
      <w:r w:rsidR="00F077CA" w:rsidRPr="00F0024F">
        <w:t xml:space="preserve"> there are non</w:t>
      </w:r>
      <w:r w:rsidR="00F077CA">
        <w:t>e</w:t>
      </w:r>
      <w:r w:rsidR="00C17361">
        <w:t>.</w:t>
      </w:r>
      <w:r w:rsidR="00F077CA">
        <w:rPr>
          <w:rStyle w:val="FootnoteReference"/>
        </w:rPr>
        <w:footnoteReference w:id="14"/>
      </w:r>
      <w:r w:rsidR="00C17361" w:rsidDel="00C17361">
        <w:t xml:space="preserve"> </w:t>
      </w:r>
    </w:p>
    <w:p w:rsidR="002876D7" w:rsidRDefault="002876D7" w:rsidP="002876D7">
      <w:pPr>
        <w:pStyle w:val="BodyText"/>
        <w:spacing w:after="0"/>
      </w:pPr>
      <w:r>
        <w:t>The joint petitioners assert that SECO is better positioned than Bushnell to provide cost-effective and reliable electric service to the two new residential customers (one in each parcel).</w:t>
      </w:r>
      <w:r>
        <w:rPr>
          <w:rStyle w:val="FootnoteReference"/>
        </w:rPr>
        <w:footnoteReference w:id="15"/>
      </w:r>
      <w:r w:rsidRPr="009F5A0B">
        <w:t xml:space="preserve"> </w:t>
      </w:r>
      <w:r>
        <w:t xml:space="preserve">SECO </w:t>
      </w:r>
      <w:r w:rsidRPr="009F5A0B">
        <w:t xml:space="preserve">has existing facilities </w:t>
      </w:r>
      <w:r>
        <w:t xml:space="preserve">that have adequate capacity and are closer to both parcels than Bushnell’s facilities. </w:t>
      </w:r>
      <w:r w:rsidR="00420DB8">
        <w:t xml:space="preserve">Staff agrees that </w:t>
      </w:r>
      <w:r w:rsidR="00420DB8" w:rsidRPr="009F5A0B">
        <w:t xml:space="preserve">SECO </w:t>
      </w:r>
      <w:r w:rsidR="00420DB8">
        <w:t>is better positioned than Bushnell to serve both parcels from an economic point of view, as well as from a reliability standpoint.</w:t>
      </w:r>
    </w:p>
    <w:p w:rsidR="00133225" w:rsidRDefault="002876D7" w:rsidP="00133225">
      <w:pPr>
        <w:autoSpaceDE w:val="0"/>
        <w:autoSpaceDN w:val="0"/>
        <w:adjustRightInd w:val="0"/>
        <w:jc w:val="both"/>
      </w:pPr>
      <w:r>
        <w:t xml:space="preserve">The joint petitioners state that the approval and implementation of the second amendment will not impact either entities’ ability to provide reliable electric service to current or future customers, consistent with the standards set forth in Section </w:t>
      </w:r>
      <w:r w:rsidRPr="00D04D6D">
        <w:t xml:space="preserve">366.04, F.S., and Rule </w:t>
      </w:r>
      <w:r w:rsidRPr="00D04D6D">
        <w:rPr>
          <w:rFonts w:ascii="TimesNewRomanPSMT" w:hAnsi="TimesNewRomanPSMT" w:cs="TimesNewRomanPSMT"/>
        </w:rPr>
        <w:t>25-6.0440(2)</w:t>
      </w:r>
      <w:r w:rsidRPr="00D04D6D">
        <w:t>, F.A.C.</w:t>
      </w:r>
      <w:r>
        <w:rPr>
          <w:rStyle w:val="FootnoteReference"/>
        </w:rPr>
        <w:footnoteReference w:id="16"/>
      </w:r>
      <w:r>
        <w:t xml:space="preserve"> The joint petitioners assert that approval of</w:t>
      </w:r>
      <w:r w:rsidRPr="00E60179">
        <w:t xml:space="preserve"> </w:t>
      </w:r>
      <w:r>
        <w:t>the second amendment would be in the public interest for several reasons. First, approval will eliminate the uneconomic duplication of services. Second, approval will provide electric service to the two transferred parcels in an efficient and cost-effective manner, and third, approval will not necessitate the transfer of any customer accounts or facilities between the joint petitioners.</w:t>
      </w:r>
      <w:r w:rsidR="00FE5204">
        <w:t xml:space="preserve"> </w:t>
      </w:r>
      <w:r>
        <w:t>S</w:t>
      </w:r>
      <w:r w:rsidR="00FE5204">
        <w:t xml:space="preserve">taff agrees that the </w:t>
      </w:r>
      <w:r w:rsidR="0095111E">
        <w:t>proposed second amendment</w:t>
      </w:r>
      <w:r w:rsidR="00FE5204">
        <w:t xml:space="preserve"> is in </w:t>
      </w:r>
      <w:r w:rsidR="00A43729">
        <w:t xml:space="preserve">the </w:t>
      </w:r>
      <w:r w:rsidR="00FE5204">
        <w:t>public interest and S</w:t>
      </w:r>
      <w:r w:rsidR="00FE5204" w:rsidRPr="009F5A0B">
        <w:t xml:space="preserve">ECO </w:t>
      </w:r>
      <w:r w:rsidR="00FE5204">
        <w:t xml:space="preserve">is better positioned than Bushnell to serve both parcels. </w:t>
      </w:r>
    </w:p>
    <w:p w:rsidR="00133225" w:rsidRDefault="00133225" w:rsidP="00133225">
      <w:pPr>
        <w:autoSpaceDE w:val="0"/>
        <w:autoSpaceDN w:val="0"/>
        <w:adjustRightInd w:val="0"/>
        <w:jc w:val="both"/>
      </w:pPr>
    </w:p>
    <w:p w:rsidR="00D33B9C" w:rsidRPr="00133225" w:rsidRDefault="00D33B9C" w:rsidP="00133225">
      <w:pPr>
        <w:autoSpaceDE w:val="0"/>
        <w:autoSpaceDN w:val="0"/>
        <w:adjustRightInd w:val="0"/>
        <w:jc w:val="both"/>
      </w:pPr>
      <w:r w:rsidRPr="00E82933">
        <w:rPr>
          <w:rFonts w:ascii="Arial" w:hAnsi="Arial" w:cs="Arial"/>
          <w:b/>
          <w:i/>
        </w:rPr>
        <w:tab/>
      </w:r>
      <w:r w:rsidR="00E82933" w:rsidRPr="00E82933">
        <w:rPr>
          <w:rFonts w:ascii="Arial" w:hAnsi="Arial" w:cs="Arial"/>
          <w:b/>
          <w:i/>
        </w:rPr>
        <w:t>Provision of Service</w:t>
      </w:r>
    </w:p>
    <w:p w:rsidR="00865697" w:rsidRPr="00133225" w:rsidRDefault="00D33B9C" w:rsidP="009178AF">
      <w:pPr>
        <w:pStyle w:val="BodyText"/>
        <w:spacing w:after="0"/>
        <w:rPr>
          <w:rFonts w:ascii="Arial" w:hAnsi="Arial" w:cs="Arial"/>
          <w:b/>
          <w:i/>
        </w:rPr>
      </w:pPr>
      <w:r>
        <w:t>T</w:t>
      </w:r>
      <w:r w:rsidRPr="00000790">
        <w:t xml:space="preserve">he </w:t>
      </w:r>
      <w:r w:rsidR="00775038">
        <w:t>joint petitioners</w:t>
      </w:r>
      <w:r w:rsidRPr="00000790">
        <w:t xml:space="preserve"> completed the transfer of </w:t>
      </w:r>
      <w:r>
        <w:t xml:space="preserve">the two </w:t>
      </w:r>
      <w:r w:rsidR="00341B53">
        <w:t xml:space="preserve">parcels </w:t>
      </w:r>
      <w:r w:rsidRPr="00000790">
        <w:t>prior to</w:t>
      </w:r>
      <w:r>
        <w:t xml:space="preserve"> filing </w:t>
      </w:r>
      <w:r w:rsidRPr="00000790">
        <w:t xml:space="preserve">the </w:t>
      </w:r>
      <w:r>
        <w:t>second amendment to their</w:t>
      </w:r>
      <w:r w:rsidRPr="00000790">
        <w:t xml:space="preserve"> </w:t>
      </w:r>
      <w:r>
        <w:t>t</w:t>
      </w:r>
      <w:r w:rsidRPr="00000790">
        <w:t xml:space="preserve">erritorial </w:t>
      </w:r>
      <w:r>
        <w:t>a</w:t>
      </w:r>
      <w:r w:rsidRPr="00000790">
        <w:t>greement</w:t>
      </w:r>
      <w:r w:rsidR="00D71FD5">
        <w:t>,</w:t>
      </w:r>
      <w:r>
        <w:t xml:space="preserve"> which is at issue in this docket.</w:t>
      </w:r>
      <w:r w:rsidRPr="00000790">
        <w:t xml:space="preserve"> </w:t>
      </w:r>
      <w:r w:rsidR="00865697">
        <w:t xml:space="preserve">Paragraph 5 of the second amendment (Meeting Customers Needs) references the temporary service agreement that was signed between SECO and the City. </w:t>
      </w:r>
      <w:r w:rsidR="00E17611">
        <w:t xml:space="preserve">The full text of Paragraph 5 </w:t>
      </w:r>
      <w:r w:rsidR="00865697">
        <w:t>s</w:t>
      </w:r>
      <w:r w:rsidR="00A43729">
        <w:t>tates</w:t>
      </w:r>
      <w:r w:rsidR="00865697">
        <w:t>:</w:t>
      </w:r>
    </w:p>
    <w:p w:rsidR="00865697" w:rsidRDefault="00865697" w:rsidP="00865697">
      <w:pPr>
        <w:autoSpaceDE w:val="0"/>
        <w:autoSpaceDN w:val="0"/>
        <w:adjustRightInd w:val="0"/>
        <w:jc w:val="both"/>
      </w:pPr>
    </w:p>
    <w:p w:rsidR="00865697" w:rsidRDefault="00865697" w:rsidP="00865697">
      <w:pPr>
        <w:autoSpaceDE w:val="0"/>
        <w:autoSpaceDN w:val="0"/>
        <w:adjustRightInd w:val="0"/>
        <w:ind w:left="720" w:right="720"/>
        <w:jc w:val="both"/>
      </w:pPr>
      <w:r w:rsidRPr="00052C0E">
        <w:rPr>
          <w:b/>
        </w:rPr>
        <w:t>Meeting Customer Needs</w:t>
      </w:r>
      <w:r>
        <w:t>. To timely meet the needs of the new customers, the Parties have entered into this Second Amendment to modify the Territorial Boundary Lines (see the detail reflected on Composite Exhibit A, Pages 15-17, which indicates the two parcels being transferred to SECO from Bushnell) so that the new customers will be within the SECO Territorial Area. Further, to meet the immediate and temporary construction needs of the new customers, the Parties have also entered into a temporary service agreement that would allow SECO to serve the new customers until such time as the Commission can approve the Second Amendment. (emphasis in original)</w:t>
      </w:r>
    </w:p>
    <w:p w:rsidR="00865697" w:rsidRDefault="00865697" w:rsidP="00865697">
      <w:pPr>
        <w:autoSpaceDE w:val="0"/>
        <w:autoSpaceDN w:val="0"/>
        <w:adjustRightInd w:val="0"/>
        <w:ind w:left="720" w:right="720"/>
        <w:jc w:val="both"/>
      </w:pPr>
    </w:p>
    <w:p w:rsidR="00D33B9C" w:rsidRDefault="00D33B9C" w:rsidP="00D33B9C">
      <w:pPr>
        <w:jc w:val="both"/>
      </w:pPr>
      <w:r w:rsidRPr="00000790">
        <w:t>Section 366.04(2)(d), F.S., provides that in the exercise of its jurisdiction, the Commission has power over electric utilities to approve territorial agreements between and among rural electric cooperatives, municipal electric utilities, and other electric utilities under its jurisdiction. The Commission has the exclusive and superior statutory jurisdiction to determine electric utility service areas.</w:t>
      </w:r>
      <w:r w:rsidR="00E82933">
        <w:rPr>
          <w:rStyle w:val="FootnoteReference"/>
        </w:rPr>
        <w:footnoteReference w:id="17"/>
      </w:r>
      <w:r w:rsidRPr="00000790">
        <w:t xml:space="preserve"> Without the Commission’s active supervision over territorial agreements, such agreements between utilities run afoul of anticompetitive and antitrust law and “can have no validity without the approval of this Commission.”</w:t>
      </w:r>
      <w:r w:rsidRPr="00000790">
        <w:rPr>
          <w:rStyle w:val="FootnoteReference"/>
        </w:rPr>
        <w:footnoteReference w:id="18"/>
      </w:r>
      <w:r w:rsidRPr="00000790">
        <w:t xml:space="preserve"> As stated by the Florida Supreme Court in </w:t>
      </w:r>
      <w:r w:rsidRPr="00000790">
        <w:rPr>
          <w:i/>
        </w:rPr>
        <w:t>City of Homestead v. Beard</w:t>
      </w:r>
      <w:r w:rsidRPr="00000790">
        <w:t>, 600 So. 2d 450, 452 (Fla. 1992):</w:t>
      </w:r>
    </w:p>
    <w:p w:rsidR="00D33B9C" w:rsidRDefault="00D33B9C" w:rsidP="00D33B9C">
      <w:pPr>
        <w:jc w:val="both"/>
      </w:pPr>
    </w:p>
    <w:p w:rsidR="00D33B9C" w:rsidRPr="00000790" w:rsidRDefault="00D33B9C" w:rsidP="00D33B9C">
      <w:pPr>
        <w:ind w:left="720" w:right="720"/>
        <w:jc w:val="both"/>
      </w:pPr>
      <w:r w:rsidRPr="00000790">
        <w:t xml:space="preserve">In </w:t>
      </w:r>
      <w:r w:rsidRPr="00000790">
        <w:rPr>
          <w:i/>
        </w:rPr>
        <w:t>City Gas Co. v. Peoples Gas System Inc.</w:t>
      </w:r>
      <w:r w:rsidRPr="00000790">
        <w:t xml:space="preserve">, 182 So. 2d 429, 433 (Fla.1965), this Court held that territorial agreements between public utilities were not violative of antitrust law based on the premise that “the public welfare does not need Ch. 542 for protection against this kind of agreement....because the public interest is adequately protected by an alternative arrangement under F.S. Ch. 366, F.S.A.” We further concluded that the “agreement could result in monopolistic control over price, production, or quality of service only by the sufferance of the commission” and that its “statutory powers are more than sufficient to prevent any such outcome if properly employed.” </w:t>
      </w:r>
      <w:r w:rsidRPr="00000790">
        <w:rPr>
          <w:i/>
        </w:rPr>
        <w:t>Id.</w:t>
      </w:r>
      <w:r w:rsidRPr="00000790">
        <w:t xml:space="preserve"> at 435. In </w:t>
      </w:r>
      <w:r w:rsidRPr="00000790">
        <w:rPr>
          <w:i/>
        </w:rPr>
        <w:t>Storey</w:t>
      </w:r>
      <w:r w:rsidRPr="00000790">
        <w:t>,</w:t>
      </w:r>
      <w:r w:rsidRPr="00000790">
        <w:rPr>
          <w:vertAlign w:val="superscript"/>
        </w:rPr>
        <w:t>[</w:t>
      </w:r>
      <w:r w:rsidRPr="00000790">
        <w:rPr>
          <w:rStyle w:val="FootnoteReference"/>
        </w:rPr>
        <w:footnoteReference w:id="19"/>
      </w:r>
      <w:r w:rsidRPr="00000790">
        <w:rPr>
          <w:vertAlign w:val="superscript"/>
        </w:rPr>
        <w:t>]</w:t>
      </w:r>
      <w:r w:rsidRPr="00000790">
        <w:t xml:space="preserve"> which upheld the PSC's approval of the instant agreement, this Court “recognized the importance of the regulatory function as a substitute for unrestrained competition” and commented that “a regulated or measurably controlled monopoly is in the public interest.” 217 So. 2d at 307. Therefore, our decisions exempting territorial agreements from antitrust legislation have been premised on the existence of a statutory system of regulations governing the public utilities that is sufficient to prevent any abuses arising from the monopoly power created by the agreements.</w:t>
      </w:r>
    </w:p>
    <w:p w:rsidR="00D33B9C" w:rsidRPr="00000790" w:rsidRDefault="00D33B9C" w:rsidP="00D33B9C">
      <w:pPr>
        <w:ind w:right="720"/>
        <w:jc w:val="both"/>
      </w:pPr>
    </w:p>
    <w:p w:rsidR="0066611E" w:rsidRDefault="00D33B9C" w:rsidP="00622E1F">
      <w:pPr>
        <w:jc w:val="both"/>
      </w:pPr>
      <w:r w:rsidRPr="00000790">
        <w:t xml:space="preserve">SECO and Bushnell </w:t>
      </w:r>
      <w:r>
        <w:t xml:space="preserve">have been put on prior notice by the Commission that </w:t>
      </w:r>
      <w:r w:rsidRPr="00000790">
        <w:t>any modification or termination of their territorial boundaries, as addressed by the Commission’s orders, must first be made by the Commission.</w:t>
      </w:r>
      <w:r w:rsidRPr="00000790">
        <w:rPr>
          <w:rStyle w:val="FootnoteReference"/>
        </w:rPr>
        <w:footnoteReference w:id="20"/>
      </w:r>
      <w:r>
        <w:t xml:space="preserve"> Staff recognizes that in certain limited circumstances, system efficiencies may dictate that one utility should provide service to a customer in the other utility’s service territory. Further, the timing of customer construction may require a utility to provide service to the customer on an exigent basis, before Commission approval can be secured. However, to ensure the Commission is fulfilling its role of active supervision over electric territorial matters, it is incumbent upon utilities, when finding themselves in such circumstances, to promptly communicate with the Commission and to file for </w:t>
      </w:r>
      <w:r w:rsidR="00852676">
        <w:t>modification</w:t>
      </w:r>
      <w:r>
        <w:t xml:space="preserve"> of their territorial boundaries as soon as practicable. To do otherwise raises the concern that </w:t>
      </w:r>
      <w:r w:rsidR="00852676">
        <w:t>utilities</w:t>
      </w:r>
      <w:r>
        <w:t xml:space="preserve"> are operating outside the purview of the Commission’s jurisdiction. </w:t>
      </w:r>
    </w:p>
    <w:p w:rsidR="0066611E" w:rsidRDefault="0066611E" w:rsidP="00622E1F">
      <w:pPr>
        <w:jc w:val="both"/>
      </w:pPr>
    </w:p>
    <w:p w:rsidR="00622E1F" w:rsidRDefault="00D33B9C" w:rsidP="00622E1F">
      <w:pPr>
        <w:jc w:val="both"/>
      </w:pPr>
      <w:r>
        <w:t>Staff believes the parties have acknowledged the Commission’s jurisdiction by explicitly stating that the temporary service agreement was ultimately subject to the Commission’s approval.</w:t>
      </w:r>
      <w:r w:rsidR="00CA3AB7">
        <w:t xml:space="preserve"> However, should the utilities find themselves in similar circumstances in the future, staff recommends the parties should be required to promptly notify Commission staff and state how the boundary is expected to change. The notification should also include the date service was first connected, and when a petition to modify the territorial boundary will be filed.</w:t>
      </w:r>
      <w:r w:rsidR="006052DE">
        <w:t xml:space="preserve"> The petition, when filed, should contain sufficient detail for staff and the Commission to fully understand the timing and circumstances of the territorial modification.</w:t>
      </w:r>
    </w:p>
    <w:p w:rsidR="00622E1F" w:rsidRDefault="00622E1F" w:rsidP="00622E1F">
      <w:pPr>
        <w:pStyle w:val="BodyText"/>
        <w:spacing w:after="0"/>
      </w:pPr>
    </w:p>
    <w:p w:rsidR="00E511C3" w:rsidRDefault="00D3402E" w:rsidP="00D3402E">
      <w:pPr>
        <w:pStyle w:val="First-LevelSubheading"/>
      </w:pPr>
      <w:r>
        <w:t>Conclusion</w:t>
      </w:r>
    </w:p>
    <w:p w:rsidR="005660D5" w:rsidRPr="00C02BFB" w:rsidRDefault="00160005" w:rsidP="00C02BFB">
      <w:pPr>
        <w:pStyle w:val="BodyText"/>
        <w:rPr>
          <w:rFonts w:ascii="TimesNewRomanPSMT" w:hAnsi="TimesNewRomanPSMT" w:cs="TimesNewRomanPSMT"/>
        </w:rPr>
      </w:pPr>
      <w:r>
        <w:rPr>
          <w:rFonts w:ascii="TimesNewRomanPSMT" w:hAnsi="TimesNewRomanPSMT" w:cs="TimesNewRomanPSMT"/>
        </w:rPr>
        <w:t>Staff recommends</w:t>
      </w:r>
      <w:r w:rsidR="00DC09D6">
        <w:rPr>
          <w:rFonts w:ascii="TimesNewRomanPSMT" w:hAnsi="TimesNewRomanPSMT" w:cs="TimesNewRomanPSMT"/>
        </w:rPr>
        <w:t xml:space="preserve"> the</w:t>
      </w:r>
      <w:r w:rsidR="00F21A09">
        <w:t xml:space="preserve"> Commission</w:t>
      </w:r>
      <w:r w:rsidR="000263EA">
        <w:t xml:space="preserve"> approve </w:t>
      </w:r>
      <w:r w:rsidR="000263EA" w:rsidRPr="008C2391">
        <w:t xml:space="preserve">the joint petition for proposed modification to </w:t>
      </w:r>
      <w:r w:rsidR="00341B53">
        <w:t>territorial agreement in</w:t>
      </w:r>
      <w:r w:rsidR="000263EA" w:rsidRPr="008C2391">
        <w:t xml:space="preserve"> Sumter County by SECO and Bushnell,</w:t>
      </w:r>
      <w:r w:rsidR="000263EA">
        <w:t xml:space="preserve"> which transfers two parcels from Bushnell to SECO. The proposed second amendment would </w:t>
      </w:r>
      <w:r w:rsidR="000263EA" w:rsidRPr="003F5AF7">
        <w:t>facilitate the provision</w:t>
      </w:r>
      <w:r w:rsidR="000263EA">
        <w:t xml:space="preserve"> of economical and</w:t>
      </w:r>
      <w:r w:rsidR="000263EA" w:rsidRPr="003F5AF7">
        <w:t xml:space="preserve"> reliable</w:t>
      </w:r>
      <w:r w:rsidR="000263EA">
        <w:t xml:space="preserve"> electric service by SECO to the two residential customers in the transferred parcels, </w:t>
      </w:r>
      <w:r w:rsidR="000263EA" w:rsidRPr="003F5AF7">
        <w:t xml:space="preserve">thereby </w:t>
      </w:r>
      <w:r w:rsidR="002E6FFD" w:rsidRPr="003F5AF7">
        <w:rPr>
          <w:rFonts w:ascii="TimesNewRomanPSMT" w:hAnsi="TimesNewRomanPSMT" w:cs="TimesNewRomanPSMT"/>
        </w:rPr>
        <w:t>avoiding</w:t>
      </w:r>
      <w:r w:rsidR="002E6FFD">
        <w:rPr>
          <w:rFonts w:ascii="TimesNewRomanPSMT" w:hAnsi="TimesNewRomanPSMT" w:cs="TimesNewRomanPSMT"/>
        </w:rPr>
        <w:t xml:space="preserve"> potential uneconomic</w:t>
      </w:r>
      <w:r w:rsidR="002E6FFD" w:rsidRPr="003F5AF7">
        <w:rPr>
          <w:rFonts w:ascii="TimesNewRomanPSMT" w:hAnsi="TimesNewRomanPSMT" w:cs="TimesNewRomanPSMT"/>
        </w:rPr>
        <w:t xml:space="preserve"> duplication</w:t>
      </w:r>
      <w:r w:rsidR="000263EA" w:rsidRPr="003F5AF7">
        <w:rPr>
          <w:rFonts w:ascii="TimesNewRomanPSMT" w:hAnsi="TimesNewRomanPSMT" w:cs="TimesNewRomanPSMT"/>
        </w:rPr>
        <w:t xml:space="preserve"> of facilities</w:t>
      </w:r>
      <w:r w:rsidR="00133225">
        <w:rPr>
          <w:rFonts w:ascii="TimesNewRomanPSMT" w:hAnsi="TimesNewRomanPSMT" w:cs="TimesNewRomanPSMT"/>
        </w:rPr>
        <w:t>.</w:t>
      </w:r>
      <w:r w:rsidR="00F21A09" w:rsidRPr="003F5AF7">
        <w:rPr>
          <w:rFonts w:ascii="TimesNewRomanPSMT" w:hAnsi="TimesNewRomanPSMT" w:cs="TimesNewRomanPSMT"/>
        </w:rPr>
        <w:t xml:space="preserve"> </w:t>
      </w:r>
      <w:r w:rsidR="0095111E">
        <w:rPr>
          <w:rFonts w:ascii="TimesNewRomanPSMT" w:hAnsi="TimesNewRomanPSMT" w:cs="TimesNewRomanPSMT"/>
        </w:rPr>
        <w:t xml:space="preserve">Should the </w:t>
      </w:r>
      <w:r w:rsidR="0095111E">
        <w:t>utilities find themselves in similar circumstances in the future, staff recommends the parties should be required to promptly notify Commission staff and state how the boundary is expected to change. The notification should also include the date service was first connected, and when a petition to modify the territorial boundary will be filed. The petition, when filed, should contain sufficient detail for staff and the Commission to fully understand the timing and circumstances of the territorial modification.</w:t>
      </w:r>
      <w:r w:rsidR="005660D5">
        <w:br w:type="page"/>
      </w:r>
    </w:p>
    <w:p w:rsidR="00DE3A74" w:rsidRDefault="00DE3A74">
      <w:pPr>
        <w:pStyle w:val="IssueHeading"/>
        <w:rPr>
          <w:vanish/>
          <w:specVanish/>
        </w:rPr>
      </w:pPr>
      <w:r w:rsidRPr="004C3641">
        <w:t xml:space="preserve">Issue </w:t>
      </w:r>
      <w:r w:rsidR="00A30F8F">
        <w:fldChar w:fldCharType="begin"/>
      </w:r>
      <w:r w:rsidR="00A30F8F">
        <w:instrText xml:space="preserve"> SEQ Issue \* MERGEFORMAT </w:instrText>
      </w:r>
      <w:r w:rsidR="00A30F8F">
        <w:fldChar w:fldCharType="separate"/>
      </w:r>
      <w:r w:rsidR="00C31522">
        <w:rPr>
          <w:noProof/>
        </w:rPr>
        <w:t>2</w:t>
      </w:r>
      <w:r w:rsidR="00A30F8F">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C31522">
        <w:rPr>
          <w:noProof/>
        </w:rPr>
        <w:instrText>2</w:instrText>
      </w:r>
      <w:r>
        <w:fldChar w:fldCharType="end"/>
      </w:r>
      <w:r>
        <w:tab/>
        <w:instrText xml:space="preserve">" \l 1 </w:instrText>
      </w:r>
      <w:r>
        <w:fldChar w:fldCharType="end"/>
      </w:r>
      <w:r>
        <w:t> </w:t>
      </w:r>
    </w:p>
    <w:p w:rsidR="00DE3A74" w:rsidRDefault="00DE3A74">
      <w:pPr>
        <w:pStyle w:val="BodyText"/>
      </w:pPr>
      <w:r>
        <w:t> Should this docket be closed?</w:t>
      </w:r>
    </w:p>
    <w:p w:rsidR="00DE3A74" w:rsidRPr="004C3641" w:rsidRDefault="00DE3A74">
      <w:pPr>
        <w:pStyle w:val="IssueSubsectionHeading"/>
        <w:rPr>
          <w:vanish/>
          <w:specVanish/>
        </w:rPr>
      </w:pPr>
      <w:r w:rsidRPr="004C3641">
        <w:t>Recommendation: </w:t>
      </w:r>
    </w:p>
    <w:p w:rsidR="00DE3A74" w:rsidRDefault="00DE3A74" w:rsidP="00DE3A74">
      <w:pPr>
        <w:autoSpaceDE w:val="0"/>
        <w:autoSpaceDN w:val="0"/>
        <w:adjustRightInd w:val="0"/>
        <w:jc w:val="both"/>
      </w:pPr>
      <w:r>
        <w:t> If no protest is filed by a person whose substantial interests are affected within 21 days of the issuance of the Order, this docket should be closed upon the issuance of a  Consummating Order. (Dose)</w:t>
      </w:r>
    </w:p>
    <w:p w:rsidR="00DE3A74" w:rsidRDefault="00DE3A74" w:rsidP="00DE3A74">
      <w:pPr>
        <w:autoSpaceDE w:val="0"/>
        <w:autoSpaceDN w:val="0"/>
        <w:adjustRightInd w:val="0"/>
        <w:jc w:val="both"/>
      </w:pPr>
    </w:p>
    <w:p w:rsidR="00DE3A74" w:rsidRPr="004C3641" w:rsidRDefault="00DE3A74">
      <w:pPr>
        <w:pStyle w:val="IssueSubsectionHeading"/>
        <w:rPr>
          <w:vanish/>
          <w:specVanish/>
        </w:rPr>
      </w:pPr>
      <w:r w:rsidRPr="004C3641">
        <w:t>Staff Analysis: </w:t>
      </w:r>
    </w:p>
    <w:p w:rsidR="00DE3A74" w:rsidRDefault="00DE3A74">
      <w:pPr>
        <w:pStyle w:val="BodyText"/>
      </w:pPr>
      <w:r>
        <w:t xml:space="preserve"> If </w:t>
      </w:r>
      <w:r w:rsidRPr="00DE3A74">
        <w:t>no protest is filed by a person whose substantial interests are affected within 21 days of the issuance of the Order, this docket should be closed upon the issuance of a Consummating Order.</w:t>
      </w:r>
    </w:p>
    <w:p w:rsidR="00E511C3" w:rsidRDefault="00E511C3">
      <w:pPr>
        <w:pStyle w:val="BodyText"/>
      </w:pPr>
    </w:p>
    <w:p w:rsidR="00E511C3" w:rsidRDefault="00E511C3">
      <w:pPr>
        <w:pStyle w:val="BodyText"/>
      </w:pPr>
    </w:p>
    <w:p w:rsidR="00E511C3" w:rsidRDefault="00E511C3">
      <w:pPr>
        <w:pStyle w:val="BodyText"/>
      </w:pPr>
    </w:p>
    <w:p w:rsidR="00E511C3" w:rsidRDefault="00E511C3">
      <w:pPr>
        <w:pStyle w:val="BodyText"/>
        <w:sectPr w:rsidR="00E511C3" w:rsidSect="0068481F">
          <w:headerReference w:type="default" r:id="rId11"/>
          <w:headerReference w:type="first" r:id="rId12"/>
          <w:footerReference w:type="first" r:id="rId13"/>
          <w:pgSz w:w="12240" w:h="15840" w:code="1"/>
          <w:pgMar w:top="1584" w:right="1440" w:bottom="1440" w:left="1440" w:header="720" w:footer="720" w:gutter="0"/>
          <w:cols w:space="720"/>
          <w:formProt w:val="0"/>
          <w:docGrid w:linePitch="360"/>
        </w:sectPr>
      </w:pPr>
    </w:p>
    <w:p w:rsidR="00E06484" w:rsidRDefault="00301AB8" w:rsidP="00DE3A74">
      <w:r>
        <w:object w:dxaOrig="9060" w:dyaOrig="11745" w14:anchorId="761943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2.15pt;height:587.5pt" o:ole="">
            <v:imagedata r:id="rId14" o:title=""/>
          </v:shape>
          <o:OLEObject Type="Embed" ProgID="Acrobat.Document.DC" ShapeID="_x0000_i1025" DrawAspect="Content" ObjectID="_1772522481" r:id="rId15"/>
        </w:object>
      </w:r>
      <w:r>
        <w:object w:dxaOrig="9060" w:dyaOrig="11700" w14:anchorId="42441D8D">
          <v:shape id="_x0000_i1026" type="#_x0000_t75" style="width:452.15pt;height:586.95pt" o:ole="">
            <v:imagedata r:id="rId16" o:title=""/>
          </v:shape>
          <o:OLEObject Type="Embed" ProgID="Acrobat.Document.DC" ShapeID="_x0000_i1026" DrawAspect="Content" ObjectID="_1772522482" r:id="rId17"/>
        </w:object>
      </w:r>
      <w:r>
        <w:object w:dxaOrig="9060" w:dyaOrig="11730" w14:anchorId="4A2E8E8D">
          <v:shape id="_x0000_i1027" type="#_x0000_t75" style="width:452.15pt;height:586.35pt" o:ole="">
            <v:imagedata r:id="rId18" o:title=""/>
          </v:shape>
          <o:OLEObject Type="Embed" ProgID="Acrobat.Document.DC" ShapeID="_x0000_i1027" DrawAspect="Content" ObjectID="_1772522483" r:id="rId19"/>
        </w:object>
      </w:r>
      <w:r>
        <w:object w:dxaOrig="9060" w:dyaOrig="11745" w14:anchorId="771F9960">
          <v:shape id="_x0000_i1028" type="#_x0000_t75" style="width:452.15pt;height:587.5pt" o:ole="">
            <v:imagedata r:id="rId20" o:title=""/>
          </v:shape>
          <o:OLEObject Type="Embed" ProgID="Acrobat.Document.DC" ShapeID="_x0000_i1028" DrawAspect="Content" ObjectID="_1772522484" r:id="rId21"/>
        </w:object>
      </w:r>
      <w:r w:rsidR="00312FFF">
        <w:object w:dxaOrig="19440" w:dyaOrig="25920" w14:anchorId="124BF622">
          <v:shape id="_x0000_i1029" type="#_x0000_t75" style="width:486.7pt;height:649.15pt" o:ole="">
            <v:imagedata r:id="rId22" o:title=""/>
          </v:shape>
          <o:OLEObject Type="Embed" ProgID="Acrobat.Document.DC" ShapeID="_x0000_i1029" DrawAspect="Content" ObjectID="_1772522485" r:id="rId23"/>
        </w:object>
      </w:r>
      <w:r>
        <w:object w:dxaOrig="11880" w:dyaOrig="9180" w14:anchorId="072E2C61">
          <v:shape id="_x0000_i1030" type="#_x0000_t75" style="width:478.65pt;height:370.95pt" o:ole="">
            <v:imagedata r:id="rId24" o:title=""/>
          </v:shape>
          <o:OLEObject Type="Embed" ProgID="Acrobat.Document.DC" ShapeID="_x0000_i1030" DrawAspect="Content" ObjectID="_1772522486" r:id="rId25"/>
        </w:object>
      </w:r>
    </w:p>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r>
        <w:object w:dxaOrig="11880" w:dyaOrig="9180" w14:anchorId="1169374B">
          <v:shape id="_x0000_i1031" type="#_x0000_t75" style="width:494.2pt;height:382.45pt" o:ole="">
            <v:imagedata r:id="rId26" o:title=""/>
          </v:shape>
          <o:OLEObject Type="Embed" ProgID="Acrobat.Document.DC" ShapeID="_x0000_i1031" DrawAspect="Content" ObjectID="_1772522487" r:id="rId27"/>
        </w:object>
      </w:r>
    </w:p>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r>
        <w:object w:dxaOrig="11880" w:dyaOrig="9180" w14:anchorId="0C7AF89D">
          <v:shape id="_x0000_i1032" type="#_x0000_t75" style="width:475.8pt;height:368.65pt" o:ole="">
            <v:imagedata r:id="rId28" o:title=""/>
          </v:shape>
          <o:OLEObject Type="Embed" ProgID="Acrobat.Document.DC" ShapeID="_x0000_i1032" DrawAspect="Content" ObjectID="_1772522488" r:id="rId29"/>
        </w:object>
      </w:r>
    </w:p>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r>
        <w:object w:dxaOrig="11880" w:dyaOrig="9180" w14:anchorId="64A053A2">
          <v:shape id="_x0000_i1033" type="#_x0000_t75" style="width:494.2pt;height:382.45pt" o:ole="">
            <v:imagedata r:id="rId30" o:title=""/>
          </v:shape>
          <o:OLEObject Type="Embed" ProgID="Acrobat.Document.DC" ShapeID="_x0000_i1033" DrawAspect="Content" ObjectID="_1772522489" r:id="rId31"/>
        </w:object>
      </w:r>
      <w:r>
        <w:object w:dxaOrig="11880" w:dyaOrig="9180" w14:anchorId="75B55B52">
          <v:shape id="_x0000_i1034" type="#_x0000_t75" style="width:496.5pt;height:382.45pt" o:ole="">
            <v:imagedata r:id="rId32" o:title=""/>
          </v:shape>
          <o:OLEObject Type="Embed" ProgID="Acrobat.Document.DC" ShapeID="_x0000_i1034" DrawAspect="Content" ObjectID="_1772522490" r:id="rId33"/>
        </w:object>
      </w:r>
      <w:r>
        <w:object w:dxaOrig="11880" w:dyaOrig="9180" w14:anchorId="497D4117">
          <v:shape id="_x0000_i1035" type="#_x0000_t75" style="width:501.7pt;height:387.65pt" o:ole="">
            <v:imagedata r:id="rId34" o:title=""/>
          </v:shape>
          <o:OLEObject Type="Embed" ProgID="Acrobat.Document.DC" ShapeID="_x0000_i1035" DrawAspect="Content" ObjectID="_1772522491" r:id="rId35"/>
        </w:object>
      </w:r>
    </w:p>
    <w:p w:rsidR="00CA42A6" w:rsidRDefault="00CA42A6" w:rsidP="00DE3A74">
      <w:r>
        <w:object w:dxaOrig="11880" w:dyaOrig="9180" w14:anchorId="6536E333">
          <v:shape id="_x0000_i1036" type="#_x0000_t75" style="width:503.4pt;height:389.95pt" o:ole="">
            <v:imagedata r:id="rId36" o:title=""/>
          </v:shape>
          <o:OLEObject Type="Embed" ProgID="Acrobat.Document.DC" ShapeID="_x0000_i1036" DrawAspect="Content" ObjectID="_1772522492" r:id="rId37"/>
        </w:object>
      </w:r>
    </w:p>
    <w:p w:rsidR="00CA42A6" w:rsidRDefault="00CA42A6" w:rsidP="00DE3A74">
      <w:r>
        <w:object w:dxaOrig="11880" w:dyaOrig="9180" w14:anchorId="05B6FF30">
          <v:shape id="_x0000_i1037" type="#_x0000_t75" style="width:517.8pt;height:400.9pt" o:ole="">
            <v:imagedata r:id="rId38" o:title=""/>
          </v:shape>
          <o:OLEObject Type="Embed" ProgID="Acrobat.Document.DC" ShapeID="_x0000_i1037" DrawAspect="Content" ObjectID="_1772522493" r:id="rId39"/>
        </w:object>
      </w:r>
    </w:p>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CA42A6" w:rsidP="00DE3A74"/>
    <w:p w:rsidR="00CA42A6" w:rsidRDefault="00DC3316" w:rsidP="00DE3A74">
      <w:r>
        <w:object w:dxaOrig="11880" w:dyaOrig="9180" w14:anchorId="586877E1">
          <v:shape id="_x0000_i1038" type="#_x0000_t75" style="width:520.15pt;height:400.9pt" o:ole="">
            <v:imagedata r:id="rId40" o:title=""/>
          </v:shape>
          <o:OLEObject Type="Embed" ProgID="Acrobat.Document.DC" ShapeID="_x0000_i1038" DrawAspect="Content" ObjectID="_1772522494" r:id="rId41"/>
        </w:object>
      </w:r>
    </w:p>
    <w:p w:rsidR="00CA42A6" w:rsidRDefault="00CA42A6" w:rsidP="00DE3A74"/>
    <w:p w:rsidR="00CA42A6" w:rsidRDefault="00CA42A6" w:rsidP="00DE3A74">
      <w:r>
        <w:object w:dxaOrig="11880" w:dyaOrig="9180" w14:anchorId="3ACBC95B">
          <v:shape id="_x0000_i1039" type="#_x0000_t75" style="width:496.5pt;height:382.45pt" o:ole="">
            <v:imagedata r:id="rId42" o:title=""/>
          </v:shape>
          <o:OLEObject Type="Embed" ProgID="Acrobat.Document.DC" ShapeID="_x0000_i1039" DrawAspect="Content" ObjectID="_1772522495" r:id="rId43"/>
        </w:object>
      </w:r>
    </w:p>
    <w:p w:rsidR="00CA42A6" w:rsidRDefault="00CA42A6" w:rsidP="00DE3A74">
      <w:r>
        <w:object w:dxaOrig="11880" w:dyaOrig="9180" w14:anchorId="36F88100">
          <v:shape id="_x0000_i1040" type="#_x0000_t75" style="width:507.45pt;height:392.25pt" o:ole="">
            <v:imagedata r:id="rId44" o:title=""/>
          </v:shape>
          <o:OLEObject Type="Embed" ProgID="Acrobat.Document.DC" ShapeID="_x0000_i1040" DrawAspect="Content" ObjectID="_1772522496" r:id="rId45"/>
        </w:object>
      </w:r>
      <w:r>
        <w:object w:dxaOrig="11880" w:dyaOrig="9180" w14:anchorId="7679A7C7">
          <v:shape id="_x0000_i1041" type="#_x0000_t75" style="width:526.45pt;height:407.8pt" o:ole="">
            <v:imagedata r:id="rId46" o:title=""/>
          </v:shape>
          <o:OLEObject Type="Embed" ProgID="Acrobat.Document.DC" ShapeID="_x0000_i1041" DrawAspect="Content" ObjectID="_1772522497" r:id="rId47"/>
        </w:object>
      </w:r>
      <w:r w:rsidR="00DC3316">
        <w:object w:dxaOrig="11880" w:dyaOrig="9180" w14:anchorId="342661C6">
          <v:shape id="_x0000_i1042" type="#_x0000_t75" style="width:499.95pt;height:384.75pt" o:ole="">
            <v:imagedata r:id="rId48" o:title=""/>
          </v:shape>
          <o:OLEObject Type="Embed" ProgID="Acrobat.Document.DC" ShapeID="_x0000_i1042" DrawAspect="Content" ObjectID="_1772522498" r:id="rId49"/>
        </w:object>
      </w:r>
    </w:p>
    <w:p w:rsidR="00CA42A6" w:rsidRDefault="00DC3316" w:rsidP="00DE3A74">
      <w:r>
        <w:object w:dxaOrig="11880" w:dyaOrig="9180" w14:anchorId="3F81B2BC">
          <v:shape id="_x0000_i1043" type="#_x0000_t75" style="width:499.95pt;height:387.65pt" o:ole="">
            <v:imagedata r:id="rId50" o:title=""/>
          </v:shape>
          <o:OLEObject Type="Embed" ProgID="Acrobat.Document.DC" ShapeID="_x0000_i1043" DrawAspect="Content" ObjectID="_1772522499" r:id="rId51"/>
        </w:object>
      </w:r>
    </w:p>
    <w:p w:rsidR="00CA42A6" w:rsidRDefault="00CA42A6" w:rsidP="00DE3A74">
      <w:r>
        <w:object w:dxaOrig="11880" w:dyaOrig="9180" w14:anchorId="6DB2ACE9">
          <v:shape id="_x0000_i1044" type="#_x0000_t75" style="width:496.5pt;height:382.45pt" o:ole="">
            <v:imagedata r:id="rId52" o:title=""/>
          </v:shape>
          <o:OLEObject Type="Embed" ProgID="Acrobat.Document.DC" ShapeID="_x0000_i1044" DrawAspect="Content" ObjectID="_1772522500" r:id="rId53"/>
        </w:object>
      </w:r>
    </w:p>
    <w:p w:rsidR="00B254C9" w:rsidRDefault="00B254C9" w:rsidP="00DE3A74"/>
    <w:p w:rsidR="00B254C9" w:rsidRDefault="00B254C9" w:rsidP="00DE3A74"/>
    <w:p w:rsidR="00B254C9" w:rsidRDefault="00B254C9" w:rsidP="00DE3A74"/>
    <w:p w:rsidR="00B254C9" w:rsidRDefault="00B254C9" w:rsidP="00DE3A74"/>
    <w:p w:rsidR="00B254C9" w:rsidRDefault="00B254C9" w:rsidP="00DE3A74"/>
    <w:p w:rsidR="00B254C9" w:rsidRDefault="00B254C9" w:rsidP="00DE3A74"/>
    <w:p w:rsidR="00B254C9" w:rsidRDefault="00B254C9" w:rsidP="00DE3A74"/>
    <w:p w:rsidR="00B254C9" w:rsidRDefault="00B254C9" w:rsidP="00DE3A74"/>
    <w:p w:rsidR="00B254C9" w:rsidRDefault="00B254C9" w:rsidP="00DE3A74"/>
    <w:p w:rsidR="00B254C9" w:rsidRDefault="00B254C9" w:rsidP="00DE3A74"/>
    <w:p w:rsidR="00B254C9" w:rsidRDefault="00B254C9" w:rsidP="00DE3A74"/>
    <w:p w:rsidR="00B254C9" w:rsidRDefault="00B254C9" w:rsidP="00DE3A74"/>
    <w:p w:rsidR="00B254C9" w:rsidRDefault="00B254C9" w:rsidP="00DE3A74"/>
    <w:p w:rsidR="00B254C9" w:rsidRDefault="00B254C9" w:rsidP="00DE3A74"/>
    <w:p w:rsidR="00B254C9" w:rsidRDefault="00B254C9" w:rsidP="00DE3A74"/>
    <w:p w:rsidR="00B254C9" w:rsidRDefault="00B254C9" w:rsidP="00DE3A74"/>
    <w:p w:rsidR="00B254C9" w:rsidRDefault="00B254C9" w:rsidP="00DE3A74"/>
    <w:p w:rsidR="00B254C9" w:rsidRDefault="00B254C9" w:rsidP="00DE3A74">
      <w:r>
        <w:object w:dxaOrig="9180" w:dyaOrig="11880" w14:anchorId="7AA065F2">
          <v:shape id="_x0000_i1045" type="#_x0000_t75" style="width:459.05pt;height:594.45pt" o:ole="">
            <v:imagedata r:id="rId54" o:title=""/>
          </v:shape>
          <o:OLEObject Type="Embed" ProgID="Acrobat.Document.DC" ShapeID="_x0000_i1045" DrawAspect="Content" ObjectID="_1772522501" r:id="rId55"/>
        </w:object>
      </w:r>
    </w:p>
    <w:p w:rsidR="00B254C9" w:rsidRDefault="00B254C9" w:rsidP="00DE3A74"/>
    <w:p w:rsidR="00B254C9" w:rsidRDefault="00B254C9" w:rsidP="00DE3A74"/>
    <w:p w:rsidR="00B254C9" w:rsidRDefault="00B254C9" w:rsidP="00DE3A74"/>
    <w:p w:rsidR="00B254C9" w:rsidRDefault="00B254C9" w:rsidP="00DE3A74">
      <w:r>
        <w:object w:dxaOrig="9180" w:dyaOrig="11880" w14:anchorId="7673E621">
          <v:shape id="_x0000_i1046" type="#_x0000_t75" style="width:459.05pt;height:594.45pt" o:ole="">
            <v:imagedata r:id="rId56" o:title=""/>
          </v:shape>
          <o:OLEObject Type="Embed" ProgID="Acrobat.Document.DC" ShapeID="_x0000_i1046" DrawAspect="Content" ObjectID="_1772522502" r:id="rId57"/>
        </w:object>
      </w:r>
    </w:p>
    <w:p w:rsidR="00B254C9" w:rsidRDefault="00B254C9" w:rsidP="00DE3A74"/>
    <w:p w:rsidR="009C7197" w:rsidRDefault="009C7197" w:rsidP="00DE3A74"/>
    <w:p w:rsidR="009C7197" w:rsidRDefault="009C7197" w:rsidP="00DE3A74"/>
    <w:p w:rsidR="009C7197" w:rsidRDefault="009C7197" w:rsidP="00DE3A74">
      <w:r w:rsidRPr="009C7197">
        <w:rPr>
          <w:noProof/>
        </w:rPr>
        <w:drawing>
          <wp:inline distT="0" distB="0" distL="0" distR="0" wp14:anchorId="187994C3" wp14:editId="419A62E9">
            <wp:extent cx="5942812" cy="813600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70954" cy="8174528"/>
                    </a:xfrm>
                    <a:prstGeom prst="rect">
                      <a:avLst/>
                    </a:prstGeom>
                    <a:noFill/>
                    <a:ln>
                      <a:noFill/>
                    </a:ln>
                  </pic:spPr>
                </pic:pic>
              </a:graphicData>
            </a:graphic>
          </wp:inline>
        </w:drawing>
      </w:r>
    </w:p>
    <w:p w:rsidR="009C7197" w:rsidRDefault="009C7197" w:rsidP="00DE3A74">
      <w:r w:rsidRPr="009C7197">
        <w:rPr>
          <w:noProof/>
        </w:rPr>
        <w:drawing>
          <wp:inline distT="0" distB="0" distL="0" distR="0" wp14:anchorId="6F938F23" wp14:editId="7D7AC8FA">
            <wp:extent cx="5942330" cy="7970400"/>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72589" cy="8010987"/>
                    </a:xfrm>
                    <a:prstGeom prst="rect">
                      <a:avLst/>
                    </a:prstGeom>
                    <a:noFill/>
                    <a:ln>
                      <a:noFill/>
                    </a:ln>
                  </pic:spPr>
                </pic:pic>
              </a:graphicData>
            </a:graphic>
          </wp:inline>
        </w:drawing>
      </w:r>
    </w:p>
    <w:p w:rsidR="009C7197" w:rsidRDefault="009C7197" w:rsidP="00DE3A74">
      <w:r w:rsidRPr="009C7197">
        <w:rPr>
          <w:noProof/>
        </w:rPr>
        <w:drawing>
          <wp:inline distT="0" distB="0" distL="0" distR="0" wp14:anchorId="50178876" wp14:editId="772A5767">
            <wp:extent cx="5943010" cy="804240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52262" cy="8054920"/>
                    </a:xfrm>
                    <a:prstGeom prst="rect">
                      <a:avLst/>
                    </a:prstGeom>
                    <a:noFill/>
                    <a:ln>
                      <a:noFill/>
                    </a:ln>
                  </pic:spPr>
                </pic:pic>
              </a:graphicData>
            </a:graphic>
          </wp:inline>
        </w:drawing>
      </w:r>
    </w:p>
    <w:p w:rsidR="009C7197" w:rsidRDefault="009C7197" w:rsidP="00DE3A74">
      <w:r w:rsidRPr="009C7197">
        <w:rPr>
          <w:noProof/>
        </w:rPr>
        <w:drawing>
          <wp:inline distT="0" distB="0" distL="0" distR="0" wp14:anchorId="2F675607" wp14:editId="4931102E">
            <wp:extent cx="5943010" cy="827280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52623" cy="8286182"/>
                    </a:xfrm>
                    <a:prstGeom prst="rect">
                      <a:avLst/>
                    </a:prstGeom>
                    <a:noFill/>
                    <a:ln>
                      <a:noFill/>
                    </a:ln>
                  </pic:spPr>
                </pic:pic>
              </a:graphicData>
            </a:graphic>
          </wp:inline>
        </w:drawing>
      </w:r>
    </w:p>
    <w:p w:rsidR="009C7197" w:rsidRDefault="009C7197" w:rsidP="00DE3A74">
      <w:r w:rsidRPr="009C7197">
        <w:rPr>
          <w:noProof/>
        </w:rPr>
        <w:drawing>
          <wp:inline distT="0" distB="0" distL="0" distR="0" wp14:anchorId="3D3418E7" wp14:editId="20647982">
            <wp:extent cx="5781675" cy="8287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85719" cy="8292996"/>
                    </a:xfrm>
                    <a:prstGeom prst="rect">
                      <a:avLst/>
                    </a:prstGeom>
                    <a:noFill/>
                    <a:ln>
                      <a:noFill/>
                    </a:ln>
                  </pic:spPr>
                </pic:pic>
              </a:graphicData>
            </a:graphic>
          </wp:inline>
        </w:drawing>
      </w:r>
    </w:p>
    <w:sectPr w:rsidR="009C7197" w:rsidSect="0068481F">
      <w:headerReference w:type="default" r:id="rId63"/>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E05E8" w:rsidRDefault="007E05E8">
      <w:r>
        <w:separator/>
      </w:r>
    </w:p>
  </w:endnote>
  <w:endnote w:type="continuationSeparator" w:id="0">
    <w:p w:rsidR="007E05E8" w:rsidRDefault="007E05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640765">
      <w:rPr>
        <w:rStyle w:val="PageNumber"/>
        <w:noProof/>
      </w:rPr>
      <w:t>21</w:t>
    </w:r>
    <w:r>
      <w:rPr>
        <w:rStyle w:val="PageNumber"/>
      </w:rPr>
      <w:fldChar w:fldCharType="end"/>
    </w:r>
    <w:r>
      <w:rPr>
        <w:rStyle w:val="PageNumber"/>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E05E8" w:rsidRDefault="007E05E8">
      <w:r>
        <w:separator/>
      </w:r>
    </w:p>
  </w:footnote>
  <w:footnote w:type="continuationSeparator" w:id="0">
    <w:p w:rsidR="007E05E8" w:rsidRDefault="007E05E8">
      <w:r>
        <w:continuationSeparator/>
      </w:r>
    </w:p>
  </w:footnote>
  <w:footnote w:id="1">
    <w:p w:rsidR="00420098" w:rsidRDefault="00420098">
      <w:pPr>
        <w:pStyle w:val="FootnoteText"/>
      </w:pPr>
      <w:r>
        <w:rPr>
          <w:rStyle w:val="FootnoteReference"/>
        </w:rPr>
        <w:footnoteRef/>
      </w:r>
      <w:r w:rsidR="00DF32DF">
        <w:t xml:space="preserve">Document No. 06769-2023, </w:t>
      </w:r>
      <w:r w:rsidR="003808CA">
        <w:t>Errata</w:t>
      </w:r>
      <w:r w:rsidR="001D32CE">
        <w:t xml:space="preserve"> filing fo</w:t>
      </w:r>
      <w:r w:rsidR="00DF32DF">
        <w:t>r Joint petition for approval of modification to territorial agreement in Sumter County, by Sumter Electric Cooperative, Inc. and the City of Bushnell.</w:t>
      </w:r>
    </w:p>
  </w:footnote>
  <w:footnote w:id="2">
    <w:p w:rsidR="00080563" w:rsidRDefault="00E511C3">
      <w:pPr>
        <w:pStyle w:val="FootnoteText"/>
      </w:pPr>
      <w:r>
        <w:rPr>
          <w:rStyle w:val="FootnoteReference"/>
        </w:rPr>
        <w:footnoteRef/>
      </w:r>
      <w:r w:rsidR="00F82C43">
        <w:t>Order No</w:t>
      </w:r>
      <w:r w:rsidR="005B0FA3">
        <w:t>.</w:t>
      </w:r>
      <w:r w:rsidR="00F82C43">
        <w:t xml:space="preserve"> PSC-2020-0258-PAA-EU, issued April 17, 2020, </w:t>
      </w:r>
      <w:r w:rsidR="005B0FA3">
        <w:t>and consummated by Order No. PSC-2020-0281-CO-EU, issued August 19, 2020. Both orders w</w:t>
      </w:r>
      <w:r w:rsidR="00DF32DF">
        <w:t>ere issued in Docket No. 2020013</w:t>
      </w:r>
      <w:r w:rsidR="005B0FA3">
        <w:t xml:space="preserve">8-EU,  </w:t>
      </w:r>
      <w:r w:rsidR="00DF32DF">
        <w:rPr>
          <w:i/>
        </w:rPr>
        <w:t>In re: Joint p</w:t>
      </w:r>
      <w:r w:rsidR="00F82C43" w:rsidRPr="00F82C43">
        <w:rPr>
          <w:i/>
        </w:rPr>
        <w:t>etition for</w:t>
      </w:r>
      <w:r w:rsidR="00F82C43">
        <w:t xml:space="preserve"> </w:t>
      </w:r>
      <w:r w:rsidR="00DF32DF">
        <w:rPr>
          <w:i/>
          <w:iCs/>
        </w:rPr>
        <w:t>approval of territorial a</w:t>
      </w:r>
      <w:r w:rsidR="00F82C43">
        <w:rPr>
          <w:i/>
          <w:iCs/>
        </w:rPr>
        <w:t xml:space="preserve">greement </w:t>
      </w:r>
      <w:r w:rsidR="00DF32DF">
        <w:rPr>
          <w:i/>
          <w:iCs/>
        </w:rPr>
        <w:t>in Sumter County, by</w:t>
      </w:r>
      <w:r w:rsidR="00F82C43">
        <w:rPr>
          <w:i/>
          <w:iCs/>
        </w:rPr>
        <w:t xml:space="preserve"> Sumter </w:t>
      </w:r>
      <w:r w:rsidR="005B0FA3">
        <w:rPr>
          <w:i/>
          <w:iCs/>
        </w:rPr>
        <w:t>E</w:t>
      </w:r>
      <w:r w:rsidR="00F82C43">
        <w:rPr>
          <w:i/>
          <w:iCs/>
        </w:rPr>
        <w:t>lectric Cooperative, Inc. and City of Bushnell</w:t>
      </w:r>
      <w:r w:rsidR="005B0FA3">
        <w:rPr>
          <w:i/>
          <w:iCs/>
        </w:rPr>
        <w:t>.</w:t>
      </w:r>
    </w:p>
  </w:footnote>
  <w:footnote w:id="3">
    <w:p w:rsidR="00C4219C" w:rsidRDefault="00C4219C">
      <w:pPr>
        <w:pStyle w:val="FootnoteText"/>
      </w:pPr>
      <w:r>
        <w:rPr>
          <w:rStyle w:val="FootnoteReference"/>
        </w:rPr>
        <w:footnoteRef/>
      </w:r>
      <w:r>
        <w:t xml:space="preserve">Order No. PSC-2022-0065-PAA-EU, issued February 18, 2022, and consummated by Order No. PSC-2022-0112-CO-EU, issued March 14, 2022. Both orders were issued in Docket No. 20210170-EU,  </w:t>
      </w:r>
      <w:r w:rsidR="00DF32DF">
        <w:rPr>
          <w:i/>
        </w:rPr>
        <w:t>In re: joint p</w:t>
      </w:r>
      <w:r w:rsidRPr="00F82C43">
        <w:rPr>
          <w:i/>
        </w:rPr>
        <w:t>etition for</w:t>
      </w:r>
      <w:r>
        <w:t xml:space="preserve"> </w:t>
      </w:r>
      <w:r w:rsidR="00DF32DF">
        <w:rPr>
          <w:i/>
          <w:iCs/>
        </w:rPr>
        <w:t>a</w:t>
      </w:r>
      <w:r>
        <w:rPr>
          <w:i/>
          <w:iCs/>
        </w:rPr>
        <w:t xml:space="preserve">pproval of </w:t>
      </w:r>
      <w:r w:rsidR="00DF32DF">
        <w:rPr>
          <w:i/>
          <w:iCs/>
        </w:rPr>
        <w:t>amendment to territorial a</w:t>
      </w:r>
      <w:r>
        <w:rPr>
          <w:i/>
          <w:iCs/>
        </w:rPr>
        <w:t>greement</w:t>
      </w:r>
      <w:r w:rsidR="00DF32DF">
        <w:rPr>
          <w:i/>
          <w:iCs/>
        </w:rPr>
        <w:t xml:space="preserve"> in Sumter County, by</w:t>
      </w:r>
      <w:r>
        <w:rPr>
          <w:i/>
          <w:iCs/>
        </w:rPr>
        <w:t xml:space="preserve"> Sumter Electric Cooperative, Inc. and City of Bushnell.</w:t>
      </w:r>
    </w:p>
  </w:footnote>
  <w:footnote w:id="4">
    <w:p w:rsidR="00AB21B9" w:rsidRDefault="00AB21B9">
      <w:pPr>
        <w:pStyle w:val="FootnoteText"/>
      </w:pPr>
      <w:r>
        <w:rPr>
          <w:rStyle w:val="FootnoteReference"/>
        </w:rPr>
        <w:footnoteRef/>
      </w:r>
      <w:r w:rsidR="00341B53">
        <w:t>Document No. 00367-2024, joint petitioners’</w:t>
      </w:r>
      <w:r>
        <w:t xml:space="preserve"> response to staff’s first data request, with attachments</w:t>
      </w:r>
      <w:r w:rsidR="00341B53">
        <w:t>, and Document No. 00741-2024, joint petitioners’</w:t>
      </w:r>
      <w:r>
        <w:t xml:space="preserve"> response to staff’s second data request, with attachments.</w:t>
      </w:r>
    </w:p>
  </w:footnote>
  <w:footnote w:id="5">
    <w:p w:rsidR="00E511C3" w:rsidRDefault="00E511C3" w:rsidP="00E511C3">
      <w:pPr>
        <w:autoSpaceDE w:val="0"/>
        <w:autoSpaceDN w:val="0"/>
        <w:adjustRightInd w:val="0"/>
        <w:rPr>
          <w:rFonts w:ascii="TimesNewRomanPSMT" w:hAnsi="TimesNewRomanPSMT" w:cs="TimesNewRomanPSMT"/>
          <w:sz w:val="20"/>
          <w:szCs w:val="20"/>
        </w:rPr>
      </w:pPr>
      <w:r>
        <w:rPr>
          <w:rStyle w:val="FootnoteReference"/>
        </w:rPr>
        <w:footnoteRef/>
      </w:r>
      <w:r w:rsidRPr="0023097E">
        <w:rPr>
          <w:rFonts w:ascii="TimesNewRomanPSMT" w:hAnsi="TimesNewRomanPSMT" w:cs="TimesNewRomanPSMT"/>
          <w:i/>
          <w:sz w:val="20"/>
          <w:szCs w:val="20"/>
        </w:rPr>
        <w:t>Utilities Commission of the City of New Smyrna Beach v. Florida Public Service Commission</w:t>
      </w:r>
      <w:r>
        <w:rPr>
          <w:rFonts w:ascii="TimesNewRomanPSMT" w:hAnsi="TimesNewRomanPSMT" w:cs="TimesNewRomanPSMT"/>
          <w:sz w:val="20"/>
          <w:szCs w:val="20"/>
        </w:rPr>
        <w:t>, 469 So. 2d 731</w:t>
      </w:r>
    </w:p>
    <w:p w:rsidR="00E511C3" w:rsidRDefault="00E511C3" w:rsidP="00E511C3">
      <w:pPr>
        <w:pStyle w:val="FootnoteText"/>
      </w:pPr>
      <w:r>
        <w:rPr>
          <w:rFonts w:ascii="TimesNewRomanPSMT" w:hAnsi="TimesNewRomanPSMT" w:cs="TimesNewRomanPSMT"/>
        </w:rPr>
        <w:t>(Fla. 1985).</w:t>
      </w:r>
    </w:p>
  </w:footnote>
  <w:footnote w:id="6">
    <w:p w:rsidR="004F3591" w:rsidRDefault="004F3591" w:rsidP="004F3591">
      <w:pPr>
        <w:pStyle w:val="FootnoteText"/>
      </w:pPr>
      <w:r>
        <w:rPr>
          <w:rStyle w:val="FootnoteReference"/>
        </w:rPr>
        <w:footnoteRef/>
      </w:r>
      <w:r w:rsidR="00341B53">
        <w:t>Document No. 00741-2024, j</w:t>
      </w:r>
      <w:r w:rsidR="00D71FD5">
        <w:t>oint petitioners’</w:t>
      </w:r>
      <w:r>
        <w:t xml:space="preserve"> response to staff’s second data request, with attachments, Nos. 8.a and 8.b.</w:t>
      </w:r>
    </w:p>
  </w:footnote>
  <w:footnote w:id="7">
    <w:p w:rsidR="004F3591" w:rsidRDefault="004F3591" w:rsidP="004F3591">
      <w:pPr>
        <w:pStyle w:val="FootnoteText"/>
      </w:pPr>
      <w:r>
        <w:rPr>
          <w:rStyle w:val="FootnoteReference"/>
        </w:rPr>
        <w:footnoteRef/>
      </w:r>
      <w:r w:rsidR="00D71FD5">
        <w:t>Document No. 00741-2024, j</w:t>
      </w:r>
      <w:r>
        <w:t>oint petitioners</w:t>
      </w:r>
      <w:r w:rsidR="00D71FD5">
        <w:t>’</w:t>
      </w:r>
      <w:r>
        <w:t xml:space="preserve"> response to staff’s second data request, with attachments, No. 2.a. and 2.b.</w:t>
      </w:r>
    </w:p>
  </w:footnote>
  <w:footnote w:id="8">
    <w:p w:rsidR="004F3591" w:rsidRDefault="004F3591" w:rsidP="004F3591">
      <w:pPr>
        <w:pStyle w:val="FootnoteText"/>
      </w:pPr>
      <w:r>
        <w:rPr>
          <w:rStyle w:val="FootnoteReference"/>
        </w:rPr>
        <w:footnoteRef/>
      </w:r>
      <w:r w:rsidR="00D71FD5">
        <w:t>Document No. 00741-2024, joint petitioners’</w:t>
      </w:r>
      <w:r>
        <w:t xml:space="preserve"> response to staff’s second data request, with attachments, No. 9.a.</w:t>
      </w:r>
    </w:p>
  </w:footnote>
  <w:footnote w:id="9">
    <w:p w:rsidR="008C2391" w:rsidRDefault="008C2391">
      <w:pPr>
        <w:pStyle w:val="FootnoteText"/>
      </w:pPr>
      <w:r>
        <w:rPr>
          <w:rStyle w:val="FootnoteReference"/>
        </w:rPr>
        <w:footnoteRef/>
      </w:r>
      <w:r w:rsidR="00D71FD5">
        <w:t>Document No. 00367-2024, joint petitioners’</w:t>
      </w:r>
      <w:r w:rsidR="008B7BB6">
        <w:t xml:space="preserve"> response to staff’s first data request, with attachments, </w:t>
      </w:r>
      <w:r>
        <w:t>No. 1.</w:t>
      </w:r>
    </w:p>
  </w:footnote>
  <w:footnote w:id="10">
    <w:p w:rsidR="00861270" w:rsidRDefault="00861270">
      <w:pPr>
        <w:pStyle w:val="FootnoteText"/>
      </w:pPr>
      <w:r>
        <w:rPr>
          <w:rStyle w:val="FootnoteReference"/>
        </w:rPr>
        <w:footnoteRef/>
      </w:r>
      <w:r w:rsidR="008C2391" w:rsidRPr="00D10291">
        <w:rPr>
          <w:i/>
        </w:rPr>
        <w:t>Id.</w:t>
      </w:r>
    </w:p>
  </w:footnote>
  <w:footnote w:id="11">
    <w:p w:rsidR="00861270" w:rsidRDefault="00861270">
      <w:pPr>
        <w:pStyle w:val="FootnoteText"/>
      </w:pPr>
      <w:r>
        <w:rPr>
          <w:rStyle w:val="FootnoteReference"/>
        </w:rPr>
        <w:footnoteRef/>
      </w:r>
      <w:r w:rsidR="0024677B" w:rsidRPr="00D10291">
        <w:rPr>
          <w:i/>
        </w:rPr>
        <w:t>Id.</w:t>
      </w:r>
    </w:p>
  </w:footnote>
  <w:footnote w:id="12">
    <w:p w:rsidR="00861270" w:rsidRDefault="00861270">
      <w:pPr>
        <w:pStyle w:val="FootnoteText"/>
      </w:pPr>
      <w:r>
        <w:rPr>
          <w:rStyle w:val="FootnoteReference"/>
        </w:rPr>
        <w:footnoteRef/>
      </w:r>
      <w:r w:rsidR="0024677B" w:rsidRPr="00D10291">
        <w:rPr>
          <w:i/>
        </w:rPr>
        <w:t>Id.</w:t>
      </w:r>
    </w:p>
  </w:footnote>
  <w:footnote w:id="13">
    <w:p w:rsidR="007A6A31" w:rsidRDefault="007A6A31">
      <w:pPr>
        <w:pStyle w:val="FootnoteText"/>
      </w:pPr>
      <w:r>
        <w:rPr>
          <w:rStyle w:val="FootnoteReference"/>
        </w:rPr>
        <w:footnoteRef/>
      </w:r>
      <w:r>
        <w:t xml:space="preserve">Document No. </w:t>
      </w:r>
      <w:r w:rsidR="00EB62CF">
        <w:t>00367</w:t>
      </w:r>
      <w:r>
        <w:t xml:space="preserve">-2024, </w:t>
      </w:r>
      <w:r w:rsidR="00D71FD5">
        <w:t>joint petitioners’</w:t>
      </w:r>
      <w:r w:rsidR="009D74CD">
        <w:t xml:space="preserve"> response to staff’s first data request, with attachments, No. 3</w:t>
      </w:r>
      <w:r>
        <w:t>.</w:t>
      </w:r>
    </w:p>
  </w:footnote>
  <w:footnote w:id="14">
    <w:p w:rsidR="00F077CA" w:rsidRDefault="00F077CA">
      <w:pPr>
        <w:pStyle w:val="FootnoteText"/>
      </w:pPr>
      <w:r>
        <w:rPr>
          <w:rStyle w:val="FootnoteReference"/>
        </w:rPr>
        <w:footnoteRef/>
      </w:r>
      <w:r>
        <w:t xml:space="preserve">Document No. </w:t>
      </w:r>
      <w:r w:rsidR="00EB62CF">
        <w:t>00367</w:t>
      </w:r>
      <w:r>
        <w:t xml:space="preserve">-2024, </w:t>
      </w:r>
      <w:r w:rsidR="00D71FD5">
        <w:t>joint petitioners’</w:t>
      </w:r>
      <w:r w:rsidR="006F190C">
        <w:t xml:space="preserve"> response to staff’s first data request, with attachments, No. </w:t>
      </w:r>
      <w:r w:rsidR="0024677B">
        <w:t>8</w:t>
      </w:r>
      <w:r>
        <w:t>.</w:t>
      </w:r>
    </w:p>
  </w:footnote>
  <w:footnote w:id="15">
    <w:p w:rsidR="002876D7" w:rsidRDefault="002876D7" w:rsidP="002876D7">
      <w:pPr>
        <w:pStyle w:val="FootnoteText"/>
      </w:pPr>
      <w:r>
        <w:rPr>
          <w:rStyle w:val="FootnoteReference"/>
        </w:rPr>
        <w:footnoteRef/>
      </w:r>
      <w:r w:rsidR="00D71FD5">
        <w:t>Document No. 00367-2024, joint petitioners’</w:t>
      </w:r>
      <w:r>
        <w:t xml:space="preserve"> response to staff’s first data request, with attachments, Nos. 5, 6, 7, and 8</w:t>
      </w:r>
      <w:r w:rsidR="00D71FD5">
        <w:t>, and Document No. 00741-2024, joint petitioners’</w:t>
      </w:r>
      <w:r>
        <w:t xml:space="preserve"> response to staff’s second data request, with attachments, Nos. 1, 8.b., and 9.b.</w:t>
      </w:r>
    </w:p>
  </w:footnote>
  <w:footnote w:id="16">
    <w:p w:rsidR="002876D7" w:rsidRDefault="002876D7" w:rsidP="002876D7">
      <w:pPr>
        <w:pStyle w:val="FootnoteText"/>
      </w:pPr>
      <w:r>
        <w:rPr>
          <w:rStyle w:val="FootnoteReference"/>
        </w:rPr>
        <w:footnoteRef/>
      </w:r>
      <w:r>
        <w:t>Document No. 00367-2024, Joint [petitioners] response to staff’s first data request, with attachments, No. 7.</w:t>
      </w:r>
    </w:p>
  </w:footnote>
  <w:footnote w:id="17">
    <w:p w:rsidR="00E82933" w:rsidRDefault="00E82933">
      <w:pPr>
        <w:pStyle w:val="FootnoteText"/>
      </w:pPr>
      <w:r>
        <w:rPr>
          <w:rStyle w:val="FootnoteReference"/>
        </w:rPr>
        <w:footnoteRef/>
      </w:r>
      <w:r w:rsidRPr="00E82933">
        <w:rPr>
          <w:i/>
        </w:rPr>
        <w:t>Board of County Commissioners Indian River County v. Graham</w:t>
      </w:r>
      <w:r w:rsidRPr="00E82933">
        <w:t>, 191 So. 3d 890, 892 (Fla. 2016).</w:t>
      </w:r>
    </w:p>
  </w:footnote>
  <w:footnote w:id="18">
    <w:p w:rsidR="00D33B9C" w:rsidRPr="00B128FF" w:rsidRDefault="00D33B9C" w:rsidP="00D33B9C">
      <w:pPr>
        <w:pStyle w:val="FootnoteText"/>
      </w:pPr>
      <w:r>
        <w:rPr>
          <w:rStyle w:val="FootnoteReference"/>
        </w:rPr>
        <w:footnoteRef/>
      </w:r>
      <w:r w:rsidR="0066611E" w:rsidRPr="0066611E">
        <w:t xml:space="preserve">Order No. 3051, issued November 9, 1960, in Docket No. 6231-GU, </w:t>
      </w:r>
      <w:r w:rsidR="0066611E" w:rsidRPr="0066611E">
        <w:rPr>
          <w:i/>
        </w:rPr>
        <w:t>In re. Territorial Agreement Between Peoples Gas Sys. and City Gas Co.</w:t>
      </w:r>
      <w:r w:rsidR="0066611E" w:rsidRPr="0066611E">
        <w:t>, at p. 1.</w:t>
      </w:r>
      <w:r w:rsidR="0066611E">
        <w:t xml:space="preserve"> </w:t>
      </w:r>
      <w:r w:rsidRPr="001A76C7">
        <w:rPr>
          <w:i/>
        </w:rPr>
        <w:t>See also</w:t>
      </w:r>
      <w:r>
        <w:t xml:space="preserve"> </w:t>
      </w:r>
      <w:r w:rsidRPr="00C37A96">
        <w:rPr>
          <w:i/>
        </w:rPr>
        <w:t>Public Service Commission v. Fuller</w:t>
      </w:r>
      <w:r w:rsidRPr="00C45E30">
        <w:t>, 551 So. 2d 1210, 1212 (Fla. 1989)</w:t>
      </w:r>
      <w:r>
        <w:t xml:space="preserve">; </w:t>
      </w:r>
      <w:r>
        <w:rPr>
          <w:i/>
        </w:rPr>
        <w:t>City Gas Co. v. Peoples Gas System, Inc.</w:t>
      </w:r>
      <w:r>
        <w:t>, 182 So. 2d 429, 436 (Fla. 1965).</w:t>
      </w:r>
    </w:p>
  </w:footnote>
  <w:footnote w:id="19">
    <w:p w:rsidR="00D33B9C" w:rsidRDefault="00D33B9C" w:rsidP="00D33B9C">
      <w:pPr>
        <w:pStyle w:val="FootnoteText"/>
      </w:pPr>
      <w:r>
        <w:rPr>
          <w:rStyle w:val="FootnoteReference"/>
        </w:rPr>
        <w:footnoteRef/>
      </w:r>
      <w:r w:rsidRPr="00615E4E">
        <w:rPr>
          <w:i/>
        </w:rPr>
        <w:t>Storey v. Mayo</w:t>
      </w:r>
      <w:r>
        <w:t xml:space="preserve">, 217 So. 2d 304 (Fla.1968), </w:t>
      </w:r>
      <w:r w:rsidRPr="00615E4E">
        <w:rPr>
          <w:i/>
        </w:rPr>
        <w:t>cert. denied</w:t>
      </w:r>
      <w:r>
        <w:t>, 395 U.S. 909, 89 S.Ct. 1751, 23 L.Ed.2d 222 (1969).</w:t>
      </w:r>
    </w:p>
  </w:footnote>
  <w:footnote w:id="20">
    <w:p w:rsidR="00D33B9C" w:rsidRDefault="00D33B9C" w:rsidP="00D33B9C">
      <w:pPr>
        <w:pStyle w:val="FootnoteText"/>
      </w:pPr>
      <w:r>
        <w:rPr>
          <w:rStyle w:val="FootnoteReference"/>
        </w:rPr>
        <w:footnoteRef/>
      </w:r>
      <w:r>
        <w:t xml:space="preserve">Order No. PSC-2020-0258-PAA-EU, issued July 24, 2020, in Docket No. 20200138-EU, </w:t>
      </w:r>
      <w:r w:rsidRPr="00000790">
        <w:rPr>
          <w:i/>
        </w:rPr>
        <w:t>In re: Joint petition for approval of territorial agreement in Sumter County, by Sumter Electric Cooperative, Inc. and City of Bushnell.</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126A73" w:rsidP="00220732">
    <w:pPr>
      <w:pStyle w:val="Header"/>
      <w:tabs>
        <w:tab w:val="clear" w:pos="4320"/>
        <w:tab w:val="clear" w:pos="8640"/>
        <w:tab w:val="right" w:pos="9360"/>
      </w:tabs>
    </w:pPr>
    <w:bookmarkStart w:id="14" w:name="DocketLabel"/>
    <w:r>
      <w:t>Docket No.</w:t>
    </w:r>
    <w:bookmarkEnd w:id="14"/>
    <w:r w:rsidR="00BC402E">
      <w:t xml:space="preserve"> </w:t>
    </w:r>
    <w:bookmarkStart w:id="15" w:name="DocketList"/>
    <w:r>
      <w:t>20230140-EU</w:t>
    </w:r>
    <w:bookmarkEnd w:id="15"/>
  </w:p>
  <w:p w:rsidR="00BC402E" w:rsidRDefault="00BC402E">
    <w:pPr>
      <w:pStyle w:val="Header"/>
    </w:pPr>
    <w:r>
      <w:t xml:space="preserve">Date: </w:t>
    </w:r>
    <w:r w:rsidR="00DA38E9">
      <w:t>March 21, 2024</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C31522">
      <w:t>Docket No.</w:t>
    </w:r>
    <w:r>
      <w:fldChar w:fldCharType="end"/>
    </w:r>
    <w:r>
      <w:t xml:space="preserve"> </w:t>
    </w:r>
    <w:r>
      <w:fldChar w:fldCharType="begin"/>
    </w:r>
    <w:r>
      <w:instrText xml:space="preserve"> REF DocketList</w:instrText>
    </w:r>
    <w:r>
      <w:fldChar w:fldCharType="separate"/>
    </w:r>
    <w:r w:rsidR="00C31522">
      <w:t>20230140-EU</w:t>
    </w:r>
    <w:r>
      <w:fldChar w:fldCharType="end"/>
    </w:r>
    <w:r>
      <w:tab/>
      <w:t xml:space="preserve">Issue </w:t>
    </w:r>
    <w:r w:rsidR="00A30F8F">
      <w:fldChar w:fldCharType="begin"/>
    </w:r>
    <w:r w:rsidR="00A30F8F">
      <w:instrText xml:space="preserve"> Seq Issue \c \* Arabic </w:instrText>
    </w:r>
    <w:r w:rsidR="00A30F8F">
      <w:fldChar w:fldCharType="separate"/>
    </w:r>
    <w:r w:rsidR="00640765">
      <w:rPr>
        <w:noProof/>
      </w:rPr>
      <w:t>2</w:t>
    </w:r>
    <w:r w:rsidR="00A30F8F">
      <w:rPr>
        <w:noProof/>
      </w:rPr>
      <w:fldChar w:fldCharType="end"/>
    </w:r>
  </w:p>
  <w:p w:rsidR="00BC402E" w:rsidRDefault="00BC402E">
    <w:pPr>
      <w:pStyle w:val="Header"/>
    </w:pPr>
    <w:r>
      <w:t xml:space="preserve">Date: </w:t>
    </w:r>
    <w:fldSimple w:instr=" REF FilingDate ">
      <w:r w:rsidR="00C31522">
        <w:t>March 21, 2024</w:t>
      </w:r>
    </w:fldSimple>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E3A74" w:rsidRDefault="00DE3A74" w:rsidP="00220732">
    <w:pPr>
      <w:pStyle w:val="Header"/>
      <w:tabs>
        <w:tab w:val="clear" w:pos="4320"/>
        <w:tab w:val="clear" w:pos="8640"/>
        <w:tab w:val="right" w:pos="9360"/>
      </w:tabs>
    </w:pPr>
    <w:r>
      <w:fldChar w:fldCharType="begin"/>
    </w:r>
    <w:r>
      <w:instrText xml:space="preserve"> REF DocketLabel</w:instrText>
    </w:r>
    <w:r>
      <w:fldChar w:fldCharType="separate"/>
    </w:r>
    <w:r w:rsidR="00C31522">
      <w:t>Docket No.</w:t>
    </w:r>
    <w:r>
      <w:fldChar w:fldCharType="end"/>
    </w:r>
    <w:r>
      <w:t xml:space="preserve"> </w:t>
    </w:r>
    <w:r>
      <w:fldChar w:fldCharType="begin"/>
    </w:r>
    <w:r>
      <w:instrText xml:space="preserve"> REF DocketList</w:instrText>
    </w:r>
    <w:r>
      <w:fldChar w:fldCharType="separate"/>
    </w:r>
    <w:r w:rsidR="00C31522">
      <w:t>20230140-EU</w:t>
    </w:r>
    <w:r>
      <w:fldChar w:fldCharType="end"/>
    </w:r>
    <w:r>
      <w:tab/>
      <w:t xml:space="preserve"> Attachment A</w:t>
    </w:r>
  </w:p>
  <w:p w:rsidR="00DE3A74" w:rsidRDefault="00DE3A74">
    <w:pPr>
      <w:pStyle w:val="Header"/>
    </w:pPr>
    <w:r>
      <w:t xml:space="preserve">Date: </w:t>
    </w:r>
    <w:fldSimple w:instr=" REF FilingDate ">
      <w:r w:rsidR="00C31522">
        <w:t>March 21, 2024</w:t>
      </w:r>
    </w:fldSimple>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activeWritingStyle w:appName="MSWord" w:lang="en-US" w:vendorID="64" w:dllVersion="131078" w:nlCheck="1" w:checkStyle="1"/>
  <w:activeWritingStyle w:appName="MSWord" w:lang="es-MX" w:vendorID="64" w:dllVersion="131078" w:nlCheck="1"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26625"/>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126A73"/>
    <w:rsid w:val="000043D5"/>
    <w:rsid w:val="00006170"/>
    <w:rsid w:val="00007CB8"/>
    <w:rsid w:val="00010E37"/>
    <w:rsid w:val="000172DA"/>
    <w:rsid w:val="00020A39"/>
    <w:rsid w:val="00022337"/>
    <w:rsid w:val="00023A0E"/>
    <w:rsid w:val="000247C5"/>
    <w:rsid w:val="000263EA"/>
    <w:rsid w:val="000277C2"/>
    <w:rsid w:val="00035B48"/>
    <w:rsid w:val="00036CE2"/>
    <w:rsid w:val="00040333"/>
    <w:rsid w:val="000437FE"/>
    <w:rsid w:val="000513BE"/>
    <w:rsid w:val="00051573"/>
    <w:rsid w:val="00052C0E"/>
    <w:rsid w:val="0005451B"/>
    <w:rsid w:val="00056DC7"/>
    <w:rsid w:val="00065A06"/>
    <w:rsid w:val="000666F3"/>
    <w:rsid w:val="00070DCB"/>
    <w:rsid w:val="00072CCA"/>
    <w:rsid w:val="00073120"/>
    <w:rsid w:val="000764D0"/>
    <w:rsid w:val="00080563"/>
    <w:rsid w:val="000828D3"/>
    <w:rsid w:val="00093541"/>
    <w:rsid w:val="0009588D"/>
    <w:rsid w:val="00097497"/>
    <w:rsid w:val="000A2B57"/>
    <w:rsid w:val="000A418B"/>
    <w:rsid w:val="000B0ACE"/>
    <w:rsid w:val="000C4431"/>
    <w:rsid w:val="000C591C"/>
    <w:rsid w:val="000C6607"/>
    <w:rsid w:val="000C759D"/>
    <w:rsid w:val="000D1C06"/>
    <w:rsid w:val="000D3043"/>
    <w:rsid w:val="000D4319"/>
    <w:rsid w:val="000D5DAC"/>
    <w:rsid w:val="000E24FA"/>
    <w:rsid w:val="000E338A"/>
    <w:rsid w:val="000E3C83"/>
    <w:rsid w:val="000E431F"/>
    <w:rsid w:val="000E4392"/>
    <w:rsid w:val="000F374A"/>
    <w:rsid w:val="000F4DAF"/>
    <w:rsid w:val="00105BA1"/>
    <w:rsid w:val="001076AF"/>
    <w:rsid w:val="00107B2A"/>
    <w:rsid w:val="001109F6"/>
    <w:rsid w:val="00116272"/>
    <w:rsid w:val="00116C6B"/>
    <w:rsid w:val="00117C8C"/>
    <w:rsid w:val="001239F0"/>
    <w:rsid w:val="00124C38"/>
    <w:rsid w:val="00124E2E"/>
    <w:rsid w:val="00125ED4"/>
    <w:rsid w:val="00126A73"/>
    <w:rsid w:val="001303BF"/>
    <w:rsid w:val="001305E9"/>
    <w:rsid w:val="001307AF"/>
    <w:rsid w:val="00133225"/>
    <w:rsid w:val="0013347E"/>
    <w:rsid w:val="00135687"/>
    <w:rsid w:val="00136BD1"/>
    <w:rsid w:val="001442B7"/>
    <w:rsid w:val="00146416"/>
    <w:rsid w:val="00146A95"/>
    <w:rsid w:val="00146B5D"/>
    <w:rsid w:val="00150ECE"/>
    <w:rsid w:val="0015506E"/>
    <w:rsid w:val="00160005"/>
    <w:rsid w:val="00163031"/>
    <w:rsid w:val="001654C4"/>
    <w:rsid w:val="001654EB"/>
    <w:rsid w:val="00171A90"/>
    <w:rsid w:val="00172D33"/>
    <w:rsid w:val="001753EC"/>
    <w:rsid w:val="0017770F"/>
    <w:rsid w:val="00180254"/>
    <w:rsid w:val="00184086"/>
    <w:rsid w:val="00191E1F"/>
    <w:rsid w:val="00191EE8"/>
    <w:rsid w:val="00192943"/>
    <w:rsid w:val="001938EB"/>
    <w:rsid w:val="00193BAF"/>
    <w:rsid w:val="00194791"/>
    <w:rsid w:val="001A7406"/>
    <w:rsid w:val="001A7AE4"/>
    <w:rsid w:val="001B1EDC"/>
    <w:rsid w:val="001B2A8C"/>
    <w:rsid w:val="001B4053"/>
    <w:rsid w:val="001B4FEE"/>
    <w:rsid w:val="001B51C5"/>
    <w:rsid w:val="001B672A"/>
    <w:rsid w:val="001B6F3F"/>
    <w:rsid w:val="001C52B5"/>
    <w:rsid w:val="001D0D3E"/>
    <w:rsid w:val="001D2817"/>
    <w:rsid w:val="001D2899"/>
    <w:rsid w:val="001D32CE"/>
    <w:rsid w:val="001E14A3"/>
    <w:rsid w:val="001E380D"/>
    <w:rsid w:val="001E390F"/>
    <w:rsid w:val="001E782F"/>
    <w:rsid w:val="001E7FF4"/>
    <w:rsid w:val="001F2245"/>
    <w:rsid w:val="001F2C63"/>
    <w:rsid w:val="001F469F"/>
    <w:rsid w:val="001F48C7"/>
    <w:rsid w:val="001F6DA1"/>
    <w:rsid w:val="00200178"/>
    <w:rsid w:val="00204200"/>
    <w:rsid w:val="002044E6"/>
    <w:rsid w:val="00205C82"/>
    <w:rsid w:val="00205DC2"/>
    <w:rsid w:val="00206B14"/>
    <w:rsid w:val="00212B17"/>
    <w:rsid w:val="002163B6"/>
    <w:rsid w:val="00217215"/>
    <w:rsid w:val="00220732"/>
    <w:rsid w:val="0022121F"/>
    <w:rsid w:val="00221D32"/>
    <w:rsid w:val="00222AC1"/>
    <w:rsid w:val="00223331"/>
    <w:rsid w:val="002251E1"/>
    <w:rsid w:val="00225C3F"/>
    <w:rsid w:val="00225C71"/>
    <w:rsid w:val="0023097E"/>
    <w:rsid w:val="0024677B"/>
    <w:rsid w:val="002560C8"/>
    <w:rsid w:val="00263D44"/>
    <w:rsid w:val="002702AD"/>
    <w:rsid w:val="00274CB5"/>
    <w:rsid w:val="00281EB4"/>
    <w:rsid w:val="00285212"/>
    <w:rsid w:val="002853BA"/>
    <w:rsid w:val="002876D7"/>
    <w:rsid w:val="0029240D"/>
    <w:rsid w:val="00292D82"/>
    <w:rsid w:val="00293EE7"/>
    <w:rsid w:val="002963CB"/>
    <w:rsid w:val="002A178D"/>
    <w:rsid w:val="002B2DAC"/>
    <w:rsid w:val="002B4A01"/>
    <w:rsid w:val="002C291B"/>
    <w:rsid w:val="002C746A"/>
    <w:rsid w:val="002C7E4E"/>
    <w:rsid w:val="002D226D"/>
    <w:rsid w:val="002D74E3"/>
    <w:rsid w:val="002E6FFD"/>
    <w:rsid w:val="002F0507"/>
    <w:rsid w:val="002F6030"/>
    <w:rsid w:val="003001AC"/>
    <w:rsid w:val="00301AB8"/>
    <w:rsid w:val="003028B7"/>
    <w:rsid w:val="003037E1"/>
    <w:rsid w:val="003069F5"/>
    <w:rsid w:val="00307E51"/>
    <w:rsid w:val="003103EC"/>
    <w:rsid w:val="00312132"/>
    <w:rsid w:val="00312FFF"/>
    <w:rsid w:val="003130BA"/>
    <w:rsid w:val="003144EF"/>
    <w:rsid w:val="0031480E"/>
    <w:rsid w:val="00316877"/>
    <w:rsid w:val="00317C70"/>
    <w:rsid w:val="00321371"/>
    <w:rsid w:val="00322F74"/>
    <w:rsid w:val="00325E15"/>
    <w:rsid w:val="0033700A"/>
    <w:rsid w:val="00340073"/>
    <w:rsid w:val="00340ED9"/>
    <w:rsid w:val="003411D8"/>
    <w:rsid w:val="00341A07"/>
    <w:rsid w:val="00341B53"/>
    <w:rsid w:val="003445B0"/>
    <w:rsid w:val="0035227F"/>
    <w:rsid w:val="00353B66"/>
    <w:rsid w:val="00355934"/>
    <w:rsid w:val="00357928"/>
    <w:rsid w:val="003632FD"/>
    <w:rsid w:val="00370F78"/>
    <w:rsid w:val="00372805"/>
    <w:rsid w:val="00373180"/>
    <w:rsid w:val="00375AB9"/>
    <w:rsid w:val="0037691E"/>
    <w:rsid w:val="003808CA"/>
    <w:rsid w:val="003821A0"/>
    <w:rsid w:val="003853A8"/>
    <w:rsid w:val="00385B04"/>
    <w:rsid w:val="003864CF"/>
    <w:rsid w:val="00390F88"/>
    <w:rsid w:val="00391357"/>
    <w:rsid w:val="003948AE"/>
    <w:rsid w:val="00395B34"/>
    <w:rsid w:val="003A08C0"/>
    <w:rsid w:val="003A22A6"/>
    <w:rsid w:val="003A32EB"/>
    <w:rsid w:val="003A5494"/>
    <w:rsid w:val="003B2510"/>
    <w:rsid w:val="003B4355"/>
    <w:rsid w:val="003C2CC4"/>
    <w:rsid w:val="003C3710"/>
    <w:rsid w:val="003C42A3"/>
    <w:rsid w:val="003C48F7"/>
    <w:rsid w:val="003E0463"/>
    <w:rsid w:val="003E05B3"/>
    <w:rsid w:val="003E0EFC"/>
    <w:rsid w:val="003E29BF"/>
    <w:rsid w:val="003E2CF7"/>
    <w:rsid w:val="003E3C90"/>
    <w:rsid w:val="003E4A2B"/>
    <w:rsid w:val="003E5A8C"/>
    <w:rsid w:val="003E6FE9"/>
    <w:rsid w:val="003E76C2"/>
    <w:rsid w:val="003F1367"/>
    <w:rsid w:val="003F1679"/>
    <w:rsid w:val="003F21EB"/>
    <w:rsid w:val="003F4A35"/>
    <w:rsid w:val="003F5F03"/>
    <w:rsid w:val="003F7FDD"/>
    <w:rsid w:val="00402101"/>
    <w:rsid w:val="00402481"/>
    <w:rsid w:val="004042B4"/>
    <w:rsid w:val="00410DC4"/>
    <w:rsid w:val="00412DAE"/>
    <w:rsid w:val="0041302D"/>
    <w:rsid w:val="00420098"/>
    <w:rsid w:val="00420DB8"/>
    <w:rsid w:val="004242E6"/>
    <w:rsid w:val="00427B35"/>
    <w:rsid w:val="00431598"/>
    <w:rsid w:val="004319AD"/>
    <w:rsid w:val="004426B8"/>
    <w:rsid w:val="00444432"/>
    <w:rsid w:val="00447D5C"/>
    <w:rsid w:val="00450202"/>
    <w:rsid w:val="004502B2"/>
    <w:rsid w:val="00451EB3"/>
    <w:rsid w:val="00452926"/>
    <w:rsid w:val="00455499"/>
    <w:rsid w:val="00456559"/>
    <w:rsid w:val="004631D8"/>
    <w:rsid w:val="004649A7"/>
    <w:rsid w:val="00465978"/>
    <w:rsid w:val="00471860"/>
    <w:rsid w:val="00477026"/>
    <w:rsid w:val="00477730"/>
    <w:rsid w:val="00477BE6"/>
    <w:rsid w:val="00494B2C"/>
    <w:rsid w:val="004A563D"/>
    <w:rsid w:val="004A744D"/>
    <w:rsid w:val="004A74B8"/>
    <w:rsid w:val="004B60BD"/>
    <w:rsid w:val="004C3150"/>
    <w:rsid w:val="004C3641"/>
    <w:rsid w:val="004C3873"/>
    <w:rsid w:val="004C4390"/>
    <w:rsid w:val="004C4AF7"/>
    <w:rsid w:val="004C7501"/>
    <w:rsid w:val="004D020C"/>
    <w:rsid w:val="004D161A"/>
    <w:rsid w:val="004D2881"/>
    <w:rsid w:val="004D2D7D"/>
    <w:rsid w:val="004D385F"/>
    <w:rsid w:val="004D5380"/>
    <w:rsid w:val="004D5B39"/>
    <w:rsid w:val="004D7976"/>
    <w:rsid w:val="004D7EAB"/>
    <w:rsid w:val="004E0CEA"/>
    <w:rsid w:val="004E330D"/>
    <w:rsid w:val="004E4985"/>
    <w:rsid w:val="004E5147"/>
    <w:rsid w:val="004E69B5"/>
    <w:rsid w:val="004F3591"/>
    <w:rsid w:val="004F36F0"/>
    <w:rsid w:val="004F50D1"/>
    <w:rsid w:val="004F5C43"/>
    <w:rsid w:val="005050A2"/>
    <w:rsid w:val="00506030"/>
    <w:rsid w:val="0050652D"/>
    <w:rsid w:val="00506C03"/>
    <w:rsid w:val="00511A11"/>
    <w:rsid w:val="00516496"/>
    <w:rsid w:val="00522E7D"/>
    <w:rsid w:val="00523B11"/>
    <w:rsid w:val="0052455B"/>
    <w:rsid w:val="0052572A"/>
    <w:rsid w:val="00532DFB"/>
    <w:rsid w:val="00543CB3"/>
    <w:rsid w:val="005442E4"/>
    <w:rsid w:val="00547652"/>
    <w:rsid w:val="0055529B"/>
    <w:rsid w:val="0055645B"/>
    <w:rsid w:val="00560FF0"/>
    <w:rsid w:val="005614BD"/>
    <w:rsid w:val="005660D5"/>
    <w:rsid w:val="0057154F"/>
    <w:rsid w:val="00572639"/>
    <w:rsid w:val="005729A2"/>
    <w:rsid w:val="00580F69"/>
    <w:rsid w:val="00581CA3"/>
    <w:rsid w:val="005846E6"/>
    <w:rsid w:val="00585023"/>
    <w:rsid w:val="00585031"/>
    <w:rsid w:val="00586E8B"/>
    <w:rsid w:val="00587090"/>
    <w:rsid w:val="00587A44"/>
    <w:rsid w:val="00597730"/>
    <w:rsid w:val="005977EC"/>
    <w:rsid w:val="00597DE7"/>
    <w:rsid w:val="005A1CD3"/>
    <w:rsid w:val="005A4AA2"/>
    <w:rsid w:val="005A7546"/>
    <w:rsid w:val="005B0FA3"/>
    <w:rsid w:val="005B34B6"/>
    <w:rsid w:val="005B606A"/>
    <w:rsid w:val="005B6C8F"/>
    <w:rsid w:val="005B6EC3"/>
    <w:rsid w:val="005C0CC3"/>
    <w:rsid w:val="005C17D7"/>
    <w:rsid w:val="005C33CE"/>
    <w:rsid w:val="005D0F74"/>
    <w:rsid w:val="005D2E7D"/>
    <w:rsid w:val="005D4A8F"/>
    <w:rsid w:val="005D561B"/>
    <w:rsid w:val="005D578F"/>
    <w:rsid w:val="005D5D10"/>
    <w:rsid w:val="005D5ECF"/>
    <w:rsid w:val="005D7E28"/>
    <w:rsid w:val="005F468D"/>
    <w:rsid w:val="005F69A3"/>
    <w:rsid w:val="00601CBE"/>
    <w:rsid w:val="00604CC7"/>
    <w:rsid w:val="006052DE"/>
    <w:rsid w:val="006062E6"/>
    <w:rsid w:val="00610F7C"/>
    <w:rsid w:val="00613441"/>
    <w:rsid w:val="00615423"/>
    <w:rsid w:val="006165B2"/>
    <w:rsid w:val="00617276"/>
    <w:rsid w:val="00622E1F"/>
    <w:rsid w:val="00624379"/>
    <w:rsid w:val="0062527B"/>
    <w:rsid w:val="00625D97"/>
    <w:rsid w:val="00625F1C"/>
    <w:rsid w:val="0062658E"/>
    <w:rsid w:val="006279E1"/>
    <w:rsid w:val="00630CEB"/>
    <w:rsid w:val="00630FF7"/>
    <w:rsid w:val="00632264"/>
    <w:rsid w:val="006355F2"/>
    <w:rsid w:val="00640765"/>
    <w:rsid w:val="00642109"/>
    <w:rsid w:val="006470BC"/>
    <w:rsid w:val="006554D3"/>
    <w:rsid w:val="006603F4"/>
    <w:rsid w:val="00660AE2"/>
    <w:rsid w:val="00661708"/>
    <w:rsid w:val="00661912"/>
    <w:rsid w:val="006623CF"/>
    <w:rsid w:val="0066611E"/>
    <w:rsid w:val="00666522"/>
    <w:rsid w:val="00667036"/>
    <w:rsid w:val="00667B89"/>
    <w:rsid w:val="00673BDB"/>
    <w:rsid w:val="00674341"/>
    <w:rsid w:val="006758C3"/>
    <w:rsid w:val="006771B8"/>
    <w:rsid w:val="00682631"/>
    <w:rsid w:val="00682A9C"/>
    <w:rsid w:val="00683A89"/>
    <w:rsid w:val="006843B6"/>
    <w:rsid w:val="0068481F"/>
    <w:rsid w:val="00693EA1"/>
    <w:rsid w:val="0069636F"/>
    <w:rsid w:val="00696F5D"/>
    <w:rsid w:val="00697249"/>
    <w:rsid w:val="006A06F3"/>
    <w:rsid w:val="006A1A67"/>
    <w:rsid w:val="006A7746"/>
    <w:rsid w:val="006A7B9A"/>
    <w:rsid w:val="006B09C4"/>
    <w:rsid w:val="006B3947"/>
    <w:rsid w:val="006B4293"/>
    <w:rsid w:val="006B624F"/>
    <w:rsid w:val="006C0C95"/>
    <w:rsid w:val="006C31E3"/>
    <w:rsid w:val="006D18D3"/>
    <w:rsid w:val="006D1EE9"/>
    <w:rsid w:val="006D3BD1"/>
    <w:rsid w:val="006E010E"/>
    <w:rsid w:val="006E08CB"/>
    <w:rsid w:val="006E598D"/>
    <w:rsid w:val="006F190C"/>
    <w:rsid w:val="006F1C3F"/>
    <w:rsid w:val="006F2C1A"/>
    <w:rsid w:val="0070009B"/>
    <w:rsid w:val="0070437D"/>
    <w:rsid w:val="00704CF1"/>
    <w:rsid w:val="00705B04"/>
    <w:rsid w:val="0071040E"/>
    <w:rsid w:val="00717EE9"/>
    <w:rsid w:val="00724992"/>
    <w:rsid w:val="00724F64"/>
    <w:rsid w:val="00727F90"/>
    <w:rsid w:val="00731F4C"/>
    <w:rsid w:val="00734820"/>
    <w:rsid w:val="007349DC"/>
    <w:rsid w:val="0074365E"/>
    <w:rsid w:val="00744B55"/>
    <w:rsid w:val="00747E2C"/>
    <w:rsid w:val="007515FD"/>
    <w:rsid w:val="00760D80"/>
    <w:rsid w:val="00761CB4"/>
    <w:rsid w:val="00767CE2"/>
    <w:rsid w:val="00775038"/>
    <w:rsid w:val="00780C09"/>
    <w:rsid w:val="00780DDF"/>
    <w:rsid w:val="007834E9"/>
    <w:rsid w:val="00787DBC"/>
    <w:rsid w:val="0079019A"/>
    <w:rsid w:val="00792935"/>
    <w:rsid w:val="007A04A1"/>
    <w:rsid w:val="007A1840"/>
    <w:rsid w:val="007A47C1"/>
    <w:rsid w:val="007A6A31"/>
    <w:rsid w:val="007B730C"/>
    <w:rsid w:val="007C0528"/>
    <w:rsid w:val="007C08EA"/>
    <w:rsid w:val="007C10E1"/>
    <w:rsid w:val="007C3D38"/>
    <w:rsid w:val="007D0F35"/>
    <w:rsid w:val="007D1783"/>
    <w:rsid w:val="007D4546"/>
    <w:rsid w:val="007D4FEB"/>
    <w:rsid w:val="007D6146"/>
    <w:rsid w:val="007E05E8"/>
    <w:rsid w:val="007E0CE7"/>
    <w:rsid w:val="007F1193"/>
    <w:rsid w:val="007F417F"/>
    <w:rsid w:val="007F7644"/>
    <w:rsid w:val="008039E4"/>
    <w:rsid w:val="008042BD"/>
    <w:rsid w:val="00804E17"/>
    <w:rsid w:val="008050B3"/>
    <w:rsid w:val="00816624"/>
    <w:rsid w:val="00822427"/>
    <w:rsid w:val="00822562"/>
    <w:rsid w:val="00823663"/>
    <w:rsid w:val="00823664"/>
    <w:rsid w:val="008305B7"/>
    <w:rsid w:val="00832DDC"/>
    <w:rsid w:val="00836094"/>
    <w:rsid w:val="00840813"/>
    <w:rsid w:val="008426B0"/>
    <w:rsid w:val="008431BB"/>
    <w:rsid w:val="00845E34"/>
    <w:rsid w:val="00850960"/>
    <w:rsid w:val="00850BAC"/>
    <w:rsid w:val="00852676"/>
    <w:rsid w:val="00854A3E"/>
    <w:rsid w:val="00855D08"/>
    <w:rsid w:val="00861270"/>
    <w:rsid w:val="008618A4"/>
    <w:rsid w:val="00865697"/>
    <w:rsid w:val="00865E22"/>
    <w:rsid w:val="0086734B"/>
    <w:rsid w:val="008731AB"/>
    <w:rsid w:val="00874344"/>
    <w:rsid w:val="0087505D"/>
    <w:rsid w:val="00877703"/>
    <w:rsid w:val="00882155"/>
    <w:rsid w:val="0088233B"/>
    <w:rsid w:val="0088599E"/>
    <w:rsid w:val="00886C37"/>
    <w:rsid w:val="008915FC"/>
    <w:rsid w:val="00892D99"/>
    <w:rsid w:val="00893315"/>
    <w:rsid w:val="00894C09"/>
    <w:rsid w:val="008A32AE"/>
    <w:rsid w:val="008A3B61"/>
    <w:rsid w:val="008B5C68"/>
    <w:rsid w:val="008B62AE"/>
    <w:rsid w:val="008B6E35"/>
    <w:rsid w:val="008B7BB6"/>
    <w:rsid w:val="008C04B5"/>
    <w:rsid w:val="008C14FA"/>
    <w:rsid w:val="008C2391"/>
    <w:rsid w:val="008C7B0B"/>
    <w:rsid w:val="008D3F0D"/>
    <w:rsid w:val="008D4057"/>
    <w:rsid w:val="008E1F19"/>
    <w:rsid w:val="008E52BC"/>
    <w:rsid w:val="008F2262"/>
    <w:rsid w:val="008F4D2B"/>
    <w:rsid w:val="008F5B91"/>
    <w:rsid w:val="008F6BB4"/>
    <w:rsid w:val="008F7736"/>
    <w:rsid w:val="0090019E"/>
    <w:rsid w:val="00900314"/>
    <w:rsid w:val="00900435"/>
    <w:rsid w:val="00901086"/>
    <w:rsid w:val="00901C8A"/>
    <w:rsid w:val="00902F66"/>
    <w:rsid w:val="00904F3B"/>
    <w:rsid w:val="00905886"/>
    <w:rsid w:val="009070D6"/>
    <w:rsid w:val="009076C6"/>
    <w:rsid w:val="0091019E"/>
    <w:rsid w:val="009106F1"/>
    <w:rsid w:val="00910C51"/>
    <w:rsid w:val="00912404"/>
    <w:rsid w:val="009145D6"/>
    <w:rsid w:val="00915541"/>
    <w:rsid w:val="009178AF"/>
    <w:rsid w:val="00920E64"/>
    <w:rsid w:val="00922002"/>
    <w:rsid w:val="009225CB"/>
    <w:rsid w:val="00923183"/>
    <w:rsid w:val="00924020"/>
    <w:rsid w:val="00924BF4"/>
    <w:rsid w:val="009271A7"/>
    <w:rsid w:val="0092762F"/>
    <w:rsid w:val="009333AC"/>
    <w:rsid w:val="0093658B"/>
    <w:rsid w:val="009429FF"/>
    <w:rsid w:val="009444D1"/>
    <w:rsid w:val="00945BD6"/>
    <w:rsid w:val="009479FB"/>
    <w:rsid w:val="0095111E"/>
    <w:rsid w:val="00951C45"/>
    <w:rsid w:val="00951DD8"/>
    <w:rsid w:val="00953C8A"/>
    <w:rsid w:val="009656F2"/>
    <w:rsid w:val="00966A08"/>
    <w:rsid w:val="009701B7"/>
    <w:rsid w:val="009706D0"/>
    <w:rsid w:val="00971207"/>
    <w:rsid w:val="009733F6"/>
    <w:rsid w:val="00975CB4"/>
    <w:rsid w:val="00983A9B"/>
    <w:rsid w:val="00984485"/>
    <w:rsid w:val="009863B0"/>
    <w:rsid w:val="00986EF3"/>
    <w:rsid w:val="00987DE1"/>
    <w:rsid w:val="00990571"/>
    <w:rsid w:val="00991905"/>
    <w:rsid w:val="009926B2"/>
    <w:rsid w:val="0099566E"/>
    <w:rsid w:val="0099673A"/>
    <w:rsid w:val="009A3291"/>
    <w:rsid w:val="009A3330"/>
    <w:rsid w:val="009A548F"/>
    <w:rsid w:val="009A7C96"/>
    <w:rsid w:val="009B61BF"/>
    <w:rsid w:val="009C2390"/>
    <w:rsid w:val="009C3253"/>
    <w:rsid w:val="009C3DB9"/>
    <w:rsid w:val="009C5968"/>
    <w:rsid w:val="009C6689"/>
    <w:rsid w:val="009C7197"/>
    <w:rsid w:val="009D03AF"/>
    <w:rsid w:val="009D0436"/>
    <w:rsid w:val="009D46E5"/>
    <w:rsid w:val="009D568A"/>
    <w:rsid w:val="009D74CD"/>
    <w:rsid w:val="009E1D60"/>
    <w:rsid w:val="009E49BC"/>
    <w:rsid w:val="009F04EC"/>
    <w:rsid w:val="009F2A7C"/>
    <w:rsid w:val="009F32E2"/>
    <w:rsid w:val="009F3B36"/>
    <w:rsid w:val="009F5A0B"/>
    <w:rsid w:val="00A019B9"/>
    <w:rsid w:val="00A03157"/>
    <w:rsid w:val="00A103D6"/>
    <w:rsid w:val="00A11756"/>
    <w:rsid w:val="00A12497"/>
    <w:rsid w:val="00A12508"/>
    <w:rsid w:val="00A1282B"/>
    <w:rsid w:val="00A13A27"/>
    <w:rsid w:val="00A155B8"/>
    <w:rsid w:val="00A15B7C"/>
    <w:rsid w:val="00A175B6"/>
    <w:rsid w:val="00A21835"/>
    <w:rsid w:val="00A2374B"/>
    <w:rsid w:val="00A23AAB"/>
    <w:rsid w:val="00A24C69"/>
    <w:rsid w:val="00A27ACB"/>
    <w:rsid w:val="00A27D6E"/>
    <w:rsid w:val="00A328EC"/>
    <w:rsid w:val="00A33A51"/>
    <w:rsid w:val="00A35DE0"/>
    <w:rsid w:val="00A41CA6"/>
    <w:rsid w:val="00A4267C"/>
    <w:rsid w:val="00A431ED"/>
    <w:rsid w:val="00A43729"/>
    <w:rsid w:val="00A47927"/>
    <w:rsid w:val="00A47FFC"/>
    <w:rsid w:val="00A50ADA"/>
    <w:rsid w:val="00A5442F"/>
    <w:rsid w:val="00A54FF9"/>
    <w:rsid w:val="00A56765"/>
    <w:rsid w:val="00A675AC"/>
    <w:rsid w:val="00A7097D"/>
    <w:rsid w:val="00A7581F"/>
    <w:rsid w:val="00A75B9A"/>
    <w:rsid w:val="00A81274"/>
    <w:rsid w:val="00A85DCF"/>
    <w:rsid w:val="00A86ACA"/>
    <w:rsid w:val="00A873BE"/>
    <w:rsid w:val="00A91170"/>
    <w:rsid w:val="00A92439"/>
    <w:rsid w:val="00A92FB1"/>
    <w:rsid w:val="00A95980"/>
    <w:rsid w:val="00A95A0C"/>
    <w:rsid w:val="00A96ABB"/>
    <w:rsid w:val="00AA1C4D"/>
    <w:rsid w:val="00AA2765"/>
    <w:rsid w:val="00AA77B5"/>
    <w:rsid w:val="00AB21B9"/>
    <w:rsid w:val="00AB6C5D"/>
    <w:rsid w:val="00AC06DD"/>
    <w:rsid w:val="00AC3401"/>
    <w:rsid w:val="00AC3F03"/>
    <w:rsid w:val="00AC51A7"/>
    <w:rsid w:val="00AC603B"/>
    <w:rsid w:val="00AD0E89"/>
    <w:rsid w:val="00AD444B"/>
    <w:rsid w:val="00AD5614"/>
    <w:rsid w:val="00AD6343"/>
    <w:rsid w:val="00AD6C78"/>
    <w:rsid w:val="00AE03F0"/>
    <w:rsid w:val="00AE2EAB"/>
    <w:rsid w:val="00AF13D0"/>
    <w:rsid w:val="00AF237F"/>
    <w:rsid w:val="00AF34A8"/>
    <w:rsid w:val="00AF5E0E"/>
    <w:rsid w:val="00AF5F89"/>
    <w:rsid w:val="00AF6FB4"/>
    <w:rsid w:val="00AF73CB"/>
    <w:rsid w:val="00B002D6"/>
    <w:rsid w:val="00B02EF0"/>
    <w:rsid w:val="00B03379"/>
    <w:rsid w:val="00B03FA5"/>
    <w:rsid w:val="00B04110"/>
    <w:rsid w:val="00B05B51"/>
    <w:rsid w:val="00B13F7F"/>
    <w:rsid w:val="00B14E5A"/>
    <w:rsid w:val="00B15370"/>
    <w:rsid w:val="00B16DA4"/>
    <w:rsid w:val="00B17BEB"/>
    <w:rsid w:val="00B21A3C"/>
    <w:rsid w:val="00B223C0"/>
    <w:rsid w:val="00B234ED"/>
    <w:rsid w:val="00B249B2"/>
    <w:rsid w:val="00B254C9"/>
    <w:rsid w:val="00B25CA3"/>
    <w:rsid w:val="00B2765A"/>
    <w:rsid w:val="00B3109A"/>
    <w:rsid w:val="00B32D37"/>
    <w:rsid w:val="00B32EF7"/>
    <w:rsid w:val="00B41AA8"/>
    <w:rsid w:val="00B42B45"/>
    <w:rsid w:val="00B514B7"/>
    <w:rsid w:val="00B516ED"/>
    <w:rsid w:val="00B565DA"/>
    <w:rsid w:val="00B57A6A"/>
    <w:rsid w:val="00B61F82"/>
    <w:rsid w:val="00B62D0D"/>
    <w:rsid w:val="00B64760"/>
    <w:rsid w:val="00B705C2"/>
    <w:rsid w:val="00B744F5"/>
    <w:rsid w:val="00B760F1"/>
    <w:rsid w:val="00B7669E"/>
    <w:rsid w:val="00B76EBB"/>
    <w:rsid w:val="00B77DA1"/>
    <w:rsid w:val="00B822A0"/>
    <w:rsid w:val="00B82F85"/>
    <w:rsid w:val="00B858AE"/>
    <w:rsid w:val="00B85964"/>
    <w:rsid w:val="00B932A7"/>
    <w:rsid w:val="00B96250"/>
    <w:rsid w:val="00B97415"/>
    <w:rsid w:val="00BA0AEA"/>
    <w:rsid w:val="00BA0D55"/>
    <w:rsid w:val="00BA2814"/>
    <w:rsid w:val="00BA37B3"/>
    <w:rsid w:val="00BA4CC6"/>
    <w:rsid w:val="00BA7F46"/>
    <w:rsid w:val="00BB0F1D"/>
    <w:rsid w:val="00BB3493"/>
    <w:rsid w:val="00BB6E4C"/>
    <w:rsid w:val="00BB7468"/>
    <w:rsid w:val="00BC0514"/>
    <w:rsid w:val="00BC188A"/>
    <w:rsid w:val="00BC402E"/>
    <w:rsid w:val="00BC70C6"/>
    <w:rsid w:val="00BD0F48"/>
    <w:rsid w:val="00BD14E5"/>
    <w:rsid w:val="00BE0E50"/>
    <w:rsid w:val="00BE6DDB"/>
    <w:rsid w:val="00BF03E0"/>
    <w:rsid w:val="00BF5010"/>
    <w:rsid w:val="00C02BFB"/>
    <w:rsid w:val="00C03009"/>
    <w:rsid w:val="00C03D5F"/>
    <w:rsid w:val="00C13791"/>
    <w:rsid w:val="00C17361"/>
    <w:rsid w:val="00C210BD"/>
    <w:rsid w:val="00C2575A"/>
    <w:rsid w:val="00C31522"/>
    <w:rsid w:val="00C31BB3"/>
    <w:rsid w:val="00C36977"/>
    <w:rsid w:val="00C36F3A"/>
    <w:rsid w:val="00C4219C"/>
    <w:rsid w:val="00C46628"/>
    <w:rsid w:val="00C467DA"/>
    <w:rsid w:val="00C477D9"/>
    <w:rsid w:val="00C526D5"/>
    <w:rsid w:val="00C52C07"/>
    <w:rsid w:val="00C57869"/>
    <w:rsid w:val="00C60BA3"/>
    <w:rsid w:val="00C623F7"/>
    <w:rsid w:val="00C62A81"/>
    <w:rsid w:val="00C6487E"/>
    <w:rsid w:val="00C67CD7"/>
    <w:rsid w:val="00C716B3"/>
    <w:rsid w:val="00C71E00"/>
    <w:rsid w:val="00C75BC5"/>
    <w:rsid w:val="00C800D2"/>
    <w:rsid w:val="00C81670"/>
    <w:rsid w:val="00C81773"/>
    <w:rsid w:val="00C82861"/>
    <w:rsid w:val="00C86896"/>
    <w:rsid w:val="00C87FE9"/>
    <w:rsid w:val="00C907A8"/>
    <w:rsid w:val="00C91670"/>
    <w:rsid w:val="00C93211"/>
    <w:rsid w:val="00C93DB8"/>
    <w:rsid w:val="00C942EC"/>
    <w:rsid w:val="00C9576C"/>
    <w:rsid w:val="00C95B01"/>
    <w:rsid w:val="00C96047"/>
    <w:rsid w:val="00C979D0"/>
    <w:rsid w:val="00CA0818"/>
    <w:rsid w:val="00CA15C8"/>
    <w:rsid w:val="00CA2C8F"/>
    <w:rsid w:val="00CA30DA"/>
    <w:rsid w:val="00CA3A24"/>
    <w:rsid w:val="00CA3AB7"/>
    <w:rsid w:val="00CA42A6"/>
    <w:rsid w:val="00CB1777"/>
    <w:rsid w:val="00CB2E84"/>
    <w:rsid w:val="00CB33E9"/>
    <w:rsid w:val="00CB7222"/>
    <w:rsid w:val="00CB7A82"/>
    <w:rsid w:val="00CC05E6"/>
    <w:rsid w:val="00CC10A9"/>
    <w:rsid w:val="00CD0655"/>
    <w:rsid w:val="00CE2BF8"/>
    <w:rsid w:val="00CE3CD4"/>
    <w:rsid w:val="00CE484E"/>
    <w:rsid w:val="00CE4D20"/>
    <w:rsid w:val="00CE656F"/>
    <w:rsid w:val="00CF0DA8"/>
    <w:rsid w:val="00CF2E25"/>
    <w:rsid w:val="00CF4453"/>
    <w:rsid w:val="00CF5589"/>
    <w:rsid w:val="00CF5D94"/>
    <w:rsid w:val="00CF7E0F"/>
    <w:rsid w:val="00D00893"/>
    <w:rsid w:val="00D034D7"/>
    <w:rsid w:val="00D04BE4"/>
    <w:rsid w:val="00D04D6D"/>
    <w:rsid w:val="00D06FC7"/>
    <w:rsid w:val="00D12565"/>
    <w:rsid w:val="00D140C1"/>
    <w:rsid w:val="00D14127"/>
    <w:rsid w:val="00D32B96"/>
    <w:rsid w:val="00D33B9C"/>
    <w:rsid w:val="00D3402E"/>
    <w:rsid w:val="00D479AE"/>
    <w:rsid w:val="00D50FCD"/>
    <w:rsid w:val="00D533E3"/>
    <w:rsid w:val="00D60B16"/>
    <w:rsid w:val="00D60F02"/>
    <w:rsid w:val="00D66E49"/>
    <w:rsid w:val="00D70D71"/>
    <w:rsid w:val="00D71FD5"/>
    <w:rsid w:val="00D72F74"/>
    <w:rsid w:val="00D807EA"/>
    <w:rsid w:val="00D81563"/>
    <w:rsid w:val="00D837C1"/>
    <w:rsid w:val="00D85907"/>
    <w:rsid w:val="00D860AC"/>
    <w:rsid w:val="00D87D09"/>
    <w:rsid w:val="00D9073E"/>
    <w:rsid w:val="00D9221D"/>
    <w:rsid w:val="00D9253C"/>
    <w:rsid w:val="00D958DF"/>
    <w:rsid w:val="00D96DA1"/>
    <w:rsid w:val="00DA38E9"/>
    <w:rsid w:val="00DA51E7"/>
    <w:rsid w:val="00DB0260"/>
    <w:rsid w:val="00DB1C78"/>
    <w:rsid w:val="00DB7D96"/>
    <w:rsid w:val="00DC09D6"/>
    <w:rsid w:val="00DC1D50"/>
    <w:rsid w:val="00DC23FE"/>
    <w:rsid w:val="00DC3316"/>
    <w:rsid w:val="00DC59E6"/>
    <w:rsid w:val="00DD150B"/>
    <w:rsid w:val="00DD3356"/>
    <w:rsid w:val="00DD5025"/>
    <w:rsid w:val="00DD5464"/>
    <w:rsid w:val="00DD6F85"/>
    <w:rsid w:val="00DD7120"/>
    <w:rsid w:val="00DE10ED"/>
    <w:rsid w:val="00DE254E"/>
    <w:rsid w:val="00DE32C0"/>
    <w:rsid w:val="00DE3A74"/>
    <w:rsid w:val="00DE76A7"/>
    <w:rsid w:val="00DF1510"/>
    <w:rsid w:val="00DF32DF"/>
    <w:rsid w:val="00E02F1F"/>
    <w:rsid w:val="00E05454"/>
    <w:rsid w:val="00E05A11"/>
    <w:rsid w:val="00E06484"/>
    <w:rsid w:val="00E06B24"/>
    <w:rsid w:val="00E17611"/>
    <w:rsid w:val="00E20A7D"/>
    <w:rsid w:val="00E23FE4"/>
    <w:rsid w:val="00E275D8"/>
    <w:rsid w:val="00E30059"/>
    <w:rsid w:val="00E30F40"/>
    <w:rsid w:val="00E30F6A"/>
    <w:rsid w:val="00E3117C"/>
    <w:rsid w:val="00E31288"/>
    <w:rsid w:val="00E34307"/>
    <w:rsid w:val="00E34511"/>
    <w:rsid w:val="00E3635B"/>
    <w:rsid w:val="00E375C3"/>
    <w:rsid w:val="00E375CA"/>
    <w:rsid w:val="00E42595"/>
    <w:rsid w:val="00E511C3"/>
    <w:rsid w:val="00E52C18"/>
    <w:rsid w:val="00E5364F"/>
    <w:rsid w:val="00E53CDE"/>
    <w:rsid w:val="00E567E8"/>
    <w:rsid w:val="00E60179"/>
    <w:rsid w:val="00E63766"/>
    <w:rsid w:val="00E64679"/>
    <w:rsid w:val="00E65EBC"/>
    <w:rsid w:val="00E6602E"/>
    <w:rsid w:val="00E677FE"/>
    <w:rsid w:val="00E726FB"/>
    <w:rsid w:val="00E73432"/>
    <w:rsid w:val="00E77B0C"/>
    <w:rsid w:val="00E77FB8"/>
    <w:rsid w:val="00E82933"/>
    <w:rsid w:val="00E838B0"/>
    <w:rsid w:val="00E86A7C"/>
    <w:rsid w:val="00E878E1"/>
    <w:rsid w:val="00E87F2C"/>
    <w:rsid w:val="00E90C4E"/>
    <w:rsid w:val="00E95278"/>
    <w:rsid w:val="00E96A42"/>
    <w:rsid w:val="00EA2273"/>
    <w:rsid w:val="00EA7C3C"/>
    <w:rsid w:val="00EB2DB3"/>
    <w:rsid w:val="00EB62CF"/>
    <w:rsid w:val="00EC3C3C"/>
    <w:rsid w:val="00EC3FBB"/>
    <w:rsid w:val="00EC6B7A"/>
    <w:rsid w:val="00ED3A87"/>
    <w:rsid w:val="00ED5B67"/>
    <w:rsid w:val="00ED628A"/>
    <w:rsid w:val="00EE1A5C"/>
    <w:rsid w:val="00EE5F5A"/>
    <w:rsid w:val="00EF264C"/>
    <w:rsid w:val="00EF3FEE"/>
    <w:rsid w:val="00EF4354"/>
    <w:rsid w:val="00EF6B41"/>
    <w:rsid w:val="00F04B59"/>
    <w:rsid w:val="00F077CA"/>
    <w:rsid w:val="00F07B69"/>
    <w:rsid w:val="00F11741"/>
    <w:rsid w:val="00F117B0"/>
    <w:rsid w:val="00F12B1C"/>
    <w:rsid w:val="00F13CF8"/>
    <w:rsid w:val="00F15855"/>
    <w:rsid w:val="00F200B2"/>
    <w:rsid w:val="00F21A09"/>
    <w:rsid w:val="00F227DC"/>
    <w:rsid w:val="00F244CC"/>
    <w:rsid w:val="00F263B9"/>
    <w:rsid w:val="00F30701"/>
    <w:rsid w:val="00F32978"/>
    <w:rsid w:val="00F37A46"/>
    <w:rsid w:val="00F4142C"/>
    <w:rsid w:val="00F45CB2"/>
    <w:rsid w:val="00F511F3"/>
    <w:rsid w:val="00F544C0"/>
    <w:rsid w:val="00F55332"/>
    <w:rsid w:val="00F554AA"/>
    <w:rsid w:val="00F60B6F"/>
    <w:rsid w:val="00F6156E"/>
    <w:rsid w:val="00F6164D"/>
    <w:rsid w:val="00F6504A"/>
    <w:rsid w:val="00F65519"/>
    <w:rsid w:val="00F66D9F"/>
    <w:rsid w:val="00F713C0"/>
    <w:rsid w:val="00F75DDC"/>
    <w:rsid w:val="00F7792F"/>
    <w:rsid w:val="00F82C43"/>
    <w:rsid w:val="00F842AA"/>
    <w:rsid w:val="00F8476F"/>
    <w:rsid w:val="00F853E1"/>
    <w:rsid w:val="00F85604"/>
    <w:rsid w:val="00F93809"/>
    <w:rsid w:val="00F93C6E"/>
    <w:rsid w:val="00F94548"/>
    <w:rsid w:val="00F94B7A"/>
    <w:rsid w:val="00FA17AC"/>
    <w:rsid w:val="00FA32DE"/>
    <w:rsid w:val="00FA3382"/>
    <w:rsid w:val="00FA59CD"/>
    <w:rsid w:val="00FB0CDC"/>
    <w:rsid w:val="00FB1740"/>
    <w:rsid w:val="00FB4235"/>
    <w:rsid w:val="00FC4446"/>
    <w:rsid w:val="00FC5469"/>
    <w:rsid w:val="00FC6D7D"/>
    <w:rsid w:val="00FD16B0"/>
    <w:rsid w:val="00FD4FED"/>
    <w:rsid w:val="00FD5C6A"/>
    <w:rsid w:val="00FE00C8"/>
    <w:rsid w:val="00FE0577"/>
    <w:rsid w:val="00FE2FF8"/>
    <w:rsid w:val="00FE5204"/>
    <w:rsid w:val="00FE59EC"/>
    <w:rsid w:val="00FE5B67"/>
    <w:rsid w:val="00FE60D6"/>
    <w:rsid w:val="00FF40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6625"/>
    <o:shapelayout v:ext="edit">
      <o:idmap v:ext="edit" data="1"/>
    </o:shapelayout>
  </w:shapeDefaults>
  <w:decimalSymbol w:val="."/>
  <w:listSeparator w:val=","/>
  <w15:docId w15:val="{A470360D-1CBC-40C6-B1DD-6FE28D7FDA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uiPriority w:val="99"/>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uiPriority w:val="99"/>
    <w:unhideWhenUsed/>
    <w:rsid w:val="00E511C3"/>
    <w:rPr>
      <w:vertAlign w:val="superscript"/>
    </w:rPr>
  </w:style>
  <w:style w:type="character" w:customStyle="1" w:styleId="FootnoteTextChar">
    <w:name w:val="Footnote Text Char"/>
    <w:basedOn w:val="DefaultParagraphFont"/>
    <w:link w:val="FootnoteText"/>
    <w:uiPriority w:val="99"/>
    <w:rsid w:val="00E60179"/>
  </w:style>
  <w:style w:type="character" w:styleId="CommentReference">
    <w:name w:val="annotation reference"/>
    <w:basedOn w:val="DefaultParagraphFont"/>
    <w:semiHidden/>
    <w:unhideWhenUsed/>
    <w:rsid w:val="00E52C18"/>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438066">
      <w:bodyDiv w:val="1"/>
      <w:marLeft w:val="0"/>
      <w:marRight w:val="0"/>
      <w:marTop w:val="0"/>
      <w:marBottom w:val="0"/>
      <w:divBdr>
        <w:top w:val="none" w:sz="0" w:space="0" w:color="auto"/>
        <w:left w:val="none" w:sz="0" w:space="0" w:color="auto"/>
        <w:bottom w:val="none" w:sz="0" w:space="0" w:color="auto"/>
        <w:right w:val="none" w:sz="0" w:space="0" w:color="auto"/>
      </w:divBdr>
    </w:div>
    <w:div w:id="860515218">
      <w:bodyDiv w:val="1"/>
      <w:marLeft w:val="0"/>
      <w:marRight w:val="0"/>
      <w:marTop w:val="0"/>
      <w:marBottom w:val="0"/>
      <w:divBdr>
        <w:top w:val="none" w:sz="0" w:space="0" w:color="auto"/>
        <w:left w:val="none" w:sz="0" w:space="0" w:color="auto"/>
        <w:bottom w:val="none" w:sz="0" w:space="0" w:color="auto"/>
        <w:right w:val="none" w:sz="0" w:space="0" w:color="auto"/>
      </w:divBdr>
    </w:div>
    <w:div w:id="1088429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4.emf"/><Relationship Id="rId26" Type="http://schemas.openxmlformats.org/officeDocument/2006/relationships/image" Target="media/image8.emf"/><Relationship Id="rId39" Type="http://schemas.openxmlformats.org/officeDocument/2006/relationships/oleObject" Target="embeddings/oleObject13.bin"/><Relationship Id="rId21" Type="http://schemas.openxmlformats.org/officeDocument/2006/relationships/oleObject" Target="embeddings/oleObject4.bin"/><Relationship Id="rId34" Type="http://schemas.openxmlformats.org/officeDocument/2006/relationships/image" Target="media/image12.emf"/><Relationship Id="rId42" Type="http://schemas.openxmlformats.org/officeDocument/2006/relationships/image" Target="media/image16.emf"/><Relationship Id="rId47" Type="http://schemas.openxmlformats.org/officeDocument/2006/relationships/oleObject" Target="embeddings/oleObject17.bin"/><Relationship Id="rId50" Type="http://schemas.openxmlformats.org/officeDocument/2006/relationships/image" Target="media/image20.emf"/><Relationship Id="rId55" Type="http://schemas.openxmlformats.org/officeDocument/2006/relationships/oleObject" Target="embeddings/oleObject21.bin"/><Relationship Id="rId63" Type="http://schemas.openxmlformats.org/officeDocument/2006/relationships/header" Target="head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image" Target="media/image5.emf"/><Relationship Id="rId29" Type="http://schemas.openxmlformats.org/officeDocument/2006/relationships/oleObject" Target="embeddings/oleObject8.bin"/><Relationship Id="rId41" Type="http://schemas.openxmlformats.org/officeDocument/2006/relationships/oleObject" Target="embeddings/oleObject14.bin"/><Relationship Id="rId54" Type="http://schemas.openxmlformats.org/officeDocument/2006/relationships/image" Target="media/image22.emf"/><Relationship Id="rId62" Type="http://schemas.openxmlformats.org/officeDocument/2006/relationships/image" Target="media/image2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7.emf"/><Relationship Id="rId32" Type="http://schemas.openxmlformats.org/officeDocument/2006/relationships/image" Target="media/image11.emf"/><Relationship Id="rId37" Type="http://schemas.openxmlformats.org/officeDocument/2006/relationships/oleObject" Target="embeddings/oleObject12.bin"/><Relationship Id="rId40" Type="http://schemas.openxmlformats.org/officeDocument/2006/relationships/image" Target="media/image15.emf"/><Relationship Id="rId45" Type="http://schemas.openxmlformats.org/officeDocument/2006/relationships/oleObject" Target="embeddings/oleObject16.bin"/><Relationship Id="rId53" Type="http://schemas.openxmlformats.org/officeDocument/2006/relationships/oleObject" Target="embeddings/oleObject20.bin"/><Relationship Id="rId58" Type="http://schemas.openxmlformats.org/officeDocument/2006/relationships/image" Target="media/image24.emf"/><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image" Target="media/image9.emf"/><Relationship Id="rId36" Type="http://schemas.openxmlformats.org/officeDocument/2006/relationships/image" Target="media/image13.emf"/><Relationship Id="rId49" Type="http://schemas.openxmlformats.org/officeDocument/2006/relationships/oleObject" Target="embeddings/oleObject18.bin"/><Relationship Id="rId57" Type="http://schemas.openxmlformats.org/officeDocument/2006/relationships/oleObject" Target="embeddings/oleObject22.bin"/><Relationship Id="rId61" Type="http://schemas.openxmlformats.org/officeDocument/2006/relationships/image" Target="media/image27.emf"/><Relationship Id="rId10" Type="http://schemas.openxmlformats.org/officeDocument/2006/relationships/footer" Target="footer1.xml"/><Relationship Id="rId19" Type="http://schemas.openxmlformats.org/officeDocument/2006/relationships/oleObject" Target="embeddings/oleObject3.bin"/><Relationship Id="rId31" Type="http://schemas.openxmlformats.org/officeDocument/2006/relationships/oleObject" Target="embeddings/oleObject9.bin"/><Relationship Id="rId44" Type="http://schemas.openxmlformats.org/officeDocument/2006/relationships/image" Target="media/image17.emf"/><Relationship Id="rId52" Type="http://schemas.openxmlformats.org/officeDocument/2006/relationships/image" Target="media/image21.emf"/><Relationship Id="rId60" Type="http://schemas.openxmlformats.org/officeDocument/2006/relationships/image" Target="media/image26.emf"/><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emf"/><Relationship Id="rId22" Type="http://schemas.openxmlformats.org/officeDocument/2006/relationships/image" Target="media/image6.emf"/><Relationship Id="rId27" Type="http://schemas.openxmlformats.org/officeDocument/2006/relationships/oleObject" Target="embeddings/oleObject7.bin"/><Relationship Id="rId30" Type="http://schemas.openxmlformats.org/officeDocument/2006/relationships/image" Target="media/image10.emf"/><Relationship Id="rId35" Type="http://schemas.openxmlformats.org/officeDocument/2006/relationships/oleObject" Target="embeddings/oleObject11.bin"/><Relationship Id="rId43" Type="http://schemas.openxmlformats.org/officeDocument/2006/relationships/oleObject" Target="embeddings/oleObject15.bin"/><Relationship Id="rId48" Type="http://schemas.openxmlformats.org/officeDocument/2006/relationships/image" Target="media/image19.emf"/><Relationship Id="rId56" Type="http://schemas.openxmlformats.org/officeDocument/2006/relationships/image" Target="media/image23.emf"/><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oleObject" Target="embeddings/oleObject19.bin"/><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oleObject" Target="embeddings/oleObject2.bin"/><Relationship Id="rId25" Type="http://schemas.openxmlformats.org/officeDocument/2006/relationships/oleObject" Target="embeddings/oleObject6.bin"/><Relationship Id="rId33" Type="http://schemas.openxmlformats.org/officeDocument/2006/relationships/oleObject" Target="embeddings/oleObject10.bin"/><Relationship Id="rId38" Type="http://schemas.openxmlformats.org/officeDocument/2006/relationships/image" Target="media/image14.emf"/><Relationship Id="rId46" Type="http://schemas.openxmlformats.org/officeDocument/2006/relationships/image" Target="media/image18.emf"/><Relationship Id="rId59" Type="http://schemas.openxmlformats.org/officeDocument/2006/relationships/image" Target="media/image25.emf"/></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DBB0BF-B2AA-4EBA-BF28-607C0049F2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(Regular).dotm</Template>
  <TotalTime>1</TotalTime>
  <Pages>36</Pages>
  <Words>2694</Words>
  <Characters>16573</Characters>
  <Application>Microsoft Office Word</Application>
  <DocSecurity>0</DocSecurity>
  <Lines>138</Lines>
  <Paragraphs>38</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19229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Alara Kaymak</dc:creator>
  <cp:lastModifiedBy>Jackie Colson</cp:lastModifiedBy>
  <cp:revision>2</cp:revision>
  <cp:lastPrinted>2024-03-11T14:09:00Z</cp:lastPrinted>
  <dcterms:created xsi:type="dcterms:W3CDTF">2024-03-21T14:35:00Z</dcterms:created>
  <dcterms:modified xsi:type="dcterms:W3CDTF">2024-03-21T14:35:00Z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20230140-EU</vt:lpwstr>
  </property>
  <property fmtid="{D5CDD505-2E9C-101B-9397-08002B2CF9AE}" pid="3" name="MasterDocument">
    <vt:bool>false</vt:bool>
  </property>
</Properties>
</file>