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644DD" w:rsidP="009644DD">
      <w:pPr>
        <w:pStyle w:val="OrderHeading"/>
      </w:pPr>
      <w:r>
        <w:t>BEFORE THE FLORIDA PUBLIC SERVICE COMMISSION</w:t>
      </w:r>
    </w:p>
    <w:p w:rsidR="009644DD" w:rsidRDefault="009644DD" w:rsidP="009644DD">
      <w:pPr>
        <w:pStyle w:val="OrderBody"/>
      </w:pPr>
    </w:p>
    <w:p w:rsidR="009644DD" w:rsidRDefault="009644DD" w:rsidP="009644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644DD" w:rsidRPr="00C63FCF" w:rsidTr="00C63FCF">
        <w:trPr>
          <w:trHeight w:val="828"/>
        </w:trPr>
        <w:tc>
          <w:tcPr>
            <w:tcW w:w="4788" w:type="dxa"/>
            <w:tcBorders>
              <w:bottom w:val="single" w:sz="8" w:space="0" w:color="auto"/>
              <w:right w:val="double" w:sz="6" w:space="0" w:color="auto"/>
            </w:tcBorders>
            <w:shd w:val="clear" w:color="auto" w:fill="auto"/>
          </w:tcPr>
          <w:p w:rsidR="009644DD" w:rsidRDefault="009644DD" w:rsidP="00C63FCF">
            <w:pPr>
              <w:pStyle w:val="OrderBody"/>
              <w:tabs>
                <w:tab w:val="center" w:pos="4320"/>
                <w:tab w:val="right" w:pos="8640"/>
              </w:tabs>
              <w:jc w:val="left"/>
            </w:pPr>
            <w:r>
              <w:t xml:space="preserve">In re: </w:t>
            </w:r>
            <w:bookmarkStart w:id="0" w:name="SSInRe"/>
            <w:bookmarkEnd w:id="0"/>
            <w:r>
              <w:t>Petition for rate increase by Tampa Electric Company.</w:t>
            </w:r>
          </w:p>
          <w:p w:rsidR="00AE0EC0" w:rsidRDefault="00AE0EC0" w:rsidP="00C63FCF">
            <w:pPr>
              <w:pStyle w:val="OrderBody"/>
              <w:tabs>
                <w:tab w:val="center" w:pos="4320"/>
                <w:tab w:val="right" w:pos="8640"/>
              </w:tabs>
              <w:jc w:val="left"/>
            </w:pPr>
          </w:p>
          <w:p w:rsidR="00AE0EC0" w:rsidRDefault="00AE0EC0" w:rsidP="00C63FCF">
            <w:pPr>
              <w:pStyle w:val="OrderBody"/>
              <w:tabs>
                <w:tab w:val="center" w:pos="4320"/>
                <w:tab w:val="right" w:pos="8640"/>
              </w:tabs>
              <w:jc w:val="left"/>
            </w:pPr>
            <w:r>
              <w:t>In re: Petition for approval of 2023 depreciation and dismantlement study, by Tampa Electric Company.</w:t>
            </w:r>
          </w:p>
          <w:p w:rsidR="00AE0EC0" w:rsidRDefault="00AE0EC0" w:rsidP="00C63FCF">
            <w:pPr>
              <w:pStyle w:val="OrderBody"/>
              <w:tabs>
                <w:tab w:val="center" w:pos="4320"/>
                <w:tab w:val="right" w:pos="8640"/>
              </w:tabs>
              <w:jc w:val="left"/>
            </w:pPr>
          </w:p>
          <w:p w:rsidR="00AE0EC0" w:rsidRDefault="00AE0EC0"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9644DD" w:rsidRDefault="009644DD" w:rsidP="009644DD">
            <w:pPr>
              <w:pStyle w:val="OrderBody"/>
            </w:pPr>
            <w:r>
              <w:t xml:space="preserve">DOCKET NO. </w:t>
            </w:r>
            <w:bookmarkStart w:id="1" w:name="SSDocketNo"/>
            <w:bookmarkEnd w:id="1"/>
            <w:r>
              <w:t>20240026-EI</w:t>
            </w:r>
          </w:p>
          <w:p w:rsidR="00AE0EC0" w:rsidRDefault="00AE0EC0" w:rsidP="00C63FCF">
            <w:pPr>
              <w:pStyle w:val="OrderBody"/>
              <w:tabs>
                <w:tab w:val="center" w:pos="4320"/>
                <w:tab w:val="right" w:pos="8640"/>
              </w:tabs>
              <w:jc w:val="left"/>
            </w:pPr>
          </w:p>
          <w:p w:rsidR="00AE0EC0" w:rsidRDefault="00AE0EC0" w:rsidP="00C63FCF">
            <w:pPr>
              <w:pStyle w:val="OrderBody"/>
              <w:tabs>
                <w:tab w:val="center" w:pos="4320"/>
                <w:tab w:val="right" w:pos="8640"/>
              </w:tabs>
              <w:jc w:val="left"/>
            </w:pPr>
          </w:p>
          <w:p w:rsidR="00AE0EC0" w:rsidRDefault="00AE0EC0" w:rsidP="00C63FCF">
            <w:pPr>
              <w:pStyle w:val="OrderBody"/>
              <w:tabs>
                <w:tab w:val="center" w:pos="4320"/>
                <w:tab w:val="right" w:pos="8640"/>
              </w:tabs>
              <w:jc w:val="left"/>
            </w:pPr>
            <w:r>
              <w:t>D</w:t>
            </w:r>
            <w:r w:rsidR="001F565E">
              <w:t>OCKET NO. 20230139-EI</w:t>
            </w:r>
          </w:p>
          <w:p w:rsidR="001F565E" w:rsidRDefault="001F565E" w:rsidP="00C63FCF">
            <w:pPr>
              <w:pStyle w:val="OrderBody"/>
              <w:tabs>
                <w:tab w:val="center" w:pos="4320"/>
                <w:tab w:val="right" w:pos="8640"/>
              </w:tabs>
              <w:jc w:val="left"/>
            </w:pPr>
          </w:p>
          <w:p w:rsidR="001F565E" w:rsidRDefault="001F565E" w:rsidP="00C63FCF">
            <w:pPr>
              <w:pStyle w:val="OrderBody"/>
              <w:tabs>
                <w:tab w:val="center" w:pos="4320"/>
                <w:tab w:val="right" w:pos="8640"/>
              </w:tabs>
              <w:jc w:val="left"/>
            </w:pPr>
          </w:p>
          <w:p w:rsidR="00CB0917" w:rsidRDefault="00CB0917" w:rsidP="00C63FCF">
            <w:pPr>
              <w:pStyle w:val="OrderBody"/>
              <w:tabs>
                <w:tab w:val="center" w:pos="4320"/>
                <w:tab w:val="right" w:pos="8640"/>
              </w:tabs>
              <w:jc w:val="left"/>
            </w:pPr>
          </w:p>
          <w:p w:rsidR="001F565E" w:rsidRDefault="001F565E" w:rsidP="00C63FCF">
            <w:pPr>
              <w:pStyle w:val="OrderBody"/>
              <w:tabs>
                <w:tab w:val="center" w:pos="4320"/>
                <w:tab w:val="right" w:pos="8640"/>
              </w:tabs>
              <w:jc w:val="left"/>
            </w:pPr>
            <w:r>
              <w:t>DOCKET NO. 20230090-EI</w:t>
            </w:r>
          </w:p>
          <w:p w:rsidR="00AE0EC0" w:rsidRDefault="00AE0EC0" w:rsidP="00C63FCF">
            <w:pPr>
              <w:pStyle w:val="OrderBody"/>
              <w:tabs>
                <w:tab w:val="center" w:pos="4320"/>
                <w:tab w:val="right" w:pos="8640"/>
              </w:tabs>
              <w:jc w:val="left"/>
            </w:pPr>
          </w:p>
          <w:p w:rsidR="009644DD" w:rsidRDefault="009644DD" w:rsidP="00C63FCF">
            <w:pPr>
              <w:pStyle w:val="OrderBody"/>
              <w:tabs>
                <w:tab w:val="center" w:pos="4320"/>
                <w:tab w:val="right" w:pos="8640"/>
              </w:tabs>
              <w:jc w:val="left"/>
            </w:pPr>
            <w:r>
              <w:t xml:space="preserve">ORDER NO. </w:t>
            </w:r>
            <w:bookmarkStart w:id="2" w:name="OrderNo0124"/>
            <w:r w:rsidR="007A1959">
              <w:t>PSC-2024-0124-PCO-EI</w:t>
            </w:r>
            <w:bookmarkEnd w:id="2"/>
          </w:p>
          <w:p w:rsidR="009644DD" w:rsidRDefault="009644DD" w:rsidP="00C63FCF">
            <w:pPr>
              <w:pStyle w:val="OrderBody"/>
              <w:tabs>
                <w:tab w:val="center" w:pos="4320"/>
                <w:tab w:val="right" w:pos="8640"/>
              </w:tabs>
              <w:jc w:val="left"/>
            </w:pPr>
            <w:r>
              <w:t xml:space="preserve">ISSUED: </w:t>
            </w:r>
            <w:r w:rsidR="007A1959">
              <w:t>April 23, 2024</w:t>
            </w:r>
          </w:p>
        </w:tc>
      </w:tr>
    </w:tbl>
    <w:p w:rsidR="009644DD" w:rsidRDefault="009644DD" w:rsidP="009644DD"/>
    <w:p w:rsidR="009644DD" w:rsidRDefault="009644DD" w:rsidP="009644DD"/>
    <w:p w:rsidR="009644DD" w:rsidRDefault="009644DD" w:rsidP="009644DD">
      <w:pPr>
        <w:pStyle w:val="CenterUnderline"/>
      </w:pPr>
      <w:bookmarkStart w:id="3" w:name="Commissioners"/>
      <w:bookmarkEnd w:id="3"/>
      <w:r>
        <w:t xml:space="preserve">ORDER GRANTING INTERVENTION </w:t>
      </w:r>
    </w:p>
    <w:p w:rsidR="009644DD" w:rsidRPr="00082A0B" w:rsidRDefault="00DC7D5A" w:rsidP="009644DD">
      <w:pPr>
        <w:pStyle w:val="CenterUnderline"/>
      </w:pPr>
      <w:r>
        <w:t>OF</w:t>
      </w:r>
      <w:r w:rsidR="009644DD" w:rsidRPr="00082A0B">
        <w:t xml:space="preserve"> </w:t>
      </w:r>
      <w:r w:rsidR="009644DD">
        <w:t>FLORIDA RETAIL FEDERATION</w:t>
      </w:r>
    </w:p>
    <w:p w:rsidR="009644DD" w:rsidRDefault="009644DD" w:rsidP="009644DD">
      <w:pPr>
        <w:jc w:val="both"/>
      </w:pPr>
    </w:p>
    <w:p w:rsidR="00B73880" w:rsidRDefault="009644DD" w:rsidP="009644DD">
      <w:pPr>
        <w:jc w:val="both"/>
      </w:pPr>
      <w:r>
        <w:tab/>
      </w:r>
    </w:p>
    <w:p w:rsidR="009644DD" w:rsidRDefault="00DC7D5A" w:rsidP="00B73880">
      <w:pPr>
        <w:ind w:firstLine="720"/>
        <w:jc w:val="both"/>
      </w:pPr>
      <w:r>
        <w:t>On April 2, 2024, Tampa Electric Company (“TECO”) filed a petition, minimum filing requirements, and testimony for an increase in base rates effective January 2025.</w:t>
      </w:r>
    </w:p>
    <w:p w:rsidR="009644DD" w:rsidRDefault="009644DD" w:rsidP="009644DD">
      <w:pPr>
        <w:jc w:val="both"/>
      </w:pPr>
    </w:p>
    <w:p w:rsidR="009644DD" w:rsidRPr="00173CF1" w:rsidRDefault="009644DD" w:rsidP="009644DD">
      <w:pPr>
        <w:jc w:val="both"/>
        <w:rPr>
          <w:u w:val="single"/>
        </w:rPr>
      </w:pPr>
      <w:r w:rsidRPr="00173CF1">
        <w:rPr>
          <w:u w:val="single"/>
        </w:rPr>
        <w:t>Petition for Intervention</w:t>
      </w:r>
    </w:p>
    <w:p w:rsidR="009644DD" w:rsidRDefault="009644DD" w:rsidP="009644DD">
      <w:pPr>
        <w:jc w:val="both"/>
      </w:pPr>
    </w:p>
    <w:p w:rsidR="009644DD" w:rsidRDefault="00094387" w:rsidP="009644DD">
      <w:pPr>
        <w:ind w:firstLine="720"/>
        <w:jc w:val="both"/>
      </w:pPr>
      <w:r>
        <w:t xml:space="preserve">Florida Retail Federation (“FRF”) filed a </w:t>
      </w:r>
      <w:r w:rsidR="000F3567">
        <w:t>Motion</w:t>
      </w:r>
      <w:r>
        <w:t xml:space="preserve"> to Intervene on </w:t>
      </w:r>
      <w:r w:rsidR="009644DD">
        <w:t>April 3, 2024</w:t>
      </w:r>
      <w:r>
        <w:t>. Petitioner represents that it consulted with the parties and neither TECO nor the Office of Public Counsel object to its intervention.</w:t>
      </w:r>
    </w:p>
    <w:p w:rsidR="00D36AF4" w:rsidRDefault="00D36AF4" w:rsidP="009644DD">
      <w:pPr>
        <w:ind w:firstLine="720"/>
        <w:jc w:val="both"/>
      </w:pPr>
    </w:p>
    <w:p w:rsidR="00D36AF4" w:rsidRDefault="00D36AF4" w:rsidP="009644DD">
      <w:pPr>
        <w:ind w:firstLine="720"/>
        <w:jc w:val="both"/>
      </w:pPr>
      <w:r>
        <w:t xml:space="preserve">FRF states it is an association </w:t>
      </w:r>
      <w:r w:rsidR="00B76F90">
        <w:t>of</w:t>
      </w:r>
      <w:r>
        <w:t xml:space="preserve"> more than 8,000 members in Florida, many of whom are retail </w:t>
      </w:r>
      <w:r w:rsidR="00B76F90">
        <w:t xml:space="preserve">electric </w:t>
      </w:r>
      <w:r>
        <w:t>customers of TECO.</w:t>
      </w:r>
      <w:r w:rsidR="00B76F90">
        <w:t xml:space="preserve"> FRF alleges that a substantial number of its members will be substantially affected by rates set in this proceeding. FRF </w:t>
      </w:r>
      <w:r w:rsidR="005D3771">
        <w:t>maintains</w:t>
      </w:r>
      <w:r w:rsidR="00B76F90">
        <w:t xml:space="preserve"> that it exists to represent its members’ interests in a number of venues, including before the Florida Public Service Commission</w:t>
      </w:r>
      <w:r w:rsidR="00870409">
        <w:t xml:space="preserve"> (“Commission”)</w:t>
      </w:r>
      <w:r w:rsidR="00B76F90">
        <w:t xml:space="preserve"> </w:t>
      </w:r>
      <w:r w:rsidR="005D3771">
        <w:t>to address general rate cases. FRF asserts that its participation in this matter is appropriate to ensure the retail rates charged to its affected members are</w:t>
      </w:r>
      <w:r w:rsidR="00430821">
        <w:t xml:space="preserve"> fair, just, reasonable, and the </w:t>
      </w:r>
      <w:r w:rsidR="0002727D">
        <w:t>lowest possible</w:t>
      </w:r>
      <w:r w:rsidR="00430821">
        <w:t>, to the extent consistent with governing law</w:t>
      </w:r>
      <w:r w:rsidR="0002727D">
        <w:t>.</w:t>
      </w:r>
      <w:r w:rsidR="00A50B19">
        <w:t xml:space="preserve"> Finally, FRF notes that it was permitted to</w:t>
      </w:r>
      <w:r w:rsidR="00964706">
        <w:t xml:space="preserve"> intervene and litigate in other cases where </w:t>
      </w:r>
      <w:r w:rsidR="00D405D8">
        <w:t>TECO</w:t>
      </w:r>
      <w:r w:rsidR="00964706">
        <w:t xml:space="preserve"> sought rate </w:t>
      </w:r>
      <w:r w:rsidR="001160E2">
        <w:t>changes</w:t>
      </w:r>
      <w:r w:rsidR="00964706">
        <w:t>.</w:t>
      </w:r>
      <w:r w:rsidR="008C62E0">
        <w:rPr>
          <w:rStyle w:val="FootnoteReference"/>
        </w:rPr>
        <w:footnoteReference w:id="1"/>
      </w:r>
    </w:p>
    <w:p w:rsidR="009644DD" w:rsidRDefault="009644DD" w:rsidP="009644DD">
      <w:pPr>
        <w:jc w:val="both"/>
      </w:pPr>
    </w:p>
    <w:p w:rsidR="00530CCD" w:rsidRDefault="00530CCD">
      <w:pPr>
        <w:rPr>
          <w:u w:val="single"/>
        </w:rPr>
      </w:pPr>
      <w:r>
        <w:rPr>
          <w:u w:val="single"/>
        </w:rPr>
        <w:br w:type="page"/>
      </w:r>
    </w:p>
    <w:p w:rsidR="009644DD" w:rsidRPr="00173CF1" w:rsidRDefault="009644DD" w:rsidP="009644DD">
      <w:pPr>
        <w:jc w:val="both"/>
        <w:rPr>
          <w:u w:val="single"/>
        </w:rPr>
      </w:pPr>
      <w:r w:rsidRPr="00173CF1">
        <w:rPr>
          <w:u w:val="single"/>
        </w:rPr>
        <w:lastRenderedPageBreak/>
        <w:t>Standard for Intervention</w:t>
      </w:r>
    </w:p>
    <w:p w:rsidR="009644DD" w:rsidRDefault="009644DD" w:rsidP="009644DD">
      <w:pPr>
        <w:jc w:val="both"/>
      </w:pPr>
    </w:p>
    <w:p w:rsidR="00E607B6" w:rsidRDefault="00E607B6" w:rsidP="00E607B6">
      <w:pPr>
        <w:ind w:firstLine="720"/>
        <w:jc w:val="both"/>
      </w:pPr>
      <w:r w:rsidRPr="00E607B6">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pursuant to Commission rule, or that the substantial interests of the intervenor are subject to determination or will be affected through the proceeding. Intervenors take the case as they find it.</w:t>
      </w:r>
    </w:p>
    <w:p w:rsidR="00E73332" w:rsidRPr="00E607B6" w:rsidRDefault="00E73332" w:rsidP="00E73332">
      <w:pPr>
        <w:jc w:val="both"/>
      </w:pPr>
    </w:p>
    <w:p w:rsidR="009644DD" w:rsidRDefault="00E607B6" w:rsidP="00E607B6">
      <w:pPr>
        <w:ind w:firstLine="720"/>
        <w:jc w:val="both"/>
      </w:pPr>
      <w:r w:rsidRPr="00E607B6">
        <w:t xml:space="preserve">The test for associational standing was established in </w:t>
      </w:r>
      <w:r w:rsidRPr="00E607B6">
        <w:rPr>
          <w:i/>
        </w:rPr>
        <w:t>Florida Home Builders Association v. Department of Labor and Employment Security</w:t>
      </w:r>
      <w:r w:rsidRPr="00E607B6">
        <w:rPr>
          <w:vertAlign w:val="superscript"/>
        </w:rPr>
        <w:footnoteReference w:id="2"/>
      </w:r>
      <w:r w:rsidRPr="00E607B6">
        <w:t xml:space="preserve"> and </w:t>
      </w:r>
      <w:r w:rsidRPr="00E607B6">
        <w:rPr>
          <w:i/>
        </w:rPr>
        <w:t>Farmworker Rights Organization, Inc. v. Department of Health and Rehabilitative Services</w:t>
      </w:r>
      <w:r w:rsidRPr="00E607B6">
        <w:t>,</w:t>
      </w:r>
      <w:r w:rsidRPr="00E607B6">
        <w:rPr>
          <w:vertAlign w:val="superscript"/>
        </w:rPr>
        <w:footnoteReference w:id="3"/>
      </w:r>
      <w:r w:rsidRPr="00E607B6">
        <w:t xml:space="preserve"> which is based on the basic standing principles established in </w:t>
      </w:r>
      <w:r w:rsidRPr="00E607B6">
        <w:rPr>
          <w:i/>
        </w:rPr>
        <w:t>Agrico Chemical Company v. Department of Environmental Regulation</w:t>
      </w:r>
      <w:r w:rsidRPr="00E607B6">
        <w:t>.</w:t>
      </w:r>
      <w:r w:rsidRPr="00E607B6">
        <w:rPr>
          <w:vertAlign w:val="superscript"/>
        </w:rPr>
        <w:footnoteReference w:id="4"/>
      </w:r>
      <w:r w:rsidRPr="00E607B6">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r w:rsidRPr="00E607B6">
        <w:rPr>
          <w:vertAlign w:val="superscript"/>
        </w:rPr>
        <w:footnoteReference w:id="5"/>
      </w:r>
    </w:p>
    <w:p w:rsidR="008022C6" w:rsidRDefault="008022C6" w:rsidP="008022C6">
      <w:pPr>
        <w:jc w:val="both"/>
      </w:pPr>
    </w:p>
    <w:p w:rsidR="008022C6" w:rsidRPr="00CE0B55" w:rsidRDefault="009C017D" w:rsidP="008022C6">
      <w:pPr>
        <w:jc w:val="both"/>
        <w:rPr>
          <w:u w:val="single"/>
        </w:rPr>
      </w:pPr>
      <w:r w:rsidRPr="00CE0B55">
        <w:rPr>
          <w:u w:val="single"/>
        </w:rPr>
        <w:t>Analysis &amp; Ruling</w:t>
      </w:r>
    </w:p>
    <w:p w:rsidR="009C017D" w:rsidRDefault="009C017D" w:rsidP="008022C6">
      <w:pPr>
        <w:jc w:val="both"/>
      </w:pPr>
    </w:p>
    <w:p w:rsidR="00D341EA" w:rsidRDefault="009C017D" w:rsidP="008022C6">
      <w:pPr>
        <w:jc w:val="both"/>
      </w:pPr>
      <w:r>
        <w:tab/>
        <w:t xml:space="preserve">Based on a review of the materials provided by FRF, it appears that FRF meets the three-prong associational standing test established in </w:t>
      </w:r>
      <w:r w:rsidRPr="009C017D">
        <w:rPr>
          <w:i/>
        </w:rPr>
        <w:t>Florida Home Builders</w:t>
      </w:r>
      <w:r>
        <w:t xml:space="preserve">. </w:t>
      </w:r>
      <w:r w:rsidR="00871952">
        <w:t>With respect to the first prong, FRF demonstrates that a substantial number of its members will be substantially affected by the Commission’s determination in this rate proceeding.</w:t>
      </w:r>
      <w:r w:rsidR="00413426">
        <w:t xml:space="preserve"> Its members face the prospect of paying higher electricity base rates going forward. With respect to the second prong, </w:t>
      </w:r>
      <w:r w:rsidR="008C4093">
        <w:t xml:space="preserve">the subject matter of this proceeding appears to be within </w:t>
      </w:r>
      <w:r w:rsidR="00DF6997">
        <w:t xml:space="preserve">FRF’s </w:t>
      </w:r>
      <w:r w:rsidR="008C4093">
        <w:t xml:space="preserve">general scope of interest and activity. </w:t>
      </w:r>
      <w:r w:rsidR="005A3F5A" w:rsidRPr="005A3F5A">
        <w:t xml:space="preserve">FRF </w:t>
      </w:r>
      <w:r w:rsidR="006179A6">
        <w:t>asserts</w:t>
      </w:r>
      <w:r w:rsidR="005A3F5A" w:rsidRPr="005A3F5A">
        <w:t xml:space="preserve"> that it exists to represent its members’ interests in a number of venues, including before the Commission to address general rate cases.</w:t>
      </w:r>
      <w:r w:rsidR="0027097C">
        <w:t xml:space="preserve"> With respect to the third prong, the relief being requested by FRF appears to be of a type appropriate for this association to obtain on behalf of </w:t>
      </w:r>
      <w:r w:rsidR="0027097C">
        <w:lastRenderedPageBreak/>
        <w:t>its members. FRF seeks to intervene in this docket to represent th</w:t>
      </w:r>
      <w:r w:rsidR="00D341EA">
        <w:t>e interests of its members that the retail rates charged are fair, just, reasonable, and the lowest possible, to the extent consistent with governing law.</w:t>
      </w:r>
      <w:r w:rsidR="00A93FFA">
        <w:t xml:space="preserve"> Therefore, FRF meets the requirements for associational standing and will be permitted to intervene as a party in this proceeding.</w:t>
      </w:r>
    </w:p>
    <w:p w:rsidR="00226BBE" w:rsidRDefault="009644DD" w:rsidP="009644DD">
      <w:pPr>
        <w:jc w:val="both"/>
      </w:pPr>
      <w:r w:rsidRPr="00826D5E">
        <w:tab/>
      </w:r>
    </w:p>
    <w:p w:rsidR="009644DD" w:rsidRPr="00826D5E" w:rsidRDefault="009644DD" w:rsidP="00226BBE">
      <w:pPr>
        <w:ind w:firstLine="720"/>
        <w:jc w:val="both"/>
      </w:pPr>
      <w:r>
        <w:t xml:space="preserve">Based on the </w:t>
      </w:r>
      <w:r w:rsidR="00D946B9">
        <w:t>foregoing, it is</w:t>
      </w:r>
    </w:p>
    <w:p w:rsidR="009644DD" w:rsidRPr="00826D5E" w:rsidRDefault="009644DD" w:rsidP="009644DD">
      <w:pPr>
        <w:jc w:val="both"/>
      </w:pPr>
    </w:p>
    <w:p w:rsidR="009644DD" w:rsidRDefault="009644DD" w:rsidP="009644DD">
      <w:pPr>
        <w:ind w:firstLine="720"/>
        <w:jc w:val="both"/>
      </w:pPr>
      <w:r>
        <w:t>ORDERED by Commissioner Gary F. Clark, as Prehearing Officer, that the Motion to Intervene by Florida Retail Federation is hereby granted as set forth in the body of this Order. It is further</w:t>
      </w:r>
    </w:p>
    <w:p w:rsidR="009644DD" w:rsidRDefault="009644DD" w:rsidP="009644DD">
      <w:pPr>
        <w:ind w:firstLine="720"/>
        <w:jc w:val="both"/>
      </w:pPr>
    </w:p>
    <w:p w:rsidR="009644DD" w:rsidRDefault="009644DD" w:rsidP="009644DD">
      <w:pPr>
        <w:ind w:firstLine="720"/>
        <w:jc w:val="both"/>
      </w:pPr>
      <w:r>
        <w:t xml:space="preserve">ORDERED that Florida Retail Federation takes the case as it finds it. It is further </w:t>
      </w:r>
    </w:p>
    <w:p w:rsidR="009644DD" w:rsidRDefault="009644DD" w:rsidP="009644DD">
      <w:pPr>
        <w:ind w:firstLine="720"/>
        <w:jc w:val="both"/>
      </w:pPr>
    </w:p>
    <w:p w:rsidR="009644DD" w:rsidRDefault="009644DD" w:rsidP="009644DD">
      <w:pPr>
        <w:ind w:firstLine="720"/>
        <w:jc w:val="both"/>
      </w:pPr>
      <w:r>
        <w:t>ORDERED that all parties to this proceeding shall furnish copies of all testimony, exhibits, pleadings, and other documents which may hereinafter be filed in this proceeding to:</w:t>
      </w:r>
    </w:p>
    <w:p w:rsidR="009644DD" w:rsidRDefault="009644DD" w:rsidP="009644DD">
      <w:pPr>
        <w:ind w:firstLine="720"/>
        <w:jc w:val="both"/>
      </w:pPr>
    </w:p>
    <w:p w:rsidR="009644DD" w:rsidRPr="00E61348" w:rsidRDefault="009644DD" w:rsidP="009644DD">
      <w:pPr>
        <w:autoSpaceDE w:val="0"/>
        <w:autoSpaceDN w:val="0"/>
        <w:adjustRightInd w:val="0"/>
        <w:ind w:firstLine="720"/>
        <w:rPr>
          <w:rFonts w:ascii="TimesNewRomanPSMT" w:hAnsi="TimesNewRomanPSMT" w:cs="TimesNewRomanPSMT"/>
        </w:rPr>
      </w:pPr>
      <w:r w:rsidRPr="00E61348">
        <w:rPr>
          <w:rFonts w:ascii="TimesNewRomanPSMT" w:hAnsi="TimesNewRomanPSMT" w:cs="TimesNewRomanPSMT"/>
        </w:rPr>
        <w:t xml:space="preserve">Robert Scheffel Wright, </w:t>
      </w:r>
      <w:r w:rsidR="00E61348">
        <w:rPr>
          <w:rFonts w:ascii="TimesNewRomanPSMT" w:hAnsi="TimesNewRomanPSMT" w:cs="TimesNewRomanPSMT"/>
        </w:rPr>
        <w:t>Esq.</w:t>
      </w:r>
    </w:p>
    <w:p w:rsidR="009644DD" w:rsidRPr="00E61348" w:rsidRDefault="009644DD" w:rsidP="009644DD">
      <w:pPr>
        <w:autoSpaceDE w:val="0"/>
        <w:autoSpaceDN w:val="0"/>
        <w:adjustRightInd w:val="0"/>
        <w:ind w:firstLine="720"/>
        <w:rPr>
          <w:rFonts w:ascii="TimesNewRomanPSMT" w:hAnsi="TimesNewRomanPSMT" w:cs="TimesNewRomanPSMT"/>
        </w:rPr>
      </w:pPr>
      <w:r w:rsidRPr="00E61348">
        <w:rPr>
          <w:rFonts w:ascii="TimesNewRomanPSMT" w:hAnsi="TimesNewRomanPSMT" w:cs="TimesNewRomanPSMT"/>
        </w:rPr>
        <w:t>schef@gbwlegal.com</w:t>
      </w:r>
    </w:p>
    <w:p w:rsidR="009644DD" w:rsidRPr="00E61348" w:rsidRDefault="00E61348" w:rsidP="009644DD">
      <w:pPr>
        <w:autoSpaceDE w:val="0"/>
        <w:autoSpaceDN w:val="0"/>
        <w:adjustRightInd w:val="0"/>
        <w:ind w:firstLine="720"/>
        <w:rPr>
          <w:rFonts w:ascii="TimesNewRomanPSMT" w:hAnsi="TimesNewRomanPSMT" w:cs="TimesNewRomanPSMT"/>
        </w:rPr>
      </w:pPr>
      <w:r>
        <w:rPr>
          <w:rFonts w:ascii="TimesNewRomanPSMT" w:hAnsi="TimesNewRomanPSMT" w:cs="TimesNewRomanPSMT"/>
        </w:rPr>
        <w:t>John T. LaVia</w:t>
      </w:r>
      <w:r w:rsidR="009644DD" w:rsidRPr="00E61348">
        <w:rPr>
          <w:rFonts w:ascii="TimesNewRomanPSMT" w:hAnsi="TimesNewRomanPSMT" w:cs="TimesNewRomanPSMT"/>
        </w:rPr>
        <w:t xml:space="preserve"> III, </w:t>
      </w:r>
      <w:r>
        <w:rPr>
          <w:rFonts w:ascii="TimesNewRomanPSMT" w:hAnsi="TimesNewRomanPSMT" w:cs="TimesNewRomanPSMT"/>
        </w:rPr>
        <w:t>Esq.</w:t>
      </w:r>
    </w:p>
    <w:p w:rsidR="009644DD" w:rsidRPr="00E61348" w:rsidRDefault="009644DD" w:rsidP="009644DD">
      <w:pPr>
        <w:autoSpaceDE w:val="0"/>
        <w:autoSpaceDN w:val="0"/>
        <w:adjustRightInd w:val="0"/>
        <w:ind w:firstLine="720"/>
        <w:rPr>
          <w:rFonts w:ascii="TimesNewRomanPSMT" w:hAnsi="TimesNewRomanPSMT" w:cs="TimesNewRomanPSMT"/>
        </w:rPr>
      </w:pPr>
      <w:r w:rsidRPr="00E61348">
        <w:rPr>
          <w:rFonts w:ascii="TimesNewRomanPSMT" w:hAnsi="TimesNewRomanPSMT" w:cs="TimesNewRomanPSMT"/>
        </w:rPr>
        <w:t>jlavia@gbwlegal.com</w:t>
      </w:r>
    </w:p>
    <w:p w:rsidR="009644DD" w:rsidRPr="00E61348" w:rsidRDefault="009644DD" w:rsidP="009644DD">
      <w:pPr>
        <w:autoSpaceDE w:val="0"/>
        <w:autoSpaceDN w:val="0"/>
        <w:adjustRightInd w:val="0"/>
        <w:ind w:firstLine="720"/>
        <w:rPr>
          <w:rFonts w:ascii="TimesNewRomanPSMT" w:hAnsi="TimesNewRomanPSMT" w:cs="TimesNewRomanPSMT"/>
        </w:rPr>
      </w:pPr>
      <w:r w:rsidRPr="00E61348">
        <w:rPr>
          <w:rFonts w:ascii="TimesNewRomanPSMT" w:hAnsi="TimesNewRomanPSMT" w:cs="TimesNewRomanPSMT"/>
        </w:rPr>
        <w:t>Gardner, Bist, Bowden, Dee, LaVia, Wright, Perry &amp; Harper, P.A.</w:t>
      </w:r>
    </w:p>
    <w:p w:rsidR="009644DD" w:rsidRPr="00E61348" w:rsidRDefault="009644DD" w:rsidP="009644DD">
      <w:pPr>
        <w:autoSpaceDE w:val="0"/>
        <w:autoSpaceDN w:val="0"/>
        <w:adjustRightInd w:val="0"/>
        <w:ind w:firstLine="720"/>
        <w:rPr>
          <w:rFonts w:ascii="TimesNewRomanPSMT" w:hAnsi="TimesNewRomanPSMT" w:cs="TimesNewRomanPSMT"/>
        </w:rPr>
      </w:pPr>
      <w:r w:rsidRPr="00E61348">
        <w:rPr>
          <w:rFonts w:ascii="TimesNewRomanPSMT" w:hAnsi="TimesNewRomanPSMT" w:cs="TimesNewRomanPSMT"/>
        </w:rPr>
        <w:t>1300 Thomaswood Drive</w:t>
      </w:r>
    </w:p>
    <w:p w:rsidR="009644DD" w:rsidRPr="00E61348" w:rsidRDefault="009644DD" w:rsidP="009644DD">
      <w:pPr>
        <w:autoSpaceDE w:val="0"/>
        <w:autoSpaceDN w:val="0"/>
        <w:adjustRightInd w:val="0"/>
        <w:ind w:firstLine="720"/>
        <w:rPr>
          <w:rFonts w:ascii="TimesNewRomanPSMT" w:hAnsi="TimesNewRomanPSMT" w:cs="TimesNewRomanPSMT"/>
        </w:rPr>
      </w:pPr>
      <w:r w:rsidRPr="00E61348">
        <w:rPr>
          <w:rFonts w:ascii="TimesNewRomanPSMT" w:hAnsi="TimesNewRomanPSMT" w:cs="TimesNewRomanPSMT"/>
        </w:rPr>
        <w:t>Tallahassee, Florida 32308</w:t>
      </w:r>
    </w:p>
    <w:p w:rsidR="009644DD" w:rsidRPr="009644DD" w:rsidRDefault="00E61348" w:rsidP="009644DD">
      <w:pPr>
        <w:autoSpaceDE w:val="0"/>
        <w:autoSpaceDN w:val="0"/>
        <w:adjustRightInd w:val="0"/>
        <w:ind w:firstLine="720"/>
        <w:rPr>
          <w:rFonts w:ascii="TimesNewRomanPSMT" w:hAnsi="TimesNewRomanPSMT" w:cs="TimesNewRomanPSMT"/>
          <w:color w:val="000000"/>
        </w:rPr>
      </w:pPr>
      <w:r>
        <w:rPr>
          <w:rFonts w:ascii="TimesNewRomanPSMT" w:hAnsi="TimesNewRomanPSMT" w:cs="TimesNewRomanPSMT"/>
          <w:color w:val="000000"/>
        </w:rPr>
        <w:t>Telephone (850) 385–</w:t>
      </w:r>
      <w:r w:rsidR="009644DD" w:rsidRPr="009644DD">
        <w:rPr>
          <w:rFonts w:ascii="TimesNewRomanPSMT" w:hAnsi="TimesNewRomanPSMT" w:cs="TimesNewRomanPSMT"/>
          <w:color w:val="000000"/>
        </w:rPr>
        <w:t>0070</w:t>
      </w:r>
    </w:p>
    <w:p w:rsidR="009644DD" w:rsidRDefault="00E61348" w:rsidP="009644DD">
      <w:pPr>
        <w:ind w:firstLine="720"/>
        <w:jc w:val="both"/>
        <w:rPr>
          <w:color w:val="FF0000"/>
        </w:rPr>
      </w:pPr>
      <w:r>
        <w:rPr>
          <w:rFonts w:ascii="TimesNewRomanPSMT" w:hAnsi="TimesNewRomanPSMT" w:cs="TimesNewRomanPSMT"/>
          <w:color w:val="000000"/>
        </w:rPr>
        <w:t>Facsimile (850) 385–</w:t>
      </w:r>
      <w:r w:rsidR="009644DD" w:rsidRPr="009644DD">
        <w:rPr>
          <w:rFonts w:ascii="TimesNewRomanPSMT" w:hAnsi="TimesNewRomanPSMT" w:cs="TimesNewRomanPSMT"/>
          <w:color w:val="000000"/>
        </w:rPr>
        <w:t>5416</w:t>
      </w:r>
      <w:r w:rsidR="009644DD" w:rsidRPr="00900C50">
        <w:rPr>
          <w:color w:val="FF0000"/>
        </w:rPr>
        <w:tab/>
      </w:r>
    </w:p>
    <w:p w:rsidR="009644DD" w:rsidRDefault="009644DD" w:rsidP="009644DD">
      <w:pPr>
        <w:jc w:val="both"/>
        <w:rPr>
          <w:color w:val="FF0000"/>
        </w:rPr>
      </w:pPr>
    </w:p>
    <w:p w:rsidR="009644DD" w:rsidRDefault="009644DD" w:rsidP="009644DD">
      <w:pPr>
        <w:keepNext/>
        <w:keepLines/>
        <w:jc w:val="both"/>
      </w:pPr>
      <w:r w:rsidRPr="002F149E">
        <w:lastRenderedPageBreak/>
        <w:tab/>
        <w:t xml:space="preserve">By ORDER of Commissioner Gary F. Clark, as Prehearing Officer, this </w:t>
      </w:r>
      <w:bookmarkStart w:id="4" w:name="replaceDate"/>
      <w:bookmarkEnd w:id="4"/>
      <w:r w:rsidR="007A1959">
        <w:rPr>
          <w:u w:val="single"/>
        </w:rPr>
        <w:t>23rd</w:t>
      </w:r>
      <w:r w:rsidR="007A1959">
        <w:t xml:space="preserve"> day of </w:t>
      </w:r>
      <w:r w:rsidR="007A1959">
        <w:rPr>
          <w:u w:val="single"/>
        </w:rPr>
        <w:t>April</w:t>
      </w:r>
      <w:r w:rsidR="007A1959">
        <w:t xml:space="preserve">, </w:t>
      </w:r>
      <w:r w:rsidR="007A1959">
        <w:rPr>
          <w:u w:val="single"/>
        </w:rPr>
        <w:t>2024</w:t>
      </w:r>
      <w:r w:rsidR="007A1959">
        <w:t>.</w:t>
      </w:r>
    </w:p>
    <w:p w:rsidR="007A1959" w:rsidRPr="007A1959" w:rsidRDefault="007A1959" w:rsidP="009644DD">
      <w:pPr>
        <w:keepNext/>
        <w:keepLines/>
        <w:jc w:val="both"/>
        <w:rPr>
          <w:color w:val="FF0000"/>
        </w:rPr>
      </w:pPr>
    </w:p>
    <w:p w:rsidR="009644DD" w:rsidRDefault="009644DD" w:rsidP="009644DD">
      <w:pPr>
        <w:keepNext/>
        <w:keepLines/>
        <w:jc w:val="both"/>
        <w:rPr>
          <w:color w:val="FF0000"/>
        </w:rPr>
      </w:pPr>
    </w:p>
    <w:p w:rsidR="007A1959" w:rsidRDefault="007A1959" w:rsidP="009644DD">
      <w:pPr>
        <w:keepNext/>
        <w:keepLines/>
        <w:jc w:val="both"/>
        <w:rPr>
          <w:color w:val="FF0000"/>
        </w:rPr>
      </w:pPr>
    </w:p>
    <w:p w:rsidR="007A1959" w:rsidRDefault="007A1959" w:rsidP="009644DD">
      <w:pPr>
        <w:keepNext/>
        <w:keepLines/>
        <w:jc w:val="both"/>
        <w:rPr>
          <w:color w:val="FF0000"/>
        </w:rPr>
      </w:pPr>
    </w:p>
    <w:tbl>
      <w:tblPr>
        <w:tblW w:w="4720" w:type="dxa"/>
        <w:tblInd w:w="3800" w:type="dxa"/>
        <w:tblLayout w:type="fixed"/>
        <w:tblLook w:val="0000" w:firstRow="0" w:lastRow="0" w:firstColumn="0" w:lastColumn="0" w:noHBand="0" w:noVBand="0"/>
      </w:tblPr>
      <w:tblGrid>
        <w:gridCol w:w="686"/>
        <w:gridCol w:w="4034"/>
      </w:tblGrid>
      <w:tr w:rsidR="009644DD" w:rsidTr="009644DD">
        <w:tc>
          <w:tcPr>
            <w:tcW w:w="720" w:type="dxa"/>
            <w:shd w:val="clear" w:color="auto" w:fill="auto"/>
          </w:tcPr>
          <w:p w:rsidR="009644DD" w:rsidRDefault="009644DD" w:rsidP="009644DD">
            <w:pPr>
              <w:keepNext/>
              <w:keepLines/>
              <w:jc w:val="both"/>
              <w:rPr>
                <w:color w:val="FF0000"/>
              </w:rPr>
            </w:pPr>
            <w:bookmarkStart w:id="5" w:name="bkmrkSignature" w:colFirst="0" w:colLast="0"/>
          </w:p>
        </w:tc>
        <w:tc>
          <w:tcPr>
            <w:tcW w:w="4320" w:type="dxa"/>
            <w:tcBorders>
              <w:bottom w:val="single" w:sz="4" w:space="0" w:color="auto"/>
            </w:tcBorders>
            <w:shd w:val="clear" w:color="auto" w:fill="auto"/>
          </w:tcPr>
          <w:p w:rsidR="009644DD" w:rsidRPr="007A1959" w:rsidRDefault="007A1959" w:rsidP="009644DD">
            <w:pPr>
              <w:keepNext/>
              <w:keepLines/>
              <w:jc w:val="both"/>
              <w:rPr>
                <w:color w:val="000000" w:themeColor="text1"/>
              </w:rPr>
            </w:pPr>
            <w:r w:rsidRPr="007A1959">
              <w:rPr>
                <w:color w:val="000000" w:themeColor="text1"/>
              </w:rPr>
              <w:t>/s/ Gary F. Clark</w:t>
            </w:r>
          </w:p>
        </w:tc>
      </w:tr>
      <w:bookmarkEnd w:id="5"/>
      <w:tr w:rsidR="009644DD" w:rsidTr="009644DD">
        <w:tc>
          <w:tcPr>
            <w:tcW w:w="720" w:type="dxa"/>
            <w:shd w:val="clear" w:color="auto" w:fill="auto"/>
          </w:tcPr>
          <w:p w:rsidR="009644DD" w:rsidRDefault="009644DD" w:rsidP="009644DD">
            <w:pPr>
              <w:keepNext/>
              <w:keepLines/>
              <w:jc w:val="both"/>
              <w:rPr>
                <w:color w:val="FF0000"/>
              </w:rPr>
            </w:pPr>
          </w:p>
        </w:tc>
        <w:tc>
          <w:tcPr>
            <w:tcW w:w="4320" w:type="dxa"/>
            <w:tcBorders>
              <w:top w:val="single" w:sz="4" w:space="0" w:color="auto"/>
            </w:tcBorders>
            <w:shd w:val="clear" w:color="auto" w:fill="auto"/>
          </w:tcPr>
          <w:p w:rsidR="009644DD" w:rsidRPr="002F149E" w:rsidRDefault="009644DD" w:rsidP="009644DD">
            <w:pPr>
              <w:keepNext/>
              <w:keepLines/>
              <w:jc w:val="both"/>
            </w:pPr>
            <w:r w:rsidRPr="002F149E">
              <w:t>GARY F. CLARK</w:t>
            </w:r>
          </w:p>
          <w:p w:rsidR="009644DD" w:rsidRDefault="009644DD" w:rsidP="009644DD">
            <w:pPr>
              <w:keepNext/>
              <w:keepLines/>
              <w:jc w:val="both"/>
              <w:rPr>
                <w:color w:val="FF0000"/>
              </w:rPr>
            </w:pPr>
            <w:r w:rsidRPr="002F149E">
              <w:t>Commissioner and Prehearing Officer</w:t>
            </w:r>
          </w:p>
        </w:tc>
      </w:tr>
    </w:tbl>
    <w:p w:rsidR="009644DD" w:rsidRDefault="009644DD" w:rsidP="009644DD">
      <w:pPr>
        <w:pStyle w:val="OrderSigInfo"/>
        <w:keepNext/>
        <w:keepLines/>
      </w:pPr>
      <w:r>
        <w:t>Florida Public Service Commission</w:t>
      </w:r>
    </w:p>
    <w:p w:rsidR="009644DD" w:rsidRDefault="009644DD" w:rsidP="009644DD">
      <w:pPr>
        <w:pStyle w:val="OrderSigInfo"/>
        <w:keepNext/>
        <w:keepLines/>
      </w:pPr>
      <w:r>
        <w:t>2540 Shumard Oak Boulevard</w:t>
      </w:r>
    </w:p>
    <w:p w:rsidR="009644DD" w:rsidRDefault="009644DD" w:rsidP="009644DD">
      <w:pPr>
        <w:pStyle w:val="OrderSigInfo"/>
        <w:keepNext/>
        <w:keepLines/>
      </w:pPr>
      <w:r>
        <w:t>Tallahassee, Florida 32399</w:t>
      </w:r>
    </w:p>
    <w:p w:rsidR="009644DD" w:rsidRDefault="009644DD" w:rsidP="009644DD">
      <w:pPr>
        <w:pStyle w:val="OrderSigInfo"/>
        <w:keepNext/>
        <w:keepLines/>
      </w:pPr>
      <w:r>
        <w:t>(850) 413</w:t>
      </w:r>
      <w:r>
        <w:noBreakHyphen/>
        <w:t>6770</w:t>
      </w:r>
    </w:p>
    <w:p w:rsidR="009644DD" w:rsidRDefault="009644DD" w:rsidP="009644DD">
      <w:pPr>
        <w:pStyle w:val="OrderSigInfo"/>
        <w:keepNext/>
        <w:keepLines/>
      </w:pPr>
      <w:r>
        <w:t>www.floridapsc.com</w:t>
      </w:r>
    </w:p>
    <w:p w:rsidR="009644DD" w:rsidRDefault="009644DD" w:rsidP="009644DD">
      <w:pPr>
        <w:pStyle w:val="OrderSigInfo"/>
        <w:keepNext/>
        <w:keepLines/>
      </w:pPr>
    </w:p>
    <w:p w:rsidR="009644DD" w:rsidRDefault="009644DD" w:rsidP="009644DD">
      <w:pPr>
        <w:pStyle w:val="OrderSigInfo"/>
        <w:keepNext/>
        <w:keepLines/>
      </w:pPr>
      <w:r>
        <w:t>Copies furnished: A copy of this document is provided to the parties of record at the time of issuance and, if applicable, interested persons.</w:t>
      </w:r>
    </w:p>
    <w:p w:rsidR="009644DD" w:rsidRDefault="009644DD" w:rsidP="009644DD">
      <w:pPr>
        <w:pStyle w:val="OrderBody"/>
        <w:keepNext/>
        <w:keepLines/>
      </w:pPr>
    </w:p>
    <w:p w:rsidR="009644DD" w:rsidRDefault="009644DD" w:rsidP="009644DD">
      <w:pPr>
        <w:keepNext/>
        <w:keepLines/>
        <w:jc w:val="both"/>
        <w:rPr>
          <w:color w:val="FF0000"/>
        </w:rPr>
      </w:pPr>
    </w:p>
    <w:p w:rsidR="009644DD" w:rsidRPr="002F149E" w:rsidRDefault="009644DD" w:rsidP="009644DD">
      <w:pPr>
        <w:keepNext/>
        <w:keepLines/>
        <w:jc w:val="both"/>
      </w:pPr>
      <w:r w:rsidRPr="002F149E">
        <w:t>CMM</w:t>
      </w:r>
    </w:p>
    <w:p w:rsidR="009644DD" w:rsidRDefault="009644DD" w:rsidP="009644DD">
      <w:pPr>
        <w:jc w:val="both"/>
        <w:rPr>
          <w:color w:val="FF0000"/>
        </w:rPr>
      </w:pPr>
      <w:bookmarkStart w:id="6" w:name="_GoBack"/>
      <w:bookmarkEnd w:id="6"/>
    </w:p>
    <w:p w:rsidR="009A3046" w:rsidRDefault="009A3046">
      <w:r>
        <w:br w:type="page"/>
      </w:r>
    </w:p>
    <w:p w:rsidR="00D91D39" w:rsidRPr="009E5FC3" w:rsidRDefault="00D91D39" w:rsidP="00D91D39">
      <w:pPr>
        <w:jc w:val="center"/>
        <w:rPr>
          <w:u w:val="single"/>
        </w:rPr>
      </w:pPr>
      <w:r w:rsidRPr="009E5FC3">
        <w:rPr>
          <w:u w:val="single"/>
        </w:rPr>
        <w:lastRenderedPageBreak/>
        <w:t>NOTICE OF FURTHER PROCEEDINGS OR JUDICIAL REVIEW</w:t>
      </w:r>
    </w:p>
    <w:p w:rsidR="00D91D39" w:rsidRDefault="00D91D39" w:rsidP="00D91D39">
      <w:pPr>
        <w:pStyle w:val="CenterUnderline"/>
      </w:pPr>
    </w:p>
    <w:p w:rsidR="00D91D39" w:rsidRDefault="00D91D39" w:rsidP="00D91D3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91D39" w:rsidRDefault="00D91D39" w:rsidP="00D91D39">
      <w:pPr>
        <w:pStyle w:val="OrderBody"/>
      </w:pPr>
    </w:p>
    <w:p w:rsidR="00D91D39" w:rsidRDefault="00D91D39" w:rsidP="00D91D39">
      <w:pPr>
        <w:pStyle w:val="OrderBody"/>
      </w:pPr>
      <w:r>
        <w:tab/>
        <w:t>Mediation may be available on a case-by-case basis. If mediation is conducted, it does not affect a substantially interested person's right to a hearing.</w:t>
      </w:r>
    </w:p>
    <w:p w:rsidR="00D91D39" w:rsidRDefault="00D91D39" w:rsidP="00D91D39">
      <w:pPr>
        <w:pStyle w:val="OrderBody"/>
      </w:pPr>
    </w:p>
    <w:p w:rsidR="00CB5276" w:rsidRDefault="00D91D3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7" w:name="OrderText"/>
      <w:bookmarkEnd w:id="7"/>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4DD" w:rsidRDefault="009644DD">
      <w:r>
        <w:separator/>
      </w:r>
    </w:p>
  </w:endnote>
  <w:endnote w:type="continuationSeparator" w:id="0">
    <w:p w:rsidR="009644DD" w:rsidRDefault="0096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4DD" w:rsidRDefault="009644DD">
      <w:r>
        <w:separator/>
      </w:r>
    </w:p>
  </w:footnote>
  <w:footnote w:type="continuationSeparator" w:id="0">
    <w:p w:rsidR="009644DD" w:rsidRDefault="009644DD">
      <w:r>
        <w:continuationSeparator/>
      </w:r>
    </w:p>
  </w:footnote>
  <w:footnote w:id="1">
    <w:p w:rsidR="00F71654" w:rsidRPr="00BD1FB0" w:rsidRDefault="008C62E0">
      <w:pPr>
        <w:pStyle w:val="FootnoteText"/>
      </w:pPr>
      <w:r w:rsidRPr="00BD1FB0">
        <w:rPr>
          <w:rStyle w:val="FootnoteReference"/>
        </w:rPr>
        <w:footnoteRef/>
      </w:r>
      <w:r w:rsidRPr="00BD1FB0">
        <w:t xml:space="preserve"> </w:t>
      </w:r>
      <w:r w:rsidR="004157C5" w:rsidRPr="004157C5">
        <w:rPr>
          <w:i/>
        </w:rPr>
        <w:t>In re: Petition for rate increase by Tampa Elec. Co.</w:t>
      </w:r>
      <w:r w:rsidR="004157C5">
        <w:t xml:space="preserve">, Docket No. </w:t>
      </w:r>
      <w:r w:rsidR="004157C5" w:rsidRPr="004157C5">
        <w:t>20210034</w:t>
      </w:r>
      <w:r w:rsidR="00093615">
        <w:t>-EI</w:t>
      </w:r>
      <w:r w:rsidR="004157C5">
        <w:t xml:space="preserve">, Order No. </w:t>
      </w:r>
      <w:r w:rsidR="00093615">
        <w:t xml:space="preserve">PSC-2021-0195-PCO-EI (Fla. PSC June 3, 2021); </w:t>
      </w:r>
      <w:r w:rsidR="001D2220" w:rsidRPr="00D42066">
        <w:rPr>
          <w:i/>
        </w:rPr>
        <w:t>In re: Petition for rate increase by Tampa Elec. Co.</w:t>
      </w:r>
      <w:r w:rsidR="001D2220">
        <w:t xml:space="preserve">, Docket No. </w:t>
      </w:r>
      <w:r w:rsidR="001D2220" w:rsidRPr="001D2220">
        <w:t>20130040</w:t>
      </w:r>
      <w:r w:rsidR="00D45B8A">
        <w:t>-EI</w:t>
      </w:r>
      <w:r w:rsidR="001D2220">
        <w:t xml:space="preserve">, Order No. </w:t>
      </w:r>
      <w:r w:rsidR="00D42066">
        <w:t xml:space="preserve">PSC-13-0162-PCO-EI (Fla. PSC Apr. 19, 2013); </w:t>
      </w:r>
      <w:r w:rsidR="00DD4112" w:rsidRPr="00BD1FB0">
        <w:rPr>
          <w:i/>
        </w:rPr>
        <w:t>In re: Petition for rate increase by Tampa Elec. Co.</w:t>
      </w:r>
      <w:r w:rsidR="00DD4112" w:rsidRPr="00BD1FB0">
        <w:t xml:space="preserve">, </w:t>
      </w:r>
      <w:r w:rsidR="00BD1FB0" w:rsidRPr="00BD1FB0">
        <w:t xml:space="preserve">Docket No. </w:t>
      </w:r>
      <w:r w:rsidR="00BD1FB0">
        <w:rPr>
          <w:bCs/>
        </w:rPr>
        <w:t>20080317</w:t>
      </w:r>
      <w:r w:rsidR="00D45B8A">
        <w:rPr>
          <w:bCs/>
        </w:rPr>
        <w:t>-EI</w:t>
      </w:r>
      <w:r w:rsidR="00BD1FB0">
        <w:rPr>
          <w:bCs/>
        </w:rPr>
        <w:t xml:space="preserve">, Order No. </w:t>
      </w:r>
      <w:r w:rsidR="00F71654">
        <w:rPr>
          <w:bCs/>
        </w:rPr>
        <w:t>PSC-08-0599-PCO-EI (Fla. PSC S</w:t>
      </w:r>
      <w:r w:rsidR="00971378">
        <w:rPr>
          <w:bCs/>
        </w:rPr>
        <w:t>ept. 16, 2008).</w:t>
      </w:r>
    </w:p>
  </w:footnote>
  <w:footnote w:id="2">
    <w:p w:rsidR="00E607B6" w:rsidRPr="00FC6F0D" w:rsidRDefault="00E607B6" w:rsidP="00E607B6">
      <w:pPr>
        <w:pStyle w:val="FootnoteText"/>
      </w:pPr>
      <w:r>
        <w:rPr>
          <w:rStyle w:val="FootnoteReference"/>
        </w:rPr>
        <w:footnoteRef/>
      </w:r>
      <w:r>
        <w:t xml:space="preserve"> </w:t>
      </w:r>
      <w:r w:rsidRPr="00AB18AA">
        <w:rPr>
          <w:i/>
        </w:rPr>
        <w:t>Fl</w:t>
      </w:r>
      <w:r>
        <w:rPr>
          <w:i/>
        </w:rPr>
        <w:t xml:space="preserve">a. </w:t>
      </w:r>
      <w:r w:rsidRPr="00AB18AA">
        <w:rPr>
          <w:i/>
        </w:rPr>
        <w:t>Home Builders Ass</w:t>
      </w:r>
      <w:r>
        <w:rPr>
          <w:i/>
        </w:rPr>
        <w:t>’n</w:t>
      </w:r>
      <w:r w:rsidRPr="00AB18AA">
        <w:rPr>
          <w:i/>
        </w:rPr>
        <w:t xml:space="preserve"> v. Dep</w:t>
      </w:r>
      <w:r>
        <w:rPr>
          <w:i/>
        </w:rPr>
        <w:t>’t</w:t>
      </w:r>
      <w:r w:rsidRPr="00AB18AA">
        <w:rPr>
          <w:i/>
        </w:rPr>
        <w:t xml:space="preserve"> of Labor </w:t>
      </w:r>
      <w:r>
        <w:rPr>
          <w:i/>
        </w:rPr>
        <w:t>&amp;</w:t>
      </w:r>
      <w:r w:rsidRPr="00AB18AA">
        <w:rPr>
          <w:i/>
        </w:rPr>
        <w:t xml:space="preserve"> Emp</w:t>
      </w:r>
      <w:r>
        <w:rPr>
          <w:i/>
        </w:rPr>
        <w:t>’</w:t>
      </w:r>
      <w:r w:rsidRPr="00AB18AA">
        <w:rPr>
          <w:i/>
        </w:rPr>
        <w:t>t Sec</w:t>
      </w:r>
      <w:r>
        <w:rPr>
          <w:i/>
        </w:rPr>
        <w:t>.</w:t>
      </w:r>
      <w:r>
        <w:t xml:space="preserve">, </w:t>
      </w:r>
      <w:r w:rsidRPr="00FC6F0D">
        <w:t>412 So.2d 351 (Fla. 1982)</w:t>
      </w:r>
      <w:r>
        <w:t>.</w:t>
      </w:r>
    </w:p>
  </w:footnote>
  <w:footnote w:id="3">
    <w:p w:rsidR="00E607B6" w:rsidRDefault="00E607B6" w:rsidP="00E607B6">
      <w:pPr>
        <w:pStyle w:val="FootnoteText"/>
      </w:pPr>
      <w:r>
        <w:rPr>
          <w:rStyle w:val="FootnoteReference"/>
        </w:rPr>
        <w:footnoteRef/>
      </w:r>
      <w:r>
        <w:t xml:space="preserve"> </w:t>
      </w:r>
      <w:r w:rsidRPr="006B26A6">
        <w:rPr>
          <w:i/>
        </w:rPr>
        <w:t>Farmworker Rights Org., Inc. v. Dep’t of Health &amp; Rehab. Servs.</w:t>
      </w:r>
      <w:r>
        <w:t xml:space="preserve">, </w:t>
      </w:r>
      <w:r w:rsidRPr="00547B1C">
        <w:t>417 So.2d 753 (Fla. 1st DCA 1982)</w:t>
      </w:r>
      <w:r>
        <w:t>.</w:t>
      </w:r>
    </w:p>
  </w:footnote>
  <w:footnote w:id="4">
    <w:p w:rsidR="00E607B6" w:rsidRDefault="00E607B6" w:rsidP="00E607B6">
      <w:pPr>
        <w:pStyle w:val="FootnoteText"/>
      </w:pPr>
      <w:r>
        <w:rPr>
          <w:rStyle w:val="FootnoteReference"/>
        </w:rPr>
        <w:footnoteRef/>
      </w:r>
      <w:r>
        <w:t xml:space="preserve"> </w:t>
      </w:r>
      <w:r w:rsidRPr="00986DA3">
        <w:rPr>
          <w:i/>
        </w:rPr>
        <w:t>Agrico Chem. Co. v. Dep’t of Envtl. Regulation</w:t>
      </w:r>
      <w:r w:rsidRPr="008F1743">
        <w:t>, 406 So. 2d 478, 481–82 (Fla. 2d DCA 1981).</w:t>
      </w:r>
      <w:r>
        <w:t xml:space="preserve"> Under </w:t>
      </w:r>
      <w:r w:rsidRPr="00734C37">
        <w:rPr>
          <w:i/>
        </w:rPr>
        <w:t>Agrico</w:t>
      </w:r>
      <w:r>
        <w:t xml:space="preserve">, the individual intervenor must show that (1) they will suffer injury in fact which is of sufficient immediacy to entitle them to a Section 120.57, Florida Statutes (“F.S.”), hearing, and (2) this substantial injury is of a type or nature which the proceeding is designed to protect. The first aspect of the test deals with the degree of injury. The second deals with the nature of the injury. </w:t>
      </w:r>
      <w:r w:rsidRPr="00383378">
        <w:rPr>
          <w:i/>
        </w:rPr>
        <w:t>Id.</w:t>
      </w:r>
      <w:r>
        <w:t xml:space="preserve"> at 482. The "injury in fact" must be both real and immediate and not speculative or conjectural. </w:t>
      </w:r>
      <w:r w:rsidRPr="00383378">
        <w:rPr>
          <w:i/>
        </w:rPr>
        <w:t>Int</w:t>
      </w:r>
      <w:r>
        <w:rPr>
          <w:i/>
        </w:rPr>
        <w:t>’</w:t>
      </w:r>
      <w:r w:rsidRPr="00383378">
        <w:rPr>
          <w:i/>
        </w:rPr>
        <w:t>l Jai-Alai Players Ass</w:t>
      </w:r>
      <w:r>
        <w:rPr>
          <w:i/>
        </w:rPr>
        <w:t>’</w:t>
      </w:r>
      <w:r w:rsidRPr="00383378">
        <w:rPr>
          <w:i/>
        </w:rPr>
        <w:t>n v. Fl</w:t>
      </w:r>
      <w:r>
        <w:rPr>
          <w:i/>
        </w:rPr>
        <w:t>a.</w:t>
      </w:r>
      <w:r w:rsidRPr="00383378">
        <w:rPr>
          <w:i/>
        </w:rPr>
        <w:t xml:space="preserve"> Pari-Mutuel Comm</w:t>
      </w:r>
      <w:r>
        <w:rPr>
          <w:i/>
        </w:rPr>
        <w:t>’n</w:t>
      </w:r>
      <w:r>
        <w:t xml:space="preserve">, 561 So.2d 1224, 1225–26 (Fla. 3d DCA 1990); </w:t>
      </w:r>
      <w:r w:rsidRPr="001808EA">
        <w:rPr>
          <w:i/>
        </w:rPr>
        <w:t>see also Vill</w:t>
      </w:r>
      <w:r>
        <w:rPr>
          <w:i/>
        </w:rPr>
        <w:t>.</w:t>
      </w:r>
      <w:r w:rsidRPr="001808EA">
        <w:rPr>
          <w:i/>
        </w:rPr>
        <w:t xml:space="preserve"> Park Mobile Home Ass</w:t>
      </w:r>
      <w:r>
        <w:rPr>
          <w:i/>
        </w:rPr>
        <w:t>’</w:t>
      </w:r>
      <w:r w:rsidRPr="001808EA">
        <w:rPr>
          <w:i/>
        </w:rPr>
        <w:t>n, Inc. v. State Dep</w:t>
      </w:r>
      <w:r>
        <w:rPr>
          <w:i/>
        </w:rPr>
        <w:t>’</w:t>
      </w:r>
      <w:r w:rsidRPr="001808EA">
        <w:rPr>
          <w:i/>
        </w:rPr>
        <w:t>t of Bus</w:t>
      </w:r>
      <w:r>
        <w:rPr>
          <w:i/>
        </w:rPr>
        <w:t>.</w:t>
      </w:r>
      <w:r w:rsidRPr="001808EA">
        <w:rPr>
          <w:i/>
        </w:rPr>
        <w:t xml:space="preserve"> Regulation</w:t>
      </w:r>
      <w:r>
        <w:t xml:space="preserve">, 506 So.2d 426, 434 (Fla. 1st DCA 1987), </w:t>
      </w:r>
      <w:r w:rsidRPr="00F24AF0">
        <w:rPr>
          <w:i/>
        </w:rPr>
        <w:t>rev. den.</w:t>
      </w:r>
      <w:r>
        <w:t>, 513 So.2d 1063 (Fla. 1987) (noting speculation on the possible occurrence of injurious events was too remote).</w:t>
      </w:r>
    </w:p>
  </w:footnote>
  <w:footnote w:id="5">
    <w:p w:rsidR="00E607B6" w:rsidRDefault="00E607B6" w:rsidP="00E607B6">
      <w:pPr>
        <w:pStyle w:val="FootnoteText"/>
      </w:pPr>
      <w:r>
        <w:rPr>
          <w:rStyle w:val="FootnoteReference"/>
        </w:rPr>
        <w:footnoteRef/>
      </w:r>
      <w:r>
        <w:t xml:space="preserve"> </w:t>
      </w:r>
      <w:r w:rsidRPr="00412A7E">
        <w:rPr>
          <w:i/>
        </w:rPr>
        <w:t>Fla. Home Builders Ass’n</w:t>
      </w:r>
      <w:r w:rsidRPr="00412A7E">
        <w:t xml:space="preserve">, 412 So.2d at 353–54; </w:t>
      </w:r>
      <w:r w:rsidRPr="00412A7E">
        <w:rPr>
          <w:i/>
        </w:rPr>
        <w:t>Farmworker Rights Org., Inc.</w:t>
      </w:r>
      <w:r w:rsidRPr="00412A7E">
        <w:t>, 417 So.2d at 754.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4 ">
      <w:r w:rsidR="007A1959">
        <w:t>PSC-2024-0124-PCO-EI</w:t>
      </w:r>
    </w:fldSimple>
  </w:p>
  <w:p w:rsidR="00537EE2" w:rsidRDefault="009644DD">
    <w:pPr>
      <w:pStyle w:val="OrderHeader"/>
    </w:pPr>
    <w:bookmarkStart w:id="8" w:name="HeaderDocketNo"/>
    <w:bookmarkEnd w:id="8"/>
    <w:r>
      <w:t>DOCKET NO. 20240026-EI</w:t>
    </w:r>
  </w:p>
  <w:p w:rsidR="00537EE2" w:rsidRDefault="00537EE2">
    <w:pPr>
      <w:pStyle w:val="OrderHeader"/>
    </w:pPr>
    <w:r>
      <w:t>DOCKET NO. 20230139-EI</w:t>
    </w:r>
  </w:p>
  <w:p w:rsidR="00537EE2" w:rsidRDefault="00537EE2">
    <w:pPr>
      <w:pStyle w:val="OrderHeader"/>
    </w:pPr>
    <w:r>
      <w:t>DOCKET NO. 20230090-EI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195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w:docVars>
  <w:rsids>
    <w:rsidRoot w:val="009644DD"/>
    <w:rsid w:val="000022B8"/>
    <w:rsid w:val="00003883"/>
    <w:rsid w:val="00011251"/>
    <w:rsid w:val="00025C2A"/>
    <w:rsid w:val="00025C9D"/>
    <w:rsid w:val="0002625A"/>
    <w:rsid w:val="0002727D"/>
    <w:rsid w:val="0003433F"/>
    <w:rsid w:val="00035A8C"/>
    <w:rsid w:val="00036BDD"/>
    <w:rsid w:val="0003781B"/>
    <w:rsid w:val="00041FFD"/>
    <w:rsid w:val="00042C99"/>
    <w:rsid w:val="000510A5"/>
    <w:rsid w:val="00053AB9"/>
    <w:rsid w:val="00056229"/>
    <w:rsid w:val="00057AF1"/>
    <w:rsid w:val="00065FC2"/>
    <w:rsid w:val="00067685"/>
    <w:rsid w:val="00067B07"/>
    <w:rsid w:val="000730D7"/>
    <w:rsid w:val="00076E6B"/>
    <w:rsid w:val="00081AE4"/>
    <w:rsid w:val="0008247D"/>
    <w:rsid w:val="00090AFC"/>
    <w:rsid w:val="00093615"/>
    <w:rsid w:val="00094387"/>
    <w:rsid w:val="00096507"/>
    <w:rsid w:val="000A774F"/>
    <w:rsid w:val="000B1603"/>
    <w:rsid w:val="000B6CEB"/>
    <w:rsid w:val="000B783E"/>
    <w:rsid w:val="000B7AE9"/>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67"/>
    <w:rsid w:val="000F359F"/>
    <w:rsid w:val="000F3B2C"/>
    <w:rsid w:val="000F3F6C"/>
    <w:rsid w:val="000F63EB"/>
    <w:rsid w:val="000F648A"/>
    <w:rsid w:val="000F7BE3"/>
    <w:rsid w:val="00103190"/>
    <w:rsid w:val="00104333"/>
    <w:rsid w:val="001052BA"/>
    <w:rsid w:val="001107B3"/>
    <w:rsid w:val="001114B1"/>
    <w:rsid w:val="001139D8"/>
    <w:rsid w:val="001160E2"/>
    <w:rsid w:val="00116AD3"/>
    <w:rsid w:val="00121957"/>
    <w:rsid w:val="0012387E"/>
    <w:rsid w:val="001259EC"/>
    <w:rsid w:val="00126593"/>
    <w:rsid w:val="00134177"/>
    <w:rsid w:val="00136087"/>
    <w:rsid w:val="00142719"/>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D1693"/>
    <w:rsid w:val="001D2220"/>
    <w:rsid w:val="001E0152"/>
    <w:rsid w:val="001E0FF5"/>
    <w:rsid w:val="001F0095"/>
    <w:rsid w:val="001F36B0"/>
    <w:rsid w:val="001F4CA3"/>
    <w:rsid w:val="001F565E"/>
    <w:rsid w:val="001F59E0"/>
    <w:rsid w:val="002002ED"/>
    <w:rsid w:val="002044DD"/>
    <w:rsid w:val="002170E5"/>
    <w:rsid w:val="00220D57"/>
    <w:rsid w:val="00223B99"/>
    <w:rsid w:val="00226BBE"/>
    <w:rsid w:val="0022721A"/>
    <w:rsid w:val="00230BB9"/>
    <w:rsid w:val="00241CEF"/>
    <w:rsid w:val="00247738"/>
    <w:rsid w:val="0025124E"/>
    <w:rsid w:val="00252B30"/>
    <w:rsid w:val="00255291"/>
    <w:rsid w:val="002602F8"/>
    <w:rsid w:val="002613E4"/>
    <w:rsid w:val="00262C43"/>
    <w:rsid w:val="0026544B"/>
    <w:rsid w:val="0027097C"/>
    <w:rsid w:val="00270F89"/>
    <w:rsid w:val="00276CDC"/>
    <w:rsid w:val="00277655"/>
    <w:rsid w:val="002824B7"/>
    <w:rsid w:val="00282AC4"/>
    <w:rsid w:val="00293DC9"/>
    <w:rsid w:val="00297C37"/>
    <w:rsid w:val="002A11AC"/>
    <w:rsid w:val="002A6F30"/>
    <w:rsid w:val="002A706B"/>
    <w:rsid w:val="002A7884"/>
    <w:rsid w:val="002B3111"/>
    <w:rsid w:val="002C09F5"/>
    <w:rsid w:val="002C0E3E"/>
    <w:rsid w:val="002C118E"/>
    <w:rsid w:val="002C2096"/>
    <w:rsid w:val="002C7908"/>
    <w:rsid w:val="002D391B"/>
    <w:rsid w:val="002D4B1F"/>
    <w:rsid w:val="002D7D15"/>
    <w:rsid w:val="002E1B2E"/>
    <w:rsid w:val="002E27EB"/>
    <w:rsid w:val="002E4EF4"/>
    <w:rsid w:val="002E78B6"/>
    <w:rsid w:val="002F0F1C"/>
    <w:rsid w:val="002F149E"/>
    <w:rsid w:val="002F2A9D"/>
    <w:rsid w:val="002F31C2"/>
    <w:rsid w:val="002F7BF6"/>
    <w:rsid w:val="00300CAD"/>
    <w:rsid w:val="00303FDE"/>
    <w:rsid w:val="00313C5B"/>
    <w:rsid w:val="003140E8"/>
    <w:rsid w:val="00314F7B"/>
    <w:rsid w:val="003231C7"/>
    <w:rsid w:val="00323839"/>
    <w:rsid w:val="003270C4"/>
    <w:rsid w:val="00331ED0"/>
    <w:rsid w:val="00332B0A"/>
    <w:rsid w:val="00333A41"/>
    <w:rsid w:val="00341036"/>
    <w:rsid w:val="00345434"/>
    <w:rsid w:val="003474F5"/>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BDB"/>
    <w:rsid w:val="003B6F02"/>
    <w:rsid w:val="003B7C8A"/>
    <w:rsid w:val="003C0431"/>
    <w:rsid w:val="003C29BB"/>
    <w:rsid w:val="003C29DF"/>
    <w:rsid w:val="003C6853"/>
    <w:rsid w:val="003D3989"/>
    <w:rsid w:val="003D4CCA"/>
    <w:rsid w:val="003D52A6"/>
    <w:rsid w:val="003D6416"/>
    <w:rsid w:val="003E1D48"/>
    <w:rsid w:val="003E711F"/>
    <w:rsid w:val="003F1D2B"/>
    <w:rsid w:val="003F49A6"/>
    <w:rsid w:val="003F518F"/>
    <w:rsid w:val="003F6BA7"/>
    <w:rsid w:val="003F7445"/>
    <w:rsid w:val="003F7541"/>
    <w:rsid w:val="00411DF2"/>
    <w:rsid w:val="00411E8F"/>
    <w:rsid w:val="00413426"/>
    <w:rsid w:val="004157C5"/>
    <w:rsid w:val="004247F5"/>
    <w:rsid w:val="0042527B"/>
    <w:rsid w:val="00427EAC"/>
    <w:rsid w:val="00430821"/>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442B"/>
    <w:rsid w:val="004F5A55"/>
    <w:rsid w:val="004F6426"/>
    <w:rsid w:val="004F7826"/>
    <w:rsid w:val="0050097F"/>
    <w:rsid w:val="00502D0F"/>
    <w:rsid w:val="00514B1F"/>
    <w:rsid w:val="00523C5C"/>
    <w:rsid w:val="00524884"/>
    <w:rsid w:val="00525E93"/>
    <w:rsid w:val="0052671D"/>
    <w:rsid w:val="005300C0"/>
    <w:rsid w:val="00530CCD"/>
    <w:rsid w:val="00533EF6"/>
    <w:rsid w:val="00537EE2"/>
    <w:rsid w:val="00540E6B"/>
    <w:rsid w:val="0054109E"/>
    <w:rsid w:val="005513C2"/>
    <w:rsid w:val="0055595D"/>
    <w:rsid w:val="00556A10"/>
    <w:rsid w:val="00557F50"/>
    <w:rsid w:val="00571D3D"/>
    <w:rsid w:val="0058264B"/>
    <w:rsid w:val="00586368"/>
    <w:rsid w:val="005868AA"/>
    <w:rsid w:val="00590845"/>
    <w:rsid w:val="005963C2"/>
    <w:rsid w:val="005A0D69"/>
    <w:rsid w:val="005A31F4"/>
    <w:rsid w:val="005A3F5A"/>
    <w:rsid w:val="005A73EA"/>
    <w:rsid w:val="005B45F7"/>
    <w:rsid w:val="005B63EA"/>
    <w:rsid w:val="005C1A88"/>
    <w:rsid w:val="005C5033"/>
    <w:rsid w:val="005D3771"/>
    <w:rsid w:val="005D4E1B"/>
    <w:rsid w:val="005E751B"/>
    <w:rsid w:val="005F2751"/>
    <w:rsid w:val="005F3354"/>
    <w:rsid w:val="005F4AD6"/>
    <w:rsid w:val="0060005E"/>
    <w:rsid w:val="0060095B"/>
    <w:rsid w:val="00601266"/>
    <w:rsid w:val="00610221"/>
    <w:rsid w:val="00610E05"/>
    <w:rsid w:val="00610E73"/>
    <w:rsid w:val="00615F9B"/>
    <w:rsid w:val="00616DF2"/>
    <w:rsid w:val="006179A6"/>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4528"/>
    <w:rsid w:val="006A0BF3"/>
    <w:rsid w:val="006A26AD"/>
    <w:rsid w:val="006B0036"/>
    <w:rsid w:val="006B0DA6"/>
    <w:rsid w:val="006B3FA9"/>
    <w:rsid w:val="006C37D6"/>
    <w:rsid w:val="006C547E"/>
    <w:rsid w:val="006D2765"/>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3D55"/>
    <w:rsid w:val="0076669C"/>
    <w:rsid w:val="00766E46"/>
    <w:rsid w:val="00772CCB"/>
    <w:rsid w:val="00777314"/>
    <w:rsid w:val="00777727"/>
    <w:rsid w:val="0078166A"/>
    <w:rsid w:val="00782B79"/>
    <w:rsid w:val="00783811"/>
    <w:rsid w:val="007865E9"/>
    <w:rsid w:val="0079237D"/>
    <w:rsid w:val="00792383"/>
    <w:rsid w:val="007942CF"/>
    <w:rsid w:val="00794D5A"/>
    <w:rsid w:val="00794DD9"/>
    <w:rsid w:val="007A060F"/>
    <w:rsid w:val="007A1959"/>
    <w:rsid w:val="007B1C5E"/>
    <w:rsid w:val="007B350E"/>
    <w:rsid w:val="007C0FBC"/>
    <w:rsid w:val="007C29C9"/>
    <w:rsid w:val="007C35B8"/>
    <w:rsid w:val="007C36E3"/>
    <w:rsid w:val="007C3ABB"/>
    <w:rsid w:val="007C447D"/>
    <w:rsid w:val="007C7134"/>
    <w:rsid w:val="007C7ECF"/>
    <w:rsid w:val="007D3302"/>
    <w:rsid w:val="007D3D20"/>
    <w:rsid w:val="007D44F9"/>
    <w:rsid w:val="007D742E"/>
    <w:rsid w:val="007E10BB"/>
    <w:rsid w:val="007E3AFD"/>
    <w:rsid w:val="00801DAD"/>
    <w:rsid w:val="008022C6"/>
    <w:rsid w:val="00803189"/>
    <w:rsid w:val="00804E7A"/>
    <w:rsid w:val="00805FBB"/>
    <w:rsid w:val="00813258"/>
    <w:rsid w:val="00814292"/>
    <w:rsid w:val="008169A4"/>
    <w:rsid w:val="008278FE"/>
    <w:rsid w:val="00832598"/>
    <w:rsid w:val="0083397E"/>
    <w:rsid w:val="0083534B"/>
    <w:rsid w:val="00837503"/>
    <w:rsid w:val="00842035"/>
    <w:rsid w:val="00842602"/>
    <w:rsid w:val="008449F0"/>
    <w:rsid w:val="00846F11"/>
    <w:rsid w:val="00847B45"/>
    <w:rsid w:val="008546F7"/>
    <w:rsid w:val="00863A66"/>
    <w:rsid w:val="008703D7"/>
    <w:rsid w:val="00870409"/>
    <w:rsid w:val="00871952"/>
    <w:rsid w:val="00874429"/>
    <w:rsid w:val="00875D22"/>
    <w:rsid w:val="00883D9A"/>
    <w:rsid w:val="008919EF"/>
    <w:rsid w:val="00892B20"/>
    <w:rsid w:val="008931BC"/>
    <w:rsid w:val="00893E26"/>
    <w:rsid w:val="0089695B"/>
    <w:rsid w:val="00897740"/>
    <w:rsid w:val="008A12EC"/>
    <w:rsid w:val="008B14BE"/>
    <w:rsid w:val="008B19A6"/>
    <w:rsid w:val="008B4EFB"/>
    <w:rsid w:val="008B7615"/>
    <w:rsid w:val="008C21C8"/>
    <w:rsid w:val="008C4093"/>
    <w:rsid w:val="008C62E0"/>
    <w:rsid w:val="008C6375"/>
    <w:rsid w:val="008C6A5B"/>
    <w:rsid w:val="008C7C84"/>
    <w:rsid w:val="008D441D"/>
    <w:rsid w:val="008D498D"/>
    <w:rsid w:val="008D6D36"/>
    <w:rsid w:val="008E0693"/>
    <w:rsid w:val="008E26A5"/>
    <w:rsid w:val="008E42D2"/>
    <w:rsid w:val="008E6328"/>
    <w:rsid w:val="008E6464"/>
    <w:rsid w:val="008F578F"/>
    <w:rsid w:val="008F5D04"/>
    <w:rsid w:val="008F6B3F"/>
    <w:rsid w:val="009040EE"/>
    <w:rsid w:val="009057FD"/>
    <w:rsid w:val="00906FBA"/>
    <w:rsid w:val="009153B3"/>
    <w:rsid w:val="009163E8"/>
    <w:rsid w:val="00921562"/>
    <w:rsid w:val="00921BD3"/>
    <w:rsid w:val="009228C7"/>
    <w:rsid w:val="00922A7F"/>
    <w:rsid w:val="00923A5E"/>
    <w:rsid w:val="00924FE7"/>
    <w:rsid w:val="00926E27"/>
    <w:rsid w:val="00931C8C"/>
    <w:rsid w:val="00943D21"/>
    <w:rsid w:val="0094504B"/>
    <w:rsid w:val="00950124"/>
    <w:rsid w:val="00960404"/>
    <w:rsid w:val="009644DD"/>
    <w:rsid w:val="00964706"/>
    <w:rsid w:val="00964A38"/>
    <w:rsid w:val="00966A9D"/>
    <w:rsid w:val="0096742B"/>
    <w:rsid w:val="00967C64"/>
    <w:rsid w:val="00971378"/>
    <w:rsid w:val="009718C5"/>
    <w:rsid w:val="00976AFF"/>
    <w:rsid w:val="00986AED"/>
    <w:rsid w:val="009924CF"/>
    <w:rsid w:val="00994100"/>
    <w:rsid w:val="009A04B7"/>
    <w:rsid w:val="009A3046"/>
    <w:rsid w:val="009A6B17"/>
    <w:rsid w:val="009B052E"/>
    <w:rsid w:val="009C017D"/>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19"/>
    <w:rsid w:val="00A50B5E"/>
    <w:rsid w:val="00A62DAB"/>
    <w:rsid w:val="00A6757A"/>
    <w:rsid w:val="00A726A6"/>
    <w:rsid w:val="00A74842"/>
    <w:rsid w:val="00A81603"/>
    <w:rsid w:val="00A8269A"/>
    <w:rsid w:val="00A86A50"/>
    <w:rsid w:val="00A9178A"/>
    <w:rsid w:val="00A93800"/>
    <w:rsid w:val="00A93FFA"/>
    <w:rsid w:val="00A9515B"/>
    <w:rsid w:val="00A97535"/>
    <w:rsid w:val="00AA2BAA"/>
    <w:rsid w:val="00AA6516"/>
    <w:rsid w:val="00AA73F1"/>
    <w:rsid w:val="00AB0E1A"/>
    <w:rsid w:val="00AB1A30"/>
    <w:rsid w:val="00AB2FCA"/>
    <w:rsid w:val="00AB3C36"/>
    <w:rsid w:val="00AB3D30"/>
    <w:rsid w:val="00AB733D"/>
    <w:rsid w:val="00AC4B09"/>
    <w:rsid w:val="00AC5A01"/>
    <w:rsid w:val="00AD10EB"/>
    <w:rsid w:val="00AD1ED3"/>
    <w:rsid w:val="00AD3717"/>
    <w:rsid w:val="00AD74F4"/>
    <w:rsid w:val="00AE0EC0"/>
    <w:rsid w:val="00B019C1"/>
    <w:rsid w:val="00B02001"/>
    <w:rsid w:val="00B03C50"/>
    <w:rsid w:val="00B0777D"/>
    <w:rsid w:val="00B10C3C"/>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880"/>
    <w:rsid w:val="00B73DE6"/>
    <w:rsid w:val="00B761CD"/>
    <w:rsid w:val="00B76B66"/>
    <w:rsid w:val="00B76F90"/>
    <w:rsid w:val="00B86EF0"/>
    <w:rsid w:val="00B96969"/>
    <w:rsid w:val="00B97900"/>
    <w:rsid w:val="00BA1229"/>
    <w:rsid w:val="00BA44A8"/>
    <w:rsid w:val="00BA49C5"/>
    <w:rsid w:val="00BB0182"/>
    <w:rsid w:val="00BB2F4A"/>
    <w:rsid w:val="00BC786E"/>
    <w:rsid w:val="00BD1FB0"/>
    <w:rsid w:val="00BD4710"/>
    <w:rsid w:val="00BD5C92"/>
    <w:rsid w:val="00BE1BC8"/>
    <w:rsid w:val="00BE50E6"/>
    <w:rsid w:val="00BE7A0C"/>
    <w:rsid w:val="00BF2928"/>
    <w:rsid w:val="00BF5D60"/>
    <w:rsid w:val="00BF6691"/>
    <w:rsid w:val="00C028FC"/>
    <w:rsid w:val="00C037F2"/>
    <w:rsid w:val="00C0386D"/>
    <w:rsid w:val="00C065A1"/>
    <w:rsid w:val="00C10ED5"/>
    <w:rsid w:val="00C12574"/>
    <w:rsid w:val="00C151A6"/>
    <w:rsid w:val="00C24098"/>
    <w:rsid w:val="00C27640"/>
    <w:rsid w:val="00C30A4E"/>
    <w:rsid w:val="00C411F3"/>
    <w:rsid w:val="00C44105"/>
    <w:rsid w:val="00C523EC"/>
    <w:rsid w:val="00C54BA4"/>
    <w:rsid w:val="00C55A33"/>
    <w:rsid w:val="00C601D3"/>
    <w:rsid w:val="00C64D49"/>
    <w:rsid w:val="00C66692"/>
    <w:rsid w:val="00C673B5"/>
    <w:rsid w:val="00C7063D"/>
    <w:rsid w:val="00C72339"/>
    <w:rsid w:val="00C81D77"/>
    <w:rsid w:val="00C820BC"/>
    <w:rsid w:val="00C830BC"/>
    <w:rsid w:val="00C8524D"/>
    <w:rsid w:val="00C90904"/>
    <w:rsid w:val="00C91123"/>
    <w:rsid w:val="00CA6CC2"/>
    <w:rsid w:val="00CA71FF"/>
    <w:rsid w:val="00CB0917"/>
    <w:rsid w:val="00CB2393"/>
    <w:rsid w:val="00CB2456"/>
    <w:rsid w:val="00CB5276"/>
    <w:rsid w:val="00CB5BFC"/>
    <w:rsid w:val="00CB68D7"/>
    <w:rsid w:val="00CB785B"/>
    <w:rsid w:val="00CC7E68"/>
    <w:rsid w:val="00CD3D74"/>
    <w:rsid w:val="00CD7132"/>
    <w:rsid w:val="00CE0B55"/>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41EA"/>
    <w:rsid w:val="00D350D1"/>
    <w:rsid w:val="00D36AF4"/>
    <w:rsid w:val="00D405D8"/>
    <w:rsid w:val="00D42066"/>
    <w:rsid w:val="00D45B8A"/>
    <w:rsid w:val="00D46FAA"/>
    <w:rsid w:val="00D47A40"/>
    <w:rsid w:val="00D51D33"/>
    <w:rsid w:val="00D57BB2"/>
    <w:rsid w:val="00D57E57"/>
    <w:rsid w:val="00D70752"/>
    <w:rsid w:val="00D80E2D"/>
    <w:rsid w:val="00D833D4"/>
    <w:rsid w:val="00D84D5E"/>
    <w:rsid w:val="00D8560E"/>
    <w:rsid w:val="00D8563A"/>
    <w:rsid w:val="00D8758F"/>
    <w:rsid w:val="00D91D39"/>
    <w:rsid w:val="00D946B9"/>
    <w:rsid w:val="00DA4EDD"/>
    <w:rsid w:val="00DA6B78"/>
    <w:rsid w:val="00DB122B"/>
    <w:rsid w:val="00DC1D94"/>
    <w:rsid w:val="00DC42CF"/>
    <w:rsid w:val="00DC738A"/>
    <w:rsid w:val="00DC7D5A"/>
    <w:rsid w:val="00DD382A"/>
    <w:rsid w:val="00DD4112"/>
    <w:rsid w:val="00DD592E"/>
    <w:rsid w:val="00DE057F"/>
    <w:rsid w:val="00DE2082"/>
    <w:rsid w:val="00DE2289"/>
    <w:rsid w:val="00DE6702"/>
    <w:rsid w:val="00DF09A7"/>
    <w:rsid w:val="00DF2B51"/>
    <w:rsid w:val="00DF6997"/>
    <w:rsid w:val="00E001D6"/>
    <w:rsid w:val="00E03A76"/>
    <w:rsid w:val="00E04338"/>
    <w:rsid w:val="00E04410"/>
    <w:rsid w:val="00E07484"/>
    <w:rsid w:val="00E11351"/>
    <w:rsid w:val="00E33F0A"/>
    <w:rsid w:val="00E33F44"/>
    <w:rsid w:val="00E37D48"/>
    <w:rsid w:val="00E4225C"/>
    <w:rsid w:val="00E44879"/>
    <w:rsid w:val="00E607B6"/>
    <w:rsid w:val="00E61348"/>
    <w:rsid w:val="00E72914"/>
    <w:rsid w:val="00E73332"/>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1654"/>
    <w:rsid w:val="00F80685"/>
    <w:rsid w:val="00F94968"/>
    <w:rsid w:val="00FA092B"/>
    <w:rsid w:val="00FA4F6C"/>
    <w:rsid w:val="00FA6EFD"/>
    <w:rsid w:val="00FB3791"/>
    <w:rsid w:val="00FB6780"/>
    <w:rsid w:val="00FB74EA"/>
    <w:rsid w:val="00FC094A"/>
    <w:rsid w:val="00FD0ADB"/>
    <w:rsid w:val="00FD2C9E"/>
    <w:rsid w:val="00FD4786"/>
    <w:rsid w:val="00FD616C"/>
    <w:rsid w:val="00FE53F2"/>
    <w:rsid w:val="00FF0A00"/>
    <w:rsid w:val="00FF1C57"/>
    <w:rsid w:val="00FF2581"/>
    <w:rsid w:val="00FF6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EE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9644DD"/>
  </w:style>
  <w:style w:type="paragraph" w:styleId="BalloonText">
    <w:name w:val="Balloon Text"/>
    <w:basedOn w:val="Normal"/>
    <w:link w:val="BalloonTextChar"/>
    <w:semiHidden/>
    <w:unhideWhenUsed/>
    <w:rsid w:val="007A1959"/>
    <w:rPr>
      <w:rFonts w:ascii="Segoe UI" w:hAnsi="Segoe UI" w:cs="Segoe UI"/>
      <w:sz w:val="18"/>
      <w:szCs w:val="18"/>
    </w:rPr>
  </w:style>
  <w:style w:type="character" w:customStyle="1" w:styleId="BalloonTextChar">
    <w:name w:val="Balloon Text Char"/>
    <w:basedOn w:val="DefaultParagraphFont"/>
    <w:link w:val="BalloonText"/>
    <w:semiHidden/>
    <w:rsid w:val="007A1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F0CBE-FAC2-40E7-9111-8E6941D1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2024-04-23T13:16:00Z</dcterms:created>
  <dcterms:modified xsi:type="dcterms:W3CDTF">2024-04-23T15:15:00Z</dcterms:modified>
</cp:coreProperties>
</file>