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531EB" w:rsidP="000531EB">
      <w:pPr>
        <w:pStyle w:val="OrderHeading"/>
      </w:pPr>
      <w:r>
        <w:t>BEFORE THE FLORIDA PUBLIC SERVICE COMMISSION</w:t>
      </w:r>
    </w:p>
    <w:p w:rsidR="000531EB" w:rsidRDefault="000531EB" w:rsidP="000531EB">
      <w:pPr>
        <w:pStyle w:val="OrderBody"/>
      </w:pPr>
    </w:p>
    <w:p w:rsidR="000531EB" w:rsidRDefault="000531EB" w:rsidP="000531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31EB" w:rsidRPr="00C63FCF" w:rsidTr="00C63FCF">
        <w:trPr>
          <w:trHeight w:val="828"/>
        </w:trPr>
        <w:tc>
          <w:tcPr>
            <w:tcW w:w="4788" w:type="dxa"/>
            <w:tcBorders>
              <w:bottom w:val="single" w:sz="8" w:space="0" w:color="auto"/>
              <w:right w:val="double" w:sz="6" w:space="0" w:color="auto"/>
            </w:tcBorders>
            <w:shd w:val="clear" w:color="auto" w:fill="auto"/>
          </w:tcPr>
          <w:p w:rsidR="000531EB" w:rsidRDefault="000531EB"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0531EB" w:rsidRDefault="000531EB" w:rsidP="000531EB">
            <w:pPr>
              <w:pStyle w:val="OrderBody"/>
            </w:pPr>
            <w:r>
              <w:t xml:space="preserve">DOCKET NO. </w:t>
            </w:r>
            <w:bookmarkStart w:id="1" w:name="SSDocketNo"/>
            <w:bookmarkEnd w:id="1"/>
            <w:r>
              <w:t>20240025-EI</w:t>
            </w:r>
          </w:p>
          <w:p w:rsidR="000531EB" w:rsidRDefault="000531EB" w:rsidP="00C63FCF">
            <w:pPr>
              <w:pStyle w:val="OrderBody"/>
              <w:tabs>
                <w:tab w:val="center" w:pos="4320"/>
                <w:tab w:val="right" w:pos="8640"/>
              </w:tabs>
              <w:jc w:val="left"/>
            </w:pPr>
            <w:r>
              <w:t xml:space="preserve">ORDER NO. </w:t>
            </w:r>
            <w:bookmarkStart w:id="2" w:name="OrderNo0145"/>
            <w:r w:rsidR="00BC7DBB">
              <w:t>PSC-2024-0145-PCO-EI</w:t>
            </w:r>
            <w:bookmarkEnd w:id="2"/>
          </w:p>
          <w:p w:rsidR="000531EB" w:rsidRDefault="000531EB" w:rsidP="00C63FCF">
            <w:pPr>
              <w:pStyle w:val="OrderBody"/>
              <w:tabs>
                <w:tab w:val="center" w:pos="4320"/>
                <w:tab w:val="right" w:pos="8640"/>
              </w:tabs>
              <w:jc w:val="left"/>
            </w:pPr>
            <w:r>
              <w:t xml:space="preserve">ISSUED: </w:t>
            </w:r>
            <w:r w:rsidR="00BC7DBB">
              <w:t>May 7, 2024</w:t>
            </w:r>
          </w:p>
        </w:tc>
      </w:tr>
    </w:tbl>
    <w:p w:rsidR="007665F5" w:rsidRDefault="007665F5" w:rsidP="000531EB"/>
    <w:p w:rsidR="00F97EC7" w:rsidRDefault="000531EB" w:rsidP="00A904CB">
      <w:pPr>
        <w:pStyle w:val="CenterUnderline"/>
      </w:pPr>
      <w:bookmarkStart w:id="3" w:name="Commissioners"/>
      <w:bookmarkEnd w:id="3"/>
      <w:r>
        <w:t>ORDER</w:t>
      </w:r>
      <w:bookmarkStart w:id="4" w:name="OrderTitle"/>
      <w:r w:rsidR="00F97EC7">
        <w:t xml:space="preserve"> GRANTING OFFICE OF PUBLIC COUNSEL’S</w:t>
      </w:r>
    </w:p>
    <w:p w:rsidR="00CB5276" w:rsidRDefault="00A904CB" w:rsidP="00A904CB">
      <w:pPr>
        <w:pStyle w:val="CenterUnderline"/>
      </w:pPr>
      <w:r>
        <w:t>MOTION TO ENLARGE DISCOVERY</w:t>
      </w:r>
      <w:r w:rsidR="000531EB">
        <w:t xml:space="preserve"> </w:t>
      </w:r>
      <w:bookmarkEnd w:id="4"/>
    </w:p>
    <w:p w:rsidR="000531EB" w:rsidRDefault="000531EB" w:rsidP="000531EB">
      <w:pPr>
        <w:pStyle w:val="CenterUnderline"/>
      </w:pPr>
    </w:p>
    <w:p w:rsidR="00777A92" w:rsidRDefault="000531EB" w:rsidP="00777A92">
      <w:pPr>
        <w:pStyle w:val="OrderBody"/>
      </w:pPr>
      <w:bookmarkStart w:id="5" w:name="OrderText"/>
      <w:bookmarkEnd w:id="5"/>
      <w:r>
        <w:tab/>
      </w:r>
      <w:r w:rsidR="00777A92">
        <w:t>On April 11, 2024, Order Establishing Procedure No. PSC-2024-009</w:t>
      </w:r>
      <w:r w:rsidR="00D478BE">
        <w:t>2-PCO-EI issued in this docket and established</w:t>
      </w:r>
      <w:r w:rsidR="00777A92">
        <w:t xml:space="preserve"> the controlling dates and procedures for this docket. Among other provisions, the order provided that, unless subsequently modified by the Prehearing Officer, the number of interrogatories, including all subparts, shall be limited to 500.</w:t>
      </w:r>
    </w:p>
    <w:p w:rsidR="00777A92" w:rsidRDefault="00777A92">
      <w:pPr>
        <w:pStyle w:val="OrderBody"/>
      </w:pPr>
    </w:p>
    <w:p w:rsidR="009C1622" w:rsidRDefault="00A904CB" w:rsidP="00777A92">
      <w:pPr>
        <w:pStyle w:val="OrderBody"/>
        <w:ind w:firstLine="720"/>
      </w:pPr>
      <w:r>
        <w:t>On April 29</w:t>
      </w:r>
      <w:r w:rsidR="006635DC">
        <w:t>, 2024, the Office of Public Counsel (OPC</w:t>
      </w:r>
      <w:r>
        <w:t>) filed an Expedited Motion to Enlarge Discovery</w:t>
      </w:r>
      <w:r w:rsidR="00777A92">
        <w:t xml:space="preserve"> (Motion).</w:t>
      </w:r>
      <w:r>
        <w:t xml:space="preserve"> </w:t>
      </w:r>
      <w:r w:rsidR="00777A92">
        <w:t xml:space="preserve">OPC states that on April 29, 2024, Duke </w:t>
      </w:r>
      <w:r w:rsidR="00F913D1">
        <w:t xml:space="preserve">Energy Florida, LLC (Duke) </w:t>
      </w:r>
      <w:r w:rsidR="00777A92">
        <w:t>informed OPC that, by Duke’s count, OPC has exceeded the 500 interrogatory limitation established by Order No. PSC-2024-0092-PCO-EI.</w:t>
      </w:r>
      <w:r w:rsidR="006635DC">
        <w:t xml:space="preserve"> </w:t>
      </w:r>
      <w:r w:rsidR="00417C4C">
        <w:t xml:space="preserve">In its Motion, </w:t>
      </w:r>
      <w:r w:rsidR="00777A92">
        <w:t xml:space="preserve">OPC contends that it has been as proactive and efficient as possible in propounding interrogatories to Duke. However, </w:t>
      </w:r>
      <w:r w:rsidR="00417C4C">
        <w:t xml:space="preserve">OPC states that this case exceeds all of Duke’s historical requests in terms of magnitude and scope of issues and is an evolving, complex matter. </w:t>
      </w:r>
      <w:r w:rsidR="003A5B1E">
        <w:t>OPC therefore requests that the interrogatory limit established in Order No. PSC-2024-0092-PCO-EI be raised from 500 to 1,000</w:t>
      </w:r>
      <w:r w:rsidR="00F913D1">
        <w:t>,</w:t>
      </w:r>
      <w:r w:rsidR="003A5B1E">
        <w:t xml:space="preserve"> or alternatively, that the limit be removed entirely. OPC represents that a</w:t>
      </w:r>
      <w:r>
        <w:t xml:space="preserve">ll intervenors either support </w:t>
      </w:r>
      <w:r w:rsidR="009C1622">
        <w:t xml:space="preserve">or do not object to the </w:t>
      </w:r>
      <w:r w:rsidR="00B34AA3">
        <w:t>M</w:t>
      </w:r>
      <w:r w:rsidR="009C1622">
        <w:t>otion.</w:t>
      </w:r>
    </w:p>
    <w:p w:rsidR="009C1622" w:rsidRDefault="009C1622">
      <w:pPr>
        <w:pStyle w:val="OrderBody"/>
      </w:pPr>
    </w:p>
    <w:p w:rsidR="00CB5276" w:rsidRDefault="006635DC" w:rsidP="009C1622">
      <w:pPr>
        <w:pStyle w:val="OrderBody"/>
        <w:ind w:firstLine="720"/>
      </w:pPr>
      <w:r>
        <w:t xml:space="preserve">On April </w:t>
      </w:r>
      <w:r w:rsidR="00A904CB">
        <w:t>30</w:t>
      </w:r>
      <w:r>
        <w:t>, 2024, Duke</w:t>
      </w:r>
      <w:r w:rsidR="009C1622">
        <w:t xml:space="preserve"> </w:t>
      </w:r>
      <w:r w:rsidR="00CA02E5">
        <w:t>timely</w:t>
      </w:r>
      <w:r w:rsidR="007665F5">
        <w:t xml:space="preserve"> </w:t>
      </w:r>
      <w:r w:rsidR="009C1622">
        <w:t xml:space="preserve">filed a Response to </w:t>
      </w:r>
      <w:r w:rsidR="00F913D1">
        <w:t>the</w:t>
      </w:r>
      <w:r w:rsidR="009C1622">
        <w:t xml:space="preserve"> Motion requesting that OPC’s request for unlimited discovery be denied. However, Duke does not object to OPC being granted additional interrogatories to the extent determined by the Prehearing Officer. Finally, Duke requests that the expansion of the interrogatories be limited to OPC. </w:t>
      </w:r>
    </w:p>
    <w:p w:rsidR="000531EB" w:rsidRDefault="000531EB">
      <w:pPr>
        <w:pStyle w:val="OrderBody"/>
      </w:pPr>
    </w:p>
    <w:p w:rsidR="006C4645" w:rsidRDefault="006635DC" w:rsidP="007C7A5A">
      <w:pPr>
        <w:pStyle w:val="OrderBody"/>
      </w:pPr>
      <w:r>
        <w:tab/>
      </w:r>
      <w:r w:rsidR="007C7A5A">
        <w:t>Rule 1.340(a) of the Florida Rules of Civil Procedure limits parties to 30 interrogatories, including subparts, unless a party moves to exceed that number and demonstrates good cause. This Commission permits parties to exceed that number when the scope of a proceeding is complex.</w:t>
      </w:r>
      <w:r w:rsidR="009B0EA1">
        <w:t xml:space="preserve"> </w:t>
      </w:r>
      <w:r w:rsidR="007C7A5A">
        <w:t>Given the volume and complexity of Duke’s application, OPC’s Motion to Enlarge Discovery is hereby granted.</w:t>
      </w:r>
      <w:r w:rsidR="00A904CB">
        <w:t xml:space="preserve"> The limit on interrogatories</w:t>
      </w:r>
      <w:r w:rsidR="00D52012">
        <w:t>, including all subparts,</w:t>
      </w:r>
      <w:r w:rsidR="00FF3851">
        <w:t xml:space="preserve"> for OPC</w:t>
      </w:r>
      <w:r w:rsidR="00A904CB">
        <w:t xml:space="preserve"> shall be increased to 1,000.</w:t>
      </w:r>
    </w:p>
    <w:p w:rsidR="000531EB" w:rsidRDefault="000531EB">
      <w:pPr>
        <w:pStyle w:val="OrderBody"/>
      </w:pPr>
    </w:p>
    <w:p w:rsidR="000531EB" w:rsidRDefault="000531EB" w:rsidP="000531EB">
      <w:pPr>
        <w:pStyle w:val="OrderBody"/>
      </w:pPr>
      <w:r>
        <w:tab/>
        <w:t>Based on the foregoing, it is</w:t>
      </w:r>
    </w:p>
    <w:p w:rsidR="000531EB" w:rsidRDefault="000531EB" w:rsidP="000531EB">
      <w:pPr>
        <w:pStyle w:val="OrderBody"/>
      </w:pPr>
    </w:p>
    <w:p w:rsidR="000531EB" w:rsidRDefault="000531EB" w:rsidP="000531EB">
      <w:pPr>
        <w:pStyle w:val="OrderBody"/>
      </w:pPr>
      <w:r>
        <w:tab/>
        <w:t>ORDERED b</w:t>
      </w:r>
      <w:r w:rsidR="00C72964">
        <w:t xml:space="preserve">y Commissioner Gabriella Passidomo, as Prehearing Officer, </w:t>
      </w:r>
      <w:r>
        <w:t>that</w:t>
      </w:r>
      <w:r w:rsidR="007F4A92">
        <w:t xml:space="preserve"> the Office of Public Counsel’s Motion </w:t>
      </w:r>
      <w:r w:rsidR="00E87A31">
        <w:t>to Enlarge Discovery is hereby granted</w:t>
      </w:r>
      <w:r w:rsidR="00F913D1">
        <w:t xml:space="preserve"> as set forth herein</w:t>
      </w:r>
      <w:r w:rsidR="007F4A92">
        <w:t>.</w:t>
      </w:r>
      <w:r w:rsidR="00F913D1">
        <w:t xml:space="preserve"> It is further</w:t>
      </w:r>
    </w:p>
    <w:p w:rsidR="00F913D1" w:rsidRDefault="00F913D1" w:rsidP="000531EB">
      <w:pPr>
        <w:pStyle w:val="OrderBody"/>
      </w:pPr>
    </w:p>
    <w:p w:rsidR="00F913D1" w:rsidRDefault="00F913D1" w:rsidP="000531EB">
      <w:pPr>
        <w:pStyle w:val="OrderBody"/>
      </w:pPr>
      <w:r>
        <w:tab/>
        <w:t xml:space="preserve">ORDERED that Order No. PSC-2024-0092-PCO-EI is </w:t>
      </w:r>
      <w:r w:rsidR="009B0EA1">
        <w:t>reaffirmed in all other aspects.</w:t>
      </w:r>
    </w:p>
    <w:p w:rsidR="000531EB" w:rsidRDefault="000531EB" w:rsidP="000531EB">
      <w:pPr>
        <w:pStyle w:val="OrderBody"/>
      </w:pPr>
    </w:p>
    <w:p w:rsidR="000531EB" w:rsidRDefault="000531EB" w:rsidP="000531EB">
      <w:pPr>
        <w:pStyle w:val="OrderBody"/>
        <w:keepNext/>
        <w:keepLines/>
      </w:pPr>
      <w:r>
        <w:lastRenderedPageBreak/>
        <w:tab/>
        <w:t xml:space="preserve">By ORDER of Commissioner Gabriella Passidomo, as Prehearing Officer, this </w:t>
      </w:r>
      <w:bookmarkStart w:id="6" w:name="replaceDate"/>
      <w:bookmarkEnd w:id="6"/>
      <w:r w:rsidR="00BC7DBB">
        <w:rPr>
          <w:u w:val="single"/>
        </w:rPr>
        <w:t>7th</w:t>
      </w:r>
      <w:r w:rsidR="00BC7DBB">
        <w:t xml:space="preserve"> day of </w:t>
      </w:r>
      <w:r w:rsidR="00BC7DBB">
        <w:rPr>
          <w:u w:val="single"/>
        </w:rPr>
        <w:t>May</w:t>
      </w:r>
      <w:r w:rsidR="00BC7DBB">
        <w:t xml:space="preserve">, </w:t>
      </w:r>
      <w:r w:rsidR="00BC7DBB">
        <w:rPr>
          <w:u w:val="single"/>
        </w:rPr>
        <w:t>2024</w:t>
      </w:r>
      <w:r w:rsidR="00BC7DBB">
        <w:t>.</w:t>
      </w:r>
    </w:p>
    <w:p w:rsidR="00BC7DBB" w:rsidRPr="00BC7DBB" w:rsidRDefault="00BC7DBB" w:rsidP="000531EB">
      <w:pPr>
        <w:pStyle w:val="OrderBody"/>
        <w:keepNext/>
        <w:keepLines/>
      </w:pPr>
    </w:p>
    <w:p w:rsidR="000531EB" w:rsidRDefault="000531EB" w:rsidP="000531EB">
      <w:pPr>
        <w:pStyle w:val="OrderBody"/>
        <w:keepNext/>
        <w:keepLines/>
      </w:pPr>
    </w:p>
    <w:p w:rsidR="000531EB" w:rsidRDefault="000531EB" w:rsidP="000531E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531EB" w:rsidTr="000531EB">
        <w:tc>
          <w:tcPr>
            <w:tcW w:w="720" w:type="dxa"/>
            <w:shd w:val="clear" w:color="auto" w:fill="auto"/>
          </w:tcPr>
          <w:p w:rsidR="000531EB" w:rsidRDefault="000531EB" w:rsidP="000531EB">
            <w:pPr>
              <w:pStyle w:val="OrderBody"/>
              <w:keepNext/>
              <w:keepLines/>
            </w:pPr>
            <w:bookmarkStart w:id="7" w:name="bkmrkSignature" w:colFirst="0" w:colLast="0"/>
          </w:p>
        </w:tc>
        <w:tc>
          <w:tcPr>
            <w:tcW w:w="4320" w:type="dxa"/>
            <w:tcBorders>
              <w:bottom w:val="single" w:sz="4" w:space="0" w:color="auto"/>
            </w:tcBorders>
            <w:shd w:val="clear" w:color="auto" w:fill="auto"/>
          </w:tcPr>
          <w:p w:rsidR="000531EB" w:rsidRDefault="00BC7DBB" w:rsidP="000531EB">
            <w:pPr>
              <w:pStyle w:val="OrderBody"/>
              <w:keepNext/>
              <w:keepLines/>
            </w:pPr>
            <w:r>
              <w:t>/s/ Gabriella Passidomo</w:t>
            </w:r>
            <w:bookmarkStart w:id="8" w:name="_GoBack"/>
            <w:bookmarkEnd w:id="8"/>
          </w:p>
        </w:tc>
      </w:tr>
      <w:bookmarkEnd w:id="7"/>
      <w:tr w:rsidR="000531EB" w:rsidTr="000531EB">
        <w:tc>
          <w:tcPr>
            <w:tcW w:w="720" w:type="dxa"/>
            <w:shd w:val="clear" w:color="auto" w:fill="auto"/>
          </w:tcPr>
          <w:p w:rsidR="000531EB" w:rsidRDefault="000531EB" w:rsidP="000531EB">
            <w:pPr>
              <w:pStyle w:val="OrderBody"/>
              <w:keepNext/>
              <w:keepLines/>
            </w:pPr>
          </w:p>
        </w:tc>
        <w:tc>
          <w:tcPr>
            <w:tcW w:w="4320" w:type="dxa"/>
            <w:tcBorders>
              <w:top w:val="single" w:sz="4" w:space="0" w:color="auto"/>
            </w:tcBorders>
            <w:shd w:val="clear" w:color="auto" w:fill="auto"/>
          </w:tcPr>
          <w:p w:rsidR="000531EB" w:rsidRDefault="000531EB" w:rsidP="000531EB">
            <w:pPr>
              <w:pStyle w:val="OrderBody"/>
              <w:keepNext/>
              <w:keepLines/>
            </w:pPr>
            <w:r>
              <w:t>Gabriella Passidomo</w:t>
            </w:r>
          </w:p>
          <w:p w:rsidR="000531EB" w:rsidRDefault="000531EB" w:rsidP="000531EB">
            <w:pPr>
              <w:pStyle w:val="OrderBody"/>
              <w:keepNext/>
              <w:keepLines/>
            </w:pPr>
            <w:r>
              <w:t>Commissioner and Prehearing Officer</w:t>
            </w:r>
          </w:p>
        </w:tc>
      </w:tr>
    </w:tbl>
    <w:p w:rsidR="000531EB" w:rsidRDefault="000531EB" w:rsidP="000531EB">
      <w:pPr>
        <w:pStyle w:val="OrderSigInfo"/>
        <w:keepNext/>
        <w:keepLines/>
      </w:pPr>
      <w:r>
        <w:t>Florida Public Service Commission</w:t>
      </w:r>
    </w:p>
    <w:p w:rsidR="000531EB" w:rsidRDefault="000531EB" w:rsidP="000531EB">
      <w:pPr>
        <w:pStyle w:val="OrderSigInfo"/>
        <w:keepNext/>
        <w:keepLines/>
      </w:pPr>
      <w:r>
        <w:t>2540 Shumard Oak Boulevard</w:t>
      </w:r>
    </w:p>
    <w:p w:rsidR="000531EB" w:rsidRDefault="000531EB" w:rsidP="000531EB">
      <w:pPr>
        <w:pStyle w:val="OrderSigInfo"/>
        <w:keepNext/>
        <w:keepLines/>
      </w:pPr>
      <w:r>
        <w:t>Tallahassee, Florida 32399</w:t>
      </w:r>
    </w:p>
    <w:p w:rsidR="000531EB" w:rsidRDefault="000531EB" w:rsidP="000531EB">
      <w:pPr>
        <w:pStyle w:val="OrderSigInfo"/>
        <w:keepNext/>
        <w:keepLines/>
      </w:pPr>
      <w:r>
        <w:t>(850) 413</w:t>
      </w:r>
      <w:r>
        <w:noBreakHyphen/>
        <w:t>6770</w:t>
      </w:r>
    </w:p>
    <w:p w:rsidR="000531EB" w:rsidRDefault="000531EB" w:rsidP="000531EB">
      <w:pPr>
        <w:pStyle w:val="OrderSigInfo"/>
        <w:keepNext/>
        <w:keepLines/>
      </w:pPr>
      <w:r>
        <w:t>www.floridapsc.com</w:t>
      </w:r>
    </w:p>
    <w:p w:rsidR="000531EB" w:rsidRDefault="000531EB" w:rsidP="000531EB">
      <w:pPr>
        <w:pStyle w:val="OrderSigInfo"/>
        <w:keepNext/>
        <w:keepLines/>
      </w:pPr>
    </w:p>
    <w:p w:rsidR="000531EB" w:rsidRDefault="000531EB" w:rsidP="000531EB">
      <w:pPr>
        <w:pStyle w:val="OrderSigInfo"/>
        <w:keepNext/>
        <w:keepLines/>
      </w:pPr>
      <w:r>
        <w:t>Copies furnished:  A copy of this document is provided to the parties of record at the time of issuance and, if applicable, interested persons.</w:t>
      </w:r>
    </w:p>
    <w:p w:rsidR="000531EB" w:rsidRDefault="000531EB" w:rsidP="000531EB">
      <w:pPr>
        <w:pStyle w:val="OrderBody"/>
        <w:keepNext/>
        <w:keepLines/>
      </w:pPr>
    </w:p>
    <w:p w:rsidR="000531EB" w:rsidRDefault="000531EB" w:rsidP="000531EB">
      <w:pPr>
        <w:pStyle w:val="OrderBody"/>
        <w:keepNext/>
        <w:keepLines/>
      </w:pPr>
    </w:p>
    <w:p w:rsidR="000531EB" w:rsidRDefault="007F4A92" w:rsidP="000531EB">
      <w:pPr>
        <w:pStyle w:val="OrderBody"/>
        <w:keepNext/>
        <w:keepLines/>
      </w:pPr>
      <w:r>
        <w:t>MRT</w:t>
      </w:r>
    </w:p>
    <w:p w:rsidR="000531EB" w:rsidRDefault="000531EB" w:rsidP="000531EB">
      <w:pPr>
        <w:pStyle w:val="OrderBody"/>
      </w:pPr>
    </w:p>
    <w:p w:rsidR="000531EB" w:rsidRDefault="000531EB" w:rsidP="000531EB">
      <w:pPr>
        <w:pStyle w:val="OrderBody"/>
      </w:pPr>
    </w:p>
    <w:p w:rsidR="003F5E85" w:rsidRDefault="003F5E85" w:rsidP="003F5E85">
      <w:pPr>
        <w:pStyle w:val="CenterUnderline"/>
      </w:pPr>
      <w:r>
        <w:t>NOTICE OF FURTHER PROCEEDINGS OR JUDICIAL REVIEW</w:t>
      </w:r>
    </w:p>
    <w:p w:rsidR="00AD50A7" w:rsidRDefault="00AD50A7" w:rsidP="003F5E85">
      <w:pPr>
        <w:pStyle w:val="CenterUnderline"/>
      </w:pPr>
    </w:p>
    <w:p w:rsidR="003F5E85" w:rsidRDefault="003F5E85" w:rsidP="003F5E8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5E85" w:rsidRDefault="003F5E85" w:rsidP="003F5E85">
      <w:pPr>
        <w:pStyle w:val="OrderBody"/>
      </w:pPr>
    </w:p>
    <w:p w:rsidR="003F5E85" w:rsidRDefault="003F5E85" w:rsidP="003F5E85">
      <w:pPr>
        <w:pStyle w:val="OrderBody"/>
      </w:pPr>
      <w:r>
        <w:tab/>
        <w:t>Mediation may be available on a case-by-case basis.  If mediation is conducted, it does not affect a substantially interested person's right to a hearing.</w:t>
      </w:r>
    </w:p>
    <w:p w:rsidR="003F5E85" w:rsidRDefault="003F5E85" w:rsidP="003F5E85">
      <w:pPr>
        <w:pStyle w:val="OrderBody"/>
      </w:pPr>
    </w:p>
    <w:p w:rsidR="00D42323" w:rsidRPr="00D42323" w:rsidRDefault="003F5E85" w:rsidP="00D4232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42323" w:rsidRPr="00D42323" w:rsidSect="00981F0F">
      <w:headerReference w:type="default" r:id="rId6"/>
      <w:footerReference w:type="first" r:id="rId7"/>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E51" w:rsidRDefault="00603E51">
      <w:r>
        <w:separator/>
      </w:r>
    </w:p>
  </w:endnote>
  <w:endnote w:type="continuationSeparator" w:id="0">
    <w:p w:rsidR="00603E51" w:rsidRDefault="0060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E51" w:rsidRDefault="00603E51">
      <w:r>
        <w:separator/>
      </w:r>
    </w:p>
  </w:footnote>
  <w:footnote w:type="continuationSeparator" w:id="0">
    <w:p w:rsidR="00603E51" w:rsidRDefault="0060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5 ">
      <w:r w:rsidR="00BC7DBB">
        <w:t>PSC-2024-0145-PCO-EI</w:t>
      </w:r>
    </w:fldSimple>
  </w:p>
  <w:p w:rsidR="00FA6EFD" w:rsidRDefault="000531EB">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7D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0531EB"/>
    <w:rsid w:val="000022B8"/>
    <w:rsid w:val="00003883"/>
    <w:rsid w:val="00011251"/>
    <w:rsid w:val="00025C2A"/>
    <w:rsid w:val="00025C9D"/>
    <w:rsid w:val="0003433F"/>
    <w:rsid w:val="00035A8C"/>
    <w:rsid w:val="00036BDD"/>
    <w:rsid w:val="00041FFD"/>
    <w:rsid w:val="00042C99"/>
    <w:rsid w:val="000531EB"/>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3BE9"/>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6E4A"/>
    <w:rsid w:val="002002ED"/>
    <w:rsid w:val="002044DD"/>
    <w:rsid w:val="00212160"/>
    <w:rsid w:val="002170E5"/>
    <w:rsid w:val="00220D57"/>
    <w:rsid w:val="00223B99"/>
    <w:rsid w:val="00224CD4"/>
    <w:rsid w:val="0022721A"/>
    <w:rsid w:val="00230BB9"/>
    <w:rsid w:val="00241CEF"/>
    <w:rsid w:val="0025124E"/>
    <w:rsid w:val="00252B30"/>
    <w:rsid w:val="00255291"/>
    <w:rsid w:val="002571AF"/>
    <w:rsid w:val="002613E4"/>
    <w:rsid w:val="00262C43"/>
    <w:rsid w:val="0026544B"/>
    <w:rsid w:val="00270F89"/>
    <w:rsid w:val="00276CDC"/>
    <w:rsid w:val="00277655"/>
    <w:rsid w:val="002824B7"/>
    <w:rsid w:val="00282AC4"/>
    <w:rsid w:val="00293DC9"/>
    <w:rsid w:val="00296197"/>
    <w:rsid w:val="00297C37"/>
    <w:rsid w:val="002A11AC"/>
    <w:rsid w:val="002A6F30"/>
    <w:rsid w:val="002A7884"/>
    <w:rsid w:val="002B3111"/>
    <w:rsid w:val="002B630F"/>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5B1E"/>
    <w:rsid w:val="003B0CBE"/>
    <w:rsid w:val="003B1A09"/>
    <w:rsid w:val="003B6F02"/>
    <w:rsid w:val="003C0431"/>
    <w:rsid w:val="003C29BB"/>
    <w:rsid w:val="003D3989"/>
    <w:rsid w:val="003D4CCA"/>
    <w:rsid w:val="003D52A6"/>
    <w:rsid w:val="003D6416"/>
    <w:rsid w:val="003E1D48"/>
    <w:rsid w:val="003E711F"/>
    <w:rsid w:val="003F1D2B"/>
    <w:rsid w:val="003F49A6"/>
    <w:rsid w:val="003F518F"/>
    <w:rsid w:val="003F5E85"/>
    <w:rsid w:val="003F6BA7"/>
    <w:rsid w:val="003F7445"/>
    <w:rsid w:val="00411DF2"/>
    <w:rsid w:val="00411E8F"/>
    <w:rsid w:val="00417C4C"/>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767E"/>
    <w:rsid w:val="00540E6B"/>
    <w:rsid w:val="0054109E"/>
    <w:rsid w:val="0055595D"/>
    <w:rsid w:val="00556A10"/>
    <w:rsid w:val="00557F50"/>
    <w:rsid w:val="00571D3D"/>
    <w:rsid w:val="00572C70"/>
    <w:rsid w:val="005754A9"/>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E51"/>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5DC"/>
    <w:rsid w:val="0066389A"/>
    <w:rsid w:val="0066495C"/>
    <w:rsid w:val="00665CC7"/>
    <w:rsid w:val="00672612"/>
    <w:rsid w:val="00674ECC"/>
    <w:rsid w:val="00677F18"/>
    <w:rsid w:val="00693483"/>
    <w:rsid w:val="006A0BF3"/>
    <w:rsid w:val="006B0036"/>
    <w:rsid w:val="006B0DA6"/>
    <w:rsid w:val="006B3FA9"/>
    <w:rsid w:val="006C4645"/>
    <w:rsid w:val="006C547E"/>
    <w:rsid w:val="006D2B51"/>
    <w:rsid w:val="006D31A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5F5"/>
    <w:rsid w:val="0076669C"/>
    <w:rsid w:val="00766E46"/>
    <w:rsid w:val="00772CCB"/>
    <w:rsid w:val="00777727"/>
    <w:rsid w:val="00777A92"/>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A5A"/>
    <w:rsid w:val="007C7ECF"/>
    <w:rsid w:val="007D3D20"/>
    <w:rsid w:val="007D44F9"/>
    <w:rsid w:val="007D742E"/>
    <w:rsid w:val="007E3AFD"/>
    <w:rsid w:val="007F4A92"/>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706"/>
    <w:rsid w:val="009163E8"/>
    <w:rsid w:val="00921BD3"/>
    <w:rsid w:val="00921EB0"/>
    <w:rsid w:val="009228C7"/>
    <w:rsid w:val="00922A7F"/>
    <w:rsid w:val="00923A5E"/>
    <w:rsid w:val="00924FE7"/>
    <w:rsid w:val="00926E27"/>
    <w:rsid w:val="00930EC8"/>
    <w:rsid w:val="00931C8C"/>
    <w:rsid w:val="00943D21"/>
    <w:rsid w:val="0094504B"/>
    <w:rsid w:val="00964A38"/>
    <w:rsid w:val="00966A9D"/>
    <w:rsid w:val="0096742B"/>
    <w:rsid w:val="00967C64"/>
    <w:rsid w:val="009718C5"/>
    <w:rsid w:val="00976AFF"/>
    <w:rsid w:val="00981F0F"/>
    <w:rsid w:val="00986AED"/>
    <w:rsid w:val="009924CF"/>
    <w:rsid w:val="00994100"/>
    <w:rsid w:val="009A04B7"/>
    <w:rsid w:val="009A6B17"/>
    <w:rsid w:val="009B052E"/>
    <w:rsid w:val="009B0EA1"/>
    <w:rsid w:val="009C1622"/>
    <w:rsid w:val="009D4C29"/>
    <w:rsid w:val="009E58E9"/>
    <w:rsid w:val="009E6803"/>
    <w:rsid w:val="009F6AD2"/>
    <w:rsid w:val="009F7C1B"/>
    <w:rsid w:val="00A00B5B"/>
    <w:rsid w:val="00A00D8D"/>
    <w:rsid w:val="00A01BB6"/>
    <w:rsid w:val="00A108A7"/>
    <w:rsid w:val="00A228DA"/>
    <w:rsid w:val="00A22B28"/>
    <w:rsid w:val="00A27012"/>
    <w:rsid w:val="00A3351E"/>
    <w:rsid w:val="00A40E5C"/>
    <w:rsid w:val="00A4303C"/>
    <w:rsid w:val="00A46CAF"/>
    <w:rsid w:val="00A470FD"/>
    <w:rsid w:val="00A50B5E"/>
    <w:rsid w:val="00A62DAB"/>
    <w:rsid w:val="00A6757A"/>
    <w:rsid w:val="00A726A6"/>
    <w:rsid w:val="00A74842"/>
    <w:rsid w:val="00A8269A"/>
    <w:rsid w:val="00A86A50"/>
    <w:rsid w:val="00A904CB"/>
    <w:rsid w:val="00A9178A"/>
    <w:rsid w:val="00A9515B"/>
    <w:rsid w:val="00A97535"/>
    <w:rsid w:val="00AA2BAA"/>
    <w:rsid w:val="00AA6516"/>
    <w:rsid w:val="00AA73F1"/>
    <w:rsid w:val="00AB0E1A"/>
    <w:rsid w:val="00AB1A30"/>
    <w:rsid w:val="00AB3C36"/>
    <w:rsid w:val="00AB3D30"/>
    <w:rsid w:val="00AC15C7"/>
    <w:rsid w:val="00AC4B09"/>
    <w:rsid w:val="00AC5A01"/>
    <w:rsid w:val="00AD10EB"/>
    <w:rsid w:val="00AD1ED3"/>
    <w:rsid w:val="00AD3717"/>
    <w:rsid w:val="00AD50A7"/>
    <w:rsid w:val="00AD74F4"/>
    <w:rsid w:val="00B019C1"/>
    <w:rsid w:val="00B02001"/>
    <w:rsid w:val="00B03C50"/>
    <w:rsid w:val="00B0777D"/>
    <w:rsid w:val="00B11576"/>
    <w:rsid w:val="00B1195F"/>
    <w:rsid w:val="00B14D10"/>
    <w:rsid w:val="00B209C7"/>
    <w:rsid w:val="00B34AA3"/>
    <w:rsid w:val="00B3644F"/>
    <w:rsid w:val="00B372D6"/>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906"/>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C7DBB"/>
    <w:rsid w:val="00BD5C92"/>
    <w:rsid w:val="00BE50E6"/>
    <w:rsid w:val="00BE7A0C"/>
    <w:rsid w:val="00BF2928"/>
    <w:rsid w:val="00BF5D60"/>
    <w:rsid w:val="00BF6691"/>
    <w:rsid w:val="00C028FC"/>
    <w:rsid w:val="00C037F2"/>
    <w:rsid w:val="00C0386D"/>
    <w:rsid w:val="00C065A1"/>
    <w:rsid w:val="00C107CC"/>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2964"/>
    <w:rsid w:val="00C820BC"/>
    <w:rsid w:val="00C830BC"/>
    <w:rsid w:val="00C8524D"/>
    <w:rsid w:val="00C90904"/>
    <w:rsid w:val="00C91123"/>
    <w:rsid w:val="00CA02E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2323"/>
    <w:rsid w:val="00D46FAA"/>
    <w:rsid w:val="00D478BE"/>
    <w:rsid w:val="00D47A40"/>
    <w:rsid w:val="00D51D33"/>
    <w:rsid w:val="00D52012"/>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87A31"/>
    <w:rsid w:val="00E97656"/>
    <w:rsid w:val="00EA004A"/>
    <w:rsid w:val="00EA172C"/>
    <w:rsid w:val="00EA259B"/>
    <w:rsid w:val="00EA35A3"/>
    <w:rsid w:val="00EA3E6A"/>
    <w:rsid w:val="00EB18EF"/>
    <w:rsid w:val="00EB58F4"/>
    <w:rsid w:val="00EB7951"/>
    <w:rsid w:val="00ED6A79"/>
    <w:rsid w:val="00EE17DF"/>
    <w:rsid w:val="00EE7655"/>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13D1"/>
    <w:rsid w:val="00F94968"/>
    <w:rsid w:val="00F97EC7"/>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9B9317-4798-4ECE-85CD-AC088F40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81F0F"/>
    <w:rPr>
      <w:rFonts w:ascii="Segoe UI" w:hAnsi="Segoe UI" w:cs="Segoe UI"/>
      <w:sz w:val="18"/>
      <w:szCs w:val="18"/>
    </w:rPr>
  </w:style>
  <w:style w:type="character" w:customStyle="1" w:styleId="BalloonTextChar">
    <w:name w:val="Balloon Text Char"/>
    <w:basedOn w:val="DefaultParagraphFont"/>
    <w:link w:val="BalloonText"/>
    <w:semiHidden/>
    <w:rsid w:val="00981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1</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Chasity Vaughan</dc:creator>
  <cp:lastModifiedBy>Charlie Smith</cp:lastModifiedBy>
  <cp:revision>3</cp:revision>
  <cp:lastPrinted>2024-05-02T20:13:00Z</cp:lastPrinted>
  <dcterms:created xsi:type="dcterms:W3CDTF">2024-05-07T18:21:00Z</dcterms:created>
  <dcterms:modified xsi:type="dcterms:W3CDTF">2024-05-07T18:56:00Z</dcterms:modified>
</cp:coreProperties>
</file>