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3086E6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845F6C5" w14:textId="77777777" w:rsidR="007C0528" w:rsidRDefault="007C0528" w:rsidP="00532DFB">
            <w:pPr>
              <w:pStyle w:val="MastHeadState"/>
            </w:pPr>
            <w:bookmarkStart w:id="0" w:name="_GoBack"/>
            <w:bookmarkEnd w:id="0"/>
            <w:r>
              <w:t>State of Florida</w:t>
            </w:r>
          </w:p>
          <w:p w14:paraId="6F18B144" w14:textId="77777777" w:rsidR="007C0528" w:rsidRDefault="00072CCA">
            <w:pPr>
              <w:jc w:val="center"/>
            </w:pPr>
            <w:r>
              <w:rPr>
                <w:noProof/>
              </w:rPr>
              <w:drawing>
                <wp:inline distT="0" distB="0" distL="0" distR="0" wp14:anchorId="03D911DA" wp14:editId="398E8FF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155656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420093E" w14:textId="77777777" w:rsidR="007C0528" w:rsidRDefault="007C0528">
            <w:pPr>
              <w:pStyle w:val="MastHeadPSC"/>
            </w:pPr>
            <w:r>
              <w:t>Public Service Commission</w:t>
            </w:r>
          </w:p>
          <w:p w14:paraId="3C0F6DC9" w14:textId="77777777" w:rsidR="007C0528" w:rsidRDefault="007C0528">
            <w:pPr>
              <w:pStyle w:val="MastHeadAddress"/>
            </w:pPr>
            <w:r>
              <w:t>Capital Circle Office Center ● 2540 Shumard Oak Boulevard</w:t>
            </w:r>
            <w:r>
              <w:br/>
              <w:t>Tallahassee, Florida 32399-0850</w:t>
            </w:r>
          </w:p>
          <w:p w14:paraId="36F37ED4" w14:textId="77777777" w:rsidR="007C0528" w:rsidRDefault="007C0528">
            <w:pPr>
              <w:pStyle w:val="MastHeadMemorandum"/>
            </w:pPr>
            <w:r>
              <w:t>-M-E-M-O-R-A-N-D-U-M-</w:t>
            </w:r>
          </w:p>
          <w:p w14:paraId="36555772" w14:textId="77777777" w:rsidR="007C0528" w:rsidRDefault="007C0528">
            <w:pPr>
              <w:pStyle w:val="MemoHeading"/>
            </w:pPr>
          </w:p>
        </w:tc>
      </w:tr>
      <w:tr w:rsidR="007C0528" w14:paraId="46094272"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57F616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2C83796" w14:textId="5E491985" w:rsidR="007C0528" w:rsidRDefault="00C35DB4">
            <w:pPr>
              <w:pStyle w:val="MemoHeading"/>
            </w:pPr>
            <w:bookmarkStart w:id="1" w:name="FilingDate"/>
            <w:r>
              <w:t>May 13</w:t>
            </w:r>
            <w:r w:rsidR="00661958">
              <w:t>, 2024</w:t>
            </w:r>
            <w:bookmarkEnd w:id="1"/>
          </w:p>
        </w:tc>
      </w:tr>
      <w:tr w:rsidR="007C0528" w14:paraId="221F4D76" w14:textId="77777777">
        <w:tc>
          <w:tcPr>
            <w:tcW w:w="1254" w:type="dxa"/>
            <w:tcBorders>
              <w:top w:val="nil"/>
              <w:left w:val="nil"/>
              <w:bottom w:val="nil"/>
              <w:right w:val="nil"/>
            </w:tcBorders>
            <w:shd w:val="clear" w:color="auto" w:fill="auto"/>
            <w:tcMar>
              <w:top w:w="288" w:type="dxa"/>
              <w:bottom w:w="0" w:type="dxa"/>
              <w:right w:w="0" w:type="dxa"/>
            </w:tcMar>
          </w:tcPr>
          <w:p w14:paraId="6C46D7CB"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4D1726A" w14:textId="77777777" w:rsidR="007C0528" w:rsidRDefault="007C0528" w:rsidP="0093658B">
            <w:pPr>
              <w:pStyle w:val="MemoHeading"/>
            </w:pPr>
            <w:r>
              <w:t>Office of Commission Clerk (</w:t>
            </w:r>
            <w:r w:rsidR="004E69B5">
              <w:t>Teitzman</w:t>
            </w:r>
            <w:r>
              <w:t>)</w:t>
            </w:r>
          </w:p>
        </w:tc>
      </w:tr>
      <w:tr w:rsidR="007C0528" w14:paraId="39DF23B9" w14:textId="77777777">
        <w:tc>
          <w:tcPr>
            <w:tcW w:w="1254" w:type="dxa"/>
            <w:tcBorders>
              <w:top w:val="nil"/>
              <w:left w:val="nil"/>
              <w:bottom w:val="nil"/>
              <w:right w:val="nil"/>
            </w:tcBorders>
            <w:shd w:val="clear" w:color="auto" w:fill="auto"/>
            <w:tcMar>
              <w:top w:w="288" w:type="dxa"/>
              <w:right w:w="0" w:type="dxa"/>
            </w:tcMar>
          </w:tcPr>
          <w:p w14:paraId="25EB7293"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497288C" w14:textId="47F9B410" w:rsidR="00661958" w:rsidRPr="0098266E" w:rsidRDefault="00661958">
            <w:pPr>
              <w:pStyle w:val="MemoHeading"/>
              <w:rPr>
                <w:rFonts w:ascii="Freestyle Script" w:hAnsi="Freestyle Script"/>
                <w:b/>
                <w:color w:val="365F91" w:themeColor="accent1" w:themeShade="BF"/>
                <w:sz w:val="28"/>
                <w:szCs w:val="28"/>
              </w:rPr>
            </w:pPr>
            <w:bookmarkStart w:id="2" w:name="From"/>
            <w:r>
              <w:t>Division of Economics (Draper)</w:t>
            </w:r>
            <w:r w:rsidR="0098266E">
              <w:t xml:space="preserve">  </w:t>
            </w:r>
            <w:r w:rsidR="0098266E">
              <w:rPr>
                <w:rFonts w:ascii="Freestyle Script" w:hAnsi="Freestyle Script"/>
                <w:b/>
                <w:color w:val="365F91" w:themeColor="accent1" w:themeShade="BF"/>
                <w:sz w:val="28"/>
                <w:szCs w:val="28"/>
              </w:rPr>
              <w:t>EJD</w:t>
            </w:r>
          </w:p>
          <w:p w14:paraId="45FB7713" w14:textId="71C11239" w:rsidR="00661958" w:rsidRPr="0098266E" w:rsidRDefault="00661958">
            <w:pPr>
              <w:pStyle w:val="MemoHeading"/>
              <w:rPr>
                <w:rFonts w:ascii="Freestyle Script" w:hAnsi="Freestyle Script"/>
                <w:b/>
                <w:color w:val="365F91" w:themeColor="accent1" w:themeShade="BF"/>
                <w:sz w:val="28"/>
                <w:szCs w:val="28"/>
              </w:rPr>
            </w:pPr>
            <w:r>
              <w:t>Division of Accounting and Finance (Maurey)</w:t>
            </w:r>
            <w:r w:rsidR="0098266E">
              <w:t xml:space="preserve">  </w:t>
            </w:r>
            <w:r w:rsidR="0098266E">
              <w:rPr>
                <w:rFonts w:ascii="Freestyle Script" w:hAnsi="Freestyle Script"/>
                <w:b/>
                <w:color w:val="365F91" w:themeColor="accent1" w:themeShade="BF"/>
                <w:sz w:val="28"/>
                <w:szCs w:val="28"/>
              </w:rPr>
              <w:t>ALM</w:t>
            </w:r>
          </w:p>
          <w:p w14:paraId="24FF15EF" w14:textId="25375CE4" w:rsidR="00661958" w:rsidRPr="0098266E" w:rsidRDefault="00661958">
            <w:pPr>
              <w:pStyle w:val="MemoHeading"/>
              <w:rPr>
                <w:rFonts w:ascii="Freestyle Script" w:hAnsi="Freestyle Script"/>
                <w:b/>
                <w:color w:val="365F91" w:themeColor="accent1" w:themeShade="BF"/>
                <w:sz w:val="28"/>
                <w:szCs w:val="28"/>
              </w:rPr>
            </w:pPr>
            <w:r>
              <w:t>Division of Engineering (</w:t>
            </w:r>
            <w:r w:rsidR="007C33F3">
              <w:t>Ballinger</w:t>
            </w:r>
            <w:r>
              <w:t>)</w:t>
            </w:r>
            <w:r w:rsidR="0098266E">
              <w:t xml:space="preserve">  </w:t>
            </w:r>
            <w:r w:rsidR="0098266E">
              <w:rPr>
                <w:rFonts w:ascii="Freestyle Script" w:hAnsi="Freestyle Script"/>
                <w:b/>
                <w:color w:val="365F91" w:themeColor="accent1" w:themeShade="BF"/>
                <w:sz w:val="28"/>
                <w:szCs w:val="28"/>
              </w:rPr>
              <w:t>TB</w:t>
            </w:r>
          </w:p>
          <w:p w14:paraId="68F92A78" w14:textId="199DABC6" w:rsidR="007C0528" w:rsidRPr="0098266E" w:rsidRDefault="00661958">
            <w:pPr>
              <w:pStyle w:val="MemoHeading"/>
              <w:rPr>
                <w:rFonts w:ascii="Freestyle Script" w:hAnsi="Freestyle Script"/>
                <w:b/>
                <w:color w:val="365F91" w:themeColor="accent1" w:themeShade="BF"/>
                <w:sz w:val="28"/>
                <w:szCs w:val="28"/>
              </w:rPr>
            </w:pPr>
            <w:r>
              <w:t>Office of the General Counsel (</w:t>
            </w:r>
            <w:r w:rsidR="00F30C3B">
              <w:t xml:space="preserve">Crawford, </w:t>
            </w:r>
            <w:r>
              <w:t>Stiller, Thompson)</w:t>
            </w:r>
            <w:bookmarkEnd w:id="2"/>
            <w:r w:rsidR="0098266E">
              <w:t xml:space="preserve">  </w:t>
            </w:r>
            <w:r w:rsidR="0098266E">
              <w:rPr>
                <w:rFonts w:ascii="Freestyle Script" w:hAnsi="Freestyle Script"/>
                <w:b/>
                <w:color w:val="365F91" w:themeColor="accent1" w:themeShade="BF"/>
                <w:sz w:val="28"/>
                <w:szCs w:val="28"/>
              </w:rPr>
              <w:t>JSC</w:t>
            </w:r>
          </w:p>
        </w:tc>
      </w:tr>
      <w:tr w:rsidR="007C0528" w14:paraId="6337CA05" w14:textId="77777777">
        <w:tc>
          <w:tcPr>
            <w:tcW w:w="1254" w:type="dxa"/>
            <w:tcBorders>
              <w:top w:val="nil"/>
              <w:left w:val="nil"/>
              <w:bottom w:val="nil"/>
              <w:right w:val="nil"/>
            </w:tcBorders>
            <w:shd w:val="clear" w:color="auto" w:fill="auto"/>
            <w:tcMar>
              <w:top w:w="288" w:type="dxa"/>
              <w:right w:w="0" w:type="dxa"/>
            </w:tcMar>
          </w:tcPr>
          <w:p w14:paraId="406A39C9"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637BC18" w14:textId="77777777" w:rsidR="007C0528" w:rsidRDefault="00661958">
            <w:pPr>
              <w:pStyle w:val="MemoHeadingRe"/>
            </w:pPr>
            <w:bookmarkStart w:id="3" w:name="Re"/>
            <w:r>
              <w:t>Docket No. 20240025-EI – Petition for rate increase by Duke Energy Florida, LLC.</w:t>
            </w:r>
            <w:bookmarkEnd w:id="3"/>
          </w:p>
        </w:tc>
      </w:tr>
      <w:tr w:rsidR="007C0528" w14:paraId="0F9C9B92" w14:textId="77777777">
        <w:tc>
          <w:tcPr>
            <w:tcW w:w="1254" w:type="dxa"/>
            <w:tcBorders>
              <w:top w:val="nil"/>
              <w:left w:val="nil"/>
              <w:bottom w:val="nil"/>
              <w:right w:val="nil"/>
            </w:tcBorders>
            <w:shd w:val="clear" w:color="auto" w:fill="auto"/>
            <w:tcMar>
              <w:top w:w="288" w:type="dxa"/>
              <w:bottom w:w="0" w:type="dxa"/>
              <w:right w:w="0" w:type="dxa"/>
            </w:tcMar>
          </w:tcPr>
          <w:p w14:paraId="6E4E11D5"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40F076C" w14:textId="77777777" w:rsidR="007C0528" w:rsidRDefault="00661958">
            <w:pPr>
              <w:pStyle w:val="MemoHeading"/>
            </w:pPr>
            <w:bookmarkStart w:id="4" w:name="AgendaDate"/>
            <w:r>
              <w:t>05/21/24</w:t>
            </w:r>
            <w:bookmarkEnd w:id="4"/>
            <w:r w:rsidR="007C0528">
              <w:t xml:space="preserve"> – </w:t>
            </w:r>
            <w:bookmarkStart w:id="5" w:name="PermittedStatus"/>
            <w:r>
              <w:t xml:space="preserve">Special Agenda – Motion for Reconsideration – Oral Argument Requested; </w:t>
            </w:r>
            <w:bookmarkEnd w:id="5"/>
            <w:r>
              <w:t>Participation is at the Discretion of the Commission</w:t>
            </w:r>
          </w:p>
        </w:tc>
      </w:tr>
      <w:tr w:rsidR="007C0528" w14:paraId="31634C40" w14:textId="77777777">
        <w:tc>
          <w:tcPr>
            <w:tcW w:w="3690" w:type="dxa"/>
            <w:gridSpan w:val="3"/>
            <w:tcBorders>
              <w:top w:val="nil"/>
              <w:left w:val="nil"/>
              <w:bottom w:val="nil"/>
              <w:right w:val="nil"/>
            </w:tcBorders>
            <w:shd w:val="clear" w:color="auto" w:fill="auto"/>
            <w:tcMar>
              <w:top w:w="288" w:type="dxa"/>
              <w:bottom w:w="0" w:type="dxa"/>
              <w:right w:w="0" w:type="dxa"/>
            </w:tcMar>
          </w:tcPr>
          <w:p w14:paraId="0608E1A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DC533DC" w14:textId="77777777" w:rsidR="007C0528" w:rsidRDefault="00661958">
            <w:pPr>
              <w:pStyle w:val="MemoHeading"/>
            </w:pPr>
            <w:bookmarkStart w:id="6" w:name="CommissionersAssigned"/>
            <w:r>
              <w:t>All Commissioners</w:t>
            </w:r>
            <w:bookmarkEnd w:id="6"/>
          </w:p>
        </w:tc>
      </w:tr>
      <w:tr w:rsidR="007C0528" w14:paraId="1066FD8D" w14:textId="77777777">
        <w:tc>
          <w:tcPr>
            <w:tcW w:w="3690" w:type="dxa"/>
            <w:gridSpan w:val="3"/>
            <w:tcBorders>
              <w:top w:val="nil"/>
              <w:left w:val="nil"/>
              <w:bottom w:val="nil"/>
              <w:right w:val="nil"/>
            </w:tcBorders>
            <w:shd w:val="clear" w:color="auto" w:fill="auto"/>
            <w:tcMar>
              <w:top w:w="288" w:type="dxa"/>
              <w:bottom w:w="0" w:type="dxa"/>
              <w:right w:w="0" w:type="dxa"/>
            </w:tcMar>
          </w:tcPr>
          <w:p w14:paraId="4970F81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DEB213E" w14:textId="77777777" w:rsidR="007C0528" w:rsidRDefault="00661958">
            <w:pPr>
              <w:pStyle w:val="MemoHeading"/>
            </w:pPr>
            <w:bookmarkStart w:id="7" w:name="PrehearingOfficer"/>
            <w:r>
              <w:t>Passidomo</w:t>
            </w:r>
            <w:bookmarkEnd w:id="7"/>
          </w:p>
        </w:tc>
      </w:tr>
      <w:tr w:rsidR="007C0528" w14:paraId="6D6AC97E"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A19BC4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858B028" w14:textId="77777777" w:rsidR="007C0528" w:rsidRDefault="00661958">
            <w:pPr>
              <w:pStyle w:val="MemoHeading"/>
            </w:pPr>
            <w:bookmarkStart w:id="9" w:name="CriticalDates"/>
            <w:r>
              <w:t>None</w:t>
            </w:r>
            <w:bookmarkEnd w:id="9"/>
          </w:p>
        </w:tc>
      </w:tr>
      <w:tr w:rsidR="007C0528" w14:paraId="3195F05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4C0D43F"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49B36E6" w14:textId="77777777" w:rsidR="007C0528" w:rsidRDefault="00661958">
            <w:pPr>
              <w:pStyle w:val="MemoHeading"/>
            </w:pPr>
            <w:bookmarkStart w:id="10" w:name="SpecialInstructions"/>
            <w:r>
              <w:t>None</w:t>
            </w:r>
            <w:bookmarkEnd w:id="10"/>
          </w:p>
        </w:tc>
      </w:tr>
    </w:tbl>
    <w:p w14:paraId="603325AE" w14:textId="77777777" w:rsidR="007C0528" w:rsidRDefault="007C0528">
      <w:pPr>
        <w:pStyle w:val="BodyText"/>
      </w:pPr>
    </w:p>
    <w:p w14:paraId="253974C1"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2840E336" w14:textId="57FFF2B8" w:rsidR="00661958" w:rsidRDefault="00661958" w:rsidP="00661958">
      <w:pPr>
        <w:pStyle w:val="BodyText"/>
      </w:pPr>
      <w:r>
        <w:t>Duke Energy Florida, LLC (D</w:t>
      </w:r>
      <w:r w:rsidR="002A5A20">
        <w:t>EF</w:t>
      </w:r>
      <w:r>
        <w:t xml:space="preserve"> or Utility) provides electric service to approximately 2 million customers across the state. D</w:t>
      </w:r>
      <w:r w:rsidR="002A5A20">
        <w:t>EF</w:t>
      </w:r>
      <w:r>
        <w:t xml:space="preserve"> filed its Petition for Rate Increase, minimum filing requirements (MFRs), and testimony on April 2, 2024. D</w:t>
      </w:r>
      <w:r w:rsidR="002A5A20">
        <w:t>EF</w:t>
      </w:r>
      <w:r>
        <w:t xml:space="preserve"> filed its MFRs based on three projected test years, from January 1 to December 31, 2025; January 1 to December 31, 2026; and January 1 to December 31, 2027. </w:t>
      </w:r>
    </w:p>
    <w:p w14:paraId="5C5952F3" w14:textId="46E3F524" w:rsidR="00661958" w:rsidRDefault="00661958" w:rsidP="00661958">
      <w:pPr>
        <w:pStyle w:val="BodyText"/>
      </w:pPr>
      <w:r>
        <w:t xml:space="preserve">OPC’s intervention in this docket was acknowledged by Order No. PSC-2024-0041-PCO-EI, issued February 26, 2024. </w:t>
      </w:r>
      <w:r w:rsidR="00894580">
        <w:t>On April 19, 2024, i</w:t>
      </w:r>
      <w:r>
        <w:t xml:space="preserve">ntervention in this proceeding </w:t>
      </w:r>
      <w:r w:rsidR="00894580">
        <w:t>w</w:t>
      </w:r>
      <w:r>
        <w:t xml:space="preserve">as granted to Florida Rising and the League of United Latin American Citizens of Florida (LULAC); Florida Industrial Power Users Group (FIPUG); Florida Retail Federation (FRF); </w:t>
      </w:r>
      <w:r w:rsidR="00894580">
        <w:t xml:space="preserve">and </w:t>
      </w:r>
      <w:r>
        <w:t>Sierra Club</w:t>
      </w:r>
      <w:r w:rsidR="00894580">
        <w:t xml:space="preserve">. On </w:t>
      </w:r>
      <w:r w:rsidR="00894580">
        <w:lastRenderedPageBreak/>
        <w:t>April 24, 2024, intervention was granted to</w:t>
      </w:r>
      <w:r>
        <w:t xml:space="preserve"> White Springs Agricultural Chemicals, Inc. d/b/a PCS Phosphate - White Springs (PCS Phosphate); and Nucor Steel Florida, Inc. (Nucor). Petitions for Intervention are pending for Southern Alliance for Clean Energy (SACE) and Americans for Affordable Clean Energy, Inc.</w:t>
      </w:r>
      <w:r w:rsidR="00F30C3B">
        <w:t>;</w:t>
      </w:r>
      <w:r>
        <w:t xml:space="preserve"> Circle K Stores, Inc.</w:t>
      </w:r>
      <w:r w:rsidR="00F30C3B">
        <w:t>;</w:t>
      </w:r>
      <w:r>
        <w:t xml:space="preserve"> RaceTrac Inc.</w:t>
      </w:r>
      <w:r w:rsidR="00F30C3B">
        <w:t>;</w:t>
      </w:r>
      <w:r>
        <w:t xml:space="preserve"> and Wawa, Inc. (Fuel Retailers)</w:t>
      </w:r>
      <w:r w:rsidR="00E91B85">
        <w:t xml:space="preserve"> as of the date of filing of this recommendation</w:t>
      </w:r>
      <w:r>
        <w:t>.</w:t>
      </w:r>
    </w:p>
    <w:p w14:paraId="69D0274A" w14:textId="17182B3F" w:rsidR="00661958" w:rsidRDefault="00661958" w:rsidP="00661958">
      <w:pPr>
        <w:jc w:val="both"/>
      </w:pPr>
      <w:r>
        <w:t>On March 8, 2024, OPC filed a Motion for Expedited Joint Docket Scheduling Conference, together with a</w:t>
      </w:r>
      <w:r w:rsidR="00F30C3B">
        <w:t>n</w:t>
      </w:r>
      <w:r>
        <w:t xml:space="preserve"> April 3, 2024 supplement to that motion, by which OPC requested a conference “to consider fair and equitable key activities and hearing dates, consistent with due process.” </w:t>
      </w:r>
      <w:r w:rsidR="002A5A20">
        <w:t xml:space="preserve">DEF </w:t>
      </w:r>
      <w:r>
        <w:t xml:space="preserve">responded in opposition on April 3, 2024, stating that OPC’s proposed schedule does not provide adequate time for post-hearing proceedings. OPC’s request for a scheduling conference was denied as its motion set forth in detail OPC’s arguments and proposed controlling dates. Having considered the parties’ proposals, </w:t>
      </w:r>
      <w:r w:rsidR="00EC071F">
        <w:t xml:space="preserve">the </w:t>
      </w:r>
      <w:r>
        <w:t>Order Establishing Procedure (OEP) No. PSC-2024-0092-PCO-EI, issued April 11, 2024, established controlling dates and procedures for this proceeding, including for the filing of prefiled testimony and exhibits, conducting discovery, and other prehearing and hearing activities.</w:t>
      </w:r>
      <w:r w:rsidR="00FB6A1B">
        <w:t xml:space="preserve"> Included among these events was the requirement that, in advance of the hearing, parties provide electronic copies of all exhibits they intend to offer into evidence at </w:t>
      </w:r>
      <w:r w:rsidR="00306B6A">
        <w:t>t</w:t>
      </w:r>
      <w:r w:rsidR="00FB6A1B">
        <w:t>he hearing.</w:t>
      </w:r>
      <w:r>
        <w:t xml:space="preserve"> </w:t>
      </w:r>
      <w:r w:rsidR="00FB6A1B">
        <w:t>Finally, t</w:t>
      </w:r>
      <w:r>
        <w:t>he OEP scheduled these matters for an administrative hearing for August 12–16, 2024, with August 19–23, 2024, reserved for the continuation and conclusion of this hearing, if necessary.</w:t>
      </w:r>
    </w:p>
    <w:p w14:paraId="71803B1D" w14:textId="77777777" w:rsidR="00661958" w:rsidRDefault="00661958" w:rsidP="00661958">
      <w:pPr>
        <w:jc w:val="both"/>
      </w:pPr>
    </w:p>
    <w:p w14:paraId="5F68C3B1" w14:textId="5479D32B" w:rsidR="00661958" w:rsidRPr="000A2CDC" w:rsidRDefault="00661958" w:rsidP="00661958">
      <w:pPr>
        <w:jc w:val="both"/>
      </w:pPr>
      <w:r>
        <w:t xml:space="preserve">On April 22, 2024, OPC timely filed a Motion for Reconsideration or, in the Alternative, Motion for Continuance (OPC Motion), concurrently with a request for oral argument on its Motion. </w:t>
      </w:r>
      <w:r w:rsidRPr="000A2CDC">
        <w:t xml:space="preserve">OPC’s Motion was filed with respect to this docket as well as Docket No. 20240026-EI, </w:t>
      </w:r>
      <w:r w:rsidRPr="000A2CDC">
        <w:rPr>
          <w:i/>
        </w:rPr>
        <w:t>In re: Petition for rate increase by Tampa Electric Company.</w:t>
      </w:r>
      <w:r w:rsidRPr="000A2CDC">
        <w:t xml:space="preserve"> As these dockets are not consolidated, a separate recommendation will be filed with respect to </w:t>
      </w:r>
      <w:r>
        <w:t xml:space="preserve">the Tampa Electric Company (TECO) rate case, in </w:t>
      </w:r>
      <w:r w:rsidRPr="000A2CDC">
        <w:t>Docket No. 20240026-EI</w:t>
      </w:r>
      <w:r>
        <w:t xml:space="preserve">. In its Motion, OPC argues that the “severely compressed” hearing schedule established by the OEP does not allow sufficient time for the intervenors to prepare testimony and doesn’t account for the workload created by </w:t>
      </w:r>
      <w:r w:rsidR="002A5A20">
        <w:t xml:space="preserve">DEF </w:t>
      </w:r>
      <w:r>
        <w:t xml:space="preserve">requesting three projected test years, and that scheduling the </w:t>
      </w:r>
      <w:r w:rsidR="002A5A20">
        <w:t xml:space="preserve">DEF </w:t>
      </w:r>
      <w:r>
        <w:t xml:space="preserve">and TECO hearings within three weeks of each other unfairly prejudices OPC’s ability to represent the customers of </w:t>
      </w:r>
      <w:r w:rsidR="002A5A20">
        <w:t xml:space="preserve">DEF </w:t>
      </w:r>
      <w:r>
        <w:t xml:space="preserve">and TECO. OPC contends that </w:t>
      </w:r>
      <w:r w:rsidR="002A5A20">
        <w:t xml:space="preserve">DEF </w:t>
      </w:r>
      <w:r>
        <w:t xml:space="preserve">is not entitled to have its rates go into effect on January 1, 2025, and the certainty that OPC does not have enough time to prepare its case for the TECO and </w:t>
      </w:r>
      <w:r w:rsidR="002A5A20">
        <w:t xml:space="preserve">DEF </w:t>
      </w:r>
      <w:r>
        <w:t>hearings outweighs the possibility that the statutory timeline may need to be delayed.</w:t>
      </w:r>
    </w:p>
    <w:p w14:paraId="51283664" w14:textId="77777777" w:rsidR="00661958" w:rsidRDefault="00661958" w:rsidP="00661958">
      <w:r>
        <w:tab/>
      </w:r>
    </w:p>
    <w:p w14:paraId="0EBB730C" w14:textId="77777777" w:rsidR="00661958" w:rsidRDefault="00661958" w:rsidP="00661958">
      <w:pPr>
        <w:jc w:val="both"/>
      </w:pPr>
      <w:r>
        <w:t>Joinders to OPC’s Motion were filed by LULAC (April 22), PCS Phosphate (April 23), Sierra Club (April 24), and FRF (April 29), contending that the time afforded for the intervenors to conduct discovery and prepare their case is unfairly curtailed, especially given the magnitude of the requested increase and the complexity of the issues presented.</w:t>
      </w:r>
    </w:p>
    <w:p w14:paraId="4839493C" w14:textId="77777777" w:rsidR="00661958" w:rsidRDefault="00661958" w:rsidP="00661958">
      <w:pPr>
        <w:ind w:firstLine="720"/>
        <w:jc w:val="both"/>
      </w:pPr>
    </w:p>
    <w:p w14:paraId="58BB4D46" w14:textId="5109DE6B" w:rsidR="00661958" w:rsidRDefault="00661958" w:rsidP="00661958">
      <w:pPr>
        <w:jc w:val="both"/>
      </w:pPr>
      <w:r>
        <w:t xml:space="preserve">On April 29, 2024, </w:t>
      </w:r>
      <w:r w:rsidR="002A5A20">
        <w:t xml:space="preserve">DEF </w:t>
      </w:r>
      <w:r>
        <w:t xml:space="preserve">filed a Response </w:t>
      </w:r>
      <w:r w:rsidR="00F30C3B">
        <w:t xml:space="preserve">in </w:t>
      </w:r>
      <w:r>
        <w:t xml:space="preserve">Opposition (Response) to OPC’s Motion and OPC’s request for oral argument. </w:t>
      </w:r>
      <w:r w:rsidR="002A5A20">
        <w:t xml:space="preserve">DEF </w:t>
      </w:r>
      <w:r>
        <w:t>contends that OPC’s arguments essentially say the same thing</w:t>
      </w:r>
      <w:r w:rsidR="00EC071F">
        <w:t xml:space="preserve"> as OPC’s initial March 8, 2024 Motion for Expedited Joint Docket Scheduling Conference</w:t>
      </w:r>
      <w:r>
        <w:t xml:space="preserve">: that OPC believes it does not have adequate time to prepare its case. </w:t>
      </w:r>
      <w:r w:rsidR="002A5A20">
        <w:t xml:space="preserve">DEF </w:t>
      </w:r>
      <w:r>
        <w:t xml:space="preserve">contends that OPC has not identified any new information that would justify reconsideration of the OEP; therefore, OPC’s Motion should be denied. </w:t>
      </w:r>
    </w:p>
    <w:p w14:paraId="528ED444" w14:textId="25AEAC75" w:rsidR="0068481F" w:rsidRDefault="00661958" w:rsidP="00661958">
      <w:pPr>
        <w:pStyle w:val="BodyText"/>
      </w:pPr>
      <w:r w:rsidRPr="00D36DC8">
        <w:lastRenderedPageBreak/>
        <w:t>This recommendation addresses OPC’s Request for Oral Argument and Moti</w:t>
      </w:r>
      <w:r>
        <w:t xml:space="preserve">on for Reconsideration, and the joinders and Response </w:t>
      </w:r>
      <w:r w:rsidRPr="00D36DC8">
        <w:t>thereto. The Commission has jurisdiction over this matter pursuant to Chapter 36</w:t>
      </w:r>
      <w:r>
        <w:t>6</w:t>
      </w:r>
      <w:r w:rsidRPr="00D36DC8">
        <w:t xml:space="preserve">, </w:t>
      </w:r>
      <w:r w:rsidR="00894580">
        <w:t>Florida Statutes (</w:t>
      </w:r>
      <w:r w:rsidRPr="00D36DC8">
        <w:t>F.S.</w:t>
      </w:r>
      <w:r w:rsidR="00894580">
        <w:t>)</w:t>
      </w:r>
      <w:r w:rsidRPr="00D36DC8">
        <w:t>, including Section 36</w:t>
      </w:r>
      <w:r>
        <w:t>6</w:t>
      </w:r>
      <w:r w:rsidRPr="00D36DC8">
        <w:t>.</w:t>
      </w:r>
      <w:r>
        <w:t>06</w:t>
      </w:r>
      <w:r w:rsidRPr="00D36DC8">
        <w:t>, F.S.</w:t>
      </w:r>
    </w:p>
    <w:p w14:paraId="4C722937" w14:textId="77777777" w:rsidR="007C0528" w:rsidRDefault="007C0528" w:rsidP="0068481F"/>
    <w:bookmarkEnd w:id="12"/>
    <w:p w14:paraId="52A40E21"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7ABED815" w14:textId="6B6C255F" w:rsidR="007C0528" w:rsidRDefault="007C0528">
      <w:pPr>
        <w:pStyle w:val="RecommendationMajorSectionHeading"/>
      </w:pPr>
      <w:bookmarkStart w:id="16" w:name="DiscussionOfIssues"/>
      <w:r>
        <w:lastRenderedPageBreak/>
        <w:t>Discussion of Issues</w:t>
      </w:r>
    </w:p>
    <w:bookmarkEnd w:id="16"/>
    <w:p w14:paraId="0674A481" w14:textId="77777777" w:rsidR="00661958" w:rsidRDefault="00661958">
      <w:pPr>
        <w:pStyle w:val="IssueHeading"/>
        <w:rPr>
          <w:vanish/>
          <w:specVanish/>
        </w:rPr>
      </w:pPr>
      <w:r w:rsidRPr="004C3641">
        <w:t xml:space="preserve">Issue </w:t>
      </w:r>
      <w:r w:rsidR="00F45BC6">
        <w:fldChar w:fldCharType="begin"/>
      </w:r>
      <w:r w:rsidR="00F45BC6">
        <w:instrText xml:space="preserve"> SEQ Issue \* MERGEFORMAT </w:instrText>
      </w:r>
      <w:r w:rsidR="00F45BC6">
        <w:fldChar w:fldCharType="separate"/>
      </w:r>
      <w:r>
        <w:rPr>
          <w:noProof/>
        </w:rPr>
        <w:t>1</w:t>
      </w:r>
      <w:r w:rsidR="00F45BC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43D79A8A" w14:textId="77777777" w:rsidR="00661958" w:rsidRDefault="00661958">
      <w:pPr>
        <w:pStyle w:val="BodyText"/>
      </w:pPr>
      <w:r>
        <w:t> </w:t>
      </w:r>
      <w:r w:rsidRPr="0015268F">
        <w:t>Should OPC’s Request for Oral Argument on its Motion for Reconsideration of Order No. PSC-202</w:t>
      </w:r>
      <w:r>
        <w:t>4</w:t>
      </w:r>
      <w:r w:rsidRPr="0015268F">
        <w:t>-</w:t>
      </w:r>
      <w:r>
        <w:t>0092</w:t>
      </w:r>
      <w:r w:rsidRPr="0015268F">
        <w:t>-PCO-</w:t>
      </w:r>
      <w:r>
        <w:t>EI</w:t>
      </w:r>
      <w:r w:rsidRPr="0015268F">
        <w:t xml:space="preserve"> be granted?</w:t>
      </w:r>
    </w:p>
    <w:p w14:paraId="41508A62" w14:textId="77777777" w:rsidR="00661958" w:rsidRPr="004C3641" w:rsidRDefault="00661958">
      <w:pPr>
        <w:pStyle w:val="IssueSubsectionHeading"/>
        <w:rPr>
          <w:vanish/>
          <w:specVanish/>
        </w:rPr>
      </w:pPr>
      <w:r w:rsidRPr="004C3641">
        <w:t>Recommendation: </w:t>
      </w:r>
    </w:p>
    <w:p w14:paraId="49D99ACE" w14:textId="17353F04" w:rsidR="00661958" w:rsidRDefault="00661958">
      <w:pPr>
        <w:pStyle w:val="BodyText"/>
      </w:pPr>
      <w:r>
        <w:t> No</w:t>
      </w:r>
      <w:r w:rsidRPr="00145B3A">
        <w:t xml:space="preserve">. </w:t>
      </w:r>
      <w:r>
        <w:t>S</w:t>
      </w:r>
      <w:r w:rsidRPr="00145B3A">
        <w:t xml:space="preserve">taff believes that </w:t>
      </w:r>
      <w:r>
        <w:t>the</w:t>
      </w:r>
      <w:r w:rsidRPr="00145B3A">
        <w:t xml:space="preserve"> pleadings are sufficient on their face for the Co</w:t>
      </w:r>
      <w:r>
        <w:t>mmission to evaluate and rule on the</w:t>
      </w:r>
      <w:r w:rsidRPr="00145B3A">
        <w:t xml:space="preserve"> Motion</w:t>
      </w:r>
      <w:r>
        <w:t xml:space="preserve">. However, </w:t>
      </w:r>
      <w:r w:rsidRPr="00145B3A">
        <w:t>if the Commission</w:t>
      </w:r>
      <w:r>
        <w:t xml:space="preserve"> wants to exercise its discretion </w:t>
      </w:r>
      <w:r w:rsidRPr="00145B3A">
        <w:t xml:space="preserve">to hear oral argument, staff recommends </w:t>
      </w:r>
      <w:r>
        <w:t>that 5</w:t>
      </w:r>
      <w:r w:rsidRPr="00145B3A">
        <w:t xml:space="preserve"> minutes per </w:t>
      </w:r>
      <w:r w:rsidR="00FB6A1B">
        <w:t>side</w:t>
      </w:r>
      <w:r w:rsidRPr="00145B3A">
        <w:t xml:space="preserve"> </w:t>
      </w:r>
      <w:r>
        <w:t>i</w:t>
      </w:r>
      <w:r w:rsidRPr="00145B3A">
        <w:t>s sufficient.</w:t>
      </w:r>
      <w:r>
        <w:t xml:space="preserve"> (Crawford) </w:t>
      </w:r>
    </w:p>
    <w:p w14:paraId="3C14BC6F" w14:textId="77777777" w:rsidR="00661958" w:rsidRPr="004C3641" w:rsidRDefault="00661958">
      <w:pPr>
        <w:pStyle w:val="IssueSubsectionHeading"/>
        <w:rPr>
          <w:vanish/>
          <w:specVanish/>
        </w:rPr>
      </w:pPr>
      <w:r w:rsidRPr="004C3641">
        <w:t>Staff Analysis: </w:t>
      </w:r>
    </w:p>
    <w:p w14:paraId="028DC1E0" w14:textId="77777777" w:rsidR="00661958" w:rsidRDefault="00661958" w:rsidP="00661958">
      <w:pPr>
        <w:pStyle w:val="BodyText"/>
      </w:pPr>
      <w:r>
        <w:t> </w:t>
      </w:r>
    </w:p>
    <w:p w14:paraId="13534FCC" w14:textId="77777777" w:rsidR="00661958" w:rsidRPr="0015268F" w:rsidRDefault="00661958" w:rsidP="00661958">
      <w:pPr>
        <w:pStyle w:val="BodyText"/>
        <w:rPr>
          <w:u w:val="single"/>
        </w:rPr>
      </w:pPr>
      <w:r w:rsidRPr="0015268F">
        <w:rPr>
          <w:u w:val="single"/>
        </w:rPr>
        <w:t>Law</w:t>
      </w:r>
    </w:p>
    <w:p w14:paraId="7E28F909" w14:textId="77777777" w:rsidR="00661958" w:rsidRDefault="00661958" w:rsidP="00661958">
      <w:pPr>
        <w:pStyle w:val="BodyText"/>
      </w:pPr>
      <w:r>
        <w:t xml:space="preserve">Rule 25-22.0022(1), </w:t>
      </w:r>
      <w:r w:rsidR="00F30C3B">
        <w:t>Florida Administrative Code (</w:t>
      </w:r>
      <w:r>
        <w:t>F.A.C.</w:t>
      </w:r>
      <w:r w:rsidR="00F30C3B">
        <w:t>)</w:t>
      </w:r>
      <w:r>
        <w:t>, allows a party to request oral argument before the Commission for any dispositive motion (such as motions for reconsideration) by filing a separate written pleading filed concurrently with the motion on which argument is requested, and stating with particularity why oral argument would aid the Commission. Granting or denying oral argument is within the sole discretion of the Commission under Rule 25-22.0022(3), F.A.C.</w:t>
      </w:r>
    </w:p>
    <w:p w14:paraId="04E6BA65" w14:textId="77777777" w:rsidR="00661958" w:rsidRPr="0015268F" w:rsidRDefault="00661958" w:rsidP="00661958">
      <w:pPr>
        <w:pStyle w:val="BodyText"/>
        <w:rPr>
          <w:u w:val="single"/>
        </w:rPr>
      </w:pPr>
      <w:r w:rsidRPr="0015268F">
        <w:rPr>
          <w:u w:val="single"/>
        </w:rPr>
        <w:t>OPC’s Position</w:t>
      </w:r>
    </w:p>
    <w:p w14:paraId="22896C5E" w14:textId="77777777" w:rsidR="00661958" w:rsidRDefault="00661958" w:rsidP="00661958">
      <w:pPr>
        <w:pStyle w:val="BodyText"/>
      </w:pPr>
      <w:r>
        <w:t>OPC requests the opportunity to provide 15 minutes of oral argument on the Motion to further elaborate on its arguments and to aid the Commissioners in understanding and evaluating the issues it raises as well as answer any questions.</w:t>
      </w:r>
    </w:p>
    <w:p w14:paraId="0D0F040E" w14:textId="7C3C7FCA" w:rsidR="00661958" w:rsidRPr="0015268F" w:rsidRDefault="002A5A20" w:rsidP="00661958">
      <w:pPr>
        <w:pStyle w:val="BodyText"/>
        <w:rPr>
          <w:u w:val="single"/>
        </w:rPr>
      </w:pPr>
      <w:r>
        <w:rPr>
          <w:u w:val="single"/>
        </w:rPr>
        <w:t>DEF</w:t>
      </w:r>
      <w:r w:rsidRPr="0015268F">
        <w:rPr>
          <w:u w:val="single"/>
        </w:rPr>
        <w:t xml:space="preserve">’s </w:t>
      </w:r>
      <w:r w:rsidR="00661958" w:rsidRPr="0015268F">
        <w:rPr>
          <w:u w:val="single"/>
        </w:rPr>
        <w:t>Position</w:t>
      </w:r>
    </w:p>
    <w:p w14:paraId="141B3F84" w14:textId="59065AB9" w:rsidR="00661958" w:rsidRDefault="00661958" w:rsidP="00661958">
      <w:pPr>
        <w:pStyle w:val="BodyText"/>
      </w:pPr>
      <w:r>
        <w:t xml:space="preserve">In its Response, </w:t>
      </w:r>
      <w:r w:rsidR="002A5A20">
        <w:t xml:space="preserve">DEF </w:t>
      </w:r>
      <w:r>
        <w:t xml:space="preserve">argues that oral argument isn’t necessary, as the Commission can make its decision based on the written filings. However, if oral argument is permitted, </w:t>
      </w:r>
      <w:r w:rsidR="002A5A20">
        <w:t xml:space="preserve">DEF </w:t>
      </w:r>
      <w:r>
        <w:t>will participate.</w:t>
      </w:r>
    </w:p>
    <w:p w14:paraId="746067CB" w14:textId="77777777" w:rsidR="00661958" w:rsidRPr="0015268F" w:rsidRDefault="00661958" w:rsidP="00661958">
      <w:pPr>
        <w:pStyle w:val="BodyText"/>
        <w:rPr>
          <w:u w:val="single"/>
        </w:rPr>
      </w:pPr>
      <w:r w:rsidRPr="0015268F">
        <w:rPr>
          <w:u w:val="single"/>
        </w:rPr>
        <w:t>Conclusion</w:t>
      </w:r>
    </w:p>
    <w:p w14:paraId="317AC378" w14:textId="63D34EDC" w:rsidR="00661958" w:rsidRDefault="00661958" w:rsidP="00661958">
      <w:pPr>
        <w:pStyle w:val="BodyText"/>
      </w:pPr>
      <w:r>
        <w:t xml:space="preserve">Granting or denying oral argument is within the sole discretion of the Commission. Staff believes that the pleadings are sufficient on their face for the Commission to evaluate and decide OPC’s Motion. However, if the Commission wants to exercise its discretion to hear oral argument, staff recommends 5 minutes per </w:t>
      </w:r>
      <w:r w:rsidR="00FB6A1B">
        <w:t>side</w:t>
      </w:r>
      <w:r>
        <w:t xml:space="preserve"> </w:t>
      </w:r>
      <w:r w:rsidR="00EC071F">
        <w:t>i</w:t>
      </w:r>
      <w:r>
        <w:t>s sufficient.</w:t>
      </w:r>
    </w:p>
    <w:p w14:paraId="4DA99BA6" w14:textId="77777777" w:rsidR="00661958" w:rsidRDefault="00661958">
      <w:pPr>
        <w:pStyle w:val="IssueHeading"/>
        <w:rPr>
          <w:vanish/>
          <w:specVanish/>
        </w:rPr>
      </w:pPr>
      <w:r w:rsidRPr="004C3641">
        <w:rPr>
          <w:b w:val="0"/>
          <w:i w:val="0"/>
        </w:rPr>
        <w:br w:type="page"/>
      </w:r>
      <w:r w:rsidRPr="004C3641">
        <w:lastRenderedPageBreak/>
        <w:t xml:space="preserve">Issue </w:t>
      </w:r>
      <w:r w:rsidR="00F45BC6">
        <w:fldChar w:fldCharType="begin"/>
      </w:r>
      <w:r w:rsidR="00F45BC6">
        <w:instrText xml:space="preserve"> SEQ Issue \* MERGEFORMAT </w:instrText>
      </w:r>
      <w:r w:rsidR="00F45BC6">
        <w:fldChar w:fldCharType="separate"/>
      </w:r>
      <w:r>
        <w:rPr>
          <w:noProof/>
        </w:rPr>
        <w:t>2</w:t>
      </w:r>
      <w:r w:rsidR="00F45BC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7EC50CF6" w14:textId="77777777" w:rsidR="00661958" w:rsidRDefault="00661958">
      <w:pPr>
        <w:pStyle w:val="BodyText"/>
      </w:pPr>
      <w:r>
        <w:t> </w:t>
      </w:r>
      <w:r w:rsidRPr="00130AD7">
        <w:t>Should Reconsideration of Order No. PSC-202</w:t>
      </w:r>
      <w:r>
        <w:t>4</w:t>
      </w:r>
      <w:r w:rsidRPr="00130AD7">
        <w:t>-</w:t>
      </w:r>
      <w:r>
        <w:t>0092</w:t>
      </w:r>
      <w:r w:rsidRPr="00130AD7">
        <w:t>-PCO-</w:t>
      </w:r>
      <w:r>
        <w:t>EI or a continuance of this proceeding</w:t>
      </w:r>
      <w:r w:rsidRPr="00130AD7">
        <w:t xml:space="preserve"> be granted?</w:t>
      </w:r>
    </w:p>
    <w:p w14:paraId="688F3B84" w14:textId="77777777" w:rsidR="00661958" w:rsidRPr="004C3641" w:rsidRDefault="00661958">
      <w:pPr>
        <w:pStyle w:val="IssueSubsectionHeading"/>
        <w:rPr>
          <w:vanish/>
          <w:specVanish/>
        </w:rPr>
      </w:pPr>
      <w:r w:rsidRPr="004C3641">
        <w:t>Recommendation: </w:t>
      </w:r>
    </w:p>
    <w:p w14:paraId="59EB246C" w14:textId="4ED8A036" w:rsidR="00661958" w:rsidRDefault="00661958">
      <w:pPr>
        <w:pStyle w:val="BodyText"/>
      </w:pPr>
      <w:r>
        <w:t> No. Reconsideration should</w:t>
      </w:r>
      <w:r w:rsidRPr="00130AD7">
        <w:t xml:space="preserve"> be denied because </w:t>
      </w:r>
      <w:r>
        <w:t xml:space="preserve">the request for reconsideration </w:t>
      </w:r>
      <w:r w:rsidRPr="00130AD7">
        <w:t>fail</w:t>
      </w:r>
      <w:r>
        <w:t>s</w:t>
      </w:r>
      <w:r w:rsidRPr="00130AD7">
        <w:t xml:space="preserve"> to raise a point of fact or law that the </w:t>
      </w:r>
      <w:r>
        <w:t>Prehearing Officer</w:t>
      </w:r>
      <w:r w:rsidRPr="00130AD7">
        <w:t xml:space="preserve"> overlooked or failed to consider in rendering </w:t>
      </w:r>
      <w:r>
        <w:t>their</w:t>
      </w:r>
      <w:r w:rsidRPr="00130AD7">
        <w:t xml:space="preserve"> decision.</w:t>
      </w:r>
      <w:r>
        <w:t xml:space="preserve"> A continuance should not be granted as OPC has failed to provide adequate grounds for doing so, in contravention of the statutory time frames established by Section 366.06(3), F.S. (Crawford) </w:t>
      </w:r>
    </w:p>
    <w:p w14:paraId="2CE12B89" w14:textId="77777777" w:rsidR="00661958" w:rsidRPr="004C3641" w:rsidRDefault="00661958">
      <w:pPr>
        <w:pStyle w:val="IssueSubsectionHeading"/>
        <w:rPr>
          <w:vanish/>
          <w:specVanish/>
        </w:rPr>
      </w:pPr>
      <w:r w:rsidRPr="004C3641">
        <w:t>Staff Analysis: </w:t>
      </w:r>
    </w:p>
    <w:p w14:paraId="554FFA9D" w14:textId="77777777" w:rsidR="00661958" w:rsidRDefault="00661958" w:rsidP="00661958">
      <w:pPr>
        <w:autoSpaceDE w:val="0"/>
        <w:autoSpaceDN w:val="0"/>
        <w:adjustRightInd w:val="0"/>
      </w:pPr>
      <w:r>
        <w:t> </w:t>
      </w:r>
    </w:p>
    <w:p w14:paraId="784E3CB0" w14:textId="77777777" w:rsidR="00661958" w:rsidRDefault="00661958" w:rsidP="00661958">
      <w:pPr>
        <w:autoSpaceDE w:val="0"/>
        <w:autoSpaceDN w:val="0"/>
        <w:adjustRightInd w:val="0"/>
        <w:rPr>
          <w:u w:val="single"/>
        </w:rPr>
      </w:pPr>
    </w:p>
    <w:p w14:paraId="6C7B1C1A" w14:textId="55B2B601" w:rsidR="00661958" w:rsidRDefault="00661958" w:rsidP="00661958">
      <w:pPr>
        <w:autoSpaceDE w:val="0"/>
        <w:autoSpaceDN w:val="0"/>
        <w:adjustRightInd w:val="0"/>
        <w:rPr>
          <w:u w:val="single"/>
        </w:rPr>
      </w:pPr>
      <w:r w:rsidRPr="00B72D92">
        <w:rPr>
          <w:u w:val="single"/>
        </w:rPr>
        <w:t>Law</w:t>
      </w:r>
    </w:p>
    <w:p w14:paraId="49F20E80" w14:textId="77777777" w:rsidR="00661958" w:rsidRPr="00B72D92" w:rsidRDefault="00661958" w:rsidP="00661958">
      <w:pPr>
        <w:autoSpaceDE w:val="0"/>
        <w:autoSpaceDN w:val="0"/>
        <w:adjustRightInd w:val="0"/>
        <w:rPr>
          <w:u w:val="single"/>
        </w:rPr>
      </w:pPr>
    </w:p>
    <w:p w14:paraId="6623247B" w14:textId="77777777" w:rsidR="00661958" w:rsidRDefault="00661958" w:rsidP="00661958">
      <w:pPr>
        <w:autoSpaceDE w:val="0"/>
        <w:autoSpaceDN w:val="0"/>
        <w:adjustRightInd w:val="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sidRPr="00B72D92">
        <w:rPr>
          <w:i/>
          <w:iCs/>
        </w:rPr>
        <w:t>State ex.</w:t>
      </w:r>
      <w:r>
        <w:rPr>
          <w:i/>
          <w:iCs/>
        </w:rPr>
        <w:t xml:space="preserve">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 xml:space="preserve">. </w:t>
      </w:r>
    </w:p>
    <w:p w14:paraId="6D3B76AC" w14:textId="77777777" w:rsidR="00661958" w:rsidRDefault="00661958" w:rsidP="00661958">
      <w:pPr>
        <w:autoSpaceDE w:val="0"/>
        <w:autoSpaceDN w:val="0"/>
        <w:adjustRightInd w:val="0"/>
        <w:jc w:val="both"/>
        <w:rPr>
          <w:iCs/>
        </w:rPr>
      </w:pPr>
    </w:p>
    <w:p w14:paraId="1D448538" w14:textId="77777777" w:rsidR="00661958" w:rsidRDefault="00661958" w:rsidP="00661958">
      <w:pPr>
        <w:pStyle w:val="BodyText"/>
      </w:pPr>
      <w:r>
        <w:rPr>
          <w:u w:val="single"/>
        </w:rPr>
        <w:t>OPC’s Motion for Reconsideration</w:t>
      </w:r>
    </w:p>
    <w:p w14:paraId="68B77C00" w14:textId="2B998E42" w:rsidR="00D34862" w:rsidRDefault="00F30C3B" w:rsidP="00661958">
      <w:pPr>
        <w:pStyle w:val="BodyText"/>
      </w:pPr>
      <w:r>
        <w:t xml:space="preserve">In its Motion, OPC acknowledges that the standard of review on a motion for reconsideration is whether the motion identifies a point of fact or law that the Commission either overlooked or failed to consider. However, OPC argues that a </w:t>
      </w:r>
      <w:r w:rsidR="00D34862">
        <w:rPr>
          <w:i/>
        </w:rPr>
        <w:t>de novo</w:t>
      </w:r>
      <w:r w:rsidR="00D34862">
        <w:t xml:space="preserve"> standard of review should apply in this case because the underlying order is a procedural order</w:t>
      </w:r>
      <w:r w:rsidR="00806706">
        <w:t xml:space="preserve"> that hasn’t been issued by the full Commission or been the subject of a hearing</w:t>
      </w:r>
      <w:r w:rsidR="00D34862">
        <w:t>.</w:t>
      </w:r>
    </w:p>
    <w:p w14:paraId="621CF0DA" w14:textId="3C853E17" w:rsidR="00661958" w:rsidRDefault="00D34862" w:rsidP="00661958">
      <w:pPr>
        <w:pStyle w:val="BodyText"/>
      </w:pPr>
      <w:r>
        <w:t xml:space="preserve">With respect to the merits of its Motion, OPC requests the Commission to reconsider the hearing schedules for six reasons: (1) intervenors have insufficient time to prepare testimony; (2) the utilities could have easily avoided this scheduling </w:t>
      </w:r>
      <w:r w:rsidR="00806706">
        <w:t>“</w:t>
      </w:r>
      <w:r>
        <w:t>disaster</w:t>
      </w:r>
      <w:r w:rsidR="00806706">
        <w:t>”</w:t>
      </w:r>
      <w:r>
        <w:t xml:space="preserve"> and are not entitled to new rates by January 1, 2025; (3) the current ratemaking framework cannot fully accommodate analysis of </w:t>
      </w:r>
      <w:r w:rsidR="002A5A20">
        <w:t xml:space="preserve">DEF’s </w:t>
      </w:r>
      <w:r>
        <w:t xml:space="preserve">three proposed test years simultaneously and then contemporaneously with </w:t>
      </w:r>
      <w:r w:rsidR="00FB6A1B">
        <w:t>the TECO rate case docket</w:t>
      </w:r>
      <w:r>
        <w:t>; (4) Commission staff does not have sufficient time to conduct their standard audit; (5) the certainty that OPC does not have enough time to prepare their cases outweighs the possibility that the timeline may need to be delayed; and (6) asymmetrical advance knowledge</w:t>
      </w:r>
      <w:r w:rsidR="00EC071F">
        <w:t xml:space="preserve"> of the hearing dates</w:t>
      </w:r>
      <w:r>
        <w:t xml:space="preserve"> created  additional harm to intervenors.</w:t>
      </w:r>
      <w:r w:rsidR="00FB6A1B">
        <w:t xml:space="preserve"> </w:t>
      </w:r>
      <w:r w:rsidR="00D24CED">
        <w:t xml:space="preserve">OPC also contends that it is </w:t>
      </w:r>
      <w:r w:rsidR="004D2499">
        <w:t xml:space="preserve">burdensome and </w:t>
      </w:r>
      <w:r w:rsidR="00D24CED">
        <w:t xml:space="preserve">a violation of due process to require the </w:t>
      </w:r>
      <w:r w:rsidR="00FB6A1B">
        <w:t xml:space="preserve">parties </w:t>
      </w:r>
      <w:r w:rsidR="00D24CED">
        <w:t xml:space="preserve">to </w:t>
      </w:r>
      <w:r w:rsidR="00FB6A1B">
        <w:t>provide</w:t>
      </w:r>
      <w:r w:rsidR="00D24CED">
        <w:t>, in advance of the hearing,</w:t>
      </w:r>
      <w:r w:rsidR="00FB6A1B">
        <w:t xml:space="preserve"> electronic copies of all exhibits they plan to offer into evidence at the hear</w:t>
      </w:r>
      <w:r w:rsidR="00D24CED">
        <w:t>i</w:t>
      </w:r>
      <w:r w:rsidR="00FB6A1B">
        <w:t>ng.</w:t>
      </w:r>
    </w:p>
    <w:p w14:paraId="0A3BCB90" w14:textId="149B9105" w:rsidR="00D24CED" w:rsidRDefault="00D24CED" w:rsidP="00661958">
      <w:pPr>
        <w:pStyle w:val="BodyText"/>
      </w:pPr>
    </w:p>
    <w:p w14:paraId="2F171F52" w14:textId="77777777" w:rsidR="00D24CED" w:rsidRPr="00D34862" w:rsidRDefault="00D24CED" w:rsidP="00661958">
      <w:pPr>
        <w:pStyle w:val="BodyText"/>
      </w:pPr>
    </w:p>
    <w:p w14:paraId="0B50C7C5" w14:textId="77777777" w:rsidR="00661958" w:rsidRDefault="00661958" w:rsidP="00661958">
      <w:pPr>
        <w:pStyle w:val="BodyText"/>
      </w:pPr>
      <w:r>
        <w:rPr>
          <w:u w:val="single"/>
        </w:rPr>
        <w:lastRenderedPageBreak/>
        <w:t>Joinders by LULAC, PCS Phosphate, Sierra Club, and FRF</w:t>
      </w:r>
    </w:p>
    <w:p w14:paraId="350C8B9C" w14:textId="77777777" w:rsidR="00661958" w:rsidRPr="008848B2" w:rsidRDefault="008848B2" w:rsidP="00661958">
      <w:pPr>
        <w:pStyle w:val="BodyText"/>
      </w:pPr>
      <w:r>
        <w:t xml:space="preserve">On April 22, 2024, LULAC filed a Notice of Joinder in Citizens’ Motion. LULAC noted that, in addition to the arguments put forth by OPC, LULAC had to wait for intervention to be granted before it could file enforceable discovery. </w:t>
      </w:r>
    </w:p>
    <w:p w14:paraId="77211F77" w14:textId="5EABCEF9" w:rsidR="008848B2" w:rsidRDefault="008848B2" w:rsidP="00661958">
      <w:pPr>
        <w:pStyle w:val="BodyText"/>
      </w:pPr>
      <w:r>
        <w:t xml:space="preserve">On April 23, 2024, PCS Phosphate filed a Response in Support of Citizens’ Motion, echoing OPC’s contention that the procedural timeline established does not provide sufficient time to evaluate </w:t>
      </w:r>
      <w:r w:rsidR="002A5A20">
        <w:t xml:space="preserve">DEF’s </w:t>
      </w:r>
      <w:r>
        <w:t>petition, develop testimony, and prepare for a hearing. PCS Phosphate further contends that the twelve day advance submission of cross-examination exhibits will result in a prolonged hearing and, therefore, supports Citizens’ request for reconsideration.</w:t>
      </w:r>
    </w:p>
    <w:p w14:paraId="4CC10C4B" w14:textId="2A03438F" w:rsidR="00661958" w:rsidRDefault="008848B2" w:rsidP="00661958">
      <w:pPr>
        <w:pStyle w:val="BodyText"/>
      </w:pPr>
      <w:r>
        <w:t>On April 24, 2024, Sierra Club filed a Notice of Joinder in Citizens’ Motion</w:t>
      </w:r>
      <w:r w:rsidR="00CE4C0D">
        <w:t xml:space="preserve">. Sierra Club argues that the current </w:t>
      </w:r>
      <w:r w:rsidR="00EC071F">
        <w:t xml:space="preserve">hearing </w:t>
      </w:r>
      <w:r w:rsidR="00CE4C0D">
        <w:t>schedules</w:t>
      </w:r>
      <w:r w:rsidR="00EC071F">
        <w:t xml:space="preserve"> in the Duke and TECO rate cases</w:t>
      </w:r>
      <w:r w:rsidR="00CE4C0D">
        <w:t xml:space="preserve"> prejudice its ability for a fair hearing and joins OPC’s Motion requesting reconsideration of the hearing schedule.</w:t>
      </w:r>
      <w:r>
        <w:t xml:space="preserve"> </w:t>
      </w:r>
    </w:p>
    <w:p w14:paraId="25018106" w14:textId="77777777" w:rsidR="00CE4C0D" w:rsidRDefault="00CE4C0D" w:rsidP="00661958">
      <w:pPr>
        <w:pStyle w:val="BodyText"/>
      </w:pPr>
      <w:r>
        <w:t>On April 29, 2024, FRF filed a Notice of Joinder in Citizens’ Motion and argues it has a substantial interest in having the Commission grant the relief requested by the Motion.</w:t>
      </w:r>
    </w:p>
    <w:p w14:paraId="45BF8C9C" w14:textId="77777777" w:rsidR="00CE4C0D" w:rsidRPr="008848B2" w:rsidRDefault="00CE4C0D" w:rsidP="00661958">
      <w:pPr>
        <w:pStyle w:val="BodyText"/>
      </w:pPr>
      <w:r>
        <w:t>No other parties provided comment in support of OPC’s Motion.</w:t>
      </w:r>
    </w:p>
    <w:p w14:paraId="608216CF" w14:textId="002FFF67" w:rsidR="00661958" w:rsidRPr="00D06722" w:rsidRDefault="002A5A20" w:rsidP="00661958">
      <w:pPr>
        <w:pStyle w:val="BodyText"/>
        <w:rPr>
          <w:u w:val="single"/>
        </w:rPr>
      </w:pPr>
      <w:r>
        <w:rPr>
          <w:u w:val="single"/>
        </w:rPr>
        <w:t>DEF</w:t>
      </w:r>
      <w:r w:rsidRPr="00D06722">
        <w:rPr>
          <w:u w:val="single"/>
        </w:rPr>
        <w:t xml:space="preserve">’s </w:t>
      </w:r>
      <w:r w:rsidR="00661958" w:rsidRPr="00D06722">
        <w:rPr>
          <w:u w:val="single"/>
        </w:rPr>
        <w:t>Response in Opposition</w:t>
      </w:r>
    </w:p>
    <w:p w14:paraId="3A6D984B" w14:textId="62237D4D" w:rsidR="00661958" w:rsidRDefault="00CE4C0D" w:rsidP="00661958">
      <w:pPr>
        <w:jc w:val="both"/>
      </w:pPr>
      <w:r>
        <w:t xml:space="preserve">On April 29, 2024, </w:t>
      </w:r>
      <w:r w:rsidR="002A5A20">
        <w:t xml:space="preserve">DEF </w:t>
      </w:r>
      <w:r>
        <w:t>filed a Response in Opposition to OPC’s Motion</w:t>
      </w:r>
      <w:r w:rsidR="00EC10B5">
        <w:t xml:space="preserve">. </w:t>
      </w:r>
      <w:r w:rsidR="002A5A20">
        <w:t xml:space="preserve">DEF </w:t>
      </w:r>
      <w:r w:rsidR="00EC10B5">
        <w:t xml:space="preserve">argues OPC has not identified a mistake of law or fact that would justify reconsideration of the hearing schedule. </w:t>
      </w:r>
      <w:r w:rsidR="002A5A20">
        <w:t xml:space="preserve">DEF </w:t>
      </w:r>
      <w:r w:rsidR="00EC10B5">
        <w:t xml:space="preserve">contends that OPC was well aware of both </w:t>
      </w:r>
      <w:r w:rsidR="002A5A20">
        <w:t xml:space="preserve">DEF </w:t>
      </w:r>
      <w:r w:rsidR="00EC10B5">
        <w:t xml:space="preserve">and TECO filing their respective rate cases in 2024 and notes that the current hearing schedule is consistent with the statutory time frames established in Section 366.06(3), F.S. </w:t>
      </w:r>
      <w:r w:rsidR="00FC2F3C">
        <w:t xml:space="preserve">As to the issue of “asymmetric advance knowledge,” </w:t>
      </w:r>
      <w:r w:rsidR="002A5A20">
        <w:t xml:space="preserve">DEF </w:t>
      </w:r>
      <w:r w:rsidR="00FC2F3C">
        <w:t xml:space="preserve">notes that there is no evidence </w:t>
      </w:r>
      <w:r w:rsidR="002A5A20">
        <w:t xml:space="preserve">DEF </w:t>
      </w:r>
      <w:r w:rsidR="00FC2F3C">
        <w:t xml:space="preserve">had advance knowledge of the hearing schedule but, even if it did, it would not be improper or lead to harm that would justify a scheduling change. Finally, </w:t>
      </w:r>
      <w:r w:rsidR="002A5A20">
        <w:t xml:space="preserve">DEF </w:t>
      </w:r>
      <w:r w:rsidR="00FC2F3C">
        <w:t>notes that OPC’s alternative request to continue the hearing is, functionally, simpl</w:t>
      </w:r>
      <w:r w:rsidR="00C21521">
        <w:t>y a request for reconsideration and requests that OPC’s Motion be denied.</w:t>
      </w:r>
    </w:p>
    <w:p w14:paraId="15AA3B15" w14:textId="77777777" w:rsidR="00894580" w:rsidRDefault="00894580" w:rsidP="00661958">
      <w:pPr>
        <w:jc w:val="both"/>
        <w:rPr>
          <w:i/>
        </w:rPr>
      </w:pPr>
    </w:p>
    <w:p w14:paraId="1978450C" w14:textId="77777777" w:rsidR="00661958" w:rsidRDefault="00661958" w:rsidP="00661958">
      <w:pPr>
        <w:pStyle w:val="BodyText"/>
      </w:pPr>
      <w:r w:rsidRPr="00D06722">
        <w:rPr>
          <w:u w:val="single"/>
        </w:rPr>
        <w:t>Analysis</w:t>
      </w:r>
    </w:p>
    <w:p w14:paraId="35FDA1FF" w14:textId="77777777" w:rsidR="00661958" w:rsidRDefault="00661958" w:rsidP="00661958">
      <w:pPr>
        <w:autoSpaceDE w:val="0"/>
        <w:autoSpaceDN w:val="0"/>
        <w:adjustRightInd w:val="0"/>
        <w:jc w:val="both"/>
        <w:rPr>
          <w:i/>
          <w:iCs/>
        </w:rPr>
      </w:pPr>
      <w:r>
        <w:rPr>
          <w:iCs/>
        </w:rPr>
        <w:tab/>
      </w:r>
      <w:r>
        <w:rPr>
          <w:i/>
          <w:iCs/>
        </w:rPr>
        <w:t>Motion for Reconsideration</w:t>
      </w:r>
    </w:p>
    <w:p w14:paraId="5E3C75CC" w14:textId="77777777" w:rsidR="00661958" w:rsidRPr="003560FF" w:rsidRDefault="00661958" w:rsidP="00661958">
      <w:pPr>
        <w:autoSpaceDE w:val="0"/>
        <w:autoSpaceDN w:val="0"/>
        <w:adjustRightInd w:val="0"/>
        <w:jc w:val="both"/>
        <w:rPr>
          <w:i/>
          <w:iCs/>
        </w:rPr>
      </w:pPr>
    </w:p>
    <w:p w14:paraId="507FFBDC" w14:textId="77777777" w:rsidR="00661958" w:rsidRDefault="00661958" w:rsidP="00661958">
      <w:pPr>
        <w:autoSpaceDE w:val="0"/>
        <w:autoSpaceDN w:val="0"/>
        <w:adjustRightInd w:val="0"/>
        <w:jc w:val="both"/>
        <w:rPr>
          <w:iCs/>
        </w:rPr>
      </w:pPr>
      <w:r>
        <w:rPr>
          <w:iCs/>
        </w:rPr>
        <w:t xml:space="preserve">OPC contends that the Commission should review its Motion on a </w:t>
      </w:r>
      <w:r>
        <w:rPr>
          <w:i/>
          <w:iCs/>
        </w:rPr>
        <w:t>de novo</w:t>
      </w:r>
      <w:r>
        <w:rPr>
          <w:iCs/>
        </w:rPr>
        <w:t xml:space="preserve"> basis rather than “the ordinary standard for reconsideration.” OPC contends a mistake of fact or law standard does not fit this scenario because the matters for which OPC seeks review have either not been previously considered by the majority of the Commission, or have not been the subject of a hearing. However, the setting of a procedural schedule for a hearing-track docket is a function of the Prehearing Officer’s duties, not those of the Commission as an agency, nor are such procedural matters appropriate for an evidentiary hearing. Further, the Commission has held that a mistake </w:t>
      </w:r>
      <w:r>
        <w:rPr>
          <w:iCs/>
        </w:rPr>
        <w:lastRenderedPageBreak/>
        <w:t>of fact or law standard applies to reconsideration by the Commission of a Prehearing Officer’s order.</w:t>
      </w:r>
      <w:r>
        <w:rPr>
          <w:rStyle w:val="FootnoteReference"/>
          <w:iCs/>
        </w:rPr>
        <w:footnoteReference w:id="1"/>
      </w:r>
    </w:p>
    <w:p w14:paraId="58EDFE36" w14:textId="77777777" w:rsidR="00661958" w:rsidRDefault="00661958" w:rsidP="00661958">
      <w:pPr>
        <w:autoSpaceDE w:val="0"/>
        <w:autoSpaceDN w:val="0"/>
        <w:adjustRightInd w:val="0"/>
        <w:jc w:val="both"/>
        <w:rPr>
          <w:iCs/>
        </w:rPr>
      </w:pPr>
    </w:p>
    <w:p w14:paraId="1A660CB3" w14:textId="3321AA17" w:rsidR="00D86A07" w:rsidRDefault="00661958" w:rsidP="00894580">
      <w:pPr>
        <w:jc w:val="both"/>
      </w:pPr>
      <w:r>
        <w:t xml:space="preserve">The Prehearing Officer is the procedural administrator of a hearing-track case. They rule on motions and procedural matters and conduct prehearing conferences, prior to referral of such cases to the Commission for final decision. Pursuant to Rule 28-106.211, F.A.C., the Prehearing Officer may issue any orders necessary to effectuate discovery, to prevent delay, and to promote the just, speedy, and inexpensive determination of all aspects of the case, including bifurcating the proceeding. </w:t>
      </w:r>
      <w:r w:rsidR="003E003E">
        <w:t>“</w:t>
      </w:r>
      <w:r w:rsidR="005759AB">
        <w:t>The Prehearing Officer has wide discretion in balancing the interests of parties in the furtherance of the orderly administration of justice.</w:t>
      </w:r>
      <w:r w:rsidR="003E003E">
        <w:t>”</w:t>
      </w:r>
      <w:r w:rsidR="005759AB">
        <w:rPr>
          <w:rStyle w:val="FootnoteReference"/>
        </w:rPr>
        <w:footnoteReference w:id="2"/>
      </w:r>
      <w:r w:rsidR="008657BC">
        <w:t xml:space="preserve"> </w:t>
      </w:r>
      <w:r>
        <w:t xml:space="preserve">The </w:t>
      </w:r>
      <w:r w:rsidR="00A75877">
        <w:t>schedule</w:t>
      </w:r>
      <w:r>
        <w:t xml:space="preserve"> approved by </w:t>
      </w:r>
      <w:r w:rsidR="008657BC">
        <w:t>a</w:t>
      </w:r>
      <w:r>
        <w:t xml:space="preserve"> Prehearing Officer is controlled in part by the selection of hearing dates by the Chairman, which is in turn based upon the availability of the Commission’s calendar and </w:t>
      </w:r>
      <w:r w:rsidR="008657BC">
        <w:t xml:space="preserve">the existence of </w:t>
      </w:r>
      <w:r>
        <w:t>any applicable statutory deadlines.</w:t>
      </w:r>
    </w:p>
    <w:p w14:paraId="57FB2EDF" w14:textId="77777777" w:rsidR="00894580" w:rsidRDefault="00894580" w:rsidP="00894580">
      <w:pPr>
        <w:jc w:val="both"/>
      </w:pPr>
    </w:p>
    <w:p w14:paraId="5801F083" w14:textId="0DC71291" w:rsidR="00661958" w:rsidRDefault="00661958" w:rsidP="00D86A07">
      <w:pPr>
        <w:pStyle w:val="BodyText"/>
      </w:pPr>
      <w:r>
        <w:t xml:space="preserve">The statutory deadlines in this docket are established under </w:t>
      </w:r>
      <w:r w:rsidRPr="00D06722">
        <w:t>Section 366.06(3), F</w:t>
      </w:r>
      <w:r>
        <w:t xml:space="preserve">.S., which </w:t>
      </w:r>
      <w:r w:rsidR="008657BC">
        <w:t xml:space="preserve">requires the </w:t>
      </w:r>
      <w:r w:rsidRPr="00D06722">
        <w:t xml:space="preserve">Commission </w:t>
      </w:r>
      <w:r>
        <w:t>to take action on</w:t>
      </w:r>
      <w:r w:rsidRPr="00D06722">
        <w:t xml:space="preserve"> </w:t>
      </w:r>
      <w:r w:rsidR="002A5A20">
        <w:t xml:space="preserve">DEF’s </w:t>
      </w:r>
      <w:r>
        <w:t xml:space="preserve">proposed </w:t>
      </w:r>
      <w:r w:rsidRPr="00D06722">
        <w:t>final rates</w:t>
      </w:r>
      <w:r w:rsidR="008657BC">
        <w:t xml:space="preserve"> within eight months</w:t>
      </w:r>
      <w:r w:rsidRPr="00D06722">
        <w:t xml:space="preserve">. </w:t>
      </w:r>
      <w:r>
        <w:t>If the Commission does not act by t</w:t>
      </w:r>
      <w:r w:rsidRPr="00D06722">
        <w:t>he end of this eight</w:t>
      </w:r>
      <w:r>
        <w:t xml:space="preserve"> </w:t>
      </w:r>
      <w:r w:rsidRPr="00D06722">
        <w:t xml:space="preserve">month period, pursuant to Section 366.06(3), F.S., </w:t>
      </w:r>
      <w:r w:rsidR="002A5A20">
        <w:t>DEF</w:t>
      </w:r>
      <w:r w:rsidR="002A5A20" w:rsidRPr="00D06722">
        <w:t xml:space="preserve"> </w:t>
      </w:r>
      <w:r w:rsidRPr="00D06722">
        <w:t>is entitled to place its proposed rates into effect, subject to refund.</w:t>
      </w:r>
      <w:r>
        <w:t xml:space="preserve"> The statute further provides that t</w:t>
      </w:r>
      <w:r w:rsidRPr="00D06722">
        <w:t xml:space="preserve">he </w:t>
      </w:r>
      <w:r>
        <w:t>C</w:t>
      </w:r>
      <w:r w:rsidRPr="00D06722">
        <w:t xml:space="preserve">ommission </w:t>
      </w:r>
      <w:r>
        <w:t xml:space="preserve">must </w:t>
      </w:r>
      <w:r w:rsidRPr="00D06722">
        <w:t xml:space="preserve">take final </w:t>
      </w:r>
      <w:r>
        <w:t>a</w:t>
      </w:r>
      <w:r w:rsidRPr="00D06722">
        <w:t>ction in the docket and enter its final order within 12 months of the commencement date for final agency action.</w:t>
      </w:r>
      <w:r>
        <w:t xml:space="preserve"> </w:t>
      </w:r>
      <w:r w:rsidR="00EC071F">
        <w:t>T</w:t>
      </w:r>
      <w:r>
        <w:t xml:space="preserve">he official filing date for this proceeding is April 2, 2024, pursuant to Section 366.06(3), F.S. Therefore, the eight month period expires on December 2, 2024. Before the Commission can take a final vote on </w:t>
      </w:r>
      <w:r w:rsidR="002A5A20">
        <w:t xml:space="preserve">DEF’s </w:t>
      </w:r>
      <w:r>
        <w:t>proposed rates, there are a number of post-hearing activities that must take place: post-hearing briefs are filed by the parties, and two post-hearing recommendations and two post-hearing votes take place – one on the revenues, and one on the final rates. The OEP in this docket balances the needs of both pre-hearing and post-hearing process, for the parties, staff, and Commissioners, consistent with the deadlines under Section 366.06(3), F.S. Adherence to the eight month clock is a consistent and a</w:t>
      </w:r>
      <w:r w:rsidR="00A01EF2">
        <w:t>ppropriate Commission practice.</w:t>
      </w:r>
      <w:r w:rsidR="00D86A07">
        <w:t xml:space="preserve"> </w:t>
      </w:r>
      <w:r w:rsidRPr="00D86A07">
        <w:t xml:space="preserve">The schedule </w:t>
      </w:r>
      <w:r w:rsidR="00D86A07">
        <w:t>in this docket</w:t>
      </w:r>
      <w:r w:rsidRPr="00D86A07">
        <w:t xml:space="preserve"> isn’t driven by </w:t>
      </w:r>
      <w:r w:rsidR="002A5A20">
        <w:t>DEF</w:t>
      </w:r>
      <w:r w:rsidR="002A5A20" w:rsidRPr="00D86A07">
        <w:t xml:space="preserve"> </w:t>
      </w:r>
      <w:r w:rsidRPr="00D86A07">
        <w:t xml:space="preserve">wanting </w:t>
      </w:r>
      <w:r w:rsidR="00D86A07">
        <w:t xml:space="preserve">new </w:t>
      </w:r>
      <w:r w:rsidRPr="00D86A07">
        <w:t xml:space="preserve">rates </w:t>
      </w:r>
      <w:r w:rsidR="00D86A07">
        <w:t xml:space="preserve">to be placed </w:t>
      </w:r>
      <w:r w:rsidRPr="00D86A07">
        <w:t>in effect by January 1, 2025; it’s driven by when the companies elect to file their case, which is not a matter suscepti</w:t>
      </w:r>
      <w:r w:rsidR="00D86A07">
        <w:t>ble to the Commission’s control, and the requirements of the Commission’s authorizing statutes.</w:t>
      </w:r>
    </w:p>
    <w:p w14:paraId="3D9B6755" w14:textId="02F05CD1" w:rsidR="00702082" w:rsidRPr="00D86A07" w:rsidRDefault="004D2499" w:rsidP="00D86A07">
      <w:pPr>
        <w:pStyle w:val="BodyText"/>
      </w:pPr>
      <w:r>
        <w:lastRenderedPageBreak/>
        <w:t xml:space="preserve">As to requiring the provision of exhibits in advance of the hearing, Rule 28-106.209, F.A.C., </w:t>
      </w:r>
      <w:r w:rsidR="00702082">
        <w:t xml:space="preserve">provides that any time after a matter has been filed with an agency, </w:t>
      </w:r>
      <w:r w:rsidR="00E15FDF">
        <w:t xml:space="preserve">the presiding officer </w:t>
      </w:r>
      <w:r w:rsidR="00702082">
        <w:t>can</w:t>
      </w:r>
      <w:r w:rsidR="00E15FDF">
        <w:t xml:space="preserve"> direct the parties to confer for the purpose of examining documents and other exhibits</w:t>
      </w:r>
      <w:r w:rsidR="000D10AB">
        <w:t>.</w:t>
      </w:r>
      <w:r w:rsidR="00702082">
        <w:t xml:space="preserve"> </w:t>
      </w:r>
      <w:r w:rsidR="00702082" w:rsidRPr="00702082">
        <w:t xml:space="preserve">The purpose of discovery is to eliminate </w:t>
      </w:r>
      <w:r w:rsidR="00D01E8A">
        <w:t xml:space="preserve">the element of </w:t>
      </w:r>
      <w:r w:rsidR="00702082" w:rsidRPr="00702082">
        <w:t>surprise, encourage settlement, and to assist in arriving at the truth.</w:t>
      </w:r>
      <w:r w:rsidR="00702082">
        <w:rPr>
          <w:rStyle w:val="FootnoteReference"/>
        </w:rPr>
        <w:footnoteReference w:id="3"/>
      </w:r>
      <w:r w:rsidR="00D01E8A">
        <w:t xml:space="preserve"> The exchange of exhibits in advance of hearing is a common feature in proceedings before the Division of Administrative Hearings, and was used in a number of virtual hearings </w:t>
      </w:r>
      <w:r w:rsidR="00F47016">
        <w:t>before</w:t>
      </w:r>
      <w:r w:rsidR="00D01E8A">
        <w:t xml:space="preserve"> the Commission during </w:t>
      </w:r>
      <w:r w:rsidR="009B1972">
        <w:t>the pandemic. The requirement that parties and staff list and exchange all exhibits in advance of the hearing promotes due process, transparency, and judicial economy.</w:t>
      </w:r>
    </w:p>
    <w:p w14:paraId="5D74C85A" w14:textId="291FFD8C" w:rsidR="00D86A07" w:rsidRDefault="00D91940" w:rsidP="00661958">
      <w:pPr>
        <w:jc w:val="both"/>
      </w:pPr>
      <w:r>
        <w:t>Finally, much of OPC’s argument on reconsideration repeats matters raised in its Motion for Expedited Joint Docket Scheduling Conference, which the Prehearing Officer considered in setting the hearing schedule. I</w:t>
      </w:r>
      <w:r w:rsidRPr="00B72D92">
        <w:t xml:space="preserve">t is not appropriate to reargue matters </w:t>
      </w:r>
      <w:r>
        <w:t xml:space="preserve">on reconsideration </w:t>
      </w:r>
      <w:r w:rsidRPr="00B72D92">
        <w:t>that have</w:t>
      </w:r>
      <w:r>
        <w:t xml:space="preserve"> </w:t>
      </w:r>
      <w:r w:rsidRPr="00B72D92">
        <w:t>already been considered.</w:t>
      </w:r>
      <w:r>
        <w:t xml:space="preserve"> OPC has not clearly identified any specific mistakes of fact or law the Prehearing Officer made in issuing the OEP. Without a specific mistake of fact or law, a motion for reconsideration must be denied, even </w:t>
      </w:r>
      <w:r w:rsidR="00F30C3B">
        <w:t>if</w:t>
      </w:r>
      <w:r>
        <w:t xml:space="preserve"> the reviewing body would have reached a different decision.</w:t>
      </w:r>
      <w:r w:rsidR="00F30C3B">
        <w:rPr>
          <w:rStyle w:val="FootnoteReference"/>
        </w:rPr>
        <w:footnoteReference w:id="4"/>
      </w:r>
      <w:r>
        <w:t xml:space="preserve"> Based on the above, OPC’s Motion for Reconsideration should be denied.</w:t>
      </w:r>
    </w:p>
    <w:p w14:paraId="6436FAB6" w14:textId="77777777" w:rsidR="00D91940" w:rsidRPr="00D86A07" w:rsidRDefault="00D91940" w:rsidP="00661958">
      <w:pPr>
        <w:jc w:val="both"/>
      </w:pPr>
    </w:p>
    <w:p w14:paraId="2C3D060A" w14:textId="77777777" w:rsidR="00661958" w:rsidRDefault="00661958" w:rsidP="00661958">
      <w:pPr>
        <w:rPr>
          <w:i/>
        </w:rPr>
      </w:pPr>
      <w:r>
        <w:tab/>
      </w:r>
      <w:r>
        <w:rPr>
          <w:i/>
        </w:rPr>
        <w:t>Alternative Request for Continuance</w:t>
      </w:r>
    </w:p>
    <w:p w14:paraId="3C1D7304" w14:textId="77777777" w:rsidR="00661958" w:rsidRPr="003560FF" w:rsidRDefault="00661958" w:rsidP="00661958">
      <w:pPr>
        <w:rPr>
          <w:i/>
        </w:rPr>
      </w:pPr>
    </w:p>
    <w:p w14:paraId="50D241EF" w14:textId="4B4EB887" w:rsidR="00A160BF" w:rsidRDefault="00776A8F" w:rsidP="005B3523">
      <w:pPr>
        <w:pStyle w:val="BodyText"/>
      </w:pPr>
      <w:r>
        <w:t xml:space="preserve">In the alternative, OPC moved the Commission to continue the final hearings scheduled in the </w:t>
      </w:r>
      <w:r w:rsidR="002A5A20">
        <w:t xml:space="preserve">DEF </w:t>
      </w:r>
      <w:r>
        <w:t>and TECO dockets and to adjust the major activity dates correspondingly. OPC argued it has met the burden established by Rule 28-106.210, F.A.C., which governs motions for continuance and grants the presiding officer the authority to continue a hearing for good cause shown. Generally, hearing officers enjoy broad discretion when ruling on motions to continue.</w:t>
      </w:r>
      <w:r>
        <w:rPr>
          <w:rStyle w:val="FootnoteReference"/>
        </w:rPr>
        <w:footnoteReference w:id="5"/>
      </w:r>
      <w:r>
        <w:t xml:space="preserve"> Section 366.06(3), F.S., establishes an 8 month time period during which the Commission can withhold its consent to the operation of rates proposed by a Utility and after which the rates take effect subject to refund. The dates established by the OEP are designed to allow the parties and Commission staff the maximum time to prepare for and conduct the final hearings in these matters within that statutory framework. Any delay in the established schedule increases the likelihood that the proposed rates will go into effect subject to refund and therefore the Motion for Continuance should be denied and the hearing and major activity dates established by the OEP should remain in plac</w:t>
      </w:r>
      <w:r w:rsidR="005B3523">
        <w:t>e.</w:t>
      </w:r>
    </w:p>
    <w:p w14:paraId="2D3853BA" w14:textId="77777777" w:rsidR="00661958" w:rsidRDefault="00661958" w:rsidP="00661958">
      <w:pPr>
        <w:jc w:val="both"/>
        <w:rPr>
          <w:i/>
        </w:rPr>
      </w:pPr>
      <w:r>
        <w:tab/>
      </w:r>
      <w:r>
        <w:rPr>
          <w:i/>
        </w:rPr>
        <w:t>Conclusion</w:t>
      </w:r>
    </w:p>
    <w:p w14:paraId="64F0E19B" w14:textId="77777777" w:rsidR="00661958" w:rsidRDefault="00661958" w:rsidP="00661958">
      <w:pPr>
        <w:jc w:val="both"/>
      </w:pPr>
    </w:p>
    <w:p w14:paraId="080BEBC0" w14:textId="2609F6A0" w:rsidR="00661958" w:rsidRDefault="00A160BF" w:rsidP="00661958">
      <w:pPr>
        <w:pStyle w:val="BodyText"/>
      </w:pPr>
      <w:r>
        <w:t>For the reasons discussed above, s</w:t>
      </w:r>
      <w:r w:rsidR="00661958" w:rsidRPr="00836FE9">
        <w:t xml:space="preserve">taff recommends that OPC’s Motion for Reconsideration </w:t>
      </w:r>
      <w:r>
        <w:t>and A</w:t>
      </w:r>
      <w:r w:rsidR="00661958">
        <w:t xml:space="preserve">lternative </w:t>
      </w:r>
      <w:r>
        <w:t>R</w:t>
      </w:r>
      <w:r w:rsidR="00661958">
        <w:t xml:space="preserve">equest for </w:t>
      </w:r>
      <w:r>
        <w:t>C</w:t>
      </w:r>
      <w:r w:rsidR="00661958">
        <w:t xml:space="preserve">ontinuance </w:t>
      </w:r>
      <w:r>
        <w:t xml:space="preserve">be </w:t>
      </w:r>
      <w:r w:rsidR="00661958">
        <w:t>denied</w:t>
      </w:r>
      <w:r>
        <w:t>.</w:t>
      </w:r>
    </w:p>
    <w:p w14:paraId="4C5FE291" w14:textId="77777777" w:rsidR="00661958" w:rsidRDefault="00661958">
      <w:pPr>
        <w:pStyle w:val="IssueHeading"/>
        <w:rPr>
          <w:vanish/>
          <w:specVanish/>
        </w:rPr>
      </w:pPr>
      <w:r w:rsidRPr="004C3641">
        <w:rPr>
          <w:b w:val="0"/>
          <w:i w:val="0"/>
        </w:rPr>
        <w:br w:type="page"/>
      </w:r>
      <w:r w:rsidRPr="004C3641">
        <w:lastRenderedPageBreak/>
        <w:t xml:space="preserve">Issue </w:t>
      </w:r>
      <w:r w:rsidR="00F45BC6">
        <w:fldChar w:fldCharType="begin"/>
      </w:r>
      <w:r w:rsidR="00F45BC6">
        <w:instrText xml:space="preserve"> SEQ Issue \* MERGEFORMAT </w:instrText>
      </w:r>
      <w:r w:rsidR="00F45BC6">
        <w:fldChar w:fldCharType="separate"/>
      </w:r>
      <w:r>
        <w:rPr>
          <w:noProof/>
        </w:rPr>
        <w:t>3</w:t>
      </w:r>
      <w:r w:rsidR="00F45BC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1583A8E6" w14:textId="77777777" w:rsidR="00661958" w:rsidRDefault="00661958">
      <w:pPr>
        <w:pStyle w:val="BodyText"/>
      </w:pPr>
      <w:r>
        <w:t> Should this docket be closed?</w:t>
      </w:r>
    </w:p>
    <w:p w14:paraId="76F33952" w14:textId="77777777" w:rsidR="00661958" w:rsidRPr="004C3641" w:rsidRDefault="00661958">
      <w:pPr>
        <w:pStyle w:val="IssueSubsectionHeading"/>
        <w:rPr>
          <w:vanish/>
          <w:specVanish/>
        </w:rPr>
      </w:pPr>
      <w:r w:rsidRPr="004C3641">
        <w:t>Recommendation: </w:t>
      </w:r>
    </w:p>
    <w:p w14:paraId="6BEB00B6" w14:textId="67471AF5" w:rsidR="00661958" w:rsidRDefault="00661958">
      <w:pPr>
        <w:pStyle w:val="BodyText"/>
      </w:pPr>
      <w:r>
        <w:t> </w:t>
      </w:r>
      <w:r w:rsidR="00200F02">
        <w:t xml:space="preserve">No. </w:t>
      </w:r>
      <w:r>
        <w:t xml:space="preserve">This docket should remain open pending the Commission’s final resolution of </w:t>
      </w:r>
      <w:r w:rsidR="002A5A20">
        <w:t xml:space="preserve">DEF’s </w:t>
      </w:r>
      <w:r>
        <w:t xml:space="preserve">requested permanent base rate increase. (Crawford) </w:t>
      </w:r>
    </w:p>
    <w:p w14:paraId="3187451F" w14:textId="77777777" w:rsidR="00661958" w:rsidRPr="004C3641" w:rsidRDefault="00661958">
      <w:pPr>
        <w:pStyle w:val="IssueSubsectionHeading"/>
        <w:rPr>
          <w:vanish/>
          <w:specVanish/>
        </w:rPr>
      </w:pPr>
      <w:r w:rsidRPr="004C3641">
        <w:t>Staff Analysis: </w:t>
      </w:r>
    </w:p>
    <w:p w14:paraId="2D738B9B" w14:textId="2DE22A1B" w:rsidR="00661958" w:rsidRDefault="00661958">
      <w:pPr>
        <w:pStyle w:val="BodyText"/>
      </w:pPr>
      <w:r>
        <w:t xml:space="preserve"> This docket should remain open pending the Commission’s final resolution of </w:t>
      </w:r>
      <w:r w:rsidR="002A5A20">
        <w:t xml:space="preserve">DEF’s </w:t>
      </w:r>
      <w:r>
        <w:t>requested permanent base rate increase.</w:t>
      </w:r>
    </w:p>
    <w:p w14:paraId="44BF8EE0"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A07EA" w14:textId="77777777" w:rsidR="00673BD4" w:rsidRDefault="00673BD4">
      <w:r>
        <w:separator/>
      </w:r>
    </w:p>
  </w:endnote>
  <w:endnote w:type="continuationSeparator" w:id="0">
    <w:p w14:paraId="46D8EB55" w14:textId="77777777" w:rsidR="00673BD4" w:rsidRDefault="0067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B5B0" w14:textId="44581217"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77E37">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9A70"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BFC65" w14:textId="77777777" w:rsidR="00673BD4" w:rsidRDefault="00673BD4">
      <w:r>
        <w:separator/>
      </w:r>
    </w:p>
  </w:footnote>
  <w:footnote w:type="continuationSeparator" w:id="0">
    <w:p w14:paraId="40EB7F5A" w14:textId="77777777" w:rsidR="00673BD4" w:rsidRDefault="00673BD4">
      <w:r>
        <w:continuationSeparator/>
      </w:r>
    </w:p>
  </w:footnote>
  <w:footnote w:id="1">
    <w:p w14:paraId="1993E0C9" w14:textId="77777777" w:rsidR="00661958" w:rsidRPr="00B05F48" w:rsidRDefault="00661958" w:rsidP="00661958">
      <w:pPr>
        <w:pStyle w:val="FootnoteText"/>
        <w:rPr>
          <w:i/>
        </w:rPr>
      </w:pPr>
      <w:r>
        <w:rPr>
          <w:rStyle w:val="FootnoteReference"/>
        </w:rPr>
        <w:footnoteRef/>
      </w:r>
      <w:r>
        <w:t xml:space="preserve"> </w:t>
      </w:r>
      <w:r>
        <w:rPr>
          <w:i/>
        </w:rPr>
        <w:t>See</w:t>
      </w:r>
      <w:r>
        <w:t xml:space="preserve"> Order No. P</w:t>
      </w:r>
      <w:r w:rsidR="00A75877">
        <w:t>S</w:t>
      </w:r>
      <w:r>
        <w:t>C</w:t>
      </w:r>
      <w:r w:rsidR="00A75877">
        <w:t>-</w:t>
      </w:r>
      <w:r>
        <w:t xml:space="preserve">2016-0231-FOF-EI, issued June 10, 2016, in Docket No. 20160021-EI, </w:t>
      </w:r>
      <w:r w:rsidRPr="00836FE9">
        <w:rPr>
          <w:i/>
        </w:rPr>
        <w:t>In re: Petition for rate increase by Florida Power &amp; Light Company</w:t>
      </w:r>
      <w:r>
        <w:t xml:space="preserve">; </w:t>
      </w:r>
      <w:r w:rsidR="00A75877">
        <w:t xml:space="preserve">Order No. PSC-2002-1442-FOF-EI, issued October 21, 2002, in Docket Nos. 20020262-EI, </w:t>
      </w:r>
      <w:r w:rsidR="00A75877" w:rsidRPr="00A75877">
        <w:rPr>
          <w:i/>
        </w:rPr>
        <w:t>In re: Petition to Determine Need for an Electrical Power Plant in Martin County by Florida Power &amp; Light Company</w:t>
      </w:r>
      <w:r w:rsidR="00A75877">
        <w:t xml:space="preserve"> and 20020263-EI, </w:t>
      </w:r>
      <w:r w:rsidR="00A75877" w:rsidRPr="00A75877">
        <w:rPr>
          <w:i/>
        </w:rPr>
        <w:t>In re: Petition to Determine Need for an Electrical Power Plant in Manatee County by Florida Power &amp; Light Company</w:t>
      </w:r>
      <w:r w:rsidR="00A75877">
        <w:t xml:space="preserve">; </w:t>
      </w:r>
      <w:r>
        <w:t xml:space="preserve">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2">
    <w:p w14:paraId="5923302C" w14:textId="5876265F" w:rsidR="005759AB" w:rsidRPr="005759AB" w:rsidRDefault="005759AB">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rsidR="003E003E">
        <w:t xml:space="preserve"> (Prehearing Officer </w:t>
      </w:r>
      <w:r w:rsidR="00BC2F97">
        <w:t>balanced</w:t>
      </w:r>
      <w:r w:rsidR="003E003E">
        <w:t xml:space="preserve"> competing interests of </w:t>
      </w:r>
      <w:r w:rsidR="00BC2F97">
        <w:t>new counsel desiring more time to prepare and party seeking to proceed with discovery by delaying deposition</w:t>
      </w:r>
      <w:r w:rsidR="003E003E">
        <w:t xml:space="preserve">). </w:t>
      </w:r>
    </w:p>
  </w:footnote>
  <w:footnote w:id="3">
    <w:p w14:paraId="76591D7C" w14:textId="63A9B96A" w:rsidR="00702082" w:rsidRPr="00A152BE" w:rsidRDefault="00702082">
      <w:pPr>
        <w:pStyle w:val="FootnoteText"/>
        <w:rPr>
          <w:i/>
        </w:rPr>
      </w:pPr>
      <w:r>
        <w:rPr>
          <w:rStyle w:val="FootnoteReference"/>
        </w:rPr>
        <w:footnoteRef/>
      </w:r>
      <w:r>
        <w:t xml:space="preserve"> Order No. </w:t>
      </w:r>
      <w:r w:rsidRPr="00702082">
        <w:t>PSC-2022-0194-PCO-EI</w:t>
      </w:r>
      <w:r>
        <w:t>, issued May 25, 2023, in Docket No. 20220051-EI,</w:t>
      </w:r>
      <w:r w:rsidRPr="00A152BE">
        <w:rPr>
          <w:i/>
        </w:rPr>
        <w:t xml:space="preserve"> </w:t>
      </w:r>
      <w:r w:rsidR="00D01E8A" w:rsidRPr="00A152BE">
        <w:rPr>
          <w:i/>
        </w:rPr>
        <w:t>In re: Review of Storm Protection Plan, pursuant to Rule 25-6.030, F.A.C., Florida Power &amp; Light Company.</w:t>
      </w:r>
    </w:p>
  </w:footnote>
  <w:footnote w:id="4">
    <w:p w14:paraId="1BF922FB" w14:textId="506D6076" w:rsidR="00F30C3B" w:rsidRPr="00836FE9" w:rsidRDefault="00F30C3B" w:rsidP="00F30C3B">
      <w:pPr>
        <w:pStyle w:val="FootnoteText"/>
        <w:rPr>
          <w:b/>
        </w:rPr>
      </w:pPr>
      <w:r>
        <w:rPr>
          <w:rStyle w:val="FootnoteReference"/>
        </w:rPr>
        <w:footnoteRef/>
      </w:r>
      <w:r w:rsidRPr="00836FE9">
        <w:rPr>
          <w:i/>
        </w:rPr>
        <w:t xml:space="preserve"> Stewart Bonded Warehouse, Inc. v. Bevis</w:t>
      </w:r>
      <w:r>
        <w:t>, 294 So.2d 315, 317 (Fla. 1974); Order No. P</w:t>
      </w:r>
      <w:r w:rsidR="00E91B85">
        <w:t>S</w:t>
      </w:r>
      <w:r>
        <w:t xml:space="preserve">C 2016-0231-FOF-EI, issued June 10, 2016, in Docket No. 20160021-EI, </w:t>
      </w:r>
      <w:r w:rsidRPr="00836FE9">
        <w:rPr>
          <w:i/>
        </w:rPr>
        <w:t>In re: Petition for rate increase by Florida Power &amp; Light Company</w:t>
      </w:r>
      <w:r>
        <w:t xml:space="preserve"> (page 5).</w:t>
      </w:r>
    </w:p>
  </w:footnote>
  <w:footnote w:id="5">
    <w:p w14:paraId="3FBFB9CC" w14:textId="2F07D1BB" w:rsidR="00776A8F" w:rsidRPr="00833ECC" w:rsidRDefault="00776A8F" w:rsidP="000346AA">
      <w:pPr>
        <w:shd w:val="clear" w:color="auto" w:fill="FFFFFF"/>
        <w:jc w:val="both"/>
      </w:pPr>
      <w:r w:rsidRPr="00833ECC">
        <w:rPr>
          <w:rStyle w:val="FootnoteReference"/>
        </w:rPr>
        <w:footnoteRef/>
      </w:r>
      <w:r w:rsidRPr="00833ECC">
        <w:t xml:space="preserve"> </w:t>
      </w:r>
      <w:r w:rsidRPr="00833ECC">
        <w:rPr>
          <w:i/>
          <w:iCs/>
        </w:rPr>
        <w:t xml:space="preserve">Milanick v. Osborne, </w:t>
      </w:r>
      <w:r w:rsidRPr="00833ECC">
        <w:t xml:space="preserve">6 So. 3d 729, </w:t>
      </w:r>
      <w:r w:rsidRPr="0011775F">
        <w:rPr>
          <w:sz w:val="20"/>
          <w:szCs w:val="20"/>
        </w:rPr>
        <w:t>730 (Fla. 5th DCA 2009)</w:t>
      </w:r>
      <w:r w:rsidR="0011775F" w:rsidRPr="0011775F">
        <w:rPr>
          <w:sz w:val="20"/>
          <w:szCs w:val="20"/>
        </w:rPr>
        <w:t>(“</w:t>
      </w:r>
      <w:r w:rsidR="0011775F" w:rsidRPr="000346AA">
        <w:rPr>
          <w:color w:val="000000"/>
          <w:sz w:val="20"/>
          <w:szCs w:val="20"/>
        </w:rPr>
        <w:t xml:space="preserve"> A motion for continuance is addressed to the sound judicial discretion of the trial court and absent abuse of that discretion its decision will not be reversed on appeal</w:t>
      </w:r>
      <w:r w:rsidR="0011775F" w:rsidRPr="0011775F">
        <w:rPr>
          <w:sz w:val="20"/>
          <w:szCs w:val="20"/>
        </w:rPr>
        <w:t>”)</w:t>
      </w:r>
      <w:r w:rsidRPr="0011775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D569" w14:textId="77777777" w:rsidR="00BC402E" w:rsidRDefault="0066195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20240025-EI</w:t>
    </w:r>
    <w:bookmarkEnd w:id="15"/>
  </w:p>
  <w:p w14:paraId="3095DDA9" w14:textId="77777777" w:rsidR="00BC402E" w:rsidRDefault="00BC402E">
    <w:pPr>
      <w:pStyle w:val="Header"/>
    </w:pPr>
    <w:r>
      <w:t xml:space="preserve">Date: </w:t>
    </w:r>
    <w:r w:rsidR="00F45BC6">
      <w:fldChar w:fldCharType="begin"/>
    </w:r>
    <w:r w:rsidR="00F45BC6">
      <w:instrText xml:space="preserve"> REF FilingDate </w:instrText>
    </w:r>
    <w:r w:rsidR="00F45BC6">
      <w:fldChar w:fldCharType="separate"/>
    </w:r>
    <w:r w:rsidR="00661958">
      <w:t>May 14, 2024</w:t>
    </w:r>
    <w:r w:rsidR="00F45BC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0A19" w14:textId="0F0DC92C"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61958">
      <w:t>Docket No.</w:t>
    </w:r>
    <w:r>
      <w:fldChar w:fldCharType="end"/>
    </w:r>
    <w:r>
      <w:t xml:space="preserve"> </w:t>
    </w:r>
    <w:r>
      <w:fldChar w:fldCharType="begin"/>
    </w:r>
    <w:r>
      <w:instrText xml:space="preserve"> REF DocketList</w:instrText>
    </w:r>
    <w:r>
      <w:fldChar w:fldCharType="separate"/>
    </w:r>
    <w:r w:rsidR="00661958">
      <w:t>20240025-EI</w:t>
    </w:r>
    <w:r>
      <w:fldChar w:fldCharType="end"/>
    </w:r>
    <w:r>
      <w:tab/>
      <w:t xml:space="preserve">Issue </w:t>
    </w:r>
    <w:fldSimple w:instr=" Seq Issue \c \* Arabic ">
      <w:r w:rsidR="00977E37">
        <w:rPr>
          <w:noProof/>
        </w:rPr>
        <w:t>3</w:t>
      </w:r>
    </w:fldSimple>
  </w:p>
  <w:p w14:paraId="3FFE3D2B" w14:textId="77777777" w:rsidR="00BC402E" w:rsidRDefault="00BC402E">
    <w:pPr>
      <w:pStyle w:val="Header"/>
    </w:pPr>
    <w:r>
      <w:t xml:space="preserve">Date: </w:t>
    </w:r>
    <w:r w:rsidR="00F45BC6">
      <w:fldChar w:fldCharType="begin"/>
    </w:r>
    <w:r w:rsidR="00F45BC6">
      <w:instrText xml:space="preserve"> REF FilingDate </w:instrText>
    </w:r>
    <w:r w:rsidR="00F45BC6">
      <w:fldChar w:fldCharType="separate"/>
    </w:r>
    <w:r w:rsidR="00661958">
      <w:t>May 14, 2024</w:t>
    </w:r>
    <w:r w:rsidR="00F45BC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74E4"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61958"/>
    <w:rsid w:val="000043D5"/>
    <w:rsid w:val="00006170"/>
    <w:rsid w:val="00010E37"/>
    <w:rsid w:val="000172DA"/>
    <w:rsid w:val="00022337"/>
    <w:rsid w:val="00023A0E"/>
    <w:rsid w:val="000247C5"/>
    <w:rsid w:val="000277C2"/>
    <w:rsid w:val="000346AA"/>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0AB"/>
    <w:rsid w:val="000D1C06"/>
    <w:rsid w:val="000D3043"/>
    <w:rsid w:val="000D4319"/>
    <w:rsid w:val="000E24FA"/>
    <w:rsid w:val="000E338A"/>
    <w:rsid w:val="000E4392"/>
    <w:rsid w:val="000F374A"/>
    <w:rsid w:val="000F4DAF"/>
    <w:rsid w:val="00105BA1"/>
    <w:rsid w:val="001076AF"/>
    <w:rsid w:val="001109F6"/>
    <w:rsid w:val="00116C6B"/>
    <w:rsid w:val="0011775F"/>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0F02"/>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77AB2"/>
    <w:rsid w:val="00281EB4"/>
    <w:rsid w:val="0028311F"/>
    <w:rsid w:val="00292D82"/>
    <w:rsid w:val="00293EE7"/>
    <w:rsid w:val="002963CB"/>
    <w:rsid w:val="002A5A20"/>
    <w:rsid w:val="002B2DAC"/>
    <w:rsid w:val="002B4A01"/>
    <w:rsid w:val="002C291B"/>
    <w:rsid w:val="002C746A"/>
    <w:rsid w:val="002C7E4E"/>
    <w:rsid w:val="002D226D"/>
    <w:rsid w:val="002D74E3"/>
    <w:rsid w:val="002F00A7"/>
    <w:rsid w:val="002F6018"/>
    <w:rsid w:val="002F6030"/>
    <w:rsid w:val="003001AC"/>
    <w:rsid w:val="003037E1"/>
    <w:rsid w:val="00306B6A"/>
    <w:rsid w:val="00307E51"/>
    <w:rsid w:val="003103EC"/>
    <w:rsid w:val="00312132"/>
    <w:rsid w:val="003130BA"/>
    <w:rsid w:val="003144EF"/>
    <w:rsid w:val="0031480E"/>
    <w:rsid w:val="00316877"/>
    <w:rsid w:val="00322F74"/>
    <w:rsid w:val="00325E15"/>
    <w:rsid w:val="00340073"/>
    <w:rsid w:val="003411D8"/>
    <w:rsid w:val="003445B0"/>
    <w:rsid w:val="003526E0"/>
    <w:rsid w:val="00353B66"/>
    <w:rsid w:val="00355934"/>
    <w:rsid w:val="00357928"/>
    <w:rsid w:val="003632FD"/>
    <w:rsid w:val="00370F78"/>
    <w:rsid w:val="00372805"/>
    <w:rsid w:val="00373180"/>
    <w:rsid w:val="00375AB9"/>
    <w:rsid w:val="0037691E"/>
    <w:rsid w:val="00381769"/>
    <w:rsid w:val="003821A0"/>
    <w:rsid w:val="00385B04"/>
    <w:rsid w:val="003864CF"/>
    <w:rsid w:val="003948AE"/>
    <w:rsid w:val="003A08C0"/>
    <w:rsid w:val="003A22A6"/>
    <w:rsid w:val="003A32EB"/>
    <w:rsid w:val="003A5494"/>
    <w:rsid w:val="003B2510"/>
    <w:rsid w:val="003B4355"/>
    <w:rsid w:val="003B6CD3"/>
    <w:rsid w:val="003C2CC4"/>
    <w:rsid w:val="003C3710"/>
    <w:rsid w:val="003C42A3"/>
    <w:rsid w:val="003C48F7"/>
    <w:rsid w:val="003E003E"/>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499"/>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48EB"/>
    <w:rsid w:val="0055529B"/>
    <w:rsid w:val="00560FF0"/>
    <w:rsid w:val="005614BD"/>
    <w:rsid w:val="0057154F"/>
    <w:rsid w:val="005759AB"/>
    <w:rsid w:val="00580F69"/>
    <w:rsid w:val="00581CA3"/>
    <w:rsid w:val="00585031"/>
    <w:rsid w:val="00586E8B"/>
    <w:rsid w:val="00587090"/>
    <w:rsid w:val="00587A44"/>
    <w:rsid w:val="00597730"/>
    <w:rsid w:val="005977EC"/>
    <w:rsid w:val="00597DE7"/>
    <w:rsid w:val="005A1CD3"/>
    <w:rsid w:val="005A4AA2"/>
    <w:rsid w:val="005B34B6"/>
    <w:rsid w:val="005B3523"/>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1958"/>
    <w:rsid w:val="00666522"/>
    <w:rsid w:val="00667036"/>
    <w:rsid w:val="00667B89"/>
    <w:rsid w:val="00673BD4"/>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5764"/>
    <w:rsid w:val="00702082"/>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3E24"/>
    <w:rsid w:val="00776A8F"/>
    <w:rsid w:val="00780C09"/>
    <w:rsid w:val="00780DDF"/>
    <w:rsid w:val="007834E9"/>
    <w:rsid w:val="00787DBC"/>
    <w:rsid w:val="0079019A"/>
    <w:rsid w:val="00792935"/>
    <w:rsid w:val="007A04A1"/>
    <w:rsid w:val="007A1840"/>
    <w:rsid w:val="007A59E4"/>
    <w:rsid w:val="007B730C"/>
    <w:rsid w:val="007C0528"/>
    <w:rsid w:val="007C08EA"/>
    <w:rsid w:val="007C33F3"/>
    <w:rsid w:val="007C3D38"/>
    <w:rsid w:val="007D0F35"/>
    <w:rsid w:val="007D1783"/>
    <w:rsid w:val="007D4546"/>
    <w:rsid w:val="007D4FEB"/>
    <w:rsid w:val="007D6146"/>
    <w:rsid w:val="007E0CE7"/>
    <w:rsid w:val="007F1193"/>
    <w:rsid w:val="007F417F"/>
    <w:rsid w:val="007F7644"/>
    <w:rsid w:val="008042BD"/>
    <w:rsid w:val="00804E17"/>
    <w:rsid w:val="008050B3"/>
    <w:rsid w:val="00806706"/>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57BC"/>
    <w:rsid w:val="008731AB"/>
    <w:rsid w:val="00874344"/>
    <w:rsid w:val="0087505D"/>
    <w:rsid w:val="00877703"/>
    <w:rsid w:val="00882155"/>
    <w:rsid w:val="0088233B"/>
    <w:rsid w:val="008848B2"/>
    <w:rsid w:val="0088599E"/>
    <w:rsid w:val="00886C37"/>
    <w:rsid w:val="008915FC"/>
    <w:rsid w:val="00892D99"/>
    <w:rsid w:val="00893315"/>
    <w:rsid w:val="00894580"/>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27F4C"/>
    <w:rsid w:val="0093658B"/>
    <w:rsid w:val="009429FF"/>
    <w:rsid w:val="009444D1"/>
    <w:rsid w:val="00945BD6"/>
    <w:rsid w:val="009479FB"/>
    <w:rsid w:val="00951C45"/>
    <w:rsid w:val="00951DD8"/>
    <w:rsid w:val="009656F2"/>
    <w:rsid w:val="00966A08"/>
    <w:rsid w:val="009701B7"/>
    <w:rsid w:val="00971207"/>
    <w:rsid w:val="00975CB4"/>
    <w:rsid w:val="00977E37"/>
    <w:rsid w:val="0098266E"/>
    <w:rsid w:val="00985730"/>
    <w:rsid w:val="009863B0"/>
    <w:rsid w:val="00987DE1"/>
    <w:rsid w:val="00990571"/>
    <w:rsid w:val="00991905"/>
    <w:rsid w:val="009926B2"/>
    <w:rsid w:val="0099673A"/>
    <w:rsid w:val="009A3291"/>
    <w:rsid w:val="009A3330"/>
    <w:rsid w:val="009A548F"/>
    <w:rsid w:val="009A7C96"/>
    <w:rsid w:val="009B1972"/>
    <w:rsid w:val="009B61BF"/>
    <w:rsid w:val="009C3253"/>
    <w:rsid w:val="009C3DB9"/>
    <w:rsid w:val="009C5968"/>
    <w:rsid w:val="009D0436"/>
    <w:rsid w:val="009D46E5"/>
    <w:rsid w:val="009D568A"/>
    <w:rsid w:val="009F04EC"/>
    <w:rsid w:val="009F2A7C"/>
    <w:rsid w:val="009F3B36"/>
    <w:rsid w:val="00A019B9"/>
    <w:rsid w:val="00A01EF2"/>
    <w:rsid w:val="00A03157"/>
    <w:rsid w:val="00A11756"/>
    <w:rsid w:val="00A12497"/>
    <w:rsid w:val="00A12508"/>
    <w:rsid w:val="00A1282B"/>
    <w:rsid w:val="00A13A27"/>
    <w:rsid w:val="00A152BE"/>
    <w:rsid w:val="00A15B7C"/>
    <w:rsid w:val="00A160BF"/>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75877"/>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0751E"/>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178D"/>
    <w:rsid w:val="00BA37B3"/>
    <w:rsid w:val="00BA4CC6"/>
    <w:rsid w:val="00BA7F46"/>
    <w:rsid w:val="00BB0F1D"/>
    <w:rsid w:val="00BB3493"/>
    <w:rsid w:val="00BB6E4C"/>
    <w:rsid w:val="00BB7468"/>
    <w:rsid w:val="00BC0514"/>
    <w:rsid w:val="00BC188A"/>
    <w:rsid w:val="00BC2F97"/>
    <w:rsid w:val="00BC402E"/>
    <w:rsid w:val="00BC70C6"/>
    <w:rsid w:val="00BD0F48"/>
    <w:rsid w:val="00BD14E5"/>
    <w:rsid w:val="00BE0E50"/>
    <w:rsid w:val="00BE6DDB"/>
    <w:rsid w:val="00BF03E0"/>
    <w:rsid w:val="00BF5010"/>
    <w:rsid w:val="00C03009"/>
    <w:rsid w:val="00C03D5F"/>
    <w:rsid w:val="00C13791"/>
    <w:rsid w:val="00C210BD"/>
    <w:rsid w:val="00C21521"/>
    <w:rsid w:val="00C2575A"/>
    <w:rsid w:val="00C31BB3"/>
    <w:rsid w:val="00C35DB4"/>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3133"/>
    <w:rsid w:val="00CE2BF8"/>
    <w:rsid w:val="00CE484E"/>
    <w:rsid w:val="00CE4C0D"/>
    <w:rsid w:val="00CE4D20"/>
    <w:rsid w:val="00CE656F"/>
    <w:rsid w:val="00CF0DA8"/>
    <w:rsid w:val="00CF2E25"/>
    <w:rsid w:val="00CF4453"/>
    <w:rsid w:val="00CF5589"/>
    <w:rsid w:val="00CF5D94"/>
    <w:rsid w:val="00CF7E0F"/>
    <w:rsid w:val="00D00893"/>
    <w:rsid w:val="00D01E8A"/>
    <w:rsid w:val="00D034D7"/>
    <w:rsid w:val="00D04BE4"/>
    <w:rsid w:val="00D06FC7"/>
    <w:rsid w:val="00D12565"/>
    <w:rsid w:val="00D140C1"/>
    <w:rsid w:val="00D14127"/>
    <w:rsid w:val="00D214B7"/>
    <w:rsid w:val="00D24CED"/>
    <w:rsid w:val="00D34862"/>
    <w:rsid w:val="00D479AE"/>
    <w:rsid w:val="00D50FCD"/>
    <w:rsid w:val="00D533E3"/>
    <w:rsid w:val="00D60B16"/>
    <w:rsid w:val="00D60F02"/>
    <w:rsid w:val="00D66E49"/>
    <w:rsid w:val="00D70D71"/>
    <w:rsid w:val="00D72F74"/>
    <w:rsid w:val="00D81563"/>
    <w:rsid w:val="00D837C1"/>
    <w:rsid w:val="00D85907"/>
    <w:rsid w:val="00D860AC"/>
    <w:rsid w:val="00D86A07"/>
    <w:rsid w:val="00D9073E"/>
    <w:rsid w:val="00D91940"/>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5FDF"/>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1B85"/>
    <w:rsid w:val="00E95278"/>
    <w:rsid w:val="00E96A42"/>
    <w:rsid w:val="00EA2273"/>
    <w:rsid w:val="00EA7C3C"/>
    <w:rsid w:val="00EB2DB3"/>
    <w:rsid w:val="00EC071F"/>
    <w:rsid w:val="00EC10B5"/>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0C3B"/>
    <w:rsid w:val="00F32978"/>
    <w:rsid w:val="00F45CB2"/>
    <w:rsid w:val="00F47016"/>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6A1B"/>
    <w:rsid w:val="00FC2F3C"/>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3F49F6"/>
  <w15:docId w15:val="{3F6102AD-73B6-49FB-8FEA-FF0E4FBC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661958"/>
    <w:rPr>
      <w:vertAlign w:val="superscript"/>
    </w:rPr>
  </w:style>
  <w:style w:type="character" w:styleId="CommentReference">
    <w:name w:val="annotation reference"/>
    <w:basedOn w:val="DefaultParagraphFont"/>
    <w:semiHidden/>
    <w:unhideWhenUsed/>
    <w:rsid w:val="00F30C3B"/>
    <w:rPr>
      <w:sz w:val="16"/>
      <w:szCs w:val="16"/>
    </w:rPr>
  </w:style>
  <w:style w:type="character" w:customStyle="1" w:styleId="FootnoteTextChar">
    <w:name w:val="Footnote Text Char"/>
    <w:basedOn w:val="DefaultParagraphFont"/>
    <w:link w:val="FootnoteText"/>
    <w:uiPriority w:val="99"/>
    <w:rsid w:val="00776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808777">
      <w:bodyDiv w:val="1"/>
      <w:marLeft w:val="0"/>
      <w:marRight w:val="0"/>
      <w:marTop w:val="0"/>
      <w:marBottom w:val="0"/>
      <w:divBdr>
        <w:top w:val="none" w:sz="0" w:space="0" w:color="auto"/>
        <w:left w:val="none" w:sz="0" w:space="0" w:color="auto"/>
        <w:bottom w:val="none" w:sz="0" w:space="0" w:color="auto"/>
        <w:right w:val="none" w:sz="0" w:space="0" w:color="auto"/>
      </w:divBdr>
      <w:divsChild>
        <w:div w:id="924651864">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96F6-8087-479E-966E-63C2B90F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2928</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Chasity Vaughan</dc:creator>
  <cp:lastModifiedBy>Danyel Sims</cp:lastModifiedBy>
  <cp:revision>2</cp:revision>
  <cp:lastPrinted>2004-01-27T20:32:00Z</cp:lastPrinted>
  <dcterms:created xsi:type="dcterms:W3CDTF">2024-05-13T17:25:00Z</dcterms:created>
  <dcterms:modified xsi:type="dcterms:W3CDTF">2024-05-13T17:25:00Z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20240025-EI</vt:lpwstr>
  </property>
  <property fmtid="{D5CDD505-2E9C-101B-9397-08002B2CF9AE}" pid="3" name="MasterDocument">
    <vt:bool>false</vt:bool>
  </property>
</Properties>
</file>