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CB103" w14:textId="77777777" w:rsidR="00CB5276" w:rsidRDefault="007C65F5" w:rsidP="007C65F5">
      <w:pPr>
        <w:pStyle w:val="OrderHeading"/>
      </w:pPr>
      <w:r>
        <w:t>BEFORE THE FLORIDA PUBLIC SERVICE COMMISSION</w:t>
      </w:r>
    </w:p>
    <w:p w14:paraId="2ADFA2D9" w14:textId="77777777" w:rsidR="007C65F5" w:rsidRDefault="007C65F5" w:rsidP="007C65F5">
      <w:pPr>
        <w:pStyle w:val="OrderBody"/>
      </w:pPr>
    </w:p>
    <w:p w14:paraId="607721BE" w14:textId="77777777" w:rsidR="007C65F5" w:rsidRDefault="007C65F5" w:rsidP="007C65F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65F5" w:rsidRPr="00C63FCF" w14:paraId="600B829C" w14:textId="77777777" w:rsidTr="00C63FCF">
        <w:trPr>
          <w:trHeight w:val="828"/>
        </w:trPr>
        <w:tc>
          <w:tcPr>
            <w:tcW w:w="4788" w:type="dxa"/>
            <w:tcBorders>
              <w:bottom w:val="single" w:sz="8" w:space="0" w:color="auto"/>
              <w:right w:val="double" w:sz="6" w:space="0" w:color="auto"/>
            </w:tcBorders>
            <w:shd w:val="clear" w:color="auto" w:fill="auto"/>
          </w:tcPr>
          <w:p w14:paraId="555657BB" w14:textId="77777777" w:rsidR="007C65F5" w:rsidRDefault="007C65F5"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14:paraId="6C707560" w14:textId="77777777" w:rsidR="007C65F5" w:rsidRDefault="007C65F5" w:rsidP="007C65F5">
            <w:pPr>
              <w:pStyle w:val="OrderBody"/>
            </w:pPr>
            <w:r>
              <w:t xml:space="preserve">DOCKET NO. </w:t>
            </w:r>
            <w:bookmarkStart w:id="1" w:name="SSDocketNo"/>
            <w:bookmarkEnd w:id="1"/>
            <w:r>
              <w:t>20240025-EI</w:t>
            </w:r>
          </w:p>
          <w:p w14:paraId="3153D8EA" w14:textId="341D48AE" w:rsidR="007C65F5" w:rsidRDefault="007C65F5" w:rsidP="00C63FCF">
            <w:pPr>
              <w:pStyle w:val="OrderBody"/>
              <w:tabs>
                <w:tab w:val="center" w:pos="4320"/>
                <w:tab w:val="right" w:pos="8640"/>
              </w:tabs>
              <w:jc w:val="left"/>
            </w:pPr>
            <w:r>
              <w:t xml:space="preserve">ORDER NO. </w:t>
            </w:r>
            <w:bookmarkStart w:id="2" w:name="OrderNo0184"/>
            <w:r w:rsidR="003B7624">
              <w:t>PSC-2024-0184-PCO-EI</w:t>
            </w:r>
            <w:bookmarkEnd w:id="2"/>
          </w:p>
          <w:p w14:paraId="78B5585B" w14:textId="627A0ADC" w:rsidR="007C65F5" w:rsidRDefault="007C65F5" w:rsidP="00C63FCF">
            <w:pPr>
              <w:pStyle w:val="OrderBody"/>
              <w:tabs>
                <w:tab w:val="center" w:pos="4320"/>
                <w:tab w:val="right" w:pos="8640"/>
              </w:tabs>
              <w:jc w:val="left"/>
            </w:pPr>
            <w:r>
              <w:t xml:space="preserve">ISSUED: </w:t>
            </w:r>
            <w:r w:rsidR="003B7624">
              <w:t>June 4, 2024</w:t>
            </w:r>
          </w:p>
        </w:tc>
      </w:tr>
    </w:tbl>
    <w:p w14:paraId="349E75B6" w14:textId="77777777" w:rsidR="007C65F5" w:rsidRDefault="007C65F5" w:rsidP="007C65F5"/>
    <w:p w14:paraId="3E169531" w14:textId="77777777" w:rsidR="007C65F5" w:rsidRDefault="007C65F5" w:rsidP="007C65F5"/>
    <w:p w14:paraId="03665CFC" w14:textId="77777777" w:rsidR="00B24754" w:rsidRDefault="007C65F5" w:rsidP="007C65F5">
      <w:pPr>
        <w:pStyle w:val="CenterUnderline"/>
      </w:pPr>
      <w:bookmarkStart w:id="3" w:name="Commissioners"/>
      <w:bookmarkEnd w:id="3"/>
      <w:r>
        <w:t>ORDER</w:t>
      </w:r>
      <w:bookmarkStart w:id="4" w:name="OrderTitle"/>
      <w:r>
        <w:t xml:space="preserve"> </w:t>
      </w:r>
      <w:r w:rsidR="008B4F20">
        <w:t xml:space="preserve">GRANTING </w:t>
      </w:r>
      <w:r w:rsidR="00B24754">
        <w:t xml:space="preserve">PETITION TO </w:t>
      </w:r>
      <w:r w:rsidR="008B4F20">
        <w:t>INTERVEN</w:t>
      </w:r>
      <w:r w:rsidR="00B24754">
        <w:t>E</w:t>
      </w:r>
    </w:p>
    <w:p w14:paraId="0909DD68" w14:textId="77777777" w:rsidR="00B24754" w:rsidRDefault="00B24754" w:rsidP="007C65F5">
      <w:pPr>
        <w:pStyle w:val="CenterUnderline"/>
      </w:pPr>
      <w:r>
        <w:t>BY AMERICANS FOR AFFORDABLE CLEAN</w:t>
      </w:r>
    </w:p>
    <w:p w14:paraId="5A7F988D" w14:textId="77777777" w:rsidR="00B24754" w:rsidRDefault="00B24754" w:rsidP="007C65F5">
      <w:pPr>
        <w:pStyle w:val="CenterUnderline"/>
      </w:pPr>
      <w:r>
        <w:t>ENERGY, INC., CIRCLE K STORES, INC.,</w:t>
      </w:r>
    </w:p>
    <w:p w14:paraId="6C0C34C8" w14:textId="77777777" w:rsidR="00CB5276" w:rsidRDefault="00B24754" w:rsidP="007C65F5">
      <w:pPr>
        <w:pStyle w:val="CenterUnderline"/>
      </w:pPr>
      <w:r>
        <w:t>RACETRAC, INC.</w:t>
      </w:r>
      <w:r w:rsidR="000007A8">
        <w:t>,</w:t>
      </w:r>
      <w:r>
        <w:t xml:space="preserve"> AND WAWA, INC.</w:t>
      </w:r>
      <w:r w:rsidR="007C65F5">
        <w:t xml:space="preserve"> </w:t>
      </w:r>
      <w:bookmarkEnd w:id="4"/>
    </w:p>
    <w:p w14:paraId="2B51DB83" w14:textId="77777777" w:rsidR="007C65F5" w:rsidRDefault="007C65F5" w:rsidP="007C65F5">
      <w:pPr>
        <w:pStyle w:val="CenterUnderline"/>
      </w:pPr>
    </w:p>
    <w:p w14:paraId="7E5EF7FE" w14:textId="77777777" w:rsidR="007C65F5" w:rsidRDefault="007C65F5" w:rsidP="007C65F5">
      <w:pPr>
        <w:pStyle w:val="OrderBody"/>
      </w:pPr>
    </w:p>
    <w:p w14:paraId="1C5CCF73" w14:textId="77777777" w:rsidR="005111B4" w:rsidRPr="001C144C" w:rsidRDefault="005111B4" w:rsidP="005111B4">
      <w:pPr>
        <w:jc w:val="both"/>
      </w:pPr>
      <w:bookmarkStart w:id="5" w:name="OrderText"/>
      <w:bookmarkEnd w:id="5"/>
      <w:r w:rsidRPr="001C144C">
        <w:tab/>
      </w:r>
      <w:r w:rsidRPr="00AB33CB">
        <w:t>Duke Energy Florida</w:t>
      </w:r>
      <w:r>
        <w:t>, LLC</w:t>
      </w:r>
      <w:r w:rsidRPr="00AB33CB">
        <w:t xml:space="preserve"> (Duke or Utility) filed its Petition for Rate Increase, minimum filing requirements (MFRs), and testimony on April 2, 2024. Duke filed its MFRs based on projected test years from January 1 to December 31, 2025; January 1 to December 31, 2026; and January 1 to December 31, 2027. </w:t>
      </w:r>
      <w:r>
        <w:t xml:space="preserve">By Order No. PSC-2024-0092-PCO-EI, issued April 11, 2024, </w:t>
      </w:r>
      <w:r w:rsidRPr="00AB33CB">
        <w:t xml:space="preserve">an administrative hearing has been scheduled for these matters for August 12 – </w:t>
      </w:r>
      <w:r>
        <w:t>16</w:t>
      </w:r>
      <w:r w:rsidRPr="00AB33CB">
        <w:t>, 2024</w:t>
      </w:r>
      <w:r>
        <w:t>. August 19 – 23, 2024, have also been reserved for the continuation and conclusion of this hearing, if necessary.</w:t>
      </w:r>
    </w:p>
    <w:p w14:paraId="2F8F3224" w14:textId="77777777" w:rsidR="008B4F20" w:rsidRPr="008B4F20" w:rsidRDefault="008B4F20" w:rsidP="008B4F20">
      <w:pPr>
        <w:jc w:val="both"/>
      </w:pPr>
    </w:p>
    <w:p w14:paraId="23834DDF" w14:textId="77777777" w:rsidR="008B4F20" w:rsidRPr="008B4F20" w:rsidRDefault="008B4F20" w:rsidP="008B4F20">
      <w:pPr>
        <w:jc w:val="both"/>
        <w:rPr>
          <w:u w:val="single"/>
        </w:rPr>
      </w:pPr>
      <w:r w:rsidRPr="008B4F20">
        <w:rPr>
          <w:u w:val="single"/>
        </w:rPr>
        <w:t>Petition for Intervention</w:t>
      </w:r>
    </w:p>
    <w:p w14:paraId="7F4F1FBA" w14:textId="77777777" w:rsidR="008B4F20" w:rsidRPr="008B4F20" w:rsidRDefault="008B4F20" w:rsidP="008B4F20">
      <w:pPr>
        <w:jc w:val="both"/>
      </w:pPr>
    </w:p>
    <w:p w14:paraId="198119DC" w14:textId="77777777" w:rsidR="001129AB" w:rsidRDefault="005111B4" w:rsidP="008B4F20">
      <w:pPr>
        <w:jc w:val="both"/>
      </w:pPr>
      <w:r>
        <w:tab/>
        <w:t>On</w:t>
      </w:r>
      <w:r w:rsidR="008B4F20" w:rsidRPr="008B4F20">
        <w:t xml:space="preserve"> </w:t>
      </w:r>
      <w:r w:rsidR="008B4F20">
        <w:t>April 24, 2024</w:t>
      </w:r>
      <w:r w:rsidR="008B4F20" w:rsidRPr="008B4F20">
        <w:t xml:space="preserve">, </w:t>
      </w:r>
      <w:r w:rsidR="008B4F20">
        <w:t>Americans for Affordable Clean Energy, Inc. (AACE), Circle K Stores, Inc., (Circle K), RaceTrac, Inc. (RaceTrac) and Wawa, Inc. (Wawa)</w:t>
      </w:r>
      <w:r w:rsidR="002C0F02">
        <w:t xml:space="preserve"> </w:t>
      </w:r>
      <w:r>
        <w:t>filed a Petition to Intervene</w:t>
      </w:r>
      <w:r w:rsidR="008B4F20" w:rsidRPr="008B4F20">
        <w:t xml:space="preserve"> in this proceeding.</w:t>
      </w:r>
      <w:r w:rsidR="007D4F73">
        <w:t xml:space="preserve"> Th</w:t>
      </w:r>
      <w:r w:rsidR="006C42B9">
        <w:t>e Petition</w:t>
      </w:r>
      <w:r w:rsidR="007D4F73">
        <w:t xml:space="preserve"> makes the following allegations</w:t>
      </w:r>
      <w:r w:rsidR="006C42B9">
        <w:t xml:space="preserve"> as to each p</w:t>
      </w:r>
      <w:r w:rsidR="00EF196C">
        <w:t>etitioning</w:t>
      </w:r>
      <w:r w:rsidR="006C42B9">
        <w:t xml:space="preserve"> intervenor:</w:t>
      </w:r>
    </w:p>
    <w:p w14:paraId="08C9C6FF" w14:textId="77777777" w:rsidR="00EF196C" w:rsidRDefault="00EF196C" w:rsidP="008B4F20">
      <w:pPr>
        <w:jc w:val="both"/>
      </w:pPr>
    </w:p>
    <w:p w14:paraId="3FE3CF59" w14:textId="77777777" w:rsidR="00EF196C" w:rsidRPr="00EF196C" w:rsidRDefault="00EF196C" w:rsidP="008B4F20">
      <w:pPr>
        <w:jc w:val="both"/>
        <w:rPr>
          <w:u w:val="single"/>
        </w:rPr>
      </w:pPr>
      <w:r>
        <w:tab/>
        <w:t>1.</w:t>
      </w:r>
      <w:r>
        <w:tab/>
      </w:r>
      <w:r>
        <w:rPr>
          <w:u w:val="single"/>
        </w:rPr>
        <w:t>AACE</w:t>
      </w:r>
    </w:p>
    <w:p w14:paraId="21965157" w14:textId="77777777" w:rsidR="006C42B9" w:rsidRPr="006C42B9" w:rsidRDefault="006C42B9" w:rsidP="007D4F73">
      <w:pPr>
        <w:jc w:val="both"/>
      </w:pPr>
    </w:p>
    <w:p w14:paraId="1EBB3F70" w14:textId="77777777" w:rsidR="008B4F20" w:rsidRDefault="001129AB" w:rsidP="007D4F73">
      <w:pPr>
        <w:jc w:val="both"/>
      </w:pPr>
      <w:r>
        <w:tab/>
      </w:r>
      <w:r w:rsidR="005111B4">
        <w:t xml:space="preserve">AACE is a nonprofit association of fuel retailers. AACE </w:t>
      </w:r>
      <w:r w:rsidR="006C42B9">
        <w:t>seeks</w:t>
      </w:r>
      <w:r w:rsidR="005111B4">
        <w:t xml:space="preserve"> </w:t>
      </w:r>
      <w:r w:rsidR="006C42B9">
        <w:t>intervention on behalf</w:t>
      </w:r>
      <w:r w:rsidR="005111B4">
        <w:t xml:space="preserve"> of </w:t>
      </w:r>
      <w:r w:rsidR="006C42B9">
        <w:t>“</w:t>
      </w:r>
      <w:r w:rsidR="005111B4">
        <w:t>its</w:t>
      </w:r>
      <w:r w:rsidR="006C42B9">
        <w:t xml:space="preserve"> five fuel retailer members in Florida,”</w:t>
      </w:r>
      <w:r w:rsidR="005111B4">
        <w:t xml:space="preserve"> </w:t>
      </w:r>
      <w:r w:rsidR="006C42B9">
        <w:t xml:space="preserve">who collectively own and operate over 1,500 convenience stores, public travel facilities, and truck stops in </w:t>
      </w:r>
      <w:r w:rsidR="007D4F73">
        <w:t>the state</w:t>
      </w:r>
      <w:r w:rsidR="006C42B9">
        <w:t>. These locations offer fuel, good</w:t>
      </w:r>
      <w:r w:rsidR="007D4F73">
        <w:t>s</w:t>
      </w:r>
      <w:r w:rsidR="006C42B9">
        <w:t xml:space="preserve">, services, and other amenities. All members of AACE </w:t>
      </w:r>
      <w:r w:rsidR="007D4F73">
        <w:t xml:space="preserve">for whom intervention is sought </w:t>
      </w:r>
      <w:r w:rsidR="005111B4">
        <w:t>are energy customers (ratepayers) of Duke</w:t>
      </w:r>
      <w:r w:rsidR="007D4F73">
        <w:t>, and rely on electricity to offer fuel and other services</w:t>
      </w:r>
      <w:r w:rsidR="005111B4">
        <w:t>.</w:t>
      </w:r>
      <w:r w:rsidR="00F51F34">
        <w:t xml:space="preserve"> </w:t>
      </w:r>
      <w:r w:rsidR="006C42B9">
        <w:t>Electric vehicle</w:t>
      </w:r>
      <w:r w:rsidR="00F51F34">
        <w:t xml:space="preserve"> (EV) charging stations have been or may be deployed</w:t>
      </w:r>
      <w:r w:rsidR="006C42B9">
        <w:t xml:space="preserve"> at some of the locations owned and operated by AACE members</w:t>
      </w:r>
      <w:r w:rsidR="00F51F34">
        <w:t>.</w:t>
      </w:r>
      <w:r w:rsidR="001B52B6">
        <w:t xml:space="preserve"> </w:t>
      </w:r>
      <w:r w:rsidR="006C42B9">
        <w:t>The</w:t>
      </w:r>
      <w:r w:rsidR="001B52B6">
        <w:t xml:space="preserve"> membership</w:t>
      </w:r>
      <w:r w:rsidR="006C42B9">
        <w:t xml:space="preserve"> of AACE</w:t>
      </w:r>
      <w:r w:rsidR="001B52B6">
        <w:t xml:space="preserve"> includes Circle K, RaceTrac, and Wawa.</w:t>
      </w:r>
    </w:p>
    <w:p w14:paraId="107D7472" w14:textId="77777777" w:rsidR="00EF196C" w:rsidRDefault="00EF196C" w:rsidP="007D4F73">
      <w:pPr>
        <w:jc w:val="both"/>
      </w:pPr>
    </w:p>
    <w:p w14:paraId="37E8FB34" w14:textId="77777777" w:rsidR="00EF196C" w:rsidRPr="00EF196C" w:rsidRDefault="00EF196C" w:rsidP="007D4F73">
      <w:pPr>
        <w:jc w:val="both"/>
      </w:pPr>
      <w:r>
        <w:tab/>
        <w:t>2.</w:t>
      </w:r>
      <w:r>
        <w:tab/>
      </w:r>
      <w:r>
        <w:rPr>
          <w:u w:val="single"/>
        </w:rPr>
        <w:t>Circle K</w:t>
      </w:r>
    </w:p>
    <w:p w14:paraId="7FF9BFCC" w14:textId="77777777" w:rsidR="00F51F34" w:rsidRDefault="00F51F34" w:rsidP="008B4F20">
      <w:pPr>
        <w:jc w:val="both"/>
      </w:pPr>
    </w:p>
    <w:p w14:paraId="2B3FE102" w14:textId="77777777" w:rsidR="00F51F34" w:rsidRPr="008B4F20" w:rsidRDefault="00F51F34" w:rsidP="008B4F20">
      <w:pPr>
        <w:jc w:val="both"/>
      </w:pPr>
      <w:r>
        <w:tab/>
        <w:t xml:space="preserve">Circle K </w:t>
      </w:r>
      <w:r w:rsidR="002C0CCD">
        <w:t>has over 60 years experience in the convenience retailing industry</w:t>
      </w:r>
      <w:r w:rsidR="00FB4685">
        <w:t>, and</w:t>
      </w:r>
      <w:r w:rsidR="00AD4C9C">
        <w:t xml:space="preserve"> is currently</w:t>
      </w:r>
      <w:r w:rsidR="005103D1">
        <w:t xml:space="preserve"> the global brand of Alimentation Couche-Tard, Inc., which</w:t>
      </w:r>
      <w:r w:rsidR="002C0CCD">
        <w:t xml:space="preserve"> operates </w:t>
      </w:r>
      <w:r w:rsidR="005103D1">
        <w:t xml:space="preserve">more than 16,700 stores </w:t>
      </w:r>
      <w:r w:rsidR="002C0CCD">
        <w:t>in 29 countries and territories. Circle K operate</w:t>
      </w:r>
      <w:r w:rsidR="00D14718">
        <w:t xml:space="preserve">s approximately 150 convenience stores in </w:t>
      </w:r>
      <w:r w:rsidR="00D14718">
        <w:lastRenderedPageBreak/>
        <w:t>Duke’s territory</w:t>
      </w:r>
      <w:r w:rsidR="001129AB">
        <w:t>,</w:t>
      </w:r>
      <w:r w:rsidR="007D4F73">
        <w:t xml:space="preserve"> and</w:t>
      </w:r>
      <w:r w:rsidR="001129AB" w:rsidRPr="001129AB">
        <w:t xml:space="preserve"> </w:t>
      </w:r>
      <w:r w:rsidR="001129AB">
        <w:t>pays the Utility substantial amounts for electricity</w:t>
      </w:r>
      <w:r w:rsidR="001B52B6">
        <w:t>.</w:t>
      </w:r>
      <w:r w:rsidR="002C0CCD">
        <w:t xml:space="preserve"> Circle K operates EV chargers outside of Duke’s territory, but “looks to expand its EV charging services.”</w:t>
      </w:r>
    </w:p>
    <w:p w14:paraId="4CA7D2C8" w14:textId="77777777" w:rsidR="008B4F20" w:rsidRDefault="008B4F20" w:rsidP="008B4F20">
      <w:pPr>
        <w:jc w:val="both"/>
      </w:pPr>
    </w:p>
    <w:p w14:paraId="5D4E2051" w14:textId="77777777" w:rsidR="00EF196C" w:rsidRPr="00EF196C" w:rsidRDefault="00EF196C" w:rsidP="008B4F20">
      <w:pPr>
        <w:jc w:val="both"/>
        <w:rPr>
          <w:u w:val="single"/>
        </w:rPr>
      </w:pPr>
      <w:r>
        <w:tab/>
        <w:t>3.</w:t>
      </w:r>
      <w:r>
        <w:tab/>
      </w:r>
      <w:r>
        <w:rPr>
          <w:u w:val="single"/>
        </w:rPr>
        <w:t>RaceTrac</w:t>
      </w:r>
    </w:p>
    <w:p w14:paraId="193A9F37" w14:textId="77777777" w:rsidR="00EF196C" w:rsidRDefault="00EF196C" w:rsidP="008B4F20">
      <w:pPr>
        <w:jc w:val="both"/>
      </w:pPr>
    </w:p>
    <w:p w14:paraId="78FAC802" w14:textId="77777777" w:rsidR="002C0CCD" w:rsidRDefault="002C0CCD" w:rsidP="008B4F20">
      <w:pPr>
        <w:jc w:val="both"/>
      </w:pPr>
      <w:r>
        <w:tab/>
        <w:t>RaceTrac</w:t>
      </w:r>
      <w:r w:rsidR="00146B56">
        <w:t xml:space="preserve"> has been in business for 90 years and, together with affiliate RaceWay, currently operates over 800 stores</w:t>
      </w:r>
      <w:r w:rsidR="001B52B6">
        <w:t xml:space="preserve"> over its entire footprint</w:t>
      </w:r>
      <w:r w:rsidR="00146B56">
        <w:t>. RaceTrac has 78 refueling stations and one Store Support Center in Duke’s territory</w:t>
      </w:r>
      <w:r w:rsidR="001B52B6">
        <w:t xml:space="preserve">. RaceTrac </w:t>
      </w:r>
      <w:r w:rsidR="00146B56">
        <w:t xml:space="preserve">pays the Utility substantial amounts for electricity. RaceTrac offers EV chargers outside of Duke’s territory, </w:t>
      </w:r>
      <w:r w:rsidR="00EF196C">
        <w:t>and</w:t>
      </w:r>
      <w:r w:rsidR="00146B56">
        <w:t xml:space="preserve"> looks to expand its EV charging services.</w:t>
      </w:r>
    </w:p>
    <w:p w14:paraId="47D7FC6C" w14:textId="77777777" w:rsidR="001B52B6" w:rsidRDefault="001B52B6" w:rsidP="008B4F20">
      <w:pPr>
        <w:jc w:val="both"/>
      </w:pPr>
    </w:p>
    <w:p w14:paraId="43FB9346" w14:textId="77777777" w:rsidR="00EF196C" w:rsidRPr="00EF196C" w:rsidRDefault="00EF196C" w:rsidP="008B4F20">
      <w:pPr>
        <w:jc w:val="both"/>
        <w:rPr>
          <w:u w:val="single"/>
        </w:rPr>
      </w:pPr>
      <w:r>
        <w:tab/>
        <w:t>4.</w:t>
      </w:r>
      <w:r>
        <w:tab/>
      </w:r>
      <w:r>
        <w:rPr>
          <w:u w:val="single"/>
        </w:rPr>
        <w:t>Wawa</w:t>
      </w:r>
    </w:p>
    <w:p w14:paraId="254DCEAE" w14:textId="77777777" w:rsidR="00EF196C" w:rsidRDefault="00EF196C" w:rsidP="008B4F20">
      <w:pPr>
        <w:jc w:val="both"/>
      </w:pPr>
    </w:p>
    <w:p w14:paraId="34FEB26B" w14:textId="185EBDD4" w:rsidR="001B52B6" w:rsidRDefault="001B52B6" w:rsidP="008B4F20">
      <w:pPr>
        <w:jc w:val="both"/>
      </w:pPr>
      <w:r>
        <w:tab/>
        <w:t xml:space="preserve">Wawa currently operates 1,020 convenience stores, approximately 865 of which have motor vehicle refueling stations. Wawa has 79 locations in Duke’s territory, 17 of which have EV charging stations, and plans to add 39 EV charging stations in the next 10 years. </w:t>
      </w:r>
      <w:r w:rsidRPr="00464C74">
        <w:t>Wawa pays the Utility substantial amounts for electricity, and affordable and reliable electrical service is necessary for its operations.</w:t>
      </w:r>
    </w:p>
    <w:p w14:paraId="2A0F781B" w14:textId="77777777" w:rsidR="00166596" w:rsidRDefault="00166596" w:rsidP="008B4F20">
      <w:pPr>
        <w:jc w:val="both"/>
      </w:pPr>
    </w:p>
    <w:p w14:paraId="2E7F775B" w14:textId="77777777" w:rsidR="00166596" w:rsidRDefault="00166596" w:rsidP="008B4F20">
      <w:pPr>
        <w:jc w:val="both"/>
      </w:pPr>
      <w:r>
        <w:rPr>
          <w:u w:val="single"/>
        </w:rPr>
        <w:t>DEF Response to Petition to Intervene</w:t>
      </w:r>
    </w:p>
    <w:p w14:paraId="6B12A5D6" w14:textId="77777777" w:rsidR="00166596" w:rsidRDefault="00166596" w:rsidP="008B4F20">
      <w:pPr>
        <w:jc w:val="both"/>
      </w:pPr>
    </w:p>
    <w:p w14:paraId="45710365" w14:textId="77777777" w:rsidR="00166596" w:rsidRDefault="00166596" w:rsidP="008B4F20">
      <w:pPr>
        <w:jc w:val="both"/>
      </w:pPr>
      <w:r>
        <w:tab/>
      </w:r>
      <w:r w:rsidR="00902E36">
        <w:t>In its Response to the Petition, Duke states that it has verified that Circle K, RaceTrac, and Wawa (collectively “Fuel Retailers”) are retail customers of the Utility. Duke raises no objection to the Fuel Retailers intervening as ratepayers of the Utility.</w:t>
      </w:r>
    </w:p>
    <w:p w14:paraId="1B9C0EE3" w14:textId="77777777" w:rsidR="00902E36" w:rsidRDefault="00902E36" w:rsidP="008B4F20">
      <w:pPr>
        <w:jc w:val="both"/>
      </w:pPr>
    </w:p>
    <w:p w14:paraId="4CF3E219" w14:textId="77777777" w:rsidR="00166596" w:rsidRDefault="00902E36" w:rsidP="008B4F20">
      <w:pPr>
        <w:jc w:val="both"/>
      </w:pPr>
      <w:r>
        <w:tab/>
        <w:t xml:space="preserve">As to AACE, Duke raises no objection to the legal sufficiency of the allegations relating to standing. However, Duke questions whether AACE will be able to factually support the allegations and prove standing. Duke notes that AACE alleges that a substantial number of its members are ratepayers of the Utility, </w:t>
      </w:r>
      <w:r w:rsidR="00416C30">
        <w:t>but does not provide a number or percentage.</w:t>
      </w:r>
      <w:r w:rsidR="001D277F">
        <w:t xml:space="preserve"> Duke also questions whether the general allegations made by AACE regarding its associational purpose and the relief it seeks for its members </w:t>
      </w:r>
      <w:r w:rsidR="004C780B">
        <w:t xml:space="preserve">can ultimately be </w:t>
      </w:r>
      <w:r w:rsidR="001D277F">
        <w:t>supported by facts that would allow the Commission to grant standing and afford relief to AACE.</w:t>
      </w:r>
    </w:p>
    <w:p w14:paraId="4335A56F" w14:textId="77777777" w:rsidR="004C780B" w:rsidRDefault="004C780B" w:rsidP="008B4F20">
      <w:pPr>
        <w:jc w:val="both"/>
      </w:pPr>
    </w:p>
    <w:p w14:paraId="7C1870AE" w14:textId="77777777" w:rsidR="004C780B" w:rsidRDefault="004C780B" w:rsidP="008B4F20">
      <w:pPr>
        <w:jc w:val="both"/>
      </w:pPr>
      <w:r>
        <w:tab/>
        <w:t>Duke also argues that limitations should be placed on the “standing rights” of AACE and the Fuel Retailers.</w:t>
      </w:r>
      <w:r w:rsidR="003A7E39">
        <w:t xml:space="preserve"> Duke avers that the intervenors’ arguments regarding market competition and business interests and potential impacts on the EV market are beyond the scope of this proceeding. Duke also argues that concerns regarding the impact of green hydrogen on future fuel markets are too abstract and speculative to support standing.</w:t>
      </w:r>
    </w:p>
    <w:p w14:paraId="50A7CFDA" w14:textId="77777777" w:rsidR="0020498A" w:rsidRDefault="0020498A" w:rsidP="008B4F20">
      <w:pPr>
        <w:jc w:val="both"/>
      </w:pPr>
    </w:p>
    <w:p w14:paraId="50DDB5C9" w14:textId="77777777" w:rsidR="0020498A" w:rsidRDefault="0020498A" w:rsidP="008B4F20">
      <w:pPr>
        <w:jc w:val="both"/>
      </w:pPr>
      <w:r>
        <w:tab/>
        <w:t>The Fuel Retailers and AACE filed a “Response to Duke Energy’s Motion to Limit Fuel Retailers’ Intervention,” and therein argued that the portion of Duke’s Response requesting a limitation on standing was itself a motion and should be denied.</w:t>
      </w:r>
    </w:p>
    <w:p w14:paraId="6493C6D2" w14:textId="77777777" w:rsidR="0020498A" w:rsidRDefault="0020498A" w:rsidP="008B4F20">
      <w:pPr>
        <w:jc w:val="both"/>
      </w:pPr>
    </w:p>
    <w:p w14:paraId="143F4839" w14:textId="77777777" w:rsidR="0020498A" w:rsidRDefault="0020498A" w:rsidP="008B4F20">
      <w:pPr>
        <w:jc w:val="both"/>
      </w:pPr>
    </w:p>
    <w:p w14:paraId="5AC275B1" w14:textId="77777777" w:rsidR="0061467C" w:rsidRDefault="0061467C" w:rsidP="008B4F20">
      <w:pPr>
        <w:jc w:val="both"/>
      </w:pPr>
    </w:p>
    <w:p w14:paraId="7129EFF9" w14:textId="77777777" w:rsidR="008B4F20" w:rsidRPr="008B4F20" w:rsidRDefault="008B4F20" w:rsidP="00166596">
      <w:pPr>
        <w:autoSpaceDE w:val="0"/>
        <w:autoSpaceDN w:val="0"/>
        <w:adjustRightInd w:val="0"/>
        <w:jc w:val="both"/>
        <w:rPr>
          <w:u w:val="single"/>
        </w:rPr>
      </w:pPr>
      <w:r w:rsidRPr="008B4F20">
        <w:rPr>
          <w:u w:val="single"/>
        </w:rPr>
        <w:lastRenderedPageBreak/>
        <w:t>Standards for Intervention</w:t>
      </w:r>
    </w:p>
    <w:p w14:paraId="70E81A24" w14:textId="77777777" w:rsidR="008B4F20" w:rsidRPr="008B4F20" w:rsidRDefault="008B4F20" w:rsidP="008B4F20">
      <w:pPr>
        <w:jc w:val="both"/>
      </w:pPr>
    </w:p>
    <w:p w14:paraId="133FCC7E" w14:textId="77777777" w:rsidR="008B4F20" w:rsidRDefault="008B4F20" w:rsidP="008B4F20">
      <w:pPr>
        <w:ind w:firstLine="720"/>
        <w:jc w:val="both"/>
      </w:pPr>
      <w:r w:rsidRPr="008B4F20">
        <w:t xml:space="preserve">Pursuant to Rule 28-106.205, </w:t>
      </w:r>
      <w:r w:rsidR="0021093B">
        <w:t>Florida Administrative Code (</w:t>
      </w:r>
      <w:r w:rsidRPr="008B4F20">
        <w:t>F.A.C.</w:t>
      </w:r>
      <w:r w:rsidR="0021093B">
        <w:t>)</w:t>
      </w:r>
      <w:r w:rsidRPr="008B4F20">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1194C987" w14:textId="77777777" w:rsidR="00166596" w:rsidRDefault="00166596" w:rsidP="00166596">
      <w:pPr>
        <w:autoSpaceDE w:val="0"/>
        <w:autoSpaceDN w:val="0"/>
        <w:adjustRightInd w:val="0"/>
        <w:jc w:val="both"/>
        <w:rPr>
          <w:rFonts w:ascii="TimesNewRomanPSMT" w:hAnsi="TimesNewRomanPSMT" w:cs="TimesNewRomanPSMT"/>
        </w:rPr>
      </w:pPr>
    </w:p>
    <w:p w14:paraId="14040C06" w14:textId="49CC6A1E" w:rsidR="00CB5276" w:rsidRDefault="00902E36" w:rsidP="00166596">
      <w:pPr>
        <w:autoSpaceDE w:val="0"/>
        <w:autoSpaceDN w:val="0"/>
        <w:adjustRightInd w:val="0"/>
        <w:jc w:val="both"/>
      </w:pPr>
      <w:r>
        <w:rPr>
          <w:rFonts w:ascii="TimesNewRomanPSMT" w:hAnsi="TimesNewRomanPSMT" w:cs="TimesNewRomanPSMT"/>
        </w:rPr>
        <w:tab/>
        <w:t xml:space="preserve">The Fuel Retailers </w:t>
      </w:r>
      <w:r w:rsidR="00166596">
        <w:rPr>
          <w:rFonts w:ascii="TimesNewRomanPSMT" w:hAnsi="TimesNewRomanPSMT" w:cs="TimesNewRomanPSMT"/>
        </w:rPr>
        <w:t>each argue that they are persons whose substantial interest may be impacted and, therefore, have standing</w:t>
      </w:r>
      <w:r w:rsidR="00EF196C">
        <w:rPr>
          <w:rFonts w:ascii="TimesNewRomanPSMT" w:hAnsi="TimesNewRomanPSMT" w:cs="TimesNewRomanPSMT"/>
        </w:rPr>
        <w:t xml:space="preserve"> to intervene as a party</w:t>
      </w:r>
      <w:r w:rsidR="00EF196C">
        <w:rPr>
          <w:rStyle w:val="FootnoteReference"/>
        </w:rPr>
        <w:footnoteReference w:id="1"/>
      </w:r>
      <w:r w:rsidR="00166596">
        <w:rPr>
          <w:rFonts w:ascii="TimesNewRomanPSMT" w:hAnsi="TimesNewRomanPSMT" w:cs="TimesNewRomanPSMT"/>
        </w:rPr>
        <w:t xml:space="preserve"> under </w:t>
      </w:r>
      <w:r w:rsidR="00166596" w:rsidRPr="0061467C">
        <w:rPr>
          <w:rFonts w:ascii="TimesNewRomanPSMT" w:hAnsi="TimesNewRomanPSMT" w:cs="TimesNewRomanPSMT"/>
          <w:u w:val="single"/>
        </w:rPr>
        <w:t>Agrico Chemical Company v. Department of Environmenta</w:t>
      </w:r>
      <w:r w:rsidR="00166596" w:rsidRPr="0021093B">
        <w:rPr>
          <w:rFonts w:ascii="TimesNewRomanPSMT" w:hAnsi="TimesNewRomanPSMT" w:cs="TimesNewRomanPSMT"/>
          <w:u w:val="single"/>
        </w:rPr>
        <w:t>l Regulation</w:t>
      </w:r>
      <w:r w:rsidR="00166596" w:rsidRPr="0021093B">
        <w:rPr>
          <w:rFonts w:ascii="TimesNewRomanPSMT" w:hAnsi="TimesNewRomanPSMT" w:cs="TimesNewRomanPSMT"/>
        </w:rPr>
        <w:t>, 406 So. 2d 478 (Fla. 2d DCA 1981) (</w:t>
      </w:r>
      <w:r w:rsidR="00166596" w:rsidRPr="0021093B">
        <w:rPr>
          <w:rFonts w:ascii="TimesNewRomanPSMT" w:hAnsi="TimesNewRomanPSMT" w:cs="TimesNewRomanPSMT"/>
          <w:u w:val="single"/>
        </w:rPr>
        <w:t>Agrico</w:t>
      </w:r>
      <w:r w:rsidR="00166596" w:rsidRPr="0021093B">
        <w:rPr>
          <w:rFonts w:ascii="TimesNewRomanPSMT" w:hAnsi="TimesNewRomanPSMT" w:cs="TimesNewRomanPSMT"/>
        </w:rPr>
        <w:t>).</w:t>
      </w:r>
      <w:r w:rsidR="00EF196C">
        <w:rPr>
          <w:rFonts w:ascii="TimesNewRomanPSMT" w:hAnsi="TimesNewRomanPSMT" w:cs="TimesNewRomanPSMT"/>
        </w:rPr>
        <w:t xml:space="preserve"> </w:t>
      </w:r>
      <w:r w:rsidR="0021093B">
        <w:t>Under</w:t>
      </w:r>
      <w:r w:rsidR="008B4F20" w:rsidRPr="008B4F20">
        <w:t xml:space="preserve"> the standing test </w:t>
      </w:r>
      <w:r w:rsidR="0021093B">
        <w:t>established</w:t>
      </w:r>
      <w:r w:rsidR="008B4F20" w:rsidRPr="008B4F20">
        <w:t xml:space="preserve"> in </w:t>
      </w:r>
      <w:r w:rsidR="008B4F20" w:rsidRPr="008B4F20">
        <w:rPr>
          <w:u w:val="single"/>
        </w:rPr>
        <w:t>Agrico</w:t>
      </w:r>
      <w:r w:rsidR="0021093B">
        <w:t>,</w:t>
      </w:r>
      <w:r w:rsidR="008B4F20" w:rsidRPr="008B4F20">
        <w:t xml:space="preserve"> </w:t>
      </w:r>
      <w:r w:rsidR="0021093B">
        <w:t>an individual seeking to</w:t>
      </w:r>
      <w:r w:rsidR="008B4F20" w:rsidRPr="008B4F20">
        <w:t xml:space="preserve"> interven</w:t>
      </w:r>
      <w:r w:rsidR="0021093B">
        <w:t>e in an administrative proceeding</w:t>
      </w:r>
      <w:r w:rsidR="008B4F20" w:rsidRPr="008B4F20">
        <w:t xml:space="preserve"> must show that (1) he will suffer injury in fact that is of sufficient immediacy to entitle him to a Section 120.57, F.S., hearing, and (2) the substantial injury is of a type or nature that the proceeding is designed to protect.</w:t>
      </w:r>
      <w:r w:rsidR="0021093B">
        <w:t xml:space="preserve"> 406 So. 2d at 482.</w:t>
      </w:r>
      <w:r w:rsidR="008B4F20" w:rsidRPr="008B4F20">
        <w:t xml:space="preserve">  The first aspect of the test deals with the degree of injury.  The second deals with the nature of the injury.  The </w:t>
      </w:r>
      <w:r w:rsidR="003872CF">
        <w:t>“</w:t>
      </w:r>
      <w:r w:rsidR="008B4F20" w:rsidRPr="008B4F20">
        <w:t>injury in fact</w:t>
      </w:r>
      <w:r w:rsidR="003872CF">
        <w:t>”</w:t>
      </w:r>
      <w:r w:rsidR="008B4F20" w:rsidRPr="008B4F20">
        <w:t xml:space="preserve"> must be both real and immediate and not speculative or conjectural.  </w:t>
      </w:r>
      <w:r w:rsidR="008B4F20" w:rsidRPr="008B4F20">
        <w:rPr>
          <w:u w:val="single"/>
        </w:rPr>
        <w:t>International Jai-Alai Players Assn. v. Florida Pari-Mutuel Commission</w:t>
      </w:r>
      <w:r w:rsidR="008B4F20" w:rsidRPr="008B4F20">
        <w:t>, 561 So. 2d 1224, 1225-26 (Fla. 3d DCA 1990)</w:t>
      </w:r>
      <w:r w:rsidR="0021093B">
        <w:t>;</w:t>
      </w:r>
      <w:r w:rsidR="008B4F20" w:rsidRPr="008B4F20">
        <w:t xml:space="preserve"> </w:t>
      </w:r>
      <w:r w:rsidR="0021093B" w:rsidRPr="0021093B">
        <w:rPr>
          <w:u w:val="single"/>
        </w:rPr>
        <w:t>s</w:t>
      </w:r>
      <w:r w:rsidR="008B4F20" w:rsidRPr="008B4F20">
        <w:rPr>
          <w:u w:val="single"/>
        </w:rPr>
        <w:t>ee also</w:t>
      </w:r>
      <w:r w:rsidR="008B4F20" w:rsidRPr="008B4F20">
        <w:t xml:space="preserve"> </w:t>
      </w:r>
      <w:r w:rsidR="008B4F20" w:rsidRPr="008B4F20">
        <w:rPr>
          <w:u w:val="single"/>
        </w:rPr>
        <w:t>Village Park Mobile Home Assn., Inc. v. State Dept. of Business Regulation</w:t>
      </w:r>
      <w:r w:rsidR="008B4F20" w:rsidRPr="008B4F20">
        <w:t xml:space="preserve">, 506 So. 2d 426, 434 (Fla. 1st DCA 1987), </w:t>
      </w:r>
      <w:r w:rsidR="008B4F20" w:rsidRPr="008B4F20">
        <w:rPr>
          <w:u w:val="single"/>
        </w:rPr>
        <w:t>rev. den.</w:t>
      </w:r>
      <w:r w:rsidR="008B4F20" w:rsidRPr="008B4F20">
        <w:t>, 513 So. 2d 1063 (Fla. 1987) (speculation on the possible occurrence of injurious events is too remote).</w:t>
      </w:r>
    </w:p>
    <w:p w14:paraId="7A4DFCB2" w14:textId="77777777" w:rsidR="004E6636" w:rsidRDefault="004E6636" w:rsidP="008B4F20">
      <w:pPr>
        <w:pStyle w:val="OrderBody"/>
      </w:pPr>
    </w:p>
    <w:p w14:paraId="1CE4338D" w14:textId="77777777" w:rsidR="004E6636" w:rsidRDefault="004E6636" w:rsidP="004E6636">
      <w:pPr>
        <w:pStyle w:val="OrderBody"/>
      </w:pPr>
      <w:r>
        <w:tab/>
      </w:r>
      <w:r w:rsidR="00166596" w:rsidRPr="0021093B">
        <w:rPr>
          <w:rFonts w:ascii="TimesNewRomanPSMT" w:hAnsi="TimesNewRomanPSMT" w:cs="TimesNewRomanPSMT"/>
        </w:rPr>
        <w:t xml:space="preserve">AACE argues that it has associational standing to represent its members, including </w:t>
      </w:r>
      <w:r w:rsidR="00902E36">
        <w:rPr>
          <w:rFonts w:ascii="TimesNewRomanPSMT" w:hAnsi="TimesNewRomanPSMT" w:cs="TimesNewRomanPSMT"/>
        </w:rPr>
        <w:t>the Fuel Retailers</w:t>
      </w:r>
      <w:r w:rsidR="00166596" w:rsidRPr="0021093B">
        <w:rPr>
          <w:rFonts w:ascii="TimesNewRomanPSMT" w:hAnsi="TimesNewRomanPSMT" w:cs="TimesNewRomanPSMT"/>
        </w:rPr>
        <w:t xml:space="preserve">, under </w:t>
      </w:r>
      <w:r w:rsidR="00166596" w:rsidRPr="0021093B">
        <w:rPr>
          <w:rFonts w:ascii="TimesNewRomanPSMT" w:hAnsi="TimesNewRomanPSMT" w:cs="TimesNewRomanPSMT"/>
          <w:u w:val="single"/>
        </w:rPr>
        <w:t>Florida Home Builders v. Dept. of Labor and Employment Security</w:t>
      </w:r>
      <w:r w:rsidR="00166596" w:rsidRPr="0021093B">
        <w:rPr>
          <w:rFonts w:ascii="TimesNewRomanPSMT" w:hAnsi="TimesNewRomanPSMT" w:cs="TimesNewRomanPSMT"/>
        </w:rPr>
        <w:t>, 412 So. 2d 351 (Fla. 1982) (</w:t>
      </w:r>
      <w:r w:rsidR="00166596" w:rsidRPr="0021093B">
        <w:rPr>
          <w:rFonts w:ascii="TimesNewRomanPSMT" w:hAnsi="TimesNewRomanPSMT" w:cs="TimesNewRomanPSMT"/>
          <w:u w:val="single"/>
        </w:rPr>
        <w:t>Florida</w:t>
      </w:r>
      <w:r w:rsidR="00166596" w:rsidRPr="0061467C">
        <w:rPr>
          <w:rFonts w:ascii="TimesNewRomanPSMT" w:hAnsi="TimesNewRomanPSMT" w:cs="TimesNewRomanPSMT"/>
          <w:u w:val="single"/>
        </w:rPr>
        <w:t xml:space="preserve"> Home Builders</w:t>
      </w:r>
      <w:r w:rsidR="00166596">
        <w:rPr>
          <w:rFonts w:ascii="TimesNewRomanPSMT" w:hAnsi="TimesNewRomanPSMT" w:cs="TimesNewRomanPSMT"/>
        </w:rPr>
        <w:t xml:space="preserve">). </w:t>
      </w:r>
      <w:r w:rsidR="0021093B">
        <w:t>Under t</w:t>
      </w:r>
      <w:r w:rsidR="004A6FB1">
        <w:t>he test established</w:t>
      </w:r>
      <w:r w:rsidRPr="004E6636">
        <w:t xml:space="preserve"> in </w:t>
      </w:r>
      <w:r w:rsidRPr="004E6636">
        <w:rPr>
          <w:u w:val="single"/>
        </w:rPr>
        <w:t>Florida Home Builders</w:t>
      </w:r>
      <w:r w:rsidR="00FF40B6">
        <w:t>, an association seeking standing on behalf of its members must demonstrate that:</w:t>
      </w:r>
      <w:r w:rsidRPr="004E6636">
        <w:t xml:space="preserve"> (1) a substantial number of </w:t>
      </w:r>
      <w:r w:rsidR="00FF40B6">
        <w:t>it</w:t>
      </w:r>
      <w:r w:rsidRPr="004E6636">
        <w:t xml:space="preserve">s members may be substantially affected by the </w:t>
      </w:r>
      <w:r w:rsidR="00FF40B6">
        <w:t>agency</w:t>
      </w:r>
      <w:r w:rsidRPr="004E6636">
        <w:t>’s decision; (2) the subject matter of the proceeding is within the association’s general scope of interest and activity; and (3) the relief requested is of a type appropriate for the association to receive on behalf of its members.  412 So. 2d at 353-54</w:t>
      </w:r>
      <w:r w:rsidR="00FF40B6">
        <w:t>.</w:t>
      </w:r>
    </w:p>
    <w:p w14:paraId="799A5780" w14:textId="77777777" w:rsidR="004E6636" w:rsidRDefault="004E6636" w:rsidP="004E6636">
      <w:pPr>
        <w:pStyle w:val="OrderBody"/>
      </w:pPr>
    </w:p>
    <w:p w14:paraId="311BBAF1" w14:textId="77777777" w:rsidR="004E6636" w:rsidRDefault="004E6636" w:rsidP="004E6636">
      <w:pPr>
        <w:pStyle w:val="OrderBody"/>
      </w:pPr>
      <w:r>
        <w:rPr>
          <w:u w:val="single"/>
        </w:rPr>
        <w:t>Analysis &amp; Ruling</w:t>
      </w:r>
    </w:p>
    <w:p w14:paraId="0FDF89B1" w14:textId="77777777" w:rsidR="005F2751" w:rsidRDefault="005F2751"/>
    <w:p w14:paraId="0DB2127C" w14:textId="77777777" w:rsidR="004E6636" w:rsidRDefault="00902E36" w:rsidP="00777B85">
      <w:pPr>
        <w:ind w:firstLine="720"/>
        <w:jc w:val="both"/>
      </w:pPr>
      <w:r>
        <w:t>The Fuel Retailers</w:t>
      </w:r>
      <w:r w:rsidR="004C0729">
        <w:t xml:space="preserve"> allege that they are retail energy customers of the Utility</w:t>
      </w:r>
      <w:r w:rsidR="00C56D73">
        <w:t>, and that their substantial interests as ratepayers will or may be affected by Duke’s request for a rate increase</w:t>
      </w:r>
      <w:r w:rsidR="004C0729">
        <w:t xml:space="preserve">. </w:t>
      </w:r>
      <w:r w:rsidR="00962BD6">
        <w:t>Duke raised no objection to the</w:t>
      </w:r>
      <w:r w:rsidR="00C56D73">
        <w:t xml:space="preserve"> Petition as it relates to these the </w:t>
      </w:r>
      <w:r>
        <w:t>F</w:t>
      </w:r>
      <w:r w:rsidR="00C56D73">
        <w:t xml:space="preserve">uel </w:t>
      </w:r>
      <w:r>
        <w:t>R</w:t>
      </w:r>
      <w:r w:rsidR="00C56D73">
        <w:t>etailers, and “concedes that they have the substantial interest necessary to support standing to intervene</w:t>
      </w:r>
      <w:r w:rsidR="004C0729">
        <w:t>.</w:t>
      </w:r>
      <w:r w:rsidR="00C56D73">
        <w:t>”</w:t>
      </w:r>
      <w:r w:rsidR="004C0729">
        <w:t xml:space="preserve"> </w:t>
      </w:r>
      <w:r w:rsidR="00C56D73">
        <w:t>Accordingly</w:t>
      </w:r>
      <w:r w:rsidR="004C0729">
        <w:t>,</w:t>
      </w:r>
      <w:r w:rsidR="001D277F">
        <w:t xml:space="preserve"> the Petition shall be granted as to</w:t>
      </w:r>
      <w:r w:rsidR="004C0729">
        <w:t xml:space="preserve"> </w:t>
      </w:r>
      <w:r w:rsidR="00C56D73">
        <w:t>Circle K, RaceTrac, and Wawa</w:t>
      </w:r>
      <w:r w:rsidR="004C0729">
        <w:t>.</w:t>
      </w:r>
    </w:p>
    <w:p w14:paraId="037BE7F5" w14:textId="77777777" w:rsidR="004C0729" w:rsidRDefault="004C0729" w:rsidP="00777B85">
      <w:pPr>
        <w:ind w:firstLine="720"/>
        <w:jc w:val="both"/>
      </w:pPr>
    </w:p>
    <w:p w14:paraId="437E4B5D" w14:textId="77777777" w:rsidR="00777B85" w:rsidRDefault="00C56D73" w:rsidP="00777B85">
      <w:pPr>
        <w:ind w:firstLine="720"/>
        <w:jc w:val="both"/>
      </w:pPr>
      <w:r>
        <w:lastRenderedPageBreak/>
        <w:t>T</w:t>
      </w:r>
      <w:r w:rsidR="00896E68">
        <w:t>aken as true, t</w:t>
      </w:r>
      <w:r w:rsidR="00777B85">
        <w:t>he allegations in the Petition reg</w:t>
      </w:r>
      <w:r>
        <w:t>arding associational standing for AACE</w:t>
      </w:r>
      <w:r w:rsidR="00896E68">
        <w:t xml:space="preserve"> comply with the standard established in</w:t>
      </w:r>
      <w:r>
        <w:t xml:space="preserve"> </w:t>
      </w:r>
      <w:r>
        <w:rPr>
          <w:u w:val="single"/>
        </w:rPr>
        <w:t>Florida Home Builders</w:t>
      </w:r>
      <w:r>
        <w:t>. Duke does not conte</w:t>
      </w:r>
      <w:r w:rsidR="00CF1904">
        <w:t>st the sufficiency of those allegations</w:t>
      </w:r>
      <w:r>
        <w:t xml:space="preserve">. Therefore, </w:t>
      </w:r>
      <w:r w:rsidR="00777B85">
        <w:t>the Petition shall be granted as to AACE.</w:t>
      </w:r>
    </w:p>
    <w:p w14:paraId="5F1E12D0" w14:textId="77777777" w:rsidR="00015A82" w:rsidRDefault="00015A82" w:rsidP="00777B85">
      <w:pPr>
        <w:ind w:firstLine="720"/>
        <w:jc w:val="both"/>
      </w:pPr>
    </w:p>
    <w:p w14:paraId="1FC4A236" w14:textId="77777777" w:rsidR="00BE6EDE" w:rsidRDefault="005575B6" w:rsidP="00BE6EDE">
      <w:pPr>
        <w:ind w:firstLine="720"/>
        <w:jc w:val="both"/>
        <w:rPr>
          <w:rFonts w:ascii="TimesNewRomanPSMT" w:hAnsi="TimesNewRomanPSMT" w:cs="TimesNewRomanPSMT"/>
          <w:sz w:val="23"/>
          <w:szCs w:val="23"/>
        </w:rPr>
      </w:pPr>
      <w:r>
        <w:t>While not requesting that the Petition be denied or found legally insufficient on its face</w:t>
      </w:r>
      <w:r w:rsidR="0082028F">
        <w:t xml:space="preserve">, Duke </w:t>
      </w:r>
      <w:r w:rsidR="00896E68">
        <w:t>questions whether</w:t>
      </w:r>
      <w:r w:rsidR="0082028F">
        <w:t xml:space="preserve"> the assertions in the Petition made in support of AACE’s standing</w:t>
      </w:r>
      <w:r w:rsidR="00896E68">
        <w:t xml:space="preserve"> can be supported with record evidence</w:t>
      </w:r>
      <w:r>
        <w:t>, and</w:t>
      </w:r>
      <w:r w:rsidR="00896E68">
        <w:t xml:space="preserve"> whether the law will ultimately support a determination of standing based on the evidence presented</w:t>
      </w:r>
      <w:r>
        <w:t xml:space="preserve">. So that it may test the veracity of the allegations, Duke </w:t>
      </w:r>
      <w:r w:rsidR="0082028F">
        <w:t>expressly</w:t>
      </w:r>
      <w:r>
        <w:t xml:space="preserve"> reserved</w:t>
      </w:r>
      <w:r w:rsidR="00015A82">
        <w:t xml:space="preserve"> its right to engage in discovery.</w:t>
      </w:r>
      <w:r w:rsidR="0020498A">
        <w:t xml:space="preserve"> </w:t>
      </w:r>
      <w:r>
        <w:t xml:space="preserve">Accordingly, </w:t>
      </w:r>
      <w:r w:rsidR="00BE6EDE">
        <w:t xml:space="preserve">Duke may conduct discovery regarding the allegations made by </w:t>
      </w:r>
      <w:r w:rsidR="001D277F">
        <w:t xml:space="preserve">AACE and </w:t>
      </w:r>
      <w:r w:rsidR="00BE6EDE">
        <w:t xml:space="preserve">any of the </w:t>
      </w:r>
      <w:r w:rsidR="001D277F">
        <w:t>Fuel Retailer</w:t>
      </w:r>
      <w:r w:rsidR="00BE6EDE">
        <w:t>s in support of their standing. Intervenors bear the ultima</w:t>
      </w:r>
      <w:r w:rsidR="001D277F">
        <w:t>te burden of proof to demonstrate standing</w:t>
      </w:r>
      <w:r w:rsidR="00BE6EDE">
        <w:t>.</w:t>
      </w:r>
    </w:p>
    <w:p w14:paraId="558FB3A1" w14:textId="77777777" w:rsidR="00777B85" w:rsidRDefault="00777B85" w:rsidP="00777B85">
      <w:pPr>
        <w:ind w:firstLine="720"/>
        <w:jc w:val="both"/>
      </w:pPr>
    </w:p>
    <w:p w14:paraId="04EB024E" w14:textId="77777777" w:rsidR="00962BD6" w:rsidRDefault="00962BD6" w:rsidP="00777B85">
      <w:pPr>
        <w:autoSpaceDE w:val="0"/>
        <w:autoSpaceDN w:val="0"/>
        <w:adjustRightInd w:val="0"/>
        <w:jc w:val="both"/>
        <w:rPr>
          <w:rFonts w:ascii="TimesNewRomanPSMT" w:hAnsi="TimesNewRomanPSMT" w:cs="TimesNewRomanPSMT"/>
          <w:sz w:val="23"/>
          <w:szCs w:val="23"/>
        </w:rPr>
      </w:pPr>
      <w:r>
        <w:tab/>
      </w:r>
      <w:r w:rsidR="00896E68">
        <w:t xml:space="preserve">As noted above, Duke argues that limitations should be placed on the “standing rights” of AACE and the Fuel Retailers. </w:t>
      </w:r>
      <w:r w:rsidR="00302122">
        <w:t>The determination</w:t>
      </w:r>
      <w:r w:rsidR="00896E68">
        <w:t xml:space="preserve"> in this Order</w:t>
      </w:r>
      <w:r w:rsidR="00302122">
        <w:t xml:space="preserve"> that the Petition shall be granted as to AACE and the Fuel Retailers is </w:t>
      </w:r>
      <w:r w:rsidR="00896E68">
        <w:t xml:space="preserve">based </w:t>
      </w:r>
      <w:r w:rsidR="005575B6">
        <w:t xml:space="preserve">solely </w:t>
      </w:r>
      <w:r w:rsidR="00896E68">
        <w:t xml:space="preserve">upon the status of the individual intervenors and association members as Duke ratepayers. Intervention is </w:t>
      </w:r>
      <w:r w:rsidR="00302122">
        <w:t>not b</w:t>
      </w:r>
      <w:r w:rsidR="00896E68">
        <w:t>eing granted based</w:t>
      </w:r>
      <w:r w:rsidR="00302122">
        <w:t xml:space="preserve"> upon</w:t>
      </w:r>
      <w:r w:rsidR="00644AD9">
        <w:t xml:space="preserve"> the alleged impacts of EV charger programs or the development of green hydrogen</w:t>
      </w:r>
      <w:r w:rsidR="0020498A">
        <w:t xml:space="preserve"> as an alternative fuel</w:t>
      </w:r>
      <w:r w:rsidR="00896E68">
        <w:t xml:space="preserve"> on economic interests or business competition</w:t>
      </w:r>
      <w:r w:rsidR="00807372">
        <w:t>.</w:t>
      </w:r>
      <w:r w:rsidR="00644AD9">
        <w:t xml:space="preserve"> Such claims are beyond the scope of a base rate proceeding.</w:t>
      </w:r>
      <w:r w:rsidR="00896E68">
        <w:rPr>
          <w:rStyle w:val="FootnoteReference"/>
        </w:rPr>
        <w:footnoteReference w:id="2"/>
      </w:r>
      <w:r w:rsidR="00896E68">
        <w:t xml:space="preserve"> T</w:t>
      </w:r>
      <w:r w:rsidR="0020498A">
        <w:t>he impact of</w:t>
      </w:r>
      <w:r w:rsidR="00644AD9">
        <w:t xml:space="preserve"> EV charger programs and green hydrogen </w:t>
      </w:r>
      <w:r w:rsidR="0020498A">
        <w:t>on</w:t>
      </w:r>
      <w:r w:rsidR="00644AD9">
        <w:t xml:space="preserve"> base rates</w:t>
      </w:r>
      <w:r w:rsidR="0020498A">
        <w:t xml:space="preserve"> and Duke ratepayers</w:t>
      </w:r>
      <w:r w:rsidR="00644AD9">
        <w:t xml:space="preserve"> </w:t>
      </w:r>
      <w:r w:rsidR="0020498A">
        <w:t xml:space="preserve">may </w:t>
      </w:r>
      <w:r w:rsidR="00896E68">
        <w:t xml:space="preserve">or may not </w:t>
      </w:r>
      <w:r w:rsidR="0020498A">
        <w:t>present</w:t>
      </w:r>
      <w:r w:rsidR="00644AD9">
        <w:t xml:space="preserve"> appropriate </w:t>
      </w:r>
      <w:r w:rsidR="0020498A">
        <w:t xml:space="preserve">issues </w:t>
      </w:r>
      <w:r w:rsidR="00644AD9">
        <w:t>for consideration in this docket</w:t>
      </w:r>
      <w:r w:rsidR="00F67289">
        <w:t xml:space="preserve">. </w:t>
      </w:r>
      <w:r w:rsidR="00F67289" w:rsidRPr="00963533">
        <w:t>If necessary, t</w:t>
      </w:r>
      <w:r w:rsidR="00896E68" w:rsidRPr="00963533">
        <w:t>his determination will be made</w:t>
      </w:r>
      <w:r w:rsidR="00F67289" w:rsidRPr="00963533">
        <w:t xml:space="preserve"> by the Prehearing Officer</w:t>
      </w:r>
      <w:r w:rsidR="00896E68" w:rsidRPr="00963533">
        <w:t xml:space="preserve"> in the Prehearing Order</w:t>
      </w:r>
      <w:r w:rsidR="00644AD9" w:rsidRPr="00963533">
        <w:t>.</w:t>
      </w:r>
    </w:p>
    <w:p w14:paraId="46C42382" w14:textId="77777777" w:rsidR="00777B85" w:rsidRDefault="00777B85" w:rsidP="00777B85">
      <w:pPr>
        <w:autoSpaceDE w:val="0"/>
        <w:autoSpaceDN w:val="0"/>
        <w:adjustRightInd w:val="0"/>
        <w:jc w:val="both"/>
        <w:rPr>
          <w:rFonts w:ascii="TimesNewRomanPSMT" w:hAnsi="TimesNewRomanPSMT" w:cs="TimesNewRomanPSMT"/>
          <w:sz w:val="23"/>
          <w:szCs w:val="23"/>
        </w:rPr>
      </w:pPr>
    </w:p>
    <w:p w14:paraId="6D92FC67" w14:textId="77777777" w:rsidR="004E6636" w:rsidRPr="004E6636" w:rsidRDefault="004E6636" w:rsidP="004E6636">
      <w:pPr>
        <w:jc w:val="both"/>
      </w:pPr>
      <w:r w:rsidRPr="004E6636">
        <w:tab/>
        <w:t>Based on the above representations, it is</w:t>
      </w:r>
    </w:p>
    <w:p w14:paraId="3AE9F4E1" w14:textId="77777777" w:rsidR="004E6636" w:rsidRPr="004E6636" w:rsidRDefault="004E6636" w:rsidP="004E6636">
      <w:pPr>
        <w:jc w:val="both"/>
      </w:pPr>
    </w:p>
    <w:p w14:paraId="3C642026" w14:textId="420FDC03" w:rsidR="004E6636" w:rsidRPr="004E6636" w:rsidRDefault="004E6636" w:rsidP="004E6636">
      <w:pPr>
        <w:ind w:firstLine="720"/>
        <w:jc w:val="both"/>
      </w:pPr>
      <w:r w:rsidRPr="004E6636">
        <w:t xml:space="preserve">ORDERED by Commissioner </w:t>
      </w:r>
      <w:r w:rsidR="001754B5">
        <w:t>Gabriella Passidomo</w:t>
      </w:r>
      <w:r w:rsidRPr="004E6636">
        <w:t xml:space="preserve">, as </w:t>
      </w:r>
      <w:r w:rsidR="00B33985">
        <w:t>Prehearing Officer, that the Petit</w:t>
      </w:r>
      <w:r w:rsidRPr="004E6636">
        <w:t xml:space="preserve">ion to Intervene filed by </w:t>
      </w:r>
      <w:r w:rsidR="001754B5">
        <w:t xml:space="preserve">Americans for Affordable Clean Energy, Inc., Circle K Stores, Inc.,  RaceTrac, Inc. and Wawa, Inc. </w:t>
      </w:r>
      <w:r w:rsidRPr="004E6636">
        <w:t>is hereby granted as set forth in the body of this Order. It is further</w:t>
      </w:r>
    </w:p>
    <w:p w14:paraId="6832256C" w14:textId="77777777" w:rsidR="004E6636" w:rsidRPr="004E6636" w:rsidRDefault="004E6636" w:rsidP="004E6636">
      <w:pPr>
        <w:ind w:firstLine="720"/>
        <w:jc w:val="both"/>
      </w:pPr>
    </w:p>
    <w:p w14:paraId="66D29558" w14:textId="5A944A44" w:rsidR="004E6636" w:rsidRDefault="004E6636" w:rsidP="004E6636">
      <w:pPr>
        <w:ind w:firstLine="720"/>
        <w:jc w:val="both"/>
      </w:pPr>
      <w:r w:rsidRPr="004E6636">
        <w:t xml:space="preserve">ORDERED that </w:t>
      </w:r>
      <w:r w:rsidR="008C3AFB">
        <w:t>Americans for Affordable Clean Energy, Inc., Circle K Stores, Inc.</w:t>
      </w:r>
      <w:r w:rsidR="008E5C21">
        <w:t>, RaceTrac</w:t>
      </w:r>
      <w:r w:rsidR="008C3AFB">
        <w:t>, Inc. and Wawa, Inc.</w:t>
      </w:r>
      <w:r w:rsidRPr="004E6636">
        <w:t xml:space="preserve"> take the case as </w:t>
      </w:r>
      <w:r w:rsidR="00280921">
        <w:t>they</w:t>
      </w:r>
      <w:r w:rsidRPr="004E6636">
        <w:t xml:space="preserve"> find it. It is further </w:t>
      </w:r>
    </w:p>
    <w:p w14:paraId="05F1E641" w14:textId="606590FA" w:rsidR="00464C74" w:rsidRDefault="00464C74" w:rsidP="004E6636">
      <w:pPr>
        <w:ind w:firstLine="720"/>
        <w:jc w:val="both"/>
      </w:pPr>
    </w:p>
    <w:p w14:paraId="3377B677" w14:textId="2D21DCA3" w:rsidR="00464C74" w:rsidRDefault="00464C74" w:rsidP="004E6636">
      <w:pPr>
        <w:ind w:firstLine="720"/>
        <w:jc w:val="both"/>
      </w:pPr>
    </w:p>
    <w:p w14:paraId="071A3501" w14:textId="5CAE4C4E" w:rsidR="00464C74" w:rsidRDefault="00464C74" w:rsidP="004E6636">
      <w:pPr>
        <w:ind w:firstLine="720"/>
        <w:jc w:val="both"/>
      </w:pPr>
    </w:p>
    <w:p w14:paraId="25B22461" w14:textId="405AD1D1" w:rsidR="00464C74" w:rsidRDefault="00464C74" w:rsidP="004E6636">
      <w:pPr>
        <w:ind w:firstLine="720"/>
        <w:jc w:val="both"/>
      </w:pPr>
    </w:p>
    <w:p w14:paraId="77301983" w14:textId="35BD2102" w:rsidR="00464C74" w:rsidRDefault="00464C74" w:rsidP="004E6636">
      <w:pPr>
        <w:ind w:firstLine="720"/>
        <w:jc w:val="both"/>
      </w:pPr>
    </w:p>
    <w:p w14:paraId="33A81136" w14:textId="686FC5A6" w:rsidR="00464C74" w:rsidRDefault="00464C74" w:rsidP="004E6636">
      <w:pPr>
        <w:ind w:firstLine="720"/>
        <w:jc w:val="both"/>
      </w:pPr>
    </w:p>
    <w:p w14:paraId="22FE6811" w14:textId="4F5F0470" w:rsidR="00464C74" w:rsidRDefault="00464C74" w:rsidP="004E6636">
      <w:pPr>
        <w:ind w:firstLine="720"/>
        <w:jc w:val="both"/>
      </w:pPr>
    </w:p>
    <w:p w14:paraId="0B3A2178" w14:textId="77777777" w:rsidR="00464C74" w:rsidRPr="004E6636" w:rsidRDefault="00464C74" w:rsidP="004E6636">
      <w:pPr>
        <w:ind w:firstLine="720"/>
        <w:jc w:val="both"/>
      </w:pPr>
    </w:p>
    <w:p w14:paraId="37B84D80" w14:textId="77777777" w:rsidR="004E6636" w:rsidRPr="004E6636" w:rsidRDefault="004E6636" w:rsidP="004E6636">
      <w:pPr>
        <w:ind w:firstLine="720"/>
        <w:jc w:val="both"/>
      </w:pPr>
    </w:p>
    <w:p w14:paraId="3481FCFF" w14:textId="77777777" w:rsidR="004E6636" w:rsidRPr="004E6636" w:rsidRDefault="004E6636" w:rsidP="004E6636">
      <w:pPr>
        <w:ind w:firstLine="720"/>
        <w:jc w:val="both"/>
      </w:pPr>
      <w:r w:rsidRPr="004E6636">
        <w:lastRenderedPageBreak/>
        <w:t>ORDERED that all parties to this proceeding shall furnish copies of all testimony, exhibits, pleadings, and other documents which may hereinafter be filed in this proceeding to:</w:t>
      </w:r>
    </w:p>
    <w:p w14:paraId="79D37FC6" w14:textId="77777777" w:rsidR="004E6636" w:rsidRPr="004E6636" w:rsidRDefault="004E6636" w:rsidP="004E6636">
      <w:pPr>
        <w:ind w:firstLine="720"/>
        <w:jc w:val="both"/>
      </w:pPr>
    </w:p>
    <w:p w14:paraId="41D9D786" w14:textId="77777777" w:rsidR="004E6636" w:rsidRDefault="008C3AFB" w:rsidP="004E6636">
      <w:pPr>
        <w:ind w:firstLine="720"/>
        <w:jc w:val="both"/>
      </w:pPr>
      <w:r>
        <w:t>Frederick L. Aschauer, Jr., Esq.</w:t>
      </w:r>
    </w:p>
    <w:p w14:paraId="5D2E0E9D" w14:textId="77777777" w:rsidR="008C3AFB" w:rsidRDefault="008C3AFB" w:rsidP="004E6636">
      <w:pPr>
        <w:ind w:firstLine="720"/>
        <w:jc w:val="both"/>
      </w:pPr>
      <w:r>
        <w:t>Allan J. Charles, Esq.</w:t>
      </w:r>
    </w:p>
    <w:p w14:paraId="4AF37C32" w14:textId="77777777" w:rsidR="008C3AFB" w:rsidRDefault="008C3AFB" w:rsidP="004E6636">
      <w:pPr>
        <w:ind w:firstLine="720"/>
        <w:jc w:val="both"/>
      </w:pPr>
      <w:r>
        <w:t>Lori Killinger, Esq.</w:t>
      </w:r>
    </w:p>
    <w:p w14:paraId="79F057DD" w14:textId="77777777" w:rsidR="008C3AFB" w:rsidRDefault="008C3AFB" w:rsidP="004E6636">
      <w:pPr>
        <w:ind w:firstLine="720"/>
        <w:jc w:val="both"/>
      </w:pPr>
      <w:r>
        <w:t>Lewis, Longman &amp; Walker, P.A.</w:t>
      </w:r>
    </w:p>
    <w:p w14:paraId="1467A0FD" w14:textId="77777777" w:rsidR="008C3AFB" w:rsidRDefault="008C3AFB" w:rsidP="004E6636">
      <w:pPr>
        <w:ind w:firstLine="720"/>
        <w:jc w:val="both"/>
      </w:pPr>
      <w:r>
        <w:t>106 East College Avenue, Suite 1500</w:t>
      </w:r>
    </w:p>
    <w:p w14:paraId="6697CC5F" w14:textId="77777777" w:rsidR="008C3AFB" w:rsidRDefault="008C3AFB" w:rsidP="004E6636">
      <w:pPr>
        <w:ind w:firstLine="720"/>
        <w:jc w:val="both"/>
      </w:pPr>
      <w:r>
        <w:t>Tallahassee, Florida  32301</w:t>
      </w:r>
    </w:p>
    <w:p w14:paraId="688836C5" w14:textId="77777777" w:rsidR="008C3AFB" w:rsidRDefault="008C3AFB" w:rsidP="004E6636">
      <w:pPr>
        <w:ind w:firstLine="720"/>
        <w:jc w:val="both"/>
      </w:pPr>
      <w:r>
        <w:t>(850) 222-5702</w:t>
      </w:r>
    </w:p>
    <w:p w14:paraId="4CAA10BD" w14:textId="77777777" w:rsidR="008C3AFB" w:rsidRDefault="005A1093" w:rsidP="004E6636">
      <w:pPr>
        <w:ind w:firstLine="720"/>
        <w:jc w:val="both"/>
      </w:pPr>
      <w:hyperlink r:id="rId7" w:history="1">
        <w:r w:rsidR="008C3AFB" w:rsidRPr="00555EE2">
          <w:rPr>
            <w:rStyle w:val="Hyperlink"/>
          </w:rPr>
          <w:t>faschauer@llw-law.com</w:t>
        </w:r>
      </w:hyperlink>
    </w:p>
    <w:p w14:paraId="3350EF17" w14:textId="77777777" w:rsidR="008C3AFB" w:rsidRDefault="005A1093" w:rsidP="004E6636">
      <w:pPr>
        <w:ind w:firstLine="720"/>
        <w:jc w:val="both"/>
      </w:pPr>
      <w:hyperlink r:id="rId8" w:history="1">
        <w:r w:rsidR="008C3AFB" w:rsidRPr="00555EE2">
          <w:rPr>
            <w:rStyle w:val="Hyperlink"/>
          </w:rPr>
          <w:t>acharles@llw-law.com</w:t>
        </w:r>
      </w:hyperlink>
    </w:p>
    <w:p w14:paraId="42F10352" w14:textId="77777777" w:rsidR="008C3AFB" w:rsidRDefault="005A1093" w:rsidP="004E6636">
      <w:pPr>
        <w:ind w:firstLine="720"/>
        <w:jc w:val="both"/>
      </w:pPr>
      <w:hyperlink r:id="rId9" w:history="1">
        <w:r w:rsidR="008C3AFB" w:rsidRPr="00555EE2">
          <w:rPr>
            <w:rStyle w:val="Hyperlink"/>
          </w:rPr>
          <w:t>lkillinger@llw-law.com</w:t>
        </w:r>
      </w:hyperlink>
      <w:r w:rsidR="008C3AFB">
        <w:t xml:space="preserve"> </w:t>
      </w:r>
    </w:p>
    <w:p w14:paraId="331942F2" w14:textId="77777777" w:rsidR="008C3AFB" w:rsidRDefault="008C3AFB" w:rsidP="004E6636">
      <w:pPr>
        <w:ind w:firstLine="720"/>
        <w:jc w:val="both"/>
      </w:pPr>
    </w:p>
    <w:p w14:paraId="6B2A15CD" w14:textId="77777777" w:rsidR="0061711F" w:rsidRPr="004E6636" w:rsidRDefault="0061711F" w:rsidP="004E6636">
      <w:pPr>
        <w:ind w:firstLine="720"/>
        <w:jc w:val="both"/>
      </w:pPr>
    </w:p>
    <w:p w14:paraId="5842EF40" w14:textId="532E445E" w:rsidR="001754B5" w:rsidRDefault="001754B5" w:rsidP="001754B5">
      <w:pPr>
        <w:keepNext/>
        <w:keepLines/>
        <w:jc w:val="both"/>
      </w:pPr>
      <w:r>
        <w:tab/>
        <w:t xml:space="preserve">By ORDER of Commissioner Gabriella Passidomo, as Prehearing Officer, this </w:t>
      </w:r>
      <w:bookmarkStart w:id="6" w:name="replaceDate"/>
      <w:bookmarkEnd w:id="6"/>
      <w:r w:rsidR="003B7624">
        <w:rPr>
          <w:u w:val="single"/>
        </w:rPr>
        <w:t>4th</w:t>
      </w:r>
      <w:r w:rsidR="003B7624">
        <w:t xml:space="preserve"> day of </w:t>
      </w:r>
      <w:r w:rsidR="003B7624">
        <w:rPr>
          <w:u w:val="single"/>
        </w:rPr>
        <w:t>June</w:t>
      </w:r>
      <w:r w:rsidR="003B7624">
        <w:t xml:space="preserve">, </w:t>
      </w:r>
      <w:r w:rsidR="003B7624">
        <w:rPr>
          <w:u w:val="single"/>
        </w:rPr>
        <w:t>2024</w:t>
      </w:r>
      <w:r w:rsidR="003B7624">
        <w:t>.</w:t>
      </w:r>
    </w:p>
    <w:p w14:paraId="3101A650" w14:textId="77777777" w:rsidR="003B7624" w:rsidRPr="003B7624" w:rsidRDefault="003B7624" w:rsidP="001754B5">
      <w:pPr>
        <w:keepNext/>
        <w:keepLines/>
        <w:jc w:val="both"/>
      </w:pPr>
    </w:p>
    <w:p w14:paraId="1AE1551A" w14:textId="77777777" w:rsidR="001754B5" w:rsidRDefault="001754B5" w:rsidP="001754B5">
      <w:pPr>
        <w:keepNext/>
        <w:keepLines/>
        <w:jc w:val="both"/>
      </w:pPr>
    </w:p>
    <w:p w14:paraId="518A7AAB" w14:textId="77777777" w:rsidR="001754B5" w:rsidRDefault="001754B5" w:rsidP="001754B5">
      <w:pPr>
        <w:keepNext/>
        <w:keepLines/>
        <w:jc w:val="both"/>
      </w:pPr>
    </w:p>
    <w:p w14:paraId="4890E31D" w14:textId="4A073C19" w:rsidR="001754B5" w:rsidRDefault="001754B5" w:rsidP="001754B5">
      <w:pPr>
        <w:keepNext/>
        <w:keepLines/>
        <w:jc w:val="both"/>
      </w:pPr>
    </w:p>
    <w:p w14:paraId="129975B5" w14:textId="77777777" w:rsidR="003B7624" w:rsidRDefault="003B7624" w:rsidP="001754B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754B5" w14:paraId="7F383635" w14:textId="77777777" w:rsidTr="001754B5">
        <w:tc>
          <w:tcPr>
            <w:tcW w:w="720" w:type="dxa"/>
            <w:shd w:val="clear" w:color="auto" w:fill="auto"/>
          </w:tcPr>
          <w:p w14:paraId="7965A613" w14:textId="77777777" w:rsidR="001754B5" w:rsidRDefault="001754B5" w:rsidP="001754B5">
            <w:pPr>
              <w:keepNext/>
              <w:keepLines/>
              <w:jc w:val="both"/>
            </w:pPr>
            <w:bookmarkStart w:id="7" w:name="bkmrkSignature" w:colFirst="0" w:colLast="0"/>
          </w:p>
        </w:tc>
        <w:tc>
          <w:tcPr>
            <w:tcW w:w="4320" w:type="dxa"/>
            <w:tcBorders>
              <w:bottom w:val="single" w:sz="4" w:space="0" w:color="auto"/>
            </w:tcBorders>
            <w:shd w:val="clear" w:color="auto" w:fill="auto"/>
          </w:tcPr>
          <w:p w14:paraId="4BA11F3D" w14:textId="026FA6E4" w:rsidR="001754B5" w:rsidRDefault="003B7624" w:rsidP="001754B5">
            <w:pPr>
              <w:keepNext/>
              <w:keepLines/>
              <w:jc w:val="both"/>
            </w:pPr>
            <w:r>
              <w:t>/s/ Gabriella Passidomo</w:t>
            </w:r>
            <w:bookmarkStart w:id="8" w:name="_GoBack"/>
            <w:bookmarkEnd w:id="8"/>
          </w:p>
        </w:tc>
      </w:tr>
      <w:bookmarkEnd w:id="7"/>
      <w:tr w:rsidR="001754B5" w14:paraId="617C0E58" w14:textId="77777777" w:rsidTr="001754B5">
        <w:tc>
          <w:tcPr>
            <w:tcW w:w="720" w:type="dxa"/>
            <w:shd w:val="clear" w:color="auto" w:fill="auto"/>
          </w:tcPr>
          <w:p w14:paraId="2A84814C" w14:textId="77777777" w:rsidR="001754B5" w:rsidRDefault="001754B5" w:rsidP="001754B5">
            <w:pPr>
              <w:keepNext/>
              <w:keepLines/>
              <w:jc w:val="both"/>
            </w:pPr>
          </w:p>
        </w:tc>
        <w:tc>
          <w:tcPr>
            <w:tcW w:w="4320" w:type="dxa"/>
            <w:tcBorders>
              <w:top w:val="single" w:sz="4" w:space="0" w:color="auto"/>
            </w:tcBorders>
            <w:shd w:val="clear" w:color="auto" w:fill="auto"/>
          </w:tcPr>
          <w:p w14:paraId="386105C5" w14:textId="77777777" w:rsidR="001754B5" w:rsidRDefault="001754B5" w:rsidP="001754B5">
            <w:pPr>
              <w:keepNext/>
              <w:keepLines/>
              <w:jc w:val="both"/>
            </w:pPr>
            <w:r>
              <w:t>Gabriella Passidomo</w:t>
            </w:r>
          </w:p>
          <w:p w14:paraId="7D272324" w14:textId="77777777" w:rsidR="001754B5" w:rsidRDefault="001754B5" w:rsidP="001754B5">
            <w:pPr>
              <w:keepNext/>
              <w:keepLines/>
              <w:jc w:val="both"/>
            </w:pPr>
            <w:r>
              <w:t>Commissioner and Prehearing Officer</w:t>
            </w:r>
          </w:p>
        </w:tc>
      </w:tr>
    </w:tbl>
    <w:p w14:paraId="6F3F1FF4" w14:textId="77777777" w:rsidR="001754B5" w:rsidRDefault="001754B5" w:rsidP="001754B5">
      <w:pPr>
        <w:pStyle w:val="OrderSigInfo"/>
        <w:keepNext/>
        <w:keepLines/>
      </w:pPr>
      <w:r>
        <w:t>Florida Public Service Commission</w:t>
      </w:r>
    </w:p>
    <w:p w14:paraId="63B9D99C" w14:textId="77777777" w:rsidR="001754B5" w:rsidRDefault="001754B5" w:rsidP="001754B5">
      <w:pPr>
        <w:pStyle w:val="OrderSigInfo"/>
        <w:keepNext/>
        <w:keepLines/>
      </w:pPr>
      <w:r>
        <w:t>2540 Shumard Oak Boulevard</w:t>
      </w:r>
    </w:p>
    <w:p w14:paraId="6BDE2D2E" w14:textId="77777777" w:rsidR="001754B5" w:rsidRDefault="001754B5" w:rsidP="001754B5">
      <w:pPr>
        <w:pStyle w:val="OrderSigInfo"/>
        <w:keepNext/>
        <w:keepLines/>
      </w:pPr>
      <w:r>
        <w:t>Tallahassee, Florida 32399</w:t>
      </w:r>
    </w:p>
    <w:p w14:paraId="4578330C" w14:textId="77777777" w:rsidR="001754B5" w:rsidRDefault="001754B5" w:rsidP="001754B5">
      <w:pPr>
        <w:pStyle w:val="OrderSigInfo"/>
        <w:keepNext/>
        <w:keepLines/>
      </w:pPr>
      <w:r>
        <w:t>(850) 413</w:t>
      </w:r>
      <w:r>
        <w:noBreakHyphen/>
        <w:t>6770</w:t>
      </w:r>
    </w:p>
    <w:p w14:paraId="2F4B3E95" w14:textId="77777777" w:rsidR="001754B5" w:rsidRDefault="001754B5" w:rsidP="001754B5">
      <w:pPr>
        <w:pStyle w:val="OrderSigInfo"/>
        <w:keepNext/>
        <w:keepLines/>
      </w:pPr>
      <w:r>
        <w:t>www.floridapsc.com</w:t>
      </w:r>
    </w:p>
    <w:p w14:paraId="74ACB131" w14:textId="77777777" w:rsidR="001754B5" w:rsidRDefault="001754B5" w:rsidP="001754B5">
      <w:pPr>
        <w:pStyle w:val="OrderSigInfo"/>
        <w:keepNext/>
        <w:keepLines/>
      </w:pPr>
    </w:p>
    <w:p w14:paraId="2016A78E" w14:textId="77777777" w:rsidR="001754B5" w:rsidRDefault="001754B5" w:rsidP="001754B5">
      <w:pPr>
        <w:pStyle w:val="OrderSigInfo"/>
        <w:keepNext/>
        <w:keepLines/>
      </w:pPr>
      <w:r>
        <w:t>Copies furnished:  A copy of this document is provided to the parties of record at the time of issuance and, if applicable, interested persons.</w:t>
      </w:r>
    </w:p>
    <w:p w14:paraId="2026A4B7" w14:textId="77777777" w:rsidR="001754B5" w:rsidRDefault="001754B5" w:rsidP="001754B5">
      <w:pPr>
        <w:pStyle w:val="OrderBody"/>
        <w:keepNext/>
        <w:keepLines/>
      </w:pPr>
    </w:p>
    <w:p w14:paraId="0589C7D1" w14:textId="77777777" w:rsidR="001754B5" w:rsidRDefault="001754B5" w:rsidP="001754B5">
      <w:pPr>
        <w:keepNext/>
        <w:keepLines/>
        <w:jc w:val="both"/>
      </w:pPr>
    </w:p>
    <w:p w14:paraId="11C34D68" w14:textId="77777777" w:rsidR="001754B5" w:rsidRDefault="001754B5" w:rsidP="001754B5">
      <w:pPr>
        <w:keepNext/>
        <w:keepLines/>
        <w:jc w:val="both"/>
      </w:pPr>
      <w:r>
        <w:t>SPS</w:t>
      </w:r>
    </w:p>
    <w:p w14:paraId="0C7D5644" w14:textId="77777777" w:rsidR="001754B5" w:rsidRDefault="001754B5" w:rsidP="001754B5">
      <w:pPr>
        <w:jc w:val="both"/>
      </w:pPr>
    </w:p>
    <w:p w14:paraId="3F632D1E" w14:textId="780794CF" w:rsidR="001754B5" w:rsidRDefault="001754B5" w:rsidP="001754B5">
      <w:pPr>
        <w:jc w:val="both"/>
      </w:pPr>
    </w:p>
    <w:p w14:paraId="55E4C787" w14:textId="7CD9944E" w:rsidR="003B7624" w:rsidRDefault="003B7624" w:rsidP="001754B5">
      <w:pPr>
        <w:jc w:val="both"/>
      </w:pPr>
    </w:p>
    <w:p w14:paraId="421B798F" w14:textId="396B1509" w:rsidR="003B7624" w:rsidRDefault="003B7624" w:rsidP="001754B5">
      <w:pPr>
        <w:jc w:val="both"/>
      </w:pPr>
    </w:p>
    <w:p w14:paraId="5C12BD41" w14:textId="1302C136" w:rsidR="003B7624" w:rsidRDefault="003B7624" w:rsidP="001754B5">
      <w:pPr>
        <w:jc w:val="both"/>
      </w:pPr>
    </w:p>
    <w:p w14:paraId="6BBAEB8A" w14:textId="26402DC0" w:rsidR="003B7624" w:rsidRDefault="003B7624" w:rsidP="001754B5">
      <w:pPr>
        <w:jc w:val="both"/>
      </w:pPr>
    </w:p>
    <w:p w14:paraId="0727E57C" w14:textId="7BD3CB45" w:rsidR="003B7624" w:rsidRDefault="003B7624" w:rsidP="001754B5">
      <w:pPr>
        <w:jc w:val="both"/>
      </w:pPr>
    </w:p>
    <w:p w14:paraId="072A06D6" w14:textId="3FF09229" w:rsidR="003B7624" w:rsidRDefault="003B7624" w:rsidP="001754B5">
      <w:pPr>
        <w:jc w:val="both"/>
      </w:pPr>
    </w:p>
    <w:p w14:paraId="0B241626" w14:textId="77777777" w:rsidR="003B7624" w:rsidRDefault="003B7624" w:rsidP="001754B5">
      <w:pPr>
        <w:jc w:val="both"/>
      </w:pPr>
    </w:p>
    <w:p w14:paraId="5AC6BD80" w14:textId="77777777" w:rsidR="004E6636" w:rsidRPr="004E6636" w:rsidRDefault="004E6636" w:rsidP="004E6636">
      <w:pPr>
        <w:jc w:val="center"/>
        <w:rPr>
          <w:u w:val="single"/>
        </w:rPr>
      </w:pPr>
      <w:r w:rsidRPr="004E6636">
        <w:rPr>
          <w:u w:val="single"/>
        </w:rPr>
        <w:t>NOTICE OF FURTHER PROCEEDINGS OR JUDICIAL REVIEW</w:t>
      </w:r>
    </w:p>
    <w:p w14:paraId="1560BD08" w14:textId="77777777" w:rsidR="004E6636" w:rsidRPr="004E6636" w:rsidRDefault="004E6636" w:rsidP="004E6636">
      <w:pPr>
        <w:jc w:val="center"/>
        <w:rPr>
          <w:u w:val="single"/>
        </w:rPr>
      </w:pPr>
    </w:p>
    <w:p w14:paraId="3B40941A" w14:textId="77777777" w:rsidR="004E6636" w:rsidRPr="004E6636" w:rsidRDefault="004E6636" w:rsidP="004E6636">
      <w:pPr>
        <w:jc w:val="both"/>
      </w:pPr>
      <w:r w:rsidRPr="004E663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377E8C20" w14:textId="77777777" w:rsidR="004E6636" w:rsidRPr="004E6636" w:rsidRDefault="004E6636" w:rsidP="004E6636">
      <w:pPr>
        <w:jc w:val="both"/>
      </w:pPr>
    </w:p>
    <w:p w14:paraId="0CD289EF" w14:textId="77777777" w:rsidR="004E6636" w:rsidRPr="004E6636" w:rsidRDefault="004E6636" w:rsidP="004E6636">
      <w:pPr>
        <w:jc w:val="both"/>
      </w:pPr>
      <w:r w:rsidRPr="004E6636">
        <w:tab/>
        <w:t>Mediation may be available on a case-by-case basis.  If mediation is conducted, it does not affect a substantially interested person's right to a hearing.</w:t>
      </w:r>
    </w:p>
    <w:p w14:paraId="0402554B" w14:textId="77777777" w:rsidR="004E6636" w:rsidRPr="004E6636" w:rsidRDefault="004E6636" w:rsidP="004E6636">
      <w:pPr>
        <w:jc w:val="both"/>
      </w:pPr>
    </w:p>
    <w:p w14:paraId="688ECBF3" w14:textId="77777777" w:rsidR="004E6636" w:rsidRDefault="004E6636" w:rsidP="004E6636">
      <w:pPr>
        <w:jc w:val="both"/>
      </w:pPr>
      <w:r w:rsidRPr="004E663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493321D6" w14:textId="77777777" w:rsidR="004E6636" w:rsidRDefault="004E6636"/>
    <w:p w14:paraId="49A5F28C" w14:textId="77777777" w:rsidR="004E6636" w:rsidRDefault="004E6636"/>
    <w:p w14:paraId="7E56BC99" w14:textId="77777777" w:rsidR="004E6636" w:rsidRDefault="004E6636"/>
    <w:p w14:paraId="608E2E52" w14:textId="77777777" w:rsidR="004E6636" w:rsidRDefault="004E6636"/>
    <w:sectPr w:rsidR="004E6636">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82A9F" w14:textId="77777777" w:rsidR="007C65F5" w:rsidRDefault="007C65F5">
      <w:r>
        <w:separator/>
      </w:r>
    </w:p>
  </w:endnote>
  <w:endnote w:type="continuationSeparator" w:id="0">
    <w:p w14:paraId="5712479E" w14:textId="77777777" w:rsidR="007C65F5" w:rsidRDefault="007C6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45ACE" w14:textId="77777777" w:rsidR="00FA6EFD" w:rsidRDefault="00FA6EFD">
    <w:pPr>
      <w:pStyle w:val="Footer"/>
    </w:pPr>
  </w:p>
  <w:p w14:paraId="0E1C73E6"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9B69E" w14:textId="77777777" w:rsidR="007C65F5" w:rsidRDefault="007C65F5">
      <w:r>
        <w:separator/>
      </w:r>
    </w:p>
  </w:footnote>
  <w:footnote w:type="continuationSeparator" w:id="0">
    <w:p w14:paraId="5032304A" w14:textId="77777777" w:rsidR="007C65F5" w:rsidRDefault="007C65F5">
      <w:r>
        <w:continuationSeparator/>
      </w:r>
    </w:p>
  </w:footnote>
  <w:footnote w:id="1">
    <w:p w14:paraId="2CC4FE6E" w14:textId="77777777" w:rsidR="00EF196C" w:rsidRDefault="00EF196C" w:rsidP="00EF196C">
      <w:pPr>
        <w:pStyle w:val="FootnoteText"/>
      </w:pPr>
      <w:r>
        <w:rPr>
          <w:rStyle w:val="FootnoteReference"/>
        </w:rPr>
        <w:footnoteRef/>
      </w:r>
      <w:r>
        <w:t xml:space="preserve"> </w:t>
      </w:r>
      <w:r>
        <w:rPr>
          <w:i/>
        </w:rPr>
        <w:t>See</w:t>
      </w:r>
      <w:r>
        <w:t xml:space="preserve"> Fla. Stat. § 120.52(13)(b).</w:t>
      </w:r>
    </w:p>
  </w:footnote>
  <w:footnote w:id="2">
    <w:p w14:paraId="1C618972" w14:textId="77777777" w:rsidR="00896E68" w:rsidRPr="00E301E1" w:rsidRDefault="00896E68" w:rsidP="00E301E1">
      <w:pPr>
        <w:autoSpaceDE w:val="0"/>
        <w:autoSpaceDN w:val="0"/>
        <w:adjustRightInd w:val="0"/>
        <w:rPr>
          <w:sz w:val="20"/>
          <w:szCs w:val="20"/>
        </w:rPr>
      </w:pPr>
      <w:r w:rsidRPr="00E301E1">
        <w:rPr>
          <w:rStyle w:val="FootnoteReference"/>
          <w:sz w:val="20"/>
          <w:szCs w:val="20"/>
        </w:rPr>
        <w:footnoteRef/>
      </w:r>
      <w:r w:rsidRPr="00E301E1">
        <w:rPr>
          <w:sz w:val="20"/>
          <w:szCs w:val="20"/>
        </w:rPr>
        <w:t xml:space="preserve"> </w:t>
      </w:r>
      <w:r w:rsidR="00E301E1" w:rsidRPr="00E301E1">
        <w:rPr>
          <w:sz w:val="20"/>
          <w:szCs w:val="20"/>
        </w:rPr>
        <w:t xml:space="preserve">Order No. PSC-2021-01510PCO-EI, issued April 22, 2021, in Docket No. 20210016-EI, </w:t>
      </w:r>
      <w:r w:rsidR="00E301E1" w:rsidRPr="00E301E1">
        <w:rPr>
          <w:i/>
          <w:sz w:val="20"/>
          <w:szCs w:val="20"/>
        </w:rPr>
        <w:t xml:space="preserve">In re: Petition for limited proceeding to approve 2021 settlement agreement, including general based rate increases, by Duke Energy Florida, LLC. </w:t>
      </w:r>
      <w:r w:rsidR="00E301E1" w:rsidRPr="00E301E1">
        <w:rPr>
          <w:sz w:val="20"/>
          <w:szCs w:val="20"/>
        </w:rPr>
        <w:t xml:space="preserve">(“broad economic competition-based arguments for standing also do not satisfy the second prong of the </w:t>
      </w:r>
      <w:r w:rsidR="00E301E1" w:rsidRPr="00E301E1">
        <w:rPr>
          <w:iCs/>
          <w:sz w:val="20"/>
          <w:szCs w:val="20"/>
          <w:u w:val="single"/>
        </w:rPr>
        <w:t>Agrico</w:t>
      </w:r>
      <w:r w:rsidR="00E301E1" w:rsidRPr="00E301E1">
        <w:rPr>
          <w:i/>
          <w:iCs/>
          <w:sz w:val="20"/>
          <w:szCs w:val="20"/>
        </w:rPr>
        <w:t xml:space="preserve"> </w:t>
      </w:r>
      <w:r w:rsidR="00E301E1" w:rsidRPr="00E301E1">
        <w:rPr>
          <w:sz w:val="20"/>
          <w:szCs w:val="20"/>
        </w:rPr>
        <w:t xml:space="preserve">test, because the injury </w:t>
      </w:r>
      <w:r w:rsidR="00E301E1">
        <w:rPr>
          <w:sz w:val="20"/>
          <w:szCs w:val="20"/>
        </w:rPr>
        <w:t xml:space="preserve">. . . </w:t>
      </w:r>
      <w:r w:rsidR="00E301E1" w:rsidRPr="00E301E1">
        <w:rPr>
          <w:sz w:val="20"/>
          <w:szCs w:val="20"/>
        </w:rPr>
        <w:t xml:space="preserve"> is not of a type or nature that this proceeding is designed to protect”).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EE216" w14:textId="5153E228" w:rsidR="00FA6EFD" w:rsidRDefault="00FA6EFD">
    <w:pPr>
      <w:pStyle w:val="OrderHeader"/>
    </w:pPr>
    <w:r>
      <w:t xml:space="preserve">ORDER NO. </w:t>
    </w:r>
    <w:fldSimple w:instr=" REF OrderNo0184 ">
      <w:r w:rsidR="003B7624">
        <w:t>PSC-2024-0184-PCO-EI</w:t>
      </w:r>
    </w:fldSimple>
  </w:p>
  <w:p w14:paraId="47F44A9F" w14:textId="77777777" w:rsidR="00FA6EFD" w:rsidRDefault="007C65F5">
    <w:pPr>
      <w:pStyle w:val="OrderHeader"/>
    </w:pPr>
    <w:bookmarkStart w:id="9" w:name="HeaderDocketNo"/>
    <w:bookmarkEnd w:id="9"/>
    <w:r>
      <w:t>DOCKET NO. 20240025-EI</w:t>
    </w:r>
  </w:p>
  <w:p w14:paraId="01DF8D6F" w14:textId="70E61D6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1093">
      <w:rPr>
        <w:rStyle w:val="PageNumber"/>
        <w:noProof/>
      </w:rPr>
      <w:t>6</w:t>
    </w:r>
    <w:r>
      <w:rPr>
        <w:rStyle w:val="PageNumber"/>
      </w:rPr>
      <w:fldChar w:fldCharType="end"/>
    </w:r>
  </w:p>
  <w:p w14:paraId="78417C5D"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A207950"/>
    <w:multiLevelType w:val="multilevel"/>
    <w:tmpl w:val="6D20D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7C65F5"/>
    <w:rsid w:val="000007A8"/>
    <w:rsid w:val="000022B8"/>
    <w:rsid w:val="00003883"/>
    <w:rsid w:val="00011251"/>
    <w:rsid w:val="00015A82"/>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78B"/>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29AB"/>
    <w:rsid w:val="001139D8"/>
    <w:rsid w:val="00116AD3"/>
    <w:rsid w:val="00121957"/>
    <w:rsid w:val="0012387E"/>
    <w:rsid w:val="001259EC"/>
    <w:rsid w:val="00126593"/>
    <w:rsid w:val="00134177"/>
    <w:rsid w:val="00136087"/>
    <w:rsid w:val="00142A96"/>
    <w:rsid w:val="00146B56"/>
    <w:rsid w:val="001513DE"/>
    <w:rsid w:val="00154A71"/>
    <w:rsid w:val="001655D4"/>
    <w:rsid w:val="00165803"/>
    <w:rsid w:val="00166596"/>
    <w:rsid w:val="001754B5"/>
    <w:rsid w:val="00187E32"/>
    <w:rsid w:val="001918FF"/>
    <w:rsid w:val="00194A97"/>
    <w:rsid w:val="00194E81"/>
    <w:rsid w:val="00197C1E"/>
    <w:rsid w:val="001A15E7"/>
    <w:rsid w:val="001A33C9"/>
    <w:rsid w:val="001A58F3"/>
    <w:rsid w:val="001B034E"/>
    <w:rsid w:val="001B52B6"/>
    <w:rsid w:val="001C2847"/>
    <w:rsid w:val="001C3BB5"/>
    <w:rsid w:val="001C3F8C"/>
    <w:rsid w:val="001C6097"/>
    <w:rsid w:val="001C7126"/>
    <w:rsid w:val="001D008A"/>
    <w:rsid w:val="001D277F"/>
    <w:rsid w:val="001E0152"/>
    <w:rsid w:val="001E0FF5"/>
    <w:rsid w:val="001F0095"/>
    <w:rsid w:val="001F36B0"/>
    <w:rsid w:val="001F4CA3"/>
    <w:rsid w:val="001F59E0"/>
    <w:rsid w:val="002002ED"/>
    <w:rsid w:val="002044DD"/>
    <w:rsid w:val="0020498A"/>
    <w:rsid w:val="0021093B"/>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0921"/>
    <w:rsid w:val="002824B7"/>
    <w:rsid w:val="00282AC4"/>
    <w:rsid w:val="00293DC9"/>
    <w:rsid w:val="00297C37"/>
    <w:rsid w:val="002A11AC"/>
    <w:rsid w:val="002A6F30"/>
    <w:rsid w:val="002A7884"/>
    <w:rsid w:val="002B3111"/>
    <w:rsid w:val="002C09F5"/>
    <w:rsid w:val="002C0CCD"/>
    <w:rsid w:val="002C0F02"/>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2122"/>
    <w:rsid w:val="00303FDE"/>
    <w:rsid w:val="00313C5B"/>
    <w:rsid w:val="003140E8"/>
    <w:rsid w:val="003231C7"/>
    <w:rsid w:val="00323839"/>
    <w:rsid w:val="003270C4"/>
    <w:rsid w:val="00331ED0"/>
    <w:rsid w:val="00332B0A"/>
    <w:rsid w:val="00333A41"/>
    <w:rsid w:val="00336784"/>
    <w:rsid w:val="00341036"/>
    <w:rsid w:val="00345434"/>
    <w:rsid w:val="00351C22"/>
    <w:rsid w:val="0035495B"/>
    <w:rsid w:val="00355A93"/>
    <w:rsid w:val="00360F30"/>
    <w:rsid w:val="00361522"/>
    <w:rsid w:val="0037196E"/>
    <w:rsid w:val="003744F5"/>
    <w:rsid w:val="00382C6A"/>
    <w:rsid w:val="003872CF"/>
    <w:rsid w:val="003875A9"/>
    <w:rsid w:val="00387BDE"/>
    <w:rsid w:val="00390DD8"/>
    <w:rsid w:val="00394DC6"/>
    <w:rsid w:val="00397C3E"/>
    <w:rsid w:val="003A7E39"/>
    <w:rsid w:val="003B1A09"/>
    <w:rsid w:val="003B6F02"/>
    <w:rsid w:val="003B7624"/>
    <w:rsid w:val="003C0431"/>
    <w:rsid w:val="003C29BB"/>
    <w:rsid w:val="003D3989"/>
    <w:rsid w:val="003D4CCA"/>
    <w:rsid w:val="003D52A6"/>
    <w:rsid w:val="003D6416"/>
    <w:rsid w:val="003E1D48"/>
    <w:rsid w:val="003E711F"/>
    <w:rsid w:val="003F1D2B"/>
    <w:rsid w:val="003F49A6"/>
    <w:rsid w:val="003F518F"/>
    <w:rsid w:val="003F6BA7"/>
    <w:rsid w:val="003F7445"/>
    <w:rsid w:val="004072C3"/>
    <w:rsid w:val="00411DF2"/>
    <w:rsid w:val="00411E8F"/>
    <w:rsid w:val="004122C2"/>
    <w:rsid w:val="00416C30"/>
    <w:rsid w:val="004247F5"/>
    <w:rsid w:val="0042527B"/>
    <w:rsid w:val="00427EAC"/>
    <w:rsid w:val="004431B4"/>
    <w:rsid w:val="00445604"/>
    <w:rsid w:val="00451158"/>
    <w:rsid w:val="0045537F"/>
    <w:rsid w:val="00457DC7"/>
    <w:rsid w:val="004640B3"/>
    <w:rsid w:val="00464C74"/>
    <w:rsid w:val="00472BCC"/>
    <w:rsid w:val="00477699"/>
    <w:rsid w:val="004A25CD"/>
    <w:rsid w:val="004A26CC"/>
    <w:rsid w:val="004A6FB1"/>
    <w:rsid w:val="004B2108"/>
    <w:rsid w:val="004B3A2B"/>
    <w:rsid w:val="004B70D3"/>
    <w:rsid w:val="004C0729"/>
    <w:rsid w:val="004C312D"/>
    <w:rsid w:val="004C780B"/>
    <w:rsid w:val="004D2D1B"/>
    <w:rsid w:val="004D5067"/>
    <w:rsid w:val="004D6838"/>
    <w:rsid w:val="004D72BC"/>
    <w:rsid w:val="004E469D"/>
    <w:rsid w:val="004E6636"/>
    <w:rsid w:val="004E7F4F"/>
    <w:rsid w:val="004F2DDE"/>
    <w:rsid w:val="004F5A55"/>
    <w:rsid w:val="004F6426"/>
    <w:rsid w:val="004F7826"/>
    <w:rsid w:val="0050097F"/>
    <w:rsid w:val="005103D1"/>
    <w:rsid w:val="005111B4"/>
    <w:rsid w:val="00514B1F"/>
    <w:rsid w:val="00523C5C"/>
    <w:rsid w:val="00524884"/>
    <w:rsid w:val="00525E93"/>
    <w:rsid w:val="0052671D"/>
    <w:rsid w:val="005300C0"/>
    <w:rsid w:val="00533E9E"/>
    <w:rsid w:val="00533EF6"/>
    <w:rsid w:val="00540E6B"/>
    <w:rsid w:val="0054109E"/>
    <w:rsid w:val="0055595D"/>
    <w:rsid w:val="00556A10"/>
    <w:rsid w:val="005575B6"/>
    <w:rsid w:val="00557F50"/>
    <w:rsid w:val="00571D3D"/>
    <w:rsid w:val="0058264B"/>
    <w:rsid w:val="00586368"/>
    <w:rsid w:val="005868AA"/>
    <w:rsid w:val="00590845"/>
    <w:rsid w:val="005963C2"/>
    <w:rsid w:val="005A0D69"/>
    <w:rsid w:val="005A1093"/>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67C"/>
    <w:rsid w:val="00615F9B"/>
    <w:rsid w:val="00616DF2"/>
    <w:rsid w:val="0061711F"/>
    <w:rsid w:val="0062385D"/>
    <w:rsid w:val="0063168D"/>
    <w:rsid w:val="00635C79"/>
    <w:rsid w:val="00636159"/>
    <w:rsid w:val="00641C57"/>
    <w:rsid w:val="006423A7"/>
    <w:rsid w:val="00644AD9"/>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42B9"/>
    <w:rsid w:val="006C547E"/>
    <w:rsid w:val="006D2B51"/>
    <w:rsid w:val="006D5575"/>
    <w:rsid w:val="006D7191"/>
    <w:rsid w:val="006E21C4"/>
    <w:rsid w:val="006E42BE"/>
    <w:rsid w:val="006E5D4D"/>
    <w:rsid w:val="006E6D16"/>
    <w:rsid w:val="007034B7"/>
    <w:rsid w:val="00703F2A"/>
    <w:rsid w:val="007044E3"/>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77B85"/>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65F5"/>
    <w:rsid w:val="007C7134"/>
    <w:rsid w:val="007C7ECF"/>
    <w:rsid w:val="007D3D20"/>
    <w:rsid w:val="007D44F9"/>
    <w:rsid w:val="007D4F73"/>
    <w:rsid w:val="007D742E"/>
    <w:rsid w:val="007E3AFD"/>
    <w:rsid w:val="00801DAD"/>
    <w:rsid w:val="00803189"/>
    <w:rsid w:val="00804E7A"/>
    <w:rsid w:val="00805FBB"/>
    <w:rsid w:val="00807372"/>
    <w:rsid w:val="00814292"/>
    <w:rsid w:val="008169A4"/>
    <w:rsid w:val="0082028F"/>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6E68"/>
    <w:rsid w:val="00897740"/>
    <w:rsid w:val="008A12EC"/>
    <w:rsid w:val="008B14BE"/>
    <w:rsid w:val="008B19A6"/>
    <w:rsid w:val="008B4EFB"/>
    <w:rsid w:val="008B4F20"/>
    <w:rsid w:val="008B7615"/>
    <w:rsid w:val="008C21C8"/>
    <w:rsid w:val="008C3AFB"/>
    <w:rsid w:val="008C6375"/>
    <w:rsid w:val="008C6A5B"/>
    <w:rsid w:val="008D441D"/>
    <w:rsid w:val="008D498D"/>
    <w:rsid w:val="008D6D36"/>
    <w:rsid w:val="008E0693"/>
    <w:rsid w:val="008E26A5"/>
    <w:rsid w:val="008E42D2"/>
    <w:rsid w:val="008E5C21"/>
    <w:rsid w:val="008E6328"/>
    <w:rsid w:val="008F578F"/>
    <w:rsid w:val="008F5D04"/>
    <w:rsid w:val="008F6B3F"/>
    <w:rsid w:val="00902E36"/>
    <w:rsid w:val="009040EE"/>
    <w:rsid w:val="009057FD"/>
    <w:rsid w:val="00906FBA"/>
    <w:rsid w:val="00915734"/>
    <w:rsid w:val="009163E8"/>
    <w:rsid w:val="00921BD3"/>
    <w:rsid w:val="009228C7"/>
    <w:rsid w:val="00922A7F"/>
    <w:rsid w:val="00923A5E"/>
    <w:rsid w:val="00924FE7"/>
    <w:rsid w:val="00926E27"/>
    <w:rsid w:val="00931C8C"/>
    <w:rsid w:val="00943D21"/>
    <w:rsid w:val="0094504B"/>
    <w:rsid w:val="00961AEF"/>
    <w:rsid w:val="00962BD6"/>
    <w:rsid w:val="00963533"/>
    <w:rsid w:val="00964A38"/>
    <w:rsid w:val="00966A9D"/>
    <w:rsid w:val="0096742B"/>
    <w:rsid w:val="00967C64"/>
    <w:rsid w:val="00967D98"/>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5BA7"/>
    <w:rsid w:val="00AA6516"/>
    <w:rsid w:val="00AA73F1"/>
    <w:rsid w:val="00AB0E1A"/>
    <w:rsid w:val="00AB1A30"/>
    <w:rsid w:val="00AB3C36"/>
    <w:rsid w:val="00AB3D30"/>
    <w:rsid w:val="00AC4B09"/>
    <w:rsid w:val="00AC5A01"/>
    <w:rsid w:val="00AD10EB"/>
    <w:rsid w:val="00AD1ED3"/>
    <w:rsid w:val="00AD3717"/>
    <w:rsid w:val="00AD4C9C"/>
    <w:rsid w:val="00AD74F4"/>
    <w:rsid w:val="00B019C1"/>
    <w:rsid w:val="00B02001"/>
    <w:rsid w:val="00B03C50"/>
    <w:rsid w:val="00B0777D"/>
    <w:rsid w:val="00B11576"/>
    <w:rsid w:val="00B1195F"/>
    <w:rsid w:val="00B14D10"/>
    <w:rsid w:val="00B209C7"/>
    <w:rsid w:val="00B24754"/>
    <w:rsid w:val="00B26480"/>
    <w:rsid w:val="00B33985"/>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50CA"/>
    <w:rsid w:val="00B67A43"/>
    <w:rsid w:val="00B71D1F"/>
    <w:rsid w:val="00B72CFF"/>
    <w:rsid w:val="00B73DE6"/>
    <w:rsid w:val="00B761CD"/>
    <w:rsid w:val="00B76B66"/>
    <w:rsid w:val="00B86EF0"/>
    <w:rsid w:val="00B94DAC"/>
    <w:rsid w:val="00B96969"/>
    <w:rsid w:val="00B97900"/>
    <w:rsid w:val="00BA1229"/>
    <w:rsid w:val="00BA44A8"/>
    <w:rsid w:val="00BA49C5"/>
    <w:rsid w:val="00BB0182"/>
    <w:rsid w:val="00BB2F4A"/>
    <w:rsid w:val="00BC786E"/>
    <w:rsid w:val="00BD5C92"/>
    <w:rsid w:val="00BE50E6"/>
    <w:rsid w:val="00BE6EDE"/>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D7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1904"/>
    <w:rsid w:val="00CF32D2"/>
    <w:rsid w:val="00CF4CFE"/>
    <w:rsid w:val="00D00E8E"/>
    <w:rsid w:val="00D02E0F"/>
    <w:rsid w:val="00D03EE8"/>
    <w:rsid w:val="00D10250"/>
    <w:rsid w:val="00D13535"/>
    <w:rsid w:val="00D14718"/>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074F4"/>
    <w:rsid w:val="00E11351"/>
    <w:rsid w:val="00E301E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196C"/>
    <w:rsid w:val="00EF4621"/>
    <w:rsid w:val="00EF4D52"/>
    <w:rsid w:val="00EF6312"/>
    <w:rsid w:val="00F038B0"/>
    <w:rsid w:val="00F05F34"/>
    <w:rsid w:val="00F22B27"/>
    <w:rsid w:val="00F234A7"/>
    <w:rsid w:val="00F277B6"/>
    <w:rsid w:val="00F27DA5"/>
    <w:rsid w:val="00F37E07"/>
    <w:rsid w:val="00F4182A"/>
    <w:rsid w:val="00F464ED"/>
    <w:rsid w:val="00F51F34"/>
    <w:rsid w:val="00F54380"/>
    <w:rsid w:val="00F54B47"/>
    <w:rsid w:val="00F61247"/>
    <w:rsid w:val="00F61F61"/>
    <w:rsid w:val="00F63191"/>
    <w:rsid w:val="00F6702E"/>
    <w:rsid w:val="00F67289"/>
    <w:rsid w:val="00F70E84"/>
    <w:rsid w:val="00F80685"/>
    <w:rsid w:val="00F94968"/>
    <w:rsid w:val="00FA092B"/>
    <w:rsid w:val="00FA4F6C"/>
    <w:rsid w:val="00FA6EFD"/>
    <w:rsid w:val="00FB3791"/>
    <w:rsid w:val="00FB4685"/>
    <w:rsid w:val="00FB6780"/>
    <w:rsid w:val="00FB74EA"/>
    <w:rsid w:val="00FD0ADB"/>
    <w:rsid w:val="00FD2C9E"/>
    <w:rsid w:val="00FD4786"/>
    <w:rsid w:val="00FD616C"/>
    <w:rsid w:val="00FE53F2"/>
    <w:rsid w:val="00FF0A00"/>
    <w:rsid w:val="00FF1C57"/>
    <w:rsid w:val="00FF2581"/>
    <w:rsid w:val="00FF4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85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8B4F20"/>
    <w:pPr>
      <w:numPr>
        <w:numId w:val="1"/>
      </w:numPr>
    </w:pPr>
  </w:style>
  <w:style w:type="numbering" w:customStyle="1" w:styleId="1ai1">
    <w:name w:val="1 / a / i1"/>
    <w:basedOn w:val="NoList"/>
    <w:next w:val="1ai"/>
    <w:rsid w:val="004E6636"/>
  </w:style>
  <w:style w:type="character" w:styleId="Hyperlink">
    <w:name w:val="Hyperlink"/>
    <w:basedOn w:val="DefaultParagraphFont"/>
    <w:unhideWhenUsed/>
    <w:rsid w:val="008C3AFB"/>
    <w:rPr>
      <w:color w:val="0000FF" w:themeColor="hyperlink"/>
      <w:u w:val="single"/>
    </w:rPr>
  </w:style>
  <w:style w:type="character" w:styleId="CommentReference">
    <w:name w:val="annotation reference"/>
    <w:basedOn w:val="DefaultParagraphFont"/>
    <w:semiHidden/>
    <w:unhideWhenUsed/>
    <w:rsid w:val="003872CF"/>
    <w:rPr>
      <w:sz w:val="16"/>
      <w:szCs w:val="16"/>
    </w:rPr>
  </w:style>
  <w:style w:type="paragraph" w:styleId="CommentText">
    <w:name w:val="annotation text"/>
    <w:basedOn w:val="Normal"/>
    <w:link w:val="CommentTextChar"/>
    <w:semiHidden/>
    <w:unhideWhenUsed/>
    <w:rsid w:val="003872CF"/>
    <w:rPr>
      <w:sz w:val="20"/>
      <w:szCs w:val="20"/>
    </w:rPr>
  </w:style>
  <w:style w:type="character" w:customStyle="1" w:styleId="CommentTextChar">
    <w:name w:val="Comment Text Char"/>
    <w:basedOn w:val="DefaultParagraphFont"/>
    <w:link w:val="CommentText"/>
    <w:semiHidden/>
    <w:rsid w:val="003872CF"/>
  </w:style>
  <w:style w:type="paragraph" w:styleId="CommentSubject">
    <w:name w:val="annotation subject"/>
    <w:basedOn w:val="CommentText"/>
    <w:next w:val="CommentText"/>
    <w:link w:val="CommentSubjectChar"/>
    <w:semiHidden/>
    <w:unhideWhenUsed/>
    <w:rsid w:val="003872CF"/>
    <w:rPr>
      <w:b/>
      <w:bCs/>
    </w:rPr>
  </w:style>
  <w:style w:type="character" w:customStyle="1" w:styleId="CommentSubjectChar">
    <w:name w:val="Comment Subject Char"/>
    <w:basedOn w:val="CommentTextChar"/>
    <w:link w:val="CommentSubject"/>
    <w:semiHidden/>
    <w:rsid w:val="003872CF"/>
    <w:rPr>
      <w:b/>
      <w:bCs/>
    </w:rPr>
  </w:style>
  <w:style w:type="paragraph" w:styleId="BalloonText">
    <w:name w:val="Balloon Text"/>
    <w:basedOn w:val="Normal"/>
    <w:link w:val="BalloonTextChar"/>
    <w:semiHidden/>
    <w:unhideWhenUsed/>
    <w:rsid w:val="003872CF"/>
    <w:rPr>
      <w:rFonts w:ascii="Segoe UI" w:hAnsi="Segoe UI" w:cs="Segoe UI"/>
      <w:sz w:val="18"/>
      <w:szCs w:val="18"/>
    </w:rPr>
  </w:style>
  <w:style w:type="character" w:customStyle="1" w:styleId="BalloonTextChar">
    <w:name w:val="Balloon Text Char"/>
    <w:basedOn w:val="DefaultParagraphFont"/>
    <w:link w:val="BalloonText"/>
    <w:semiHidden/>
    <w:rsid w:val="00387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harles@llw-law.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schauer@llw-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killinger@llw-law.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6</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2024-06-04T13:25:00Z</dcterms:created>
  <dcterms:modified xsi:type="dcterms:W3CDTF">2024-06-04T17:52:00Z</dcterms:modified>
</cp:coreProperties>
</file>