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D9CA2D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31BE8FE" w14:textId="77777777" w:rsidR="007C0528" w:rsidRDefault="007C0528" w:rsidP="00532DFB">
            <w:pPr>
              <w:pStyle w:val="MastHeadState"/>
            </w:pPr>
            <w:bookmarkStart w:id="0" w:name="_GoBack"/>
            <w:bookmarkEnd w:id="0"/>
            <w:r>
              <w:t>State of Florida</w:t>
            </w:r>
          </w:p>
          <w:p w14:paraId="40C653FB" w14:textId="77777777" w:rsidR="007C0528" w:rsidRDefault="00072CCA">
            <w:pPr>
              <w:jc w:val="center"/>
            </w:pPr>
            <w:r>
              <w:rPr>
                <w:noProof/>
              </w:rPr>
              <w:drawing>
                <wp:inline distT="0" distB="0" distL="0" distR="0" wp14:anchorId="1698C0C7" wp14:editId="7D28631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39099C1"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D674539" w14:textId="77777777" w:rsidR="007C0528" w:rsidRDefault="007C0528">
            <w:pPr>
              <w:pStyle w:val="MastHeadPSC"/>
            </w:pPr>
            <w:r>
              <w:t>Public Service Commission</w:t>
            </w:r>
          </w:p>
          <w:p w14:paraId="6DD779D1" w14:textId="77777777" w:rsidR="007C0528" w:rsidRDefault="007C0528">
            <w:pPr>
              <w:pStyle w:val="MastHeadAddress"/>
            </w:pPr>
            <w:r>
              <w:t>Capital Circle Office Center ● 2540 Shumard Oak Boulevard</w:t>
            </w:r>
            <w:r>
              <w:br/>
              <w:t>Tallahassee, Florida 32399-0850</w:t>
            </w:r>
          </w:p>
          <w:p w14:paraId="7E692628" w14:textId="77777777" w:rsidR="007C0528" w:rsidRDefault="007C0528">
            <w:pPr>
              <w:pStyle w:val="MastHeadMemorandum"/>
            </w:pPr>
            <w:r>
              <w:t>-M-E-M-O-R-A-N-D-U-M-</w:t>
            </w:r>
          </w:p>
          <w:p w14:paraId="22E9C7A4" w14:textId="77777777" w:rsidR="007C0528" w:rsidRDefault="007C0528">
            <w:pPr>
              <w:pStyle w:val="MemoHeading"/>
            </w:pPr>
          </w:p>
        </w:tc>
      </w:tr>
      <w:tr w:rsidR="007C0528" w14:paraId="08ACF31D"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D1FD7C9"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9A63786" w14:textId="77777777" w:rsidR="007C0528" w:rsidRDefault="001505B3">
            <w:pPr>
              <w:pStyle w:val="MemoHeading"/>
            </w:pPr>
            <w:bookmarkStart w:id="1" w:name="FilingDate"/>
            <w:r>
              <w:t>June 6, 2024</w:t>
            </w:r>
            <w:bookmarkEnd w:id="1"/>
          </w:p>
        </w:tc>
      </w:tr>
      <w:tr w:rsidR="007C0528" w14:paraId="72C4CD39" w14:textId="77777777">
        <w:tc>
          <w:tcPr>
            <w:tcW w:w="1254" w:type="dxa"/>
            <w:tcBorders>
              <w:top w:val="nil"/>
              <w:left w:val="nil"/>
              <w:bottom w:val="nil"/>
              <w:right w:val="nil"/>
            </w:tcBorders>
            <w:shd w:val="clear" w:color="auto" w:fill="auto"/>
            <w:tcMar>
              <w:top w:w="288" w:type="dxa"/>
              <w:bottom w:w="0" w:type="dxa"/>
              <w:right w:w="0" w:type="dxa"/>
            </w:tcMar>
          </w:tcPr>
          <w:p w14:paraId="6DF7546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46F094E" w14:textId="77777777" w:rsidR="007C0528" w:rsidRDefault="007C0528" w:rsidP="0093658B">
            <w:pPr>
              <w:pStyle w:val="MemoHeading"/>
            </w:pPr>
            <w:r>
              <w:t>Office of Commission Clerk (</w:t>
            </w:r>
            <w:proofErr w:type="spellStart"/>
            <w:r w:rsidR="004E69B5">
              <w:t>Teitzman</w:t>
            </w:r>
            <w:proofErr w:type="spellEnd"/>
            <w:r>
              <w:t>)</w:t>
            </w:r>
          </w:p>
        </w:tc>
      </w:tr>
      <w:tr w:rsidR="007C0528" w14:paraId="0A26C4EC" w14:textId="77777777">
        <w:tc>
          <w:tcPr>
            <w:tcW w:w="1254" w:type="dxa"/>
            <w:tcBorders>
              <w:top w:val="nil"/>
              <w:left w:val="nil"/>
              <w:bottom w:val="nil"/>
              <w:right w:val="nil"/>
            </w:tcBorders>
            <w:shd w:val="clear" w:color="auto" w:fill="auto"/>
            <w:tcMar>
              <w:top w:w="288" w:type="dxa"/>
              <w:right w:w="0" w:type="dxa"/>
            </w:tcMar>
          </w:tcPr>
          <w:p w14:paraId="03020663"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FBBAF0C" w14:textId="77777777" w:rsidR="001505B3" w:rsidRDefault="001505B3">
            <w:pPr>
              <w:pStyle w:val="MemoHeading"/>
            </w:pPr>
            <w:bookmarkStart w:id="2" w:name="From"/>
            <w:r>
              <w:t>Division of Engineering (M. Watts, Ramos)</w:t>
            </w:r>
          </w:p>
          <w:p w14:paraId="5E374A35" w14:textId="77777777" w:rsidR="007C0528" w:rsidRDefault="001505B3">
            <w:pPr>
              <w:pStyle w:val="MemoHeading"/>
            </w:pPr>
            <w:r>
              <w:t>Office of the General Counsel (Dose)</w:t>
            </w:r>
            <w:bookmarkEnd w:id="2"/>
          </w:p>
        </w:tc>
      </w:tr>
      <w:tr w:rsidR="007C0528" w14:paraId="23BCFD8D" w14:textId="77777777">
        <w:tc>
          <w:tcPr>
            <w:tcW w:w="1254" w:type="dxa"/>
            <w:tcBorders>
              <w:top w:val="nil"/>
              <w:left w:val="nil"/>
              <w:bottom w:val="nil"/>
              <w:right w:val="nil"/>
            </w:tcBorders>
            <w:shd w:val="clear" w:color="auto" w:fill="auto"/>
            <w:tcMar>
              <w:top w:w="288" w:type="dxa"/>
              <w:right w:w="0" w:type="dxa"/>
            </w:tcMar>
          </w:tcPr>
          <w:p w14:paraId="0C5D5A45"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45CB5F2" w14:textId="77777777" w:rsidR="007C0528" w:rsidRDefault="001505B3">
            <w:pPr>
              <w:pStyle w:val="MemoHeadingRe"/>
            </w:pPr>
            <w:bookmarkStart w:id="3" w:name="Re"/>
            <w:r>
              <w:t>Docket No. 20240089-WS – Resolution of the Board of County Commissioners of Columbia County declaring Columbia County subject of the provisions of Section 367, F.S.</w:t>
            </w:r>
            <w:bookmarkEnd w:id="3"/>
          </w:p>
        </w:tc>
      </w:tr>
      <w:tr w:rsidR="007C0528" w14:paraId="6408F47C" w14:textId="77777777">
        <w:tc>
          <w:tcPr>
            <w:tcW w:w="1254" w:type="dxa"/>
            <w:tcBorders>
              <w:top w:val="nil"/>
              <w:left w:val="nil"/>
              <w:bottom w:val="nil"/>
              <w:right w:val="nil"/>
            </w:tcBorders>
            <w:shd w:val="clear" w:color="auto" w:fill="auto"/>
            <w:tcMar>
              <w:top w:w="288" w:type="dxa"/>
              <w:bottom w:w="0" w:type="dxa"/>
              <w:right w:w="0" w:type="dxa"/>
            </w:tcMar>
          </w:tcPr>
          <w:p w14:paraId="2457CEC9"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7A4B036" w14:textId="77777777" w:rsidR="007C0528" w:rsidRDefault="001505B3">
            <w:pPr>
              <w:pStyle w:val="MemoHeading"/>
            </w:pPr>
            <w:bookmarkStart w:id="4" w:name="AgendaDate"/>
            <w:r>
              <w:t>06/18/24</w:t>
            </w:r>
            <w:bookmarkEnd w:id="4"/>
            <w:r w:rsidR="007C0528">
              <w:t xml:space="preserve"> – </w:t>
            </w:r>
            <w:bookmarkStart w:id="5" w:name="PermittedStatus"/>
            <w:r>
              <w:t>Regular Agenda – Interested Persons May Participate</w:t>
            </w:r>
            <w:bookmarkEnd w:id="5"/>
          </w:p>
        </w:tc>
      </w:tr>
      <w:tr w:rsidR="007C0528" w14:paraId="4FA39E63" w14:textId="77777777">
        <w:tc>
          <w:tcPr>
            <w:tcW w:w="3690" w:type="dxa"/>
            <w:gridSpan w:val="3"/>
            <w:tcBorders>
              <w:top w:val="nil"/>
              <w:left w:val="nil"/>
              <w:bottom w:val="nil"/>
              <w:right w:val="nil"/>
            </w:tcBorders>
            <w:shd w:val="clear" w:color="auto" w:fill="auto"/>
            <w:tcMar>
              <w:top w:w="288" w:type="dxa"/>
              <w:bottom w:w="0" w:type="dxa"/>
              <w:right w:w="0" w:type="dxa"/>
            </w:tcMar>
          </w:tcPr>
          <w:p w14:paraId="46983654"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86902F7" w14:textId="77777777" w:rsidR="007C0528" w:rsidRDefault="001505B3">
            <w:pPr>
              <w:pStyle w:val="MemoHeading"/>
            </w:pPr>
            <w:bookmarkStart w:id="6" w:name="CommissionersAssigned"/>
            <w:bookmarkEnd w:id="6"/>
            <w:r>
              <w:t>All Commissioners</w:t>
            </w:r>
          </w:p>
        </w:tc>
      </w:tr>
      <w:tr w:rsidR="007C0528" w14:paraId="243FC3E8" w14:textId="77777777">
        <w:tc>
          <w:tcPr>
            <w:tcW w:w="3690" w:type="dxa"/>
            <w:gridSpan w:val="3"/>
            <w:tcBorders>
              <w:top w:val="nil"/>
              <w:left w:val="nil"/>
              <w:bottom w:val="nil"/>
              <w:right w:val="nil"/>
            </w:tcBorders>
            <w:shd w:val="clear" w:color="auto" w:fill="auto"/>
            <w:tcMar>
              <w:top w:w="288" w:type="dxa"/>
              <w:bottom w:w="0" w:type="dxa"/>
              <w:right w:w="0" w:type="dxa"/>
            </w:tcMar>
          </w:tcPr>
          <w:p w14:paraId="530021F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722FC8F" w14:textId="58F2CEDC" w:rsidR="007C0528" w:rsidRDefault="00582A74">
            <w:pPr>
              <w:pStyle w:val="MemoHeading"/>
            </w:pPr>
            <w:bookmarkStart w:id="7" w:name="PrehearingOfficer"/>
            <w:r>
              <w:t>Administrative</w:t>
            </w:r>
            <w:bookmarkEnd w:id="7"/>
          </w:p>
        </w:tc>
      </w:tr>
      <w:tr w:rsidR="007C0528" w14:paraId="352DC38F"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D4B5979"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EB447A8" w14:textId="77777777" w:rsidR="007C0528" w:rsidRDefault="001505B3">
            <w:pPr>
              <w:pStyle w:val="MemoHeading"/>
            </w:pPr>
            <w:bookmarkStart w:id="9" w:name="CriticalDates"/>
            <w:r>
              <w:t>None</w:t>
            </w:r>
            <w:bookmarkEnd w:id="9"/>
          </w:p>
        </w:tc>
      </w:tr>
      <w:tr w:rsidR="007C0528" w14:paraId="24E5B63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7B4226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497F6DA" w14:textId="77777777" w:rsidR="007C0528" w:rsidRDefault="001505B3">
            <w:pPr>
              <w:pStyle w:val="MemoHeading"/>
            </w:pPr>
            <w:bookmarkStart w:id="10" w:name="SpecialInstructions"/>
            <w:r>
              <w:t>None</w:t>
            </w:r>
            <w:bookmarkEnd w:id="10"/>
          </w:p>
        </w:tc>
      </w:tr>
    </w:tbl>
    <w:p w14:paraId="1B8CAF48" w14:textId="77777777" w:rsidR="007C0528" w:rsidRDefault="007C0528">
      <w:pPr>
        <w:pStyle w:val="BodyText"/>
      </w:pPr>
    </w:p>
    <w:p w14:paraId="7F2D1952"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0315987" w14:textId="7F4BAD51" w:rsidR="0068481F" w:rsidRDefault="001505B3">
      <w:pPr>
        <w:pStyle w:val="BodyText"/>
      </w:pPr>
      <w:r w:rsidRPr="001505B3">
        <w:t>On May 16, 2024, the Board of County Commissioners of Columbia County (County) adopted Resolution No. 2024R-13 (Resolution, Attachment A), transferring regulation of the privately-owned, for profit water and wastewater utilities in the County to the Florida Public Service Commission (Commission). Effective upon the adoption of the resolution, all non-exempt water and wastewater systems in the County became subject to the provisions of Chapter 367, Florida Statutes (F.S.). Therefore, the effective date of the transfer of jurisdiction is May 16, 2024. This recommendation addresses the acknowledgement of that Resolution. The Commission has jurisdiction pursuant to Section 367.171, F.S</w:t>
      </w:r>
      <w:r>
        <w:t>.</w:t>
      </w:r>
    </w:p>
    <w:p w14:paraId="0044318A" w14:textId="77777777" w:rsidR="007C0528" w:rsidRDefault="007C0528" w:rsidP="0068481F"/>
    <w:bookmarkEnd w:id="12"/>
    <w:p w14:paraId="532D3607"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087E89EB" w14:textId="77777777" w:rsidR="007C0528" w:rsidRDefault="007C0528">
      <w:pPr>
        <w:pStyle w:val="RecommendationMajorSectionHeading"/>
      </w:pPr>
      <w:bookmarkStart w:id="16" w:name="DiscussionOfIssues"/>
      <w:r>
        <w:lastRenderedPageBreak/>
        <w:t>Discussion of Issues</w:t>
      </w:r>
    </w:p>
    <w:bookmarkEnd w:id="16"/>
    <w:p w14:paraId="797DB2FE" w14:textId="77777777" w:rsidR="001505B3" w:rsidRDefault="001505B3">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(M. Watts, Dose)" \l 1 </w:instrText>
      </w:r>
      <w:r>
        <w:fldChar w:fldCharType="end"/>
      </w:r>
      <w:r>
        <w:t> </w:t>
      </w:r>
    </w:p>
    <w:p w14:paraId="6648A412" w14:textId="77777777" w:rsidR="001505B3" w:rsidRDefault="001505B3">
      <w:pPr>
        <w:pStyle w:val="BodyText"/>
      </w:pPr>
      <w:r>
        <w:t> </w:t>
      </w:r>
      <w:r w:rsidRPr="001505B3">
        <w:t>Should the Commission acknowledge Resolution No. 2024R-13 by the Board of County Commissioners of Columbia County</w:t>
      </w:r>
      <w:r>
        <w:t>?</w:t>
      </w:r>
    </w:p>
    <w:p w14:paraId="0BCB32AA" w14:textId="77777777" w:rsidR="001505B3" w:rsidRPr="004C3641" w:rsidRDefault="001505B3">
      <w:pPr>
        <w:pStyle w:val="IssueSubsectionHeading"/>
        <w:rPr>
          <w:vanish/>
          <w:specVanish/>
        </w:rPr>
      </w:pPr>
      <w:r w:rsidRPr="004C3641">
        <w:t>Recommendation: </w:t>
      </w:r>
    </w:p>
    <w:p w14:paraId="0D635B5C" w14:textId="77777777" w:rsidR="001505B3" w:rsidRDefault="001505B3">
      <w:pPr>
        <w:pStyle w:val="BodyText"/>
      </w:pPr>
      <w:r>
        <w:t> </w:t>
      </w:r>
      <w:r w:rsidRPr="001505B3">
        <w:t>Yes. The Commission should acknowledge Resolution No. 2024R-13 by the County Commissioners of Columbia County, effective May 16, 2024. All non-exempt, privately-owned water and wastewater utilities in Columbia County should be directed to comply with the provisions of Chapter 367, F.S.</w:t>
      </w:r>
      <w:r>
        <w:t xml:space="preserve"> (M. Watts, Dose)</w:t>
      </w:r>
    </w:p>
    <w:p w14:paraId="37B4835B" w14:textId="77777777" w:rsidR="001505B3" w:rsidRPr="004C3641" w:rsidRDefault="001505B3">
      <w:pPr>
        <w:pStyle w:val="IssueSubsectionHeading"/>
        <w:rPr>
          <w:vanish/>
          <w:specVanish/>
        </w:rPr>
      </w:pPr>
      <w:r w:rsidRPr="004C3641">
        <w:t>Staff Analysis: </w:t>
      </w:r>
    </w:p>
    <w:p w14:paraId="232016F9" w14:textId="5184B140" w:rsidR="001505B3" w:rsidRDefault="001505B3" w:rsidP="001505B3">
      <w:pPr>
        <w:pStyle w:val="BodyText"/>
      </w:pPr>
      <w:r>
        <w:t> On May 16, 2024, the Board of County Commissioners of Columbia County passed and adopted Resolution No. 2024R-13, which transfers jurisdiction over the County's privately-owned water and wastewater utilities to the Commission. The Resolution contained a list of the privately-owned water and wastewater utilities, which were regulated by Columbia County on May 16, 2024. In addition, staff has contacted the County requesting information on each utility’s current rates, charges, and territory served. Since they are now subject to Chapter 367, F.S., each utility must continue to collect the rates and charges for water and wastewater service which were being collected on May 16, 2024, until changed by the Commission.</w:t>
      </w:r>
    </w:p>
    <w:p w14:paraId="211E0AED" w14:textId="1287DCAB" w:rsidR="001505B3" w:rsidRDefault="001505B3" w:rsidP="001505B3">
      <w:pPr>
        <w:pStyle w:val="BodyText"/>
      </w:pPr>
      <w:r>
        <w:t xml:space="preserve">Staff has contacted the Florida Department of Environment Protection (DEP) to advise it of the Resolution, and to obtain a list of all privately-owned water and wastewater facilities in Columbia County, which </w:t>
      </w:r>
      <w:r w:rsidR="00463895">
        <w:t xml:space="preserve">the </w:t>
      </w:r>
      <w:r>
        <w:t>DEP monitors for environmental compliance. The utilities identified by the County and</w:t>
      </w:r>
      <w:r w:rsidR="00463895">
        <w:t xml:space="preserve"> the</w:t>
      </w:r>
      <w:r>
        <w:t xml:space="preserve"> DEP will receive a letter from Commission staff advising them of the transfer of jurisdiction and providing them with information to determine whether or not they are exempt from Commission regulation pursuant to Section 367.022, F.S.</w:t>
      </w:r>
    </w:p>
    <w:p w14:paraId="1895EFFB" w14:textId="1D53D5C7" w:rsidR="001505B3" w:rsidRDefault="001505B3" w:rsidP="001505B3">
      <w:pPr>
        <w:pStyle w:val="BodyText"/>
      </w:pPr>
      <w:r>
        <w:t>Entities which are not exempt from Commission regulation will receive instruction for filing an application for grandfather certificates. The resulting applications will be processed in individual dockets. These applicants will also be advised of their responsibility to file an annual report for 2024, pursuant to Rule 25-30.110, Florida Administrative Code (F.A.C.), as well as their responsibility to remit Annual Regulatory Assessment Fees (RAFs)</w:t>
      </w:r>
      <w:r w:rsidR="004C5A38">
        <w:t>.</w:t>
      </w:r>
      <w:r>
        <w:t xml:space="preserve"> The applicants will also be advised of their right to file for a pass-through of RAFs should they not be currently collecting RAFs, or if they are collecting a lesser amount than they would be paying to the Commission.</w:t>
      </w:r>
    </w:p>
    <w:p w14:paraId="4B242768" w14:textId="77777777" w:rsidR="001505B3" w:rsidRDefault="001505B3" w:rsidP="001505B3">
      <w:pPr>
        <w:pStyle w:val="BodyText"/>
      </w:pPr>
      <w:r>
        <w:t>Staff recommends that the Commission acknowledge Resolution No. 2024R-13 by the County Commissioners of Columbia County, effective May 16, 2024. All non-exempt, privately-owned water and wastewater utilities in Columbia County should be directed to comply with the provisions of Chapter 367, F.S.</w:t>
      </w:r>
    </w:p>
    <w:p w14:paraId="4508959A" w14:textId="77777777" w:rsidR="001505B3" w:rsidRDefault="001505B3">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(Dose)" \l 1 </w:instrText>
      </w:r>
      <w:r>
        <w:fldChar w:fldCharType="end"/>
      </w:r>
      <w:r>
        <w:t> </w:t>
      </w:r>
    </w:p>
    <w:p w14:paraId="75600018" w14:textId="77777777" w:rsidR="001505B3" w:rsidRDefault="001505B3">
      <w:pPr>
        <w:pStyle w:val="BodyText"/>
      </w:pPr>
      <w:r>
        <w:t> Should this docket be closed?</w:t>
      </w:r>
    </w:p>
    <w:p w14:paraId="7EF0A009" w14:textId="77777777" w:rsidR="001505B3" w:rsidRPr="004C3641" w:rsidRDefault="001505B3">
      <w:pPr>
        <w:pStyle w:val="IssueSubsectionHeading"/>
        <w:rPr>
          <w:vanish/>
          <w:specVanish/>
        </w:rPr>
      </w:pPr>
      <w:r w:rsidRPr="004C3641">
        <w:t>Recommendation: </w:t>
      </w:r>
    </w:p>
    <w:p w14:paraId="70387B44" w14:textId="77777777" w:rsidR="001505B3" w:rsidRDefault="001505B3">
      <w:pPr>
        <w:pStyle w:val="BodyText"/>
      </w:pPr>
      <w:r>
        <w:t> </w:t>
      </w:r>
      <w:r w:rsidRPr="001505B3">
        <w:t>This docket should remain open to process letters to water and wastewater operators and their subsequent responses. Upon staff’s verification that the final response from a water or wastewater system operator affirming exemption status has been received, and that no further action is necessary, this docket should be closed administratively</w:t>
      </w:r>
      <w:r>
        <w:t>. (Dose)</w:t>
      </w:r>
    </w:p>
    <w:p w14:paraId="41DDE59A" w14:textId="77777777" w:rsidR="001505B3" w:rsidRPr="004C3641" w:rsidRDefault="001505B3">
      <w:pPr>
        <w:pStyle w:val="IssueSubsectionHeading"/>
        <w:rPr>
          <w:vanish/>
          <w:specVanish/>
        </w:rPr>
      </w:pPr>
      <w:r w:rsidRPr="004C3641">
        <w:t>Staff Analysis: </w:t>
      </w:r>
    </w:p>
    <w:p w14:paraId="78BE0F32" w14:textId="77777777" w:rsidR="001505B3" w:rsidRDefault="001505B3">
      <w:pPr>
        <w:pStyle w:val="BodyText"/>
      </w:pPr>
      <w:r>
        <w:t> </w:t>
      </w:r>
      <w:r w:rsidRPr="001505B3">
        <w:t>This docket should remain open to process letters to water and wastewater operators and their subsequent responses. Upon staff’s verification that the final response from a water or wastewater system operator affirming exemption status has been received, and that no further action is necessary, this docket should be closed administratively</w:t>
      </w:r>
      <w:r>
        <w:t>.</w:t>
      </w:r>
    </w:p>
    <w:p w14:paraId="2E59F198" w14:textId="77777777" w:rsidR="002755BB" w:rsidRDefault="002755BB" w:rsidP="00E275D8">
      <w:pPr>
        <w:pStyle w:val="BodyText"/>
        <w:sectPr w:rsidR="002755BB"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4B961495" w14:textId="77777777" w:rsidR="002755BB" w:rsidRDefault="002755BB" w:rsidP="00E275D8">
      <w:pPr>
        <w:pStyle w:val="BodyText"/>
      </w:pPr>
      <w:r>
        <w:rPr>
          <w:noProof/>
        </w:rPr>
        <w:lastRenderedPageBreak/>
        <w:drawing>
          <wp:inline distT="0" distB="0" distL="0" distR="0" wp14:anchorId="116D55AD" wp14:editId="2A7C80E0">
            <wp:extent cx="5943600" cy="7673975"/>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73975"/>
                    </a:xfrm>
                    <a:prstGeom prst="rect">
                      <a:avLst/>
                    </a:prstGeom>
                  </pic:spPr>
                </pic:pic>
              </a:graphicData>
            </a:graphic>
          </wp:inline>
        </w:drawing>
      </w:r>
    </w:p>
    <w:p w14:paraId="57A07317" w14:textId="77777777" w:rsidR="002755BB" w:rsidRDefault="002755BB" w:rsidP="002755BB">
      <w:r>
        <w:br w:type="page"/>
      </w:r>
    </w:p>
    <w:p w14:paraId="416C26D3" w14:textId="77777777" w:rsidR="002755BB" w:rsidRDefault="002755BB" w:rsidP="00E275D8">
      <w:pPr>
        <w:pStyle w:val="BodyText"/>
      </w:pPr>
      <w:r>
        <w:rPr>
          <w:noProof/>
        </w:rPr>
        <w:lastRenderedPageBreak/>
        <w:drawing>
          <wp:inline distT="0" distB="0" distL="0" distR="0" wp14:anchorId="0568DF9B" wp14:editId="2356E2B3">
            <wp:extent cx="5943600" cy="76739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73975"/>
                    </a:xfrm>
                    <a:prstGeom prst="rect">
                      <a:avLst/>
                    </a:prstGeom>
                  </pic:spPr>
                </pic:pic>
              </a:graphicData>
            </a:graphic>
          </wp:inline>
        </w:drawing>
      </w:r>
    </w:p>
    <w:p w14:paraId="6D1A54F3" w14:textId="77777777" w:rsidR="002755BB" w:rsidRDefault="002755BB" w:rsidP="002755BB">
      <w:r>
        <w:br w:type="page"/>
      </w:r>
    </w:p>
    <w:p w14:paraId="2639E87D" w14:textId="77777777" w:rsidR="00E06484" w:rsidRDefault="002755BB" w:rsidP="00E275D8">
      <w:pPr>
        <w:pStyle w:val="BodyText"/>
      </w:pPr>
      <w:r>
        <w:rPr>
          <w:noProof/>
        </w:rPr>
        <w:lastRenderedPageBreak/>
        <w:drawing>
          <wp:inline distT="0" distB="0" distL="0" distR="0" wp14:anchorId="5743B901" wp14:editId="5C1D3C3F">
            <wp:extent cx="5943600" cy="7747000"/>
            <wp:effectExtent l="0" t="0" r="0" b="635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747000"/>
                    </a:xfrm>
                    <a:prstGeom prst="rect">
                      <a:avLst/>
                    </a:prstGeom>
                  </pic:spPr>
                </pic:pic>
              </a:graphicData>
            </a:graphic>
          </wp:inline>
        </w:drawing>
      </w: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B7A10" w14:textId="77777777" w:rsidR="001505B3" w:rsidRDefault="001505B3">
      <w:r>
        <w:separator/>
      </w:r>
    </w:p>
  </w:endnote>
  <w:endnote w:type="continuationSeparator" w:id="0">
    <w:p w14:paraId="4468EAF5" w14:textId="77777777" w:rsidR="001505B3" w:rsidRDefault="0015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110F" w14:textId="3854E9C8"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7F0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D1C7"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3BEFD" w14:textId="77777777" w:rsidR="001505B3" w:rsidRDefault="001505B3">
      <w:r>
        <w:separator/>
      </w:r>
    </w:p>
  </w:footnote>
  <w:footnote w:type="continuationSeparator" w:id="0">
    <w:p w14:paraId="0819BC80" w14:textId="77777777" w:rsidR="001505B3" w:rsidRDefault="0015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D753B" w14:textId="77777777" w:rsidR="00BC402E" w:rsidRDefault="001505B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20240089-WS</w:t>
    </w:r>
    <w:bookmarkEnd w:id="15"/>
  </w:p>
  <w:p w14:paraId="1A270851" w14:textId="77777777" w:rsidR="00BC402E" w:rsidRDefault="00BC402E">
    <w:pPr>
      <w:pStyle w:val="Header"/>
    </w:pPr>
    <w:r>
      <w:t xml:space="preserve">Date: </w:t>
    </w:r>
    <w:fldSimple w:instr=" REF FilingDate ">
      <w:r w:rsidR="001505B3">
        <w:t>June 6,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6536" w14:textId="0053E5EE"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505B3">
      <w:t>Docket No.</w:t>
    </w:r>
    <w:r>
      <w:fldChar w:fldCharType="end"/>
    </w:r>
    <w:r>
      <w:t xml:space="preserve"> </w:t>
    </w:r>
    <w:r>
      <w:fldChar w:fldCharType="begin"/>
    </w:r>
    <w:r>
      <w:instrText xml:space="preserve"> REF DocketList</w:instrText>
    </w:r>
    <w:r>
      <w:fldChar w:fldCharType="separate"/>
    </w:r>
    <w:r w:rsidR="001505B3">
      <w:t>20240089-WS</w:t>
    </w:r>
    <w:r>
      <w:fldChar w:fldCharType="end"/>
    </w:r>
    <w:r>
      <w:tab/>
      <w:t xml:space="preserve">Issue </w:t>
    </w:r>
    <w:r w:rsidR="00AB14D9">
      <w:fldChar w:fldCharType="begin"/>
    </w:r>
    <w:r w:rsidR="00AB14D9">
      <w:instrText xml:space="preserve"> Seq Issue \c \* Arabic </w:instrText>
    </w:r>
    <w:r w:rsidR="00AB14D9">
      <w:fldChar w:fldCharType="separate"/>
    </w:r>
    <w:r w:rsidR="003C7F0A">
      <w:rPr>
        <w:noProof/>
      </w:rPr>
      <w:t>1</w:t>
    </w:r>
    <w:r w:rsidR="00AB14D9">
      <w:rPr>
        <w:noProof/>
      </w:rPr>
      <w:fldChar w:fldCharType="end"/>
    </w:r>
  </w:p>
  <w:p w14:paraId="6E728C46" w14:textId="77777777" w:rsidR="00BC402E" w:rsidRDefault="00BC402E">
    <w:pPr>
      <w:pStyle w:val="Header"/>
    </w:pPr>
    <w:r>
      <w:t xml:space="preserve">Date: </w:t>
    </w:r>
    <w:fldSimple w:instr=" REF FilingDate ">
      <w:r w:rsidR="001505B3">
        <w:t>June 6,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0C41"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76B0" w14:textId="77777777" w:rsidR="002755BB" w:rsidRDefault="002755B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20240089-WS</w:t>
    </w:r>
    <w:r>
      <w:fldChar w:fldCharType="end"/>
    </w:r>
    <w:r>
      <w:tab/>
      <w:t>Attachment A</w:t>
    </w:r>
  </w:p>
  <w:p w14:paraId="07A63095" w14:textId="4EAB007D" w:rsidR="002755BB" w:rsidRDefault="002755BB" w:rsidP="002755BB">
    <w:pPr>
      <w:pStyle w:val="Header"/>
      <w:tabs>
        <w:tab w:val="left" w:pos="8010"/>
      </w:tabs>
    </w:pPr>
    <w:r>
      <w:t xml:space="preserve">Date: </w:t>
    </w:r>
    <w:r w:rsidR="00AB14D9">
      <w:fldChar w:fldCharType="begin"/>
    </w:r>
    <w:r w:rsidR="00AB14D9">
      <w:instrText xml:space="preserve"> REF FilingDate </w:instrText>
    </w:r>
    <w:r w:rsidR="00AB14D9">
      <w:fldChar w:fldCharType="separate"/>
    </w:r>
    <w:r>
      <w:t>June 6, 2024</w:t>
    </w:r>
    <w:r w:rsidR="00AB14D9">
      <w:fldChar w:fldCharType="end"/>
    </w:r>
    <w:r>
      <w:tab/>
    </w:r>
    <w:r>
      <w:tab/>
      <w:t xml:space="preserve">Page </w:t>
    </w:r>
    <w:r>
      <w:fldChar w:fldCharType="begin"/>
    </w:r>
    <w:r>
      <w:instrText xml:space="preserve"> =</w:instrText>
    </w:r>
    <w:r>
      <w:fldChar w:fldCharType="begin"/>
    </w:r>
    <w:r>
      <w:instrText xml:space="preserve"> page </w:instrText>
    </w:r>
    <w:r>
      <w:fldChar w:fldCharType="separate"/>
    </w:r>
    <w:r w:rsidR="003C7F0A">
      <w:rPr>
        <w:noProof/>
      </w:rPr>
      <w:instrText>6</w:instrText>
    </w:r>
    <w:r>
      <w:fldChar w:fldCharType="end"/>
    </w:r>
    <w:r>
      <w:instrText xml:space="preserve"> -3</w:instrText>
    </w:r>
    <w:r>
      <w:fldChar w:fldCharType="separate"/>
    </w:r>
    <w:r w:rsidR="003C7F0A">
      <w:rPr>
        <w:noProof/>
      </w:rPr>
      <w:t>3</w:t>
    </w:r>
    <w:r>
      <w:fldChar w:fldCharType="end"/>
    </w:r>
    <w:r>
      <w:t xml:space="preserve">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505B3"/>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5B3"/>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415C"/>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755BB"/>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C7F0A"/>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3895"/>
    <w:rsid w:val="004649A7"/>
    <w:rsid w:val="00471860"/>
    <w:rsid w:val="00477026"/>
    <w:rsid w:val="00477730"/>
    <w:rsid w:val="004A744D"/>
    <w:rsid w:val="004B60BD"/>
    <w:rsid w:val="004C3150"/>
    <w:rsid w:val="004C3641"/>
    <w:rsid w:val="004C3873"/>
    <w:rsid w:val="004C4390"/>
    <w:rsid w:val="004C4AF7"/>
    <w:rsid w:val="004C5A38"/>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34480"/>
    <w:rsid w:val="00543CB3"/>
    <w:rsid w:val="005442E4"/>
    <w:rsid w:val="00547652"/>
    <w:rsid w:val="0055529B"/>
    <w:rsid w:val="00560FF0"/>
    <w:rsid w:val="005614BD"/>
    <w:rsid w:val="0057154F"/>
    <w:rsid w:val="00580F69"/>
    <w:rsid w:val="00581CA3"/>
    <w:rsid w:val="00582A74"/>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E7BAD"/>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4987"/>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161039F"/>
  <w15:docId w15:val="{504F6A89-CE53-49BF-B115-543B16AB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4C5A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702</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Melinda Watts</dc:creator>
  <cp:lastModifiedBy>Danielle Adams</cp:lastModifiedBy>
  <cp:revision>2</cp:revision>
  <cp:lastPrinted>2004-01-27T20:32:00Z</cp:lastPrinted>
  <dcterms:created xsi:type="dcterms:W3CDTF">2024-06-06T12:34:00Z</dcterms:created>
  <dcterms:modified xsi:type="dcterms:W3CDTF">2024-06-06T12:34:00Z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20240089-WS</vt:lpwstr>
  </property>
  <property fmtid="{D5CDD505-2E9C-101B-9397-08002B2CF9AE}" pid="3" name="MasterDocument">
    <vt:bool>false</vt:bool>
  </property>
</Properties>
</file>