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5769" w:rsidP="00215769">
      <w:pPr>
        <w:pStyle w:val="OrderHeading"/>
      </w:pPr>
      <w:r>
        <w:t>BEFORE THE FLORIDA PUBLIC SERVICE COMMISSION</w:t>
      </w:r>
    </w:p>
    <w:p w:rsidR="00215769" w:rsidRDefault="00215769" w:rsidP="00215769">
      <w:pPr>
        <w:pStyle w:val="OrderBody"/>
      </w:pPr>
    </w:p>
    <w:p w:rsidR="00215769" w:rsidRDefault="00215769" w:rsidP="002157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5769" w:rsidRPr="00C63FCF" w:rsidTr="00C63FCF">
        <w:trPr>
          <w:trHeight w:val="828"/>
        </w:trPr>
        <w:tc>
          <w:tcPr>
            <w:tcW w:w="4788" w:type="dxa"/>
            <w:tcBorders>
              <w:bottom w:val="single" w:sz="8" w:space="0" w:color="auto"/>
              <w:right w:val="double" w:sz="6" w:space="0" w:color="auto"/>
            </w:tcBorders>
            <w:shd w:val="clear" w:color="auto" w:fill="auto"/>
          </w:tcPr>
          <w:p w:rsidR="00215769" w:rsidRDefault="00215769"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rsidR="00215769" w:rsidRDefault="00215769" w:rsidP="00215769">
            <w:pPr>
              <w:pStyle w:val="OrderBody"/>
            </w:pPr>
            <w:r>
              <w:t xml:space="preserve">DOCKET NO. </w:t>
            </w:r>
            <w:bookmarkStart w:id="1" w:name="SSDocketNo"/>
            <w:bookmarkEnd w:id="1"/>
            <w:r>
              <w:t>20230017-EI</w:t>
            </w:r>
          </w:p>
          <w:p w:rsidR="00215769" w:rsidRDefault="00215769" w:rsidP="00C63FCF">
            <w:pPr>
              <w:pStyle w:val="OrderBody"/>
              <w:tabs>
                <w:tab w:val="center" w:pos="4320"/>
                <w:tab w:val="right" w:pos="8640"/>
              </w:tabs>
              <w:jc w:val="left"/>
            </w:pPr>
            <w:r>
              <w:t xml:space="preserve">ORDER NO. </w:t>
            </w:r>
            <w:bookmarkStart w:id="2" w:name="OrderNo0186"/>
            <w:r w:rsidR="004A249D">
              <w:t>PSC-2024-0186-PCO-EI</w:t>
            </w:r>
            <w:bookmarkEnd w:id="2"/>
          </w:p>
          <w:p w:rsidR="00215769" w:rsidRDefault="00215769" w:rsidP="00C63FCF">
            <w:pPr>
              <w:pStyle w:val="OrderBody"/>
              <w:tabs>
                <w:tab w:val="center" w:pos="4320"/>
                <w:tab w:val="right" w:pos="8640"/>
              </w:tabs>
              <w:jc w:val="left"/>
            </w:pPr>
            <w:r>
              <w:t xml:space="preserve">ISSUED: </w:t>
            </w:r>
            <w:r w:rsidR="004A249D">
              <w:t>June 7, 2024</w:t>
            </w:r>
          </w:p>
        </w:tc>
      </w:tr>
    </w:tbl>
    <w:p w:rsidR="00215769" w:rsidRDefault="00215769" w:rsidP="00215769"/>
    <w:p w:rsidR="00215769" w:rsidRDefault="00215769" w:rsidP="00215769"/>
    <w:p w:rsidR="00CB5276" w:rsidRDefault="00215769" w:rsidP="00215769">
      <w:pPr>
        <w:pStyle w:val="CenterUnderline"/>
      </w:pPr>
      <w:bookmarkStart w:id="3" w:name="Commissioners"/>
      <w:bookmarkEnd w:id="3"/>
      <w:r>
        <w:t>ORDER</w:t>
      </w:r>
      <w:bookmarkStart w:id="4" w:name="OrderTitle"/>
      <w:r>
        <w:t xml:space="preserve"> DENYING PETITION TO INTERVENE OF JET BLAST, INC. </w:t>
      </w:r>
      <w:bookmarkEnd w:id="4"/>
    </w:p>
    <w:p w:rsidR="00215769" w:rsidRDefault="00215769" w:rsidP="00215769">
      <w:pPr>
        <w:pStyle w:val="CenterUnderline"/>
      </w:pPr>
    </w:p>
    <w:p w:rsidR="004E1073" w:rsidRDefault="004E1073" w:rsidP="004E1073">
      <w:pPr>
        <w:jc w:val="center"/>
      </w:pPr>
      <w:bookmarkStart w:id="5" w:name="OrderText"/>
      <w:bookmarkEnd w:id="5"/>
      <w:r>
        <w:rPr>
          <w:u w:val="single"/>
        </w:rPr>
        <w:t>Background</w:t>
      </w:r>
    </w:p>
    <w:p w:rsidR="004E1073" w:rsidRDefault="004E1073" w:rsidP="004E1073">
      <w:pPr>
        <w:jc w:val="center"/>
      </w:pPr>
    </w:p>
    <w:p w:rsidR="004E1073" w:rsidRDefault="004E1073" w:rsidP="00AF5EFF">
      <w:pPr>
        <w:ind w:firstLine="720"/>
        <w:jc w:val="both"/>
      </w:pPr>
      <w:r w:rsidRPr="004E1073">
        <w:t>On January 23, 2023, Florida Power &amp; Light Company (FPL</w:t>
      </w:r>
      <w:r w:rsidR="00E808B3">
        <w:t xml:space="preserve"> or Company</w:t>
      </w:r>
      <w:r w:rsidRPr="004E1073">
        <w:t xml:space="preserve">) filed a Petition for limited proceeding for recovery of incremental storm restoration costs related to Hurricanes Ian and Nicole. In </w:t>
      </w:r>
      <w:r w:rsidR="00E808B3">
        <w:t>that</w:t>
      </w:r>
      <w:r w:rsidR="00E808B3" w:rsidRPr="004E1073">
        <w:t xml:space="preserve"> </w:t>
      </w:r>
      <w:r w:rsidRPr="004E1073">
        <w:t xml:space="preserve">petition, FPL </w:t>
      </w:r>
      <w:r w:rsidR="00BC19F9">
        <w:t>s</w:t>
      </w:r>
      <w:r w:rsidR="00E808B3">
        <w:t>ought</w:t>
      </w:r>
      <w:r w:rsidRPr="004E1073">
        <w:t xml:space="preserve"> authority to implement an interim surcharge to recover </w:t>
      </w:r>
      <w:r w:rsidR="000A0C12">
        <w:t>storm</w:t>
      </w:r>
      <w:r w:rsidRPr="004E1073">
        <w:t xml:space="preserve"> restoration costs related to Hurricanes Ian and Nicole and to replenish the storm reserve to </w:t>
      </w:r>
      <w:r w:rsidR="00752D18">
        <w:t>its</w:t>
      </w:r>
      <w:r w:rsidRPr="004E1073">
        <w:t xml:space="preserve"> pre-storm level. FPL</w:t>
      </w:r>
      <w:r w:rsidR="00BC19F9">
        <w:t xml:space="preserve"> </w:t>
      </w:r>
      <w:r w:rsidRPr="004E1073">
        <w:t xml:space="preserve">also prepared an alternate storm </w:t>
      </w:r>
      <w:r w:rsidR="000A0C12">
        <w:t>sur</w:t>
      </w:r>
      <w:r w:rsidRPr="004E1073">
        <w:t xml:space="preserve">charge calculation </w:t>
      </w:r>
      <w:r w:rsidR="00752D18">
        <w:t xml:space="preserve">that </w:t>
      </w:r>
      <w:r w:rsidRPr="004E1073">
        <w:t>combine</w:t>
      </w:r>
      <w:r w:rsidR="00752D18">
        <w:t>d</w:t>
      </w:r>
      <w:r w:rsidRPr="004E1073">
        <w:t xml:space="preserve"> the incremental restoration costs related to Hurricanes Ian and Nicole with the remaining amounts to be collected for Hurricanes Michael, Sally, and Zeta, which </w:t>
      </w:r>
      <w:r w:rsidR="001703F2">
        <w:t>the Commission</w:t>
      </w:r>
      <w:r w:rsidR="001703F2" w:rsidRPr="004E1073">
        <w:t xml:space="preserve"> </w:t>
      </w:r>
      <w:r w:rsidRPr="004E1073">
        <w:t>previously approved for recovery by Gulf Power Company,</w:t>
      </w:r>
      <w:r w:rsidRPr="004E1073">
        <w:rPr>
          <w:vertAlign w:val="superscript"/>
        </w:rPr>
        <w:footnoteReference w:id="1"/>
      </w:r>
      <w:r w:rsidRPr="004E1073">
        <w:t xml:space="preserve"> and to replenish the storm reserve.</w:t>
      </w:r>
    </w:p>
    <w:p w:rsidR="00E808B3" w:rsidRDefault="00E808B3" w:rsidP="00AF5EFF">
      <w:pPr>
        <w:ind w:firstLine="720"/>
        <w:jc w:val="both"/>
      </w:pPr>
    </w:p>
    <w:p w:rsidR="00E808B3" w:rsidRPr="004E1073" w:rsidRDefault="00E808B3" w:rsidP="00AF5EFF">
      <w:pPr>
        <w:ind w:firstLine="720"/>
        <w:jc w:val="both"/>
      </w:pPr>
      <w:r>
        <w:t>On March 23, 2023, the Commission approved an interim storm restoration surcharge based on the Company’s alternative calculation.</w:t>
      </w:r>
      <w:r w:rsidR="00B06CCC">
        <w:rPr>
          <w:rStyle w:val="FootnoteReference"/>
        </w:rPr>
        <w:footnoteReference w:id="2"/>
      </w:r>
      <w:r>
        <w:t xml:space="preserve"> On November 27, 2023, the Commission </w:t>
      </w:r>
      <w:r w:rsidR="00B06CCC">
        <w:t>approve</w:t>
      </w:r>
      <w:r>
        <w:t>d a supplemental petition filed by FPL</w:t>
      </w:r>
      <w:r w:rsidR="000A0C12">
        <w:t>,</w:t>
      </w:r>
      <w:r>
        <w:t xml:space="preserve"> and decreased the surcharge to reflect an overall reduction in storm restoration costs.</w:t>
      </w:r>
      <w:r w:rsidR="00B06CCC">
        <w:rPr>
          <w:rStyle w:val="FootnoteReference"/>
        </w:rPr>
        <w:footnoteReference w:id="3"/>
      </w:r>
      <w:r w:rsidR="000A0C12">
        <w:t xml:space="preserve"> </w:t>
      </w:r>
      <w:r w:rsidR="00752D18">
        <w:t>Also in November 2023, t</w:t>
      </w:r>
      <w:r>
        <w:t>he Company filed its petition</w:t>
      </w:r>
      <w:r w:rsidR="00B06CCC">
        <w:t xml:space="preserve"> for approval of actual incremental storm restoration costs, and requested</w:t>
      </w:r>
      <w:r>
        <w:t xml:space="preserve"> </w:t>
      </w:r>
      <w:r w:rsidR="00752D18">
        <w:t>that the</w:t>
      </w:r>
      <w:r>
        <w:t xml:space="preserve"> Commission find the final storm restoration costs to be reasonable and prudent</w:t>
      </w:r>
      <w:r w:rsidR="00752D18">
        <w:t>, true-up the amount recovered with actual final costs</w:t>
      </w:r>
      <w:r w:rsidR="00B06CCC">
        <w:t>, and address any over- or under-recovery</w:t>
      </w:r>
      <w:r>
        <w:t>. That petition has been scheduled for hearing to commence June 18, 2024.</w:t>
      </w:r>
    </w:p>
    <w:p w:rsidR="004E1073" w:rsidRPr="004E1073" w:rsidRDefault="004E1073" w:rsidP="004E1073">
      <w:pPr>
        <w:jc w:val="both"/>
      </w:pPr>
    </w:p>
    <w:p w:rsidR="00215769" w:rsidRDefault="004E1073" w:rsidP="004E1073">
      <w:pPr>
        <w:jc w:val="both"/>
      </w:pPr>
      <w:r w:rsidRPr="004E1073">
        <w:tab/>
      </w:r>
      <w:r w:rsidR="00215769" w:rsidRPr="00215769">
        <w:t xml:space="preserve">On </w:t>
      </w:r>
      <w:r w:rsidR="00215769">
        <w:t>May 8, 2024, Jet Blast, Inc. (Jet Blast)</w:t>
      </w:r>
      <w:r w:rsidR="00215769" w:rsidRPr="00215769">
        <w:rPr>
          <w:color w:val="FF0000"/>
        </w:rPr>
        <w:t xml:space="preserve"> </w:t>
      </w:r>
      <w:r w:rsidR="00215769" w:rsidRPr="00215769">
        <w:t xml:space="preserve">filed a </w:t>
      </w:r>
      <w:r w:rsidR="00325189">
        <w:t>petition</w:t>
      </w:r>
      <w:r w:rsidR="00215769" w:rsidRPr="00215769">
        <w:t xml:space="preserve"> requesting intervention</w:t>
      </w:r>
      <w:r w:rsidR="00B35167">
        <w:t xml:space="preserve"> (Petition)</w:t>
      </w:r>
      <w:r>
        <w:t xml:space="preserve">.  </w:t>
      </w:r>
      <w:r w:rsidR="00B35167">
        <w:t>On May 15, 2024, FPL filed a Response in Opposition to the Petition to Intervene of Jet Blast, Inc. (Response).</w:t>
      </w:r>
    </w:p>
    <w:p w:rsidR="004E1073" w:rsidRDefault="004E1073" w:rsidP="004E1073">
      <w:pPr>
        <w:jc w:val="both"/>
      </w:pPr>
    </w:p>
    <w:p w:rsidR="004E1073" w:rsidRDefault="004E1073" w:rsidP="004E1073">
      <w:pPr>
        <w:jc w:val="center"/>
      </w:pPr>
      <w:r>
        <w:rPr>
          <w:u w:val="single"/>
        </w:rPr>
        <w:t>Decision</w:t>
      </w:r>
    </w:p>
    <w:p w:rsidR="004E1073" w:rsidRDefault="00B55910" w:rsidP="00312A94">
      <w:pPr>
        <w:jc w:val="both"/>
        <w:rPr>
          <w:u w:val="single"/>
        </w:rPr>
      </w:pPr>
      <w:r>
        <w:rPr>
          <w:u w:val="single"/>
        </w:rPr>
        <w:t>Petition to Intervene</w:t>
      </w:r>
    </w:p>
    <w:p w:rsidR="00B55910" w:rsidRDefault="00B55910" w:rsidP="00312A94">
      <w:pPr>
        <w:jc w:val="both"/>
        <w:rPr>
          <w:u w:val="single"/>
        </w:rPr>
      </w:pPr>
    </w:p>
    <w:p w:rsidR="00B55910" w:rsidRPr="00B55910" w:rsidRDefault="00B35167" w:rsidP="00312A94">
      <w:pPr>
        <w:jc w:val="both"/>
      </w:pPr>
      <w:r>
        <w:tab/>
        <w:t>In it</w:t>
      </w:r>
      <w:r w:rsidR="00312A94">
        <w:t>s May 8, 2024 Petition, Jet Blast claim</w:t>
      </w:r>
      <w:r w:rsidR="00E808B3">
        <w:t>s</w:t>
      </w:r>
      <w:r w:rsidR="00312A94">
        <w:t xml:space="preserve"> that it performed two million dollars’ worth of  labor and services for storm recovery and restoration for FPL and its contractors</w:t>
      </w:r>
      <w:r w:rsidR="00B56878">
        <w:t xml:space="preserve"> in 2022. Jet Blast alleges </w:t>
      </w:r>
      <w:r w:rsidR="005707BB">
        <w:t xml:space="preserve">that FPL denied </w:t>
      </w:r>
      <w:r w:rsidR="00B56878">
        <w:t xml:space="preserve">its claims for compensation. Jet Blast asserts that it has a vital </w:t>
      </w:r>
      <w:r w:rsidR="00B56878">
        <w:lastRenderedPageBreak/>
        <w:t>interest</w:t>
      </w:r>
      <w:r w:rsidR="005707BB">
        <w:t xml:space="preserve"> in this proceeding in order to ensure th</w:t>
      </w:r>
      <w:r>
        <w:t>at rates reflect what FPL allegedly owes</w:t>
      </w:r>
      <w:r w:rsidR="005707BB">
        <w:t xml:space="preserve"> to Jet Blast.</w:t>
      </w:r>
    </w:p>
    <w:p w:rsidR="00B55910" w:rsidRDefault="00B55910" w:rsidP="00312A94">
      <w:pPr>
        <w:jc w:val="both"/>
        <w:rPr>
          <w:u w:val="single"/>
        </w:rPr>
      </w:pPr>
    </w:p>
    <w:p w:rsidR="00B55910" w:rsidRDefault="00B55910" w:rsidP="00312A94">
      <w:pPr>
        <w:jc w:val="both"/>
        <w:rPr>
          <w:u w:val="single"/>
        </w:rPr>
      </w:pPr>
      <w:r>
        <w:rPr>
          <w:u w:val="single"/>
        </w:rPr>
        <w:t xml:space="preserve">Response </w:t>
      </w:r>
    </w:p>
    <w:p w:rsidR="00B55910" w:rsidRDefault="00B55910" w:rsidP="00312A94">
      <w:pPr>
        <w:jc w:val="both"/>
        <w:rPr>
          <w:u w:val="single"/>
        </w:rPr>
      </w:pPr>
    </w:p>
    <w:p w:rsidR="00B55910" w:rsidRPr="00B55910" w:rsidRDefault="005707BB" w:rsidP="00312A94">
      <w:pPr>
        <w:jc w:val="both"/>
      </w:pPr>
      <w:r>
        <w:tab/>
      </w:r>
      <w:r w:rsidR="00B35167">
        <w:t xml:space="preserve">In its May 15, 2024 Response, FPL denied the truth </w:t>
      </w:r>
      <w:r w:rsidR="00BD7EAB">
        <w:t xml:space="preserve">of </w:t>
      </w:r>
      <w:r w:rsidR="00B35167">
        <w:t>Jet Blast’s claims for compensation and further asserted that, even if the claims were true, Jet Blast failed to demonstrate standing to intervene in this proceeding. FPL asserts that Jet B</w:t>
      </w:r>
      <w:r w:rsidR="00D11131">
        <w:t>last lacks standing because Jet Blast failed to allege facts sufficient to demonstrate either an injury in fact or that the injury is of a type or nature that the proceeding is designed to protect.</w:t>
      </w:r>
      <w:r w:rsidR="00703DBC">
        <w:t xml:space="preserve"> FPL also asserts that jurisdiction for Jet Blast’s claims is</w:t>
      </w:r>
      <w:r w:rsidR="00BD7EAB">
        <w:t xml:space="preserve"> appropriately</w:t>
      </w:r>
      <w:r w:rsidR="00703DBC">
        <w:t xml:space="preserve"> with the circuit court rather than any </w:t>
      </w:r>
      <w:r w:rsidR="00752D18">
        <w:t xml:space="preserve">Commission </w:t>
      </w:r>
      <w:r w:rsidR="00703DBC">
        <w:t>proceeding.</w:t>
      </w:r>
    </w:p>
    <w:p w:rsidR="00B55910" w:rsidRDefault="00B55910" w:rsidP="00312A94">
      <w:pPr>
        <w:jc w:val="both"/>
        <w:rPr>
          <w:u w:val="single"/>
        </w:rPr>
      </w:pPr>
    </w:p>
    <w:p w:rsidR="00DA54C0" w:rsidRPr="00DA54C0" w:rsidRDefault="001C1330" w:rsidP="00312A94">
      <w:pPr>
        <w:jc w:val="both"/>
        <w:rPr>
          <w:i/>
        </w:rPr>
      </w:pPr>
      <w:r>
        <w:rPr>
          <w:u w:val="single"/>
        </w:rPr>
        <w:t>Standards for Intervention</w:t>
      </w:r>
    </w:p>
    <w:p w:rsidR="00DA54C0" w:rsidRDefault="00DA54C0" w:rsidP="00312A94">
      <w:pPr>
        <w:jc w:val="both"/>
        <w:rPr>
          <w:u w:val="single"/>
        </w:rPr>
      </w:pPr>
    </w:p>
    <w:p w:rsidR="00DA54C0" w:rsidRPr="00DA54C0" w:rsidRDefault="00703DBC" w:rsidP="00DA54C0">
      <w:pPr>
        <w:jc w:val="both"/>
      </w:pPr>
      <w:r>
        <w:tab/>
      </w:r>
      <w:r w:rsidR="00DA54C0" w:rsidRPr="00DA54C0">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DA54C0" w:rsidRPr="00DA54C0" w:rsidRDefault="00DA54C0" w:rsidP="00DA54C0">
      <w:pPr>
        <w:jc w:val="both"/>
      </w:pPr>
    </w:p>
    <w:p w:rsidR="00DA54C0" w:rsidRDefault="00DA54C0" w:rsidP="00DA54C0">
      <w:pPr>
        <w:ind w:firstLine="720"/>
        <w:jc w:val="both"/>
      </w:pPr>
      <w:r w:rsidRPr="00DA54C0">
        <w:t xml:space="preserve">To have standing, the intervenor must meet the two-prong standing test set forth in </w:t>
      </w:r>
      <w:r w:rsidRPr="00AF5EFF">
        <w:rPr>
          <w:i/>
        </w:rPr>
        <w:t>Agrico Chemical Company v. Department of Environmental Regulation</w:t>
      </w:r>
      <w:r w:rsidRPr="00DA54C0">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AF5EFF">
        <w:rPr>
          <w:i/>
        </w:rPr>
        <w:t>International Jai-Alai Players Assn. v. Florida Pari-Mutuel Commission</w:t>
      </w:r>
      <w:r w:rsidRPr="00DA54C0">
        <w:t xml:space="preserve">, 561 So. 2d 1224, 1225-26 (Fla. 3d DCA 1990). </w:t>
      </w:r>
      <w:r w:rsidRPr="00AF5EFF">
        <w:rPr>
          <w:i/>
        </w:rPr>
        <w:t>See also Village Park Mobile Home Assn., Inc. v. State Dept. of Business Regulation</w:t>
      </w:r>
      <w:r w:rsidRPr="00DA54C0">
        <w:t xml:space="preserve">, 506 So. 2d 426, 434 (Fla. 1st DCA 1987), </w:t>
      </w:r>
      <w:r w:rsidRPr="00AF5EFF">
        <w:rPr>
          <w:i/>
        </w:rPr>
        <w:t>rev. den.</w:t>
      </w:r>
      <w:r w:rsidRPr="00DA54C0">
        <w:t>, 513 So. 2d 1063 (Fla. 1987) (speculation on the possible occurrence of injurious events is too remote).</w:t>
      </w:r>
    </w:p>
    <w:p w:rsidR="001C1330" w:rsidRDefault="001C1330" w:rsidP="001C1330">
      <w:pPr>
        <w:jc w:val="both"/>
      </w:pPr>
    </w:p>
    <w:p w:rsidR="001C1330" w:rsidRDefault="001C1330" w:rsidP="001C1330">
      <w:pPr>
        <w:jc w:val="both"/>
      </w:pPr>
      <w:r>
        <w:rPr>
          <w:u w:val="single"/>
        </w:rPr>
        <w:t>Analysis &amp; Ruling</w:t>
      </w:r>
    </w:p>
    <w:p w:rsidR="001C1330" w:rsidRDefault="001C1330" w:rsidP="001C1330">
      <w:pPr>
        <w:jc w:val="both"/>
      </w:pPr>
    </w:p>
    <w:p w:rsidR="00BD7EAB" w:rsidRDefault="00BD7EAB" w:rsidP="00BD7EAB">
      <w:pPr>
        <w:jc w:val="both"/>
      </w:pPr>
      <w:r>
        <w:tab/>
      </w:r>
      <w:r w:rsidRPr="00BD7EAB">
        <w:t>Regarding t</w:t>
      </w:r>
      <w:r>
        <w:t xml:space="preserve">he first prong of </w:t>
      </w:r>
      <w:r w:rsidRPr="00166DD2">
        <w:rPr>
          <w:i/>
        </w:rPr>
        <w:t>Agrico</w:t>
      </w:r>
      <w:r>
        <w:t xml:space="preserve"> analysis, </w:t>
      </w:r>
      <w:r w:rsidRPr="00BD7EAB">
        <w:t xml:space="preserve">“a petitioner can satisfy the injury-in-fact standard set forth in </w:t>
      </w:r>
      <w:r w:rsidRPr="00166DD2">
        <w:rPr>
          <w:i/>
        </w:rPr>
        <w:t>Agrico</w:t>
      </w:r>
      <w:r w:rsidRPr="00BD7EAB">
        <w:t xml:space="preserve"> by demonstrating in his</w:t>
      </w:r>
      <w:r>
        <w:t xml:space="preserve"> </w:t>
      </w:r>
      <w:r w:rsidRPr="00BD7EAB">
        <w:t>petition either: (1) that he had sustained actual injury in fact at the time of filing his petition; or</w:t>
      </w:r>
      <w:r>
        <w:t xml:space="preserve"> </w:t>
      </w:r>
      <w:r w:rsidRPr="00BD7EAB">
        <w:t>(2) that he is immediately in danger of sustaining some direct injury as a result of the challenged</w:t>
      </w:r>
      <w:r>
        <w:t xml:space="preserve"> </w:t>
      </w:r>
      <w:r w:rsidRPr="00BD7EAB">
        <w:t xml:space="preserve">agency's action.” </w:t>
      </w:r>
      <w:r w:rsidRPr="00AF5EFF">
        <w:rPr>
          <w:i/>
        </w:rPr>
        <w:t>Village Park Mobile Home Ass'n</w:t>
      </w:r>
      <w:r w:rsidRPr="00BD7EAB">
        <w:t>, 506 So. 2d at 433.</w:t>
      </w:r>
      <w:r>
        <w:t xml:space="preserve"> Based on the above representations, Jet Blast fails to satisfy the injury in fact prong of </w:t>
      </w:r>
      <w:r w:rsidRPr="00AF5EFF">
        <w:rPr>
          <w:i/>
        </w:rPr>
        <w:t>Agrico</w:t>
      </w:r>
      <w:r>
        <w:t>. Jet Blast is not an FPL</w:t>
      </w:r>
      <w:r w:rsidR="00F25EB4">
        <w:t xml:space="preserve"> energy</w:t>
      </w:r>
      <w:r>
        <w:t xml:space="preserve"> customer and </w:t>
      </w:r>
      <w:r w:rsidR="00F25EB4">
        <w:t>is not impacted by the surcharge</w:t>
      </w:r>
      <w:r>
        <w:t xml:space="preserve">. Jet Blast has therefore </w:t>
      </w:r>
      <w:r w:rsidR="00B25078">
        <w:t>failed to demonstrate</w:t>
      </w:r>
      <w:r>
        <w:t xml:space="preserve"> either an actual injury or that it</w:t>
      </w:r>
      <w:r w:rsidR="00124876">
        <w:t xml:space="preserve"> is</w:t>
      </w:r>
      <w:r>
        <w:t xml:space="preserve"> in</w:t>
      </w:r>
      <w:r w:rsidR="00FC21BE">
        <w:t xml:space="preserve"> </w:t>
      </w:r>
      <w:r w:rsidR="00FC21BE">
        <w:lastRenderedPageBreak/>
        <w:t>immediate</w:t>
      </w:r>
      <w:r>
        <w:t xml:space="preserve"> danger of sustaining some direct injury as a result of </w:t>
      </w:r>
      <w:r w:rsidR="00F25EB4">
        <w:t>the Commission’s</w:t>
      </w:r>
      <w:r>
        <w:t xml:space="preserve"> action in this proceeding.</w:t>
      </w:r>
    </w:p>
    <w:p w:rsidR="00BD7EAB" w:rsidRDefault="00BD7EAB" w:rsidP="00BD7EAB">
      <w:pPr>
        <w:jc w:val="both"/>
      </w:pPr>
    </w:p>
    <w:p w:rsidR="00FC21BE" w:rsidRPr="00FC21BE" w:rsidRDefault="00BD7EAB" w:rsidP="00BD7EAB">
      <w:pPr>
        <w:jc w:val="both"/>
      </w:pPr>
      <w:r>
        <w:tab/>
        <w:t xml:space="preserve">Jet Blast also fails to meet the second prong of </w:t>
      </w:r>
      <w:r w:rsidRPr="00AF5EFF">
        <w:rPr>
          <w:i/>
        </w:rPr>
        <w:t xml:space="preserve">Agrico </w:t>
      </w:r>
      <w:r>
        <w:t xml:space="preserve">analysis. </w:t>
      </w:r>
      <w:r w:rsidR="00B25078">
        <w:t>The purpose of this proceeding is to determine FPL’s</w:t>
      </w:r>
      <w:r w:rsidR="00E64DCF">
        <w:t xml:space="preserve"> claimed</w:t>
      </w:r>
      <w:r w:rsidR="00B25078">
        <w:t xml:space="preserve"> actual and prudently incurred storm costs and to ensure that customers pay for or receive back any under- or over-collection of these costs. Jet Blast’s claims relate</w:t>
      </w:r>
      <w:r w:rsidR="00F25EB4">
        <w:t xml:space="preserve"> </w:t>
      </w:r>
      <w:r w:rsidR="00B25078">
        <w:t xml:space="preserve">to </w:t>
      </w:r>
      <w:r w:rsidR="00F25EB4">
        <w:t xml:space="preserve">purported </w:t>
      </w:r>
      <w:r w:rsidR="00B25078">
        <w:t xml:space="preserve">contract damages. </w:t>
      </w:r>
      <w:r w:rsidR="003B26EB">
        <w:t>Because t</w:t>
      </w:r>
      <w:r w:rsidR="00B25078">
        <w:t xml:space="preserve">he injury </w:t>
      </w:r>
      <w:r w:rsidR="003B26EB">
        <w:t xml:space="preserve">it </w:t>
      </w:r>
      <w:r w:rsidR="00B25078">
        <w:t>claims is not of a type or nature that this proceedin</w:t>
      </w:r>
      <w:r w:rsidR="00FC21BE">
        <w:t>g is designed to protect</w:t>
      </w:r>
      <w:r w:rsidR="003B26EB">
        <w:t xml:space="preserve">, </w:t>
      </w:r>
      <w:r w:rsidR="00FC21BE">
        <w:t xml:space="preserve">Jet Blast fails to satisfy the second prong of </w:t>
      </w:r>
      <w:r w:rsidR="00FC21BE" w:rsidRPr="00AF5EFF">
        <w:rPr>
          <w:i/>
        </w:rPr>
        <w:t>Agrico</w:t>
      </w:r>
      <w:r w:rsidR="00FC21BE">
        <w:t xml:space="preserve">. </w:t>
      </w:r>
      <w:r w:rsidR="00445EAC">
        <w:t xml:space="preserve">Further, even had Jet Blast pleaded that it was a customer of FPL, the Commission does not have equity jurisdiction to award damages. </w:t>
      </w:r>
      <w:r w:rsidR="00FC21BE">
        <w:t xml:space="preserve">Having failed to meet either prong of the </w:t>
      </w:r>
      <w:r w:rsidR="00FC21BE" w:rsidRPr="00AF5EFF">
        <w:rPr>
          <w:i/>
        </w:rPr>
        <w:t>Agrico</w:t>
      </w:r>
      <w:r w:rsidR="00FC21BE">
        <w:t xml:space="preserve"> test</w:t>
      </w:r>
      <w:r w:rsidR="006716DE">
        <w:t xml:space="preserve"> for standing</w:t>
      </w:r>
      <w:r w:rsidR="00FC21BE">
        <w:t>, Jet Blast, Inc.’s Petition to Intervene is denied.</w:t>
      </w:r>
    </w:p>
    <w:p w:rsidR="00DA54C0" w:rsidRPr="00215769" w:rsidRDefault="00DA54C0" w:rsidP="00312A94">
      <w:pPr>
        <w:jc w:val="both"/>
      </w:pPr>
    </w:p>
    <w:p w:rsidR="00215769" w:rsidRPr="00215769" w:rsidRDefault="00215769" w:rsidP="00312A94">
      <w:pPr>
        <w:jc w:val="both"/>
      </w:pPr>
      <w:r w:rsidRPr="00215769">
        <w:tab/>
        <w:t>It is, therefore,</w:t>
      </w:r>
    </w:p>
    <w:p w:rsidR="00215769" w:rsidRPr="00215769" w:rsidRDefault="00215769" w:rsidP="00312A94">
      <w:pPr>
        <w:jc w:val="both"/>
      </w:pPr>
    </w:p>
    <w:p w:rsidR="00CB5276" w:rsidRDefault="00215769" w:rsidP="00312A94">
      <w:pPr>
        <w:pStyle w:val="OrderBody"/>
      </w:pPr>
      <w:r w:rsidRPr="00215769">
        <w:tab/>
        <w:t xml:space="preserve">ORDERED by Commissioner </w:t>
      </w:r>
      <w:r>
        <w:t>Art Graham</w:t>
      </w:r>
      <w:r w:rsidRPr="00215769">
        <w:t xml:space="preserve">, as Prehearing Officer, that </w:t>
      </w:r>
      <w:r>
        <w:t>Jet Blast, Inc.’s</w:t>
      </w:r>
      <w:r w:rsidRPr="00215769">
        <w:t xml:space="preserve">  </w:t>
      </w:r>
      <w:r w:rsidR="00752D18">
        <w:t>Petition to Intervene</w:t>
      </w:r>
      <w:r w:rsidRPr="00215769">
        <w:t xml:space="preserve"> is hereby denied.</w:t>
      </w:r>
    </w:p>
    <w:p w:rsidR="00215769" w:rsidRDefault="00215769" w:rsidP="00215769">
      <w:pPr>
        <w:pStyle w:val="OrderBody"/>
      </w:pPr>
    </w:p>
    <w:p w:rsidR="00215769" w:rsidRDefault="00215769" w:rsidP="00215769">
      <w:pPr>
        <w:pStyle w:val="OrderBody"/>
        <w:keepNext/>
        <w:keepLines/>
      </w:pPr>
      <w:r>
        <w:tab/>
        <w:t xml:space="preserve">By ORDER of Commissioner Art Graham, as Prehearing Officer, this </w:t>
      </w:r>
      <w:bookmarkStart w:id="6" w:name="replaceDate"/>
      <w:bookmarkEnd w:id="6"/>
      <w:r w:rsidR="004A249D">
        <w:rPr>
          <w:u w:val="single"/>
        </w:rPr>
        <w:t>7th</w:t>
      </w:r>
      <w:r w:rsidR="004A249D">
        <w:t xml:space="preserve"> day of </w:t>
      </w:r>
      <w:r w:rsidR="004A249D">
        <w:rPr>
          <w:u w:val="single"/>
        </w:rPr>
        <w:t>June</w:t>
      </w:r>
      <w:r w:rsidR="004A249D">
        <w:t xml:space="preserve">, </w:t>
      </w:r>
      <w:r w:rsidR="004A249D">
        <w:rPr>
          <w:u w:val="single"/>
        </w:rPr>
        <w:t>2024</w:t>
      </w:r>
      <w:r w:rsidR="004A249D">
        <w:t>.</w:t>
      </w:r>
    </w:p>
    <w:p w:rsidR="004A249D" w:rsidRPr="004A249D" w:rsidRDefault="004A249D" w:rsidP="00215769">
      <w:pPr>
        <w:pStyle w:val="OrderBody"/>
        <w:keepNext/>
        <w:keepLines/>
      </w:pPr>
    </w:p>
    <w:p w:rsidR="00215769" w:rsidRDefault="00215769" w:rsidP="00215769">
      <w:pPr>
        <w:pStyle w:val="OrderBody"/>
        <w:keepNext/>
        <w:keepLines/>
      </w:pPr>
    </w:p>
    <w:p w:rsidR="00215769" w:rsidRDefault="00215769" w:rsidP="002157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15769" w:rsidTr="00215769">
        <w:tc>
          <w:tcPr>
            <w:tcW w:w="720" w:type="dxa"/>
            <w:shd w:val="clear" w:color="auto" w:fill="auto"/>
          </w:tcPr>
          <w:p w:rsidR="00215769" w:rsidRDefault="00215769" w:rsidP="00215769">
            <w:pPr>
              <w:pStyle w:val="OrderBody"/>
              <w:keepNext/>
              <w:keepLines/>
            </w:pPr>
            <w:bookmarkStart w:id="7" w:name="bkmrkSignature" w:colFirst="0" w:colLast="0"/>
          </w:p>
        </w:tc>
        <w:tc>
          <w:tcPr>
            <w:tcW w:w="4320" w:type="dxa"/>
            <w:tcBorders>
              <w:bottom w:val="single" w:sz="4" w:space="0" w:color="auto"/>
            </w:tcBorders>
            <w:shd w:val="clear" w:color="auto" w:fill="auto"/>
          </w:tcPr>
          <w:p w:rsidR="00215769" w:rsidRDefault="004A249D" w:rsidP="00215769">
            <w:pPr>
              <w:pStyle w:val="OrderBody"/>
              <w:keepNext/>
              <w:keepLines/>
            </w:pPr>
            <w:r>
              <w:t>/s/ Art Graham</w:t>
            </w:r>
            <w:bookmarkStart w:id="8" w:name="_GoBack"/>
            <w:bookmarkEnd w:id="8"/>
          </w:p>
        </w:tc>
      </w:tr>
      <w:bookmarkEnd w:id="7"/>
      <w:tr w:rsidR="00215769" w:rsidTr="00215769">
        <w:tc>
          <w:tcPr>
            <w:tcW w:w="720" w:type="dxa"/>
            <w:shd w:val="clear" w:color="auto" w:fill="auto"/>
          </w:tcPr>
          <w:p w:rsidR="00215769" w:rsidRDefault="00215769" w:rsidP="00215769">
            <w:pPr>
              <w:pStyle w:val="OrderBody"/>
              <w:keepNext/>
              <w:keepLines/>
            </w:pPr>
          </w:p>
        </w:tc>
        <w:tc>
          <w:tcPr>
            <w:tcW w:w="4320" w:type="dxa"/>
            <w:tcBorders>
              <w:top w:val="single" w:sz="4" w:space="0" w:color="auto"/>
            </w:tcBorders>
            <w:shd w:val="clear" w:color="auto" w:fill="auto"/>
          </w:tcPr>
          <w:p w:rsidR="00215769" w:rsidRDefault="00215769" w:rsidP="00215769">
            <w:pPr>
              <w:pStyle w:val="OrderBody"/>
              <w:keepNext/>
              <w:keepLines/>
            </w:pPr>
            <w:r>
              <w:t>ART GRAHAM</w:t>
            </w:r>
          </w:p>
          <w:p w:rsidR="00215769" w:rsidRDefault="00215769" w:rsidP="00215769">
            <w:pPr>
              <w:pStyle w:val="OrderBody"/>
              <w:keepNext/>
              <w:keepLines/>
            </w:pPr>
            <w:r>
              <w:t>Commissioner and Prehearing Officer</w:t>
            </w:r>
          </w:p>
        </w:tc>
      </w:tr>
    </w:tbl>
    <w:p w:rsidR="00215769" w:rsidRDefault="00215769" w:rsidP="00215769">
      <w:pPr>
        <w:pStyle w:val="OrderSigInfo"/>
        <w:keepNext/>
        <w:keepLines/>
      </w:pPr>
      <w:r>
        <w:t>Florida Public Service Commission</w:t>
      </w:r>
    </w:p>
    <w:p w:rsidR="00215769" w:rsidRDefault="00215769" w:rsidP="00215769">
      <w:pPr>
        <w:pStyle w:val="OrderSigInfo"/>
        <w:keepNext/>
        <w:keepLines/>
      </w:pPr>
      <w:r>
        <w:t>2540 Shumard Oak Boulevard</w:t>
      </w:r>
    </w:p>
    <w:p w:rsidR="00215769" w:rsidRDefault="00215769" w:rsidP="00215769">
      <w:pPr>
        <w:pStyle w:val="OrderSigInfo"/>
        <w:keepNext/>
        <w:keepLines/>
      </w:pPr>
      <w:r>
        <w:t>Tallahassee, Florida 32399</w:t>
      </w:r>
    </w:p>
    <w:p w:rsidR="00215769" w:rsidRDefault="00215769" w:rsidP="00215769">
      <w:pPr>
        <w:pStyle w:val="OrderSigInfo"/>
        <w:keepNext/>
        <w:keepLines/>
      </w:pPr>
      <w:r>
        <w:t>(850) 413</w:t>
      </w:r>
      <w:r>
        <w:noBreakHyphen/>
        <w:t>6770</w:t>
      </w:r>
    </w:p>
    <w:p w:rsidR="00215769" w:rsidRDefault="00215769" w:rsidP="00215769">
      <w:pPr>
        <w:pStyle w:val="OrderSigInfo"/>
        <w:keepNext/>
        <w:keepLines/>
      </w:pPr>
      <w:r>
        <w:t>www.floridapsc.com</w:t>
      </w:r>
    </w:p>
    <w:p w:rsidR="00215769" w:rsidRDefault="00215769" w:rsidP="00215769">
      <w:pPr>
        <w:pStyle w:val="OrderSigInfo"/>
        <w:keepNext/>
        <w:keepLines/>
      </w:pPr>
    </w:p>
    <w:p w:rsidR="00215769" w:rsidRDefault="00215769" w:rsidP="00215769">
      <w:pPr>
        <w:pStyle w:val="OrderSigInfo"/>
        <w:keepNext/>
        <w:keepLines/>
      </w:pPr>
      <w:r>
        <w:t>Copies furnished:  A copy of this document is provided to the parties of record at the time of issuance and, if applicable, interested persons.</w:t>
      </w:r>
    </w:p>
    <w:p w:rsidR="00215769" w:rsidRDefault="00215769" w:rsidP="00215769">
      <w:pPr>
        <w:pStyle w:val="OrderBody"/>
        <w:keepNext/>
        <w:keepLines/>
      </w:pPr>
    </w:p>
    <w:p w:rsidR="00215769" w:rsidRDefault="00215769" w:rsidP="00215769">
      <w:pPr>
        <w:pStyle w:val="OrderBody"/>
        <w:keepNext/>
        <w:keepLines/>
      </w:pPr>
    </w:p>
    <w:p w:rsidR="00215769" w:rsidRDefault="00215769" w:rsidP="00215769">
      <w:pPr>
        <w:pStyle w:val="OrderBody"/>
        <w:keepNext/>
        <w:keepLines/>
      </w:pPr>
      <w:r>
        <w:t>DD</w:t>
      </w:r>
    </w:p>
    <w:p w:rsidR="00215769" w:rsidRDefault="00215769" w:rsidP="00215769">
      <w:pPr>
        <w:pStyle w:val="OrderBody"/>
      </w:pPr>
    </w:p>
    <w:p w:rsidR="00215769" w:rsidRDefault="00215769" w:rsidP="00215769">
      <w:pPr>
        <w:pStyle w:val="OrderBody"/>
      </w:pPr>
    </w:p>
    <w:p w:rsidR="00215769" w:rsidRDefault="00215769" w:rsidP="00215769">
      <w:pPr>
        <w:pStyle w:val="CenterUnderline"/>
      </w:pPr>
      <w:r>
        <w:t>NOTICE OF FURTHER PROCEEDINGS OR JUDICIAL REVIEW</w:t>
      </w:r>
    </w:p>
    <w:p w:rsidR="00215769" w:rsidRDefault="00215769" w:rsidP="00215769">
      <w:pPr>
        <w:pStyle w:val="CenterUnderline"/>
      </w:pPr>
    </w:p>
    <w:p w:rsidR="00215769" w:rsidRDefault="00215769" w:rsidP="00215769">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215769" w:rsidRDefault="00215769" w:rsidP="00215769">
      <w:pPr>
        <w:pStyle w:val="OrderBody"/>
      </w:pPr>
    </w:p>
    <w:p w:rsidR="00215769" w:rsidRDefault="00215769" w:rsidP="00215769">
      <w:pPr>
        <w:pStyle w:val="OrderBody"/>
      </w:pPr>
      <w:r>
        <w:tab/>
        <w:t>Mediation may be available on a case-by-case basis.  If mediation is conducted, it does not affect a substantially interested person's right to a hearing.</w:t>
      </w:r>
    </w:p>
    <w:p w:rsidR="00215769" w:rsidRDefault="00215769" w:rsidP="00215769">
      <w:pPr>
        <w:pStyle w:val="OrderBody"/>
      </w:pPr>
    </w:p>
    <w:p w:rsidR="00215769" w:rsidRDefault="00215769" w:rsidP="002157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15769" w:rsidRDefault="00215769" w:rsidP="00215769">
      <w:pPr>
        <w:pStyle w:val="OrderBody"/>
      </w:pPr>
    </w:p>
    <w:p w:rsidR="00215769" w:rsidRDefault="00215769" w:rsidP="00215769">
      <w:pPr>
        <w:pStyle w:val="OrderBody"/>
      </w:pPr>
    </w:p>
    <w:p w:rsidR="00215769" w:rsidRDefault="00215769" w:rsidP="00215769">
      <w:pPr>
        <w:pStyle w:val="OrderBody"/>
      </w:pPr>
    </w:p>
    <w:sectPr w:rsidR="002157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69" w:rsidRDefault="00215769">
      <w:r>
        <w:separator/>
      </w:r>
    </w:p>
  </w:endnote>
  <w:endnote w:type="continuationSeparator" w:id="0">
    <w:p w:rsidR="00215769" w:rsidRDefault="0021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69" w:rsidRDefault="00215769">
      <w:r>
        <w:separator/>
      </w:r>
    </w:p>
  </w:footnote>
  <w:footnote w:type="continuationSeparator" w:id="0">
    <w:p w:rsidR="00215769" w:rsidRDefault="00215769">
      <w:r>
        <w:continuationSeparator/>
      </w:r>
    </w:p>
  </w:footnote>
  <w:footnote w:id="1">
    <w:p w:rsidR="004E1073" w:rsidRDefault="004E1073" w:rsidP="004E1073">
      <w:pPr>
        <w:pStyle w:val="FootnoteText"/>
      </w:pPr>
      <w:r>
        <w:rPr>
          <w:rStyle w:val="FootnoteReference"/>
        </w:rPr>
        <w:footnoteRef/>
      </w:r>
      <w:r w:rsidRPr="00DB105F">
        <w:t>Order No</w:t>
      </w:r>
      <w:r>
        <w:t>s</w:t>
      </w:r>
      <w:r w:rsidRPr="00DB105F">
        <w:t>. PSC-2019-0221-PCO-EI</w:t>
      </w:r>
      <w:r>
        <w:t>; and PSC-2022-0406-FOF-EI</w:t>
      </w:r>
      <w:r>
        <w:rPr>
          <w:i/>
        </w:rPr>
        <w:t>.</w:t>
      </w:r>
    </w:p>
  </w:footnote>
  <w:footnote w:id="2">
    <w:p w:rsidR="00B06CCC" w:rsidRPr="00B06CCC" w:rsidRDefault="00B06CCC">
      <w:pPr>
        <w:pStyle w:val="FootnoteText"/>
      </w:pPr>
      <w:r w:rsidRPr="00B06CCC">
        <w:rPr>
          <w:rStyle w:val="FootnoteReference"/>
        </w:rPr>
        <w:footnoteRef/>
      </w:r>
      <w:r w:rsidRPr="00AF5EFF">
        <w:rPr>
          <w:color w:val="333333"/>
        </w:rPr>
        <w:t>Order No. PSC-2023-0110-PCO-EI.</w:t>
      </w:r>
    </w:p>
  </w:footnote>
  <w:footnote w:id="3">
    <w:p w:rsidR="00B06CCC" w:rsidRPr="00B06CCC" w:rsidRDefault="00B06CCC">
      <w:pPr>
        <w:pStyle w:val="FootnoteText"/>
      </w:pPr>
      <w:r w:rsidRPr="00B06CCC">
        <w:rPr>
          <w:rStyle w:val="FootnoteReference"/>
        </w:rPr>
        <w:footnoteRef/>
      </w:r>
      <w:r w:rsidRPr="00AF5EFF">
        <w:rPr>
          <w:color w:val="333333"/>
        </w:rPr>
        <w:t xml:space="preserve">Order </w:t>
      </w:r>
      <w:r>
        <w:rPr>
          <w:color w:val="333333"/>
        </w:rPr>
        <w:t xml:space="preserve">No. </w:t>
      </w:r>
      <w:r w:rsidRPr="00AF5EFF">
        <w:rPr>
          <w:color w:val="333333"/>
        </w:rPr>
        <w:t>PSC-2023-0354-PCO-EI.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6 ">
      <w:r w:rsidR="004A249D">
        <w:t>PSC-2024-0186-PCO-EI</w:t>
      </w:r>
    </w:fldSimple>
  </w:p>
  <w:p w:rsidR="00FA6EFD" w:rsidRDefault="00215769">
    <w:pPr>
      <w:pStyle w:val="OrderHeader"/>
    </w:pPr>
    <w:bookmarkStart w:id="9" w:name="HeaderDocketNo"/>
    <w:bookmarkEnd w:id="9"/>
    <w:r>
      <w:t>DOCKET NO. 20230017-EI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24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21576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C12"/>
    <w:rsid w:val="000A774F"/>
    <w:rsid w:val="000B1603"/>
    <w:rsid w:val="000B783E"/>
    <w:rsid w:val="000B7D81"/>
    <w:rsid w:val="000C1994"/>
    <w:rsid w:val="000C6926"/>
    <w:rsid w:val="000D02B8"/>
    <w:rsid w:val="000D045C"/>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876"/>
    <w:rsid w:val="001259EC"/>
    <w:rsid w:val="00126593"/>
    <w:rsid w:val="00134177"/>
    <w:rsid w:val="00136087"/>
    <w:rsid w:val="00142A96"/>
    <w:rsid w:val="001513DE"/>
    <w:rsid w:val="00154A71"/>
    <w:rsid w:val="001655D4"/>
    <w:rsid w:val="00165803"/>
    <w:rsid w:val="00166DD2"/>
    <w:rsid w:val="001703F2"/>
    <w:rsid w:val="00187E32"/>
    <w:rsid w:val="001918FF"/>
    <w:rsid w:val="00194A97"/>
    <w:rsid w:val="00194E81"/>
    <w:rsid w:val="001A15E7"/>
    <w:rsid w:val="001A33C9"/>
    <w:rsid w:val="001A58F3"/>
    <w:rsid w:val="001B034E"/>
    <w:rsid w:val="001C1330"/>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5769"/>
    <w:rsid w:val="002170E5"/>
    <w:rsid w:val="00220D57"/>
    <w:rsid w:val="00223B99"/>
    <w:rsid w:val="0022721A"/>
    <w:rsid w:val="00230BB9"/>
    <w:rsid w:val="0023701A"/>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2A94"/>
    <w:rsid w:val="00313C5B"/>
    <w:rsid w:val="003140E8"/>
    <w:rsid w:val="003231C7"/>
    <w:rsid w:val="00323839"/>
    <w:rsid w:val="0032518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26EB"/>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45EAC"/>
    <w:rsid w:val="00451158"/>
    <w:rsid w:val="0045537F"/>
    <w:rsid w:val="00457DC7"/>
    <w:rsid w:val="004640B3"/>
    <w:rsid w:val="00472BCC"/>
    <w:rsid w:val="00477699"/>
    <w:rsid w:val="004A249D"/>
    <w:rsid w:val="004A25CD"/>
    <w:rsid w:val="004A26CC"/>
    <w:rsid w:val="004B2108"/>
    <w:rsid w:val="004B3A2B"/>
    <w:rsid w:val="004B70D3"/>
    <w:rsid w:val="004C312D"/>
    <w:rsid w:val="004D2D1B"/>
    <w:rsid w:val="004D5067"/>
    <w:rsid w:val="004D6838"/>
    <w:rsid w:val="004D72BC"/>
    <w:rsid w:val="004E1073"/>
    <w:rsid w:val="004E469D"/>
    <w:rsid w:val="004E7F4F"/>
    <w:rsid w:val="004F2DDE"/>
    <w:rsid w:val="004F5A55"/>
    <w:rsid w:val="004F6426"/>
    <w:rsid w:val="004F7826"/>
    <w:rsid w:val="0050097F"/>
    <w:rsid w:val="00503093"/>
    <w:rsid w:val="00514B1F"/>
    <w:rsid w:val="00523C5C"/>
    <w:rsid w:val="00524884"/>
    <w:rsid w:val="00525E93"/>
    <w:rsid w:val="0052671D"/>
    <w:rsid w:val="005300C0"/>
    <w:rsid w:val="00533EF6"/>
    <w:rsid w:val="00540E6B"/>
    <w:rsid w:val="0054109E"/>
    <w:rsid w:val="0055595D"/>
    <w:rsid w:val="00556A10"/>
    <w:rsid w:val="00557F50"/>
    <w:rsid w:val="005707B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16DE"/>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DBC"/>
    <w:rsid w:val="00703F2A"/>
    <w:rsid w:val="00704C5D"/>
    <w:rsid w:val="007072BC"/>
    <w:rsid w:val="007144FF"/>
    <w:rsid w:val="00715275"/>
    <w:rsid w:val="00721B44"/>
    <w:rsid w:val="007232A2"/>
    <w:rsid w:val="00726366"/>
    <w:rsid w:val="00731AB6"/>
    <w:rsid w:val="00733B6B"/>
    <w:rsid w:val="00740808"/>
    <w:rsid w:val="00740A1B"/>
    <w:rsid w:val="007467C4"/>
    <w:rsid w:val="00752D18"/>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4049"/>
    <w:rsid w:val="0094504B"/>
    <w:rsid w:val="00964A38"/>
    <w:rsid w:val="00966A9D"/>
    <w:rsid w:val="0096742B"/>
    <w:rsid w:val="00967C64"/>
    <w:rsid w:val="009718C5"/>
    <w:rsid w:val="00971FCC"/>
    <w:rsid w:val="00975D09"/>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5EFF"/>
    <w:rsid w:val="00B019C1"/>
    <w:rsid w:val="00B02001"/>
    <w:rsid w:val="00B03C50"/>
    <w:rsid w:val="00B06CCC"/>
    <w:rsid w:val="00B0777D"/>
    <w:rsid w:val="00B11576"/>
    <w:rsid w:val="00B1195F"/>
    <w:rsid w:val="00B14D10"/>
    <w:rsid w:val="00B209C7"/>
    <w:rsid w:val="00B25078"/>
    <w:rsid w:val="00B26480"/>
    <w:rsid w:val="00B35167"/>
    <w:rsid w:val="00B3644F"/>
    <w:rsid w:val="00B4057A"/>
    <w:rsid w:val="00B40894"/>
    <w:rsid w:val="00B41039"/>
    <w:rsid w:val="00B41F37"/>
    <w:rsid w:val="00B42987"/>
    <w:rsid w:val="00B444AE"/>
    <w:rsid w:val="00B45E75"/>
    <w:rsid w:val="00B50876"/>
    <w:rsid w:val="00B51074"/>
    <w:rsid w:val="00B54DAA"/>
    <w:rsid w:val="00B552E0"/>
    <w:rsid w:val="00B55910"/>
    <w:rsid w:val="00B55AB0"/>
    <w:rsid w:val="00B55EE5"/>
    <w:rsid w:val="00B56878"/>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9F9"/>
    <w:rsid w:val="00BC5713"/>
    <w:rsid w:val="00BC786E"/>
    <w:rsid w:val="00BD40EE"/>
    <w:rsid w:val="00BD5C92"/>
    <w:rsid w:val="00BD7EAB"/>
    <w:rsid w:val="00BE2071"/>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6B6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1131"/>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D65"/>
    <w:rsid w:val="00DA4EDD"/>
    <w:rsid w:val="00DA54C0"/>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26B8"/>
    <w:rsid w:val="00E33F44"/>
    <w:rsid w:val="00E37D48"/>
    <w:rsid w:val="00E4225C"/>
    <w:rsid w:val="00E44879"/>
    <w:rsid w:val="00E64DCF"/>
    <w:rsid w:val="00E72914"/>
    <w:rsid w:val="00E757DF"/>
    <w:rsid w:val="00E75AE0"/>
    <w:rsid w:val="00E808B3"/>
    <w:rsid w:val="00E837B8"/>
    <w:rsid w:val="00E83C1F"/>
    <w:rsid w:val="00E85684"/>
    <w:rsid w:val="00E8794B"/>
    <w:rsid w:val="00E947B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5EB4"/>
    <w:rsid w:val="00F277B6"/>
    <w:rsid w:val="00F27DA5"/>
    <w:rsid w:val="00F34172"/>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21BE"/>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215769"/>
    <w:pPr>
      <w:ind w:left="1440" w:right="1440"/>
    </w:pPr>
  </w:style>
  <w:style w:type="paragraph" w:styleId="BalloonText">
    <w:name w:val="Balloon Text"/>
    <w:basedOn w:val="Normal"/>
    <w:link w:val="BalloonTextChar"/>
    <w:semiHidden/>
    <w:unhideWhenUsed/>
    <w:rsid w:val="00AF5EFF"/>
    <w:rPr>
      <w:rFonts w:ascii="Segoe UI" w:hAnsi="Segoe UI" w:cs="Segoe UI"/>
      <w:sz w:val="18"/>
      <w:szCs w:val="18"/>
    </w:rPr>
  </w:style>
  <w:style w:type="character" w:customStyle="1" w:styleId="BalloonTextChar">
    <w:name w:val="Balloon Text Char"/>
    <w:basedOn w:val="DefaultParagraphFont"/>
    <w:link w:val="BalloonText"/>
    <w:semiHidden/>
    <w:rsid w:val="00AF5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80DD-1EDC-4778-983D-92F92153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2024-06-07T17:33:00Z</dcterms:created>
  <dcterms:modified xsi:type="dcterms:W3CDTF">2024-06-07T17:42:00Z</dcterms:modified>
</cp:coreProperties>
</file>