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36DF7" w:rsidP="00036DF7">
      <w:pPr>
        <w:pStyle w:val="OrderHeading"/>
      </w:pPr>
      <w:r>
        <w:t>BEFORE THE FLORIDA PUBLIC SERVICE COMMISSION</w:t>
      </w:r>
    </w:p>
    <w:p w:rsidR="00036DF7" w:rsidRDefault="00036DF7" w:rsidP="00036DF7">
      <w:pPr>
        <w:pStyle w:val="OrderBody"/>
      </w:pPr>
    </w:p>
    <w:p w:rsidR="00036DF7" w:rsidRDefault="00036DF7" w:rsidP="00036D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6DF7" w:rsidRPr="00C63FCF" w:rsidTr="00C63FCF">
        <w:trPr>
          <w:trHeight w:val="828"/>
        </w:trPr>
        <w:tc>
          <w:tcPr>
            <w:tcW w:w="4788" w:type="dxa"/>
            <w:tcBorders>
              <w:bottom w:val="single" w:sz="8" w:space="0" w:color="auto"/>
              <w:right w:val="double" w:sz="6" w:space="0" w:color="auto"/>
            </w:tcBorders>
            <w:shd w:val="clear" w:color="auto" w:fill="auto"/>
          </w:tcPr>
          <w:p w:rsidR="00036DF7" w:rsidRDefault="00036DF7"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rsidR="00036DF7" w:rsidRDefault="00036DF7" w:rsidP="00036DF7">
            <w:pPr>
              <w:pStyle w:val="OrderBody"/>
            </w:pPr>
            <w:r>
              <w:t xml:space="preserve">DOCKET NO. </w:t>
            </w:r>
            <w:bookmarkStart w:id="1" w:name="SSDocketNo"/>
            <w:bookmarkEnd w:id="1"/>
            <w:r>
              <w:t>20230019-EI</w:t>
            </w:r>
          </w:p>
          <w:p w:rsidR="00036DF7" w:rsidRDefault="00036DF7" w:rsidP="00C63FCF">
            <w:pPr>
              <w:pStyle w:val="OrderBody"/>
              <w:tabs>
                <w:tab w:val="center" w:pos="4320"/>
                <w:tab w:val="right" w:pos="8640"/>
              </w:tabs>
              <w:jc w:val="left"/>
            </w:pPr>
            <w:r>
              <w:t xml:space="preserve">ORDER NO. </w:t>
            </w:r>
            <w:bookmarkStart w:id="2" w:name="OrderNo0190"/>
            <w:r w:rsidR="0091751E">
              <w:t>PSC-2024-0190-FOF-EI</w:t>
            </w:r>
            <w:bookmarkEnd w:id="2"/>
          </w:p>
          <w:p w:rsidR="00036DF7" w:rsidRDefault="00036DF7" w:rsidP="00C63FCF">
            <w:pPr>
              <w:pStyle w:val="OrderBody"/>
              <w:tabs>
                <w:tab w:val="center" w:pos="4320"/>
                <w:tab w:val="right" w:pos="8640"/>
              </w:tabs>
              <w:jc w:val="left"/>
            </w:pPr>
            <w:r>
              <w:t xml:space="preserve">ISSUED: </w:t>
            </w:r>
            <w:r w:rsidR="0091751E">
              <w:t>June 13, 2024</w:t>
            </w:r>
          </w:p>
        </w:tc>
      </w:tr>
    </w:tbl>
    <w:p w:rsidR="00036DF7" w:rsidRDefault="00036DF7" w:rsidP="00036DF7"/>
    <w:p w:rsidR="00036DF7" w:rsidRDefault="00036DF7" w:rsidP="00036DF7"/>
    <w:p w:rsidR="00036DF7" w:rsidRDefault="00036DF7" w:rsidP="00B67A43">
      <w:pPr>
        <w:ind w:firstLine="720"/>
        <w:jc w:val="both"/>
      </w:pPr>
      <w:bookmarkStart w:id="3" w:name="Commissioners"/>
      <w:bookmarkEnd w:id="3"/>
      <w:r>
        <w:t>The following Commissioners participated in the disposition of this matter:</w:t>
      </w:r>
    </w:p>
    <w:p w:rsidR="00036DF7" w:rsidRDefault="00036DF7" w:rsidP="00B67A43"/>
    <w:p w:rsidR="00036DF7" w:rsidRDefault="00036DF7" w:rsidP="00477699">
      <w:pPr>
        <w:jc w:val="center"/>
      </w:pPr>
      <w:r>
        <w:t>MIKE LA ROSA, Chairman</w:t>
      </w:r>
    </w:p>
    <w:p w:rsidR="00036DF7" w:rsidRDefault="00036DF7" w:rsidP="00B67A43">
      <w:pPr>
        <w:jc w:val="center"/>
      </w:pPr>
      <w:r>
        <w:t>ART GRAHAM</w:t>
      </w:r>
    </w:p>
    <w:p w:rsidR="00036DF7" w:rsidRDefault="00036DF7" w:rsidP="00B67A43">
      <w:pPr>
        <w:jc w:val="center"/>
      </w:pPr>
      <w:r>
        <w:t>GARY F. CLARK</w:t>
      </w:r>
    </w:p>
    <w:p w:rsidR="00036DF7" w:rsidRDefault="00036DF7" w:rsidP="00B67A43">
      <w:pPr>
        <w:jc w:val="center"/>
      </w:pPr>
      <w:r>
        <w:t>ANDREW GILES FAY</w:t>
      </w:r>
    </w:p>
    <w:p w:rsidR="00036DF7" w:rsidRPr="005F2751" w:rsidRDefault="00036DF7" w:rsidP="00B67A43">
      <w:pPr>
        <w:jc w:val="center"/>
      </w:pPr>
      <w:r w:rsidRPr="005F2751">
        <w:rPr>
          <w:lang w:val="en"/>
        </w:rPr>
        <w:t>GABRIELLA PASSIDOMO</w:t>
      </w:r>
    </w:p>
    <w:p w:rsidR="00036DF7" w:rsidRDefault="00036DF7" w:rsidP="00B67A43"/>
    <w:p w:rsidR="00CB5276" w:rsidRDefault="00036DF7">
      <w:pPr>
        <w:pStyle w:val="OrderBody"/>
      </w:pPr>
      <w:bookmarkStart w:id="4" w:name="OrderText"/>
      <w:bookmarkEnd w:id="4"/>
      <w:r w:rsidRPr="00B828FE">
        <w:t>APPEARANCES:</w:t>
      </w:r>
    </w:p>
    <w:p w:rsidR="00036DF7" w:rsidRDefault="00036DF7">
      <w:pPr>
        <w:pStyle w:val="OrderBody"/>
      </w:pPr>
    </w:p>
    <w:p w:rsidR="00036DF7" w:rsidRPr="00B828FE" w:rsidRDefault="00036DF7" w:rsidP="00036DF7">
      <w:pPr>
        <w:ind w:left="1440"/>
        <w:jc w:val="both"/>
      </w:pPr>
      <w:r>
        <w:t>J. JEFFRY WAHLEN, MALCOLM MEANS, and VIRGINIA PONDER, ESQUIRES, Ausley McMullen, Post Office Box 391, Tallahassee, Florida 32302</w:t>
      </w:r>
    </w:p>
    <w:p w:rsidR="00036DF7" w:rsidRPr="00B828FE" w:rsidRDefault="00036DF7" w:rsidP="00036DF7">
      <w:pPr>
        <w:ind w:left="720" w:firstLine="720"/>
        <w:jc w:val="both"/>
      </w:pPr>
      <w:r w:rsidRPr="00B828FE">
        <w:rPr>
          <w:u w:val="single"/>
        </w:rPr>
        <w:t xml:space="preserve">On behalf of </w:t>
      </w:r>
      <w:r>
        <w:rPr>
          <w:u w:val="single"/>
        </w:rPr>
        <w:t>Tampa Electric Company</w:t>
      </w:r>
      <w:r w:rsidRPr="00B828FE">
        <w:rPr>
          <w:u w:val="single"/>
        </w:rPr>
        <w:t xml:space="preserve"> (</w:t>
      </w:r>
      <w:r>
        <w:rPr>
          <w:u w:val="single"/>
        </w:rPr>
        <w:t>TECO</w:t>
      </w:r>
      <w:r w:rsidRPr="00B828FE">
        <w:rPr>
          <w:u w:val="single"/>
        </w:rPr>
        <w:t>)</w:t>
      </w:r>
      <w:r w:rsidRPr="00B828FE">
        <w:t>.</w:t>
      </w:r>
    </w:p>
    <w:p w:rsidR="00036DF7" w:rsidRPr="00B828FE" w:rsidRDefault="00036DF7" w:rsidP="00036DF7">
      <w:pPr>
        <w:jc w:val="both"/>
      </w:pPr>
    </w:p>
    <w:p w:rsidR="00036DF7" w:rsidRPr="00B828FE" w:rsidRDefault="00036DF7" w:rsidP="00036DF7">
      <w:pPr>
        <w:ind w:left="1440"/>
        <w:jc w:val="both"/>
      </w:pPr>
      <w:r>
        <w:t>WALT TRIERWEILER</w:t>
      </w:r>
      <w:r w:rsidRPr="00B828FE">
        <w:t>,</w:t>
      </w:r>
      <w:r>
        <w:t xml:space="preserve"> Public Counsel, CHARLES REHWINKEL, and MARY WESSLING, ESQUIRES, Office of Public Counsel, c/o The Florida Legislature, 111 W. Madison Street, Room 812, Tallahassee, Florida 32399</w:t>
      </w:r>
    </w:p>
    <w:p w:rsidR="00036DF7" w:rsidRPr="00B828FE" w:rsidRDefault="00036DF7" w:rsidP="00036DF7">
      <w:pPr>
        <w:ind w:left="720" w:firstLine="720"/>
        <w:jc w:val="both"/>
      </w:pPr>
      <w:r w:rsidRPr="00B828FE">
        <w:rPr>
          <w:u w:val="single"/>
        </w:rPr>
        <w:t>On behalf of</w:t>
      </w:r>
      <w:r>
        <w:rPr>
          <w:u w:val="single"/>
        </w:rPr>
        <w:t xml:space="preserve"> the</w:t>
      </w:r>
      <w:r w:rsidRPr="00B828FE">
        <w:rPr>
          <w:u w:val="single"/>
        </w:rPr>
        <w:t xml:space="preserve"> </w:t>
      </w:r>
      <w:r>
        <w:rPr>
          <w:u w:val="single"/>
        </w:rPr>
        <w:t>Office of Public Counsel</w:t>
      </w:r>
      <w:r w:rsidRPr="00B828FE">
        <w:rPr>
          <w:u w:val="single"/>
        </w:rPr>
        <w:t xml:space="preserve"> (</w:t>
      </w:r>
      <w:r>
        <w:rPr>
          <w:u w:val="single"/>
        </w:rPr>
        <w:t>OPC</w:t>
      </w:r>
      <w:r w:rsidRPr="00B828FE">
        <w:rPr>
          <w:u w:val="single"/>
        </w:rPr>
        <w:t>)</w:t>
      </w:r>
      <w:r w:rsidRPr="00B828FE">
        <w:t xml:space="preserve">. </w:t>
      </w:r>
    </w:p>
    <w:p w:rsidR="00036DF7" w:rsidRPr="00B828FE" w:rsidRDefault="00036DF7" w:rsidP="00036DF7">
      <w:pPr>
        <w:jc w:val="both"/>
      </w:pPr>
    </w:p>
    <w:p w:rsidR="00036DF7" w:rsidRPr="00B828FE" w:rsidRDefault="00036DF7" w:rsidP="00036DF7">
      <w:pPr>
        <w:ind w:left="1440"/>
        <w:jc w:val="both"/>
      </w:pPr>
      <w:r>
        <w:t>STEPHANIE U. EATON</w:t>
      </w:r>
      <w:r w:rsidRPr="00B828FE">
        <w:t xml:space="preserve">, ESQUIRE, </w:t>
      </w:r>
      <w:r>
        <w:t>Spilman, Thomas &amp; Battle, PLLC, 110 Oakwood Drive, Suite 500, Winston-Salem, North Carolina 27103</w:t>
      </w:r>
    </w:p>
    <w:p w:rsidR="00036DF7" w:rsidRPr="00B828FE" w:rsidRDefault="00036DF7" w:rsidP="00036DF7">
      <w:pPr>
        <w:ind w:left="720" w:firstLine="720"/>
        <w:jc w:val="both"/>
      </w:pPr>
      <w:r w:rsidRPr="00B828FE">
        <w:rPr>
          <w:u w:val="single"/>
        </w:rPr>
        <w:t xml:space="preserve">On behalf of </w:t>
      </w:r>
      <w:r>
        <w:rPr>
          <w:u w:val="single"/>
        </w:rPr>
        <w:t>Walmart, Inc.</w:t>
      </w:r>
      <w:r w:rsidRPr="00B828FE">
        <w:rPr>
          <w:u w:val="single"/>
        </w:rPr>
        <w:t xml:space="preserve"> (</w:t>
      </w:r>
      <w:r>
        <w:rPr>
          <w:u w:val="single"/>
        </w:rPr>
        <w:t>Walmart</w:t>
      </w:r>
      <w:r w:rsidRPr="00B828FE">
        <w:rPr>
          <w:u w:val="single"/>
        </w:rPr>
        <w:t>)</w:t>
      </w:r>
      <w:r w:rsidRPr="00B828FE">
        <w:t>.</w:t>
      </w:r>
    </w:p>
    <w:p w:rsidR="00036DF7" w:rsidRPr="00B828FE" w:rsidRDefault="00036DF7" w:rsidP="00036DF7">
      <w:pPr>
        <w:jc w:val="both"/>
      </w:pPr>
    </w:p>
    <w:p w:rsidR="00036DF7" w:rsidRPr="00B828FE" w:rsidRDefault="00036DF7" w:rsidP="00036DF7">
      <w:pPr>
        <w:ind w:left="1440"/>
        <w:jc w:val="both"/>
      </w:pPr>
      <w:r>
        <w:t>DERRICK PRICE WILLIAMSON and STEVEN W. LEE, ESQUIRES</w:t>
      </w:r>
      <w:r w:rsidRPr="00B828FE">
        <w:t xml:space="preserve">, </w:t>
      </w:r>
      <w:r>
        <w:t>Spilman, Thomas &amp; Battle, PLLC, 1100 Bent Creek Blvd., Suite 101, Mechanicsburg, Pennsylvania 17050</w:t>
      </w:r>
    </w:p>
    <w:p w:rsidR="00036DF7" w:rsidRPr="00B828FE" w:rsidRDefault="00036DF7" w:rsidP="00036DF7">
      <w:pPr>
        <w:ind w:left="720" w:firstLine="720"/>
        <w:jc w:val="both"/>
      </w:pPr>
      <w:r w:rsidRPr="00B828FE">
        <w:rPr>
          <w:u w:val="single"/>
        </w:rPr>
        <w:t xml:space="preserve">On behalf of </w:t>
      </w:r>
      <w:r>
        <w:rPr>
          <w:u w:val="single"/>
        </w:rPr>
        <w:t>Walmart, Inc.</w:t>
      </w:r>
      <w:r w:rsidRPr="00B828FE">
        <w:rPr>
          <w:u w:val="single"/>
        </w:rPr>
        <w:t xml:space="preserve"> (</w:t>
      </w:r>
      <w:r>
        <w:rPr>
          <w:u w:val="single"/>
        </w:rPr>
        <w:t>Walmart</w:t>
      </w:r>
      <w:r w:rsidRPr="00B828FE">
        <w:rPr>
          <w:u w:val="single"/>
        </w:rPr>
        <w:t>)</w:t>
      </w:r>
      <w:r w:rsidRPr="00B828FE">
        <w:t>.</w:t>
      </w:r>
    </w:p>
    <w:p w:rsidR="00036DF7" w:rsidRPr="00B828FE" w:rsidRDefault="00036DF7" w:rsidP="00036DF7">
      <w:pPr>
        <w:jc w:val="both"/>
      </w:pPr>
    </w:p>
    <w:p w:rsidR="00036DF7" w:rsidRPr="00B828FE" w:rsidRDefault="00036DF7" w:rsidP="00036DF7">
      <w:pPr>
        <w:ind w:left="1440"/>
        <w:jc w:val="both"/>
      </w:pPr>
      <w:r>
        <w:t>MAJOR R. THOMPSON and RYAN P. SANDY, ESQUIRES</w:t>
      </w:r>
      <w:r w:rsidRPr="00B828FE">
        <w:t xml:space="preserve">, Florida Public Service Commission, 2540 Shumard Oak Boulevard, </w:t>
      </w:r>
      <w:smartTag w:uri="urn:schemas-microsoft-com:office:smarttags" w:element="City">
        <w:r w:rsidRPr="00B828FE">
          <w:t>Tallahassee</w:t>
        </w:r>
      </w:smartTag>
      <w:r w:rsidRPr="00B828FE">
        <w:t xml:space="preserve">, </w:t>
      </w:r>
      <w:smartTag w:uri="urn:schemas-microsoft-com:office:smarttags" w:element="State">
        <w:r w:rsidRPr="00B828FE">
          <w:t>Florida</w:t>
        </w:r>
      </w:smartTag>
      <w:r>
        <w:t xml:space="preserve"> 32399</w:t>
      </w:r>
    </w:p>
    <w:p w:rsidR="00036DF7" w:rsidRPr="00B828FE" w:rsidRDefault="00036DF7" w:rsidP="00036DF7">
      <w:pPr>
        <w:ind w:left="720" w:firstLine="720"/>
        <w:jc w:val="both"/>
      </w:pPr>
      <w:r w:rsidRPr="00B828FE">
        <w:rPr>
          <w:u w:val="single"/>
        </w:rPr>
        <w:t xml:space="preserve">On behalf of the </w:t>
      </w:r>
      <w:smartTag w:uri="urn:schemas-microsoft-com:office:smarttags" w:element="place">
        <w:smartTag w:uri="urn:schemas-microsoft-com:office:smarttags" w:element="State">
          <w:r w:rsidRPr="00B828FE">
            <w:rPr>
              <w:u w:val="single"/>
            </w:rPr>
            <w:t>Florida</w:t>
          </w:r>
        </w:smartTag>
      </w:smartTag>
      <w:r w:rsidRPr="00B828FE">
        <w:rPr>
          <w:u w:val="single"/>
        </w:rPr>
        <w:t xml:space="preserve"> Public Service Commission (Staff)</w:t>
      </w:r>
      <w:r w:rsidRPr="00B828FE">
        <w:t>.</w:t>
      </w:r>
    </w:p>
    <w:p w:rsidR="00036DF7" w:rsidRPr="00B828FE" w:rsidRDefault="00036DF7" w:rsidP="00036DF7">
      <w:pPr>
        <w:jc w:val="both"/>
      </w:pPr>
    </w:p>
    <w:p w:rsidR="00036DF7" w:rsidRPr="00B828FE" w:rsidRDefault="00036DF7" w:rsidP="00036DF7">
      <w:pPr>
        <w:ind w:left="1440"/>
        <w:jc w:val="both"/>
      </w:pPr>
      <w:r w:rsidRPr="00B828FE">
        <w:t xml:space="preserve">MARY ANNE HELTON, ESQUIRE, </w:t>
      </w:r>
      <w:smartTag w:uri="urn:schemas-microsoft-com:office:smarttags" w:element="City">
        <w:r w:rsidRPr="00B828FE">
          <w:t>Deputy General</w:t>
        </w:r>
      </w:smartTag>
      <w:r w:rsidRPr="00B828FE">
        <w:t xml:space="preserve"> </w:t>
      </w:r>
      <w:smartTag w:uri="urn:schemas-microsoft-com:office:smarttags" w:element="State">
        <w:r w:rsidRPr="00B828FE">
          <w:t>Counsel</w:t>
        </w:r>
      </w:smartTag>
      <w:r w:rsidRPr="00B828FE">
        <w:t xml:space="preserve">, Florida Public Service Commission, 2540 Shumard Oak Boulevard, </w:t>
      </w:r>
      <w:smartTag w:uri="urn:schemas-microsoft-com:office:smarttags" w:element="City">
        <w:r w:rsidRPr="00B828FE">
          <w:t>Tallahassee</w:t>
        </w:r>
      </w:smartTag>
      <w:r w:rsidRPr="00B828FE">
        <w:t xml:space="preserve">, </w:t>
      </w:r>
      <w:smartTag w:uri="urn:schemas-microsoft-com:office:smarttags" w:element="State">
        <w:r w:rsidRPr="00B828FE">
          <w:t>Florida</w:t>
        </w:r>
      </w:smartTag>
      <w:r>
        <w:t xml:space="preserve"> 32399</w:t>
      </w:r>
    </w:p>
    <w:p w:rsidR="00036DF7" w:rsidRPr="00B828FE" w:rsidRDefault="00036DF7" w:rsidP="00036DF7">
      <w:pPr>
        <w:ind w:left="720" w:firstLine="720"/>
        <w:jc w:val="both"/>
      </w:pPr>
      <w:r w:rsidRPr="00B828FE">
        <w:rPr>
          <w:u w:val="single"/>
        </w:rPr>
        <w:t xml:space="preserve">Advisor to the </w:t>
      </w:r>
      <w:smartTag w:uri="urn:schemas-microsoft-com:office:smarttags" w:element="place">
        <w:smartTag w:uri="urn:schemas-microsoft-com:office:smarttags" w:element="State">
          <w:r w:rsidRPr="00B828FE">
            <w:rPr>
              <w:u w:val="single"/>
            </w:rPr>
            <w:t>Florida</w:t>
          </w:r>
        </w:smartTag>
      </w:smartTag>
      <w:r w:rsidRPr="00B828FE">
        <w:rPr>
          <w:u w:val="single"/>
        </w:rPr>
        <w:t xml:space="preserve"> Public Service Commission</w:t>
      </w:r>
      <w:r w:rsidRPr="00B828FE">
        <w:t>.</w:t>
      </w:r>
    </w:p>
    <w:p w:rsidR="00036DF7" w:rsidRPr="00B828FE" w:rsidRDefault="00036DF7" w:rsidP="00036DF7">
      <w:pPr>
        <w:rPr>
          <w:b/>
          <w:bCs/>
          <w:u w:val="single"/>
        </w:rPr>
      </w:pPr>
    </w:p>
    <w:p w:rsidR="00036DF7" w:rsidRDefault="00036DF7" w:rsidP="00036DF7">
      <w:pPr>
        <w:ind w:left="1440"/>
        <w:jc w:val="both"/>
      </w:pPr>
      <w:r w:rsidRPr="00B828FE">
        <w:lastRenderedPageBreak/>
        <w:t>KEITH C. HETRICK, ESQUIRE, Gen</w:t>
      </w:r>
      <w:r>
        <w:t>eral Counsel, Florida Public Ser</w:t>
      </w:r>
      <w:r w:rsidRPr="00B828FE">
        <w:t>vice Commission, 2540 Shumard Oak Boulevard,</w:t>
      </w:r>
      <w:r>
        <w:t xml:space="preserve"> Tallahassee, Florida 32399</w:t>
      </w:r>
    </w:p>
    <w:p w:rsidR="00036DF7" w:rsidRPr="00B828FE" w:rsidRDefault="00036DF7" w:rsidP="00036DF7">
      <w:pPr>
        <w:ind w:left="1440"/>
        <w:jc w:val="both"/>
      </w:pPr>
      <w:r w:rsidRPr="00B828FE">
        <w:rPr>
          <w:u w:val="single"/>
        </w:rPr>
        <w:t>Florida Public Service Commission General Counsel</w:t>
      </w:r>
    </w:p>
    <w:p w:rsidR="005F2751" w:rsidRDefault="005F2751"/>
    <w:p w:rsidR="00036DF7" w:rsidRDefault="00036DF7" w:rsidP="00036DF7">
      <w:pPr>
        <w:pStyle w:val="OrderBody"/>
      </w:pPr>
    </w:p>
    <w:p w:rsidR="00036DF7" w:rsidRDefault="00036DF7" w:rsidP="00036DF7">
      <w:pPr>
        <w:pStyle w:val="CenterUnderline"/>
      </w:pPr>
      <w:r>
        <w:t>ORDER</w:t>
      </w:r>
      <w:bookmarkStart w:id="5" w:name="OrderTitle"/>
      <w:r>
        <w:t xml:space="preserve"> APPROVING TAMPA ELECTRIC COMPANY’S PETITION FOR</w:t>
      </w:r>
    </w:p>
    <w:p w:rsidR="00036DF7" w:rsidRDefault="00036DF7" w:rsidP="00036DF7">
      <w:pPr>
        <w:pStyle w:val="CenterUnderline"/>
      </w:pPr>
      <w:r>
        <w:t>RECOVERY OF COSTS ASSOCIATED WITH NAMED TROPICAL SYSTEMS</w:t>
      </w:r>
    </w:p>
    <w:p w:rsidR="00036DF7" w:rsidRDefault="00036DF7" w:rsidP="00036DF7">
      <w:pPr>
        <w:pStyle w:val="CenterUnderline"/>
      </w:pPr>
      <w:r>
        <w:t xml:space="preserve">AND DENYING WALMART’S MOTION FOR RECONSIDERATION </w:t>
      </w:r>
      <w:bookmarkEnd w:id="5"/>
    </w:p>
    <w:p w:rsidR="00036DF7" w:rsidRDefault="00036DF7" w:rsidP="00036DF7">
      <w:pPr>
        <w:pStyle w:val="CenterUnderline"/>
      </w:pPr>
    </w:p>
    <w:p w:rsidR="00036DF7" w:rsidRDefault="00036DF7" w:rsidP="00036DF7">
      <w:pPr>
        <w:pStyle w:val="OrderBody"/>
      </w:pPr>
    </w:p>
    <w:p w:rsidR="00036DF7" w:rsidRDefault="00036DF7" w:rsidP="00036DF7">
      <w:pPr>
        <w:pStyle w:val="OrderBody"/>
      </w:pPr>
      <w:r w:rsidRPr="004C69BE">
        <w:t>BY THE COMMISSION:</w:t>
      </w:r>
    </w:p>
    <w:p w:rsidR="00036DF7" w:rsidRDefault="00036DF7" w:rsidP="00036DF7">
      <w:pPr>
        <w:pStyle w:val="OrderBody"/>
      </w:pPr>
    </w:p>
    <w:p w:rsidR="00036DF7" w:rsidRPr="004C69BE" w:rsidRDefault="00036DF7" w:rsidP="00036DF7">
      <w:pPr>
        <w:jc w:val="center"/>
      </w:pPr>
      <w:r w:rsidRPr="004C69BE">
        <w:rPr>
          <w:u w:val="single"/>
        </w:rPr>
        <w:t>Background</w:t>
      </w:r>
    </w:p>
    <w:p w:rsidR="00036DF7" w:rsidRPr="004C69BE" w:rsidRDefault="00036DF7" w:rsidP="00036DF7">
      <w:pPr>
        <w:jc w:val="both"/>
      </w:pPr>
    </w:p>
    <w:p w:rsidR="00036DF7" w:rsidRDefault="00036DF7" w:rsidP="00036DF7">
      <w:pPr>
        <w:jc w:val="both"/>
      </w:pPr>
      <w:r w:rsidRPr="004C69BE">
        <w:tab/>
        <w:t xml:space="preserve">On January 23, 2023, pursuant to Rules 28-106.201 and 25-6.0143, </w:t>
      </w:r>
      <w:r>
        <w:t>Florida Administrative Code (</w:t>
      </w:r>
      <w:r w:rsidRPr="004C69BE">
        <w:t>F.A.C.</w:t>
      </w:r>
      <w:r>
        <w:t>)</w:t>
      </w:r>
      <w:r w:rsidRPr="004C69BE">
        <w:t>, Tampa Electric Company (TECO or Utility) filed its Petition for R</w:t>
      </w:r>
      <w:r>
        <w:t>ecovery of Costs Associated with Named Tropical Systems During the 2018-2022 Hurricane Seasons and Replenishment of Storm Reserve with actual incremental storm costs for the 2018 through 2021 storm seasons and estimated incremental storm costs for the 2022 storm season. We approved TECO’s interim storm restoration charge on March 27, 2023, subject to final true-up.</w:t>
      </w:r>
      <w:r>
        <w:rPr>
          <w:rStyle w:val="FootnoteReference"/>
        </w:rPr>
        <w:footnoteReference w:id="1"/>
      </w:r>
    </w:p>
    <w:p w:rsidR="00036DF7" w:rsidRDefault="00036DF7" w:rsidP="00036DF7">
      <w:pPr>
        <w:jc w:val="both"/>
      </w:pPr>
    </w:p>
    <w:p w:rsidR="00036DF7" w:rsidRDefault="00036DF7" w:rsidP="00036DF7">
      <w:pPr>
        <w:jc w:val="both"/>
      </w:pPr>
      <w:r>
        <w:tab/>
        <w:t>On August 16, 2023, TECO filed a Supplemental Petition to update the total storm restoration costs to include updated accrued costs and to propose a modified recovery period. On September 29, 2023, TECO filed a Petition for Approval of Actual Storm Restoration Costs Associated with Named Tropical Systems During the 2018-2022 Hurricane Seasons and Associated True-Up Mechanism on September 29, 2023, updating the estimated costs for the 2022 to actual costs and providing the required documentation of actual recoverable storm costs and to propose a final true-up mechanism for the Interim Storm Restoration Charge.</w:t>
      </w:r>
    </w:p>
    <w:p w:rsidR="00036DF7" w:rsidRDefault="00036DF7" w:rsidP="00036DF7">
      <w:pPr>
        <w:jc w:val="both"/>
      </w:pPr>
    </w:p>
    <w:p w:rsidR="00036DF7" w:rsidRDefault="00036DF7" w:rsidP="00036DF7">
      <w:pPr>
        <w:ind w:firstLine="720"/>
        <w:jc w:val="both"/>
      </w:pPr>
      <w:r>
        <w:t xml:space="preserve">A Prehearing Conference was held in this docket on April 24, 2024, and Prehearing Order No. PSC-2024-0137-PHO-EI was issued on April 26, 2024. Among the rulings reflected in the Prehearing Order was the striking of Walmart’s proposed Issue A: </w:t>
      </w:r>
      <w:r w:rsidRPr="0037243D">
        <w:t>“</w:t>
      </w:r>
      <w:r w:rsidRPr="00277234">
        <w:t>Should any cost recovery approved in this docket be recovered from demand-metered customers through the demand charge?</w:t>
      </w:r>
      <w:r>
        <w:t>” Having heard the parties’ arguments, the Prehearing Officer struck Issue A, finding that TECO’s 2021 Settlement Agreement</w:t>
      </w:r>
      <w:r>
        <w:rPr>
          <w:rStyle w:val="FootnoteReference"/>
        </w:rPr>
        <w:footnoteReference w:id="2"/>
      </w:r>
      <w:r>
        <w:t xml:space="preserve"> provides that the storm damage recovery that is at issue in this proceeding shall be made with the rate design and cost allocation methods approved in the agreement. As the issue was resolved by the 2021 Settlement Agreement, Walmart’s issue was found to be inappropriate in this proceeding. In keeping with this ruling, the Prehearing Officer excluded the prefiled testimony of Walmart’s witness Lisa V. Perry, together with supporting exhibits LVP-1 and LVP-2, which supported Walmart’s position on Contested </w:t>
      </w:r>
      <w:r>
        <w:lastRenderedPageBreak/>
        <w:t>Issue A. With the exclusion of Walmart’s witness testimony and exhibits, TECO’s prefiled testimony of its witness Jordan M. Williams, which rebutted Walmart’s witness, was also excluded.</w:t>
      </w:r>
    </w:p>
    <w:p w:rsidR="00036DF7" w:rsidRDefault="00036DF7" w:rsidP="00036DF7">
      <w:pPr>
        <w:ind w:firstLine="720"/>
        <w:jc w:val="both"/>
      </w:pPr>
    </w:p>
    <w:p w:rsidR="00036DF7" w:rsidRPr="00C3397E" w:rsidRDefault="00036DF7" w:rsidP="00036DF7">
      <w:pPr>
        <w:ind w:firstLine="720"/>
        <w:jc w:val="both"/>
      </w:pPr>
      <w:r>
        <w:t>On April 30, 2024, Walmart filed a Motion for Reconsideration of the striking of its Issue A and the testimony and exhibits of witness Perry. As set forth below, the Motion for Reconsideration was taken up as a preliminary matter at the May 1, 2024 hearing. Having heard oral argument by the parties, Walmart’s Motion for Reconsideration was denied by the full Commission, as set forth below.</w:t>
      </w:r>
    </w:p>
    <w:p w:rsidR="00036DF7" w:rsidRDefault="00036DF7" w:rsidP="00036DF7">
      <w:pPr>
        <w:jc w:val="both"/>
      </w:pPr>
    </w:p>
    <w:p w:rsidR="00036DF7" w:rsidRDefault="00036DF7" w:rsidP="00036DF7">
      <w:pPr>
        <w:jc w:val="both"/>
      </w:pPr>
      <w:r>
        <w:tab/>
        <w:t xml:space="preserve">Also at the final hearing on May 1, 2024, the prefiled testimonies of Chip Whitworth and Richard Latta on behalf of TECO and Carl Vinson and Ron Mavrides on behalf of Commission staff were admitted into the record along with exhibits 1 through 3 and 6 through 14. </w:t>
      </w:r>
    </w:p>
    <w:p w:rsidR="00036DF7" w:rsidRDefault="00036DF7" w:rsidP="00036DF7">
      <w:pPr>
        <w:jc w:val="both"/>
      </w:pPr>
    </w:p>
    <w:p w:rsidR="00036DF7" w:rsidRDefault="00036DF7" w:rsidP="00036DF7">
      <w:pPr>
        <w:ind w:firstLine="720"/>
        <w:jc w:val="both"/>
        <w:rPr>
          <w:bCs/>
        </w:rPr>
      </w:pPr>
      <w:r>
        <w:t xml:space="preserve">The parties proposed Type 1 or Type 2 stipulations on all issues. </w:t>
      </w:r>
      <w:r w:rsidRPr="000A2E67">
        <w:t>A Type 1 stipulation occurs on an issue where the utility and intervenors agree on the</w:t>
      </w:r>
      <w:r>
        <w:t xml:space="preserve"> resolution of the issue. A Type 2 stipulation</w:t>
      </w:r>
      <w:r>
        <w:rPr>
          <w:rStyle w:val="FootnoteReference"/>
        </w:rPr>
        <w:footnoteReference w:id="3"/>
      </w:r>
      <w:r>
        <w:t xml:space="preserve"> </w:t>
      </w:r>
      <w:r w:rsidRPr="00F10751">
        <w:t>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r>
        <w:t xml:space="preserve"> As set forth below, at the May 1, 2024 hearing, we voted to approve all of the stipulations set forth below, thereby resolving all outstanding issues for each party in this docket.</w:t>
      </w:r>
    </w:p>
    <w:p w:rsidR="00036DF7" w:rsidRDefault="00036DF7" w:rsidP="00036DF7">
      <w:pPr>
        <w:jc w:val="both"/>
      </w:pPr>
    </w:p>
    <w:p w:rsidR="00036DF7" w:rsidRDefault="00036DF7" w:rsidP="00036DF7">
      <w:pPr>
        <w:pStyle w:val="OrderBody"/>
      </w:pPr>
      <w:r>
        <w:tab/>
        <w:t>We have</w:t>
      </w:r>
      <w:r w:rsidRPr="00F53818">
        <w:t xml:space="preserve"> jurisdiction over this matter pursuant to Sections 366.04, 366.05, 366.06, and 366.076, Florida Statutes</w:t>
      </w:r>
      <w:r>
        <w:t xml:space="preserve"> (F.S.)</w:t>
      </w:r>
      <w:r w:rsidRPr="00F53818">
        <w:t>.</w:t>
      </w:r>
    </w:p>
    <w:p w:rsidR="00036DF7" w:rsidRDefault="00036DF7" w:rsidP="00036DF7">
      <w:pPr>
        <w:pStyle w:val="OrderBody"/>
      </w:pPr>
    </w:p>
    <w:p w:rsidR="00036DF7" w:rsidRDefault="00036DF7" w:rsidP="00036DF7">
      <w:pPr>
        <w:jc w:val="center"/>
      </w:pPr>
      <w:r>
        <w:rPr>
          <w:u w:val="single"/>
        </w:rPr>
        <w:t>Decision</w:t>
      </w:r>
    </w:p>
    <w:p w:rsidR="00036DF7" w:rsidRDefault="00036DF7" w:rsidP="00036DF7"/>
    <w:p w:rsidR="00036DF7" w:rsidRPr="009A2EE5" w:rsidRDefault="00036DF7" w:rsidP="00036DF7">
      <w:pPr>
        <w:pStyle w:val="ListParagraph"/>
        <w:numPr>
          <w:ilvl w:val="0"/>
          <w:numId w:val="1"/>
        </w:numPr>
        <w:rPr>
          <w:u w:val="single"/>
        </w:rPr>
      </w:pPr>
      <w:r w:rsidRPr="009A2EE5">
        <w:rPr>
          <w:u w:val="single"/>
        </w:rPr>
        <w:t>Denial of Walmart’s Motion for Reconsideration</w:t>
      </w:r>
    </w:p>
    <w:p w:rsidR="00036DF7" w:rsidRDefault="00036DF7" w:rsidP="00036DF7"/>
    <w:p w:rsidR="00036DF7" w:rsidRDefault="00036DF7" w:rsidP="00036DF7">
      <w:r>
        <w:tab/>
      </w:r>
      <w:r>
        <w:rPr>
          <w:u w:val="single"/>
        </w:rPr>
        <w:t>Law</w:t>
      </w:r>
    </w:p>
    <w:p w:rsidR="00036DF7" w:rsidRDefault="00036DF7" w:rsidP="00036DF7"/>
    <w:p w:rsidR="00036DF7" w:rsidRPr="00732A0A" w:rsidRDefault="00036DF7" w:rsidP="00036DF7">
      <w:pPr>
        <w:autoSpaceDE w:val="0"/>
        <w:autoSpaceDN w:val="0"/>
        <w:adjustRightInd w:val="0"/>
        <w:ind w:firstLine="720"/>
        <w:jc w:val="both"/>
        <w:rPr>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sidRPr="00B72D92">
        <w:rPr>
          <w:i/>
          <w:iCs/>
        </w:rPr>
        <w:t xml:space="preserve">State </w:t>
      </w:r>
      <w:r w:rsidRPr="00B72D92">
        <w:rPr>
          <w:i/>
          <w:iCs/>
        </w:rPr>
        <w:lastRenderedPageBreak/>
        <w:t>ex.</w:t>
      </w:r>
      <w:r>
        <w:rPr>
          <w:i/>
          <w:iCs/>
        </w:rPr>
        <w:t xml:space="preserve">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w:t>
      </w:r>
    </w:p>
    <w:p w:rsidR="00036DF7" w:rsidRDefault="00036DF7" w:rsidP="00036DF7"/>
    <w:p w:rsidR="00036DF7" w:rsidRPr="009A2EE5" w:rsidRDefault="00036DF7" w:rsidP="00036DF7">
      <w:pPr>
        <w:rPr>
          <w:u w:val="single"/>
        </w:rPr>
      </w:pPr>
      <w:r>
        <w:tab/>
      </w:r>
      <w:r>
        <w:rPr>
          <w:u w:val="single"/>
        </w:rPr>
        <w:t>Walmart’s Motion for Reconsideration</w:t>
      </w:r>
    </w:p>
    <w:p w:rsidR="00036DF7" w:rsidRDefault="00036DF7" w:rsidP="00036DF7"/>
    <w:p w:rsidR="00036DF7" w:rsidRDefault="00036DF7" w:rsidP="00036DF7">
      <w:pPr>
        <w:jc w:val="both"/>
      </w:pPr>
      <w:r>
        <w:tab/>
        <w:t>In its Motion for Reconsideration, Walmart argues that the Prehearing Officer overlooked the parties’ intent when interpreting TECO’s 2021 Settlement Agreement. Walmart contends that as a signatory to the 2021 Settlement Agreement, it is not precluded from participating in any proceedings and opposing the amount of TECO’s claimed storm costs.</w:t>
      </w:r>
      <w:r>
        <w:rPr>
          <w:rStyle w:val="FootnoteReference"/>
        </w:rPr>
        <w:footnoteReference w:id="4"/>
      </w:r>
      <w:r>
        <w:t xml:space="preserve"> The 2021 Settlement Agreement states:</w:t>
      </w:r>
    </w:p>
    <w:p w:rsidR="00036DF7" w:rsidRDefault="00036DF7" w:rsidP="00036DF7">
      <w:pPr>
        <w:jc w:val="both"/>
      </w:pPr>
    </w:p>
    <w:p w:rsidR="00036DF7" w:rsidRDefault="00036DF7" w:rsidP="00036DF7">
      <w:pPr>
        <w:ind w:left="720" w:right="720"/>
        <w:jc w:val="both"/>
      </w:pPr>
      <w:r>
        <w:t>The Parties to this 2021 Agreement are not precluded from participating in any such proceedings and opposing the amount of Tampa Electric’s claimed costs (for example, and without limitation, on grounds that such claimed costs were not reasonable or were not prudently incurred) or whether the proposed recovery is consistent with this Paragraph [], but not the mechanism agreed to herein.</w:t>
      </w:r>
    </w:p>
    <w:p w:rsidR="00036DF7" w:rsidRDefault="00036DF7" w:rsidP="00036DF7">
      <w:pPr>
        <w:jc w:val="both"/>
      </w:pPr>
    </w:p>
    <w:p w:rsidR="00036DF7" w:rsidRDefault="00036DF7" w:rsidP="00036DF7">
      <w:pPr>
        <w:jc w:val="both"/>
      </w:pPr>
      <w:r>
        <w:t>Specifically, Walmart interprets this language to allow Walmart to challenge the amount of TECO’s costs charged to demand-metered customers via energy charges. Walmart alleges that the Prehearing Officer made a mistake of fact or law in failing to ascertain the parties’ intent in interpreting ambiguous language from a contract. Moreover, Walmart highlights the fact that none of the signatories to the 2021 Settlement Agreement challenged Walmart’s ability to raise its proposed issue, which demonstrates that the proposed issue does not violate the terms of the agreement. Consequently, Walmart requests that we reconsider the striking of Contested Issue A.</w:t>
      </w:r>
      <w:r>
        <w:rPr>
          <w:rStyle w:val="FootnoteReference"/>
        </w:rPr>
        <w:footnoteReference w:id="5"/>
      </w:r>
    </w:p>
    <w:p w:rsidR="00036DF7" w:rsidRDefault="00036DF7" w:rsidP="00036DF7"/>
    <w:p w:rsidR="00036DF7" w:rsidRDefault="00036DF7" w:rsidP="00036DF7">
      <w:r>
        <w:tab/>
      </w:r>
      <w:r>
        <w:rPr>
          <w:u w:val="single"/>
        </w:rPr>
        <w:t>Analysis and Conclusion</w:t>
      </w:r>
    </w:p>
    <w:p w:rsidR="00036DF7" w:rsidRDefault="00036DF7" w:rsidP="00036DF7"/>
    <w:p w:rsidR="00036DF7" w:rsidRDefault="00036DF7" w:rsidP="00036DF7">
      <w:pPr>
        <w:jc w:val="both"/>
      </w:pPr>
      <w:r>
        <w:tab/>
        <w:t>We have</w:t>
      </w:r>
      <w:r>
        <w:rPr>
          <w:iCs/>
        </w:rPr>
        <w:t xml:space="preserve"> held that a mistake of fact or law standard applies to reconsideration by the Commission of a Prehearing Officer’s order.</w:t>
      </w:r>
      <w:r>
        <w:rPr>
          <w:rStyle w:val="FootnoteReference"/>
          <w:iCs/>
        </w:rPr>
        <w:footnoteReference w:id="6"/>
      </w:r>
      <w:r>
        <w:rPr>
          <w:iCs/>
        </w:rPr>
        <w:t xml:space="preserve"> </w:t>
      </w:r>
      <w:r>
        <w:t xml:space="preserve">The Prehearing Officer is the procedural </w:t>
      </w:r>
      <w:r>
        <w:lastRenderedPageBreak/>
        <w:t>administrator of a hearing-track case. They rule on motions and procedural matters and conduct prehearing conferences, prior to referral of such cases to the Commission for final decision. Pursuant to Rule 28-106.211, F.A.C., the Prehearing Officer may issue any orders necessary to effectuate discovery, to prevent delay, and to promote the just, speedy, and inexpensive determination of all aspects of the case.</w:t>
      </w:r>
    </w:p>
    <w:p w:rsidR="00036DF7" w:rsidRDefault="00036DF7" w:rsidP="00036DF7">
      <w:pPr>
        <w:jc w:val="both"/>
      </w:pPr>
    </w:p>
    <w:p w:rsidR="00036DF7" w:rsidRDefault="00036DF7" w:rsidP="00036DF7">
      <w:pPr>
        <w:jc w:val="both"/>
      </w:pPr>
      <w:r>
        <w:tab/>
        <w:t>At the Prehearing, staff recommended to strike Contested Issue A as it was settled and controlled by the 2021 Settlement Agreement. Walmart disagreed and noted that, in its interpretation, “the gist of the settlement agreement does allow the signatories of the settlement agreement to contest the charges.” The Prehearing Officer, having heard all argument, ruled against Walmart and struck Contested Issue A.</w:t>
      </w:r>
    </w:p>
    <w:p w:rsidR="00036DF7" w:rsidRDefault="00036DF7" w:rsidP="00036DF7">
      <w:pPr>
        <w:jc w:val="both"/>
      </w:pPr>
    </w:p>
    <w:p w:rsidR="00036DF7" w:rsidRDefault="00036DF7" w:rsidP="00036DF7">
      <w:pPr>
        <w:ind w:firstLine="720"/>
        <w:jc w:val="both"/>
      </w:pPr>
      <w:r>
        <w:t>In its Motion for Reconsideration, Walmart repeats the same arguments, noting that Walmart interprets the 2021 Settlement Agreement “to allow participation . . . to address the amount of TECO’s costs charged to demand-metered customers via energy charges.” This is fundamentally the same argument raised by Walmart and considered by the Prehearing Officer at the Prehearing Conference.</w:t>
      </w:r>
    </w:p>
    <w:p w:rsidR="00036DF7" w:rsidRDefault="00036DF7" w:rsidP="00036DF7">
      <w:pPr>
        <w:ind w:firstLine="720"/>
        <w:jc w:val="both"/>
      </w:pPr>
    </w:p>
    <w:p w:rsidR="00036DF7" w:rsidRDefault="00036DF7" w:rsidP="00036DF7">
      <w:pPr>
        <w:ind w:firstLine="720"/>
        <w:jc w:val="both"/>
      </w:pPr>
      <w:r>
        <w:t>Walmart also alleges that staff’s recommendation to strike Contested Issue A at the Prehearing Conference is untimely. Walmart contends that staff raised its objection to Walmart’s issue more than a year after Walmart filed comments in the docket file addressing its position on the topic of Issue A.</w:t>
      </w:r>
      <w:r>
        <w:rPr>
          <w:rStyle w:val="FootnoteReference"/>
        </w:rPr>
        <w:footnoteReference w:id="7"/>
      </w:r>
      <w:r>
        <w:t xml:space="preserve"> However, the Order Establishing Procedure</w:t>
      </w:r>
      <w:r>
        <w:rPr>
          <w:rStyle w:val="FootnoteReference"/>
        </w:rPr>
        <w:footnoteReference w:id="8"/>
      </w:r>
      <w:r>
        <w:t xml:space="preserve"> in this docket allows staff to take no position on pending issues, up to and even after the Prehearing Conference. Further, one of the purposes of the Prehearing Conference is for parties to contest the wording of issues, or to argue whether issues are even appropriate or relevant to the hearing. The timing of staff’s recommendation to strike Issue A is not a mistake of fact or law that the Prehearing Officer overlooked.</w:t>
      </w:r>
    </w:p>
    <w:p w:rsidR="00036DF7" w:rsidRDefault="00036DF7" w:rsidP="00036DF7"/>
    <w:p w:rsidR="00036DF7" w:rsidRDefault="00036DF7" w:rsidP="00036DF7">
      <w:pPr>
        <w:pStyle w:val="OrderBody"/>
      </w:pPr>
      <w:r>
        <w:tab/>
        <w:t>Because Walmart failed to demonstrate a mistake of fact or law made in the striking of its issue and associated testimony and exhibits, Walmart’s Motion for Reconsideration is denied.</w:t>
      </w:r>
    </w:p>
    <w:p w:rsidR="00036DF7" w:rsidRDefault="00036DF7" w:rsidP="00036DF7">
      <w:pPr>
        <w:pStyle w:val="OrderBody"/>
      </w:pPr>
    </w:p>
    <w:p w:rsidR="00036DF7" w:rsidRPr="009A2EE5" w:rsidRDefault="00036DF7" w:rsidP="00036DF7">
      <w:pPr>
        <w:pStyle w:val="ListParagraph"/>
        <w:numPr>
          <w:ilvl w:val="0"/>
          <w:numId w:val="1"/>
        </w:numPr>
        <w:rPr>
          <w:u w:val="single"/>
        </w:rPr>
      </w:pPr>
      <w:r w:rsidRPr="009A2EE5">
        <w:rPr>
          <w:u w:val="single"/>
        </w:rPr>
        <w:t>Approval of Stipulations</w:t>
      </w:r>
    </w:p>
    <w:p w:rsidR="00036DF7" w:rsidRDefault="00036DF7" w:rsidP="00036DF7">
      <w:pPr>
        <w:ind w:firstLine="720"/>
        <w:jc w:val="both"/>
      </w:pPr>
    </w:p>
    <w:p w:rsidR="00036DF7" w:rsidRDefault="00DF40C6" w:rsidP="00036DF7">
      <w:pPr>
        <w:pStyle w:val="OrderBody"/>
        <w:rPr>
          <w:bCs/>
        </w:rPr>
      </w:pPr>
      <w:r>
        <w:rPr>
          <w:bCs/>
        </w:rPr>
        <w:tab/>
      </w:r>
      <w:r w:rsidR="00036DF7">
        <w:rPr>
          <w:bCs/>
        </w:rPr>
        <w:t>The stipulations proposed by the parties are the result of negotiations between TECO, OPC, and Walmart and benefit TECO’s customers by establishing an ongoing, continuous storm restoration process improvement plan that results in current and future customers only paying for prudent, cost-effective storm restoration costs incurred due to extreme weather events. Therefore, we approve the following stipulations as being in the public interest and supported by the evidence entered at the hearing.</w:t>
      </w:r>
    </w:p>
    <w:p w:rsidR="00036DF7" w:rsidRDefault="00036DF7" w:rsidP="00036DF7">
      <w:pPr>
        <w:pStyle w:val="OrderBody"/>
        <w:rPr>
          <w:bCs/>
        </w:rPr>
      </w:pPr>
    </w:p>
    <w:p w:rsidR="00036DF7" w:rsidRPr="0086735B" w:rsidRDefault="00036DF7" w:rsidP="00036DF7">
      <w:pPr>
        <w:ind w:left="1440" w:hanging="1440"/>
        <w:jc w:val="both"/>
        <w:rPr>
          <w:bCs/>
        </w:rPr>
      </w:pPr>
      <w:r w:rsidRPr="00A16DBA">
        <w:rPr>
          <w:b/>
          <w:bCs/>
          <w:u w:val="single"/>
        </w:rPr>
        <w:lastRenderedPageBreak/>
        <w:t>ISSUE 1</w:t>
      </w:r>
      <w:r w:rsidRPr="00277234">
        <w:rPr>
          <w:b/>
          <w:bCs/>
        </w:rPr>
        <w:t>:</w:t>
      </w:r>
      <w:r w:rsidRPr="0086735B">
        <w:rPr>
          <w:bCs/>
        </w:rPr>
        <w:tab/>
        <w:t>Should the incremental cost and capitalization approach (ICCA) found in Rule 25-6.0143, F.A.C., be used to determine the reasonable and prudent amounts to be included in the restoration costs?</w:t>
      </w:r>
    </w:p>
    <w:p w:rsidR="00036DF7" w:rsidRPr="0086735B" w:rsidRDefault="00036DF7" w:rsidP="00036DF7">
      <w:pPr>
        <w:ind w:left="1440" w:hanging="1440"/>
        <w:jc w:val="both"/>
        <w:rPr>
          <w:bCs/>
        </w:rPr>
      </w:pPr>
    </w:p>
    <w:p w:rsidR="00036DF7" w:rsidRPr="00B828FE" w:rsidRDefault="00036DF7" w:rsidP="00036DF7">
      <w:pPr>
        <w:ind w:left="1440" w:hanging="1440"/>
        <w:jc w:val="both"/>
        <w:rPr>
          <w:bCs/>
        </w:rPr>
      </w:pPr>
      <w:r>
        <w:rPr>
          <w:b/>
          <w:bCs/>
        </w:rPr>
        <w:t>Type 1</w:t>
      </w:r>
      <w:r w:rsidRPr="0086735B">
        <w:rPr>
          <w:bCs/>
        </w:rPr>
        <w:t>:</w:t>
      </w:r>
      <w:r w:rsidRPr="0086735B">
        <w:rPr>
          <w:bCs/>
        </w:rPr>
        <w:tab/>
        <w:t xml:space="preserve">Yes. </w:t>
      </w:r>
      <w:r>
        <w:rPr>
          <w:bCs/>
        </w:rPr>
        <w:t>The</w:t>
      </w:r>
      <w:r w:rsidRPr="0086735B">
        <w:rPr>
          <w:bCs/>
        </w:rPr>
        <w:t xml:space="preserve"> </w:t>
      </w:r>
      <w:r>
        <w:rPr>
          <w:bCs/>
        </w:rPr>
        <w:t>Commission should find that the company complied with the rule.</w:t>
      </w:r>
    </w:p>
    <w:p w:rsidR="00036DF7" w:rsidRDefault="00036DF7" w:rsidP="00036DF7">
      <w:pPr>
        <w:rPr>
          <w:bCs/>
        </w:rPr>
      </w:pPr>
    </w:p>
    <w:p w:rsidR="00036DF7" w:rsidRPr="0086735B" w:rsidRDefault="00036DF7" w:rsidP="00036DF7">
      <w:pPr>
        <w:ind w:left="1440" w:hanging="1440"/>
        <w:jc w:val="both"/>
        <w:rPr>
          <w:bCs/>
        </w:rPr>
      </w:pPr>
      <w:r w:rsidRPr="00A16DBA">
        <w:rPr>
          <w:b/>
          <w:bCs/>
          <w:u w:val="single"/>
        </w:rPr>
        <w:t>ISSUE 2</w:t>
      </w:r>
      <w:r w:rsidRPr="00277234">
        <w:rPr>
          <w:b/>
          <w:bCs/>
        </w:rPr>
        <w:t>:</w:t>
      </w:r>
      <w:r w:rsidRPr="0086735B">
        <w:rPr>
          <w:bCs/>
        </w:rPr>
        <w:tab/>
        <w:t>Have the terms of TECO’s 2019 Stipulation and Settlement, approved by Order No. PSC-2019-0234-AS-EI, issued June 14, 2019, been complied with?  If not, why not?</w:t>
      </w:r>
    </w:p>
    <w:p w:rsidR="00036DF7" w:rsidRPr="0086735B" w:rsidRDefault="00036DF7" w:rsidP="00036DF7">
      <w:pPr>
        <w:rPr>
          <w:bCs/>
        </w:rPr>
      </w:pPr>
    </w:p>
    <w:p w:rsidR="00036DF7" w:rsidRDefault="00036DF7" w:rsidP="00036DF7">
      <w:pPr>
        <w:ind w:left="1440" w:hanging="1440"/>
        <w:jc w:val="both"/>
        <w:rPr>
          <w:bCs/>
        </w:rPr>
      </w:pPr>
      <w:r w:rsidRPr="00277234">
        <w:rPr>
          <w:b/>
          <w:bCs/>
        </w:rPr>
        <w:t>Type 1:</w:t>
      </w:r>
      <w:r>
        <w:rPr>
          <w:bCs/>
        </w:rPr>
        <w:tab/>
      </w:r>
      <w:r w:rsidRPr="0086735B">
        <w:rPr>
          <w:bCs/>
        </w:rPr>
        <w:t>Yes.</w:t>
      </w:r>
      <w:r>
        <w:rPr>
          <w:bCs/>
        </w:rPr>
        <w:t xml:space="preserve"> The Commission should find that the company complied with the 2019 Stipulation and Settlement.</w:t>
      </w:r>
    </w:p>
    <w:p w:rsidR="00036DF7" w:rsidRDefault="00036DF7" w:rsidP="00036DF7">
      <w:pPr>
        <w:rPr>
          <w:bCs/>
        </w:rPr>
      </w:pPr>
    </w:p>
    <w:p w:rsidR="00036DF7" w:rsidRPr="0086735B" w:rsidRDefault="00036DF7" w:rsidP="00036DF7">
      <w:pPr>
        <w:ind w:left="1440" w:hanging="1440"/>
        <w:jc w:val="both"/>
        <w:rPr>
          <w:bCs/>
        </w:rPr>
      </w:pPr>
      <w:r w:rsidRPr="00A16DBA">
        <w:rPr>
          <w:b/>
          <w:bCs/>
          <w:u w:val="single"/>
        </w:rPr>
        <w:t>ISSUE 3</w:t>
      </w:r>
      <w:r w:rsidRPr="00277234">
        <w:rPr>
          <w:b/>
          <w:bCs/>
        </w:rPr>
        <w:t>:</w:t>
      </w:r>
      <w:r w:rsidRPr="0086735B">
        <w:rPr>
          <w:bCs/>
        </w:rPr>
        <w:tab/>
        <w:t>What is the reasonable and prudent amount of regular payroll expense to be included in the restoration costs?</w:t>
      </w:r>
    </w:p>
    <w:p w:rsidR="00036DF7" w:rsidRPr="0086735B" w:rsidRDefault="00036DF7" w:rsidP="00036DF7">
      <w:pPr>
        <w:rPr>
          <w:bCs/>
        </w:rPr>
      </w:pPr>
    </w:p>
    <w:p w:rsidR="00036DF7" w:rsidRDefault="00036DF7" w:rsidP="00036DF7">
      <w:pPr>
        <w:ind w:left="1440" w:hanging="1440"/>
        <w:jc w:val="both"/>
        <w:rPr>
          <w:bCs/>
        </w:rPr>
      </w:pPr>
      <w:r w:rsidRPr="00277234">
        <w:rPr>
          <w:b/>
          <w:bCs/>
        </w:rPr>
        <w:t>Type 1:</w:t>
      </w:r>
      <w:r>
        <w:rPr>
          <w:bCs/>
        </w:rPr>
        <w:tab/>
        <w:t>The Commission should approve $3,281,788.00 as the reasonable and prudent amount of regular payroll expense to be included in the restoration costs.</w:t>
      </w:r>
    </w:p>
    <w:p w:rsidR="00036DF7" w:rsidRDefault="00036DF7" w:rsidP="00036DF7">
      <w:pPr>
        <w:ind w:left="1440" w:hanging="1440"/>
        <w:rPr>
          <w:bCs/>
        </w:rPr>
      </w:pPr>
    </w:p>
    <w:p w:rsidR="00036DF7" w:rsidRPr="00A7743B" w:rsidRDefault="00036DF7" w:rsidP="00036DF7">
      <w:pPr>
        <w:ind w:left="1440" w:hanging="1440"/>
        <w:jc w:val="both"/>
        <w:rPr>
          <w:bCs/>
        </w:rPr>
      </w:pPr>
      <w:r w:rsidRPr="00A16DBA">
        <w:rPr>
          <w:b/>
          <w:bCs/>
          <w:u w:val="single"/>
        </w:rPr>
        <w:t>ISSUE 4</w:t>
      </w:r>
      <w:r w:rsidRPr="00277234">
        <w:rPr>
          <w:b/>
          <w:bCs/>
        </w:rPr>
        <w:t>:</w:t>
      </w:r>
      <w:r>
        <w:rPr>
          <w:bCs/>
        </w:rPr>
        <w:tab/>
      </w:r>
      <w:r w:rsidRPr="00A7743B">
        <w:rPr>
          <w:bCs/>
        </w:rPr>
        <w:t>What is the reasonable and prudent amount of overtime payroll expense to be included in the restoration costs?</w:t>
      </w:r>
    </w:p>
    <w:p w:rsidR="00036DF7" w:rsidRPr="00277234" w:rsidRDefault="00036DF7" w:rsidP="00036DF7">
      <w:pPr>
        <w:ind w:left="1440" w:hanging="1440"/>
        <w:rPr>
          <w:b/>
          <w:bCs/>
        </w:rPr>
      </w:pPr>
    </w:p>
    <w:p w:rsidR="00036DF7" w:rsidRDefault="00036DF7" w:rsidP="00036DF7">
      <w:pPr>
        <w:ind w:left="1440" w:hanging="1440"/>
        <w:jc w:val="both"/>
        <w:rPr>
          <w:bCs/>
        </w:rPr>
      </w:pPr>
      <w:r w:rsidRPr="00277234">
        <w:rPr>
          <w:b/>
          <w:bCs/>
        </w:rPr>
        <w:t>Type 1:</w:t>
      </w:r>
      <w:r w:rsidRPr="00A7743B">
        <w:rPr>
          <w:bCs/>
        </w:rPr>
        <w:tab/>
      </w:r>
      <w:r>
        <w:rPr>
          <w:bCs/>
        </w:rPr>
        <w:t>The Commission should approve $6,832,831.08 as the reasonable and prudent amount of overtime payroll expense to be included in the restoration costs.</w:t>
      </w:r>
    </w:p>
    <w:p w:rsidR="00036DF7" w:rsidRDefault="00036DF7" w:rsidP="00036DF7">
      <w:pPr>
        <w:ind w:left="1440" w:hanging="1440"/>
        <w:rPr>
          <w:bCs/>
        </w:rPr>
      </w:pPr>
    </w:p>
    <w:p w:rsidR="00036DF7" w:rsidRPr="00CC578F" w:rsidRDefault="00036DF7" w:rsidP="00036DF7">
      <w:pPr>
        <w:ind w:left="1440" w:hanging="1440"/>
        <w:jc w:val="both"/>
        <w:rPr>
          <w:bCs/>
        </w:rPr>
      </w:pPr>
      <w:r w:rsidRPr="00A16DBA">
        <w:rPr>
          <w:b/>
          <w:bCs/>
          <w:u w:val="single"/>
        </w:rPr>
        <w:t>ISSUE 5</w:t>
      </w:r>
      <w:r w:rsidRPr="00277234">
        <w:rPr>
          <w:b/>
          <w:bCs/>
        </w:rPr>
        <w:t>:</w:t>
      </w:r>
      <w:r w:rsidRPr="00CC578F">
        <w:rPr>
          <w:bCs/>
        </w:rPr>
        <w:tab/>
        <w:t>What is the reasonable and prudent amount of contractor costs to be included in the restoration costs?</w:t>
      </w:r>
    </w:p>
    <w:p w:rsidR="00036DF7" w:rsidRPr="00CC578F" w:rsidRDefault="00036DF7" w:rsidP="00036DF7">
      <w:pPr>
        <w:ind w:left="1440" w:hanging="1440"/>
        <w:rPr>
          <w:bCs/>
        </w:rPr>
      </w:pPr>
    </w:p>
    <w:p w:rsidR="00036DF7" w:rsidRDefault="00036DF7" w:rsidP="00036DF7">
      <w:pPr>
        <w:ind w:left="1440" w:hanging="1440"/>
        <w:jc w:val="both"/>
        <w:rPr>
          <w:bCs/>
        </w:rPr>
      </w:pPr>
      <w:r w:rsidRPr="00277234">
        <w:rPr>
          <w:b/>
          <w:bCs/>
        </w:rPr>
        <w:t>Type 1:</w:t>
      </w:r>
      <w:r w:rsidRPr="00CC578F">
        <w:rPr>
          <w:bCs/>
        </w:rPr>
        <w:tab/>
      </w:r>
      <w:r>
        <w:rPr>
          <w:bCs/>
        </w:rPr>
        <w:t>The Commission should approve $90,569,291.92 as the reasonable and prudent amount of contractor costs to be included in the restoration costs. This amount is slightly lower than the previously reported amount of $90,852,788.61 because a few final invoices came in slightly lower than the accrued expense amounts.</w:t>
      </w:r>
    </w:p>
    <w:p w:rsidR="00036DF7" w:rsidRDefault="00036DF7" w:rsidP="00036DF7">
      <w:pPr>
        <w:ind w:left="1440" w:hanging="1440"/>
        <w:rPr>
          <w:bCs/>
        </w:rPr>
      </w:pPr>
    </w:p>
    <w:p w:rsidR="00036DF7" w:rsidRPr="00CC578F" w:rsidRDefault="00036DF7" w:rsidP="00036DF7">
      <w:pPr>
        <w:ind w:left="1440" w:hanging="1440"/>
        <w:jc w:val="both"/>
        <w:rPr>
          <w:bCs/>
        </w:rPr>
      </w:pPr>
      <w:r w:rsidRPr="00A16DBA">
        <w:rPr>
          <w:b/>
          <w:bCs/>
          <w:u w:val="single"/>
        </w:rPr>
        <w:t>ISSUE 6</w:t>
      </w:r>
      <w:r w:rsidRPr="00277234">
        <w:rPr>
          <w:b/>
          <w:bCs/>
        </w:rPr>
        <w:t>:</w:t>
      </w:r>
      <w:r w:rsidRPr="00CC578F">
        <w:rPr>
          <w:bCs/>
        </w:rPr>
        <w:tab/>
        <w:t>What is the reasonable and prudent amount of vegetation and line clearing costs to be included in the restoration costs?</w:t>
      </w:r>
    </w:p>
    <w:p w:rsidR="00036DF7" w:rsidRPr="00CC578F" w:rsidRDefault="00036DF7" w:rsidP="00036DF7">
      <w:pPr>
        <w:ind w:left="1440" w:hanging="1440"/>
        <w:rPr>
          <w:bCs/>
        </w:rPr>
      </w:pPr>
    </w:p>
    <w:p w:rsidR="00036DF7" w:rsidRDefault="00036DF7" w:rsidP="00036DF7">
      <w:pPr>
        <w:ind w:left="1440" w:hanging="1440"/>
        <w:jc w:val="both"/>
        <w:rPr>
          <w:bCs/>
        </w:rPr>
      </w:pPr>
      <w:r w:rsidRPr="00277234">
        <w:rPr>
          <w:b/>
          <w:bCs/>
        </w:rPr>
        <w:t>Type 1:</w:t>
      </w:r>
      <w:r w:rsidRPr="00CC578F">
        <w:rPr>
          <w:bCs/>
        </w:rPr>
        <w:tab/>
      </w:r>
      <w:r>
        <w:rPr>
          <w:bCs/>
        </w:rPr>
        <w:t>The Commission should approve $10,884,426.12 as the reasonable and prudent amount of vegetation and line clearing costs to be included in the restoration costs.</w:t>
      </w:r>
    </w:p>
    <w:p w:rsidR="00036DF7" w:rsidRDefault="00036DF7" w:rsidP="00036DF7">
      <w:pPr>
        <w:ind w:left="1440" w:hanging="1440"/>
        <w:rPr>
          <w:bCs/>
        </w:rPr>
      </w:pPr>
    </w:p>
    <w:p w:rsidR="00036DF7" w:rsidRPr="00CC578F" w:rsidRDefault="00036DF7" w:rsidP="00036DF7">
      <w:pPr>
        <w:ind w:left="1440" w:hanging="1440"/>
        <w:jc w:val="both"/>
        <w:rPr>
          <w:bCs/>
        </w:rPr>
      </w:pPr>
      <w:r w:rsidRPr="00A16DBA">
        <w:rPr>
          <w:b/>
          <w:bCs/>
          <w:u w:val="single"/>
        </w:rPr>
        <w:t>ISSUE 7</w:t>
      </w:r>
      <w:r w:rsidRPr="00277234">
        <w:rPr>
          <w:b/>
          <w:bCs/>
        </w:rPr>
        <w:t>:</w:t>
      </w:r>
      <w:r w:rsidRPr="00CC578F">
        <w:rPr>
          <w:bCs/>
        </w:rPr>
        <w:tab/>
        <w:t>What is the reasonable and prudent amount of employee expenses to be included in the restoration costs?</w:t>
      </w:r>
    </w:p>
    <w:p w:rsidR="00036DF7" w:rsidRPr="00CC578F" w:rsidRDefault="00036DF7" w:rsidP="00036DF7">
      <w:pPr>
        <w:ind w:left="1440" w:hanging="1440"/>
        <w:rPr>
          <w:bCs/>
        </w:rPr>
      </w:pPr>
    </w:p>
    <w:p w:rsidR="00036DF7" w:rsidRDefault="00036DF7" w:rsidP="00036DF7">
      <w:pPr>
        <w:ind w:left="1440" w:hanging="1440"/>
        <w:jc w:val="both"/>
        <w:rPr>
          <w:bCs/>
        </w:rPr>
      </w:pPr>
      <w:r>
        <w:rPr>
          <w:b/>
          <w:bCs/>
        </w:rPr>
        <w:t>Type 1:</w:t>
      </w:r>
      <w:r>
        <w:rPr>
          <w:bCs/>
        </w:rPr>
        <w:tab/>
        <w:t>Zero. Tampa Electric did not request recovery of Tampa Electric employee expenses.</w:t>
      </w:r>
    </w:p>
    <w:p w:rsidR="00036DF7" w:rsidRDefault="00036DF7" w:rsidP="00036DF7">
      <w:pPr>
        <w:ind w:left="1440" w:hanging="1440"/>
        <w:rPr>
          <w:bCs/>
        </w:rPr>
      </w:pPr>
    </w:p>
    <w:p w:rsidR="00036DF7" w:rsidRPr="00CC578F" w:rsidRDefault="00036DF7" w:rsidP="00036DF7">
      <w:pPr>
        <w:ind w:left="1440" w:hanging="1440"/>
        <w:jc w:val="both"/>
        <w:rPr>
          <w:bCs/>
        </w:rPr>
      </w:pPr>
      <w:r w:rsidRPr="00A16DBA">
        <w:rPr>
          <w:b/>
          <w:bCs/>
          <w:u w:val="single"/>
        </w:rPr>
        <w:t>ISSUE 8</w:t>
      </w:r>
      <w:r w:rsidRPr="00277234">
        <w:rPr>
          <w:b/>
          <w:bCs/>
        </w:rPr>
        <w:t>:</w:t>
      </w:r>
      <w:r w:rsidRPr="00CC578F">
        <w:rPr>
          <w:bCs/>
        </w:rPr>
        <w:tab/>
        <w:t>What is the reasonable and prudent amount of materials and supplies expense to be included in the restoration costs?</w:t>
      </w:r>
    </w:p>
    <w:p w:rsidR="00036DF7" w:rsidRPr="00277234" w:rsidRDefault="00036DF7" w:rsidP="00036DF7">
      <w:pPr>
        <w:ind w:left="1440" w:hanging="1440"/>
        <w:rPr>
          <w:b/>
          <w:bCs/>
        </w:rPr>
      </w:pPr>
    </w:p>
    <w:p w:rsidR="00036DF7" w:rsidRDefault="00036DF7" w:rsidP="00036DF7">
      <w:pPr>
        <w:ind w:left="1440" w:hanging="1440"/>
        <w:jc w:val="both"/>
        <w:rPr>
          <w:bCs/>
        </w:rPr>
      </w:pPr>
      <w:r w:rsidRPr="00277234">
        <w:rPr>
          <w:b/>
          <w:bCs/>
        </w:rPr>
        <w:t>Type 1:</w:t>
      </w:r>
      <w:r w:rsidRPr="00CC578F">
        <w:rPr>
          <w:bCs/>
        </w:rPr>
        <w:tab/>
      </w:r>
      <w:r>
        <w:rPr>
          <w:bCs/>
        </w:rPr>
        <w:t>Zero. Tampa Electric did not request recovery of materials and supplies expenses.</w:t>
      </w:r>
    </w:p>
    <w:p w:rsidR="00036DF7" w:rsidRPr="00277234" w:rsidRDefault="00036DF7" w:rsidP="00036DF7">
      <w:pPr>
        <w:ind w:left="1440" w:hanging="1440"/>
        <w:rPr>
          <w:b/>
          <w:bCs/>
        </w:rPr>
      </w:pPr>
    </w:p>
    <w:p w:rsidR="00036DF7" w:rsidRPr="00186433" w:rsidRDefault="00036DF7" w:rsidP="00036DF7">
      <w:pPr>
        <w:ind w:left="1440" w:hanging="1440"/>
        <w:jc w:val="both"/>
        <w:rPr>
          <w:bCs/>
        </w:rPr>
      </w:pPr>
      <w:r w:rsidRPr="00A16DBA">
        <w:rPr>
          <w:b/>
          <w:bCs/>
          <w:u w:val="single"/>
        </w:rPr>
        <w:t>ISSUE 9</w:t>
      </w:r>
      <w:r w:rsidRPr="00277234">
        <w:rPr>
          <w:b/>
          <w:bCs/>
        </w:rPr>
        <w:t>:</w:t>
      </w:r>
      <w:r w:rsidRPr="00186433">
        <w:rPr>
          <w:bCs/>
        </w:rPr>
        <w:tab/>
        <w:t>What is the reasonable and prudent amount of logistics costs to be included in the restoration costs?</w:t>
      </w:r>
    </w:p>
    <w:p w:rsidR="00036DF7" w:rsidRPr="00186433" w:rsidRDefault="00036DF7" w:rsidP="00036DF7">
      <w:pPr>
        <w:ind w:left="1440" w:hanging="1440"/>
        <w:rPr>
          <w:bCs/>
        </w:rPr>
      </w:pPr>
    </w:p>
    <w:p w:rsidR="00036DF7" w:rsidRDefault="00036DF7" w:rsidP="00036DF7">
      <w:pPr>
        <w:ind w:left="1440" w:hanging="1440"/>
        <w:jc w:val="both"/>
        <w:rPr>
          <w:bCs/>
        </w:rPr>
      </w:pPr>
      <w:r w:rsidRPr="00277234">
        <w:rPr>
          <w:b/>
          <w:bCs/>
        </w:rPr>
        <w:t>Type 1:</w:t>
      </w:r>
      <w:r w:rsidRPr="00186433">
        <w:rPr>
          <w:bCs/>
        </w:rPr>
        <w:tab/>
      </w:r>
      <w:r>
        <w:rPr>
          <w:bCs/>
        </w:rPr>
        <w:t>The Commission should approve $18,893,127.42 as the reasonable and prudent amount of logistics costs to be included in the restoration costs. There are additional costs related to interest income, examination costs, and ARCOS (GPS tracking technology) implementation costs totaling $3,592,865.25; $381,000; and $397,518.04 respectively.</w:t>
      </w:r>
    </w:p>
    <w:p w:rsidR="00036DF7" w:rsidRDefault="00036DF7" w:rsidP="00036DF7">
      <w:pPr>
        <w:ind w:left="1440" w:hanging="1440"/>
        <w:rPr>
          <w:bCs/>
        </w:rPr>
      </w:pPr>
    </w:p>
    <w:p w:rsidR="00036DF7" w:rsidRPr="00186433" w:rsidRDefault="00036DF7" w:rsidP="00036DF7">
      <w:pPr>
        <w:ind w:left="1440" w:hanging="1440"/>
        <w:jc w:val="both"/>
        <w:rPr>
          <w:bCs/>
        </w:rPr>
      </w:pPr>
      <w:r w:rsidRPr="00A16DBA">
        <w:rPr>
          <w:b/>
          <w:bCs/>
          <w:u w:val="single"/>
        </w:rPr>
        <w:t>ISSUE 10</w:t>
      </w:r>
      <w:r w:rsidRPr="00277234">
        <w:rPr>
          <w:b/>
          <w:bCs/>
        </w:rPr>
        <w:t>:</w:t>
      </w:r>
      <w:r w:rsidRPr="00186433">
        <w:rPr>
          <w:bCs/>
        </w:rPr>
        <w:tab/>
        <w:t>What is the reasonable and prudent total amount of costs to be included in the restoration costs?</w:t>
      </w:r>
    </w:p>
    <w:p w:rsidR="00036DF7" w:rsidRPr="00186433" w:rsidRDefault="00036DF7" w:rsidP="00036DF7">
      <w:pPr>
        <w:ind w:left="1440" w:hanging="1440"/>
        <w:rPr>
          <w:bCs/>
        </w:rPr>
      </w:pPr>
    </w:p>
    <w:p w:rsidR="00036DF7" w:rsidRDefault="00036DF7" w:rsidP="00036DF7">
      <w:pPr>
        <w:ind w:left="1440" w:hanging="1440"/>
        <w:jc w:val="both"/>
        <w:rPr>
          <w:bCs/>
        </w:rPr>
      </w:pPr>
      <w:r w:rsidRPr="00277234">
        <w:rPr>
          <w:b/>
          <w:bCs/>
        </w:rPr>
        <w:t>Type 1:</w:t>
      </w:r>
      <w:r>
        <w:rPr>
          <w:bCs/>
        </w:rPr>
        <w:tab/>
        <w:t>The Commission should approve $134,832,847.83 as the reasonable and prudent total amount of costs to be included in the restoration costs. This is $266,249.88 lower than the total presented in witness Latta’s testimony of $135,099,097.71. This change is because of final invoice payments and adjustments to accrued interest income based on the current month’s Commercial Paper interest rate. As of March 31, 2024, all invoices relevant to this docket have been processed.</w:t>
      </w:r>
    </w:p>
    <w:p w:rsidR="00036DF7" w:rsidRDefault="00036DF7" w:rsidP="00036DF7">
      <w:pPr>
        <w:ind w:left="1440" w:hanging="1440"/>
        <w:rPr>
          <w:bCs/>
        </w:rPr>
      </w:pPr>
    </w:p>
    <w:p w:rsidR="00036DF7" w:rsidRPr="00186433" w:rsidRDefault="00036DF7" w:rsidP="00036DF7">
      <w:pPr>
        <w:ind w:left="1440" w:hanging="1440"/>
        <w:jc w:val="both"/>
        <w:rPr>
          <w:bCs/>
        </w:rPr>
      </w:pPr>
      <w:r w:rsidRPr="00A16DBA">
        <w:rPr>
          <w:b/>
          <w:bCs/>
          <w:u w:val="single"/>
        </w:rPr>
        <w:t>ISSUE 11</w:t>
      </w:r>
      <w:r w:rsidRPr="00277234">
        <w:rPr>
          <w:b/>
          <w:bCs/>
        </w:rPr>
        <w:t>:</w:t>
      </w:r>
      <w:r w:rsidRPr="00186433">
        <w:rPr>
          <w:bCs/>
        </w:rPr>
        <w:tab/>
        <w:t>What is the reasonable and prudent amount of storm-related costs that should be capitalized?</w:t>
      </w:r>
    </w:p>
    <w:p w:rsidR="00036DF7" w:rsidRPr="00186433" w:rsidRDefault="00036DF7" w:rsidP="00036DF7">
      <w:pPr>
        <w:ind w:left="1440" w:hanging="1440"/>
        <w:rPr>
          <w:bCs/>
        </w:rPr>
      </w:pPr>
    </w:p>
    <w:p w:rsidR="00036DF7" w:rsidRDefault="00036DF7" w:rsidP="00036DF7">
      <w:pPr>
        <w:ind w:left="1440" w:hanging="1440"/>
        <w:jc w:val="both"/>
        <w:rPr>
          <w:bCs/>
        </w:rPr>
      </w:pPr>
      <w:r w:rsidRPr="00277234">
        <w:rPr>
          <w:b/>
          <w:bCs/>
        </w:rPr>
        <w:t>Type 1:</w:t>
      </w:r>
      <w:r w:rsidRPr="00186433">
        <w:rPr>
          <w:bCs/>
        </w:rPr>
        <w:tab/>
      </w:r>
      <w:r>
        <w:rPr>
          <w:bCs/>
        </w:rPr>
        <w:t>The Commission should approve $4,799.217.43 as the reasonable an prudent amount of storm-related costs that should be capitalized.</w:t>
      </w:r>
    </w:p>
    <w:p w:rsidR="00036DF7" w:rsidRDefault="00036DF7" w:rsidP="00036DF7">
      <w:pPr>
        <w:rPr>
          <w:bCs/>
        </w:rPr>
      </w:pPr>
    </w:p>
    <w:p w:rsidR="00036DF7" w:rsidRPr="00186433" w:rsidRDefault="00036DF7" w:rsidP="00036DF7">
      <w:pPr>
        <w:ind w:left="1440" w:hanging="1440"/>
        <w:jc w:val="both"/>
        <w:rPr>
          <w:bCs/>
        </w:rPr>
      </w:pPr>
      <w:r w:rsidRPr="00A16DBA">
        <w:rPr>
          <w:b/>
          <w:bCs/>
          <w:u w:val="single"/>
        </w:rPr>
        <w:t>ISSUE 12</w:t>
      </w:r>
      <w:r w:rsidRPr="00277234">
        <w:rPr>
          <w:b/>
          <w:bCs/>
        </w:rPr>
        <w:t>:</w:t>
      </w:r>
      <w:r w:rsidRPr="00186433">
        <w:rPr>
          <w:bCs/>
        </w:rPr>
        <w:tab/>
        <w:t>What is the appropriate accounting treatment associated with any storm costs found to have been imprudently incurred?</w:t>
      </w:r>
    </w:p>
    <w:p w:rsidR="00036DF7" w:rsidRPr="00186433" w:rsidRDefault="00036DF7" w:rsidP="00036DF7">
      <w:pPr>
        <w:ind w:left="1440" w:hanging="1440"/>
        <w:rPr>
          <w:bCs/>
        </w:rPr>
      </w:pPr>
    </w:p>
    <w:p w:rsidR="00036DF7" w:rsidRDefault="00036DF7" w:rsidP="00036DF7">
      <w:pPr>
        <w:ind w:left="1440" w:hanging="1440"/>
        <w:jc w:val="both"/>
        <w:rPr>
          <w:bCs/>
        </w:rPr>
      </w:pPr>
      <w:r w:rsidRPr="00277234">
        <w:rPr>
          <w:b/>
          <w:bCs/>
        </w:rPr>
        <w:t>Type 1:</w:t>
      </w:r>
      <w:r w:rsidRPr="00186433">
        <w:rPr>
          <w:bCs/>
        </w:rPr>
        <w:tab/>
        <w:t xml:space="preserve">The accounting treatment for any storm costs found to be imprudently incurred, and initially posted to the storm reserve, is to remove the charge from the reserve and post the charge to the company’s applicable O&amp;M account, or capital as identified; however, the current total restoration cost presented in this docket does not contain any imprudently incurred costs. </w:t>
      </w:r>
    </w:p>
    <w:p w:rsidR="00036DF7" w:rsidRPr="00277234" w:rsidRDefault="00036DF7" w:rsidP="00036DF7">
      <w:pPr>
        <w:ind w:left="1440" w:hanging="1440"/>
        <w:rPr>
          <w:b/>
          <w:bCs/>
        </w:rPr>
      </w:pPr>
    </w:p>
    <w:p w:rsidR="00036DF7" w:rsidRPr="00186433" w:rsidRDefault="00036DF7" w:rsidP="00036DF7">
      <w:pPr>
        <w:ind w:left="1440" w:hanging="1440"/>
        <w:jc w:val="both"/>
        <w:rPr>
          <w:bCs/>
        </w:rPr>
      </w:pPr>
      <w:r w:rsidRPr="00A16DBA">
        <w:rPr>
          <w:b/>
          <w:bCs/>
          <w:u w:val="single"/>
        </w:rPr>
        <w:t>ISSUE 13</w:t>
      </w:r>
      <w:r w:rsidRPr="00277234">
        <w:rPr>
          <w:b/>
          <w:bCs/>
        </w:rPr>
        <w:t>:</w:t>
      </w:r>
      <w:r w:rsidRPr="00186433">
        <w:rPr>
          <w:bCs/>
        </w:rPr>
        <w:tab/>
        <w:t>If applicable, how should any under-recovery or over-recovery be handled?</w:t>
      </w:r>
    </w:p>
    <w:p w:rsidR="00036DF7" w:rsidRPr="00186433" w:rsidRDefault="00036DF7" w:rsidP="00036DF7">
      <w:pPr>
        <w:ind w:left="1440" w:hanging="1440"/>
        <w:rPr>
          <w:bCs/>
        </w:rPr>
      </w:pPr>
    </w:p>
    <w:p w:rsidR="00036DF7" w:rsidRDefault="00036DF7" w:rsidP="00036DF7">
      <w:pPr>
        <w:ind w:left="1440" w:hanging="1440"/>
        <w:jc w:val="both"/>
        <w:rPr>
          <w:bCs/>
        </w:rPr>
      </w:pPr>
      <w:r w:rsidRPr="00277234">
        <w:rPr>
          <w:b/>
          <w:bCs/>
        </w:rPr>
        <w:t>Type 2:</w:t>
      </w:r>
      <w:r w:rsidRPr="00186433">
        <w:rPr>
          <w:bCs/>
        </w:rPr>
        <w:tab/>
        <w:t xml:space="preserve">Any under-recovery will be recovered through an adjustment to the energy conservation cost recovery clause. </w:t>
      </w:r>
      <w:r>
        <w:rPr>
          <w:bCs/>
        </w:rPr>
        <w:t xml:space="preserve">Any over-recovery will be refunded through a </w:t>
      </w:r>
      <w:r>
        <w:rPr>
          <w:bCs/>
        </w:rPr>
        <w:lastRenderedPageBreak/>
        <w:t>clause billed on an energy basis, such as the fuel clause or the environmental clause.</w:t>
      </w:r>
    </w:p>
    <w:p w:rsidR="00036DF7" w:rsidRPr="00A16DBA" w:rsidRDefault="00036DF7" w:rsidP="00036DF7">
      <w:pPr>
        <w:ind w:left="1440" w:hanging="1440"/>
        <w:rPr>
          <w:bCs/>
          <w:u w:val="single"/>
        </w:rPr>
      </w:pPr>
    </w:p>
    <w:p w:rsidR="00036DF7" w:rsidRPr="00C1654A" w:rsidRDefault="00036DF7" w:rsidP="00036DF7">
      <w:pPr>
        <w:ind w:left="1440" w:hanging="1440"/>
        <w:jc w:val="both"/>
      </w:pPr>
      <w:r w:rsidRPr="00A16DBA">
        <w:rPr>
          <w:b/>
          <w:bCs/>
          <w:u w:val="single"/>
        </w:rPr>
        <w:t>ISSUE B</w:t>
      </w:r>
      <w:r w:rsidRPr="00B828FE">
        <w:rPr>
          <w:b/>
          <w:bCs/>
        </w:rPr>
        <w:t>:</w:t>
      </w:r>
      <w:r w:rsidRPr="00B828FE">
        <w:tab/>
      </w:r>
      <w:r w:rsidRPr="00C1654A">
        <w:t>What additional storm restoration process improvements should Tampa Electric follow in future storms?</w:t>
      </w:r>
    </w:p>
    <w:p w:rsidR="00036DF7" w:rsidRPr="00B828FE" w:rsidRDefault="00036DF7" w:rsidP="00036DF7">
      <w:pPr>
        <w:jc w:val="both"/>
      </w:pPr>
    </w:p>
    <w:p w:rsidR="00036DF7" w:rsidRPr="00B828FE" w:rsidRDefault="00036DF7" w:rsidP="00036DF7">
      <w:pPr>
        <w:ind w:left="1440" w:hanging="1440"/>
        <w:jc w:val="both"/>
      </w:pPr>
      <w:r>
        <w:rPr>
          <w:b/>
          <w:bCs/>
        </w:rPr>
        <w:t>Type 2</w:t>
      </w:r>
      <w:r w:rsidRPr="00B828FE">
        <w:rPr>
          <w:b/>
          <w:bCs/>
        </w:rPr>
        <w:t>:</w:t>
      </w:r>
      <w:r w:rsidRPr="00B828FE">
        <w:tab/>
      </w:r>
      <w:r w:rsidRPr="00017BF5">
        <w:t xml:space="preserve">In addition to the process improvements in Tampa Electric’s 2019 Storm Cost Settlement Agreement, Tampa Electric also agrees to follow the additional process improvements described in Attachment A to this </w:t>
      </w:r>
      <w:r>
        <w:t>Order</w:t>
      </w:r>
      <w:r w:rsidRPr="00017BF5">
        <w:t xml:space="preserve">. </w:t>
      </w:r>
    </w:p>
    <w:p w:rsidR="00036DF7" w:rsidRPr="00277234" w:rsidRDefault="00036DF7" w:rsidP="00036DF7">
      <w:pPr>
        <w:rPr>
          <w:b/>
          <w:bCs/>
        </w:rPr>
      </w:pPr>
    </w:p>
    <w:p w:rsidR="00036DF7" w:rsidRPr="00186433" w:rsidRDefault="00036DF7" w:rsidP="00036DF7">
      <w:pPr>
        <w:ind w:left="1440" w:hanging="1440"/>
        <w:jc w:val="both"/>
        <w:rPr>
          <w:bCs/>
        </w:rPr>
      </w:pPr>
      <w:r w:rsidRPr="00A16DBA">
        <w:rPr>
          <w:b/>
          <w:bCs/>
          <w:u w:val="single"/>
        </w:rPr>
        <w:t>ISSUE 14</w:t>
      </w:r>
      <w:r w:rsidRPr="00277234">
        <w:rPr>
          <w:b/>
          <w:bCs/>
        </w:rPr>
        <w:t>:</w:t>
      </w:r>
      <w:r w:rsidRPr="00186433">
        <w:rPr>
          <w:bCs/>
        </w:rPr>
        <w:tab/>
        <w:t>Should this docket be closed?</w:t>
      </w:r>
    </w:p>
    <w:p w:rsidR="00036DF7" w:rsidRPr="00186433" w:rsidRDefault="00036DF7" w:rsidP="00036DF7">
      <w:pPr>
        <w:ind w:left="1440" w:hanging="1440"/>
        <w:rPr>
          <w:bCs/>
        </w:rPr>
      </w:pPr>
    </w:p>
    <w:p w:rsidR="00036DF7" w:rsidRDefault="00036DF7" w:rsidP="00036DF7">
      <w:pPr>
        <w:pStyle w:val="OrderBody"/>
        <w:ind w:left="1440" w:hanging="1440"/>
      </w:pPr>
      <w:r w:rsidRPr="00277234">
        <w:rPr>
          <w:b/>
          <w:bCs/>
        </w:rPr>
        <w:t>Type 1:</w:t>
      </w:r>
      <w:r w:rsidRPr="00186433">
        <w:rPr>
          <w:bCs/>
        </w:rPr>
        <w:tab/>
        <w:t>No. This docket should remain open so the company can file supplemental testimony comparing the final recoverable storm costs approved by the Commission with the actual revenues from the Interim Storm Restoration Charge and calculating the resulting excess or shortfall, so that the true-up amount can be recovered from or credited to the energy conservation cost recovery clause or disposed of in some other manner as approved by the Commission.</w:t>
      </w:r>
    </w:p>
    <w:p w:rsidR="00036DF7" w:rsidRDefault="00036DF7"/>
    <w:p w:rsidR="00036DF7" w:rsidRDefault="00036DF7"/>
    <w:p w:rsidR="00036DF7" w:rsidRDefault="00036DF7" w:rsidP="00036DF7">
      <w:pPr>
        <w:pStyle w:val="OrderBody"/>
      </w:pPr>
      <w:r>
        <w:tab/>
        <w:t>Based on the foregoing, it is</w:t>
      </w:r>
    </w:p>
    <w:p w:rsidR="00036DF7" w:rsidRDefault="00036DF7" w:rsidP="00036DF7">
      <w:pPr>
        <w:pStyle w:val="OrderBody"/>
      </w:pPr>
    </w:p>
    <w:p w:rsidR="00036DF7" w:rsidRDefault="00036DF7" w:rsidP="00036DF7">
      <w:pPr>
        <w:ind w:firstLine="720"/>
        <w:jc w:val="both"/>
      </w:pPr>
      <w:r>
        <w:t xml:space="preserve">ORDERED by the Florida Public Service Commission that </w:t>
      </w:r>
      <w:r w:rsidRPr="009E0C29">
        <w:t xml:space="preserve">the </w:t>
      </w:r>
      <w:r>
        <w:t xml:space="preserve">findings set forth in the body of this order, and Attachment A hereto, are hereby approved. </w:t>
      </w:r>
      <w:r w:rsidRPr="009E0C29">
        <w:t xml:space="preserve"> It is further</w:t>
      </w:r>
    </w:p>
    <w:p w:rsidR="00036DF7" w:rsidRDefault="00036DF7" w:rsidP="00036DF7">
      <w:pPr>
        <w:ind w:firstLine="720"/>
        <w:jc w:val="both"/>
      </w:pPr>
    </w:p>
    <w:p w:rsidR="00036DF7" w:rsidRPr="009E0C29" w:rsidRDefault="00036DF7" w:rsidP="00036DF7">
      <w:pPr>
        <w:ind w:firstLine="720"/>
        <w:jc w:val="both"/>
      </w:pPr>
      <w:r>
        <w:t>ORDERED that Walmart’s Motion for Reconsideration with respect to the striking of its Issue A and the testimony and exhibits of witness Lisa V. Perry is denied, as set forth herein. It is further</w:t>
      </w:r>
    </w:p>
    <w:p w:rsidR="00036DF7" w:rsidRPr="009E0C29" w:rsidRDefault="00036DF7" w:rsidP="00036DF7"/>
    <w:p w:rsidR="00036DF7" w:rsidRDefault="00036DF7" w:rsidP="00036DF7">
      <w:pPr>
        <w:pStyle w:val="OrderBody"/>
        <w:rPr>
          <w:bCs/>
        </w:rPr>
      </w:pPr>
      <w:r w:rsidRPr="009E0C29">
        <w:tab/>
        <w:t xml:space="preserve">ORDERED that </w:t>
      </w:r>
      <w:r>
        <w:t>this docket shall remain open so Tampa Electric Company</w:t>
      </w:r>
      <w:r w:rsidRPr="00186433">
        <w:rPr>
          <w:bCs/>
        </w:rPr>
        <w:t xml:space="preserve"> can file supplemental testimony comparing the final recoverable storm costs </w:t>
      </w:r>
      <w:r>
        <w:rPr>
          <w:bCs/>
        </w:rPr>
        <w:t xml:space="preserve">we </w:t>
      </w:r>
      <w:r w:rsidRPr="00186433">
        <w:rPr>
          <w:bCs/>
        </w:rPr>
        <w:t>approved with the actual revenues from the Interim Storm Restoration Charge and calculating the resulting excess or shortfall, so that the true-up amount can be recovered from or credited to the energy conservation cost recovery clause or disposed of in some other manner as approved by th</w:t>
      </w:r>
      <w:r>
        <w:rPr>
          <w:bCs/>
        </w:rPr>
        <w:t>is</w:t>
      </w:r>
      <w:r w:rsidRPr="00186433">
        <w:rPr>
          <w:bCs/>
        </w:rPr>
        <w:t xml:space="preserve"> Commission.</w:t>
      </w:r>
    </w:p>
    <w:p w:rsidR="00036DF7" w:rsidRDefault="00036DF7" w:rsidP="00036DF7">
      <w:pPr>
        <w:pStyle w:val="OrderBody"/>
        <w:rPr>
          <w:bCs/>
        </w:rPr>
      </w:pPr>
    </w:p>
    <w:p w:rsidR="00036DF7" w:rsidRDefault="00036DF7" w:rsidP="00036DF7">
      <w:pPr>
        <w:pStyle w:val="OrderBody"/>
        <w:keepNext/>
        <w:keepLines/>
        <w:rPr>
          <w:bCs/>
        </w:rPr>
      </w:pPr>
      <w:r>
        <w:rPr>
          <w:bCs/>
        </w:rPr>
        <w:lastRenderedPageBreak/>
        <w:tab/>
        <w:t xml:space="preserve">By ORDER of the Florida Public Service Commission this </w:t>
      </w:r>
      <w:bookmarkStart w:id="6" w:name="replaceDate"/>
      <w:bookmarkEnd w:id="6"/>
      <w:r w:rsidR="0091751E">
        <w:rPr>
          <w:bCs/>
          <w:u w:val="single"/>
        </w:rPr>
        <w:t>13th</w:t>
      </w:r>
      <w:r w:rsidR="0091751E">
        <w:rPr>
          <w:bCs/>
        </w:rPr>
        <w:t xml:space="preserve"> day of </w:t>
      </w:r>
      <w:r w:rsidR="0091751E">
        <w:rPr>
          <w:bCs/>
          <w:u w:val="single"/>
        </w:rPr>
        <w:t>June</w:t>
      </w:r>
      <w:r w:rsidR="0091751E">
        <w:rPr>
          <w:bCs/>
        </w:rPr>
        <w:t xml:space="preserve">, </w:t>
      </w:r>
      <w:r w:rsidR="0091751E">
        <w:rPr>
          <w:bCs/>
          <w:u w:val="single"/>
        </w:rPr>
        <w:t>2024</w:t>
      </w:r>
      <w:r w:rsidR="0091751E">
        <w:rPr>
          <w:bCs/>
        </w:rPr>
        <w:t>.</w:t>
      </w:r>
    </w:p>
    <w:p w:rsidR="0091751E" w:rsidRPr="0091751E" w:rsidRDefault="0091751E" w:rsidP="00036DF7">
      <w:pPr>
        <w:pStyle w:val="OrderBody"/>
        <w:keepNext/>
        <w:keepLines/>
        <w:rPr>
          <w:bCs/>
        </w:rPr>
      </w:pPr>
    </w:p>
    <w:p w:rsidR="00036DF7" w:rsidRDefault="00036DF7" w:rsidP="00036DF7">
      <w:pPr>
        <w:pStyle w:val="OrderBody"/>
        <w:keepNext/>
        <w:keepLines/>
        <w:rPr>
          <w:bCs/>
        </w:rPr>
      </w:pPr>
    </w:p>
    <w:p w:rsidR="00036DF7" w:rsidRDefault="00036DF7" w:rsidP="00036DF7">
      <w:pPr>
        <w:pStyle w:val="OrderBody"/>
        <w:keepNext/>
        <w:keepLines/>
        <w:rPr>
          <w:bCs/>
        </w:rPr>
      </w:pPr>
    </w:p>
    <w:p w:rsidR="00A65738" w:rsidRDefault="00A65738" w:rsidP="00036DF7">
      <w:pPr>
        <w:pStyle w:val="OrderBody"/>
        <w:keepNext/>
        <w:keepLines/>
        <w:rPr>
          <w:bCs/>
        </w:rPr>
      </w:pPr>
    </w:p>
    <w:p w:rsidR="00A65738" w:rsidRDefault="00A65738" w:rsidP="00036DF7">
      <w:pPr>
        <w:pStyle w:val="OrderBody"/>
        <w:keepNext/>
        <w:keepLines/>
        <w:rPr>
          <w:bCs/>
        </w:rPr>
      </w:pPr>
    </w:p>
    <w:tbl>
      <w:tblPr>
        <w:tblW w:w="4720" w:type="dxa"/>
        <w:tblInd w:w="3800" w:type="dxa"/>
        <w:tblLayout w:type="fixed"/>
        <w:tblLook w:val="0000" w:firstRow="0" w:lastRow="0" w:firstColumn="0" w:lastColumn="0" w:noHBand="0" w:noVBand="0"/>
      </w:tblPr>
      <w:tblGrid>
        <w:gridCol w:w="686"/>
        <w:gridCol w:w="4034"/>
      </w:tblGrid>
      <w:tr w:rsidR="00036DF7" w:rsidTr="00036DF7">
        <w:tc>
          <w:tcPr>
            <w:tcW w:w="720" w:type="dxa"/>
            <w:shd w:val="clear" w:color="auto" w:fill="auto"/>
          </w:tcPr>
          <w:p w:rsidR="00036DF7" w:rsidRDefault="00036DF7" w:rsidP="00036DF7">
            <w:pPr>
              <w:pStyle w:val="OrderBody"/>
              <w:keepNext/>
              <w:keepLines/>
            </w:pPr>
            <w:bookmarkStart w:id="7" w:name="bkmrkSignature" w:colFirst="0" w:colLast="0"/>
          </w:p>
        </w:tc>
        <w:tc>
          <w:tcPr>
            <w:tcW w:w="4320" w:type="dxa"/>
            <w:tcBorders>
              <w:bottom w:val="single" w:sz="4" w:space="0" w:color="auto"/>
            </w:tcBorders>
            <w:shd w:val="clear" w:color="auto" w:fill="auto"/>
          </w:tcPr>
          <w:p w:rsidR="00036DF7" w:rsidRDefault="002B6479" w:rsidP="00036DF7">
            <w:pPr>
              <w:pStyle w:val="OrderBody"/>
              <w:keepNext/>
              <w:keepLines/>
            </w:pPr>
            <w:r>
              <w:t>/s/ Adam J. Teitzman</w:t>
            </w:r>
            <w:bookmarkStart w:id="8" w:name="_GoBack"/>
            <w:bookmarkEnd w:id="8"/>
          </w:p>
        </w:tc>
      </w:tr>
      <w:bookmarkEnd w:id="7"/>
      <w:tr w:rsidR="00036DF7" w:rsidTr="00036DF7">
        <w:tc>
          <w:tcPr>
            <w:tcW w:w="720" w:type="dxa"/>
            <w:shd w:val="clear" w:color="auto" w:fill="auto"/>
          </w:tcPr>
          <w:p w:rsidR="00036DF7" w:rsidRDefault="00036DF7" w:rsidP="00036DF7">
            <w:pPr>
              <w:pStyle w:val="OrderBody"/>
              <w:keepNext/>
              <w:keepLines/>
            </w:pPr>
          </w:p>
        </w:tc>
        <w:tc>
          <w:tcPr>
            <w:tcW w:w="4320" w:type="dxa"/>
            <w:tcBorders>
              <w:top w:val="single" w:sz="4" w:space="0" w:color="auto"/>
            </w:tcBorders>
            <w:shd w:val="clear" w:color="auto" w:fill="auto"/>
          </w:tcPr>
          <w:p w:rsidR="00036DF7" w:rsidRDefault="00036DF7" w:rsidP="00036DF7">
            <w:pPr>
              <w:pStyle w:val="OrderBody"/>
              <w:keepNext/>
              <w:keepLines/>
            </w:pPr>
            <w:r>
              <w:t>ADAM J. TEITZMAN</w:t>
            </w:r>
          </w:p>
          <w:p w:rsidR="00036DF7" w:rsidRDefault="00036DF7" w:rsidP="00036DF7">
            <w:pPr>
              <w:pStyle w:val="OrderBody"/>
              <w:keepNext/>
              <w:keepLines/>
            </w:pPr>
            <w:r>
              <w:t>Commission Clerk</w:t>
            </w:r>
          </w:p>
        </w:tc>
      </w:tr>
    </w:tbl>
    <w:p w:rsidR="00036DF7" w:rsidRDefault="00036DF7" w:rsidP="00036DF7">
      <w:pPr>
        <w:pStyle w:val="OrderSigInfo"/>
        <w:keepNext/>
        <w:keepLines/>
      </w:pPr>
      <w:r>
        <w:t>Florida Public Service Commission</w:t>
      </w:r>
    </w:p>
    <w:p w:rsidR="00036DF7" w:rsidRDefault="00036DF7" w:rsidP="00036DF7">
      <w:pPr>
        <w:pStyle w:val="OrderSigInfo"/>
        <w:keepNext/>
        <w:keepLines/>
      </w:pPr>
      <w:r>
        <w:t>2540 Shumard Oak Boulevard</w:t>
      </w:r>
    </w:p>
    <w:p w:rsidR="00036DF7" w:rsidRDefault="00036DF7" w:rsidP="00036DF7">
      <w:pPr>
        <w:pStyle w:val="OrderSigInfo"/>
        <w:keepNext/>
        <w:keepLines/>
      </w:pPr>
      <w:r>
        <w:t>Tallahassee, Florida 32399</w:t>
      </w:r>
    </w:p>
    <w:p w:rsidR="00036DF7" w:rsidRDefault="00036DF7" w:rsidP="00036DF7">
      <w:pPr>
        <w:pStyle w:val="OrderSigInfo"/>
        <w:keepNext/>
        <w:keepLines/>
      </w:pPr>
      <w:r>
        <w:t>(850) 413</w:t>
      </w:r>
      <w:r>
        <w:noBreakHyphen/>
        <w:t>6770</w:t>
      </w:r>
    </w:p>
    <w:p w:rsidR="00036DF7" w:rsidRDefault="00036DF7" w:rsidP="00036DF7">
      <w:pPr>
        <w:pStyle w:val="OrderSigInfo"/>
        <w:keepNext/>
        <w:keepLines/>
      </w:pPr>
      <w:r>
        <w:t>www.floridapsc.com</w:t>
      </w:r>
    </w:p>
    <w:p w:rsidR="00036DF7" w:rsidRDefault="00036DF7" w:rsidP="00036DF7">
      <w:pPr>
        <w:pStyle w:val="OrderSigInfo"/>
        <w:keepNext/>
        <w:keepLines/>
      </w:pPr>
    </w:p>
    <w:p w:rsidR="00036DF7" w:rsidRDefault="00036DF7" w:rsidP="00036DF7">
      <w:pPr>
        <w:pStyle w:val="OrderSigInfo"/>
        <w:keepNext/>
        <w:keepLines/>
      </w:pPr>
      <w:r>
        <w:t>Copies furnished:  A copy of this document is provided to the parties of record at the time of issuance and, if applicable, interested persons.</w:t>
      </w:r>
    </w:p>
    <w:p w:rsidR="00036DF7" w:rsidRDefault="00036DF7" w:rsidP="00036DF7">
      <w:pPr>
        <w:pStyle w:val="OrderBody"/>
        <w:keepNext/>
        <w:keepLines/>
      </w:pPr>
    </w:p>
    <w:p w:rsidR="00036DF7" w:rsidRDefault="00036DF7" w:rsidP="00036DF7">
      <w:pPr>
        <w:pStyle w:val="OrderBody"/>
        <w:keepNext/>
        <w:keepLines/>
      </w:pPr>
    </w:p>
    <w:p w:rsidR="00036DF7" w:rsidRDefault="00036DF7" w:rsidP="00036DF7">
      <w:pPr>
        <w:pStyle w:val="OrderBody"/>
        <w:keepNext/>
        <w:keepLines/>
      </w:pPr>
      <w:r>
        <w:t>MRT</w:t>
      </w: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A65738" w:rsidRDefault="00A65738" w:rsidP="00036DF7">
      <w:pPr>
        <w:pStyle w:val="OrderBody"/>
      </w:pPr>
    </w:p>
    <w:p w:rsidR="00A65738" w:rsidRDefault="00A65738"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OrderBody"/>
      </w:pPr>
    </w:p>
    <w:p w:rsidR="00036DF7" w:rsidRDefault="00036DF7" w:rsidP="00036DF7">
      <w:pPr>
        <w:pStyle w:val="CenterUnderline"/>
      </w:pPr>
      <w:r>
        <w:lastRenderedPageBreak/>
        <w:t>NOTICE OF FURTHER PROCEEDINGS OR JUDICIAL REVIEW</w:t>
      </w:r>
    </w:p>
    <w:p w:rsidR="00036DF7" w:rsidRDefault="00036DF7" w:rsidP="00036DF7">
      <w:pPr>
        <w:pStyle w:val="CenterUnderline"/>
      </w:pPr>
    </w:p>
    <w:p w:rsidR="00036DF7" w:rsidRDefault="00036DF7" w:rsidP="00036DF7">
      <w:pPr>
        <w:pStyle w:val="OrderBody"/>
      </w:pPr>
    </w:p>
    <w:p w:rsidR="00036DF7" w:rsidRDefault="00036DF7" w:rsidP="00036DF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6DF7" w:rsidRDefault="00036DF7" w:rsidP="00036DF7">
      <w:pPr>
        <w:pStyle w:val="OrderBody"/>
      </w:pPr>
    </w:p>
    <w:p w:rsidR="00036DF7" w:rsidRDefault="00036DF7" w:rsidP="00036DF7">
      <w:pPr>
        <w:pStyle w:val="OrderBody"/>
      </w:pPr>
      <w:r>
        <w:tab/>
        <w:t>Any party adversely affected by the Commission's final action in this matter denying Walmart’s request for reconsideration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36DF7" w:rsidRDefault="00036DF7" w:rsidP="00036DF7">
      <w:pPr>
        <w:pStyle w:val="OrderBody"/>
      </w:pPr>
    </w:p>
    <w:p w:rsidR="00036DF7" w:rsidRDefault="00036DF7" w:rsidP="00036DF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36DF7" w:rsidRDefault="00036DF7" w:rsidP="00036DF7">
      <w:pPr>
        <w:pStyle w:val="OrderBody"/>
        <w:sectPr w:rsidR="00036DF7">
          <w:headerReference w:type="default" r:id="rId7"/>
          <w:footerReference w:type="first" r:id="rId8"/>
          <w:pgSz w:w="12240" w:h="15840" w:code="1"/>
          <w:pgMar w:top="1440" w:right="1440" w:bottom="1440" w:left="1440" w:header="720" w:footer="720" w:gutter="0"/>
          <w:cols w:space="720"/>
          <w:titlePg/>
          <w:docGrid w:linePitch="360"/>
        </w:sectPr>
      </w:pPr>
    </w:p>
    <w:p w:rsidR="00036DF7" w:rsidRPr="00F95153" w:rsidRDefault="00036DF7" w:rsidP="00036DF7">
      <w:pPr>
        <w:jc w:val="center"/>
        <w:rPr>
          <w:rFonts w:eastAsiaTheme="minorHAnsi"/>
          <w:b/>
          <w:bCs/>
          <w:kern w:val="2"/>
          <w14:ligatures w14:val="standardContextual"/>
        </w:rPr>
      </w:pPr>
      <w:r w:rsidRPr="00F95153">
        <w:rPr>
          <w:rFonts w:eastAsiaTheme="minorHAnsi"/>
          <w:b/>
          <w:bCs/>
          <w:kern w:val="2"/>
          <w14:ligatures w14:val="standardContextual"/>
        </w:rPr>
        <w:lastRenderedPageBreak/>
        <w:t xml:space="preserve">Attachment A </w:t>
      </w:r>
    </w:p>
    <w:p w:rsidR="00036DF7" w:rsidRPr="00F95153" w:rsidRDefault="00036DF7" w:rsidP="00036DF7">
      <w:pPr>
        <w:jc w:val="center"/>
        <w:rPr>
          <w:rFonts w:eastAsiaTheme="minorHAnsi"/>
          <w:b/>
          <w:bCs/>
          <w:kern w:val="2"/>
          <w14:ligatures w14:val="standardContextual"/>
        </w:rPr>
      </w:pPr>
      <w:r w:rsidRPr="00F95153">
        <w:rPr>
          <w:rFonts w:eastAsiaTheme="minorHAnsi"/>
          <w:b/>
          <w:bCs/>
          <w:kern w:val="2"/>
          <w14:ligatures w14:val="standardContextual"/>
        </w:rPr>
        <w:t>Tampa Electric Company’s Prehearing Statement</w:t>
      </w:r>
    </w:p>
    <w:p w:rsidR="00036DF7" w:rsidRPr="00F95153" w:rsidRDefault="00036DF7" w:rsidP="00036DF7">
      <w:pPr>
        <w:jc w:val="center"/>
        <w:rPr>
          <w:rFonts w:eastAsiaTheme="minorHAnsi"/>
          <w:b/>
          <w:bCs/>
          <w:kern w:val="2"/>
          <w14:ligatures w14:val="standardContextual"/>
        </w:rPr>
      </w:pPr>
      <w:r w:rsidRPr="00F95153">
        <w:rPr>
          <w:rFonts w:eastAsiaTheme="minorHAnsi"/>
          <w:b/>
          <w:bCs/>
          <w:kern w:val="2"/>
          <w14:ligatures w14:val="standardContextual"/>
        </w:rPr>
        <w:t>Ongoing, Continuous Storm Restoration Process Improvements</w:t>
      </w:r>
    </w:p>
    <w:p w:rsidR="00036DF7" w:rsidRPr="00F95153" w:rsidRDefault="00036DF7" w:rsidP="00036DF7">
      <w:pPr>
        <w:rPr>
          <w:rFonts w:eastAsiaTheme="minorHAnsi"/>
          <w:b/>
          <w:bCs/>
          <w:kern w:val="2"/>
          <w14:ligatures w14:val="standardContextual"/>
        </w:rPr>
      </w:pPr>
    </w:p>
    <w:p w:rsidR="00036DF7" w:rsidRPr="00F95153" w:rsidRDefault="00036DF7" w:rsidP="00036DF7">
      <w:pPr>
        <w:ind w:firstLine="720"/>
        <w:rPr>
          <w:rFonts w:eastAsiaTheme="minorHAnsi"/>
          <w:kern w:val="2"/>
          <w14:ligatures w14:val="standardContextual"/>
        </w:rPr>
      </w:pPr>
      <w:r w:rsidRPr="00F95153">
        <w:rPr>
          <w:rFonts w:eastAsiaTheme="minorHAnsi"/>
          <w:kern w:val="2"/>
          <w14:ligatures w14:val="standardContextual"/>
        </w:rPr>
        <w:t xml:space="preserve">Tampa Electric Company’s (“Tampa Electric” or the “company”) 2019 Storm Cost Settlement Agreement includes several “Future Process Improvements” covering a broad range of storm cost recovery issues, including: (1) contracting and vendor engagement; (2) travel and work policies; (3) cost documentation; (4) auditing and regulatory recovery processes; and (5) a methodology for determining incremental costs. </w:t>
      </w:r>
      <w:r w:rsidRPr="00F95153">
        <w:rPr>
          <w:rFonts w:eastAsiaTheme="minorHAnsi"/>
          <w:i/>
          <w:iCs/>
          <w:kern w:val="2"/>
          <w14:ligatures w14:val="standardContextual"/>
        </w:rPr>
        <w:t>See</w:t>
      </w:r>
      <w:r w:rsidRPr="00F95153">
        <w:rPr>
          <w:rFonts w:eastAsiaTheme="minorHAnsi"/>
          <w:kern w:val="2"/>
          <w14:ligatures w14:val="standardContextual"/>
        </w:rPr>
        <w:t xml:space="preserve"> Order No. PSC-2019-0234-AS-EI, issued June 14, 2019 in Docket No. 20170271-EI. </w:t>
      </w:r>
    </w:p>
    <w:p w:rsidR="00036DF7" w:rsidRPr="00F95153" w:rsidRDefault="00036DF7" w:rsidP="00036DF7">
      <w:pPr>
        <w:ind w:firstLine="720"/>
        <w:rPr>
          <w:rFonts w:eastAsiaTheme="minorHAnsi"/>
          <w:kern w:val="2"/>
          <w14:ligatures w14:val="standardContextual"/>
        </w:rPr>
      </w:pPr>
    </w:p>
    <w:p w:rsidR="00036DF7" w:rsidRPr="00F95153" w:rsidRDefault="00036DF7" w:rsidP="00036DF7">
      <w:pPr>
        <w:ind w:firstLine="720"/>
        <w:rPr>
          <w:rFonts w:eastAsiaTheme="minorHAnsi"/>
          <w:kern w:val="2"/>
          <w14:ligatures w14:val="standardContextual"/>
        </w:rPr>
      </w:pPr>
      <w:r w:rsidRPr="00F95153">
        <w:rPr>
          <w:rFonts w:eastAsiaTheme="minorHAnsi"/>
          <w:kern w:val="2"/>
          <w14:ligatures w14:val="standardContextual"/>
        </w:rPr>
        <w:t xml:space="preserve">Since that time, Tampa Electric has continued to document lessons learned from storm restoration efforts and has as a part of the ongoing, continuous improvement process implemented several additional process improvements. </w:t>
      </w:r>
    </w:p>
    <w:p w:rsidR="00036DF7" w:rsidRPr="00F95153" w:rsidRDefault="00036DF7" w:rsidP="00036DF7">
      <w:pPr>
        <w:ind w:firstLine="720"/>
        <w:rPr>
          <w:rFonts w:eastAsiaTheme="minorHAnsi"/>
          <w:kern w:val="2"/>
          <w14:ligatures w14:val="standardContextual"/>
        </w:rPr>
      </w:pPr>
    </w:p>
    <w:p w:rsidR="00036DF7" w:rsidRPr="00F95153" w:rsidRDefault="00036DF7" w:rsidP="00036DF7">
      <w:pPr>
        <w:ind w:firstLine="720"/>
        <w:rPr>
          <w:rFonts w:eastAsiaTheme="minorHAnsi"/>
          <w:kern w:val="2"/>
          <w14:ligatures w14:val="standardContextual"/>
        </w:rPr>
      </w:pPr>
      <w:bookmarkStart w:id="10" w:name="_Hlk163053020"/>
      <w:r w:rsidRPr="00F95153">
        <w:rPr>
          <w:rFonts w:eastAsiaTheme="minorHAnsi"/>
          <w:kern w:val="2"/>
          <w14:ligatures w14:val="standardContextual"/>
        </w:rPr>
        <w:t xml:space="preserve">Tampa Electric commits that it will continue to apply the 2019 storm process improvements, as well as the additional new process improvements listed below, whenever such implementation does not interfere with safe, timely, and cost-effective restoration of service following a storm, and that they will remain in effect until modified by an order of the Florida Public Service Commission. The company will meet with OPC to evaluate the company’s storm restoration processes in the first quarter of 2025 and every two years thereafter. </w:t>
      </w:r>
    </w:p>
    <w:bookmarkEnd w:id="10"/>
    <w:p w:rsidR="00036DF7" w:rsidRPr="00F95153" w:rsidRDefault="00036DF7" w:rsidP="00036DF7">
      <w:pPr>
        <w:autoSpaceDE w:val="0"/>
        <w:autoSpaceDN w:val="0"/>
        <w:adjustRightInd w:val="0"/>
        <w:rPr>
          <w:rFonts w:eastAsiaTheme="minorHAnsi"/>
          <w:kern w:val="2"/>
          <w14:ligatures w14:val="standardContextual"/>
        </w:rPr>
      </w:pPr>
    </w:p>
    <w:p w:rsidR="00036DF7"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Lodging Procurement and Tracking.</w:t>
      </w:r>
      <w:r w:rsidRPr="00F95153">
        <w:rPr>
          <w:rFonts w:eastAsiaTheme="minorHAnsi"/>
          <w:color w:val="000000"/>
          <w14:ligatures w14:val="standardContextual"/>
        </w:rPr>
        <w:t xml:space="preserve"> Tampa Electric retained a third-party booking agency that provides a disaster lodging service for emergency lodging needs. This agency provides and books accommodations according to requesters’ specific needs, utilizing their extensive and detailed database of lodging vendors and pre-negotiated contracts. They can identify vendors’ specific capabilities such as emergency power, parking, food, and laundry services. Additionally, their booking software platform can track detailed information about acquired lodging and utilization rates to help identify unused accommodation to inform decision making. After the emergency, they provide comprehensive invoice tracking and payment support to quickly resolve payment to vendors.</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Storm Surge Damage Mitigation.</w:t>
      </w:r>
      <w:r w:rsidRPr="00F95153">
        <w:rPr>
          <w:rFonts w:eastAsiaTheme="minorHAnsi"/>
          <w:color w:val="000000"/>
          <w14:ligatures w14:val="standardContextual"/>
        </w:rPr>
        <w:t xml:space="preserve"> Tampa Electric developed a new process to anticipate and mitigate storm surge damage by working with Tampa Electric’s weather partners, including the National Weather Service (“NWS”) and a Florida-based meteorologist. Tampa Electric is the first utility in Florida to be recognized as a “Storm Ready” partner, allowing access to NWS weather data and forecasts. Additionally, Tampa Electric contracted with a Florida based meteorologist to enhance our understanding and interpretation of weather data as it relates to our local geographic conditions. Being able to anticipate the damage more accurately to underground</w:t>
      </w:r>
    </w:p>
    <w:p w:rsidR="00036DF7" w:rsidRDefault="00036DF7" w:rsidP="00036DF7">
      <w:pPr>
        <w:pStyle w:val="OrderBody"/>
        <w:sectPr w:rsidR="00036DF7">
          <w:headerReference w:type="first" r:id="rId9"/>
          <w:pgSz w:w="12240" w:h="15840" w:code="1"/>
          <w:pgMar w:top="1440" w:right="1440" w:bottom="1440" w:left="1440" w:header="720" w:footer="720" w:gutter="0"/>
          <w:cols w:space="720"/>
          <w:titlePg/>
          <w:docGrid w:linePitch="360"/>
        </w:sectPr>
      </w:pPr>
    </w:p>
    <w:p w:rsidR="00036DF7" w:rsidRPr="00F95153" w:rsidRDefault="00036DF7" w:rsidP="00036DF7">
      <w:pPr>
        <w:autoSpaceDE w:val="0"/>
        <w:autoSpaceDN w:val="0"/>
        <w:adjustRightInd w:val="0"/>
        <w:spacing w:after="160" w:line="278" w:lineRule="auto"/>
        <w:ind w:left="810"/>
        <w:contextualSpacing/>
        <w:rPr>
          <w:rFonts w:eastAsiaTheme="minorHAnsi"/>
          <w:color w:val="000000"/>
          <w14:ligatures w14:val="standardContextual"/>
        </w:rPr>
      </w:pPr>
      <w:r w:rsidRPr="00F95153">
        <w:rPr>
          <w:rFonts w:eastAsiaTheme="minorHAnsi"/>
          <w:color w:val="000000"/>
          <w14:ligatures w14:val="standardContextual"/>
        </w:rPr>
        <w:lastRenderedPageBreak/>
        <w:t>electrical equipment will allow Tampa Electric to better estimate the correct number of external resources required to help restore this equipment.</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Base Camp Staging Model.</w:t>
      </w:r>
      <w:r w:rsidRPr="00F95153">
        <w:rPr>
          <w:rFonts w:eastAsiaTheme="minorHAnsi"/>
          <w:color w:val="000000"/>
          <w14:ligatures w14:val="standardContextual"/>
        </w:rPr>
        <w:t xml:space="preserve"> Tampa Electric maintains contracts with several vendors that supply turn-key emergency accommodations including lodging, meals, sanitation and transportation management. These base camps can be rapidly deployed (usually within 24 hours) to staging sites post-storm and mitigate the company’s storm recovery personnel needs.</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Eliminating Delays.</w:t>
      </w:r>
      <w:r w:rsidRPr="00F95153">
        <w:rPr>
          <w:rFonts w:eastAsiaTheme="minorHAnsi"/>
          <w:color w:val="000000"/>
          <w14:ligatures w14:val="standardContextual"/>
        </w:rPr>
        <w:t xml:space="preserve"> Tampa Electric began pre-staging crews in nearby locations, allowing the company to utilize responding crews in the working hours immediately following the passage of storm conditions, even before local staging sites are completely set up. </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Distribution Control Center (DCC) Process Changes</w:t>
      </w:r>
      <w:r w:rsidRPr="00F95153">
        <w:rPr>
          <w:rFonts w:eastAsiaTheme="minorHAnsi"/>
          <w:color w:val="000000"/>
          <w14:ligatures w14:val="standardContextual"/>
        </w:rPr>
        <w:t>. In storm response scenarios, Tampa Electric transitions control from the central DCC to the company’s various service areas. One lesson learned was to reduce the transition time from DCC control to service area control, which results in less down time for field personnel and faster restoration of service.</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“Cut and Clear” Improvements.</w:t>
      </w:r>
      <w:r w:rsidRPr="00F95153">
        <w:rPr>
          <w:rFonts w:eastAsiaTheme="minorHAnsi"/>
          <w:color w:val="000000"/>
          <w14:ligatures w14:val="standardContextual"/>
        </w:rPr>
        <w:t xml:space="preserve"> The company improved the locked-out circuit isolation process (“cut-and-clear”) by creating a mobile app to transmit faster updates from the field and for easier tracking of work. Re-energizing distribution circuits that have been locked out as quickly as possible after a storm provides one of the greatest values in restoring service to customers. Getting clear and faster updates through a mobile app ensures that this process is carried out without delays.</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Improved Outage Detection.</w:t>
      </w:r>
      <w:r w:rsidRPr="00F95153">
        <w:rPr>
          <w:rFonts w:eastAsiaTheme="minorHAnsi"/>
          <w:color w:val="000000"/>
          <w14:ligatures w14:val="standardContextual"/>
        </w:rPr>
        <w:t xml:space="preserve"> The company improved the detection of outages by having streetlights turned on as soon as restoration begins.</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Improved DCC and Service Area Communications.</w:t>
      </w:r>
      <w:r w:rsidRPr="00F95153">
        <w:rPr>
          <w:rFonts w:eastAsiaTheme="minorHAnsi"/>
          <w:color w:val="000000"/>
          <w14:ligatures w14:val="standardContextual"/>
        </w:rPr>
        <w:t xml:space="preserve"> Tampa Electric implemented multiple process changes to eliminate confusion and miscommunication between the DCC and Service Area Restoration teams. The DCC and the service area restoration teams are the two most critical areas during storm restoration. Clear and up-to-date communications are vital for a successful restoration effort. </w:t>
      </w:r>
    </w:p>
    <w:p w:rsidR="00036DF7"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Circuit Reconfiguration Logs</w:t>
      </w:r>
      <w:r w:rsidRPr="00F95153">
        <w:rPr>
          <w:rFonts w:eastAsiaTheme="minorHAnsi"/>
          <w:color w:val="000000"/>
          <w14:ligatures w14:val="standardContextual"/>
        </w:rPr>
        <w:t xml:space="preserve">. Performing overnight work reduces the overall time to restore service to all customers, but poor communication of work performed overnight to the daytime crews can result in delays. Consequently, the company implemented the use of “abnormal switching logs” in the Advanced Distribution Management System (“ADMS”) to communicate circuit reconfigurations performed overnight by the DCC to the service area restoration teams. This helps ensure clear communication of the overnight work to the day crews and eliminates potential delays. </w:t>
      </w:r>
    </w:p>
    <w:p w:rsidR="00036DF7"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sectPr w:rsidR="00036DF7">
          <w:headerReference w:type="first" r:id="rId10"/>
          <w:pgSz w:w="12240" w:h="15840" w:code="1"/>
          <w:pgMar w:top="1440" w:right="1440" w:bottom="1440" w:left="1440" w:header="720" w:footer="720" w:gutter="0"/>
          <w:cols w:space="720"/>
          <w:titlePg/>
          <w:docGrid w:linePitch="360"/>
        </w:sectPr>
      </w:pPr>
      <w:r w:rsidRPr="00F95153">
        <w:rPr>
          <w:rFonts w:eastAsiaTheme="minorHAnsi"/>
          <w:b/>
          <w:bCs/>
          <w:color w:val="000000"/>
          <w14:ligatures w14:val="standardContextual"/>
        </w:rPr>
        <w:t>New Safety Measures.</w:t>
      </w:r>
      <w:r w:rsidRPr="00F95153">
        <w:rPr>
          <w:rFonts w:eastAsiaTheme="minorHAnsi"/>
          <w:color w:val="000000"/>
          <w14:ligatures w14:val="standardContextual"/>
        </w:rPr>
        <w:t xml:space="preserve"> Tampa Electric added steps to reduce the safety risk to field personnel while performing circuit isolation work, such as opening the terminal pole switch and adding “men at work” pole wrap. These steps were added as extra safety</w:t>
      </w:r>
    </w:p>
    <w:p w:rsidR="00036DF7" w:rsidRPr="00F95153" w:rsidRDefault="00036DF7" w:rsidP="00036DF7">
      <w:pPr>
        <w:autoSpaceDE w:val="0"/>
        <w:autoSpaceDN w:val="0"/>
        <w:adjustRightInd w:val="0"/>
        <w:spacing w:after="160" w:line="278" w:lineRule="auto"/>
        <w:ind w:left="810"/>
        <w:contextualSpacing/>
        <w:rPr>
          <w:rFonts w:eastAsiaTheme="minorHAnsi"/>
          <w:color w:val="000000"/>
          <w14:ligatures w14:val="standardContextual"/>
        </w:rPr>
      </w:pPr>
      <w:r w:rsidRPr="00F95153">
        <w:rPr>
          <w:rFonts w:eastAsiaTheme="minorHAnsi"/>
          <w:color w:val="000000"/>
          <w14:ligatures w14:val="standardContextual"/>
        </w:rPr>
        <w:lastRenderedPageBreak/>
        <w:t>measures in addition to steps that were already in place. Given the large amount of field personnel working during storm restoration, adding several layers of protection shows Tampa Electric’s commitment to the company’s highest objective: “Safety of life shall outweigh all other considerations.”</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Additional Distribution System Operators.</w:t>
      </w:r>
      <w:r w:rsidRPr="00F95153">
        <w:rPr>
          <w:rFonts w:eastAsiaTheme="minorHAnsi"/>
          <w:color w:val="000000"/>
          <w14:ligatures w14:val="standardContextual"/>
        </w:rPr>
        <w:t xml:space="preserve"> The company added more Distribution System Operators and assigned two per affected service area. This eliminated the need to train personnel who were not familiar with ADMS/CAD on how to update ADMS when field restoration is complete. The result is a quicker update of customer outage counts and more accurate estimated times of restoration (“ETR”) reflected in the customer-facing outage map. The company believes communications with our customers are just as important as internal communications, and these changes ensure that we communicate outages and ETRs to our customers during the times when they need such information the most.</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Retaining Some Foreign Crews in Partial Incident Command Structure (“ICS”).</w:t>
      </w:r>
      <w:r w:rsidRPr="00F95153">
        <w:rPr>
          <w:rFonts w:eastAsiaTheme="minorHAnsi"/>
          <w:color w:val="000000"/>
          <w14:ligatures w14:val="standardContextual"/>
        </w:rPr>
        <w:t xml:space="preserve"> Tampa Electric determined that retaining a small contingent of foreign crews following the transition to partial ICS can help quickly restore the remaining small pockets of outages (secondary, service, etc.). It takes longer to find and fix these smaller outages, and having more crews reduces the time it takes to conduct this effort.</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Additional Documentation for Foreign Line Crews.</w:t>
      </w:r>
      <w:r w:rsidRPr="00F95153">
        <w:rPr>
          <w:rFonts w:eastAsiaTheme="minorHAnsi"/>
          <w:color w:val="000000"/>
          <w14:ligatures w14:val="standardContextual"/>
        </w:rPr>
        <w:t xml:space="preserve"> Tampa Electric added specific terms and conditions to the rate schedule template that is provided to and completed by the foreign companies. In addition, a “Storm Restoration Documentation and Other Requirements” document and an initial email that outlines requirements are provided to each foreign company when they are secured. These measures ensure invoiced costs are fair and meet the requirements of the Storm Cost Settlement Agreement.</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Foreign Line Crew Rate Schedules.</w:t>
      </w:r>
      <w:r w:rsidRPr="00F95153">
        <w:rPr>
          <w:rFonts w:eastAsiaTheme="minorHAnsi"/>
          <w:color w:val="000000"/>
          <w14:ligatures w14:val="standardContextual"/>
        </w:rPr>
        <w:t xml:space="preserve"> Tampa Electric now collects storm rate schedules prior to storm season that identify agreed-upon rates with the foreign contractor. The company has compiled 59 such schedules to date. These schedules are ranked by cost from lowest cost to highest, and if Tampa Electric directly secures foreign contractors, the list is contacted in that order. If a foreign contractor is assigned to Tampa Electric by the SEE, the list is used to determine which companies may be released from restoration first.</w:t>
      </w:r>
    </w:p>
    <w:p w:rsidR="00036DF7" w:rsidRPr="00F95153" w:rsidRDefault="00036DF7" w:rsidP="00036DF7">
      <w:pPr>
        <w:numPr>
          <w:ilvl w:val="0"/>
          <w:numId w:val="3"/>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color w:val="000000"/>
          <w14:ligatures w14:val="standardContextual"/>
        </w:rPr>
        <w:t xml:space="preserve"> </w:t>
      </w:r>
      <w:r w:rsidRPr="00F95153">
        <w:rPr>
          <w:rFonts w:eastAsiaTheme="minorHAnsi"/>
          <w:b/>
          <w:bCs/>
          <w:color w:val="000000"/>
          <w14:ligatures w14:val="standardContextual"/>
        </w:rPr>
        <w:t>Foreign Company “Tracker” Files</w:t>
      </w:r>
      <w:r w:rsidRPr="00F95153">
        <w:rPr>
          <w:rFonts w:eastAsiaTheme="minorHAnsi"/>
          <w:color w:val="000000"/>
          <w14:ligatures w14:val="standardContextual"/>
        </w:rPr>
        <w:t>. During and after restoration, the Resource Management team updates a “Tracker” file that documents contacts, headcounts, dates, and other pertinent information by foreign company so that Tampa Electric can ensure that all required information needed for proper billing has been collected.</w:t>
      </w:r>
    </w:p>
    <w:p w:rsidR="00DF40C6" w:rsidRDefault="00036DF7" w:rsidP="00036DF7">
      <w:pPr>
        <w:autoSpaceDE w:val="0"/>
        <w:autoSpaceDN w:val="0"/>
        <w:adjustRightInd w:val="0"/>
        <w:spacing w:after="160" w:line="278" w:lineRule="auto"/>
        <w:ind w:left="810"/>
        <w:contextualSpacing/>
        <w:rPr>
          <w:rFonts w:eastAsiaTheme="minorHAnsi"/>
          <w:color w:val="000000"/>
          <w14:ligatures w14:val="standardContextual"/>
        </w:rPr>
        <w:sectPr w:rsidR="00DF40C6">
          <w:headerReference w:type="first" r:id="rId11"/>
          <w:pgSz w:w="12240" w:h="15840" w:code="1"/>
          <w:pgMar w:top="1440" w:right="1440" w:bottom="1440" w:left="1440" w:header="720" w:footer="720" w:gutter="0"/>
          <w:cols w:space="720"/>
          <w:titlePg/>
          <w:docGrid w:linePitch="360"/>
        </w:sectPr>
      </w:pPr>
      <w:r w:rsidRPr="00F95153">
        <w:rPr>
          <w:rFonts w:eastAsiaTheme="minorHAnsi"/>
          <w:b/>
          <w:bCs/>
          <w:color w:val="000000"/>
          <w14:ligatures w14:val="standardContextual"/>
        </w:rPr>
        <w:t xml:space="preserve">Foreign Line Crew Composition Review. </w:t>
      </w:r>
      <w:r w:rsidRPr="00F95153">
        <w:rPr>
          <w:rFonts w:eastAsiaTheme="minorHAnsi"/>
          <w:color w:val="000000"/>
          <w14:ligatures w14:val="standardContextual"/>
        </w:rPr>
        <w:t>Before foreign companies are approved to deploy, Tampa Electric now examines rosters provided by the foreign companies immediately after they are secured to ensure that the distribution crew make-ups are no more than four team members per crew (to ensure fair invoicing), and that the crews</w:t>
      </w:r>
    </w:p>
    <w:p w:rsidR="00DF40C6" w:rsidRPr="00F95153" w:rsidRDefault="00DF40C6" w:rsidP="00DF40C6">
      <w:pPr>
        <w:autoSpaceDE w:val="0"/>
        <w:autoSpaceDN w:val="0"/>
        <w:adjustRightInd w:val="0"/>
        <w:spacing w:after="160" w:line="278" w:lineRule="auto"/>
        <w:ind w:left="810"/>
        <w:contextualSpacing/>
        <w:rPr>
          <w:rFonts w:eastAsiaTheme="minorHAnsi"/>
          <w:color w:val="000000"/>
          <w14:ligatures w14:val="standardContextual"/>
        </w:rPr>
      </w:pPr>
      <w:r w:rsidRPr="00F95153">
        <w:rPr>
          <w:rFonts w:eastAsiaTheme="minorHAnsi"/>
          <w:color w:val="000000"/>
          <w14:ligatures w14:val="standardContextual"/>
        </w:rPr>
        <w:lastRenderedPageBreak/>
        <w:t>have at least two line workers and a hot apprentice (minimum standard to safely perform work).</w:t>
      </w:r>
    </w:p>
    <w:p w:rsidR="00DF40C6" w:rsidRPr="00F95153" w:rsidRDefault="00DF40C6" w:rsidP="00DF40C6">
      <w:pPr>
        <w:autoSpaceDE w:val="0"/>
        <w:autoSpaceDN w:val="0"/>
        <w:adjustRightInd w:val="0"/>
        <w:rPr>
          <w:rFonts w:eastAsiaTheme="minorHAnsi"/>
          <w:color w:val="000000"/>
          <w14:ligatures w14:val="standardContextual"/>
        </w:rPr>
      </w:pPr>
    </w:p>
    <w:p w:rsidR="00DF40C6" w:rsidRPr="00F95153" w:rsidRDefault="00DF40C6" w:rsidP="00DF40C6">
      <w:pPr>
        <w:autoSpaceDE w:val="0"/>
        <w:autoSpaceDN w:val="0"/>
        <w:adjustRightInd w:val="0"/>
        <w:rPr>
          <w:rFonts w:eastAsiaTheme="minorHAnsi"/>
          <w:color w:val="000000"/>
          <w14:ligatures w14:val="standardContextual"/>
        </w:rPr>
      </w:pPr>
      <w:r w:rsidRPr="00F95153">
        <w:rPr>
          <w:rFonts w:eastAsiaTheme="minorHAnsi"/>
          <w:color w:val="000000"/>
          <w14:ligatures w14:val="standardContextual"/>
        </w:rPr>
        <w:t>In addition to these process improvements that are already in place, Tampa Electric also identified two additional improvements that the company commits to implement in future storms:</w:t>
      </w:r>
    </w:p>
    <w:p w:rsidR="00DF40C6" w:rsidRPr="00F95153" w:rsidRDefault="00DF40C6" w:rsidP="00DF40C6">
      <w:pPr>
        <w:autoSpaceDE w:val="0"/>
        <w:autoSpaceDN w:val="0"/>
        <w:adjustRightInd w:val="0"/>
        <w:rPr>
          <w:rFonts w:eastAsiaTheme="minorHAnsi"/>
          <w:color w:val="000000"/>
          <w14:ligatures w14:val="standardContextual"/>
        </w:rPr>
      </w:pPr>
    </w:p>
    <w:p w:rsidR="00DF40C6" w:rsidRDefault="00DF40C6" w:rsidP="00DF40C6">
      <w:pPr>
        <w:numPr>
          <w:ilvl w:val="0"/>
          <w:numId w:val="4"/>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Standardized Rate Schedules.</w:t>
      </w:r>
      <w:r w:rsidRPr="00F95153">
        <w:rPr>
          <w:rFonts w:eastAsiaTheme="minorHAnsi"/>
          <w:color w:val="000000"/>
          <w14:ligatures w14:val="standardContextual"/>
        </w:rPr>
        <w:t xml:space="preserve"> Tampa Electric currently implements a standardized rate schedule for contracts with line restoration crews. The company also commits to negotiate for and implement standardized rate schedules for contracts with vegetation management crews in future storms. </w:t>
      </w:r>
    </w:p>
    <w:p w:rsidR="00DF40C6" w:rsidRPr="00F95153" w:rsidRDefault="00DF40C6" w:rsidP="00DF40C6">
      <w:pPr>
        <w:numPr>
          <w:ilvl w:val="0"/>
          <w:numId w:val="4"/>
        </w:numPr>
        <w:autoSpaceDE w:val="0"/>
        <w:autoSpaceDN w:val="0"/>
        <w:adjustRightInd w:val="0"/>
        <w:spacing w:after="160" w:line="278" w:lineRule="auto"/>
        <w:contextualSpacing/>
        <w:rPr>
          <w:rFonts w:eastAsiaTheme="minorHAnsi"/>
          <w:color w:val="000000"/>
          <w14:ligatures w14:val="standardContextual"/>
        </w:rPr>
      </w:pPr>
      <w:r w:rsidRPr="00F95153">
        <w:rPr>
          <w:rFonts w:eastAsiaTheme="minorHAnsi"/>
          <w:b/>
          <w:bCs/>
          <w:color w:val="000000"/>
          <w14:ligatures w14:val="standardContextual"/>
        </w:rPr>
        <w:t>Formalized Exception Reports.</w:t>
      </w:r>
      <w:r w:rsidRPr="00F95153">
        <w:rPr>
          <w:rFonts w:eastAsiaTheme="minorHAnsi"/>
          <w:color w:val="000000"/>
          <w14:ligatures w14:val="standardContextual"/>
        </w:rPr>
        <w:t xml:space="preserve"> To better implement Section II.A of the Future Process Improvements in the 2019 Storm Cost Settlement Agreement, Tampa Electric will formally document all exceptions to standardized requirements that have been communicated to foreign companies.</w:t>
      </w:r>
    </w:p>
    <w:p w:rsidR="00036DF7" w:rsidRDefault="00036DF7" w:rsidP="00036DF7">
      <w:pPr>
        <w:pStyle w:val="OrderBody"/>
      </w:pPr>
    </w:p>
    <w:sectPr w:rsidR="00036DF7">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DF7" w:rsidRDefault="00036DF7">
      <w:r>
        <w:separator/>
      </w:r>
    </w:p>
  </w:endnote>
  <w:endnote w:type="continuationSeparator" w:id="0">
    <w:p w:rsidR="00036DF7" w:rsidRDefault="0003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DF7" w:rsidRDefault="00036DF7">
      <w:r>
        <w:separator/>
      </w:r>
    </w:p>
  </w:footnote>
  <w:footnote w:type="continuationSeparator" w:id="0">
    <w:p w:rsidR="00036DF7" w:rsidRDefault="00036DF7">
      <w:r>
        <w:continuationSeparator/>
      </w:r>
    </w:p>
  </w:footnote>
  <w:footnote w:id="1">
    <w:p w:rsidR="00036DF7" w:rsidRDefault="00036DF7" w:rsidP="00036DF7">
      <w:pPr>
        <w:pStyle w:val="FootnoteText"/>
      </w:pPr>
      <w:r>
        <w:rPr>
          <w:rStyle w:val="FootnoteReference"/>
        </w:rPr>
        <w:footnoteRef/>
      </w:r>
      <w:r>
        <w:t xml:space="preserve"> Order No. PSC-2023-0116-PCO-EI, issued March 27, 2023, in this docket.</w:t>
      </w:r>
    </w:p>
  </w:footnote>
  <w:footnote w:id="2">
    <w:p w:rsidR="00036DF7" w:rsidRPr="0072213F" w:rsidRDefault="00036DF7" w:rsidP="00036DF7">
      <w:pPr>
        <w:pStyle w:val="FootnoteText"/>
      </w:pPr>
      <w:r>
        <w:rPr>
          <w:rStyle w:val="FootnoteReference"/>
        </w:rPr>
        <w:footnoteRef/>
      </w:r>
      <w:r>
        <w:t xml:space="preserve"> Order No. PSC-2021-0423-S-EI, issued November 10, 2021, in Docket Nos. 20210034-EI, </w:t>
      </w:r>
      <w:r>
        <w:rPr>
          <w:i/>
        </w:rPr>
        <w:t xml:space="preserve">In re: Petition for rate increase by Tampa Electric Company </w:t>
      </w:r>
      <w:r>
        <w:t xml:space="preserve">and 20200264-EI, </w:t>
      </w:r>
      <w:r>
        <w:rPr>
          <w:i/>
        </w:rPr>
        <w:t>In re: Petition for approval of 2020 depreciation and dismantlement study and capital recovery schedules, by Tampa Electric Company</w:t>
      </w:r>
      <w:r>
        <w:t xml:space="preserve"> </w:t>
      </w:r>
      <w:r w:rsidRPr="00370760">
        <w:t>(p. 35-36</w:t>
      </w:r>
      <w:r>
        <w:t xml:space="preserve">). </w:t>
      </w:r>
    </w:p>
  </w:footnote>
  <w:footnote w:id="3">
    <w:p w:rsidR="00036DF7" w:rsidRDefault="00036DF7" w:rsidP="00036DF7">
      <w:pPr>
        <w:pStyle w:val="FootnoteText"/>
      </w:pPr>
      <w:r>
        <w:rPr>
          <w:rStyle w:val="FootnoteReference"/>
        </w:rPr>
        <w:footnoteRef/>
      </w:r>
      <w:r>
        <w:t xml:space="preserve"> The Office of Public Counsel’s (OPC’s) position on each Type 2 stipulation is as follows:</w:t>
      </w:r>
    </w:p>
    <w:p w:rsidR="00036DF7" w:rsidRDefault="00036DF7" w:rsidP="00036DF7">
      <w:pPr>
        <w:pStyle w:val="FootnoteText"/>
        <w:ind w:left="720" w:right="720"/>
      </w:pPr>
      <w:r w:rsidRPr="009C0870">
        <w:t xml:space="preserve">OPC takes no position on these issues, nor does it have the burden of proof related to them. As such, the OPC represents that it will not contest or oppose the Commission taking action approving a proposed stipulation between the </w:t>
      </w:r>
      <w:r>
        <w:t>utility</w:t>
      </w:r>
      <w:r w:rsidRPr="009C0870">
        <w:t xml:space="preserve"> and another party or staff as a final resolution of the issue. No person is authorized to state that the OPC is a participant in, or party to, a stipulation on these issues, either in this docket, in an order of the Commission or in a representation to a Court</w:t>
      </w:r>
    </w:p>
  </w:footnote>
  <w:footnote w:id="4">
    <w:p w:rsidR="00036DF7" w:rsidRDefault="00036DF7" w:rsidP="00036DF7">
      <w:pPr>
        <w:pStyle w:val="FootnoteText"/>
      </w:pPr>
      <w:r>
        <w:rPr>
          <w:rStyle w:val="FootnoteReference"/>
        </w:rPr>
        <w:footnoteRef/>
      </w:r>
      <w:r>
        <w:t xml:space="preserve"> Order No. PSC-2021-0423-S-EI, at p. 36. </w:t>
      </w:r>
    </w:p>
  </w:footnote>
  <w:footnote w:id="5">
    <w:p w:rsidR="00036DF7" w:rsidRDefault="00036DF7" w:rsidP="00036DF7">
      <w:pPr>
        <w:pStyle w:val="FootnoteText"/>
      </w:pPr>
      <w:r>
        <w:rPr>
          <w:rStyle w:val="FootnoteReference"/>
        </w:rPr>
        <w:footnoteRef/>
      </w:r>
      <w:r>
        <w:t xml:space="preserve"> Walmart also requested the Commission reconsider the Type 2 Stipulation to Issue 13. However, at the hearing, the parties acknowledged reconsideration was not necessary. TECO provided amended language to Issue 13 which resulted in a Type 2 Stipulation between the parties as detailed in section 2 of this Order. Consequently, the only remaining issue raised by Walmart’s Motion for Reconsideration is Contested Issue A.</w:t>
      </w:r>
    </w:p>
  </w:footnote>
  <w:footnote w:id="6">
    <w:p w:rsidR="00036DF7" w:rsidRPr="00B05F48" w:rsidRDefault="00036DF7" w:rsidP="00036DF7">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7">
    <w:p w:rsidR="00036DF7" w:rsidRPr="00F70DC7" w:rsidRDefault="00036DF7" w:rsidP="00036DF7">
      <w:pPr>
        <w:pStyle w:val="FootnoteText"/>
      </w:pPr>
      <w:r>
        <w:rPr>
          <w:rStyle w:val="FootnoteReference"/>
        </w:rPr>
        <w:footnoteRef/>
      </w:r>
      <w:r>
        <w:t xml:space="preserve"> </w:t>
      </w:r>
      <w:r>
        <w:rPr>
          <w:i/>
        </w:rPr>
        <w:t xml:space="preserve">See </w:t>
      </w:r>
      <w:r>
        <w:t xml:space="preserve">Document No. </w:t>
      </w:r>
      <w:r w:rsidRPr="00F70DC7">
        <w:t>02058-2023</w:t>
      </w:r>
      <w:r>
        <w:t>.</w:t>
      </w:r>
    </w:p>
  </w:footnote>
  <w:footnote w:id="8">
    <w:p w:rsidR="00036DF7" w:rsidRDefault="00036DF7" w:rsidP="00036DF7">
      <w:pPr>
        <w:pStyle w:val="FootnoteText"/>
      </w:pPr>
      <w:r>
        <w:rPr>
          <w:rStyle w:val="FootnoteReference"/>
        </w:rPr>
        <w:footnoteRef/>
      </w:r>
      <w:r>
        <w:t xml:space="preserve"> Order No. PSC-2023-0309-PCO-EI, issued October 17, 2023, in Docket No. 20230019-EI.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91751E">
    <w:pPr>
      <w:pStyle w:val="OrderHeader"/>
    </w:pPr>
    <w:r>
      <w:t xml:space="preserve">ORDER NO. </w:t>
    </w:r>
    <w:fldSimple w:instr=" REF OrderNo0190 ">
      <w:r w:rsidR="002B6479">
        <w:t>PSC-2024-0190-FOF-EI</w:t>
      </w:r>
    </w:fldSimple>
  </w:p>
  <w:p w:rsidR="00FA6EFD" w:rsidRDefault="00036DF7">
    <w:pPr>
      <w:pStyle w:val="OrderHeader"/>
    </w:pPr>
    <w:bookmarkStart w:id="9" w:name="HeaderDocketNo"/>
    <w:bookmarkEnd w:id="9"/>
    <w:r>
      <w:t>DOCKET NO. 20230019-EI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6479">
      <w:rPr>
        <w:rStyle w:val="PageNumber"/>
        <w:noProof/>
      </w:rPr>
      <w:t>9</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F7" w:rsidRDefault="00036DF7" w:rsidP="00036DF7">
    <w:pPr>
      <w:pStyle w:val="OrderHeader"/>
    </w:pPr>
    <w:r>
      <w:t xml:space="preserve">ORDER NO. </w:t>
    </w:r>
    <w:r w:rsidR="0091751E">
      <w:fldChar w:fldCharType="begin"/>
    </w:r>
    <w:r w:rsidR="0091751E">
      <w:instrText xml:space="preserve"> REF OrderNo0190 </w:instrText>
    </w:r>
    <w:r w:rsidR="0091751E">
      <w:fldChar w:fldCharType="separate"/>
    </w:r>
    <w:r w:rsidR="002B6479">
      <w:t>PSC-2024-0190-FOF-EI</w:t>
    </w:r>
    <w:r w:rsidR="0091751E">
      <w:fldChar w:fldCharType="end"/>
    </w:r>
    <w:r>
      <w:tab/>
    </w:r>
    <w:r>
      <w:tab/>
      <w:t>Attachment A</w:t>
    </w:r>
  </w:p>
  <w:p w:rsidR="00036DF7" w:rsidRDefault="00036DF7" w:rsidP="00036DF7">
    <w:pPr>
      <w:pStyle w:val="OrderHeader"/>
    </w:pPr>
    <w:r>
      <w:t>DOCKET NO. 20230019-EI</w:t>
    </w:r>
  </w:p>
  <w:p w:rsidR="00036DF7" w:rsidRDefault="00036DF7" w:rsidP="00036D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6479">
      <w:rPr>
        <w:rStyle w:val="PageNumber"/>
        <w:noProof/>
      </w:rPr>
      <w:t>11</w:t>
    </w:r>
    <w:r>
      <w:rPr>
        <w:rStyle w:val="PageNumber"/>
      </w:rPr>
      <w:fldChar w:fldCharType="end"/>
    </w:r>
  </w:p>
  <w:p w:rsidR="00036DF7" w:rsidRDefault="00036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F7" w:rsidRDefault="00036DF7" w:rsidP="00036DF7">
    <w:pPr>
      <w:pStyle w:val="OrderHeader"/>
    </w:pPr>
    <w:r>
      <w:t xml:space="preserve">ORDER NO. </w:t>
    </w:r>
    <w:r w:rsidR="0091751E">
      <w:fldChar w:fldCharType="begin"/>
    </w:r>
    <w:r w:rsidR="0091751E">
      <w:instrText xml:space="preserve"> REF OrderNo0190 </w:instrText>
    </w:r>
    <w:r w:rsidR="0091751E">
      <w:fldChar w:fldCharType="separate"/>
    </w:r>
    <w:r w:rsidR="002B6479">
      <w:t>PSC-2024-0190-FOF-EI</w:t>
    </w:r>
    <w:r w:rsidR="0091751E">
      <w:fldChar w:fldCharType="end"/>
    </w:r>
    <w:r>
      <w:tab/>
    </w:r>
    <w:r>
      <w:tab/>
      <w:t>Attachment A</w:t>
    </w:r>
  </w:p>
  <w:p w:rsidR="00036DF7" w:rsidRDefault="00036DF7" w:rsidP="00036DF7">
    <w:pPr>
      <w:pStyle w:val="OrderHeader"/>
    </w:pPr>
    <w:r>
      <w:t>DOCKET NO. 20230019-EI</w:t>
    </w:r>
  </w:p>
  <w:p w:rsidR="00036DF7" w:rsidRDefault="00036DF7" w:rsidP="00036D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6479">
      <w:rPr>
        <w:rStyle w:val="PageNumber"/>
        <w:noProof/>
      </w:rPr>
      <w:t>12</w:t>
    </w:r>
    <w:r>
      <w:rPr>
        <w:rStyle w:val="PageNumber"/>
      </w:rPr>
      <w:fldChar w:fldCharType="end"/>
    </w:r>
  </w:p>
  <w:p w:rsidR="00036DF7" w:rsidRDefault="00036D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C6" w:rsidRDefault="00DF40C6" w:rsidP="00036DF7">
    <w:pPr>
      <w:pStyle w:val="OrderHeader"/>
    </w:pPr>
    <w:r>
      <w:t xml:space="preserve">ORDER NO. </w:t>
    </w:r>
    <w:r w:rsidR="0091751E">
      <w:fldChar w:fldCharType="begin"/>
    </w:r>
    <w:r w:rsidR="0091751E">
      <w:instrText xml:space="preserve"> REF OrderNo0190 </w:instrText>
    </w:r>
    <w:r w:rsidR="0091751E">
      <w:fldChar w:fldCharType="separate"/>
    </w:r>
    <w:r w:rsidR="002B6479">
      <w:t>PSC-2024-0190-FOF-EI</w:t>
    </w:r>
    <w:r w:rsidR="0091751E">
      <w:fldChar w:fldCharType="end"/>
    </w:r>
    <w:r>
      <w:tab/>
    </w:r>
    <w:r>
      <w:tab/>
      <w:t>Attachment A</w:t>
    </w:r>
  </w:p>
  <w:p w:rsidR="00DF40C6" w:rsidRDefault="00DF40C6" w:rsidP="00036DF7">
    <w:pPr>
      <w:pStyle w:val="OrderHeader"/>
    </w:pPr>
    <w:r>
      <w:t>DOCKET NO. 20230019-EI</w:t>
    </w:r>
  </w:p>
  <w:p w:rsidR="00DF40C6" w:rsidRDefault="00DF40C6" w:rsidP="00036D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6479">
      <w:rPr>
        <w:rStyle w:val="PageNumber"/>
        <w:noProof/>
      </w:rPr>
      <w:t>13</w:t>
    </w:r>
    <w:r>
      <w:rPr>
        <w:rStyle w:val="PageNumber"/>
      </w:rPr>
      <w:fldChar w:fldCharType="end"/>
    </w:r>
  </w:p>
  <w:p w:rsidR="00DF40C6" w:rsidRDefault="00DF40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C6" w:rsidRDefault="00DF40C6" w:rsidP="00036DF7">
    <w:pPr>
      <w:pStyle w:val="OrderHeader"/>
    </w:pPr>
    <w:r>
      <w:t xml:space="preserve">ORDER NO. </w:t>
    </w:r>
    <w:r w:rsidR="0091751E">
      <w:fldChar w:fldCharType="begin"/>
    </w:r>
    <w:r w:rsidR="0091751E">
      <w:instrText xml:space="preserve"> REF OrderNo0190 </w:instrText>
    </w:r>
    <w:r w:rsidR="0091751E">
      <w:fldChar w:fldCharType="separate"/>
    </w:r>
    <w:r w:rsidR="002B6479">
      <w:t>PSC-2024-0190-FOF-EI</w:t>
    </w:r>
    <w:r w:rsidR="0091751E">
      <w:fldChar w:fldCharType="end"/>
    </w:r>
    <w:r>
      <w:tab/>
    </w:r>
    <w:r>
      <w:tab/>
      <w:t>Attachment A</w:t>
    </w:r>
  </w:p>
  <w:p w:rsidR="00DF40C6" w:rsidRDefault="00DF40C6" w:rsidP="00036DF7">
    <w:pPr>
      <w:pStyle w:val="OrderHeader"/>
    </w:pPr>
    <w:r>
      <w:t>DOCKET NO. 20230019-EI</w:t>
    </w:r>
  </w:p>
  <w:p w:rsidR="00DF40C6" w:rsidRDefault="00DF40C6" w:rsidP="00036D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6479">
      <w:rPr>
        <w:rStyle w:val="PageNumber"/>
        <w:noProof/>
      </w:rPr>
      <w:t>14</w:t>
    </w:r>
    <w:r>
      <w:rPr>
        <w:rStyle w:val="PageNumber"/>
      </w:rPr>
      <w:fldChar w:fldCharType="end"/>
    </w:r>
  </w:p>
  <w:p w:rsidR="00DF40C6" w:rsidRDefault="00DF4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0E1"/>
    <w:multiLevelType w:val="hybridMultilevel"/>
    <w:tmpl w:val="4BB4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429E0"/>
    <w:multiLevelType w:val="hybridMultilevel"/>
    <w:tmpl w:val="DBA83658"/>
    <w:lvl w:ilvl="0" w:tplc="5BDEF122">
      <w:start w:val="1"/>
      <w:numFmt w:val="decimal"/>
      <w:lvlText w:val="%1."/>
      <w:lvlJc w:val="left"/>
      <w:pPr>
        <w:ind w:left="810" w:hanging="360"/>
      </w:pPr>
      <w:rPr>
        <w:rFonts w:ascii="Times New Roman" w:hAnsi="Times New Roman" w:cs="Times New Roman"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50F6FD9"/>
    <w:multiLevelType w:val="hybridMultilevel"/>
    <w:tmpl w:val="7998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D0C99"/>
    <w:multiLevelType w:val="hybridMultilevel"/>
    <w:tmpl w:val="F65A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036DF7"/>
    <w:rsid w:val="000022B8"/>
    <w:rsid w:val="00003883"/>
    <w:rsid w:val="00011251"/>
    <w:rsid w:val="00025C2A"/>
    <w:rsid w:val="00025C9D"/>
    <w:rsid w:val="0003433F"/>
    <w:rsid w:val="00035A8C"/>
    <w:rsid w:val="00036BDD"/>
    <w:rsid w:val="00036DF7"/>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6479"/>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6499"/>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751E"/>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5738"/>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40C6"/>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64CB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036DF7"/>
  </w:style>
  <w:style w:type="paragraph" w:styleId="ListParagraph">
    <w:name w:val="List Paragraph"/>
    <w:basedOn w:val="Normal"/>
    <w:uiPriority w:val="34"/>
    <w:qFormat/>
    <w:rsid w:val="00036DF7"/>
    <w:pPr>
      <w:ind w:left="720"/>
      <w:contextualSpacing/>
    </w:pPr>
  </w:style>
  <w:style w:type="paragraph" w:styleId="BalloonText">
    <w:name w:val="Balloon Text"/>
    <w:basedOn w:val="Normal"/>
    <w:link w:val="BalloonTextChar"/>
    <w:semiHidden/>
    <w:unhideWhenUsed/>
    <w:rsid w:val="002B6479"/>
    <w:rPr>
      <w:rFonts w:ascii="Segoe UI" w:hAnsi="Segoe UI" w:cs="Segoe UI"/>
      <w:sz w:val="18"/>
      <w:szCs w:val="18"/>
    </w:rPr>
  </w:style>
  <w:style w:type="character" w:customStyle="1" w:styleId="BalloonTextChar">
    <w:name w:val="Balloon Text Char"/>
    <w:basedOn w:val="DefaultParagraphFont"/>
    <w:link w:val="BalloonText"/>
    <w:semiHidden/>
    <w:rsid w:val="002B6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14</Pages>
  <Words>4433</Words>
  <Characters>25271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2024-06-13T14:01:00Z</dcterms:created>
  <dcterms:modified xsi:type="dcterms:W3CDTF">2024-06-13T14:31:00Z</dcterms:modified>
</cp:coreProperties>
</file>