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EF35E" w14:textId="77777777" w:rsidR="00CB5276" w:rsidRDefault="006E669B" w:rsidP="006E669B">
      <w:pPr>
        <w:pStyle w:val="OrderHeading"/>
      </w:pPr>
      <w:r>
        <w:t>BEFORE THE FLORIDA PUBLIC SERVICE COMMISSION</w:t>
      </w:r>
    </w:p>
    <w:p w14:paraId="52AB21B5" w14:textId="77777777" w:rsidR="006E669B" w:rsidRDefault="006E669B" w:rsidP="006E669B">
      <w:pPr>
        <w:pStyle w:val="OrderBody"/>
      </w:pPr>
    </w:p>
    <w:p w14:paraId="0A38FE50" w14:textId="77777777" w:rsidR="006E669B" w:rsidRDefault="006E669B" w:rsidP="006E66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669B" w:rsidRPr="00C63FCF" w14:paraId="7DA4CB15" w14:textId="77777777" w:rsidTr="006E06A6">
        <w:trPr>
          <w:trHeight w:val="828"/>
        </w:trPr>
        <w:tc>
          <w:tcPr>
            <w:tcW w:w="4788" w:type="dxa"/>
            <w:tcBorders>
              <w:bottom w:val="single" w:sz="8" w:space="0" w:color="auto"/>
              <w:right w:val="double" w:sz="6" w:space="0" w:color="auto"/>
            </w:tcBorders>
            <w:shd w:val="clear" w:color="auto" w:fill="auto"/>
          </w:tcPr>
          <w:p w14:paraId="47810992" w14:textId="77777777" w:rsidR="006E669B" w:rsidRDefault="006E669B" w:rsidP="006E06A6">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14:paraId="3C58FCF5" w14:textId="77777777" w:rsidR="006E669B" w:rsidRDefault="006E669B" w:rsidP="006E669B">
            <w:pPr>
              <w:pStyle w:val="OrderBody"/>
            </w:pPr>
            <w:r>
              <w:t xml:space="preserve">DOCKET NO. </w:t>
            </w:r>
            <w:bookmarkStart w:id="1" w:name="SSDocketNo"/>
            <w:bookmarkEnd w:id="1"/>
            <w:r>
              <w:t>20230017-EI</w:t>
            </w:r>
          </w:p>
          <w:p w14:paraId="3CED1174" w14:textId="5823BAD2" w:rsidR="006E669B" w:rsidRDefault="006E669B" w:rsidP="006E06A6">
            <w:pPr>
              <w:pStyle w:val="OrderBody"/>
              <w:tabs>
                <w:tab w:val="center" w:pos="4320"/>
                <w:tab w:val="right" w:pos="8640"/>
              </w:tabs>
              <w:jc w:val="left"/>
            </w:pPr>
            <w:r>
              <w:t xml:space="preserve">ORDER NO. </w:t>
            </w:r>
            <w:bookmarkStart w:id="2" w:name="OrderNo0192"/>
            <w:r w:rsidR="00687F26">
              <w:t>PSC-2024-0192-PHO-EI</w:t>
            </w:r>
            <w:bookmarkEnd w:id="2"/>
          </w:p>
          <w:p w14:paraId="6DC36FCC" w14:textId="5916A528" w:rsidR="006E669B" w:rsidRDefault="006E669B" w:rsidP="006E06A6">
            <w:pPr>
              <w:pStyle w:val="OrderBody"/>
              <w:tabs>
                <w:tab w:val="center" w:pos="4320"/>
                <w:tab w:val="right" w:pos="8640"/>
              </w:tabs>
              <w:jc w:val="left"/>
            </w:pPr>
            <w:r>
              <w:t xml:space="preserve">ISSUED: </w:t>
            </w:r>
            <w:r w:rsidR="00687F26">
              <w:t>June 14, 2024</w:t>
            </w:r>
          </w:p>
        </w:tc>
      </w:tr>
    </w:tbl>
    <w:p w14:paraId="360FED13" w14:textId="77777777" w:rsidR="006E669B" w:rsidRDefault="006E669B" w:rsidP="006E669B"/>
    <w:p w14:paraId="1C06C2E7" w14:textId="77777777" w:rsidR="00CB5276" w:rsidRDefault="006E669B" w:rsidP="006E669B">
      <w:pPr>
        <w:pStyle w:val="CenterUnderline"/>
      </w:pPr>
      <w:bookmarkStart w:id="3" w:name="Commissioners"/>
      <w:bookmarkEnd w:id="3"/>
      <w:r>
        <w:t>PREHEARING ORDER</w:t>
      </w:r>
    </w:p>
    <w:p w14:paraId="4A6FD8F5" w14:textId="77777777" w:rsidR="006E669B" w:rsidRDefault="006E669B" w:rsidP="006E669B">
      <w:pPr>
        <w:pStyle w:val="CenterUnderline"/>
      </w:pPr>
    </w:p>
    <w:p w14:paraId="3FE2FBF5" w14:textId="77777777" w:rsidR="006E669B" w:rsidRPr="006E669B" w:rsidRDefault="006E669B" w:rsidP="006E669B">
      <w:pPr>
        <w:ind w:firstLine="720"/>
        <w:jc w:val="both"/>
      </w:pPr>
      <w:bookmarkStart w:id="4" w:name="OrderText"/>
      <w:bookmarkEnd w:id="4"/>
      <w:r w:rsidRPr="006E669B">
        <w:t>Pursuant to Notice and in accordance with Rule 28-106.209, Florida Administrative Code (F.A.C.), a Prehearing Conference was held on</w:t>
      </w:r>
      <w:r w:rsidR="00C3390E">
        <w:t xml:space="preserve"> June 11, 2024</w:t>
      </w:r>
      <w:r w:rsidRPr="006E669B">
        <w:t xml:space="preserve">, in </w:t>
      </w:r>
      <w:smartTag w:uri="urn:schemas-microsoft-com:office:smarttags" w:element="place">
        <w:smartTag w:uri="urn:schemas-microsoft-com:office:smarttags" w:element="City">
          <w:r w:rsidRPr="006E669B">
            <w:t>Tallahassee</w:t>
          </w:r>
        </w:smartTag>
        <w:r w:rsidRPr="006E669B">
          <w:t xml:space="preserve">, </w:t>
        </w:r>
        <w:smartTag w:uri="urn:schemas-microsoft-com:office:smarttags" w:element="State">
          <w:r w:rsidRPr="006E669B">
            <w:t>Florida</w:t>
          </w:r>
        </w:smartTag>
      </w:smartTag>
      <w:r w:rsidRPr="006E669B">
        <w:t xml:space="preserve">, before Commissioner </w:t>
      </w:r>
      <w:r w:rsidR="00C3390E">
        <w:t>Art Graham</w:t>
      </w:r>
      <w:r w:rsidRPr="006E669B">
        <w:t>, as Prehearing Officer.</w:t>
      </w:r>
    </w:p>
    <w:p w14:paraId="01E8AE64" w14:textId="77777777" w:rsidR="006E669B" w:rsidRPr="006E669B" w:rsidRDefault="006E669B" w:rsidP="006E669B">
      <w:pPr>
        <w:jc w:val="both"/>
      </w:pPr>
    </w:p>
    <w:p w14:paraId="5676D146" w14:textId="77777777" w:rsidR="006E669B" w:rsidRPr="006E669B" w:rsidRDefault="006E669B" w:rsidP="006E669B">
      <w:pPr>
        <w:jc w:val="both"/>
      </w:pPr>
      <w:r w:rsidRPr="006E669B">
        <w:t>APPEARANCES:</w:t>
      </w:r>
    </w:p>
    <w:p w14:paraId="274744F2" w14:textId="77777777" w:rsidR="006E669B" w:rsidRPr="006E669B" w:rsidRDefault="006E669B" w:rsidP="006E669B">
      <w:pPr>
        <w:jc w:val="both"/>
      </w:pPr>
    </w:p>
    <w:p w14:paraId="742CD293" w14:textId="77777777" w:rsidR="006E669B" w:rsidRPr="006E669B" w:rsidRDefault="0057248E" w:rsidP="006E669B">
      <w:pPr>
        <w:ind w:left="1440"/>
        <w:jc w:val="both"/>
      </w:pPr>
      <w:r>
        <w:t>CHRISTOPHER T. WRIGHT and JOEL T. BAKER</w:t>
      </w:r>
      <w:r w:rsidR="006E669B" w:rsidRPr="006E669B">
        <w:t>, ESQUIRE</w:t>
      </w:r>
      <w:r>
        <w:t>S</w:t>
      </w:r>
      <w:r w:rsidR="006E669B" w:rsidRPr="006E669B">
        <w:t xml:space="preserve">, </w:t>
      </w:r>
      <w:r>
        <w:t>700 Universe Blvd., Juno Beach, Florida  33408</w:t>
      </w:r>
    </w:p>
    <w:p w14:paraId="7697495C" w14:textId="77777777" w:rsidR="006E669B" w:rsidRPr="006E669B" w:rsidRDefault="006E669B" w:rsidP="006E669B">
      <w:pPr>
        <w:ind w:left="720" w:firstLine="720"/>
        <w:jc w:val="both"/>
      </w:pPr>
      <w:r w:rsidRPr="006E669B">
        <w:rPr>
          <w:u w:val="single"/>
        </w:rPr>
        <w:t xml:space="preserve">On behalf of </w:t>
      </w:r>
      <w:r w:rsidR="0057248E">
        <w:rPr>
          <w:u w:val="single"/>
        </w:rPr>
        <w:t>Florida Power &amp; Light Company</w:t>
      </w:r>
      <w:r w:rsidRPr="006E669B">
        <w:rPr>
          <w:u w:val="single"/>
        </w:rPr>
        <w:t xml:space="preserve"> (</w:t>
      </w:r>
      <w:r w:rsidR="0057248E">
        <w:rPr>
          <w:u w:val="single"/>
        </w:rPr>
        <w:t>FPL</w:t>
      </w:r>
      <w:r w:rsidRPr="006E669B">
        <w:rPr>
          <w:u w:val="single"/>
        </w:rPr>
        <w:t>)</w:t>
      </w:r>
      <w:r w:rsidRPr="006E669B">
        <w:t>.</w:t>
      </w:r>
    </w:p>
    <w:p w14:paraId="24E64748" w14:textId="77777777" w:rsidR="006E669B" w:rsidRPr="006E669B" w:rsidRDefault="006E669B" w:rsidP="006E669B">
      <w:pPr>
        <w:jc w:val="both"/>
      </w:pPr>
    </w:p>
    <w:p w14:paraId="31496E8C" w14:textId="77777777" w:rsidR="006E669B" w:rsidRPr="006E669B" w:rsidRDefault="00593E20" w:rsidP="006E669B">
      <w:pPr>
        <w:ind w:left="1440"/>
        <w:jc w:val="both"/>
      </w:pPr>
      <w:r w:rsidRPr="00593E20">
        <w:t>WALT TRIERWEILER, Public Counsel, CHARLES REHWINKEL,</w:t>
      </w:r>
      <w:r w:rsidR="00022214">
        <w:t xml:space="preserve"> and</w:t>
      </w:r>
      <w:r>
        <w:t xml:space="preserve"> PATRICIA A. CHRISTENSEN</w:t>
      </w:r>
      <w:r w:rsidRPr="00593E20">
        <w:t>, ESQUIRES, Office of Public Counsel, c/o The Florida Legislature, 111 W. Madison Street, Room 812, Tallahassee, Florida 32399</w:t>
      </w:r>
    </w:p>
    <w:p w14:paraId="6922BF15" w14:textId="77777777" w:rsidR="006E669B" w:rsidRPr="006E669B" w:rsidRDefault="006E669B" w:rsidP="006E669B">
      <w:pPr>
        <w:ind w:left="720" w:firstLine="720"/>
        <w:jc w:val="both"/>
      </w:pPr>
      <w:r w:rsidRPr="006E669B">
        <w:rPr>
          <w:u w:val="single"/>
        </w:rPr>
        <w:t xml:space="preserve">On behalf of </w:t>
      </w:r>
      <w:r w:rsidR="009F4689">
        <w:rPr>
          <w:u w:val="single"/>
        </w:rPr>
        <w:t>Office of Public Counsel</w:t>
      </w:r>
      <w:r w:rsidRPr="006E669B">
        <w:rPr>
          <w:u w:val="single"/>
        </w:rPr>
        <w:t xml:space="preserve"> (</w:t>
      </w:r>
      <w:r w:rsidR="009F4689">
        <w:rPr>
          <w:u w:val="single"/>
        </w:rPr>
        <w:t>OPC</w:t>
      </w:r>
      <w:r w:rsidRPr="006E669B">
        <w:rPr>
          <w:u w:val="single"/>
        </w:rPr>
        <w:t>)</w:t>
      </w:r>
      <w:r w:rsidRPr="006E669B">
        <w:t xml:space="preserve">. </w:t>
      </w:r>
    </w:p>
    <w:p w14:paraId="75097ABE" w14:textId="77777777" w:rsidR="006E669B" w:rsidRPr="006E669B" w:rsidRDefault="006E669B" w:rsidP="006E669B">
      <w:pPr>
        <w:jc w:val="both"/>
      </w:pPr>
    </w:p>
    <w:p w14:paraId="07B6BD5E" w14:textId="77777777" w:rsidR="009F1644" w:rsidRPr="00B828FE" w:rsidRDefault="009F1644" w:rsidP="009F1644">
      <w:pPr>
        <w:ind w:left="1440"/>
        <w:jc w:val="both"/>
      </w:pPr>
      <w:r>
        <w:t>STEPHANIE U. EATON</w:t>
      </w:r>
      <w:r w:rsidRPr="00B828FE">
        <w:t xml:space="preserve">, ESQUIRE, </w:t>
      </w:r>
      <w:r>
        <w:t>Spilman, Thomas &amp; Battle, PLLC, 110 Oakwood Drive, Suite 500, Winston-Salem, North Carolina 27103</w:t>
      </w:r>
    </w:p>
    <w:p w14:paraId="088B79D2" w14:textId="77777777" w:rsidR="009F1644" w:rsidRPr="00B828FE" w:rsidRDefault="009F1644" w:rsidP="009F1644">
      <w:pPr>
        <w:ind w:left="720" w:firstLine="720"/>
        <w:jc w:val="both"/>
      </w:pPr>
      <w:r w:rsidRPr="00B828FE">
        <w:rPr>
          <w:u w:val="single"/>
        </w:rPr>
        <w:t xml:space="preserve">On behalf of </w:t>
      </w:r>
      <w:r>
        <w:rPr>
          <w:u w:val="single"/>
        </w:rPr>
        <w:t>Walmart, Inc.</w:t>
      </w:r>
      <w:r w:rsidRPr="00B828FE">
        <w:rPr>
          <w:u w:val="single"/>
        </w:rPr>
        <w:t xml:space="preserve"> (</w:t>
      </w:r>
      <w:r>
        <w:rPr>
          <w:u w:val="single"/>
        </w:rPr>
        <w:t>Walmart</w:t>
      </w:r>
      <w:r w:rsidRPr="00B828FE">
        <w:rPr>
          <w:u w:val="single"/>
        </w:rPr>
        <w:t>)</w:t>
      </w:r>
      <w:r w:rsidRPr="00B828FE">
        <w:t>.</w:t>
      </w:r>
    </w:p>
    <w:p w14:paraId="69CD2961" w14:textId="77777777" w:rsidR="009F1644" w:rsidRPr="00B828FE" w:rsidRDefault="009F1644" w:rsidP="009F1644">
      <w:pPr>
        <w:jc w:val="both"/>
      </w:pPr>
    </w:p>
    <w:p w14:paraId="7EB96200" w14:textId="77777777" w:rsidR="009F1644" w:rsidRPr="00B828FE" w:rsidRDefault="009F1644" w:rsidP="009F1644">
      <w:pPr>
        <w:ind w:left="1440"/>
        <w:jc w:val="both"/>
      </w:pPr>
      <w:r>
        <w:t>DERRICK PRICE WILLIAMSON and STEVEN W. LEE, ESQUIRES</w:t>
      </w:r>
      <w:r w:rsidRPr="00B828FE">
        <w:t xml:space="preserve">, </w:t>
      </w:r>
      <w:r>
        <w:t>Spilman, Thomas &amp; Battle, PLLC, 1100 Bent Creek Blvd., Suite 101, Mechanicsburg, Pennsylvania 17050</w:t>
      </w:r>
    </w:p>
    <w:p w14:paraId="28F18C31" w14:textId="77777777" w:rsidR="009F1644" w:rsidRPr="00B828FE" w:rsidRDefault="009F1644" w:rsidP="009F1644">
      <w:pPr>
        <w:ind w:left="720" w:firstLine="720"/>
        <w:jc w:val="both"/>
      </w:pPr>
      <w:r w:rsidRPr="00B828FE">
        <w:rPr>
          <w:u w:val="single"/>
        </w:rPr>
        <w:t xml:space="preserve">On behalf of </w:t>
      </w:r>
      <w:r>
        <w:rPr>
          <w:u w:val="single"/>
        </w:rPr>
        <w:t>Walmart, Inc.</w:t>
      </w:r>
      <w:r w:rsidRPr="00B828FE">
        <w:rPr>
          <w:u w:val="single"/>
        </w:rPr>
        <w:t xml:space="preserve"> (</w:t>
      </w:r>
      <w:r>
        <w:rPr>
          <w:u w:val="single"/>
        </w:rPr>
        <w:t>Walmart</w:t>
      </w:r>
      <w:r w:rsidRPr="00B828FE">
        <w:rPr>
          <w:u w:val="single"/>
        </w:rPr>
        <w:t>)</w:t>
      </w:r>
      <w:r w:rsidRPr="00B828FE">
        <w:t>.</w:t>
      </w:r>
    </w:p>
    <w:p w14:paraId="559C06BF" w14:textId="77777777" w:rsidR="0057248E" w:rsidRPr="006E669B" w:rsidRDefault="0057248E" w:rsidP="0057248E">
      <w:pPr>
        <w:jc w:val="both"/>
      </w:pPr>
    </w:p>
    <w:p w14:paraId="5DBBAA25" w14:textId="77777777" w:rsidR="006E669B" w:rsidRPr="006E669B" w:rsidRDefault="00C3390E" w:rsidP="006E669B">
      <w:pPr>
        <w:ind w:left="1440"/>
        <w:jc w:val="both"/>
      </w:pPr>
      <w:r>
        <w:t>SHAW STILLER</w:t>
      </w:r>
      <w:r w:rsidR="0057248E">
        <w:t xml:space="preserve"> and DANIEL DOSE</w:t>
      </w:r>
      <w:r w:rsidR="006E669B" w:rsidRPr="006E669B">
        <w:t xml:space="preserve"> ESQUIRE</w:t>
      </w:r>
      <w:r w:rsidR="0057248E">
        <w:t>S</w:t>
      </w:r>
      <w:r w:rsidR="006E669B" w:rsidRPr="006E669B">
        <w:t xml:space="preserve">, </w:t>
      </w:r>
      <w:smartTag w:uri="urn:schemas-microsoft-com:office:smarttags" w:element="State">
        <w:smartTag w:uri="urn:schemas-microsoft-com:office:smarttags" w:element="place">
          <w:r w:rsidR="006E669B" w:rsidRPr="006E669B">
            <w:t>Florida</w:t>
          </w:r>
        </w:smartTag>
      </w:smartTag>
      <w:r w:rsidR="006E669B" w:rsidRPr="006E669B">
        <w:t xml:space="preserve"> Public Service Commission, </w:t>
      </w:r>
      <w:smartTag w:uri="urn:schemas-microsoft-com:office:smarttags" w:element="address">
        <w:smartTag w:uri="urn:schemas-microsoft-com:office:smarttags" w:element="Street">
          <w:r w:rsidR="006E669B" w:rsidRPr="006E669B">
            <w:t>2540 Shumard Oak Boulevard</w:t>
          </w:r>
        </w:smartTag>
        <w:r w:rsidR="006E669B" w:rsidRPr="006E669B">
          <w:t xml:space="preserve">, </w:t>
        </w:r>
        <w:smartTag w:uri="urn:schemas-microsoft-com:office:smarttags" w:element="City">
          <w:r w:rsidR="006E669B" w:rsidRPr="006E669B">
            <w:t>Tallahassee</w:t>
          </w:r>
        </w:smartTag>
        <w:r w:rsidR="006E669B" w:rsidRPr="006E669B">
          <w:t xml:space="preserve">, </w:t>
        </w:r>
        <w:smartTag w:uri="urn:schemas-microsoft-com:office:smarttags" w:element="State">
          <w:r w:rsidR="006E669B" w:rsidRPr="006E669B">
            <w:t>Florida</w:t>
          </w:r>
        </w:smartTag>
        <w:r w:rsidR="006E669B" w:rsidRPr="006E669B">
          <w:t xml:space="preserve"> </w:t>
        </w:r>
        <w:smartTag w:uri="urn:schemas-microsoft-com:office:smarttags" w:element="PostalCode">
          <w:r w:rsidR="006E669B" w:rsidRPr="006E669B">
            <w:t>32399-0850</w:t>
          </w:r>
        </w:smartTag>
      </w:smartTag>
    </w:p>
    <w:p w14:paraId="037B48B4" w14:textId="77777777" w:rsidR="006E669B" w:rsidRPr="006E669B" w:rsidRDefault="006E669B" w:rsidP="006E669B">
      <w:pPr>
        <w:ind w:left="720" w:firstLine="720"/>
        <w:jc w:val="both"/>
      </w:pPr>
      <w:r w:rsidRPr="006E669B">
        <w:rPr>
          <w:u w:val="single"/>
        </w:rPr>
        <w:t xml:space="preserve">On behalf of the </w:t>
      </w:r>
      <w:smartTag w:uri="urn:schemas-microsoft-com:office:smarttags" w:element="place">
        <w:smartTag w:uri="urn:schemas-microsoft-com:office:smarttags" w:element="State">
          <w:r w:rsidRPr="006E669B">
            <w:rPr>
              <w:u w:val="single"/>
            </w:rPr>
            <w:t>Florida</w:t>
          </w:r>
        </w:smartTag>
      </w:smartTag>
      <w:r w:rsidRPr="006E669B">
        <w:rPr>
          <w:u w:val="single"/>
        </w:rPr>
        <w:t xml:space="preserve"> Public Service Commission (Staff)</w:t>
      </w:r>
      <w:r w:rsidRPr="006E669B">
        <w:t>.</w:t>
      </w:r>
    </w:p>
    <w:p w14:paraId="2BA0CD26" w14:textId="77777777" w:rsidR="006E669B" w:rsidRPr="006E669B" w:rsidRDefault="006E669B" w:rsidP="006E669B">
      <w:pPr>
        <w:jc w:val="both"/>
      </w:pPr>
    </w:p>
    <w:p w14:paraId="52EB07A4" w14:textId="77777777" w:rsidR="006E669B" w:rsidRPr="006E669B" w:rsidRDefault="006E669B" w:rsidP="006E669B">
      <w:pPr>
        <w:ind w:left="1440"/>
        <w:jc w:val="both"/>
      </w:pPr>
      <w:r w:rsidRPr="006E669B">
        <w:t xml:space="preserve">MARY ANNE HELTON, ESQUIRE, </w:t>
      </w:r>
      <w:smartTag w:uri="urn:schemas-microsoft-com:office:smarttags" w:element="place">
        <w:smartTag w:uri="urn:schemas-microsoft-com:office:smarttags" w:element="City">
          <w:r w:rsidRPr="006E669B">
            <w:t>Deputy General</w:t>
          </w:r>
        </w:smartTag>
        <w:r w:rsidRPr="006E669B">
          <w:t xml:space="preserve"> </w:t>
        </w:r>
        <w:smartTag w:uri="urn:schemas-microsoft-com:office:smarttags" w:element="State">
          <w:r w:rsidRPr="006E669B">
            <w:t>Counsel</w:t>
          </w:r>
        </w:smartTag>
        <w:r w:rsidRPr="006E669B">
          <w:t xml:space="preserve">, </w:t>
        </w:r>
        <w:smartTag w:uri="urn:schemas-microsoft-com:office:smarttags" w:element="State">
          <w:r w:rsidRPr="006E669B">
            <w:t>Florida</w:t>
          </w:r>
        </w:smartTag>
      </w:smartTag>
      <w:r w:rsidRPr="006E669B">
        <w:t xml:space="preserve"> Public Service Commission, </w:t>
      </w:r>
      <w:smartTag w:uri="urn:schemas-microsoft-com:office:smarttags" w:element="address">
        <w:smartTag w:uri="urn:schemas-microsoft-com:office:smarttags" w:element="Street">
          <w:r w:rsidRPr="006E669B">
            <w:t>2540 Shumard Oak Boulevard</w:t>
          </w:r>
        </w:smartTag>
        <w:r w:rsidRPr="006E669B">
          <w:t xml:space="preserve">, </w:t>
        </w:r>
        <w:smartTag w:uri="urn:schemas-microsoft-com:office:smarttags" w:element="City">
          <w:r w:rsidRPr="006E669B">
            <w:t>Tallahassee</w:t>
          </w:r>
        </w:smartTag>
        <w:r w:rsidRPr="006E669B">
          <w:t xml:space="preserve">, </w:t>
        </w:r>
        <w:smartTag w:uri="urn:schemas-microsoft-com:office:smarttags" w:element="State">
          <w:r w:rsidRPr="006E669B">
            <w:t>Florida</w:t>
          </w:r>
        </w:smartTag>
        <w:r w:rsidRPr="006E669B">
          <w:t xml:space="preserve"> </w:t>
        </w:r>
        <w:smartTag w:uri="urn:schemas-microsoft-com:office:smarttags" w:element="PostalCode">
          <w:r w:rsidRPr="006E669B">
            <w:t>32399-0850</w:t>
          </w:r>
        </w:smartTag>
      </w:smartTag>
    </w:p>
    <w:p w14:paraId="1D90FA71" w14:textId="77777777" w:rsidR="006E669B" w:rsidRPr="006E669B" w:rsidRDefault="006E669B" w:rsidP="006E669B">
      <w:pPr>
        <w:ind w:left="720" w:firstLine="720"/>
        <w:jc w:val="both"/>
      </w:pPr>
      <w:r w:rsidRPr="006E669B">
        <w:rPr>
          <w:u w:val="single"/>
        </w:rPr>
        <w:t xml:space="preserve">Advisor to the </w:t>
      </w:r>
      <w:smartTag w:uri="urn:schemas-microsoft-com:office:smarttags" w:element="place">
        <w:smartTag w:uri="urn:schemas-microsoft-com:office:smarttags" w:element="State">
          <w:r w:rsidRPr="006E669B">
            <w:rPr>
              <w:u w:val="single"/>
            </w:rPr>
            <w:t>Florida</w:t>
          </w:r>
        </w:smartTag>
      </w:smartTag>
      <w:r w:rsidRPr="006E669B">
        <w:rPr>
          <w:u w:val="single"/>
        </w:rPr>
        <w:t xml:space="preserve"> Public Service Commission</w:t>
      </w:r>
      <w:r w:rsidRPr="006E669B">
        <w:t>.</w:t>
      </w:r>
    </w:p>
    <w:p w14:paraId="5DE48F0D" w14:textId="77777777" w:rsidR="006E669B" w:rsidRPr="006E669B" w:rsidRDefault="006E669B" w:rsidP="006E669B">
      <w:pPr>
        <w:jc w:val="center"/>
        <w:rPr>
          <w:b/>
          <w:bCs/>
          <w:u w:val="single"/>
        </w:rPr>
      </w:pPr>
    </w:p>
    <w:p w14:paraId="2450C2EF" w14:textId="77777777" w:rsidR="003D5785" w:rsidRDefault="003D5785" w:rsidP="006E669B">
      <w:pPr>
        <w:ind w:left="1440"/>
        <w:jc w:val="both"/>
      </w:pPr>
    </w:p>
    <w:p w14:paraId="4953232A" w14:textId="77777777" w:rsidR="006E669B" w:rsidRPr="006E669B" w:rsidRDefault="006E669B" w:rsidP="006E669B">
      <w:pPr>
        <w:ind w:left="1440"/>
        <w:jc w:val="both"/>
      </w:pPr>
      <w:r w:rsidRPr="006E669B">
        <w:lastRenderedPageBreak/>
        <w:t>KEITH C. HETRICK, ESQUIRE, General Counsel, Florida Public Service Commission, 2540 Shumard Oak Boulevard, Tallahassee, Florida 32399-0850</w:t>
      </w:r>
    </w:p>
    <w:p w14:paraId="1578E205" w14:textId="77777777" w:rsidR="006E669B" w:rsidRPr="006E669B" w:rsidRDefault="006E669B" w:rsidP="006E669B">
      <w:pPr>
        <w:ind w:left="720" w:firstLine="720"/>
        <w:jc w:val="both"/>
      </w:pPr>
      <w:r w:rsidRPr="006E669B">
        <w:rPr>
          <w:u w:val="single"/>
        </w:rPr>
        <w:t>Florida Public Service Commission General Counsel</w:t>
      </w:r>
    </w:p>
    <w:p w14:paraId="59839289" w14:textId="77777777" w:rsidR="006E669B" w:rsidRPr="006E669B" w:rsidRDefault="006E669B" w:rsidP="006E669B">
      <w:pPr>
        <w:ind w:left="720" w:firstLine="720"/>
        <w:jc w:val="both"/>
      </w:pPr>
    </w:p>
    <w:p w14:paraId="46A4D01B" w14:textId="77777777" w:rsidR="006E669B" w:rsidRPr="006E669B" w:rsidRDefault="006E669B" w:rsidP="006E669B">
      <w:pPr>
        <w:jc w:val="both"/>
      </w:pPr>
    </w:p>
    <w:p w14:paraId="3BD08442" w14:textId="77777777" w:rsidR="006E669B" w:rsidRPr="006E669B" w:rsidRDefault="006E669B" w:rsidP="006E669B">
      <w:pPr>
        <w:jc w:val="both"/>
        <w:rPr>
          <w:b/>
        </w:rPr>
      </w:pPr>
      <w:r w:rsidRPr="006E669B">
        <w:rPr>
          <w:b/>
        </w:rPr>
        <w:t>I.</w:t>
      </w:r>
      <w:r w:rsidRPr="006E669B">
        <w:rPr>
          <w:b/>
        </w:rPr>
        <w:tab/>
      </w:r>
      <w:r w:rsidRPr="006E669B">
        <w:rPr>
          <w:b/>
          <w:u w:val="single"/>
        </w:rPr>
        <w:t>CASE BACKGROUND</w:t>
      </w:r>
    </w:p>
    <w:p w14:paraId="496EB9C2" w14:textId="77777777" w:rsidR="006E669B" w:rsidRPr="006E669B" w:rsidRDefault="006E669B" w:rsidP="006E669B">
      <w:pPr>
        <w:jc w:val="both"/>
      </w:pPr>
    </w:p>
    <w:p w14:paraId="37D922E4" w14:textId="3AE580FC" w:rsidR="00E2191F" w:rsidRDefault="006E669B" w:rsidP="00E2191F">
      <w:pPr>
        <w:spacing w:after="240"/>
        <w:jc w:val="both"/>
        <w:outlineLvl w:val="0"/>
      </w:pPr>
      <w:r w:rsidRPr="006E669B">
        <w:tab/>
      </w:r>
      <w:r w:rsidR="00E2191F">
        <w:t xml:space="preserve">On January 23, 2023, </w:t>
      </w:r>
      <w:r w:rsidR="00E2191F" w:rsidRPr="00A82153">
        <w:t>Florida Power &amp; Light Company (FPL)</w:t>
      </w:r>
      <w:r w:rsidR="00E2191F" w:rsidRPr="004C0B2D">
        <w:t xml:space="preserve"> </w:t>
      </w:r>
      <w:r w:rsidR="00E2191F">
        <w:t>filed a Petition for limited proceeding for recovery of incremental storm restoration costs related to Hurricanes Ian and Nicole.</w:t>
      </w:r>
      <w:r w:rsidR="00E2191F" w:rsidRPr="00AB5B03">
        <w:t xml:space="preserve"> </w:t>
      </w:r>
      <w:r w:rsidR="00E2191F" w:rsidRPr="003A4C2F">
        <w:t>The petition was file</w:t>
      </w:r>
      <w:r w:rsidR="00E2191F">
        <w:t>d pursuant to the provisions of the Stipulation and Settlement Agreement approved by Final Order of the Commission as a full resolution of FPL’s most recent base rate case.</w:t>
      </w:r>
      <w:r w:rsidR="00E2191F">
        <w:rPr>
          <w:rStyle w:val="FootnoteReference"/>
        </w:rPr>
        <w:footnoteReference w:id="1"/>
      </w:r>
      <w:r w:rsidR="00E2191F">
        <w:t xml:space="preserve"> Under</w:t>
      </w:r>
      <w:r w:rsidR="00E2191F" w:rsidRPr="003A4C2F">
        <w:t xml:space="preserve"> </w:t>
      </w:r>
      <w:r w:rsidR="00E2191F">
        <w:t xml:space="preserve">that Settlement and Final Order, </w:t>
      </w:r>
      <w:r w:rsidR="00E2191F" w:rsidRPr="003A4C2F">
        <w:t>FPL can begin recovery of storm costs 60 days following the filing of a petition for recovery.</w:t>
      </w:r>
    </w:p>
    <w:p w14:paraId="201C4F62" w14:textId="77777777" w:rsidR="00E2191F" w:rsidRPr="003A4C2F" w:rsidRDefault="00E2191F" w:rsidP="00E2191F">
      <w:pPr>
        <w:spacing w:after="240"/>
        <w:jc w:val="both"/>
        <w:outlineLvl w:val="0"/>
      </w:pPr>
      <w:r>
        <w:tab/>
        <w:t xml:space="preserve">In its petition, </w:t>
      </w:r>
      <w:r w:rsidRPr="003A4C2F">
        <w:t xml:space="preserve">FPL </w:t>
      </w:r>
      <w:r>
        <w:t>sought</w:t>
      </w:r>
      <w:r w:rsidRPr="003A4C2F">
        <w:t xml:space="preserve"> authority to implement an interim storm restoration recovery </w:t>
      </w:r>
      <w:r>
        <w:t>sur</w:t>
      </w:r>
      <w:r w:rsidRPr="003A4C2F">
        <w:t>charge to recover an estimated total of $1.3 billion for incremental restoration costs related to Hurricanes Ian and Nicole and to replenish the storm reserve to the pre-storm level of $219.9 million.</w:t>
      </w:r>
      <w:r>
        <w:t xml:space="preserve"> </w:t>
      </w:r>
      <w:r w:rsidRPr="003A4C2F">
        <w:t>FPL also prepared an alternate storm charge calculation seeking authority to implement an interim storm restoration recovery charge to recover an estimated total of $1.5 billion</w:t>
      </w:r>
      <w:r>
        <w:t>. This alternate calculation</w:t>
      </w:r>
      <w:r w:rsidRPr="003A4C2F">
        <w:t xml:space="preserve"> combines the incremental restoration costs related to Hurricanes Ian and Nicole with the remaining amounts to be collected for Hurricanes Michael, Sally, and Zeta, </w:t>
      </w:r>
      <w:r>
        <w:t>which</w:t>
      </w:r>
      <w:r w:rsidRPr="003A4C2F">
        <w:t xml:space="preserve"> </w:t>
      </w:r>
      <w:r>
        <w:t>we</w:t>
      </w:r>
      <w:r w:rsidRPr="003A4C2F">
        <w:t xml:space="preserve"> previously approved</w:t>
      </w:r>
      <w:r>
        <w:t xml:space="preserve"> for recovery</w:t>
      </w:r>
      <w:r w:rsidRPr="003A4C2F">
        <w:t xml:space="preserve"> by G</w:t>
      </w:r>
      <w:r>
        <w:t xml:space="preserve">ulf </w:t>
      </w:r>
      <w:r w:rsidRPr="003A4C2F">
        <w:t>P</w:t>
      </w:r>
      <w:r>
        <w:t xml:space="preserve">ower </w:t>
      </w:r>
      <w:r w:rsidRPr="003A4C2F">
        <w:t>C</w:t>
      </w:r>
      <w:r>
        <w:t>ompany</w:t>
      </w:r>
      <w:r w:rsidRPr="003A4C2F">
        <w:t>,</w:t>
      </w:r>
      <w:r w:rsidRPr="003A4C2F">
        <w:rPr>
          <w:vertAlign w:val="superscript"/>
        </w:rPr>
        <w:footnoteReference w:id="2"/>
      </w:r>
      <w:r w:rsidRPr="003A4C2F">
        <w:t xml:space="preserve"> and to replenish the storm reserve.</w:t>
      </w:r>
      <w:r w:rsidR="003D5785" w:rsidRPr="003D5785">
        <w:t xml:space="preserve"> </w:t>
      </w:r>
      <w:r w:rsidR="003D5785">
        <w:t>The Commission granted FPL’s petition by Order No. PSC-2023-0110-PCO-EI, issued March 3, 2023, and approved a consolidated interim storm surcharge using FPL’s alternate storm charge calculation to cover restoration costs and to replenish the storm reserve. The Commission ordered that this docket remain open pending final disposition (true-up) of storm costs.</w:t>
      </w:r>
    </w:p>
    <w:p w14:paraId="1677BE71" w14:textId="75FB7BE1" w:rsidR="00E2191F" w:rsidRPr="00A82153" w:rsidRDefault="00E2191F" w:rsidP="00E2191F">
      <w:pPr>
        <w:spacing w:after="240"/>
        <w:jc w:val="both"/>
      </w:pPr>
      <w:r>
        <w:tab/>
        <w:t>On July 28, 2023</w:t>
      </w:r>
      <w:r w:rsidRPr="00A82153">
        <w:t xml:space="preserve">, </w:t>
      </w:r>
      <w:r>
        <w:t xml:space="preserve">FPL </w:t>
      </w:r>
      <w:r w:rsidRPr="00A82153">
        <w:t xml:space="preserve">filed </w:t>
      </w:r>
      <w:r>
        <w:t xml:space="preserve">in this docket </w:t>
      </w:r>
      <w:r w:rsidRPr="00A82153">
        <w:t>a petition for a temporary waiver</w:t>
      </w:r>
      <w:r>
        <w:t xml:space="preserve"> of </w:t>
      </w:r>
      <w:r w:rsidRPr="00A82153">
        <w:t xml:space="preserve">or variance </w:t>
      </w:r>
      <w:r>
        <w:t xml:space="preserve">from </w:t>
      </w:r>
      <w:r w:rsidRPr="00A82153">
        <w:t>Rule 25-6.0143(1)(g), Florida Administrative Code (F.A.C.)</w:t>
      </w:r>
      <w:r>
        <w:t>. FPL requested a waiver of the portion of this Rule that required it to</w:t>
      </w:r>
      <w:r w:rsidRPr="00E950FB">
        <w:t xml:space="preserve"> file </w:t>
      </w:r>
      <w:r>
        <w:t>its</w:t>
      </w:r>
      <w:r w:rsidRPr="00E950FB">
        <w:t xml:space="preserve"> petition and documentation </w:t>
      </w:r>
      <w:r w:rsidRPr="00E950FB">
        <w:rPr>
          <w:rFonts w:eastAsiaTheme="minorHAnsi"/>
        </w:rPr>
        <w:t>concerning disposition of deferred storm costs related to Hurricanes Ian and Nicole</w:t>
      </w:r>
      <w:r w:rsidRPr="00E950FB">
        <w:t xml:space="preserve"> not later than September 30, 2023.</w:t>
      </w:r>
      <w:r>
        <w:t xml:space="preserve"> </w:t>
      </w:r>
      <w:r w:rsidRPr="00E950FB">
        <w:t xml:space="preserve">FPL </w:t>
      </w:r>
      <w:r>
        <w:t>requested</w:t>
      </w:r>
      <w:r w:rsidRPr="00E950FB">
        <w:t xml:space="preserve"> </w:t>
      </w:r>
      <w:r>
        <w:t>that</w:t>
      </w:r>
      <w:r w:rsidRPr="00E950FB">
        <w:t xml:space="preserve"> it be allowed until December 31, 2</w:t>
      </w:r>
      <w:r>
        <w:t xml:space="preserve">023, </w:t>
      </w:r>
      <w:r w:rsidRPr="00A82153">
        <w:t>to file its petition</w:t>
      </w:r>
      <w:r>
        <w:t xml:space="preserve"> and supporting documentation</w:t>
      </w:r>
      <w:r w:rsidRPr="00A82153">
        <w:t>.</w:t>
      </w:r>
      <w:r>
        <w:t xml:space="preserve"> By Order PSC-2023-0298</w:t>
      </w:r>
      <w:r w:rsidRPr="00553667">
        <w:t xml:space="preserve">-PAA-EI, </w:t>
      </w:r>
      <w:r>
        <w:t xml:space="preserve">issued October 2, 2023, </w:t>
      </w:r>
      <w:r w:rsidRPr="00553667">
        <w:t>the Commission granted FPL’s petition and established December 31, 2023, as the utility’s filing deadline.</w:t>
      </w:r>
    </w:p>
    <w:p w14:paraId="0AD1C3A7" w14:textId="77777777" w:rsidR="00E2191F" w:rsidRDefault="00E2191F" w:rsidP="00E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September 5, 2023, FPL filed a supplemental petition to reduce the interim storm surcharge based on its internal review and finalization of the invoices and storm costs associated with Hurricanes Ian and Nicole. As a result of this internal process, the estimated incremental storm restoration cost related to the two storms decreased from the original estimate of $1.3 billion to $1.1 billion. Thus, the total estimate reflected in the alternative storm charge calculation decreased from $1.5 billion to $1.3 billion. FPL proposed amended (reduced) interim </w:t>
      </w:r>
      <w:r>
        <w:lastRenderedPageBreak/>
        <w:t xml:space="preserve">storm restoration charges applicable to all rate classes, effective with the first billing cycle of January 2024 and continuing through March 2024, subject to a final true-up. </w:t>
      </w:r>
      <w:r w:rsidRPr="00553667">
        <w:t>The Commission approved FPL’s petition and reduced the interim storm surchar</w:t>
      </w:r>
      <w:r>
        <w:t>ge by Order No. PSC</w:t>
      </w:r>
      <w:r w:rsidRPr="00553667">
        <w:t>-2023-</w:t>
      </w:r>
      <w:r>
        <w:t>0354-PAA-EI, issued November 27, 2023.</w:t>
      </w:r>
    </w:p>
    <w:p w14:paraId="2C4BA5E6" w14:textId="77777777" w:rsidR="00B57760" w:rsidRDefault="00B57760" w:rsidP="00E21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28464A" w14:textId="7318410F" w:rsidR="00B57760" w:rsidRDefault="00B57760" w:rsidP="00446B35">
      <w:pPr>
        <w:spacing w:after="240"/>
        <w:ind w:firstLine="720"/>
        <w:jc w:val="both"/>
      </w:pPr>
      <w:r>
        <w:t xml:space="preserve">The Commission acknowledged intervention by the Office of Public Counsel (OPC) in this docket by Order No. PSC-2023-0081-FOF-EI, issued February 10, 2023. Intervention was granted to Walmart, Inc. (Walmart) by Order No. PSC-2023-0381-PCO-EI, issued December 20, 2023. A petition for intervention by Jet Blast, Inc., filed May 8, 2024, </w:t>
      </w:r>
      <w:r w:rsidR="00D75FD0">
        <w:t>was denied</w:t>
      </w:r>
      <w:r>
        <w:t xml:space="preserve">. </w:t>
      </w:r>
    </w:p>
    <w:p w14:paraId="0C9A79DD" w14:textId="77777777" w:rsidR="00E2191F" w:rsidRPr="00E2191F" w:rsidRDefault="00E2191F" w:rsidP="006E669B">
      <w:pPr>
        <w:jc w:val="both"/>
      </w:pPr>
      <w:r>
        <w:rPr>
          <w:color w:val="FF0000"/>
        </w:rPr>
        <w:tab/>
      </w:r>
      <w:r>
        <w:t xml:space="preserve">On December 14, 2023, Order No. </w:t>
      </w:r>
      <w:r w:rsidRPr="00E2191F">
        <w:t>PSC-2023-0372-PCO-E</w:t>
      </w:r>
      <w:r>
        <w:t>I was issued, establishing controlling dates for this proceeding and scheduling an administrative hearing for these matters on June 18-20, 2024.</w:t>
      </w:r>
    </w:p>
    <w:p w14:paraId="1D41B920" w14:textId="77777777" w:rsidR="006E669B" w:rsidRPr="006E669B" w:rsidRDefault="006E669B" w:rsidP="006E669B">
      <w:pPr>
        <w:jc w:val="both"/>
      </w:pPr>
    </w:p>
    <w:p w14:paraId="7D67D00C" w14:textId="77777777" w:rsidR="006E669B" w:rsidRPr="006E669B" w:rsidRDefault="006E669B" w:rsidP="006E669B">
      <w:pPr>
        <w:jc w:val="both"/>
      </w:pPr>
    </w:p>
    <w:p w14:paraId="12A54AE2" w14:textId="77777777" w:rsidR="006E669B" w:rsidRPr="006E669B" w:rsidRDefault="006E669B" w:rsidP="006E669B">
      <w:pPr>
        <w:jc w:val="both"/>
        <w:rPr>
          <w:b/>
        </w:rPr>
      </w:pPr>
      <w:r w:rsidRPr="006E669B">
        <w:rPr>
          <w:b/>
        </w:rPr>
        <w:t>II.</w:t>
      </w:r>
      <w:r w:rsidRPr="006E669B">
        <w:rPr>
          <w:b/>
        </w:rPr>
        <w:tab/>
      </w:r>
      <w:r w:rsidRPr="006E669B">
        <w:rPr>
          <w:b/>
          <w:u w:val="single"/>
        </w:rPr>
        <w:t>CONDUCT OF PROCEEDINGS</w:t>
      </w:r>
    </w:p>
    <w:p w14:paraId="6A367094" w14:textId="77777777" w:rsidR="006E669B" w:rsidRPr="006E669B" w:rsidRDefault="006E669B" w:rsidP="006E669B">
      <w:pPr>
        <w:jc w:val="both"/>
      </w:pPr>
    </w:p>
    <w:p w14:paraId="4589CB9C" w14:textId="77777777" w:rsidR="006E669B" w:rsidRPr="006E669B" w:rsidRDefault="006E669B" w:rsidP="006E669B">
      <w:pPr>
        <w:jc w:val="both"/>
      </w:pPr>
      <w:r w:rsidRPr="006E669B">
        <w:tab/>
        <w:t>Pursuant to Rule 28-106.211, F.A.C., this Prehearing Order is issued to prevent delay and to promote the just, speedy, and inexpensive determination of all aspects of this case.</w:t>
      </w:r>
    </w:p>
    <w:p w14:paraId="52550473" w14:textId="77777777" w:rsidR="006E669B" w:rsidRPr="006E669B" w:rsidRDefault="006E669B" w:rsidP="006E669B">
      <w:pPr>
        <w:jc w:val="both"/>
      </w:pPr>
    </w:p>
    <w:p w14:paraId="22989562" w14:textId="77777777" w:rsidR="006E669B" w:rsidRPr="006E669B" w:rsidRDefault="006E669B" w:rsidP="006E669B">
      <w:pPr>
        <w:jc w:val="both"/>
      </w:pPr>
    </w:p>
    <w:p w14:paraId="52A78FC4" w14:textId="77777777" w:rsidR="006E669B" w:rsidRPr="006E669B" w:rsidRDefault="006E669B" w:rsidP="006E669B">
      <w:pPr>
        <w:jc w:val="both"/>
        <w:rPr>
          <w:b/>
        </w:rPr>
      </w:pPr>
      <w:smartTag w:uri="urn:schemas-microsoft-com:office:smarttags" w:element="stockticker">
        <w:r w:rsidRPr="006E669B">
          <w:rPr>
            <w:b/>
          </w:rPr>
          <w:t>III</w:t>
        </w:r>
      </w:smartTag>
      <w:r w:rsidRPr="006E669B">
        <w:rPr>
          <w:b/>
        </w:rPr>
        <w:t>.</w:t>
      </w:r>
      <w:r w:rsidRPr="006E669B">
        <w:rPr>
          <w:b/>
        </w:rPr>
        <w:tab/>
      </w:r>
      <w:r w:rsidRPr="006E669B">
        <w:rPr>
          <w:b/>
          <w:u w:val="single"/>
        </w:rPr>
        <w:t>JURISDICTION</w:t>
      </w:r>
    </w:p>
    <w:p w14:paraId="014330C4" w14:textId="77777777" w:rsidR="006E669B" w:rsidRPr="006E669B" w:rsidRDefault="006E669B" w:rsidP="006E669B">
      <w:pPr>
        <w:jc w:val="both"/>
      </w:pPr>
    </w:p>
    <w:p w14:paraId="09B28B86" w14:textId="77777777" w:rsidR="006E669B" w:rsidRPr="006E669B" w:rsidRDefault="006E669B" w:rsidP="006E669B">
      <w:pPr>
        <w:jc w:val="both"/>
      </w:pPr>
      <w:r w:rsidRPr="006E669B">
        <w:tab/>
        <w:t>This Commission is vested with jurisdiction over the subject matt</w:t>
      </w:r>
      <w:r w:rsidR="00E2191F">
        <w:t>er by the provisions of Chapter 120 and 366</w:t>
      </w:r>
      <w:r w:rsidRPr="006E669B">
        <w:t>, Florida Statutes (F.S.).  This hearing will be govern</w:t>
      </w:r>
      <w:r w:rsidR="00E2191F">
        <w:t>ed by said Chapter and Chapters</w:t>
      </w:r>
      <w:r w:rsidRPr="006E669B">
        <w:rPr>
          <w:color w:val="FF0000"/>
        </w:rPr>
        <w:t xml:space="preserve"> </w:t>
      </w:r>
      <w:r w:rsidRPr="006E669B">
        <w:t>25-6, 25-22, and 28-106, F.A.C., as well as any other applicable provisions of law.</w:t>
      </w:r>
    </w:p>
    <w:p w14:paraId="219F4FA0" w14:textId="77777777" w:rsidR="006E669B" w:rsidRPr="006E669B" w:rsidRDefault="006E669B" w:rsidP="006E669B">
      <w:pPr>
        <w:jc w:val="both"/>
      </w:pPr>
    </w:p>
    <w:p w14:paraId="77BE7816" w14:textId="77777777" w:rsidR="006E669B" w:rsidRPr="006E669B" w:rsidRDefault="006E669B" w:rsidP="006E669B">
      <w:pPr>
        <w:jc w:val="both"/>
      </w:pPr>
    </w:p>
    <w:p w14:paraId="6111ED12" w14:textId="77777777" w:rsidR="006E669B" w:rsidRPr="006E669B" w:rsidRDefault="006E669B" w:rsidP="006E669B">
      <w:pPr>
        <w:jc w:val="both"/>
        <w:rPr>
          <w:b/>
        </w:rPr>
      </w:pPr>
      <w:r w:rsidRPr="006E669B">
        <w:rPr>
          <w:b/>
        </w:rPr>
        <w:t>IV.</w:t>
      </w:r>
      <w:r w:rsidRPr="006E669B">
        <w:rPr>
          <w:b/>
        </w:rPr>
        <w:tab/>
      </w:r>
      <w:r w:rsidRPr="006E669B">
        <w:rPr>
          <w:b/>
          <w:u w:val="single"/>
        </w:rPr>
        <w:t>PROCEDURE FOR HANDLING CONFIDENTIAL INFORMATION</w:t>
      </w:r>
    </w:p>
    <w:p w14:paraId="07C0C48D" w14:textId="77777777" w:rsidR="006E669B" w:rsidRPr="006E669B" w:rsidRDefault="006E669B" w:rsidP="006E669B">
      <w:pPr>
        <w:jc w:val="both"/>
        <w:rPr>
          <w:b/>
        </w:rPr>
      </w:pPr>
    </w:p>
    <w:p w14:paraId="0941161D" w14:textId="77777777" w:rsidR="006E669B" w:rsidRPr="006E669B" w:rsidRDefault="006E669B" w:rsidP="006E669B">
      <w:pPr>
        <w:jc w:val="both"/>
      </w:pPr>
      <w:r w:rsidRPr="006E669B">
        <w:tab/>
        <w:t>Information for which proprietary confidential business information status is requested pursuant to Section</w:t>
      </w:r>
      <w:r w:rsidR="00232D2A">
        <w:rPr>
          <w:color w:val="FF0000"/>
        </w:rPr>
        <w:t xml:space="preserve"> </w:t>
      </w:r>
      <w:r w:rsidR="00232D2A">
        <w:t>366.093</w:t>
      </w:r>
      <w:r w:rsidRPr="006E669B">
        <w:t xml:space="preserve">, </w:t>
      </w:r>
      <w:smartTag w:uri="urn:schemas:contacts" w:element="GivenName">
        <w:r w:rsidRPr="006E669B">
          <w:t>F.S.</w:t>
        </w:r>
      </w:smartTag>
      <w:r w:rsidRPr="006E669B">
        <w:t xml:space="preserve">, and Rule 25-22.006, F.A.C., shall be treated by the Commission as confidential.  The information shall be exempt from Section 119.07(1), </w:t>
      </w:r>
      <w:smartTag w:uri="urn:schemas:contacts" w:element="GivenName">
        <w:r w:rsidRPr="006E669B">
          <w:t>F.S.</w:t>
        </w:r>
      </w:smartTag>
      <w:r w:rsidRPr="006E669B">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232D2A">
        <w:t xml:space="preserve"> 366.093</w:t>
      </w:r>
      <w:r w:rsidRPr="006E669B">
        <w:t>, F.S.  The Commission may determine that continued possession of the information is necessary for the Commission to conduct its business.</w:t>
      </w:r>
    </w:p>
    <w:p w14:paraId="20FA158D" w14:textId="77777777" w:rsidR="006E669B" w:rsidRPr="006E669B" w:rsidRDefault="006E669B" w:rsidP="006E669B">
      <w:pPr>
        <w:jc w:val="both"/>
      </w:pPr>
    </w:p>
    <w:p w14:paraId="351992D9" w14:textId="77777777" w:rsidR="006E669B" w:rsidRPr="006E669B" w:rsidRDefault="006E669B" w:rsidP="006E6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E669B">
        <w:tab/>
        <w:t xml:space="preserve">It is the policy of this Commission that all Commission hearings be open to the public at all times.  The Commission also recognizes its obligation pursuant to Section </w:t>
      </w:r>
      <w:r w:rsidR="00232D2A" w:rsidRPr="00232D2A">
        <w:t>366.093</w:t>
      </w:r>
      <w:r w:rsidRPr="006E669B">
        <w:t xml:space="preserve">, </w:t>
      </w:r>
      <w:smartTag w:uri="urn:schemas:contacts" w:element="GivenName">
        <w:r w:rsidRPr="006E669B">
          <w:t>F.S.</w:t>
        </w:r>
      </w:smartTag>
      <w:r w:rsidRPr="006E669B">
        <w:t xml:space="preserve">, to protect proprietary confidential business information from disclosure outside the proceeding.  </w:t>
      </w:r>
      <w:r w:rsidRPr="006E669B">
        <w:lastRenderedPageBreak/>
        <w:t xml:space="preserve">Therefore, any party wishing to use any proprietary confidential business information, as that term is defined in Section </w:t>
      </w:r>
      <w:r w:rsidR="00232D2A" w:rsidRPr="00232D2A">
        <w:t>366.093</w:t>
      </w:r>
      <w:r w:rsidRPr="006E669B">
        <w:t xml:space="preserve">, </w:t>
      </w:r>
      <w:smartTag w:uri="urn:schemas:contacts" w:element="GivenName">
        <w:r w:rsidRPr="006E669B">
          <w:t>F.S.</w:t>
        </w:r>
      </w:smartTag>
      <w:r w:rsidRPr="006E669B">
        <w:t>, at the hearing shall adhere to the following:</w:t>
      </w:r>
    </w:p>
    <w:p w14:paraId="31235365" w14:textId="77777777" w:rsidR="006E669B" w:rsidRPr="006E669B" w:rsidRDefault="006E669B" w:rsidP="006E6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4304E3" w14:textId="77777777" w:rsidR="006E669B" w:rsidRPr="006E669B" w:rsidRDefault="006E669B" w:rsidP="006E669B">
      <w:pPr>
        <w:spacing w:line="2" w:lineRule="exact"/>
        <w:jc w:val="both"/>
      </w:pPr>
    </w:p>
    <w:p w14:paraId="2D1F3EF9" w14:textId="77777777" w:rsidR="006E669B" w:rsidRPr="006E669B" w:rsidRDefault="006E669B" w:rsidP="006E669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6E669B">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2BFAD60" w14:textId="77777777" w:rsidR="006E669B" w:rsidRPr="006E669B" w:rsidRDefault="006E669B" w:rsidP="006E6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6B0A54" w14:textId="77777777" w:rsidR="006E669B" w:rsidRPr="006E669B" w:rsidRDefault="006E669B" w:rsidP="006E669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6E669B">
        <w:t>Counsel and witnesses are cautioned to avoid verbalizing confidential information in such a way that would compromise confidentiality.  Therefore, confidential information should be presented by written exhibit when reasonably possible.</w:t>
      </w:r>
    </w:p>
    <w:p w14:paraId="5B77F2CF" w14:textId="77777777" w:rsidR="006E669B" w:rsidRPr="006E669B" w:rsidRDefault="006E669B" w:rsidP="006E6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AAD52E" w14:textId="77777777" w:rsidR="006E669B" w:rsidRPr="006E669B" w:rsidRDefault="006E669B" w:rsidP="006E6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E669B">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BC1015A" w14:textId="77777777" w:rsidR="006E669B" w:rsidRPr="006E669B" w:rsidRDefault="006E669B" w:rsidP="006E669B">
      <w:pPr>
        <w:jc w:val="both"/>
      </w:pPr>
    </w:p>
    <w:p w14:paraId="665DCA03" w14:textId="77777777" w:rsidR="006E669B" w:rsidRPr="006E669B" w:rsidRDefault="006E669B" w:rsidP="006E669B">
      <w:pPr>
        <w:jc w:val="both"/>
      </w:pPr>
    </w:p>
    <w:p w14:paraId="371BB9B8" w14:textId="77777777" w:rsidR="006E669B" w:rsidRPr="006E669B" w:rsidRDefault="006E669B" w:rsidP="006E669B">
      <w:pPr>
        <w:jc w:val="both"/>
        <w:rPr>
          <w:b/>
        </w:rPr>
      </w:pPr>
      <w:r w:rsidRPr="006E669B">
        <w:rPr>
          <w:b/>
        </w:rPr>
        <w:t>V.</w:t>
      </w:r>
      <w:r w:rsidRPr="006E669B">
        <w:rPr>
          <w:b/>
        </w:rPr>
        <w:tab/>
      </w:r>
      <w:r w:rsidRPr="006E669B">
        <w:rPr>
          <w:b/>
          <w:u w:val="single"/>
        </w:rPr>
        <w:t xml:space="preserve">PREFILED TESTIMONY </w:t>
      </w:r>
      <w:smartTag w:uri="urn:schemas-microsoft-com:office:smarttags" w:element="stockticker">
        <w:r w:rsidRPr="006E669B">
          <w:rPr>
            <w:b/>
            <w:u w:val="single"/>
          </w:rPr>
          <w:t>AND</w:t>
        </w:r>
      </w:smartTag>
      <w:r w:rsidRPr="006E669B">
        <w:rPr>
          <w:b/>
          <w:u w:val="single"/>
        </w:rPr>
        <w:t xml:space="preserve"> EXHIBITS; WITNESSES</w:t>
      </w:r>
    </w:p>
    <w:p w14:paraId="3DB09F83" w14:textId="77777777" w:rsidR="006E669B" w:rsidRPr="006E669B" w:rsidRDefault="006E669B" w:rsidP="006E669B">
      <w:pPr>
        <w:jc w:val="both"/>
      </w:pPr>
    </w:p>
    <w:p w14:paraId="3BE42BFF" w14:textId="7AE0E55E" w:rsidR="006E669B" w:rsidRPr="006E669B" w:rsidRDefault="006E669B" w:rsidP="006E669B">
      <w:pPr>
        <w:jc w:val="both"/>
      </w:pPr>
      <w:r w:rsidRPr="006E669B">
        <w:tab/>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three minutes.</w:t>
      </w:r>
    </w:p>
    <w:p w14:paraId="3B78B373" w14:textId="77777777" w:rsidR="006E669B" w:rsidRPr="006E669B" w:rsidRDefault="006E669B" w:rsidP="006E669B">
      <w:pPr>
        <w:jc w:val="both"/>
      </w:pPr>
    </w:p>
    <w:p w14:paraId="20890624" w14:textId="77777777" w:rsidR="006E669B" w:rsidRPr="006E669B" w:rsidRDefault="006E669B" w:rsidP="006E669B">
      <w:pPr>
        <w:ind w:firstLine="720"/>
        <w:jc w:val="both"/>
      </w:pPr>
      <w:r w:rsidRPr="006E669B">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14:paraId="43BD51DE" w14:textId="77777777" w:rsidR="006E669B" w:rsidRPr="006E669B" w:rsidRDefault="006E669B" w:rsidP="006E669B">
      <w:pPr>
        <w:jc w:val="both"/>
      </w:pPr>
    </w:p>
    <w:p w14:paraId="50FA93BB" w14:textId="77777777" w:rsidR="006E669B" w:rsidRPr="006E669B" w:rsidRDefault="006E669B" w:rsidP="006E669B">
      <w:pPr>
        <w:jc w:val="both"/>
      </w:pPr>
      <w:r w:rsidRPr="006E669B">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38023DDB" w14:textId="77777777" w:rsidR="006E669B" w:rsidRPr="006E669B" w:rsidRDefault="006E669B" w:rsidP="006E669B">
      <w:pPr>
        <w:jc w:val="both"/>
        <w:rPr>
          <w:color w:val="000000"/>
        </w:rPr>
      </w:pPr>
    </w:p>
    <w:p w14:paraId="490BDAFE" w14:textId="77777777" w:rsidR="006E669B" w:rsidRPr="006E669B" w:rsidRDefault="006E669B" w:rsidP="006E669B">
      <w:pPr>
        <w:ind w:firstLine="720"/>
        <w:jc w:val="both"/>
        <w:rPr>
          <w:color w:val="000000"/>
        </w:rPr>
      </w:pPr>
      <w:r w:rsidRPr="006E669B">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66DD1358" w14:textId="77777777" w:rsidR="006E669B" w:rsidRPr="006E669B" w:rsidRDefault="006E669B" w:rsidP="006E669B">
      <w:pPr>
        <w:jc w:val="both"/>
      </w:pPr>
    </w:p>
    <w:p w14:paraId="4A3C0556" w14:textId="77777777" w:rsidR="006E669B" w:rsidRPr="006E669B" w:rsidRDefault="006E669B" w:rsidP="006E669B">
      <w:pPr>
        <w:jc w:val="both"/>
      </w:pPr>
    </w:p>
    <w:p w14:paraId="7BA5A36F" w14:textId="77777777" w:rsidR="006E669B" w:rsidRPr="006E669B" w:rsidRDefault="006E669B" w:rsidP="006E669B">
      <w:pPr>
        <w:jc w:val="both"/>
        <w:rPr>
          <w:b/>
        </w:rPr>
      </w:pPr>
      <w:r w:rsidRPr="006E669B">
        <w:rPr>
          <w:b/>
        </w:rPr>
        <w:t>VI.</w:t>
      </w:r>
      <w:r w:rsidRPr="006E669B">
        <w:rPr>
          <w:b/>
        </w:rPr>
        <w:tab/>
      </w:r>
      <w:r w:rsidRPr="006E669B">
        <w:rPr>
          <w:b/>
          <w:u w:val="single"/>
        </w:rPr>
        <w:t>ORDER OF WITNESSES</w:t>
      </w:r>
    </w:p>
    <w:p w14:paraId="1C7BC872" w14:textId="77777777" w:rsidR="006E669B" w:rsidRPr="006E669B" w:rsidRDefault="006E669B" w:rsidP="006E669B">
      <w:pPr>
        <w:jc w:val="both"/>
      </w:pPr>
    </w:p>
    <w:p w14:paraId="5AB093AB" w14:textId="6B33F628" w:rsidR="006E669B" w:rsidRDefault="006E669B" w:rsidP="006E669B">
      <w:pPr>
        <w:jc w:val="both"/>
      </w:pPr>
      <w:r w:rsidRPr="006E669B">
        <w:tab/>
      </w:r>
      <w:r w:rsidR="00B30142" w:rsidRPr="00B30142">
        <w:t>Each witness whose name is preceded by an asterisk (*) has been stipulated and excused. The testimony and exhibits of stipulated witnesses shall be introduced into the record in the order presented below.</w:t>
      </w:r>
    </w:p>
    <w:p w14:paraId="4377547E" w14:textId="77777777" w:rsidR="00B30142" w:rsidRPr="006E669B" w:rsidRDefault="00B30142" w:rsidP="006E669B">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6E669B" w:rsidRPr="006E669B" w14:paraId="55B71631" w14:textId="77777777" w:rsidTr="00A94945">
        <w:trPr>
          <w:cantSplit/>
          <w:trHeight w:val="362"/>
          <w:tblHeader/>
        </w:trPr>
        <w:tc>
          <w:tcPr>
            <w:tcW w:w="3507" w:type="dxa"/>
          </w:tcPr>
          <w:p w14:paraId="431DEEE6" w14:textId="77777777" w:rsidR="006E669B" w:rsidRPr="006E669B" w:rsidRDefault="006E669B" w:rsidP="006E669B">
            <w:pPr>
              <w:jc w:val="both"/>
            </w:pPr>
            <w:r w:rsidRPr="006E669B">
              <w:rPr>
                <w:u w:val="single"/>
              </w:rPr>
              <w:t>Witness</w:t>
            </w:r>
          </w:p>
        </w:tc>
        <w:tc>
          <w:tcPr>
            <w:tcW w:w="2511" w:type="dxa"/>
          </w:tcPr>
          <w:p w14:paraId="6E62B6FB" w14:textId="77777777" w:rsidR="006E669B" w:rsidRPr="006E669B" w:rsidRDefault="006E669B" w:rsidP="006E669B">
            <w:pPr>
              <w:jc w:val="center"/>
            </w:pPr>
            <w:r w:rsidRPr="006E669B">
              <w:rPr>
                <w:u w:val="single"/>
              </w:rPr>
              <w:t>Proffered By</w:t>
            </w:r>
          </w:p>
        </w:tc>
        <w:tc>
          <w:tcPr>
            <w:tcW w:w="3546" w:type="dxa"/>
          </w:tcPr>
          <w:p w14:paraId="5C12BBAF" w14:textId="77777777" w:rsidR="006E669B" w:rsidRPr="006E669B" w:rsidRDefault="006E669B" w:rsidP="006E669B">
            <w:pPr>
              <w:jc w:val="both"/>
            </w:pPr>
            <w:r w:rsidRPr="006E669B">
              <w:rPr>
                <w:u w:val="single"/>
              </w:rPr>
              <w:t>Issues #</w:t>
            </w:r>
          </w:p>
        </w:tc>
      </w:tr>
      <w:tr w:rsidR="006E669B" w:rsidRPr="006E669B" w14:paraId="04D6E687" w14:textId="77777777" w:rsidTr="00A94945">
        <w:trPr>
          <w:cantSplit/>
          <w:trHeight w:val="362"/>
        </w:trPr>
        <w:tc>
          <w:tcPr>
            <w:tcW w:w="3507" w:type="dxa"/>
          </w:tcPr>
          <w:p w14:paraId="6BDB4C09" w14:textId="77777777" w:rsidR="006E669B" w:rsidRPr="006E669B" w:rsidRDefault="006E669B" w:rsidP="006E669B">
            <w:pPr>
              <w:jc w:val="both"/>
              <w:rPr>
                <w:u w:val="single"/>
              </w:rPr>
            </w:pPr>
            <w:r w:rsidRPr="006E669B">
              <w:tab/>
            </w:r>
            <w:r w:rsidRPr="006E669B">
              <w:rPr>
                <w:u w:val="single"/>
              </w:rPr>
              <w:t>Direct</w:t>
            </w:r>
          </w:p>
        </w:tc>
        <w:tc>
          <w:tcPr>
            <w:tcW w:w="2511" w:type="dxa"/>
          </w:tcPr>
          <w:p w14:paraId="5700E73C" w14:textId="77777777" w:rsidR="006E669B" w:rsidRPr="006E669B" w:rsidRDefault="006E669B" w:rsidP="006E669B">
            <w:pPr>
              <w:jc w:val="center"/>
            </w:pPr>
          </w:p>
        </w:tc>
        <w:tc>
          <w:tcPr>
            <w:tcW w:w="3546" w:type="dxa"/>
          </w:tcPr>
          <w:p w14:paraId="58B3CD46" w14:textId="77777777" w:rsidR="006E669B" w:rsidRPr="006E669B" w:rsidRDefault="006E669B" w:rsidP="006E669B"/>
        </w:tc>
      </w:tr>
      <w:tr w:rsidR="006E669B" w:rsidRPr="006E669B" w14:paraId="5539F69F" w14:textId="77777777" w:rsidTr="00A94945">
        <w:trPr>
          <w:cantSplit/>
          <w:trHeight w:val="362"/>
        </w:trPr>
        <w:tc>
          <w:tcPr>
            <w:tcW w:w="3507" w:type="dxa"/>
          </w:tcPr>
          <w:p w14:paraId="43567254" w14:textId="61DBD5AD" w:rsidR="006E669B" w:rsidRPr="006E669B" w:rsidRDefault="00B30142" w:rsidP="006E669B">
            <w:pPr>
              <w:jc w:val="both"/>
            </w:pPr>
            <w:r>
              <w:t>*</w:t>
            </w:r>
            <w:r w:rsidR="00E0751C">
              <w:t>Michael Jarro</w:t>
            </w:r>
          </w:p>
        </w:tc>
        <w:tc>
          <w:tcPr>
            <w:tcW w:w="2511" w:type="dxa"/>
          </w:tcPr>
          <w:p w14:paraId="666CDD93" w14:textId="77777777" w:rsidR="006E669B" w:rsidRPr="006E669B" w:rsidRDefault="00E0751C" w:rsidP="006E669B">
            <w:pPr>
              <w:jc w:val="center"/>
            </w:pPr>
            <w:r>
              <w:t>FPL</w:t>
            </w:r>
          </w:p>
        </w:tc>
        <w:tc>
          <w:tcPr>
            <w:tcW w:w="3546" w:type="dxa"/>
          </w:tcPr>
          <w:p w14:paraId="797D412B" w14:textId="77777777" w:rsidR="006E669B" w:rsidRPr="006E669B" w:rsidRDefault="00E0751C" w:rsidP="006E669B">
            <w:r>
              <w:t>3-6, 8-10</w:t>
            </w:r>
          </w:p>
        </w:tc>
      </w:tr>
      <w:tr w:rsidR="006E669B" w:rsidRPr="006E669B" w14:paraId="3FA191C6" w14:textId="77777777" w:rsidTr="00A94945">
        <w:trPr>
          <w:cantSplit/>
          <w:trHeight w:val="362"/>
        </w:trPr>
        <w:tc>
          <w:tcPr>
            <w:tcW w:w="3507" w:type="dxa"/>
          </w:tcPr>
          <w:p w14:paraId="2BB71019" w14:textId="20728F58" w:rsidR="006E669B" w:rsidRPr="006E669B" w:rsidRDefault="00B30142" w:rsidP="006E669B">
            <w:pPr>
              <w:jc w:val="both"/>
            </w:pPr>
            <w:r>
              <w:t>*</w:t>
            </w:r>
            <w:r w:rsidR="00E0751C">
              <w:t>Keith Ferguson</w:t>
            </w:r>
          </w:p>
        </w:tc>
        <w:tc>
          <w:tcPr>
            <w:tcW w:w="2511" w:type="dxa"/>
          </w:tcPr>
          <w:p w14:paraId="28F15CDC" w14:textId="77777777" w:rsidR="006E669B" w:rsidRPr="006E669B" w:rsidRDefault="00E0751C" w:rsidP="006E669B">
            <w:pPr>
              <w:jc w:val="center"/>
            </w:pPr>
            <w:r>
              <w:t>FPL</w:t>
            </w:r>
          </w:p>
        </w:tc>
        <w:tc>
          <w:tcPr>
            <w:tcW w:w="3546" w:type="dxa"/>
          </w:tcPr>
          <w:p w14:paraId="4E842C3A" w14:textId="77777777" w:rsidR="006E669B" w:rsidRPr="006E669B" w:rsidRDefault="00E0751C" w:rsidP="006E669B">
            <w:r>
              <w:t>1-12</w:t>
            </w:r>
          </w:p>
        </w:tc>
      </w:tr>
      <w:tr w:rsidR="00E0751C" w:rsidRPr="006E669B" w14:paraId="7B352E6C" w14:textId="77777777" w:rsidTr="00A94945">
        <w:trPr>
          <w:cantSplit/>
          <w:trHeight w:val="362"/>
        </w:trPr>
        <w:tc>
          <w:tcPr>
            <w:tcW w:w="3507" w:type="dxa"/>
          </w:tcPr>
          <w:p w14:paraId="34623791" w14:textId="53A00874" w:rsidR="00E0751C" w:rsidRPr="006E669B" w:rsidRDefault="00B30142" w:rsidP="006E669B">
            <w:pPr>
              <w:jc w:val="both"/>
            </w:pPr>
            <w:r>
              <w:t>*</w:t>
            </w:r>
            <w:r w:rsidR="00E0751C">
              <w:t>Amber De Lucenay</w:t>
            </w:r>
          </w:p>
        </w:tc>
        <w:tc>
          <w:tcPr>
            <w:tcW w:w="2511" w:type="dxa"/>
          </w:tcPr>
          <w:p w14:paraId="36FA78F6" w14:textId="77777777" w:rsidR="00E0751C" w:rsidRPr="006E669B" w:rsidRDefault="00E0751C" w:rsidP="006E669B">
            <w:pPr>
              <w:jc w:val="center"/>
            </w:pPr>
            <w:r>
              <w:t>FPL</w:t>
            </w:r>
          </w:p>
        </w:tc>
        <w:tc>
          <w:tcPr>
            <w:tcW w:w="3546" w:type="dxa"/>
          </w:tcPr>
          <w:p w14:paraId="41FF538D" w14:textId="77777777" w:rsidR="00E0751C" w:rsidRPr="006E669B" w:rsidRDefault="00E0751C" w:rsidP="006E669B">
            <w:r>
              <w:t>2, 5-6</w:t>
            </w:r>
          </w:p>
        </w:tc>
      </w:tr>
      <w:tr w:rsidR="00E0751C" w:rsidRPr="006E669B" w14:paraId="155AC78A" w14:textId="77777777" w:rsidTr="00A94945">
        <w:trPr>
          <w:cantSplit/>
          <w:trHeight w:val="362"/>
        </w:trPr>
        <w:tc>
          <w:tcPr>
            <w:tcW w:w="3507" w:type="dxa"/>
          </w:tcPr>
          <w:p w14:paraId="4242DC25" w14:textId="028823D4" w:rsidR="00E0751C" w:rsidRPr="006E669B" w:rsidRDefault="00B30142" w:rsidP="006E669B">
            <w:pPr>
              <w:jc w:val="both"/>
            </w:pPr>
            <w:r>
              <w:t>*</w:t>
            </w:r>
            <w:r w:rsidR="00E0751C">
              <w:t>Tiffany C. Cohen</w:t>
            </w:r>
          </w:p>
        </w:tc>
        <w:tc>
          <w:tcPr>
            <w:tcW w:w="2511" w:type="dxa"/>
          </w:tcPr>
          <w:p w14:paraId="1A045B79" w14:textId="77777777" w:rsidR="00E0751C" w:rsidRPr="006E669B" w:rsidRDefault="00E0751C" w:rsidP="006E669B">
            <w:pPr>
              <w:jc w:val="center"/>
            </w:pPr>
            <w:r>
              <w:t>FPL</w:t>
            </w:r>
          </w:p>
        </w:tc>
        <w:tc>
          <w:tcPr>
            <w:tcW w:w="3546" w:type="dxa"/>
          </w:tcPr>
          <w:p w14:paraId="3435F73E" w14:textId="77777777" w:rsidR="00E0751C" w:rsidRPr="006E669B" w:rsidRDefault="00E0751C" w:rsidP="006E669B">
            <w:r>
              <w:t>13-15</w:t>
            </w:r>
          </w:p>
        </w:tc>
      </w:tr>
      <w:tr w:rsidR="006E669B" w:rsidRPr="006E669B" w14:paraId="35B78D49" w14:textId="77777777" w:rsidTr="00A94945">
        <w:trPr>
          <w:cantSplit/>
          <w:trHeight w:val="362"/>
        </w:trPr>
        <w:tc>
          <w:tcPr>
            <w:tcW w:w="3507" w:type="dxa"/>
          </w:tcPr>
          <w:p w14:paraId="56A5AD95" w14:textId="7073EDE2" w:rsidR="006E669B" w:rsidRPr="006E669B" w:rsidRDefault="00B30142" w:rsidP="006E669B">
            <w:pPr>
              <w:jc w:val="both"/>
            </w:pPr>
            <w:r>
              <w:t>*</w:t>
            </w:r>
            <w:r w:rsidR="000B6507">
              <w:t>Yen Ngo</w:t>
            </w:r>
          </w:p>
        </w:tc>
        <w:tc>
          <w:tcPr>
            <w:tcW w:w="2511" w:type="dxa"/>
          </w:tcPr>
          <w:p w14:paraId="2D010CAA" w14:textId="77777777" w:rsidR="006E669B" w:rsidRPr="006E669B" w:rsidRDefault="000B6507" w:rsidP="006E669B">
            <w:pPr>
              <w:jc w:val="center"/>
            </w:pPr>
            <w:r>
              <w:t>Staff</w:t>
            </w:r>
          </w:p>
        </w:tc>
        <w:tc>
          <w:tcPr>
            <w:tcW w:w="3546" w:type="dxa"/>
          </w:tcPr>
          <w:p w14:paraId="1C4F9FF0" w14:textId="77777777" w:rsidR="006E669B" w:rsidRPr="006E669B" w:rsidRDefault="000B6507" w:rsidP="006E669B">
            <w:r>
              <w:t>As Needed</w:t>
            </w:r>
          </w:p>
        </w:tc>
      </w:tr>
    </w:tbl>
    <w:p w14:paraId="5DB3EDDA" w14:textId="77777777" w:rsidR="006E669B" w:rsidRPr="006E669B" w:rsidRDefault="006E669B" w:rsidP="006E669B">
      <w:pPr>
        <w:jc w:val="both"/>
      </w:pPr>
    </w:p>
    <w:p w14:paraId="5AB8B735" w14:textId="77777777" w:rsidR="006E669B" w:rsidRPr="006E669B" w:rsidRDefault="006E669B" w:rsidP="006E669B">
      <w:pPr>
        <w:jc w:val="both"/>
      </w:pPr>
    </w:p>
    <w:p w14:paraId="7B59657C" w14:textId="77777777" w:rsidR="006E669B" w:rsidRPr="006E669B" w:rsidRDefault="006E669B" w:rsidP="006E669B">
      <w:pPr>
        <w:jc w:val="both"/>
        <w:rPr>
          <w:b/>
        </w:rPr>
      </w:pPr>
      <w:r w:rsidRPr="006E669B">
        <w:rPr>
          <w:b/>
        </w:rPr>
        <w:t>VII.</w:t>
      </w:r>
      <w:r w:rsidRPr="006E669B">
        <w:rPr>
          <w:b/>
        </w:rPr>
        <w:tab/>
      </w:r>
      <w:r w:rsidRPr="006E669B">
        <w:rPr>
          <w:b/>
          <w:u w:val="single"/>
        </w:rPr>
        <w:t>BASIC POSITIONS</w:t>
      </w:r>
    </w:p>
    <w:p w14:paraId="2F974234" w14:textId="77777777" w:rsidR="006E669B" w:rsidRPr="006E669B" w:rsidRDefault="006E669B" w:rsidP="006E669B">
      <w:pPr>
        <w:jc w:val="both"/>
      </w:pPr>
    </w:p>
    <w:p w14:paraId="58D39DFB" w14:textId="77777777" w:rsidR="00721243" w:rsidRDefault="009A0D05" w:rsidP="00721243">
      <w:pPr>
        <w:ind w:left="1440" w:hanging="1440"/>
        <w:jc w:val="both"/>
      </w:pPr>
      <w:r>
        <w:rPr>
          <w:b/>
          <w:bCs/>
        </w:rPr>
        <w:t>FPL</w:t>
      </w:r>
      <w:r w:rsidR="006E669B" w:rsidRPr="006E669B">
        <w:rPr>
          <w:b/>
          <w:bCs/>
        </w:rPr>
        <w:t>:</w:t>
      </w:r>
      <w:r w:rsidR="006E669B" w:rsidRPr="006E669B">
        <w:tab/>
      </w:r>
      <w:r w:rsidR="00721243" w:rsidRPr="00721243">
        <w:t xml:space="preserve">FPL’s service area was impacted in 2022 by Hurricanes Ian and Nicole, both National Hurricane Center-classified storms that caused widespread devastation, flooding, and customer service outages.  Hurricane Ian made landfall near Fort Myers Beach, Florida on September 28, 2022, as a catastrophic Category 4 storm with sustained winds of 150 miles per hour (“mph”).  The storm required FPL to engage in extensive restoration efforts to restore service to more than 2.1 million affected customers.  Hurricane Nicole made its first of three landfalls near Vero Beach, Florida </w:t>
      </w:r>
      <w:r w:rsidR="00721243" w:rsidRPr="00721243" w:rsidDel="00D53CB6">
        <w:t>on</w:t>
      </w:r>
      <w:r w:rsidR="00721243" w:rsidRPr="00721243">
        <w:t xml:space="preserve"> November 10, 2022, as a Category 1 storm with sustained winds of 75 mph, and likewise required FPL to engage in extensive restoration efforts to restore service to more than 480,000 customers. </w:t>
      </w:r>
    </w:p>
    <w:p w14:paraId="49607EE6" w14:textId="77777777" w:rsidR="00721243" w:rsidRPr="00721243" w:rsidRDefault="00721243" w:rsidP="00721243">
      <w:pPr>
        <w:ind w:left="1440" w:hanging="1440"/>
        <w:jc w:val="both"/>
      </w:pPr>
    </w:p>
    <w:p w14:paraId="15F119CB" w14:textId="77777777" w:rsidR="00721243" w:rsidRDefault="00721243" w:rsidP="00721243">
      <w:pPr>
        <w:ind w:left="1440" w:hanging="1440"/>
        <w:jc w:val="both"/>
      </w:pPr>
      <w:r>
        <w:tab/>
      </w:r>
      <w:r w:rsidRPr="00721243">
        <w:t xml:space="preserve">FPL undertook reasonable, necessary, and prudent measures to prepare for and respond to the impacts of both Hurricanes Ian and Nicole.  These preparations included complex and comprehensive logistical arrangements for mobilizing FPL </w:t>
      </w:r>
      <w:r w:rsidRPr="00721243">
        <w:lastRenderedPageBreak/>
        <w:t xml:space="preserve">employees, external contractors, and mutual aid utilities to support the restoration effort.  Logistical arrangements and coordination of resources included, but were not limited to, staging sites, lodging, food, communications, and fuel delivery.  FPL’s proactive approach to storm preparation, mobilization and pre-staging of resources, and execution of storm related activities was highly successful in restoring service to its customers safely and as quickly as reasonably practicable. </w:t>
      </w:r>
    </w:p>
    <w:p w14:paraId="5D774B39" w14:textId="77777777" w:rsidR="00721243" w:rsidRPr="00721243" w:rsidRDefault="00721243" w:rsidP="00721243">
      <w:pPr>
        <w:ind w:left="1440" w:hanging="1440"/>
        <w:jc w:val="both"/>
      </w:pPr>
    </w:p>
    <w:p w14:paraId="448DB8AD" w14:textId="77777777" w:rsidR="00721243" w:rsidRDefault="00721243" w:rsidP="00721243">
      <w:pPr>
        <w:ind w:left="1440" w:hanging="1440"/>
        <w:jc w:val="both"/>
      </w:pPr>
      <w:r>
        <w:tab/>
      </w:r>
      <w:r w:rsidRPr="00721243">
        <w:t>In total, FPL restored service to more than 2.1 million customers impacted by Hurricane Ian.  Approximately 66% of these customers were restored within the first full day of restoration and 95% of these customers were restored within the first six full days of restoration.  By October 7, 2022 (</w:t>
      </w:r>
      <w:r w:rsidRPr="00721243">
        <w:rPr>
          <w:i/>
          <w:iCs/>
        </w:rPr>
        <w:t>i.e.</w:t>
      </w:r>
      <w:r w:rsidRPr="00721243">
        <w:t>, within eight full days of restoration), FPL restored power to 99% of the affected customers, essentially completing the restoration effort for all customers that could feasibly receive power.  FPL restored power to essentially all of its more than 480,000 customers impacted by Hurricane Nicole in less than 24 hours after the storm exited Florida.</w:t>
      </w:r>
    </w:p>
    <w:p w14:paraId="0BF29F11" w14:textId="77777777" w:rsidR="00721243" w:rsidRPr="00721243" w:rsidRDefault="00721243" w:rsidP="00721243">
      <w:pPr>
        <w:ind w:left="1440" w:hanging="1440"/>
        <w:jc w:val="both"/>
      </w:pPr>
    </w:p>
    <w:p w14:paraId="75CCF6F6" w14:textId="77777777" w:rsidR="00721243" w:rsidRDefault="00721243" w:rsidP="00721243">
      <w:pPr>
        <w:ind w:left="1440" w:hanging="1440"/>
        <w:jc w:val="both"/>
      </w:pPr>
      <w:r>
        <w:tab/>
      </w:r>
      <w:r w:rsidRPr="00721243">
        <w:t>FPL’s investments over the past decade in smart grid technology, undergrounding power lines, and strengthening the energy grid enabled FPL to avoid outages and restore power faster where outages occurred.  There was no significant structural damage to FPL’s power generating facilities, including the 38 solar energy centers exposed to storm conditions, and not a single transmission structure failed during Hurricane Ian.  Similarly, for Hurricane Nicole, there was no significant structural damage to FPL’s power generating facilities, and not a single transmission structure failed.  In both storms, FPL’s storm-hardened and underground facilities performed well.  Smart investments in FPL’s energy grid also helped the Company restore service to customers before it was safe to send crews into the field, and helped to avoid more than 400,000 outages during Hurricane Ian and more than 150,000 during Hurricane Nicole.</w:t>
      </w:r>
    </w:p>
    <w:p w14:paraId="532B2684" w14:textId="77777777" w:rsidR="00721243" w:rsidRPr="00721243" w:rsidRDefault="00721243" w:rsidP="00721243">
      <w:pPr>
        <w:ind w:left="1440" w:hanging="1440"/>
        <w:jc w:val="both"/>
      </w:pPr>
    </w:p>
    <w:p w14:paraId="39716634" w14:textId="77777777" w:rsidR="00721243" w:rsidRDefault="00721243" w:rsidP="00721243">
      <w:pPr>
        <w:ind w:left="1440" w:hanging="1440"/>
        <w:jc w:val="both"/>
      </w:pPr>
      <w:r>
        <w:tab/>
      </w:r>
      <w:r w:rsidRPr="00721243">
        <w:t xml:space="preserve">FPL followed a detailed, deliberate, and comprehensive process to review contractor invoices associated with Hurricanes Ian and Nicole in accordance with the Stipulation and Settlement of FPL’s Hurricane Irma storm restoration costs approved by Commission Order No. PSC-2019-0319-S-EI in Docket No. 20180049-EI (“Irma Settlement”).  This process included invoice receipt, individual invoice review, and follow-up analysis to ensure that invoices were paid in conformance with the applicable contract terms. </w:t>
      </w:r>
    </w:p>
    <w:p w14:paraId="4E6AA0F9" w14:textId="77777777" w:rsidR="00721243" w:rsidRPr="00721243" w:rsidRDefault="00721243" w:rsidP="00721243">
      <w:pPr>
        <w:ind w:left="1440" w:hanging="1440"/>
        <w:jc w:val="both"/>
      </w:pPr>
    </w:p>
    <w:p w14:paraId="6BAE4041" w14:textId="77777777" w:rsidR="00721243" w:rsidRDefault="00721243" w:rsidP="00721243">
      <w:pPr>
        <w:ind w:left="1440" w:hanging="1440"/>
        <w:jc w:val="both"/>
      </w:pPr>
      <w:r>
        <w:tab/>
      </w:r>
      <w:r w:rsidRPr="00721243">
        <w:t xml:space="preserve">In total, FPL incurred actual retail incremental storm restoration costs of $1,023.393 million associated with Hurricane Ian and actual retail incremental storm restoration costs of $118.423 million associated with Hurricane Nicole.  Pursuant to Section 18 of the Irma Settlement, FPL engaged an outside independent audit firm to examine FPL’s storm restoration costs and processes associated with Hurricane Ian.  This audit validated that FPL’s storm restoration costs were accurately presented, appropriately supported, and incurred within the time period allowed for recovery.  </w:t>
      </w:r>
    </w:p>
    <w:p w14:paraId="16E3E89D" w14:textId="77777777" w:rsidR="00721243" w:rsidRPr="00721243" w:rsidRDefault="00721243" w:rsidP="00721243">
      <w:pPr>
        <w:ind w:left="1440" w:hanging="1440"/>
        <w:jc w:val="both"/>
      </w:pPr>
    </w:p>
    <w:p w14:paraId="405F9132" w14:textId="77777777" w:rsidR="00721243" w:rsidRDefault="00721243" w:rsidP="00721243">
      <w:pPr>
        <w:ind w:left="1440" w:hanging="1440"/>
        <w:jc w:val="both"/>
      </w:pPr>
      <w:r>
        <w:tab/>
      </w:r>
      <w:r w:rsidRPr="00721243">
        <w:t>FPL’s total Recoverable Storm Amount</w:t>
      </w:r>
      <w:r w:rsidRPr="00721243">
        <w:rPr>
          <w:vertAlign w:val="superscript"/>
        </w:rPr>
        <w:footnoteReference w:id="3"/>
      </w:r>
      <w:r w:rsidRPr="00721243">
        <w:t xml:space="preserve"> is $1,298.027 million, as shown on Exhibit KF-3.  FPL petitioned for recovery of these costs consistent with the Stipulation and Settlement approved in Order No. PSC-2021-0446-S-EI and has collected those costs though the Interim Storm Charge approved by Order Nos. PSC-2023-0110-PCO-EI and PSC-2023-0354-PCO-EI.</w:t>
      </w:r>
    </w:p>
    <w:p w14:paraId="2D5213EA" w14:textId="77777777" w:rsidR="00721243" w:rsidRPr="00721243" w:rsidRDefault="00721243" w:rsidP="00721243">
      <w:pPr>
        <w:ind w:left="1440" w:hanging="1440"/>
        <w:jc w:val="both"/>
      </w:pPr>
    </w:p>
    <w:p w14:paraId="40D2CF4D" w14:textId="77777777" w:rsidR="006E669B" w:rsidRPr="006E669B" w:rsidRDefault="00721243" w:rsidP="00721243">
      <w:pPr>
        <w:ind w:left="1440" w:hanging="1440"/>
        <w:jc w:val="both"/>
      </w:pPr>
      <w:r>
        <w:tab/>
      </w:r>
      <w:r w:rsidRPr="00721243">
        <w:t>After the Commission has made its final determination of the final actual Recoverable Storm Amount in this proceeding, FPL will compare the approved Recoverable Storm Amount to the actual total revenues collected from the Interim Storm Charge, as set forth in Exhibit TCC-1, in order to determine any excess or shortfall in recovery.  FPL will make a compliance filing with the Commission that sets forth the calculation of the appropriate true-up rates to apply to customer bills for a one-month period in order to refund the excess to or collect the shortfall from customers.  The true-up rates will be designed consistent with the cost allocation used for the Interim Storm Charge rates approved in Order Nos. PSC-2023-0110-PCO-EI and PSC-2023-0354-PCO-EI.</w:t>
      </w:r>
    </w:p>
    <w:p w14:paraId="726787E6" w14:textId="77777777" w:rsidR="006E669B" w:rsidRPr="006E669B" w:rsidRDefault="006E669B" w:rsidP="006E669B">
      <w:pPr>
        <w:jc w:val="both"/>
      </w:pPr>
    </w:p>
    <w:p w14:paraId="08D574F9" w14:textId="77777777" w:rsidR="00A94945" w:rsidRDefault="009A0D05" w:rsidP="00A94945">
      <w:pPr>
        <w:ind w:left="1440" w:hanging="1440"/>
        <w:jc w:val="both"/>
      </w:pPr>
      <w:r>
        <w:rPr>
          <w:b/>
          <w:bCs/>
        </w:rPr>
        <w:t>OPC</w:t>
      </w:r>
      <w:r w:rsidR="006E669B" w:rsidRPr="006E669B">
        <w:rPr>
          <w:b/>
          <w:bCs/>
        </w:rPr>
        <w:t>:</w:t>
      </w:r>
      <w:r w:rsidR="006E669B" w:rsidRPr="006E669B">
        <w:tab/>
      </w:r>
      <w:r w:rsidR="00A94945" w:rsidRPr="00A94945">
        <w:t xml:space="preserve">The burden of proof in a Commission proceeding is always on a utility seeking a rate change and upon other parties seeking to change established rates. </w:t>
      </w:r>
      <w:r w:rsidR="00A94945" w:rsidRPr="00A94945">
        <w:rPr>
          <w:i/>
        </w:rPr>
        <w:t>Fla. Power Corp. v. Cresse</w:t>
      </w:r>
      <w:r w:rsidR="00A94945" w:rsidRPr="00A94945">
        <w:t>, 413 So. 2d 1187, 1191 (Fla. 1982). Florida Power &amp; Light (FPL) has the burden to prove whether the Commission should approve FPL’s Petition for limited proceeding for recovery of incremental storm restoration costs related to Hurricanes Ian and Nicole, by Florida Power &amp; Light Company.</w:t>
      </w:r>
    </w:p>
    <w:p w14:paraId="7FF53604" w14:textId="77777777" w:rsidR="00A94945" w:rsidRPr="00A94945" w:rsidRDefault="00A94945" w:rsidP="00A94945">
      <w:pPr>
        <w:ind w:left="1440" w:hanging="1440"/>
        <w:jc w:val="both"/>
      </w:pPr>
    </w:p>
    <w:p w14:paraId="7D26352E" w14:textId="77777777" w:rsidR="00A94945" w:rsidRDefault="00A94945" w:rsidP="00A94945">
      <w:pPr>
        <w:ind w:left="1440" w:hanging="1440"/>
        <w:jc w:val="both"/>
      </w:pPr>
      <w:r>
        <w:tab/>
      </w:r>
      <w:r w:rsidRPr="00A94945">
        <w:t xml:space="preserve">As a result of the stipulation entered into among the parties to Docket No. 20180049-EI and approved in Order No. PSC-2019-0319-S- EI (Irma Settlement), issued August 1, 2019, FPL agreed to follow certain process provisions related to incurring storm restoration costs.  Pursuant to Paragraph 18 of the Irma Settlement, FPL also agreed to engage an independent accounting firm to audit its compliance with the agreed process provisions for the first named tropical system named by the National Hurricane Center for which claimed damages exceed $250 million. </w:t>
      </w:r>
    </w:p>
    <w:p w14:paraId="3DD31E1F" w14:textId="77777777" w:rsidR="00A94945" w:rsidRPr="00A94945" w:rsidRDefault="00A94945" w:rsidP="00A94945">
      <w:pPr>
        <w:ind w:left="1440" w:hanging="1440"/>
        <w:jc w:val="both"/>
      </w:pPr>
    </w:p>
    <w:p w14:paraId="67376134" w14:textId="77777777" w:rsidR="00A94945" w:rsidRDefault="00A94945" w:rsidP="00A94945">
      <w:pPr>
        <w:ind w:left="1440" w:hanging="1440"/>
        <w:jc w:val="both"/>
      </w:pPr>
      <w:r>
        <w:tab/>
      </w:r>
      <w:r w:rsidRPr="00A94945">
        <w:t xml:space="preserve">The OPC has reviewed FPL’s audit plan, audit report and audit workpapers, and the OPC further conducted discovery involving a review of a representative sample of invoices and cost documentation. After conducting this review and cooperatively meeting with FPL and their outside auditors, the OPC determined that the company has materially complied with the Irma Settlement and that the </w:t>
      </w:r>
      <w:r w:rsidRPr="00A94945">
        <w:lastRenderedPageBreak/>
        <w:t xml:space="preserve">audit was well designed and executed. FPL has also demonstrated that it maintains processes that ensure their positive stewardship of the resources they acquire for restoring service after severe weather events. </w:t>
      </w:r>
    </w:p>
    <w:p w14:paraId="5298EED7" w14:textId="77777777" w:rsidR="00A94945" w:rsidRPr="00A94945" w:rsidRDefault="00A94945" w:rsidP="00A94945">
      <w:pPr>
        <w:ind w:left="1440" w:hanging="1440"/>
        <w:jc w:val="both"/>
      </w:pPr>
    </w:p>
    <w:p w14:paraId="500F9DF9" w14:textId="77777777" w:rsidR="006E669B" w:rsidRPr="006E669B" w:rsidRDefault="00A94945" w:rsidP="00A94945">
      <w:pPr>
        <w:ind w:left="1440" w:hanging="1440"/>
        <w:jc w:val="both"/>
      </w:pPr>
      <w:r>
        <w:tab/>
      </w:r>
      <w:r w:rsidRPr="00A94945">
        <w:t>Based on the entirety of the circumstances, FPL’s petition meets the burden of proof established by the Irma Settlement and other applicable laws. OPC and FPL have agreed to stipulations to resolve all outstanding issues.  OPC represents that these stipulations are reasonable and prudent resolutions to the issues and are in the public interest.  As a result of the due diligence performed by the OPC and the cooperation by FPL in this matter, OPC is in support of FPL’s continued commitment to implement and update the process provision in the Irma Settlement so that current and future customers only pay for prudent, cost-effective storm restoration costs incurred due to extreme weather events.</w:t>
      </w:r>
    </w:p>
    <w:p w14:paraId="022C3A91" w14:textId="77777777" w:rsidR="006E669B" w:rsidRPr="006E669B" w:rsidRDefault="006E669B" w:rsidP="006E669B">
      <w:pPr>
        <w:jc w:val="both"/>
      </w:pPr>
    </w:p>
    <w:p w14:paraId="75CF8FBC" w14:textId="77777777" w:rsidR="009A0D05" w:rsidRPr="006E669B" w:rsidRDefault="009A0D05" w:rsidP="009A0D05">
      <w:pPr>
        <w:ind w:left="1440" w:hanging="1440"/>
        <w:jc w:val="both"/>
      </w:pPr>
      <w:r>
        <w:rPr>
          <w:b/>
          <w:bCs/>
        </w:rPr>
        <w:t>Walmart</w:t>
      </w:r>
      <w:r w:rsidRPr="006E669B">
        <w:rPr>
          <w:b/>
          <w:bCs/>
        </w:rPr>
        <w:t>:</w:t>
      </w:r>
      <w:r w:rsidRPr="006E669B">
        <w:tab/>
      </w:r>
      <w:r w:rsidR="00167278">
        <w:t xml:space="preserve">Walmart takes no position regarding the majority of Issues raised in this Docket, as set forth in Section V. below. However, Walmart supports Florida Power &amp; Light Company's ("FPL") plan to refund storm cost charges that it over-collected from customers in the same manner in which those storm cost charges were originally collected, </w:t>
      </w:r>
      <w:r w:rsidR="00167278" w:rsidRPr="006A60B5">
        <w:rPr>
          <w:i/>
        </w:rPr>
        <w:t>i.e.</w:t>
      </w:r>
      <w:r w:rsidR="00167278">
        <w:t>, via energy charges for all customers, as set forth in Issue 14.  Walmart reserves the right to raise issues addressed in its Comments filed on March 7, 2023, in FPL's next storm cost recovery proceeding.</w:t>
      </w:r>
    </w:p>
    <w:p w14:paraId="36CA0EF1" w14:textId="77777777" w:rsidR="009A0D05" w:rsidRPr="006E669B" w:rsidRDefault="009A0D05" w:rsidP="009A0D05">
      <w:pPr>
        <w:jc w:val="both"/>
      </w:pPr>
    </w:p>
    <w:p w14:paraId="00AC16D6" w14:textId="77777777" w:rsidR="006E669B" w:rsidRPr="006E669B" w:rsidRDefault="006E669B" w:rsidP="006E669B">
      <w:pPr>
        <w:ind w:left="1440" w:hanging="1440"/>
        <w:jc w:val="both"/>
      </w:pPr>
      <w:r w:rsidRPr="006E669B">
        <w:rPr>
          <w:b/>
          <w:bCs/>
        </w:rPr>
        <w:t>STAFF:</w:t>
      </w:r>
      <w:r w:rsidRPr="006E669B">
        <w:rPr>
          <w:b/>
          <w:bCs/>
        </w:rPr>
        <w:tab/>
      </w:r>
      <w:r w:rsidRPr="006E669B">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0B6507">
        <w:t xml:space="preserve"> stated herein</w:t>
      </w:r>
      <w:r w:rsidRPr="006E669B">
        <w:t xml:space="preserve">.  </w:t>
      </w:r>
    </w:p>
    <w:p w14:paraId="64F4B6B4" w14:textId="77777777" w:rsidR="006E669B" w:rsidRPr="006E669B" w:rsidRDefault="006E669B" w:rsidP="006E669B">
      <w:pPr>
        <w:ind w:left="1440" w:hanging="1440"/>
        <w:jc w:val="both"/>
      </w:pPr>
    </w:p>
    <w:p w14:paraId="1B12029E" w14:textId="77777777" w:rsidR="006E669B" w:rsidRPr="006E669B" w:rsidRDefault="006E669B" w:rsidP="006E669B">
      <w:pPr>
        <w:ind w:left="1440" w:hanging="1440"/>
        <w:jc w:val="both"/>
      </w:pPr>
    </w:p>
    <w:p w14:paraId="1CFB2391" w14:textId="77777777" w:rsidR="006E669B" w:rsidRPr="006E669B" w:rsidRDefault="006E669B" w:rsidP="006E669B">
      <w:pPr>
        <w:jc w:val="both"/>
        <w:rPr>
          <w:b/>
        </w:rPr>
      </w:pPr>
      <w:r w:rsidRPr="006E669B">
        <w:rPr>
          <w:b/>
        </w:rPr>
        <w:t>VIII.</w:t>
      </w:r>
      <w:r w:rsidRPr="006E669B">
        <w:rPr>
          <w:b/>
        </w:rPr>
        <w:tab/>
      </w:r>
      <w:r w:rsidRPr="006E669B">
        <w:rPr>
          <w:b/>
          <w:u w:val="single"/>
        </w:rPr>
        <w:t xml:space="preserve">ISSUES </w:t>
      </w:r>
      <w:smartTag w:uri="urn:schemas-microsoft-com:office:smarttags" w:element="stockticker">
        <w:r w:rsidRPr="006E669B">
          <w:rPr>
            <w:b/>
            <w:u w:val="single"/>
          </w:rPr>
          <w:t>AND</w:t>
        </w:r>
      </w:smartTag>
      <w:r w:rsidRPr="006E669B">
        <w:rPr>
          <w:b/>
          <w:u w:val="single"/>
        </w:rPr>
        <w:t xml:space="preserve"> POSITIONS</w:t>
      </w:r>
    </w:p>
    <w:p w14:paraId="6990460B" w14:textId="77777777" w:rsidR="006E669B" w:rsidRPr="006E669B" w:rsidRDefault="006E669B" w:rsidP="006E669B">
      <w:pPr>
        <w:jc w:val="both"/>
      </w:pPr>
    </w:p>
    <w:p w14:paraId="5EDC0210" w14:textId="77777777" w:rsidR="006E669B" w:rsidRPr="00E05B25" w:rsidRDefault="006E669B" w:rsidP="00B37E10">
      <w:pPr>
        <w:ind w:left="1440" w:hanging="1440"/>
        <w:jc w:val="both"/>
        <w:rPr>
          <w:b/>
        </w:rPr>
      </w:pPr>
      <w:r w:rsidRPr="006E669B">
        <w:rPr>
          <w:b/>
          <w:bCs/>
        </w:rPr>
        <w:t>ISSUE 1:</w:t>
      </w:r>
      <w:r w:rsidRPr="006E669B">
        <w:tab/>
      </w:r>
      <w:r w:rsidR="00B37E10" w:rsidRPr="00E05B25">
        <w:rPr>
          <w:b/>
        </w:rPr>
        <w:t>Should the incremental cost and capitalization approach (ICCA) found in Rule 25-6.0143, F.A.C., be used to determine the reasonable and prudent amounts to be included in the restoration costs?</w:t>
      </w:r>
    </w:p>
    <w:p w14:paraId="3948197F" w14:textId="77777777" w:rsidR="006E669B" w:rsidRPr="006E669B" w:rsidRDefault="006E669B" w:rsidP="00B37E10">
      <w:pPr>
        <w:ind w:left="1440" w:hanging="1440"/>
        <w:jc w:val="both"/>
      </w:pPr>
    </w:p>
    <w:p w14:paraId="1E06F661" w14:textId="77777777" w:rsidR="006E669B" w:rsidRPr="006E669B" w:rsidRDefault="004F474E" w:rsidP="00B37E10">
      <w:pPr>
        <w:ind w:left="1440" w:hanging="1440"/>
        <w:jc w:val="both"/>
      </w:pPr>
      <w:r>
        <w:rPr>
          <w:b/>
          <w:bCs/>
        </w:rPr>
        <w:t>FPL</w:t>
      </w:r>
      <w:r w:rsidR="006E669B" w:rsidRPr="006E669B">
        <w:rPr>
          <w:b/>
          <w:bCs/>
        </w:rPr>
        <w:t>:</w:t>
      </w:r>
      <w:r w:rsidR="006E669B" w:rsidRPr="006E669B">
        <w:tab/>
      </w:r>
      <w:r w:rsidR="00C77112" w:rsidRPr="00B309F9">
        <w:t>Yes. The Incremental Cost and Capitalization Approach prescribed in Rule 25-6.0143, Florida Administrative Code, should be used to calculate FPL’s Hurricanes Ian and Nicole storm costs, including removing below-the-line expenses and calculating storm capital costs.  (</w:t>
      </w:r>
      <w:r w:rsidR="00C77112" w:rsidRPr="00B309F9">
        <w:rPr>
          <w:i/>
          <w:iCs/>
        </w:rPr>
        <w:t>Ferguson)</w:t>
      </w:r>
    </w:p>
    <w:p w14:paraId="0C26A788" w14:textId="77777777" w:rsidR="006E669B" w:rsidRPr="006E669B" w:rsidRDefault="006E669B" w:rsidP="00B37E10">
      <w:pPr>
        <w:ind w:left="1440" w:hanging="1440"/>
        <w:jc w:val="both"/>
      </w:pPr>
    </w:p>
    <w:p w14:paraId="41F5BA0A" w14:textId="77777777" w:rsidR="006E669B" w:rsidRPr="006E669B" w:rsidRDefault="004F474E" w:rsidP="00B37E10">
      <w:pPr>
        <w:ind w:left="1440" w:hanging="1440"/>
        <w:jc w:val="both"/>
      </w:pPr>
      <w:r>
        <w:rPr>
          <w:b/>
          <w:bCs/>
        </w:rPr>
        <w:t>OPC</w:t>
      </w:r>
      <w:r w:rsidR="006E669B" w:rsidRPr="006E669B">
        <w:rPr>
          <w:b/>
          <w:bCs/>
        </w:rPr>
        <w:t>:</w:t>
      </w:r>
      <w:r w:rsidR="00B37E10">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 xml:space="preserve">commitment to an ongoing, continuous storm restoration process improvement plan so that current and future customers only </w:t>
      </w:r>
      <w:r w:rsidR="00E92045" w:rsidRPr="00C2789E">
        <w:lastRenderedPageBreak/>
        <w:t>pay for prudent, cost-effective storm restoration costs incurred due to extreme weather events. OPC agrees with</w:t>
      </w:r>
      <w:r w:rsidR="00E92045">
        <w:t xml:space="preserve"> FPL</w:t>
      </w:r>
      <w:r w:rsidR="00E92045" w:rsidRPr="00C2789E">
        <w:t>.</w:t>
      </w:r>
    </w:p>
    <w:p w14:paraId="0AEEDCDD" w14:textId="77777777" w:rsidR="006E669B" w:rsidRPr="006E669B" w:rsidRDefault="006E669B" w:rsidP="00B37E10">
      <w:pPr>
        <w:ind w:left="1440" w:hanging="1440"/>
        <w:jc w:val="both"/>
      </w:pPr>
    </w:p>
    <w:p w14:paraId="089BCBDA" w14:textId="77777777" w:rsidR="004F474E" w:rsidRPr="006E669B" w:rsidRDefault="004F474E" w:rsidP="00B37E10">
      <w:pPr>
        <w:ind w:left="1440" w:hanging="1440"/>
        <w:jc w:val="both"/>
      </w:pPr>
      <w:r>
        <w:rPr>
          <w:b/>
          <w:bCs/>
        </w:rPr>
        <w:t>Walmart</w:t>
      </w:r>
      <w:r w:rsidRPr="006E669B">
        <w:rPr>
          <w:b/>
          <w:bCs/>
        </w:rPr>
        <w:t>:</w:t>
      </w:r>
      <w:r w:rsidRPr="006E669B">
        <w:tab/>
      </w:r>
      <w:r w:rsidR="00577E8D" w:rsidRPr="00913D83">
        <w:t>Walmart takes no position.</w:t>
      </w:r>
    </w:p>
    <w:p w14:paraId="5BE81B32" w14:textId="77777777" w:rsidR="004F474E" w:rsidRPr="006E669B" w:rsidRDefault="004F474E" w:rsidP="00B37E10">
      <w:pPr>
        <w:ind w:left="1440" w:hanging="1440"/>
        <w:jc w:val="both"/>
      </w:pPr>
    </w:p>
    <w:p w14:paraId="7268456C" w14:textId="77777777" w:rsidR="006E669B" w:rsidRPr="006E669B" w:rsidRDefault="006E669B"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253C2E88" w14:textId="77777777" w:rsidR="006E669B" w:rsidRDefault="006E669B" w:rsidP="00B37E10">
      <w:pPr>
        <w:ind w:left="1440" w:hanging="1440"/>
        <w:jc w:val="both"/>
      </w:pPr>
    </w:p>
    <w:p w14:paraId="10D1D945" w14:textId="77777777" w:rsidR="00FD3769" w:rsidRDefault="00FD3769" w:rsidP="00B37E10">
      <w:pPr>
        <w:ind w:left="1440" w:hanging="1440"/>
        <w:jc w:val="both"/>
      </w:pPr>
    </w:p>
    <w:p w14:paraId="5D88F8F1" w14:textId="77777777" w:rsidR="00FD3769" w:rsidRPr="00E05B25" w:rsidRDefault="00FD3769" w:rsidP="00B37E10">
      <w:pPr>
        <w:ind w:left="1440" w:hanging="1440"/>
        <w:jc w:val="both"/>
        <w:rPr>
          <w:b/>
        </w:rPr>
      </w:pPr>
      <w:r>
        <w:rPr>
          <w:b/>
          <w:bCs/>
        </w:rPr>
        <w:t>ISSUE 2</w:t>
      </w:r>
      <w:r w:rsidRPr="006E669B">
        <w:rPr>
          <w:b/>
          <w:bCs/>
        </w:rPr>
        <w:t>:</w:t>
      </w:r>
      <w:r w:rsidRPr="006E669B">
        <w:tab/>
      </w:r>
      <w:r w:rsidR="00834AA7" w:rsidRPr="00E05B25">
        <w:rPr>
          <w:b/>
        </w:rPr>
        <w:t>Has FPL complied with the terms of the 2019 Stipulation and Settlement, approved by Order No. PSC-2019-0319-S-EI, issued August 1, 2019?  If not, why not?</w:t>
      </w:r>
    </w:p>
    <w:p w14:paraId="6AC31D53" w14:textId="77777777" w:rsidR="00FD3769" w:rsidRPr="006E669B" w:rsidRDefault="00FD3769" w:rsidP="00B37E10">
      <w:pPr>
        <w:ind w:left="1440" w:hanging="1440"/>
        <w:jc w:val="both"/>
      </w:pPr>
    </w:p>
    <w:p w14:paraId="5A48E8F2" w14:textId="77777777" w:rsidR="00FD3769" w:rsidRPr="006E669B" w:rsidRDefault="00FD3769" w:rsidP="00B37E10">
      <w:pPr>
        <w:ind w:left="1440" w:hanging="1440"/>
        <w:jc w:val="both"/>
      </w:pPr>
      <w:r>
        <w:rPr>
          <w:b/>
          <w:bCs/>
        </w:rPr>
        <w:t>FPL</w:t>
      </w:r>
      <w:r w:rsidRPr="006E669B">
        <w:rPr>
          <w:b/>
          <w:bCs/>
        </w:rPr>
        <w:t>:</w:t>
      </w:r>
      <w:r w:rsidRPr="006E669B">
        <w:tab/>
      </w:r>
      <w:r w:rsidR="00581B7D" w:rsidRPr="00C50FA3">
        <w:t xml:space="preserve">Yes.  </w:t>
      </w:r>
      <w:r w:rsidR="00581B7D">
        <w:t>FPL has</w:t>
      </w:r>
      <w:r w:rsidR="00581B7D" w:rsidRPr="00C50FA3">
        <w:t xml:space="preserve"> complied with the terms of the 2019 Stipulation and Settlement, approved by Order No. PSC-2019-0319-S-EI, issued August 1, 2019.  (</w:t>
      </w:r>
      <w:r w:rsidR="00581B7D" w:rsidRPr="00C50FA3">
        <w:rPr>
          <w:i/>
          <w:iCs/>
        </w:rPr>
        <w:t>Ferguson</w:t>
      </w:r>
      <w:r w:rsidR="00581B7D">
        <w:rPr>
          <w:i/>
          <w:iCs/>
        </w:rPr>
        <w:t xml:space="preserve">, </w:t>
      </w:r>
      <w:r w:rsidR="00581B7D" w:rsidRPr="00C50FA3">
        <w:rPr>
          <w:i/>
          <w:iCs/>
        </w:rPr>
        <w:t>De Lucenay)</w:t>
      </w:r>
    </w:p>
    <w:p w14:paraId="3A1D660E" w14:textId="77777777" w:rsidR="00FD3769" w:rsidRPr="006E669B" w:rsidRDefault="00FD3769" w:rsidP="00B37E10">
      <w:pPr>
        <w:ind w:left="1440" w:hanging="1440"/>
        <w:jc w:val="both"/>
      </w:pPr>
    </w:p>
    <w:p w14:paraId="14E0EE45" w14:textId="77777777" w:rsidR="00FD3769" w:rsidRPr="006E669B" w:rsidRDefault="00FD3769"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commitment to an ongoing, continuous storm restoration process improvement plan so that current and future customers only pay for prudent, cost-effective storm restoration costs incurred due to extreme weather events. OPC agrees with</w:t>
      </w:r>
      <w:r w:rsidR="00E92045">
        <w:t xml:space="preserve"> FPL</w:t>
      </w:r>
      <w:r w:rsidR="00E92045" w:rsidRPr="00C2789E">
        <w:t>.</w:t>
      </w:r>
    </w:p>
    <w:p w14:paraId="142195FA" w14:textId="77777777" w:rsidR="00FD3769" w:rsidRPr="006E669B" w:rsidRDefault="00FD3769" w:rsidP="00B37E10">
      <w:pPr>
        <w:ind w:left="1440" w:hanging="1440"/>
        <w:jc w:val="both"/>
      </w:pPr>
    </w:p>
    <w:p w14:paraId="6783412E" w14:textId="77777777" w:rsidR="00FD3769" w:rsidRPr="006E669B" w:rsidRDefault="00FD3769" w:rsidP="00B37E10">
      <w:pPr>
        <w:ind w:left="1440" w:hanging="1440"/>
        <w:jc w:val="both"/>
      </w:pPr>
      <w:r>
        <w:rPr>
          <w:b/>
          <w:bCs/>
        </w:rPr>
        <w:t>Walmart</w:t>
      </w:r>
      <w:r w:rsidRPr="006E669B">
        <w:rPr>
          <w:b/>
          <w:bCs/>
        </w:rPr>
        <w:t>:</w:t>
      </w:r>
      <w:r w:rsidRPr="006E669B">
        <w:tab/>
      </w:r>
      <w:r w:rsidR="00577E8D" w:rsidRPr="00913D83">
        <w:t>Walmart takes no position.</w:t>
      </w:r>
    </w:p>
    <w:p w14:paraId="316865BE" w14:textId="77777777" w:rsidR="00FD3769" w:rsidRPr="006E669B" w:rsidRDefault="00FD3769" w:rsidP="00B37E10">
      <w:pPr>
        <w:ind w:left="1440" w:hanging="1440"/>
        <w:jc w:val="both"/>
      </w:pPr>
    </w:p>
    <w:p w14:paraId="0D13F04F" w14:textId="77777777" w:rsidR="00FD3769" w:rsidRPr="006E669B" w:rsidRDefault="00FD3769"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50F6C8B6" w14:textId="77777777" w:rsidR="00FD3769" w:rsidRDefault="00FD3769" w:rsidP="00B37E10">
      <w:pPr>
        <w:ind w:left="1440" w:hanging="1440"/>
        <w:jc w:val="both"/>
      </w:pPr>
    </w:p>
    <w:p w14:paraId="267EC8EF" w14:textId="77777777" w:rsidR="00FD3769" w:rsidRDefault="00FD3769" w:rsidP="00B37E10">
      <w:pPr>
        <w:ind w:left="1440" w:hanging="1440"/>
        <w:jc w:val="both"/>
      </w:pPr>
    </w:p>
    <w:p w14:paraId="68EF31FE" w14:textId="77777777" w:rsidR="001D532F" w:rsidRPr="00E05B25" w:rsidRDefault="001D532F" w:rsidP="00B37E10">
      <w:pPr>
        <w:ind w:left="1440" w:hanging="1440"/>
        <w:jc w:val="both"/>
        <w:rPr>
          <w:b/>
        </w:rPr>
      </w:pPr>
      <w:r>
        <w:rPr>
          <w:b/>
          <w:bCs/>
        </w:rPr>
        <w:t>ISSUE 3</w:t>
      </w:r>
      <w:r w:rsidRPr="006E669B">
        <w:rPr>
          <w:b/>
          <w:bCs/>
        </w:rPr>
        <w:t>:</w:t>
      </w:r>
      <w:r w:rsidRPr="006E669B">
        <w:tab/>
      </w:r>
      <w:r w:rsidR="00834AA7" w:rsidRPr="00E05B25">
        <w:rPr>
          <w:b/>
        </w:rPr>
        <w:t>What is the reasonable and prudent amount of regular payroll expense to be included in the restoration costs?</w:t>
      </w:r>
    </w:p>
    <w:p w14:paraId="3B5DCDD1" w14:textId="77777777" w:rsidR="001D532F" w:rsidRPr="006E669B" w:rsidRDefault="001D532F" w:rsidP="00B37E10">
      <w:pPr>
        <w:ind w:left="1440" w:hanging="1440"/>
        <w:jc w:val="both"/>
      </w:pPr>
    </w:p>
    <w:p w14:paraId="18AD9E06" w14:textId="7C8CFA70" w:rsidR="00581B7D" w:rsidRDefault="001D532F" w:rsidP="00581B7D">
      <w:pPr>
        <w:spacing w:after="240"/>
        <w:ind w:left="1440" w:hanging="1440"/>
        <w:jc w:val="both"/>
      </w:pPr>
      <w:r>
        <w:rPr>
          <w:b/>
          <w:bCs/>
        </w:rPr>
        <w:t>FPL</w:t>
      </w:r>
      <w:r w:rsidRPr="006E669B">
        <w:rPr>
          <w:b/>
          <w:bCs/>
        </w:rPr>
        <w:t>:</w:t>
      </w:r>
      <w:r w:rsidRPr="006E669B">
        <w:tab/>
      </w:r>
      <w:r w:rsidR="00581B7D" w:rsidRPr="00581B7D">
        <w:rPr>
          <w:bCs/>
        </w:rPr>
        <w:t>The reasonable and prudent regular payroll expense to be included in storm restoration costs for Hurricane Ian and Hurricane Nicole is $6.001 million and $2.342 million, respectively, as set forth in the table below and as shown on Exhibits KF-1 and KF-2.</w:t>
      </w:r>
      <w:r w:rsidR="00581B7D" w:rsidRPr="00581B7D">
        <w:t xml:space="preserve">  These are the costs FPL incurred for employee time spent in direct support of storm related activities including but not limited to restoration, which excludes bonuses and incentive compensation.  </w:t>
      </w:r>
    </w:p>
    <w:p w14:paraId="47709B7D" w14:textId="222D9354" w:rsidR="00D63101" w:rsidRDefault="00D63101" w:rsidP="00581B7D">
      <w:pPr>
        <w:spacing w:after="240"/>
        <w:ind w:left="1440" w:hanging="1440"/>
        <w:jc w:val="both"/>
      </w:pPr>
    </w:p>
    <w:p w14:paraId="4979B9FC" w14:textId="2C31BF05" w:rsidR="00D63101" w:rsidRDefault="00D63101" w:rsidP="00581B7D">
      <w:pPr>
        <w:spacing w:after="240"/>
        <w:ind w:left="1440" w:hanging="1440"/>
        <w:jc w:val="both"/>
      </w:pPr>
    </w:p>
    <w:p w14:paraId="0B79F6F7" w14:textId="463AB341" w:rsidR="00D63101" w:rsidRDefault="00D63101" w:rsidP="00581B7D">
      <w:pPr>
        <w:spacing w:after="240"/>
        <w:ind w:left="1440" w:hanging="1440"/>
        <w:jc w:val="both"/>
      </w:pPr>
    </w:p>
    <w:p w14:paraId="54FB9D41" w14:textId="77777777" w:rsidR="00D63101" w:rsidRPr="00581B7D" w:rsidRDefault="00D63101" w:rsidP="00581B7D">
      <w:pPr>
        <w:spacing w:after="240"/>
        <w:ind w:left="1440" w:hanging="1440"/>
        <w:jc w:val="both"/>
      </w:pPr>
    </w:p>
    <w:p w14:paraId="57941083" w14:textId="77777777" w:rsidR="00581B7D" w:rsidRDefault="00581B7D" w:rsidP="006E06A6">
      <w:pPr>
        <w:autoSpaceDE w:val="0"/>
        <w:autoSpaceDN w:val="0"/>
        <w:adjustRightInd w:val="0"/>
        <w:ind w:left="2880" w:hanging="1440"/>
        <w:jc w:val="center"/>
        <w:rPr>
          <w:u w:val="single"/>
        </w:rPr>
      </w:pPr>
      <w:r w:rsidRPr="00581B7D">
        <w:rPr>
          <w:u w:val="single"/>
        </w:rPr>
        <w:lastRenderedPageBreak/>
        <w:t>Reasonable and Prudent Amount of Regular Payroll Expense</w:t>
      </w:r>
    </w:p>
    <w:p w14:paraId="664A649A" w14:textId="77777777" w:rsidR="00581B7D" w:rsidRDefault="00581B7D" w:rsidP="006E06A6">
      <w:pPr>
        <w:autoSpaceDE w:val="0"/>
        <w:autoSpaceDN w:val="0"/>
        <w:adjustRightInd w:val="0"/>
        <w:ind w:left="2880" w:hanging="1440"/>
        <w:jc w:val="center"/>
      </w:pPr>
      <w:r w:rsidRPr="00581B7D">
        <w:t>($000s)</w:t>
      </w:r>
    </w:p>
    <w:p w14:paraId="4F02612E" w14:textId="77777777" w:rsidR="00581B7D" w:rsidRDefault="00581B7D" w:rsidP="00480E12">
      <w:pPr>
        <w:autoSpaceDE w:val="0"/>
        <w:autoSpaceDN w:val="0"/>
        <w:adjustRightInd w:val="0"/>
        <w:ind w:left="2880" w:hanging="1440"/>
        <w:jc w:val="center"/>
      </w:pPr>
    </w:p>
    <w:tbl>
      <w:tblPr>
        <w:tblStyle w:val="TableGrid3"/>
        <w:tblW w:w="8185" w:type="dxa"/>
        <w:tblInd w:w="1725" w:type="dxa"/>
        <w:tblLook w:val="04A0" w:firstRow="1" w:lastRow="0" w:firstColumn="1" w:lastColumn="0" w:noHBand="0" w:noVBand="1"/>
      </w:tblPr>
      <w:tblGrid>
        <w:gridCol w:w="1075"/>
        <w:gridCol w:w="1980"/>
        <w:gridCol w:w="1440"/>
        <w:gridCol w:w="1620"/>
        <w:gridCol w:w="2070"/>
      </w:tblGrid>
      <w:tr w:rsidR="00DF69B2" w:rsidRPr="00581B7D" w14:paraId="04E24599" w14:textId="77777777" w:rsidTr="00DF69B2">
        <w:trPr>
          <w:trHeight w:val="935"/>
        </w:trPr>
        <w:tc>
          <w:tcPr>
            <w:tcW w:w="1075" w:type="dxa"/>
            <w:tcBorders>
              <w:bottom w:val="single" w:sz="12" w:space="0" w:color="auto"/>
            </w:tcBorders>
            <w:vAlign w:val="center"/>
          </w:tcPr>
          <w:p w14:paraId="2956F781" w14:textId="77777777" w:rsidR="00DF69B2" w:rsidRPr="00581B7D" w:rsidRDefault="00DF69B2" w:rsidP="00E2191F">
            <w:pPr>
              <w:autoSpaceDE w:val="0"/>
              <w:autoSpaceDN w:val="0"/>
              <w:adjustRightInd w:val="0"/>
              <w:jc w:val="center"/>
            </w:pPr>
            <w:r w:rsidRPr="00581B7D">
              <w:t>Storm</w:t>
            </w:r>
          </w:p>
        </w:tc>
        <w:tc>
          <w:tcPr>
            <w:tcW w:w="1980" w:type="dxa"/>
            <w:tcBorders>
              <w:bottom w:val="single" w:sz="12" w:space="0" w:color="auto"/>
            </w:tcBorders>
          </w:tcPr>
          <w:p w14:paraId="0861E8E2" w14:textId="77777777" w:rsidR="00DF69B2" w:rsidRPr="00581B7D" w:rsidRDefault="00DF69B2" w:rsidP="00E2191F">
            <w:pPr>
              <w:autoSpaceDE w:val="0"/>
              <w:autoSpaceDN w:val="0"/>
              <w:adjustRightInd w:val="0"/>
              <w:jc w:val="center"/>
            </w:pPr>
            <w:r w:rsidRPr="00581B7D">
              <w:t>Total Storm Restoration Costs Incurred</w:t>
            </w:r>
          </w:p>
        </w:tc>
        <w:tc>
          <w:tcPr>
            <w:tcW w:w="1440" w:type="dxa"/>
            <w:tcBorders>
              <w:bottom w:val="single" w:sz="12" w:space="0" w:color="auto"/>
            </w:tcBorders>
            <w:vAlign w:val="center"/>
          </w:tcPr>
          <w:p w14:paraId="2F2FD17D" w14:textId="77777777" w:rsidR="00DF69B2" w:rsidRPr="00581B7D" w:rsidRDefault="00DF69B2" w:rsidP="00E2191F">
            <w:pPr>
              <w:autoSpaceDE w:val="0"/>
              <w:autoSpaceDN w:val="0"/>
              <w:adjustRightInd w:val="0"/>
              <w:jc w:val="center"/>
            </w:pPr>
            <w:r w:rsidRPr="00581B7D">
              <w:t>Less Capitalized Costs</w:t>
            </w:r>
          </w:p>
        </w:tc>
        <w:tc>
          <w:tcPr>
            <w:tcW w:w="1620" w:type="dxa"/>
            <w:tcBorders>
              <w:bottom w:val="single" w:sz="12" w:space="0" w:color="auto"/>
            </w:tcBorders>
            <w:vAlign w:val="center"/>
          </w:tcPr>
          <w:p w14:paraId="58846267" w14:textId="77777777" w:rsidR="00DF69B2" w:rsidRPr="00581B7D" w:rsidRDefault="00DF69B2" w:rsidP="00E2191F">
            <w:pPr>
              <w:autoSpaceDE w:val="0"/>
              <w:autoSpaceDN w:val="0"/>
              <w:adjustRightInd w:val="0"/>
              <w:jc w:val="center"/>
            </w:pPr>
            <w:r w:rsidRPr="00581B7D">
              <w:t>Less ICCA Adjustments</w:t>
            </w:r>
          </w:p>
        </w:tc>
        <w:tc>
          <w:tcPr>
            <w:tcW w:w="2070" w:type="dxa"/>
            <w:tcBorders>
              <w:bottom w:val="single" w:sz="12" w:space="0" w:color="auto"/>
            </w:tcBorders>
            <w:vAlign w:val="center"/>
          </w:tcPr>
          <w:p w14:paraId="69BFF9E2" w14:textId="77777777" w:rsidR="00DF69B2" w:rsidRPr="00581B7D" w:rsidRDefault="00DF69B2" w:rsidP="00E2191F">
            <w:pPr>
              <w:autoSpaceDE w:val="0"/>
              <w:autoSpaceDN w:val="0"/>
              <w:adjustRightInd w:val="0"/>
              <w:jc w:val="center"/>
            </w:pPr>
            <w:r w:rsidRPr="00581B7D">
              <w:t>Recoverable Incremental Storm Costs</w:t>
            </w:r>
          </w:p>
        </w:tc>
      </w:tr>
      <w:tr w:rsidR="00DF69B2" w:rsidRPr="00581B7D" w14:paraId="03E5CF02" w14:textId="77777777" w:rsidTr="00DF69B2">
        <w:tc>
          <w:tcPr>
            <w:tcW w:w="1075" w:type="dxa"/>
            <w:tcBorders>
              <w:top w:val="single" w:sz="12" w:space="0" w:color="auto"/>
            </w:tcBorders>
          </w:tcPr>
          <w:p w14:paraId="7794A0AC" w14:textId="77777777" w:rsidR="00DF69B2" w:rsidRPr="00581B7D" w:rsidRDefault="00DF69B2" w:rsidP="00E2191F">
            <w:pPr>
              <w:autoSpaceDE w:val="0"/>
              <w:autoSpaceDN w:val="0"/>
              <w:adjustRightInd w:val="0"/>
            </w:pPr>
            <w:r w:rsidRPr="00581B7D">
              <w:t>Ian</w:t>
            </w:r>
          </w:p>
        </w:tc>
        <w:tc>
          <w:tcPr>
            <w:tcW w:w="1980" w:type="dxa"/>
            <w:tcBorders>
              <w:top w:val="single" w:sz="12" w:space="0" w:color="auto"/>
            </w:tcBorders>
          </w:tcPr>
          <w:p w14:paraId="1BE4D921" w14:textId="77777777" w:rsidR="00DF69B2" w:rsidRPr="00581B7D" w:rsidRDefault="00DF69B2" w:rsidP="00E2191F">
            <w:pPr>
              <w:autoSpaceDE w:val="0"/>
              <w:autoSpaceDN w:val="0"/>
              <w:adjustRightInd w:val="0"/>
              <w:jc w:val="right"/>
            </w:pPr>
            <w:r w:rsidRPr="00581B7D">
              <w:t>$15,263</w:t>
            </w:r>
          </w:p>
        </w:tc>
        <w:tc>
          <w:tcPr>
            <w:tcW w:w="1440" w:type="dxa"/>
            <w:tcBorders>
              <w:top w:val="single" w:sz="12" w:space="0" w:color="auto"/>
            </w:tcBorders>
          </w:tcPr>
          <w:p w14:paraId="356A772B" w14:textId="77777777" w:rsidR="00DF69B2" w:rsidRPr="00581B7D" w:rsidRDefault="00DF69B2" w:rsidP="00E2191F">
            <w:pPr>
              <w:autoSpaceDE w:val="0"/>
              <w:autoSpaceDN w:val="0"/>
              <w:adjustRightInd w:val="0"/>
              <w:jc w:val="right"/>
            </w:pPr>
            <w:r w:rsidRPr="00581B7D">
              <w:t>$3,789</w:t>
            </w:r>
          </w:p>
        </w:tc>
        <w:tc>
          <w:tcPr>
            <w:tcW w:w="1620" w:type="dxa"/>
            <w:tcBorders>
              <w:top w:val="single" w:sz="12" w:space="0" w:color="auto"/>
            </w:tcBorders>
          </w:tcPr>
          <w:p w14:paraId="506A7E98" w14:textId="77777777" w:rsidR="00DF69B2" w:rsidRPr="00581B7D" w:rsidRDefault="00DF69B2" w:rsidP="00E2191F">
            <w:pPr>
              <w:autoSpaceDE w:val="0"/>
              <w:autoSpaceDN w:val="0"/>
              <w:adjustRightInd w:val="0"/>
              <w:jc w:val="right"/>
            </w:pPr>
            <w:r w:rsidRPr="00581B7D">
              <w:t>$5,472</w:t>
            </w:r>
          </w:p>
        </w:tc>
        <w:tc>
          <w:tcPr>
            <w:tcW w:w="2070" w:type="dxa"/>
            <w:tcBorders>
              <w:top w:val="single" w:sz="12" w:space="0" w:color="auto"/>
            </w:tcBorders>
          </w:tcPr>
          <w:p w14:paraId="20875C1F" w14:textId="77777777" w:rsidR="00DF69B2" w:rsidRPr="00581B7D" w:rsidRDefault="00DF69B2" w:rsidP="00E2191F">
            <w:pPr>
              <w:autoSpaceDE w:val="0"/>
              <w:autoSpaceDN w:val="0"/>
              <w:adjustRightInd w:val="0"/>
              <w:jc w:val="right"/>
            </w:pPr>
            <w:r w:rsidRPr="00581B7D">
              <w:t>$6,001</w:t>
            </w:r>
          </w:p>
        </w:tc>
      </w:tr>
      <w:tr w:rsidR="00DF69B2" w:rsidRPr="00581B7D" w14:paraId="6D68A3F0" w14:textId="77777777" w:rsidTr="00DF69B2">
        <w:tc>
          <w:tcPr>
            <w:tcW w:w="1075" w:type="dxa"/>
          </w:tcPr>
          <w:p w14:paraId="2243269E" w14:textId="77777777" w:rsidR="00DF69B2" w:rsidRPr="00581B7D" w:rsidRDefault="00DF69B2" w:rsidP="00E2191F">
            <w:pPr>
              <w:autoSpaceDE w:val="0"/>
              <w:autoSpaceDN w:val="0"/>
              <w:adjustRightInd w:val="0"/>
            </w:pPr>
            <w:r w:rsidRPr="00581B7D">
              <w:t>Nicole</w:t>
            </w:r>
          </w:p>
        </w:tc>
        <w:tc>
          <w:tcPr>
            <w:tcW w:w="1980" w:type="dxa"/>
          </w:tcPr>
          <w:p w14:paraId="052D394B" w14:textId="77777777" w:rsidR="00DF69B2" w:rsidRPr="00581B7D" w:rsidRDefault="00DF69B2" w:rsidP="00E2191F">
            <w:pPr>
              <w:autoSpaceDE w:val="0"/>
              <w:autoSpaceDN w:val="0"/>
              <w:adjustRightInd w:val="0"/>
              <w:jc w:val="right"/>
            </w:pPr>
            <w:r w:rsidRPr="00581B7D">
              <w:t>$3,075</w:t>
            </w:r>
          </w:p>
        </w:tc>
        <w:tc>
          <w:tcPr>
            <w:tcW w:w="1440" w:type="dxa"/>
          </w:tcPr>
          <w:p w14:paraId="32FBA712" w14:textId="77777777" w:rsidR="00DF69B2" w:rsidRPr="00581B7D" w:rsidRDefault="00DF69B2" w:rsidP="00E2191F">
            <w:pPr>
              <w:autoSpaceDE w:val="0"/>
              <w:autoSpaceDN w:val="0"/>
              <w:adjustRightInd w:val="0"/>
              <w:jc w:val="right"/>
            </w:pPr>
            <w:r w:rsidRPr="00581B7D">
              <w:t>$112</w:t>
            </w:r>
          </w:p>
        </w:tc>
        <w:tc>
          <w:tcPr>
            <w:tcW w:w="1620" w:type="dxa"/>
          </w:tcPr>
          <w:p w14:paraId="7B45398C" w14:textId="77777777" w:rsidR="00DF69B2" w:rsidRPr="00581B7D" w:rsidRDefault="00DF69B2" w:rsidP="00E2191F">
            <w:pPr>
              <w:autoSpaceDE w:val="0"/>
              <w:autoSpaceDN w:val="0"/>
              <w:adjustRightInd w:val="0"/>
              <w:jc w:val="right"/>
            </w:pPr>
            <w:r w:rsidRPr="00581B7D">
              <w:t>$621</w:t>
            </w:r>
          </w:p>
        </w:tc>
        <w:tc>
          <w:tcPr>
            <w:tcW w:w="2070" w:type="dxa"/>
          </w:tcPr>
          <w:p w14:paraId="29BDB229" w14:textId="77777777" w:rsidR="00DF69B2" w:rsidRPr="00581B7D" w:rsidRDefault="00DF69B2" w:rsidP="00E2191F">
            <w:pPr>
              <w:autoSpaceDE w:val="0"/>
              <w:autoSpaceDN w:val="0"/>
              <w:adjustRightInd w:val="0"/>
              <w:jc w:val="right"/>
            </w:pPr>
            <w:r w:rsidRPr="00581B7D">
              <w:t>$2,342</w:t>
            </w:r>
          </w:p>
        </w:tc>
      </w:tr>
    </w:tbl>
    <w:p w14:paraId="62660E3E" w14:textId="77777777" w:rsidR="00581B7D" w:rsidRPr="00581B7D" w:rsidRDefault="00581B7D" w:rsidP="00581B7D">
      <w:pPr>
        <w:keepNext/>
        <w:tabs>
          <w:tab w:val="left" w:pos="8571"/>
        </w:tabs>
        <w:autoSpaceDE w:val="0"/>
        <w:autoSpaceDN w:val="0"/>
        <w:adjustRightInd w:val="0"/>
        <w:spacing w:after="240"/>
        <w:ind w:left="1440" w:hanging="1080"/>
        <w:contextualSpacing/>
        <w:jc w:val="both"/>
      </w:pPr>
    </w:p>
    <w:p w14:paraId="003D5BA3" w14:textId="77777777" w:rsidR="001D532F" w:rsidRPr="006E669B" w:rsidRDefault="00581B7D" w:rsidP="00581B7D">
      <w:pPr>
        <w:ind w:left="1440" w:hanging="1440"/>
        <w:jc w:val="both"/>
      </w:pPr>
      <w:r w:rsidRPr="00581B7D">
        <w:tab/>
        <w:t>(</w:t>
      </w:r>
      <w:r w:rsidRPr="00581B7D">
        <w:rPr>
          <w:i/>
          <w:iCs/>
        </w:rPr>
        <w:t>Jarro, Ferguson</w:t>
      </w:r>
      <w:r w:rsidRPr="00581B7D">
        <w:t>)</w:t>
      </w:r>
    </w:p>
    <w:p w14:paraId="4CF11A09" w14:textId="77777777" w:rsidR="001D532F" w:rsidRPr="006E669B" w:rsidRDefault="001D532F" w:rsidP="00B37E10">
      <w:pPr>
        <w:ind w:left="1440" w:hanging="1440"/>
        <w:jc w:val="both"/>
      </w:pPr>
    </w:p>
    <w:p w14:paraId="5880B059" w14:textId="77777777" w:rsidR="001D532F" w:rsidRPr="006E669B" w:rsidRDefault="001D532F"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commitment to an ongoing, continuous storm restoration process improvement plan so that current and future customers only pay for prudent, cost-effective storm restoration costs incurred due to extreme weather events. OPC agrees with</w:t>
      </w:r>
      <w:r w:rsidR="00E92045">
        <w:t xml:space="preserve"> FPL</w:t>
      </w:r>
      <w:r w:rsidR="00E92045" w:rsidRPr="00C2789E">
        <w:t>.</w:t>
      </w:r>
    </w:p>
    <w:p w14:paraId="5BFA2FD4" w14:textId="77777777" w:rsidR="001D532F" w:rsidRPr="006E669B" w:rsidRDefault="001D532F" w:rsidP="00B37E10">
      <w:pPr>
        <w:ind w:left="1440" w:hanging="1440"/>
        <w:jc w:val="both"/>
      </w:pPr>
    </w:p>
    <w:p w14:paraId="2809CEA1" w14:textId="77777777" w:rsidR="001D532F" w:rsidRPr="006E669B" w:rsidRDefault="001D532F" w:rsidP="00B37E10">
      <w:pPr>
        <w:ind w:left="1440" w:hanging="1440"/>
        <w:jc w:val="both"/>
      </w:pPr>
      <w:r>
        <w:rPr>
          <w:b/>
          <w:bCs/>
        </w:rPr>
        <w:t>Walmart</w:t>
      </w:r>
      <w:r w:rsidRPr="006E669B">
        <w:rPr>
          <w:b/>
          <w:bCs/>
        </w:rPr>
        <w:t>:</w:t>
      </w:r>
      <w:r w:rsidRPr="006E669B">
        <w:tab/>
      </w:r>
      <w:r w:rsidR="00577E8D" w:rsidRPr="00913D83">
        <w:t>Walmart takes no position.</w:t>
      </w:r>
    </w:p>
    <w:p w14:paraId="1B48BE92" w14:textId="77777777" w:rsidR="001D532F" w:rsidRPr="006E669B" w:rsidRDefault="001D532F" w:rsidP="00B37E10">
      <w:pPr>
        <w:ind w:left="1440" w:hanging="1440"/>
        <w:jc w:val="both"/>
      </w:pPr>
    </w:p>
    <w:p w14:paraId="50C3B6D6" w14:textId="77777777" w:rsidR="001D532F" w:rsidRPr="006E669B" w:rsidRDefault="001D532F"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7F4A1ABC" w14:textId="77777777" w:rsidR="001D532F" w:rsidRDefault="001D532F" w:rsidP="00B37E10">
      <w:pPr>
        <w:ind w:left="1440" w:hanging="1440"/>
        <w:jc w:val="both"/>
      </w:pPr>
    </w:p>
    <w:p w14:paraId="58F0AD2F" w14:textId="77777777" w:rsidR="00322D3C" w:rsidRDefault="00322D3C" w:rsidP="00B37E10">
      <w:pPr>
        <w:ind w:left="1440" w:hanging="1440"/>
        <w:jc w:val="both"/>
      </w:pPr>
    </w:p>
    <w:p w14:paraId="2430CCE7" w14:textId="77777777" w:rsidR="00322D3C" w:rsidRPr="00E05B25" w:rsidRDefault="00322D3C" w:rsidP="00B37E10">
      <w:pPr>
        <w:ind w:left="1440" w:hanging="1440"/>
        <w:jc w:val="both"/>
        <w:rPr>
          <w:b/>
        </w:rPr>
      </w:pPr>
      <w:r>
        <w:rPr>
          <w:b/>
          <w:bCs/>
        </w:rPr>
        <w:t>ISSUE 4</w:t>
      </w:r>
      <w:r w:rsidRPr="006E669B">
        <w:rPr>
          <w:b/>
          <w:bCs/>
        </w:rPr>
        <w:t>:</w:t>
      </w:r>
      <w:r w:rsidRPr="006E669B">
        <w:tab/>
      </w:r>
      <w:r w:rsidR="00834AA7" w:rsidRPr="00E05B25">
        <w:rPr>
          <w:b/>
        </w:rPr>
        <w:t>What is the reasonable and prudent amount of overtime payroll expense to be included in the restoration costs?</w:t>
      </w:r>
    </w:p>
    <w:p w14:paraId="7F3171D0" w14:textId="77777777" w:rsidR="00322D3C" w:rsidRPr="006E669B" w:rsidRDefault="00322D3C" w:rsidP="00B37E10">
      <w:pPr>
        <w:ind w:left="1440" w:hanging="1440"/>
        <w:jc w:val="both"/>
      </w:pPr>
    </w:p>
    <w:p w14:paraId="26E825BC" w14:textId="77777777" w:rsidR="0078673D" w:rsidRPr="0078673D" w:rsidRDefault="00322D3C" w:rsidP="0078673D">
      <w:pPr>
        <w:spacing w:after="240"/>
        <w:ind w:left="1440" w:hanging="1440"/>
        <w:jc w:val="both"/>
      </w:pPr>
      <w:r>
        <w:rPr>
          <w:b/>
          <w:bCs/>
        </w:rPr>
        <w:t>FPL</w:t>
      </w:r>
      <w:r w:rsidRPr="006E669B">
        <w:rPr>
          <w:b/>
          <w:bCs/>
        </w:rPr>
        <w:t>:</w:t>
      </w:r>
      <w:r w:rsidRPr="006E669B">
        <w:tab/>
      </w:r>
      <w:r w:rsidR="0078673D" w:rsidRPr="0078673D">
        <w:rPr>
          <w:bCs/>
        </w:rPr>
        <w:t>The reasonable and prudent amount of overtime payroll expense to be included in storm restoration costs for Hurricane Ian and Hurricane Nicole is $28.715 million and $6.135 million, respectively, as set forth in the table below and as shown on Exhibits KF-1 and KF-2.</w:t>
      </w:r>
      <w:r w:rsidR="0078673D" w:rsidRPr="0078673D">
        <w:t xml:space="preserve"> These are the costs FPL incurred for employee time spent in direct support of storm related activities including but not limited to restoration, which excludes bonuses and incentive compensation.  </w:t>
      </w:r>
    </w:p>
    <w:p w14:paraId="32FC69CD" w14:textId="77777777" w:rsidR="0078673D" w:rsidRDefault="0078673D" w:rsidP="00004712">
      <w:pPr>
        <w:autoSpaceDE w:val="0"/>
        <w:autoSpaceDN w:val="0"/>
        <w:adjustRightInd w:val="0"/>
        <w:ind w:left="2880" w:hanging="1440"/>
        <w:jc w:val="center"/>
        <w:rPr>
          <w:u w:val="single"/>
        </w:rPr>
      </w:pPr>
      <w:r w:rsidRPr="0078673D">
        <w:rPr>
          <w:u w:val="single"/>
        </w:rPr>
        <w:t>Reasonable and Prudent Amount of Overtime Payroll Expense</w:t>
      </w:r>
    </w:p>
    <w:p w14:paraId="1873A269" w14:textId="77777777" w:rsidR="0078673D" w:rsidRDefault="0078673D" w:rsidP="00004712">
      <w:pPr>
        <w:autoSpaceDE w:val="0"/>
        <w:autoSpaceDN w:val="0"/>
        <w:adjustRightInd w:val="0"/>
        <w:ind w:left="2880" w:hanging="1440"/>
        <w:jc w:val="center"/>
      </w:pPr>
      <w:r w:rsidRPr="0078673D">
        <w:t>($000s)</w:t>
      </w:r>
    </w:p>
    <w:p w14:paraId="272A4DD1" w14:textId="77777777" w:rsidR="00004712" w:rsidRDefault="00004712" w:rsidP="00004712">
      <w:pPr>
        <w:autoSpaceDE w:val="0"/>
        <w:autoSpaceDN w:val="0"/>
        <w:adjustRightInd w:val="0"/>
        <w:ind w:left="2880" w:hanging="1440"/>
        <w:jc w:val="center"/>
      </w:pPr>
    </w:p>
    <w:tbl>
      <w:tblPr>
        <w:tblStyle w:val="TableGrid4"/>
        <w:tblW w:w="6745" w:type="dxa"/>
        <w:tblInd w:w="2175" w:type="dxa"/>
        <w:tblLook w:val="04A0" w:firstRow="1" w:lastRow="0" w:firstColumn="1" w:lastColumn="0" w:noHBand="0" w:noVBand="1"/>
      </w:tblPr>
      <w:tblGrid>
        <w:gridCol w:w="1053"/>
        <w:gridCol w:w="2216"/>
        <w:gridCol w:w="1700"/>
        <w:gridCol w:w="1776"/>
      </w:tblGrid>
      <w:tr w:rsidR="00004712" w:rsidRPr="0078673D" w14:paraId="6D038409" w14:textId="77777777" w:rsidTr="00004712">
        <w:trPr>
          <w:trHeight w:val="827"/>
        </w:trPr>
        <w:tc>
          <w:tcPr>
            <w:tcW w:w="1053" w:type="dxa"/>
            <w:tcBorders>
              <w:bottom w:val="single" w:sz="12" w:space="0" w:color="auto"/>
            </w:tcBorders>
            <w:vAlign w:val="center"/>
          </w:tcPr>
          <w:p w14:paraId="1CF82332" w14:textId="77777777" w:rsidR="00004712" w:rsidRPr="0078673D" w:rsidRDefault="00004712" w:rsidP="00E2191F">
            <w:pPr>
              <w:autoSpaceDE w:val="0"/>
              <w:autoSpaceDN w:val="0"/>
              <w:adjustRightInd w:val="0"/>
              <w:jc w:val="center"/>
            </w:pPr>
            <w:r w:rsidRPr="0078673D">
              <w:t>Storm</w:t>
            </w:r>
          </w:p>
        </w:tc>
        <w:tc>
          <w:tcPr>
            <w:tcW w:w="2216" w:type="dxa"/>
            <w:tcBorders>
              <w:bottom w:val="single" w:sz="12" w:space="0" w:color="auto"/>
            </w:tcBorders>
          </w:tcPr>
          <w:p w14:paraId="766AE796" w14:textId="77777777" w:rsidR="00004712" w:rsidRPr="0078673D" w:rsidRDefault="00004712" w:rsidP="00E2191F">
            <w:pPr>
              <w:autoSpaceDE w:val="0"/>
              <w:autoSpaceDN w:val="0"/>
              <w:adjustRightInd w:val="0"/>
              <w:jc w:val="center"/>
            </w:pPr>
            <w:r w:rsidRPr="0078673D">
              <w:t>Total Storm Restoration Costs Incurred</w:t>
            </w:r>
          </w:p>
        </w:tc>
        <w:tc>
          <w:tcPr>
            <w:tcW w:w="1700" w:type="dxa"/>
            <w:tcBorders>
              <w:bottom w:val="single" w:sz="12" w:space="0" w:color="auto"/>
            </w:tcBorders>
          </w:tcPr>
          <w:p w14:paraId="7E436F0F" w14:textId="77777777" w:rsidR="00004712" w:rsidRPr="0078673D" w:rsidRDefault="00004712" w:rsidP="00E2191F">
            <w:pPr>
              <w:autoSpaceDE w:val="0"/>
              <w:autoSpaceDN w:val="0"/>
              <w:adjustRightInd w:val="0"/>
              <w:jc w:val="center"/>
            </w:pPr>
            <w:r w:rsidRPr="0078673D">
              <w:t>Less ICCA Adjustments</w:t>
            </w:r>
          </w:p>
        </w:tc>
        <w:tc>
          <w:tcPr>
            <w:tcW w:w="1776" w:type="dxa"/>
            <w:tcBorders>
              <w:bottom w:val="single" w:sz="12" w:space="0" w:color="auto"/>
            </w:tcBorders>
            <w:vAlign w:val="center"/>
          </w:tcPr>
          <w:p w14:paraId="7C087F2B" w14:textId="77777777" w:rsidR="00004712" w:rsidRPr="0078673D" w:rsidRDefault="00004712" w:rsidP="00E2191F">
            <w:pPr>
              <w:autoSpaceDE w:val="0"/>
              <w:autoSpaceDN w:val="0"/>
              <w:adjustRightInd w:val="0"/>
              <w:jc w:val="center"/>
            </w:pPr>
            <w:r w:rsidRPr="0078673D">
              <w:t>Recoverable Incremental Storm Costs</w:t>
            </w:r>
          </w:p>
        </w:tc>
      </w:tr>
      <w:tr w:rsidR="00004712" w:rsidRPr="0078673D" w14:paraId="55D44CDF" w14:textId="77777777" w:rsidTr="00004712">
        <w:tc>
          <w:tcPr>
            <w:tcW w:w="1053" w:type="dxa"/>
            <w:tcBorders>
              <w:top w:val="single" w:sz="12" w:space="0" w:color="auto"/>
            </w:tcBorders>
          </w:tcPr>
          <w:p w14:paraId="3AED515E" w14:textId="77777777" w:rsidR="00004712" w:rsidRPr="0078673D" w:rsidRDefault="00004712" w:rsidP="00E2191F">
            <w:pPr>
              <w:autoSpaceDE w:val="0"/>
              <w:autoSpaceDN w:val="0"/>
              <w:adjustRightInd w:val="0"/>
            </w:pPr>
            <w:r w:rsidRPr="0078673D">
              <w:t>Ian</w:t>
            </w:r>
          </w:p>
        </w:tc>
        <w:tc>
          <w:tcPr>
            <w:tcW w:w="2216" w:type="dxa"/>
            <w:tcBorders>
              <w:top w:val="single" w:sz="12" w:space="0" w:color="auto"/>
            </w:tcBorders>
          </w:tcPr>
          <w:p w14:paraId="3D5765FB" w14:textId="77777777" w:rsidR="00004712" w:rsidRPr="0078673D" w:rsidRDefault="00004712" w:rsidP="00E2191F">
            <w:pPr>
              <w:autoSpaceDE w:val="0"/>
              <w:autoSpaceDN w:val="0"/>
              <w:adjustRightInd w:val="0"/>
              <w:jc w:val="right"/>
            </w:pPr>
            <w:r w:rsidRPr="0078673D">
              <w:t>$29,277</w:t>
            </w:r>
          </w:p>
        </w:tc>
        <w:tc>
          <w:tcPr>
            <w:tcW w:w="1700" w:type="dxa"/>
            <w:tcBorders>
              <w:top w:val="single" w:sz="12" w:space="0" w:color="auto"/>
            </w:tcBorders>
          </w:tcPr>
          <w:p w14:paraId="5CF01810" w14:textId="77777777" w:rsidR="00004712" w:rsidRPr="0078673D" w:rsidRDefault="00004712" w:rsidP="00E2191F">
            <w:pPr>
              <w:autoSpaceDE w:val="0"/>
              <w:autoSpaceDN w:val="0"/>
              <w:adjustRightInd w:val="0"/>
              <w:jc w:val="right"/>
            </w:pPr>
            <w:r w:rsidRPr="0078673D">
              <w:t>$562</w:t>
            </w:r>
          </w:p>
        </w:tc>
        <w:tc>
          <w:tcPr>
            <w:tcW w:w="1776" w:type="dxa"/>
            <w:tcBorders>
              <w:top w:val="single" w:sz="12" w:space="0" w:color="auto"/>
            </w:tcBorders>
          </w:tcPr>
          <w:p w14:paraId="01D7FB67" w14:textId="77777777" w:rsidR="00004712" w:rsidRPr="0078673D" w:rsidRDefault="00004712" w:rsidP="00E2191F">
            <w:pPr>
              <w:autoSpaceDE w:val="0"/>
              <w:autoSpaceDN w:val="0"/>
              <w:adjustRightInd w:val="0"/>
              <w:jc w:val="right"/>
            </w:pPr>
            <w:r w:rsidRPr="0078673D">
              <w:t>$28,715</w:t>
            </w:r>
          </w:p>
        </w:tc>
      </w:tr>
      <w:tr w:rsidR="00004712" w:rsidRPr="0078673D" w14:paraId="0F769D88" w14:textId="77777777" w:rsidTr="00004712">
        <w:tc>
          <w:tcPr>
            <w:tcW w:w="1053" w:type="dxa"/>
          </w:tcPr>
          <w:p w14:paraId="4C95F888" w14:textId="77777777" w:rsidR="00004712" w:rsidRPr="0078673D" w:rsidRDefault="00004712" w:rsidP="00E2191F">
            <w:pPr>
              <w:autoSpaceDE w:val="0"/>
              <w:autoSpaceDN w:val="0"/>
              <w:adjustRightInd w:val="0"/>
            </w:pPr>
            <w:r w:rsidRPr="0078673D">
              <w:t>Nicole</w:t>
            </w:r>
          </w:p>
        </w:tc>
        <w:tc>
          <w:tcPr>
            <w:tcW w:w="2216" w:type="dxa"/>
          </w:tcPr>
          <w:p w14:paraId="306C4B01" w14:textId="77777777" w:rsidR="00004712" w:rsidRPr="0078673D" w:rsidRDefault="00004712" w:rsidP="00E2191F">
            <w:pPr>
              <w:autoSpaceDE w:val="0"/>
              <w:autoSpaceDN w:val="0"/>
              <w:adjustRightInd w:val="0"/>
              <w:jc w:val="right"/>
            </w:pPr>
            <w:r w:rsidRPr="0078673D">
              <w:t>$6,222</w:t>
            </w:r>
          </w:p>
        </w:tc>
        <w:tc>
          <w:tcPr>
            <w:tcW w:w="1700" w:type="dxa"/>
          </w:tcPr>
          <w:p w14:paraId="458637C9" w14:textId="77777777" w:rsidR="00004712" w:rsidRPr="0078673D" w:rsidRDefault="00004712" w:rsidP="00E2191F">
            <w:pPr>
              <w:autoSpaceDE w:val="0"/>
              <w:autoSpaceDN w:val="0"/>
              <w:adjustRightInd w:val="0"/>
              <w:jc w:val="right"/>
            </w:pPr>
            <w:r w:rsidRPr="0078673D">
              <w:t>$87</w:t>
            </w:r>
          </w:p>
        </w:tc>
        <w:tc>
          <w:tcPr>
            <w:tcW w:w="1776" w:type="dxa"/>
          </w:tcPr>
          <w:p w14:paraId="4916EC5E" w14:textId="77777777" w:rsidR="00004712" w:rsidRPr="0078673D" w:rsidRDefault="00004712" w:rsidP="00E2191F">
            <w:pPr>
              <w:autoSpaceDE w:val="0"/>
              <w:autoSpaceDN w:val="0"/>
              <w:adjustRightInd w:val="0"/>
              <w:jc w:val="right"/>
            </w:pPr>
            <w:r w:rsidRPr="0078673D">
              <w:t>$6,135</w:t>
            </w:r>
          </w:p>
        </w:tc>
      </w:tr>
    </w:tbl>
    <w:p w14:paraId="5486138A" w14:textId="77777777" w:rsidR="0078673D" w:rsidRPr="0078673D" w:rsidRDefault="0078673D" w:rsidP="0078673D">
      <w:pPr>
        <w:tabs>
          <w:tab w:val="left" w:pos="8571"/>
        </w:tabs>
        <w:autoSpaceDE w:val="0"/>
        <w:autoSpaceDN w:val="0"/>
        <w:adjustRightInd w:val="0"/>
        <w:ind w:left="1440" w:hanging="720"/>
        <w:jc w:val="both"/>
      </w:pPr>
    </w:p>
    <w:p w14:paraId="36A88A9F" w14:textId="77777777" w:rsidR="00322D3C" w:rsidRPr="006E669B" w:rsidRDefault="0078673D" w:rsidP="0078673D">
      <w:pPr>
        <w:ind w:left="1440" w:hanging="1440"/>
        <w:jc w:val="both"/>
      </w:pPr>
      <w:r w:rsidRPr="0078673D">
        <w:tab/>
        <w:t>(</w:t>
      </w:r>
      <w:r w:rsidRPr="0078673D">
        <w:rPr>
          <w:i/>
          <w:iCs/>
        </w:rPr>
        <w:t>Jarro, Ferguson</w:t>
      </w:r>
      <w:r w:rsidRPr="0078673D">
        <w:t>)</w:t>
      </w:r>
    </w:p>
    <w:p w14:paraId="7ADAC868" w14:textId="77777777" w:rsidR="00322D3C" w:rsidRPr="006E669B" w:rsidRDefault="00322D3C" w:rsidP="00B37E10">
      <w:pPr>
        <w:ind w:left="1440" w:hanging="1440"/>
        <w:jc w:val="both"/>
      </w:pPr>
    </w:p>
    <w:p w14:paraId="36472509" w14:textId="77777777" w:rsidR="00322D3C" w:rsidRPr="006E669B" w:rsidRDefault="00322D3C"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commitment to an ongoing, continuous storm restoration process improvement plan so that current and future customers only pay for prudent, cost-effective storm restoration costs incurred due to extreme weather events. OPC agrees with</w:t>
      </w:r>
      <w:r w:rsidR="00E92045">
        <w:t xml:space="preserve"> FPL</w:t>
      </w:r>
      <w:r w:rsidR="00E92045" w:rsidRPr="00C2789E">
        <w:t>.</w:t>
      </w:r>
    </w:p>
    <w:p w14:paraId="6264896F" w14:textId="77777777" w:rsidR="00322D3C" w:rsidRPr="006E669B" w:rsidRDefault="00322D3C" w:rsidP="00B37E10">
      <w:pPr>
        <w:ind w:left="1440" w:hanging="1440"/>
        <w:jc w:val="both"/>
      </w:pPr>
    </w:p>
    <w:p w14:paraId="45F945E2"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06FAD1C9" w14:textId="77777777" w:rsidR="00322D3C" w:rsidRPr="006E669B" w:rsidRDefault="00322D3C" w:rsidP="00B37E10">
      <w:pPr>
        <w:ind w:left="1440" w:hanging="1440"/>
        <w:jc w:val="both"/>
      </w:pPr>
    </w:p>
    <w:p w14:paraId="5F4EC7F6"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6C5A0E31" w14:textId="77777777" w:rsidR="00322D3C" w:rsidRDefault="00322D3C" w:rsidP="00B37E10">
      <w:pPr>
        <w:ind w:left="1440" w:hanging="1440"/>
        <w:jc w:val="both"/>
      </w:pPr>
    </w:p>
    <w:p w14:paraId="55DF683C" w14:textId="77777777" w:rsidR="00322D3C" w:rsidRDefault="00322D3C" w:rsidP="00B37E10">
      <w:pPr>
        <w:ind w:left="1440" w:hanging="1440"/>
        <w:jc w:val="both"/>
      </w:pPr>
    </w:p>
    <w:p w14:paraId="76AE9824" w14:textId="77777777" w:rsidR="00322D3C" w:rsidRPr="00E05B25" w:rsidRDefault="00322D3C" w:rsidP="00B37E10">
      <w:pPr>
        <w:ind w:left="1440" w:hanging="1440"/>
        <w:jc w:val="both"/>
        <w:rPr>
          <w:b/>
        </w:rPr>
      </w:pPr>
      <w:r>
        <w:rPr>
          <w:b/>
          <w:bCs/>
        </w:rPr>
        <w:t>ISSUE 5</w:t>
      </w:r>
      <w:r w:rsidRPr="006E669B">
        <w:rPr>
          <w:b/>
          <w:bCs/>
        </w:rPr>
        <w:t>:</w:t>
      </w:r>
      <w:r w:rsidRPr="006E669B">
        <w:tab/>
      </w:r>
      <w:r w:rsidR="00834AA7" w:rsidRPr="00E05B25">
        <w:rPr>
          <w:b/>
        </w:rPr>
        <w:t>What is the reasonable and prudent amount of contractor costs to be included in the restoration costs?</w:t>
      </w:r>
    </w:p>
    <w:p w14:paraId="230F8ED2" w14:textId="77777777" w:rsidR="00322D3C" w:rsidRPr="006E669B" w:rsidRDefault="00322D3C" w:rsidP="00B37E10">
      <w:pPr>
        <w:ind w:left="1440" w:hanging="1440"/>
        <w:jc w:val="both"/>
      </w:pPr>
    </w:p>
    <w:p w14:paraId="26E6DDF1" w14:textId="77777777" w:rsidR="00FF590B" w:rsidRPr="00FF590B" w:rsidRDefault="00322D3C" w:rsidP="00FF590B">
      <w:pPr>
        <w:spacing w:after="240"/>
        <w:ind w:left="1440" w:hanging="1440"/>
        <w:jc w:val="both"/>
      </w:pPr>
      <w:r>
        <w:rPr>
          <w:b/>
          <w:bCs/>
        </w:rPr>
        <w:t>FPL</w:t>
      </w:r>
      <w:r w:rsidRPr="006E669B">
        <w:rPr>
          <w:b/>
          <w:bCs/>
        </w:rPr>
        <w:t>:</w:t>
      </w:r>
      <w:r w:rsidRPr="006E669B">
        <w:tab/>
      </w:r>
      <w:r w:rsidR="00FF590B" w:rsidRPr="00FF590B">
        <w:t xml:space="preserve">The reasonable and prudent amount of contractor costs to be included in storm restoration costs </w:t>
      </w:r>
      <w:r w:rsidR="00FF590B" w:rsidRPr="00FF590B">
        <w:rPr>
          <w:bCs/>
        </w:rPr>
        <w:t xml:space="preserve">for Hurricane Ian and Hurricane Nicole is $564.784 million and $64.083 million, respectively, as </w:t>
      </w:r>
      <w:r w:rsidR="00FF590B" w:rsidRPr="00FF590B">
        <w:t>forth in the table below</w:t>
      </w:r>
      <w:r w:rsidR="00FF590B" w:rsidRPr="00FF590B">
        <w:rPr>
          <w:bCs/>
        </w:rPr>
        <w:t xml:space="preserve"> and as shown on Exhibits KF-1 and KF-2</w:t>
      </w:r>
      <w:r w:rsidR="00FF590B" w:rsidRPr="00FF590B">
        <w:t xml:space="preserve">.  These </w:t>
      </w:r>
      <w:r w:rsidR="00FF590B" w:rsidRPr="00FF590B">
        <w:rPr>
          <w:bCs/>
        </w:rPr>
        <w:t xml:space="preserve">are the costs </w:t>
      </w:r>
      <w:r w:rsidR="00FF590B" w:rsidRPr="00FF590B">
        <w:t xml:space="preserve">FPL incurred for line crews and mutual aid utilities that were necessary to support FPL’s storm restoration effort.  </w:t>
      </w:r>
    </w:p>
    <w:p w14:paraId="01DD1D41" w14:textId="77777777" w:rsidR="00FF590B" w:rsidRDefault="00FF590B" w:rsidP="00831EE1">
      <w:pPr>
        <w:autoSpaceDE w:val="0"/>
        <w:autoSpaceDN w:val="0"/>
        <w:adjustRightInd w:val="0"/>
        <w:ind w:leftChars="100" w:left="1680" w:hanging="1440"/>
        <w:jc w:val="center"/>
        <w:rPr>
          <w:u w:val="single"/>
        </w:rPr>
      </w:pPr>
      <w:r w:rsidRPr="00FF590B">
        <w:rPr>
          <w:u w:val="single"/>
        </w:rPr>
        <w:t>Reasonable and Prudent Amount of Contractor Costs</w:t>
      </w:r>
    </w:p>
    <w:p w14:paraId="1AB7EAA8" w14:textId="77777777" w:rsidR="00FF590B" w:rsidRDefault="00FF590B" w:rsidP="00831EE1">
      <w:pPr>
        <w:autoSpaceDE w:val="0"/>
        <w:autoSpaceDN w:val="0"/>
        <w:adjustRightInd w:val="0"/>
        <w:ind w:leftChars="100" w:left="1680" w:hanging="1440"/>
        <w:jc w:val="center"/>
      </w:pPr>
      <w:r w:rsidRPr="00FF590B">
        <w:t>($000s)</w:t>
      </w:r>
    </w:p>
    <w:p w14:paraId="1CB1F0AC" w14:textId="77777777" w:rsidR="00FF590B" w:rsidRDefault="00FF590B" w:rsidP="00831EE1">
      <w:pPr>
        <w:autoSpaceDE w:val="0"/>
        <w:autoSpaceDN w:val="0"/>
        <w:adjustRightInd w:val="0"/>
        <w:ind w:leftChars="100" w:left="1680" w:hanging="1440"/>
        <w:jc w:val="center"/>
      </w:pPr>
    </w:p>
    <w:tbl>
      <w:tblPr>
        <w:tblStyle w:val="TableGrid5"/>
        <w:tblW w:w="8271" w:type="dxa"/>
        <w:tblInd w:w="1515" w:type="dxa"/>
        <w:tblLook w:val="04A0" w:firstRow="1" w:lastRow="0" w:firstColumn="1" w:lastColumn="0" w:noHBand="0" w:noVBand="1"/>
      </w:tblPr>
      <w:tblGrid>
        <w:gridCol w:w="1122"/>
        <w:gridCol w:w="1635"/>
        <w:gridCol w:w="1635"/>
        <w:gridCol w:w="2018"/>
        <w:gridCol w:w="1861"/>
      </w:tblGrid>
      <w:tr w:rsidR="00831EE1" w:rsidRPr="00FF590B" w14:paraId="7B06309C" w14:textId="77777777" w:rsidTr="00E2191F">
        <w:trPr>
          <w:trHeight w:val="827"/>
        </w:trPr>
        <w:tc>
          <w:tcPr>
            <w:tcW w:w="1122" w:type="dxa"/>
            <w:tcBorders>
              <w:bottom w:val="single" w:sz="12" w:space="0" w:color="auto"/>
            </w:tcBorders>
            <w:vAlign w:val="center"/>
          </w:tcPr>
          <w:p w14:paraId="716AC575" w14:textId="77777777" w:rsidR="00831EE1" w:rsidRPr="00FF590B" w:rsidRDefault="00831EE1" w:rsidP="00E2191F">
            <w:pPr>
              <w:autoSpaceDE w:val="0"/>
              <w:autoSpaceDN w:val="0"/>
              <w:adjustRightInd w:val="0"/>
              <w:jc w:val="center"/>
            </w:pPr>
            <w:r w:rsidRPr="00FF590B">
              <w:t>Storm</w:t>
            </w:r>
          </w:p>
        </w:tc>
        <w:tc>
          <w:tcPr>
            <w:tcW w:w="1635" w:type="dxa"/>
            <w:tcBorders>
              <w:bottom w:val="single" w:sz="12" w:space="0" w:color="auto"/>
            </w:tcBorders>
            <w:vAlign w:val="center"/>
          </w:tcPr>
          <w:p w14:paraId="28260494" w14:textId="77777777" w:rsidR="00831EE1" w:rsidRPr="00FF590B" w:rsidRDefault="00831EE1" w:rsidP="00E2191F">
            <w:pPr>
              <w:autoSpaceDE w:val="0"/>
              <w:autoSpaceDN w:val="0"/>
              <w:adjustRightInd w:val="0"/>
              <w:jc w:val="center"/>
            </w:pPr>
            <w:r w:rsidRPr="00FF590B">
              <w:t>Total Storm Restoration Costs Incurred</w:t>
            </w:r>
          </w:p>
        </w:tc>
        <w:tc>
          <w:tcPr>
            <w:tcW w:w="1635" w:type="dxa"/>
            <w:tcBorders>
              <w:bottom w:val="single" w:sz="12" w:space="0" w:color="auto"/>
            </w:tcBorders>
            <w:vAlign w:val="center"/>
          </w:tcPr>
          <w:p w14:paraId="558A6AF8" w14:textId="77777777" w:rsidR="00831EE1" w:rsidRPr="00FF590B" w:rsidRDefault="00831EE1" w:rsidP="00E2191F">
            <w:pPr>
              <w:autoSpaceDE w:val="0"/>
              <w:autoSpaceDN w:val="0"/>
              <w:adjustRightInd w:val="0"/>
              <w:jc w:val="center"/>
            </w:pPr>
            <w:r w:rsidRPr="00FF590B">
              <w:t>Less Capitalized Costs</w:t>
            </w:r>
          </w:p>
        </w:tc>
        <w:tc>
          <w:tcPr>
            <w:tcW w:w="2018" w:type="dxa"/>
            <w:tcBorders>
              <w:bottom w:val="single" w:sz="12" w:space="0" w:color="auto"/>
            </w:tcBorders>
            <w:vAlign w:val="center"/>
          </w:tcPr>
          <w:p w14:paraId="3A3697B1" w14:textId="77777777" w:rsidR="00831EE1" w:rsidRPr="00FF590B" w:rsidRDefault="00831EE1" w:rsidP="00E2191F">
            <w:pPr>
              <w:autoSpaceDE w:val="0"/>
              <w:autoSpaceDN w:val="0"/>
              <w:adjustRightInd w:val="0"/>
              <w:jc w:val="center"/>
            </w:pPr>
            <w:r w:rsidRPr="00FF590B">
              <w:t>Less ICCA Adjustments</w:t>
            </w:r>
          </w:p>
        </w:tc>
        <w:tc>
          <w:tcPr>
            <w:tcW w:w="1861" w:type="dxa"/>
            <w:tcBorders>
              <w:bottom w:val="single" w:sz="12" w:space="0" w:color="auto"/>
            </w:tcBorders>
            <w:vAlign w:val="center"/>
          </w:tcPr>
          <w:p w14:paraId="5B6634D8" w14:textId="77777777" w:rsidR="00831EE1" w:rsidRPr="00FF590B" w:rsidRDefault="00831EE1" w:rsidP="00E2191F">
            <w:pPr>
              <w:autoSpaceDE w:val="0"/>
              <w:autoSpaceDN w:val="0"/>
              <w:adjustRightInd w:val="0"/>
              <w:jc w:val="center"/>
            </w:pPr>
            <w:r w:rsidRPr="00FF590B">
              <w:t>Recoverable Incremental Storm Costs</w:t>
            </w:r>
          </w:p>
        </w:tc>
      </w:tr>
      <w:tr w:rsidR="00831EE1" w:rsidRPr="00FF590B" w14:paraId="210F3D31" w14:textId="77777777" w:rsidTr="00E2191F">
        <w:tc>
          <w:tcPr>
            <w:tcW w:w="1122" w:type="dxa"/>
            <w:tcBorders>
              <w:top w:val="single" w:sz="12" w:space="0" w:color="auto"/>
            </w:tcBorders>
          </w:tcPr>
          <w:p w14:paraId="3783D153" w14:textId="77777777" w:rsidR="00831EE1" w:rsidRPr="00FF590B" w:rsidRDefault="00831EE1" w:rsidP="00E2191F">
            <w:pPr>
              <w:autoSpaceDE w:val="0"/>
              <w:autoSpaceDN w:val="0"/>
              <w:adjustRightInd w:val="0"/>
            </w:pPr>
            <w:r w:rsidRPr="00FF590B">
              <w:t>Ian</w:t>
            </w:r>
          </w:p>
        </w:tc>
        <w:tc>
          <w:tcPr>
            <w:tcW w:w="1635" w:type="dxa"/>
            <w:tcBorders>
              <w:top w:val="single" w:sz="12" w:space="0" w:color="auto"/>
            </w:tcBorders>
          </w:tcPr>
          <w:p w14:paraId="57023258" w14:textId="77777777" w:rsidR="00831EE1" w:rsidRPr="00FF590B" w:rsidRDefault="00831EE1" w:rsidP="00E2191F">
            <w:pPr>
              <w:autoSpaceDE w:val="0"/>
              <w:autoSpaceDN w:val="0"/>
              <w:adjustRightInd w:val="0"/>
              <w:jc w:val="right"/>
            </w:pPr>
            <w:r w:rsidRPr="00FF590B">
              <w:t>$621,490</w:t>
            </w:r>
          </w:p>
        </w:tc>
        <w:tc>
          <w:tcPr>
            <w:tcW w:w="1635" w:type="dxa"/>
            <w:tcBorders>
              <w:top w:val="single" w:sz="12" w:space="0" w:color="auto"/>
            </w:tcBorders>
          </w:tcPr>
          <w:p w14:paraId="0A5247F8" w14:textId="77777777" w:rsidR="00831EE1" w:rsidRPr="00FF590B" w:rsidRDefault="00831EE1" w:rsidP="00E2191F">
            <w:pPr>
              <w:autoSpaceDE w:val="0"/>
              <w:autoSpaceDN w:val="0"/>
              <w:adjustRightInd w:val="0"/>
              <w:jc w:val="right"/>
            </w:pPr>
            <w:r w:rsidRPr="00FF590B">
              <w:t>$55,511</w:t>
            </w:r>
          </w:p>
        </w:tc>
        <w:tc>
          <w:tcPr>
            <w:tcW w:w="2018" w:type="dxa"/>
            <w:tcBorders>
              <w:top w:val="single" w:sz="12" w:space="0" w:color="auto"/>
            </w:tcBorders>
          </w:tcPr>
          <w:p w14:paraId="119F9B16" w14:textId="77777777" w:rsidR="00831EE1" w:rsidRPr="00FF590B" w:rsidRDefault="00831EE1" w:rsidP="00E2191F">
            <w:pPr>
              <w:autoSpaceDE w:val="0"/>
              <w:autoSpaceDN w:val="0"/>
              <w:adjustRightInd w:val="0"/>
              <w:jc w:val="right"/>
            </w:pPr>
            <w:r w:rsidRPr="00FF590B">
              <w:t>$1,195</w:t>
            </w:r>
          </w:p>
        </w:tc>
        <w:tc>
          <w:tcPr>
            <w:tcW w:w="1861" w:type="dxa"/>
            <w:tcBorders>
              <w:top w:val="single" w:sz="12" w:space="0" w:color="auto"/>
            </w:tcBorders>
          </w:tcPr>
          <w:p w14:paraId="330D51FE" w14:textId="77777777" w:rsidR="00831EE1" w:rsidRPr="00FF590B" w:rsidRDefault="00831EE1" w:rsidP="00E2191F">
            <w:pPr>
              <w:autoSpaceDE w:val="0"/>
              <w:autoSpaceDN w:val="0"/>
              <w:adjustRightInd w:val="0"/>
              <w:jc w:val="right"/>
            </w:pPr>
            <w:r w:rsidRPr="00FF590B">
              <w:t>$564,784</w:t>
            </w:r>
          </w:p>
        </w:tc>
      </w:tr>
      <w:tr w:rsidR="00831EE1" w:rsidRPr="00FF590B" w14:paraId="611F64A2" w14:textId="77777777" w:rsidTr="00E2191F">
        <w:tc>
          <w:tcPr>
            <w:tcW w:w="1122" w:type="dxa"/>
          </w:tcPr>
          <w:p w14:paraId="60AB31F4" w14:textId="77777777" w:rsidR="00831EE1" w:rsidRPr="00FF590B" w:rsidRDefault="00831EE1" w:rsidP="00E2191F">
            <w:pPr>
              <w:autoSpaceDE w:val="0"/>
              <w:autoSpaceDN w:val="0"/>
              <w:adjustRightInd w:val="0"/>
            </w:pPr>
            <w:r w:rsidRPr="00FF590B">
              <w:t>Nicole</w:t>
            </w:r>
          </w:p>
        </w:tc>
        <w:tc>
          <w:tcPr>
            <w:tcW w:w="1635" w:type="dxa"/>
          </w:tcPr>
          <w:p w14:paraId="22A83D7A" w14:textId="77777777" w:rsidR="00831EE1" w:rsidRPr="00FF590B" w:rsidRDefault="00831EE1" w:rsidP="00E2191F">
            <w:pPr>
              <w:autoSpaceDE w:val="0"/>
              <w:autoSpaceDN w:val="0"/>
              <w:adjustRightInd w:val="0"/>
              <w:jc w:val="right"/>
            </w:pPr>
            <w:r w:rsidRPr="00FF590B">
              <w:t>$65,138</w:t>
            </w:r>
          </w:p>
        </w:tc>
        <w:tc>
          <w:tcPr>
            <w:tcW w:w="1635" w:type="dxa"/>
          </w:tcPr>
          <w:p w14:paraId="2B4B3103" w14:textId="77777777" w:rsidR="00831EE1" w:rsidRPr="00FF590B" w:rsidRDefault="00831EE1" w:rsidP="00E2191F">
            <w:pPr>
              <w:autoSpaceDE w:val="0"/>
              <w:autoSpaceDN w:val="0"/>
              <w:adjustRightInd w:val="0"/>
              <w:jc w:val="right"/>
            </w:pPr>
            <w:r w:rsidRPr="00FF590B">
              <w:t>$661</w:t>
            </w:r>
          </w:p>
        </w:tc>
        <w:tc>
          <w:tcPr>
            <w:tcW w:w="2018" w:type="dxa"/>
          </w:tcPr>
          <w:p w14:paraId="7EA402B3" w14:textId="77777777" w:rsidR="00831EE1" w:rsidRPr="00FF590B" w:rsidRDefault="00831EE1" w:rsidP="00E2191F">
            <w:pPr>
              <w:autoSpaceDE w:val="0"/>
              <w:autoSpaceDN w:val="0"/>
              <w:adjustRightInd w:val="0"/>
              <w:jc w:val="right"/>
            </w:pPr>
            <w:r w:rsidRPr="00FF590B">
              <w:t>$393</w:t>
            </w:r>
          </w:p>
        </w:tc>
        <w:tc>
          <w:tcPr>
            <w:tcW w:w="1861" w:type="dxa"/>
          </w:tcPr>
          <w:p w14:paraId="75087939" w14:textId="77777777" w:rsidR="00831EE1" w:rsidRPr="00FF590B" w:rsidRDefault="00831EE1" w:rsidP="00E2191F">
            <w:pPr>
              <w:autoSpaceDE w:val="0"/>
              <w:autoSpaceDN w:val="0"/>
              <w:adjustRightInd w:val="0"/>
              <w:jc w:val="right"/>
            </w:pPr>
            <w:r w:rsidRPr="00FF590B">
              <w:t>$64,083</w:t>
            </w:r>
          </w:p>
        </w:tc>
      </w:tr>
    </w:tbl>
    <w:p w14:paraId="0C648E78" w14:textId="77777777" w:rsidR="00831EE1" w:rsidRPr="00FF590B" w:rsidRDefault="00831EE1" w:rsidP="00831EE1">
      <w:pPr>
        <w:autoSpaceDE w:val="0"/>
        <w:autoSpaceDN w:val="0"/>
        <w:adjustRightInd w:val="0"/>
        <w:ind w:leftChars="100" w:left="1680" w:hanging="1440"/>
        <w:jc w:val="center"/>
      </w:pPr>
    </w:p>
    <w:p w14:paraId="08BA4F7D" w14:textId="77777777" w:rsidR="00322D3C" w:rsidRPr="006E669B" w:rsidRDefault="00FF590B" w:rsidP="00FF590B">
      <w:pPr>
        <w:ind w:left="1440" w:hanging="1440"/>
        <w:jc w:val="both"/>
      </w:pPr>
      <w:r w:rsidRPr="00FF590B">
        <w:tab/>
        <w:t>(</w:t>
      </w:r>
      <w:r w:rsidRPr="00FF590B">
        <w:rPr>
          <w:i/>
          <w:iCs/>
        </w:rPr>
        <w:t>Jarro, Ferguson, De Lucenay</w:t>
      </w:r>
      <w:r w:rsidRPr="00FF590B">
        <w:t>)</w:t>
      </w:r>
    </w:p>
    <w:p w14:paraId="6E88233B" w14:textId="77777777" w:rsidR="00322D3C" w:rsidRPr="006E669B" w:rsidRDefault="00322D3C" w:rsidP="00B37E10">
      <w:pPr>
        <w:ind w:left="1440" w:hanging="1440"/>
        <w:jc w:val="both"/>
      </w:pPr>
    </w:p>
    <w:p w14:paraId="77BC90CE" w14:textId="77777777" w:rsidR="00322D3C" w:rsidRPr="006E669B" w:rsidRDefault="00322D3C"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commitment to an ongoing, continuous storm restoration process improvement plan so that current and future customers only pay for prudent, cost-effective storm restoration costs incurred due to extreme weather events. OPC agrees with</w:t>
      </w:r>
      <w:r w:rsidR="00E92045">
        <w:t xml:space="preserve"> FPL</w:t>
      </w:r>
      <w:r w:rsidR="00E92045" w:rsidRPr="00C2789E">
        <w:t>.</w:t>
      </w:r>
    </w:p>
    <w:p w14:paraId="180C3124" w14:textId="77777777" w:rsidR="00322D3C" w:rsidRPr="006E669B" w:rsidRDefault="00322D3C" w:rsidP="00B37E10">
      <w:pPr>
        <w:ind w:left="1440" w:hanging="1440"/>
        <w:jc w:val="both"/>
      </w:pPr>
    </w:p>
    <w:p w14:paraId="26C5E0C3"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104C528A" w14:textId="77777777" w:rsidR="00322D3C" w:rsidRPr="006E669B" w:rsidRDefault="00322D3C" w:rsidP="00B37E10">
      <w:pPr>
        <w:ind w:left="1440" w:hanging="1440"/>
        <w:jc w:val="both"/>
      </w:pPr>
    </w:p>
    <w:p w14:paraId="5B07265D"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3C579A66" w14:textId="77777777" w:rsidR="00322D3C" w:rsidRDefault="00322D3C" w:rsidP="00B37E10">
      <w:pPr>
        <w:ind w:left="1440" w:hanging="1440"/>
        <w:jc w:val="both"/>
      </w:pPr>
    </w:p>
    <w:p w14:paraId="07CB0204" w14:textId="77777777" w:rsidR="00322D3C" w:rsidRDefault="00322D3C" w:rsidP="00B37E10">
      <w:pPr>
        <w:ind w:left="1440" w:hanging="1440"/>
        <w:jc w:val="both"/>
      </w:pPr>
    </w:p>
    <w:p w14:paraId="12190775" w14:textId="77777777" w:rsidR="00322D3C" w:rsidRPr="00E05B25" w:rsidRDefault="00322D3C" w:rsidP="00B37E10">
      <w:pPr>
        <w:ind w:left="1440" w:hanging="1440"/>
        <w:jc w:val="both"/>
        <w:rPr>
          <w:b/>
        </w:rPr>
      </w:pPr>
      <w:r>
        <w:rPr>
          <w:b/>
          <w:bCs/>
        </w:rPr>
        <w:t>ISSUE 6</w:t>
      </w:r>
      <w:r w:rsidRPr="006E669B">
        <w:rPr>
          <w:b/>
          <w:bCs/>
        </w:rPr>
        <w:t>:</w:t>
      </w:r>
      <w:r w:rsidRPr="006E669B">
        <w:tab/>
      </w:r>
      <w:r w:rsidR="00834AA7" w:rsidRPr="00E05B25">
        <w:rPr>
          <w:b/>
        </w:rPr>
        <w:t>What is the reasonable and prudent amount of vegetation and line clearing costs to be included in the restoration costs?</w:t>
      </w:r>
    </w:p>
    <w:p w14:paraId="653FC93A" w14:textId="77777777" w:rsidR="00322D3C" w:rsidRPr="006E669B" w:rsidRDefault="00322D3C" w:rsidP="00B37E10">
      <w:pPr>
        <w:ind w:left="1440" w:hanging="1440"/>
        <w:jc w:val="both"/>
      </w:pPr>
    </w:p>
    <w:p w14:paraId="5B1798F9" w14:textId="77777777" w:rsidR="00322D3C" w:rsidRPr="006E669B" w:rsidRDefault="00322D3C" w:rsidP="00B37E10">
      <w:pPr>
        <w:ind w:left="1440" w:hanging="1440"/>
        <w:jc w:val="both"/>
      </w:pPr>
      <w:r>
        <w:rPr>
          <w:b/>
          <w:bCs/>
        </w:rPr>
        <w:t>FPL</w:t>
      </w:r>
      <w:r w:rsidRPr="006E669B">
        <w:rPr>
          <w:b/>
          <w:bCs/>
        </w:rPr>
        <w:t>:</w:t>
      </w:r>
      <w:r w:rsidRPr="006E669B">
        <w:tab/>
      </w:r>
      <w:r w:rsidR="00E05B25" w:rsidRPr="00CC7EB0">
        <w:rPr>
          <w:bCs/>
        </w:rPr>
        <w:t xml:space="preserve">The reasonable and prudent amount of vegetation and line clearing costs to be included in the restoration costs for Hurricane Ian and Hurricane Nicole is </w:t>
      </w:r>
      <w:r w:rsidR="00E05B25" w:rsidRPr="00CC7EB0">
        <w:t xml:space="preserve">$165.704 million and $23.451 million, respectively, </w:t>
      </w:r>
      <w:r w:rsidR="00E05B25" w:rsidRPr="00CC7EB0">
        <w:rPr>
          <w:bCs/>
        </w:rPr>
        <w:t>as shown on Exhibits KF-1 and KF-2</w:t>
      </w:r>
      <w:r w:rsidR="00E05B25" w:rsidRPr="00CC7EB0">
        <w:t>.  Since FPL recovers all actual vegetation costs incurred through the storm charge or the Storm Protection Plan Cost Recovery Clause, there is no ICCA adjustment applicable.  (</w:t>
      </w:r>
      <w:r w:rsidR="00E05B25" w:rsidRPr="00CC7EB0">
        <w:rPr>
          <w:i/>
          <w:iCs/>
        </w:rPr>
        <w:t>Jarro, Ferguson, De Lucenay</w:t>
      </w:r>
      <w:r w:rsidR="00E05B25" w:rsidRPr="00CC7EB0">
        <w:t>)</w:t>
      </w:r>
    </w:p>
    <w:p w14:paraId="33547FAB" w14:textId="77777777" w:rsidR="00322D3C" w:rsidRPr="006E669B" w:rsidRDefault="00322D3C" w:rsidP="00B37E10">
      <w:pPr>
        <w:ind w:left="1440" w:hanging="1440"/>
        <w:jc w:val="both"/>
      </w:pPr>
    </w:p>
    <w:p w14:paraId="4BB29C96" w14:textId="77777777" w:rsidR="00322D3C" w:rsidRPr="006E669B" w:rsidRDefault="00322D3C"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commitment to an ongoing, continuous storm restoration process improvement plan so that current and future customers only pay for prudent, cost-effective storm restoration costs incurred due to extreme weather events. OPC agrees with</w:t>
      </w:r>
      <w:r w:rsidR="00E92045">
        <w:t xml:space="preserve"> FPL</w:t>
      </w:r>
      <w:r w:rsidR="00E92045" w:rsidRPr="00C2789E">
        <w:t>.</w:t>
      </w:r>
    </w:p>
    <w:p w14:paraId="1E2DFBB0" w14:textId="77777777" w:rsidR="00322D3C" w:rsidRPr="006E669B" w:rsidRDefault="00322D3C" w:rsidP="00B37E10">
      <w:pPr>
        <w:ind w:left="1440" w:hanging="1440"/>
        <w:jc w:val="both"/>
      </w:pPr>
    </w:p>
    <w:p w14:paraId="651D5691"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318EEB64" w14:textId="77777777" w:rsidR="00322D3C" w:rsidRPr="006E669B" w:rsidRDefault="00322D3C" w:rsidP="00B37E10">
      <w:pPr>
        <w:ind w:left="1440" w:hanging="1440"/>
        <w:jc w:val="both"/>
      </w:pPr>
    </w:p>
    <w:p w14:paraId="52E938B0"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58309E37" w14:textId="77777777" w:rsidR="00322D3C" w:rsidRDefault="00322D3C" w:rsidP="00B37E10">
      <w:pPr>
        <w:ind w:left="1440" w:hanging="1440"/>
        <w:jc w:val="both"/>
      </w:pPr>
    </w:p>
    <w:p w14:paraId="5C327B7F" w14:textId="77777777" w:rsidR="00322D3C" w:rsidRDefault="00322D3C" w:rsidP="00B37E10">
      <w:pPr>
        <w:ind w:left="1440" w:hanging="1440"/>
        <w:jc w:val="both"/>
      </w:pPr>
    </w:p>
    <w:p w14:paraId="17B896F9" w14:textId="77777777" w:rsidR="00322D3C" w:rsidRPr="00E05B25" w:rsidRDefault="00322D3C" w:rsidP="00B37E10">
      <w:pPr>
        <w:ind w:left="1440" w:hanging="1440"/>
        <w:jc w:val="both"/>
        <w:rPr>
          <w:b/>
        </w:rPr>
      </w:pPr>
      <w:r>
        <w:rPr>
          <w:b/>
          <w:bCs/>
        </w:rPr>
        <w:t>ISSUE 7</w:t>
      </w:r>
      <w:r w:rsidRPr="006E669B">
        <w:rPr>
          <w:b/>
          <w:bCs/>
        </w:rPr>
        <w:t>:</w:t>
      </w:r>
      <w:r w:rsidRPr="006E669B">
        <w:tab/>
      </w:r>
      <w:r w:rsidR="00834AA7" w:rsidRPr="00E05B25">
        <w:rPr>
          <w:b/>
        </w:rPr>
        <w:t>What is the reasonable and prudent amount of employee expenses to be included in the restoration costs?</w:t>
      </w:r>
    </w:p>
    <w:p w14:paraId="1F848E26" w14:textId="77777777" w:rsidR="00322D3C" w:rsidRPr="006E669B" w:rsidRDefault="00322D3C" w:rsidP="00B37E10">
      <w:pPr>
        <w:ind w:left="1440" w:hanging="1440"/>
        <w:jc w:val="both"/>
      </w:pPr>
    </w:p>
    <w:p w14:paraId="3B4E0A6B" w14:textId="77777777" w:rsidR="00322D3C" w:rsidRPr="006E669B" w:rsidRDefault="00322D3C" w:rsidP="00B37E10">
      <w:pPr>
        <w:ind w:left="1440" w:hanging="1440"/>
        <w:jc w:val="both"/>
      </w:pPr>
      <w:r>
        <w:rPr>
          <w:b/>
          <w:bCs/>
        </w:rPr>
        <w:t>FPL</w:t>
      </w:r>
      <w:r w:rsidRPr="006E669B">
        <w:rPr>
          <w:b/>
          <w:bCs/>
        </w:rPr>
        <w:t>:</w:t>
      </w:r>
      <w:r w:rsidRPr="006E669B">
        <w:tab/>
      </w:r>
      <w:r w:rsidR="00E05B25" w:rsidRPr="008E63B0">
        <w:t xml:space="preserve">The reasonable and prudent amount of employee expenses to be included in the restoration costs for Hurricane Ian and Hurricane Nicole is $0.614 million and $0.028 million, respectively, </w:t>
      </w:r>
      <w:r w:rsidR="00E05B25" w:rsidRPr="008E63B0">
        <w:rPr>
          <w:bCs/>
        </w:rPr>
        <w:t>as shown on Exhibits KF-1 and KF-2</w:t>
      </w:r>
      <w:r w:rsidR="00E05B25" w:rsidRPr="008E63B0">
        <w:t>.  (</w:t>
      </w:r>
      <w:r w:rsidR="00E05B25" w:rsidRPr="008E63B0">
        <w:rPr>
          <w:i/>
          <w:iCs/>
        </w:rPr>
        <w:t>Ferguson</w:t>
      </w:r>
      <w:r w:rsidR="00E05B25" w:rsidRPr="008E63B0">
        <w:t>)</w:t>
      </w:r>
    </w:p>
    <w:p w14:paraId="3BF270B4" w14:textId="77777777" w:rsidR="00322D3C" w:rsidRPr="006E669B" w:rsidRDefault="00322D3C" w:rsidP="00B37E10">
      <w:pPr>
        <w:ind w:left="1440" w:hanging="1440"/>
        <w:jc w:val="both"/>
      </w:pPr>
    </w:p>
    <w:p w14:paraId="5EDA8E51" w14:textId="77777777" w:rsidR="00322D3C" w:rsidRPr="006E669B" w:rsidRDefault="00322D3C"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commitment to an ongoing, continuous storm restoration process improvement plan so that current and future customers only pay for prudent, cost-effective storm restoration costs incurred due to extreme weather events. OPC agrees with</w:t>
      </w:r>
      <w:r w:rsidR="00E92045">
        <w:t xml:space="preserve"> FPL</w:t>
      </w:r>
      <w:r w:rsidR="00E92045" w:rsidRPr="00C2789E">
        <w:t>.</w:t>
      </w:r>
    </w:p>
    <w:p w14:paraId="0192ACF8" w14:textId="77777777" w:rsidR="00322D3C" w:rsidRPr="006E669B" w:rsidRDefault="00322D3C" w:rsidP="00B37E10">
      <w:pPr>
        <w:ind w:left="1440" w:hanging="1440"/>
        <w:jc w:val="both"/>
      </w:pPr>
    </w:p>
    <w:p w14:paraId="73025D03"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3CB741C3" w14:textId="77777777" w:rsidR="00322D3C" w:rsidRPr="006E669B" w:rsidRDefault="00322D3C" w:rsidP="00B37E10">
      <w:pPr>
        <w:ind w:left="1440" w:hanging="1440"/>
        <w:jc w:val="both"/>
      </w:pPr>
    </w:p>
    <w:p w14:paraId="5D62BD04"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2FFA20DD" w14:textId="77777777" w:rsidR="00322D3C" w:rsidRDefault="00322D3C" w:rsidP="00B37E10">
      <w:pPr>
        <w:ind w:left="1440" w:hanging="1440"/>
        <w:jc w:val="both"/>
      </w:pPr>
    </w:p>
    <w:p w14:paraId="29CB9308" w14:textId="77777777" w:rsidR="00322D3C" w:rsidRDefault="00322D3C" w:rsidP="00B37E10">
      <w:pPr>
        <w:ind w:left="1440" w:hanging="1440"/>
        <w:jc w:val="both"/>
      </w:pPr>
    </w:p>
    <w:p w14:paraId="01D45E18" w14:textId="77777777" w:rsidR="00322D3C" w:rsidRPr="00E05B25" w:rsidRDefault="00322D3C" w:rsidP="00B37E10">
      <w:pPr>
        <w:ind w:left="1440" w:hanging="1440"/>
        <w:jc w:val="both"/>
        <w:rPr>
          <w:b/>
        </w:rPr>
      </w:pPr>
      <w:r>
        <w:rPr>
          <w:b/>
          <w:bCs/>
        </w:rPr>
        <w:lastRenderedPageBreak/>
        <w:t>ISSUE 8</w:t>
      </w:r>
      <w:r w:rsidRPr="006E669B">
        <w:rPr>
          <w:b/>
          <w:bCs/>
        </w:rPr>
        <w:t>:</w:t>
      </w:r>
      <w:r w:rsidRPr="006E669B">
        <w:tab/>
      </w:r>
      <w:r w:rsidR="00834AA7" w:rsidRPr="00E05B25">
        <w:rPr>
          <w:b/>
        </w:rPr>
        <w:t>What is the reasonable and prudent amount of materials and supplies expense to be included in the restoration costs?</w:t>
      </w:r>
    </w:p>
    <w:p w14:paraId="4B2A7D6F" w14:textId="77777777" w:rsidR="00322D3C" w:rsidRPr="006E669B" w:rsidRDefault="00322D3C" w:rsidP="00B37E10">
      <w:pPr>
        <w:ind w:left="1440" w:hanging="1440"/>
        <w:jc w:val="both"/>
      </w:pPr>
    </w:p>
    <w:p w14:paraId="381AE671" w14:textId="77777777" w:rsidR="00E05B25" w:rsidRPr="00E05B25" w:rsidRDefault="00322D3C" w:rsidP="00E05B25">
      <w:pPr>
        <w:spacing w:after="240"/>
        <w:ind w:left="1440" w:hanging="1440"/>
        <w:jc w:val="both"/>
      </w:pPr>
      <w:r>
        <w:rPr>
          <w:b/>
          <w:bCs/>
        </w:rPr>
        <w:t>FPL</w:t>
      </w:r>
      <w:r w:rsidRPr="006E669B">
        <w:rPr>
          <w:b/>
          <w:bCs/>
        </w:rPr>
        <w:t>:</w:t>
      </w:r>
      <w:r w:rsidRPr="006E669B">
        <w:tab/>
      </w:r>
      <w:r w:rsidR="00E05B25" w:rsidRPr="00E05B25">
        <w:t xml:space="preserve">The reasonable and prudent amount of materials and supplies expense to be included in storm restoration costs </w:t>
      </w:r>
      <w:r w:rsidR="00E05B25" w:rsidRPr="00E05B25">
        <w:rPr>
          <w:bCs/>
        </w:rPr>
        <w:t>for Hurricane Ian and Hurricane Nicole is $16.024 million and $0.959 million</w:t>
      </w:r>
      <w:r w:rsidR="00E05B25" w:rsidRPr="00E05B25">
        <w:t xml:space="preserve">, respectively, </w:t>
      </w:r>
      <w:r w:rsidR="00E05B25" w:rsidRPr="00E05B25">
        <w:rPr>
          <w:bCs/>
        </w:rPr>
        <w:t xml:space="preserve">as </w:t>
      </w:r>
      <w:r w:rsidR="00E05B25" w:rsidRPr="00E05B25">
        <w:t>forth in the table below</w:t>
      </w:r>
      <w:r w:rsidR="00E05B25" w:rsidRPr="00E05B25">
        <w:rPr>
          <w:bCs/>
        </w:rPr>
        <w:t xml:space="preserve"> and as shown on Exhibits KF-1 and KF-2</w:t>
      </w:r>
      <w:r w:rsidR="00E05B25" w:rsidRPr="00E05B25">
        <w:t xml:space="preserve">.  </w:t>
      </w:r>
    </w:p>
    <w:p w14:paraId="7B0742BB" w14:textId="77777777" w:rsidR="00B57760" w:rsidRDefault="00B57760" w:rsidP="00E05B25">
      <w:pPr>
        <w:autoSpaceDE w:val="0"/>
        <w:autoSpaceDN w:val="0"/>
        <w:adjustRightInd w:val="0"/>
        <w:ind w:left="2880" w:hanging="1440"/>
        <w:jc w:val="center"/>
        <w:rPr>
          <w:u w:val="single"/>
        </w:rPr>
      </w:pPr>
    </w:p>
    <w:p w14:paraId="6097FD49" w14:textId="77777777" w:rsidR="00E05B25" w:rsidRDefault="00E05B25" w:rsidP="00E05B25">
      <w:pPr>
        <w:autoSpaceDE w:val="0"/>
        <w:autoSpaceDN w:val="0"/>
        <w:adjustRightInd w:val="0"/>
        <w:ind w:left="2880" w:hanging="1440"/>
        <w:jc w:val="center"/>
        <w:rPr>
          <w:u w:val="single"/>
        </w:rPr>
      </w:pPr>
      <w:r w:rsidRPr="00E05B25">
        <w:rPr>
          <w:u w:val="single"/>
        </w:rPr>
        <w:t>Reasonable and Prudent Amount of Materials and Supplies Expense</w:t>
      </w:r>
    </w:p>
    <w:p w14:paraId="41DCD560" w14:textId="77777777" w:rsidR="00E05B25" w:rsidRDefault="00E05B25" w:rsidP="00E05B25">
      <w:pPr>
        <w:autoSpaceDE w:val="0"/>
        <w:autoSpaceDN w:val="0"/>
        <w:adjustRightInd w:val="0"/>
        <w:ind w:left="2880" w:hanging="1440"/>
        <w:jc w:val="center"/>
      </w:pPr>
      <w:r w:rsidRPr="00E05B25">
        <w:t>($000s)</w:t>
      </w:r>
    </w:p>
    <w:p w14:paraId="4FF2A761" w14:textId="77777777" w:rsidR="00E05B25" w:rsidRDefault="00E05B25" w:rsidP="001977ED">
      <w:pPr>
        <w:autoSpaceDE w:val="0"/>
        <w:autoSpaceDN w:val="0"/>
        <w:adjustRightInd w:val="0"/>
        <w:ind w:left="2880" w:hanging="1440"/>
        <w:jc w:val="center"/>
      </w:pPr>
    </w:p>
    <w:tbl>
      <w:tblPr>
        <w:tblStyle w:val="TableGrid6"/>
        <w:tblW w:w="5935" w:type="dxa"/>
        <w:tblInd w:w="2655" w:type="dxa"/>
        <w:tblLook w:val="04A0" w:firstRow="1" w:lastRow="0" w:firstColumn="1" w:lastColumn="0" w:noHBand="0" w:noVBand="1"/>
      </w:tblPr>
      <w:tblGrid>
        <w:gridCol w:w="1122"/>
        <w:gridCol w:w="1635"/>
        <w:gridCol w:w="1635"/>
        <w:gridCol w:w="1543"/>
      </w:tblGrid>
      <w:tr w:rsidR="001977ED" w:rsidRPr="00E05B25" w14:paraId="31B4125B" w14:textId="77777777" w:rsidTr="001977ED">
        <w:trPr>
          <w:trHeight w:val="809"/>
        </w:trPr>
        <w:tc>
          <w:tcPr>
            <w:tcW w:w="1122" w:type="dxa"/>
            <w:tcBorders>
              <w:bottom w:val="single" w:sz="12" w:space="0" w:color="auto"/>
            </w:tcBorders>
            <w:vAlign w:val="center"/>
          </w:tcPr>
          <w:p w14:paraId="2B0C1679" w14:textId="77777777" w:rsidR="001977ED" w:rsidRPr="00E05B25" w:rsidRDefault="001977ED" w:rsidP="00E2191F">
            <w:pPr>
              <w:autoSpaceDE w:val="0"/>
              <w:autoSpaceDN w:val="0"/>
              <w:adjustRightInd w:val="0"/>
              <w:jc w:val="center"/>
            </w:pPr>
            <w:r w:rsidRPr="00E05B25">
              <w:t>Storm</w:t>
            </w:r>
          </w:p>
        </w:tc>
        <w:tc>
          <w:tcPr>
            <w:tcW w:w="1635" w:type="dxa"/>
            <w:tcBorders>
              <w:bottom w:val="single" w:sz="12" w:space="0" w:color="auto"/>
            </w:tcBorders>
            <w:vAlign w:val="center"/>
          </w:tcPr>
          <w:p w14:paraId="09C6D875" w14:textId="77777777" w:rsidR="001977ED" w:rsidRPr="00E05B25" w:rsidRDefault="001977ED" w:rsidP="00E2191F">
            <w:pPr>
              <w:autoSpaceDE w:val="0"/>
              <w:autoSpaceDN w:val="0"/>
              <w:adjustRightInd w:val="0"/>
              <w:jc w:val="center"/>
            </w:pPr>
            <w:r w:rsidRPr="00E05B25">
              <w:t>Total Storm Restoration Costs Incurred</w:t>
            </w:r>
          </w:p>
        </w:tc>
        <w:tc>
          <w:tcPr>
            <w:tcW w:w="1635" w:type="dxa"/>
            <w:tcBorders>
              <w:bottom w:val="single" w:sz="12" w:space="0" w:color="auto"/>
            </w:tcBorders>
            <w:vAlign w:val="center"/>
          </w:tcPr>
          <w:p w14:paraId="2C6AB255" w14:textId="77777777" w:rsidR="001977ED" w:rsidRPr="00E05B25" w:rsidRDefault="001977ED" w:rsidP="00E2191F">
            <w:pPr>
              <w:autoSpaceDE w:val="0"/>
              <w:autoSpaceDN w:val="0"/>
              <w:adjustRightInd w:val="0"/>
              <w:jc w:val="center"/>
            </w:pPr>
            <w:r w:rsidRPr="00E05B25">
              <w:t>Less Capitalized Costs</w:t>
            </w:r>
          </w:p>
        </w:tc>
        <w:tc>
          <w:tcPr>
            <w:tcW w:w="1543" w:type="dxa"/>
            <w:tcBorders>
              <w:bottom w:val="single" w:sz="12" w:space="0" w:color="auto"/>
            </w:tcBorders>
            <w:vAlign w:val="center"/>
          </w:tcPr>
          <w:p w14:paraId="144838B4" w14:textId="77777777" w:rsidR="001977ED" w:rsidRPr="00E05B25" w:rsidRDefault="001977ED" w:rsidP="00E2191F">
            <w:pPr>
              <w:autoSpaceDE w:val="0"/>
              <w:autoSpaceDN w:val="0"/>
              <w:adjustRightInd w:val="0"/>
              <w:jc w:val="center"/>
            </w:pPr>
            <w:r w:rsidRPr="00E05B25">
              <w:t>Recoverable Incremental Storm Costs</w:t>
            </w:r>
          </w:p>
        </w:tc>
      </w:tr>
      <w:tr w:rsidR="001977ED" w:rsidRPr="00E05B25" w14:paraId="296289B0" w14:textId="77777777" w:rsidTr="001977ED">
        <w:tc>
          <w:tcPr>
            <w:tcW w:w="1122" w:type="dxa"/>
            <w:tcBorders>
              <w:top w:val="single" w:sz="12" w:space="0" w:color="auto"/>
            </w:tcBorders>
          </w:tcPr>
          <w:p w14:paraId="6430F30A" w14:textId="77777777" w:rsidR="001977ED" w:rsidRPr="00E05B25" w:rsidRDefault="001977ED" w:rsidP="00E2191F">
            <w:pPr>
              <w:autoSpaceDE w:val="0"/>
              <w:autoSpaceDN w:val="0"/>
              <w:adjustRightInd w:val="0"/>
            </w:pPr>
            <w:r w:rsidRPr="00E05B25">
              <w:t>Ian</w:t>
            </w:r>
          </w:p>
        </w:tc>
        <w:tc>
          <w:tcPr>
            <w:tcW w:w="1635" w:type="dxa"/>
            <w:tcBorders>
              <w:top w:val="single" w:sz="12" w:space="0" w:color="auto"/>
            </w:tcBorders>
          </w:tcPr>
          <w:p w14:paraId="44E8B97F" w14:textId="77777777" w:rsidR="001977ED" w:rsidRPr="00E05B25" w:rsidRDefault="001977ED" w:rsidP="00E2191F">
            <w:pPr>
              <w:autoSpaceDE w:val="0"/>
              <w:autoSpaceDN w:val="0"/>
              <w:adjustRightInd w:val="0"/>
              <w:jc w:val="right"/>
            </w:pPr>
            <w:r w:rsidRPr="00E05B25">
              <w:t>$47,790</w:t>
            </w:r>
          </w:p>
        </w:tc>
        <w:tc>
          <w:tcPr>
            <w:tcW w:w="1635" w:type="dxa"/>
            <w:tcBorders>
              <w:top w:val="single" w:sz="12" w:space="0" w:color="auto"/>
            </w:tcBorders>
          </w:tcPr>
          <w:p w14:paraId="2F21286F" w14:textId="77777777" w:rsidR="001977ED" w:rsidRPr="00E05B25" w:rsidRDefault="001977ED" w:rsidP="00E2191F">
            <w:pPr>
              <w:autoSpaceDE w:val="0"/>
              <w:autoSpaceDN w:val="0"/>
              <w:adjustRightInd w:val="0"/>
              <w:jc w:val="right"/>
            </w:pPr>
            <w:r w:rsidRPr="00E05B25">
              <w:t>$31,766</w:t>
            </w:r>
          </w:p>
        </w:tc>
        <w:tc>
          <w:tcPr>
            <w:tcW w:w="1543" w:type="dxa"/>
            <w:tcBorders>
              <w:top w:val="single" w:sz="12" w:space="0" w:color="auto"/>
            </w:tcBorders>
          </w:tcPr>
          <w:p w14:paraId="2619085C" w14:textId="77777777" w:rsidR="001977ED" w:rsidRPr="00E05B25" w:rsidRDefault="001977ED" w:rsidP="00E2191F">
            <w:pPr>
              <w:autoSpaceDE w:val="0"/>
              <w:autoSpaceDN w:val="0"/>
              <w:adjustRightInd w:val="0"/>
              <w:jc w:val="right"/>
            </w:pPr>
            <w:r w:rsidRPr="00E05B25">
              <w:t>$16,024</w:t>
            </w:r>
          </w:p>
        </w:tc>
      </w:tr>
      <w:tr w:rsidR="001977ED" w:rsidRPr="00E05B25" w14:paraId="460298FF" w14:textId="77777777" w:rsidTr="001977ED">
        <w:tc>
          <w:tcPr>
            <w:tcW w:w="1122" w:type="dxa"/>
          </w:tcPr>
          <w:p w14:paraId="4448FDBA" w14:textId="77777777" w:rsidR="001977ED" w:rsidRPr="00E05B25" w:rsidRDefault="001977ED" w:rsidP="00E2191F">
            <w:pPr>
              <w:autoSpaceDE w:val="0"/>
              <w:autoSpaceDN w:val="0"/>
              <w:adjustRightInd w:val="0"/>
            </w:pPr>
            <w:r w:rsidRPr="00E05B25">
              <w:t>Nicole</w:t>
            </w:r>
          </w:p>
        </w:tc>
        <w:tc>
          <w:tcPr>
            <w:tcW w:w="1635" w:type="dxa"/>
          </w:tcPr>
          <w:p w14:paraId="3F3AABC7" w14:textId="77777777" w:rsidR="001977ED" w:rsidRPr="00E05B25" w:rsidRDefault="001977ED" w:rsidP="00E2191F">
            <w:pPr>
              <w:autoSpaceDE w:val="0"/>
              <w:autoSpaceDN w:val="0"/>
              <w:adjustRightInd w:val="0"/>
              <w:jc w:val="right"/>
            </w:pPr>
            <w:r w:rsidRPr="00E05B25">
              <w:t>$2,010</w:t>
            </w:r>
          </w:p>
        </w:tc>
        <w:tc>
          <w:tcPr>
            <w:tcW w:w="1635" w:type="dxa"/>
          </w:tcPr>
          <w:p w14:paraId="48DCB7A7" w14:textId="77777777" w:rsidR="001977ED" w:rsidRPr="00E05B25" w:rsidRDefault="001977ED" w:rsidP="00E2191F">
            <w:pPr>
              <w:autoSpaceDE w:val="0"/>
              <w:autoSpaceDN w:val="0"/>
              <w:adjustRightInd w:val="0"/>
              <w:jc w:val="right"/>
            </w:pPr>
            <w:r w:rsidRPr="00E05B25">
              <w:t>$1,051</w:t>
            </w:r>
          </w:p>
        </w:tc>
        <w:tc>
          <w:tcPr>
            <w:tcW w:w="1543" w:type="dxa"/>
          </w:tcPr>
          <w:p w14:paraId="567E4AA6" w14:textId="77777777" w:rsidR="001977ED" w:rsidRPr="00E05B25" w:rsidRDefault="001977ED" w:rsidP="00E2191F">
            <w:pPr>
              <w:autoSpaceDE w:val="0"/>
              <w:autoSpaceDN w:val="0"/>
              <w:adjustRightInd w:val="0"/>
              <w:jc w:val="right"/>
            </w:pPr>
            <w:r w:rsidRPr="00E05B25">
              <w:t>$959</w:t>
            </w:r>
          </w:p>
        </w:tc>
      </w:tr>
    </w:tbl>
    <w:p w14:paraId="6CB44E8B" w14:textId="77777777" w:rsidR="001977ED" w:rsidRDefault="001977ED" w:rsidP="001977ED">
      <w:pPr>
        <w:autoSpaceDE w:val="0"/>
        <w:autoSpaceDN w:val="0"/>
        <w:adjustRightInd w:val="0"/>
        <w:ind w:left="2880" w:hanging="1440"/>
        <w:jc w:val="center"/>
      </w:pPr>
    </w:p>
    <w:p w14:paraId="5C361784" w14:textId="77777777" w:rsidR="00322D3C" w:rsidRPr="006E669B" w:rsidRDefault="00E05B25" w:rsidP="00E05B25">
      <w:pPr>
        <w:ind w:left="1440" w:hanging="1440"/>
        <w:jc w:val="both"/>
      </w:pPr>
      <w:r w:rsidRPr="00E05B25">
        <w:tab/>
        <w:t>(</w:t>
      </w:r>
      <w:r w:rsidRPr="00E05B25">
        <w:rPr>
          <w:i/>
          <w:iCs/>
        </w:rPr>
        <w:t>Jarro, Ferguson</w:t>
      </w:r>
      <w:r w:rsidRPr="00E05B25">
        <w:t>)</w:t>
      </w:r>
    </w:p>
    <w:p w14:paraId="223107E2" w14:textId="77777777" w:rsidR="00322D3C" w:rsidRPr="006E669B" w:rsidRDefault="00322D3C" w:rsidP="00B37E10">
      <w:pPr>
        <w:ind w:left="1440" w:hanging="1440"/>
        <w:jc w:val="both"/>
      </w:pPr>
    </w:p>
    <w:p w14:paraId="4E083647" w14:textId="77777777" w:rsidR="00322D3C" w:rsidRPr="006E669B" w:rsidRDefault="00322D3C"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commitment to an ongoing, continuous storm restoration process improvement plan so that current and future customers only pay for prudent, cost-effective storm restoration costs incurred due to extreme weather events. OPC agrees with</w:t>
      </w:r>
      <w:r w:rsidR="00E92045">
        <w:t xml:space="preserve"> FPL</w:t>
      </w:r>
      <w:r w:rsidR="00E92045" w:rsidRPr="00C2789E">
        <w:t>.</w:t>
      </w:r>
    </w:p>
    <w:p w14:paraId="2C171F15" w14:textId="77777777" w:rsidR="00322D3C" w:rsidRPr="006E669B" w:rsidRDefault="00322D3C" w:rsidP="00B37E10">
      <w:pPr>
        <w:ind w:left="1440" w:hanging="1440"/>
        <w:jc w:val="both"/>
      </w:pPr>
    </w:p>
    <w:p w14:paraId="0E102194"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1BE4E00B" w14:textId="77777777" w:rsidR="00322D3C" w:rsidRPr="006E669B" w:rsidRDefault="00322D3C" w:rsidP="00B37E10">
      <w:pPr>
        <w:ind w:left="1440" w:hanging="1440"/>
        <w:jc w:val="both"/>
      </w:pPr>
    </w:p>
    <w:p w14:paraId="3673BF18"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1176BEEF" w14:textId="77777777" w:rsidR="00322D3C" w:rsidRDefault="00322D3C" w:rsidP="00B37E10">
      <w:pPr>
        <w:ind w:left="1440" w:hanging="1440"/>
        <w:jc w:val="both"/>
      </w:pPr>
    </w:p>
    <w:p w14:paraId="138787AE" w14:textId="77777777" w:rsidR="00322D3C" w:rsidRDefault="00322D3C" w:rsidP="00B37E10">
      <w:pPr>
        <w:ind w:left="1440" w:hanging="1440"/>
        <w:jc w:val="both"/>
      </w:pPr>
    </w:p>
    <w:p w14:paraId="516CE22C" w14:textId="77777777" w:rsidR="00322D3C" w:rsidRPr="006E669B" w:rsidRDefault="00322D3C" w:rsidP="00B37E10">
      <w:pPr>
        <w:ind w:left="1440" w:hanging="1440"/>
        <w:jc w:val="both"/>
      </w:pPr>
      <w:r>
        <w:rPr>
          <w:b/>
          <w:bCs/>
        </w:rPr>
        <w:t>ISSUE 9</w:t>
      </w:r>
      <w:r w:rsidRPr="006E669B">
        <w:rPr>
          <w:b/>
          <w:bCs/>
        </w:rPr>
        <w:t>:</w:t>
      </w:r>
      <w:r w:rsidRPr="006E669B">
        <w:tab/>
      </w:r>
      <w:r w:rsidR="00834AA7" w:rsidRPr="008468D1">
        <w:rPr>
          <w:b/>
        </w:rPr>
        <w:t>What is the reasonable and prudent amount of logistics costs to be included in the restoration costs?</w:t>
      </w:r>
    </w:p>
    <w:p w14:paraId="592D8228" w14:textId="77777777" w:rsidR="00322D3C" w:rsidRPr="006E669B" w:rsidRDefault="00322D3C" w:rsidP="00B37E10">
      <w:pPr>
        <w:ind w:left="1440" w:hanging="1440"/>
        <w:jc w:val="both"/>
      </w:pPr>
    </w:p>
    <w:p w14:paraId="41E72002" w14:textId="77777777" w:rsidR="00322D3C" w:rsidRPr="006E669B" w:rsidRDefault="00322D3C" w:rsidP="00B37E10">
      <w:pPr>
        <w:ind w:left="1440" w:hanging="1440"/>
        <w:jc w:val="both"/>
      </w:pPr>
      <w:r>
        <w:rPr>
          <w:b/>
          <w:bCs/>
        </w:rPr>
        <w:t>FPL</w:t>
      </w:r>
      <w:r w:rsidRPr="006E669B">
        <w:rPr>
          <w:b/>
          <w:bCs/>
        </w:rPr>
        <w:t>:</w:t>
      </w:r>
      <w:r w:rsidRPr="006E669B">
        <w:tab/>
      </w:r>
      <w:r w:rsidR="008468D1" w:rsidRPr="00EA7533">
        <w:rPr>
          <w:bCs/>
        </w:rPr>
        <w:t xml:space="preserve">The </w:t>
      </w:r>
      <w:r w:rsidR="008468D1" w:rsidRPr="00EA7533">
        <w:t>reasonable and prudent amount of logistic costs to be included in the restoration costs for Hurricanes Ian and Nicole are</w:t>
      </w:r>
      <w:r w:rsidR="008468D1" w:rsidRPr="00EA7533">
        <w:rPr>
          <w:b/>
        </w:rPr>
        <w:t xml:space="preserve"> </w:t>
      </w:r>
      <w:r w:rsidR="008468D1" w:rsidRPr="00EA7533">
        <w:t xml:space="preserve">$204.781 million and $16.841 million, respectively, </w:t>
      </w:r>
      <w:r w:rsidR="008468D1" w:rsidRPr="00EA7533">
        <w:rPr>
          <w:bCs/>
        </w:rPr>
        <w:t>as shown on Exhibits KF-1 and KF-2</w:t>
      </w:r>
      <w:r w:rsidR="008468D1" w:rsidRPr="00EA7533">
        <w:t>.  (</w:t>
      </w:r>
      <w:r w:rsidR="008468D1" w:rsidRPr="00EA7533">
        <w:rPr>
          <w:i/>
          <w:iCs/>
        </w:rPr>
        <w:t>Jarro, Ferguson</w:t>
      </w:r>
      <w:r w:rsidR="008468D1" w:rsidRPr="00EA7533">
        <w:t>)</w:t>
      </w:r>
    </w:p>
    <w:p w14:paraId="5AC3C0A5" w14:textId="77777777" w:rsidR="00322D3C" w:rsidRPr="006E669B" w:rsidRDefault="00322D3C" w:rsidP="00B37E10">
      <w:pPr>
        <w:ind w:left="1440" w:hanging="1440"/>
        <w:jc w:val="both"/>
      </w:pPr>
    </w:p>
    <w:p w14:paraId="22C26491" w14:textId="77777777" w:rsidR="00322D3C" w:rsidRPr="006E669B" w:rsidRDefault="00322D3C" w:rsidP="00B37E10">
      <w:pPr>
        <w:ind w:left="1440" w:hanging="1440"/>
        <w:jc w:val="both"/>
      </w:pPr>
      <w:r>
        <w:rPr>
          <w:b/>
          <w:bCs/>
        </w:rPr>
        <w:t>OPC</w:t>
      </w:r>
      <w:r w:rsidRPr="006E669B">
        <w:rPr>
          <w:b/>
          <w:bCs/>
        </w:rPr>
        <w:t>:</w:t>
      </w:r>
      <w:r w:rsidR="00834AA7">
        <w:tab/>
      </w:r>
      <w:r w:rsidR="00E92045" w:rsidRPr="00C2789E">
        <w:t>Based on the entirety of the circumstances,</w:t>
      </w:r>
      <w:r w:rsidR="00E92045">
        <w:t xml:space="preserve"> FPL</w:t>
      </w:r>
      <w:r w:rsidR="00E92045" w:rsidRPr="00C2789E">
        <w:t>’s petition meets the burden of</w:t>
      </w:r>
      <w:r w:rsidR="00E92045">
        <w:t xml:space="preserve"> proof established by the Irma</w:t>
      </w:r>
      <w:r w:rsidR="00E92045" w:rsidRPr="00C2789E">
        <w:t xml:space="preserve"> Settlement and other applicable laws. As a result of the due diligence performed by the OPC and the cooperation by </w:t>
      </w:r>
      <w:r w:rsidR="00E92045">
        <w:t xml:space="preserve">FPL </w:t>
      </w:r>
      <w:r w:rsidR="00E92045" w:rsidRPr="00C2789E">
        <w:t xml:space="preserve">in this matter, OPC is in support of </w:t>
      </w:r>
      <w:r w:rsidR="00E92045">
        <w:t xml:space="preserve">FPL’s </w:t>
      </w:r>
      <w:r w:rsidR="00E92045" w:rsidRPr="00C2789E">
        <w:t xml:space="preserve">commitment to an ongoing, continuous storm restoration process improvement plan so that current and future customers only </w:t>
      </w:r>
      <w:r w:rsidR="00E92045" w:rsidRPr="00C2789E">
        <w:lastRenderedPageBreak/>
        <w:t>pay for prudent, cost-effective storm restoration costs incurred due to extreme weather events. OPC agrees with</w:t>
      </w:r>
      <w:r w:rsidR="00E92045">
        <w:t xml:space="preserve"> FPL</w:t>
      </w:r>
      <w:r w:rsidR="00E92045" w:rsidRPr="00C2789E">
        <w:t>.</w:t>
      </w:r>
    </w:p>
    <w:p w14:paraId="1698D45D" w14:textId="77777777" w:rsidR="00322D3C" w:rsidRPr="006E669B" w:rsidRDefault="00322D3C" w:rsidP="00B37E10">
      <w:pPr>
        <w:ind w:left="1440" w:hanging="1440"/>
        <w:jc w:val="both"/>
      </w:pPr>
    </w:p>
    <w:p w14:paraId="0017A46B"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260B4BEE" w14:textId="77777777" w:rsidR="00322D3C" w:rsidRPr="006E669B" w:rsidRDefault="00322D3C" w:rsidP="00B37E10">
      <w:pPr>
        <w:ind w:left="1440" w:hanging="1440"/>
        <w:jc w:val="both"/>
      </w:pPr>
    </w:p>
    <w:p w14:paraId="1A6C9FA3"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5434FDD7" w14:textId="77777777" w:rsidR="00322D3C" w:rsidRDefault="00322D3C" w:rsidP="00B37E10">
      <w:pPr>
        <w:ind w:left="1440" w:hanging="1440"/>
        <w:jc w:val="both"/>
      </w:pPr>
    </w:p>
    <w:p w14:paraId="0FFB01D7" w14:textId="77777777" w:rsidR="00322D3C" w:rsidRDefault="00322D3C" w:rsidP="00B37E10">
      <w:pPr>
        <w:ind w:left="1440" w:hanging="1440"/>
        <w:jc w:val="both"/>
      </w:pPr>
    </w:p>
    <w:p w14:paraId="2B825BB1" w14:textId="77777777" w:rsidR="00322D3C" w:rsidRPr="008468D1" w:rsidRDefault="00322D3C" w:rsidP="00B37E10">
      <w:pPr>
        <w:ind w:left="1440" w:hanging="1440"/>
        <w:jc w:val="both"/>
        <w:rPr>
          <w:b/>
        </w:rPr>
      </w:pPr>
      <w:r w:rsidRPr="006E669B">
        <w:rPr>
          <w:b/>
          <w:bCs/>
        </w:rPr>
        <w:t>ISSUE 1</w:t>
      </w:r>
      <w:r>
        <w:rPr>
          <w:b/>
          <w:bCs/>
        </w:rPr>
        <w:t>0</w:t>
      </w:r>
      <w:r w:rsidRPr="006E669B">
        <w:rPr>
          <w:b/>
          <w:bCs/>
        </w:rPr>
        <w:t>:</w:t>
      </w:r>
      <w:r w:rsidRPr="006E669B">
        <w:tab/>
      </w:r>
      <w:r w:rsidR="00834AA7" w:rsidRPr="008468D1">
        <w:rPr>
          <w:b/>
        </w:rPr>
        <w:t>What is the reasonable and prudent total amount of costs to be included in the restoration costs?</w:t>
      </w:r>
    </w:p>
    <w:p w14:paraId="43044CD3" w14:textId="77777777" w:rsidR="00322D3C" w:rsidRPr="006E669B" w:rsidRDefault="00322D3C" w:rsidP="00B37E10">
      <w:pPr>
        <w:ind w:left="1440" w:hanging="1440"/>
        <w:jc w:val="both"/>
      </w:pPr>
    </w:p>
    <w:p w14:paraId="170404FC" w14:textId="77777777" w:rsidR="00322D3C" w:rsidRPr="006E669B" w:rsidRDefault="00322D3C" w:rsidP="00B37E10">
      <w:pPr>
        <w:ind w:left="1440" w:hanging="1440"/>
        <w:jc w:val="both"/>
      </w:pPr>
      <w:r>
        <w:rPr>
          <w:b/>
          <w:bCs/>
        </w:rPr>
        <w:t>FPL</w:t>
      </w:r>
      <w:r w:rsidRPr="006E669B">
        <w:rPr>
          <w:b/>
          <w:bCs/>
        </w:rPr>
        <w:t>:</w:t>
      </w:r>
      <w:r w:rsidRPr="006E669B">
        <w:tab/>
      </w:r>
      <w:r w:rsidR="008468D1" w:rsidRPr="0097265A">
        <w:t>The reasonable and prudent total amount of retail incremental costs to be included in the restoration costs for Hurricane Ian and Hurricane Nicole is</w:t>
      </w:r>
      <w:r w:rsidR="008468D1" w:rsidRPr="0097265A">
        <w:rPr>
          <w:b/>
        </w:rPr>
        <w:t xml:space="preserve"> </w:t>
      </w:r>
      <w:r w:rsidR="008468D1" w:rsidRPr="0097265A">
        <w:t xml:space="preserve">$1,023.393 million and $118.423 million, respectively, which excludes capital costs, ICCA adjustments, and below-the-line expenses, </w:t>
      </w:r>
      <w:r w:rsidR="008468D1" w:rsidRPr="0097265A">
        <w:rPr>
          <w:bCs/>
        </w:rPr>
        <w:t>as shown on Exhibits KF-1 and KF-2</w:t>
      </w:r>
      <w:r w:rsidR="008468D1" w:rsidRPr="0097265A">
        <w:t xml:space="preserve">.  FPL’s total Recoverable Storm Amount, which includes the actual retail incremental storm restoration costs associated with Hurricane Ian, the actual retail incremental storm restoration costs associated with Hurricane Nicole, the replenishment of FPL’s storm reserve in accordance with Paragraph 10 of the Stipulation and Settlement approved in Order No. PSC-2021-0446-S-EI, and the remaining amounts to be collected for Hurricanes Michael, Sally, and Zeta, which </w:t>
      </w:r>
      <w:r w:rsidR="008468D1">
        <w:t>were</w:t>
      </w:r>
      <w:r w:rsidR="008468D1" w:rsidRPr="0097265A">
        <w:t xml:space="preserve"> previously approved by the Commission, is $1,298.027 million as shown on Exhibit KF-3. (</w:t>
      </w:r>
      <w:r w:rsidR="008468D1" w:rsidRPr="0097265A">
        <w:rPr>
          <w:i/>
          <w:iCs/>
        </w:rPr>
        <w:t>Jarro, Ferguson</w:t>
      </w:r>
      <w:r w:rsidR="008468D1" w:rsidRPr="0097265A">
        <w:t>)</w:t>
      </w:r>
    </w:p>
    <w:p w14:paraId="103FF238" w14:textId="77777777" w:rsidR="00322D3C" w:rsidRPr="006E669B" w:rsidRDefault="00322D3C" w:rsidP="00B37E10">
      <w:pPr>
        <w:ind w:left="1440" w:hanging="1440"/>
        <w:jc w:val="both"/>
      </w:pPr>
    </w:p>
    <w:p w14:paraId="003C0A71" w14:textId="77777777" w:rsidR="00322D3C" w:rsidRPr="006E669B" w:rsidRDefault="00322D3C" w:rsidP="00B37E10">
      <w:pPr>
        <w:ind w:left="1440" w:hanging="1440"/>
        <w:jc w:val="both"/>
      </w:pPr>
      <w:r>
        <w:rPr>
          <w:b/>
          <w:bCs/>
        </w:rPr>
        <w:t>OPC</w:t>
      </w:r>
      <w:r w:rsidRPr="006E669B">
        <w:rPr>
          <w:b/>
          <w:bCs/>
        </w:rPr>
        <w:t>:</w:t>
      </w:r>
      <w:r w:rsidR="00834AA7">
        <w:tab/>
      </w:r>
      <w:r w:rsidR="00180BBE" w:rsidRPr="00C2789E">
        <w:t>Based on the entirety of the circumstances,</w:t>
      </w:r>
      <w:r w:rsidR="00180BBE">
        <w:t xml:space="preserve"> FPL</w:t>
      </w:r>
      <w:r w:rsidR="00180BBE" w:rsidRPr="00C2789E">
        <w:t>’s petition meets the burden of</w:t>
      </w:r>
      <w:r w:rsidR="00180BBE">
        <w:t xml:space="preserve"> proof established by the Irma</w:t>
      </w:r>
      <w:r w:rsidR="00180BBE" w:rsidRPr="00C2789E">
        <w:t xml:space="preserve"> Settlement and other applicable laws. As a result of the due diligence performed by the OPC and the cooperation by </w:t>
      </w:r>
      <w:r w:rsidR="00180BBE">
        <w:t xml:space="preserve">FPL </w:t>
      </w:r>
      <w:r w:rsidR="00180BBE" w:rsidRPr="00C2789E">
        <w:t xml:space="preserve">in this matter, OPC is in support of </w:t>
      </w:r>
      <w:r w:rsidR="00180BBE">
        <w:t xml:space="preserve">FPL’s </w:t>
      </w:r>
      <w:r w:rsidR="00180BBE" w:rsidRPr="00C2789E">
        <w:t>commitment to an ongoing, continuous storm restoration process improvement plan so that current and future customers only pay for prudent, cost-effective storm restoration costs incurred due to extreme weather events. OPC agrees with</w:t>
      </w:r>
      <w:r w:rsidR="00180BBE">
        <w:t xml:space="preserve"> FPL</w:t>
      </w:r>
      <w:r w:rsidR="00180BBE" w:rsidRPr="00C2789E">
        <w:t>.</w:t>
      </w:r>
    </w:p>
    <w:p w14:paraId="1A693817" w14:textId="77777777" w:rsidR="00322D3C" w:rsidRPr="006E669B" w:rsidRDefault="00322D3C" w:rsidP="00B37E10">
      <w:pPr>
        <w:ind w:left="1440" w:hanging="1440"/>
        <w:jc w:val="both"/>
      </w:pPr>
    </w:p>
    <w:p w14:paraId="5199962F"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0C236A64" w14:textId="77777777" w:rsidR="00322D3C" w:rsidRPr="006E669B" w:rsidRDefault="00322D3C" w:rsidP="00B37E10">
      <w:pPr>
        <w:ind w:left="1440" w:hanging="1440"/>
        <w:jc w:val="both"/>
      </w:pPr>
    </w:p>
    <w:p w14:paraId="45B537CC"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542A7329" w14:textId="77777777" w:rsidR="00322D3C" w:rsidRDefault="00322D3C" w:rsidP="00B37E10">
      <w:pPr>
        <w:ind w:left="1440" w:hanging="1440"/>
        <w:jc w:val="both"/>
      </w:pPr>
    </w:p>
    <w:p w14:paraId="7B90D4DE" w14:textId="77777777" w:rsidR="00322D3C" w:rsidRDefault="00322D3C" w:rsidP="00B37E10">
      <w:pPr>
        <w:ind w:left="1440" w:hanging="1440"/>
        <w:jc w:val="both"/>
      </w:pPr>
    </w:p>
    <w:p w14:paraId="7E4334D7" w14:textId="77777777" w:rsidR="00322D3C" w:rsidRPr="008468D1" w:rsidRDefault="00322D3C" w:rsidP="00B37E10">
      <w:pPr>
        <w:ind w:left="1440" w:hanging="1440"/>
        <w:jc w:val="both"/>
        <w:rPr>
          <w:b/>
        </w:rPr>
      </w:pPr>
      <w:r w:rsidRPr="006E669B">
        <w:rPr>
          <w:b/>
          <w:bCs/>
        </w:rPr>
        <w:t>ISSUE 1</w:t>
      </w:r>
      <w:r>
        <w:rPr>
          <w:b/>
          <w:bCs/>
        </w:rPr>
        <w:t>1</w:t>
      </w:r>
      <w:r w:rsidRPr="006E669B">
        <w:rPr>
          <w:b/>
          <w:bCs/>
        </w:rPr>
        <w:t>:</w:t>
      </w:r>
      <w:r w:rsidRPr="006E669B">
        <w:tab/>
      </w:r>
      <w:r w:rsidR="00834AA7" w:rsidRPr="008468D1">
        <w:rPr>
          <w:b/>
        </w:rPr>
        <w:t>What is the reasonable and prudent amount of storm-related costs that should be capitalized?</w:t>
      </w:r>
    </w:p>
    <w:p w14:paraId="734F2765" w14:textId="77777777" w:rsidR="00322D3C" w:rsidRPr="006E669B" w:rsidRDefault="00322D3C" w:rsidP="00B37E10">
      <w:pPr>
        <w:ind w:left="1440" w:hanging="1440"/>
        <w:jc w:val="both"/>
      </w:pPr>
    </w:p>
    <w:p w14:paraId="3EA7414E" w14:textId="77777777" w:rsidR="00322D3C" w:rsidRPr="006E669B" w:rsidRDefault="00322D3C" w:rsidP="00B37E10">
      <w:pPr>
        <w:ind w:left="1440" w:hanging="1440"/>
        <w:jc w:val="both"/>
      </w:pPr>
      <w:r>
        <w:rPr>
          <w:b/>
          <w:bCs/>
        </w:rPr>
        <w:t>FPL</w:t>
      </w:r>
      <w:r w:rsidRPr="006E669B">
        <w:rPr>
          <w:b/>
          <w:bCs/>
        </w:rPr>
        <w:t>:</w:t>
      </w:r>
      <w:r w:rsidRPr="006E669B">
        <w:tab/>
      </w:r>
      <w:r w:rsidR="008468D1" w:rsidRPr="00B57148">
        <w:rPr>
          <w:bCs/>
        </w:rPr>
        <w:t>The reasonable and prudent amount of storm-related costs that should be capitalized for Hurricane Ian and Hurricane Nicole is</w:t>
      </w:r>
      <w:r w:rsidR="008468D1" w:rsidRPr="00B57148">
        <w:rPr>
          <w:b/>
        </w:rPr>
        <w:t xml:space="preserve"> </w:t>
      </w:r>
      <w:r w:rsidR="008468D1" w:rsidRPr="00B57148">
        <w:t xml:space="preserve">$95.642 million and $1.945 million, respectively, </w:t>
      </w:r>
      <w:r w:rsidR="008468D1" w:rsidRPr="00B57148">
        <w:rPr>
          <w:bCs/>
        </w:rPr>
        <w:t>as shown on Exhibits KF-1 and KF-2</w:t>
      </w:r>
      <w:r w:rsidR="008468D1" w:rsidRPr="00B57148">
        <w:t xml:space="preserve">.  To determine the amount of capitalized costs, FPL used Part (1)(d) of Rule 25-6.0143, which states that “…the normal cost for the removal, retirement and replacement of those </w:t>
      </w:r>
      <w:r w:rsidR="008468D1" w:rsidRPr="00B57148">
        <w:lastRenderedPageBreak/>
        <w:t xml:space="preserve">facilities in the absence of a storm, is the basis for calculating storm restoration capital.” </w:t>
      </w:r>
      <w:r w:rsidR="008468D1">
        <w:t xml:space="preserve"> </w:t>
      </w:r>
      <w:r w:rsidR="008468D1" w:rsidRPr="00B57148">
        <w:t>(</w:t>
      </w:r>
      <w:r w:rsidR="008468D1" w:rsidRPr="00B57148">
        <w:rPr>
          <w:i/>
          <w:iCs/>
        </w:rPr>
        <w:t>Ferguson</w:t>
      </w:r>
      <w:r w:rsidR="008468D1" w:rsidRPr="00B57148">
        <w:t>)</w:t>
      </w:r>
    </w:p>
    <w:p w14:paraId="318131AB" w14:textId="77777777" w:rsidR="00322D3C" w:rsidRPr="006E669B" w:rsidRDefault="00322D3C" w:rsidP="00B37E10">
      <w:pPr>
        <w:ind w:left="1440" w:hanging="1440"/>
        <w:jc w:val="both"/>
      </w:pPr>
    </w:p>
    <w:p w14:paraId="445B28EA" w14:textId="77777777" w:rsidR="00322D3C" w:rsidRPr="006E669B" w:rsidRDefault="00322D3C" w:rsidP="00B37E10">
      <w:pPr>
        <w:ind w:left="1440" w:hanging="1440"/>
        <w:jc w:val="both"/>
      </w:pPr>
      <w:r>
        <w:rPr>
          <w:b/>
          <w:bCs/>
        </w:rPr>
        <w:t>OPC</w:t>
      </w:r>
      <w:r w:rsidRPr="006E669B">
        <w:rPr>
          <w:b/>
          <w:bCs/>
        </w:rPr>
        <w:t>:</w:t>
      </w:r>
      <w:r w:rsidR="00834AA7">
        <w:tab/>
      </w:r>
      <w:r w:rsidR="00180BBE" w:rsidRPr="00C2789E">
        <w:t>Based on the entirety of the circumstances,</w:t>
      </w:r>
      <w:r w:rsidR="00180BBE">
        <w:t xml:space="preserve"> FPL</w:t>
      </w:r>
      <w:r w:rsidR="00180BBE" w:rsidRPr="00C2789E">
        <w:t>’s petition meets the burden of</w:t>
      </w:r>
      <w:r w:rsidR="00180BBE">
        <w:t xml:space="preserve"> proof established by the Irma</w:t>
      </w:r>
      <w:r w:rsidR="00180BBE" w:rsidRPr="00C2789E">
        <w:t xml:space="preserve"> Settlement and other applicable laws. As a result of the due diligence performed by the OPC and the cooperation by </w:t>
      </w:r>
      <w:r w:rsidR="00180BBE">
        <w:t xml:space="preserve">FPL </w:t>
      </w:r>
      <w:r w:rsidR="00180BBE" w:rsidRPr="00C2789E">
        <w:t xml:space="preserve">in this matter, OPC is in support of </w:t>
      </w:r>
      <w:r w:rsidR="00180BBE">
        <w:t xml:space="preserve">FPL’s </w:t>
      </w:r>
      <w:r w:rsidR="00180BBE" w:rsidRPr="00C2789E">
        <w:t>commitment to an ongoing, continuous storm restoration process improvement plan so that current and future customers only pay for prudent, cost-effective storm restoration costs incurred due to extreme weather events. OPC agrees with</w:t>
      </w:r>
      <w:r w:rsidR="00180BBE">
        <w:t xml:space="preserve"> FPL</w:t>
      </w:r>
      <w:r w:rsidR="00180BBE" w:rsidRPr="00C2789E">
        <w:t>.</w:t>
      </w:r>
    </w:p>
    <w:p w14:paraId="783D70E5" w14:textId="77777777" w:rsidR="00322D3C" w:rsidRPr="006E669B" w:rsidRDefault="00322D3C" w:rsidP="00B37E10">
      <w:pPr>
        <w:ind w:left="1440" w:hanging="1440"/>
        <w:jc w:val="both"/>
      </w:pPr>
    </w:p>
    <w:p w14:paraId="682103DD"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559E2D18" w14:textId="77777777" w:rsidR="00322D3C" w:rsidRPr="006E669B" w:rsidRDefault="00322D3C" w:rsidP="00B37E10">
      <w:pPr>
        <w:ind w:left="1440" w:hanging="1440"/>
        <w:jc w:val="both"/>
      </w:pPr>
    </w:p>
    <w:p w14:paraId="3034DC91"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76FE8143" w14:textId="77777777" w:rsidR="00322D3C" w:rsidRDefault="00322D3C" w:rsidP="00B37E10">
      <w:pPr>
        <w:ind w:left="1440" w:hanging="1440"/>
        <w:jc w:val="both"/>
      </w:pPr>
    </w:p>
    <w:p w14:paraId="1CB1D856" w14:textId="77777777" w:rsidR="00322D3C" w:rsidRDefault="00322D3C" w:rsidP="00B37E10">
      <w:pPr>
        <w:ind w:left="1440" w:hanging="1440"/>
        <w:jc w:val="both"/>
      </w:pPr>
    </w:p>
    <w:p w14:paraId="6DC50B6B" w14:textId="77777777" w:rsidR="00322D3C" w:rsidRPr="008468D1" w:rsidRDefault="00322D3C" w:rsidP="00B37E10">
      <w:pPr>
        <w:ind w:left="1440" w:hanging="1440"/>
        <w:jc w:val="both"/>
        <w:rPr>
          <w:b/>
        </w:rPr>
      </w:pPr>
      <w:r w:rsidRPr="006E669B">
        <w:rPr>
          <w:b/>
          <w:bCs/>
        </w:rPr>
        <w:t>ISSUE 1</w:t>
      </w:r>
      <w:r>
        <w:rPr>
          <w:b/>
          <w:bCs/>
        </w:rPr>
        <w:t>2</w:t>
      </w:r>
      <w:r w:rsidRPr="006E669B">
        <w:rPr>
          <w:b/>
          <w:bCs/>
        </w:rPr>
        <w:t>:</w:t>
      </w:r>
      <w:r w:rsidRPr="006E669B">
        <w:tab/>
      </w:r>
      <w:r w:rsidR="00834AA7" w:rsidRPr="008468D1">
        <w:rPr>
          <w:b/>
        </w:rPr>
        <w:t>What is the appropriate accounting treatment associated with any storm costs found to have been imprudently incurred?</w:t>
      </w:r>
    </w:p>
    <w:p w14:paraId="3B540035" w14:textId="77777777" w:rsidR="00322D3C" w:rsidRPr="006E669B" w:rsidRDefault="00322D3C" w:rsidP="00B37E10">
      <w:pPr>
        <w:ind w:left="1440" w:hanging="1440"/>
        <w:jc w:val="both"/>
      </w:pPr>
    </w:p>
    <w:p w14:paraId="2098C04E" w14:textId="77777777" w:rsidR="00322D3C" w:rsidRPr="006E669B" w:rsidRDefault="00322D3C" w:rsidP="00B37E10">
      <w:pPr>
        <w:ind w:left="1440" w:hanging="1440"/>
        <w:jc w:val="both"/>
      </w:pPr>
      <w:r>
        <w:rPr>
          <w:b/>
          <w:bCs/>
        </w:rPr>
        <w:t>FPL</w:t>
      </w:r>
      <w:r w:rsidRPr="006E669B">
        <w:rPr>
          <w:b/>
          <w:bCs/>
        </w:rPr>
        <w:t>:</w:t>
      </w:r>
      <w:r w:rsidRPr="006E669B">
        <w:tab/>
      </w:r>
      <w:r w:rsidR="008468D1" w:rsidRPr="00A32F17">
        <w:t>In the event that the Commission were to find that any of FPL’s Hurricane Ian or</w:t>
      </w:r>
      <w:r w:rsidR="008468D1">
        <w:t xml:space="preserve"> Hurricane</w:t>
      </w:r>
      <w:r w:rsidR="008468D1" w:rsidRPr="00A32F17">
        <w:t xml:space="preserve"> Nicole storm related costs were impudently incurred based on the actual conditions and circumstances at the time decisions were made, such costs would be charged below-the-line</w:t>
      </w:r>
      <w:r w:rsidR="008468D1">
        <w:t>,</w:t>
      </w:r>
      <w:r w:rsidR="008468D1" w:rsidRPr="00A32F17">
        <w:t xml:space="preserve"> with a corresponding adjustment to the applicable total Recoverable Storm Amount, capital, or above-the-line base O&amp;M</w:t>
      </w:r>
      <w:r w:rsidR="008468D1">
        <w:t>,</w:t>
      </w:r>
      <w:r w:rsidR="008468D1" w:rsidRPr="00A32F17">
        <w:t xml:space="preserve"> and would not be recovered from customers. </w:t>
      </w:r>
      <w:r w:rsidR="008468D1">
        <w:t xml:space="preserve"> </w:t>
      </w:r>
      <w:r w:rsidR="008468D1" w:rsidRPr="00B91D56">
        <w:t>(</w:t>
      </w:r>
      <w:r w:rsidR="008468D1" w:rsidRPr="00B91D56">
        <w:rPr>
          <w:i/>
          <w:iCs/>
        </w:rPr>
        <w:t>Ferguson</w:t>
      </w:r>
      <w:r w:rsidR="008468D1" w:rsidRPr="00B91D56">
        <w:t>)</w:t>
      </w:r>
    </w:p>
    <w:p w14:paraId="1F163C04" w14:textId="77777777" w:rsidR="00322D3C" w:rsidRPr="006E669B" w:rsidRDefault="00322D3C" w:rsidP="00B37E10">
      <w:pPr>
        <w:ind w:left="1440" w:hanging="1440"/>
        <w:jc w:val="both"/>
      </w:pPr>
    </w:p>
    <w:p w14:paraId="33092A77" w14:textId="77777777" w:rsidR="00322D3C" w:rsidRPr="006E669B" w:rsidRDefault="00322D3C" w:rsidP="00B37E10">
      <w:pPr>
        <w:ind w:left="1440" w:hanging="1440"/>
        <w:jc w:val="both"/>
      </w:pPr>
      <w:r>
        <w:rPr>
          <w:b/>
          <w:bCs/>
        </w:rPr>
        <w:t>OPC</w:t>
      </w:r>
      <w:r w:rsidRPr="006E669B">
        <w:rPr>
          <w:b/>
          <w:bCs/>
        </w:rPr>
        <w:t>:</w:t>
      </w:r>
      <w:r w:rsidR="00834AA7">
        <w:tab/>
      </w:r>
      <w:r w:rsidR="00180BBE" w:rsidRPr="00C2789E">
        <w:t>Based on the entirety of the circumstances,</w:t>
      </w:r>
      <w:r w:rsidR="00180BBE">
        <w:t xml:space="preserve"> FPL</w:t>
      </w:r>
      <w:r w:rsidR="00180BBE" w:rsidRPr="00C2789E">
        <w:t>’s petition meets the burden of</w:t>
      </w:r>
      <w:r w:rsidR="00180BBE">
        <w:t xml:space="preserve"> proof established by the Irma</w:t>
      </w:r>
      <w:r w:rsidR="00180BBE" w:rsidRPr="00C2789E">
        <w:t xml:space="preserve"> Settlement and other applicable laws. As a result of the due diligence performed by the OPC and the cooperation by </w:t>
      </w:r>
      <w:r w:rsidR="00180BBE">
        <w:t xml:space="preserve">FPL </w:t>
      </w:r>
      <w:r w:rsidR="00180BBE" w:rsidRPr="00C2789E">
        <w:t xml:space="preserve">in this matter, OPC is in support of </w:t>
      </w:r>
      <w:r w:rsidR="00180BBE">
        <w:t xml:space="preserve">FPL’s </w:t>
      </w:r>
      <w:r w:rsidR="00180BBE" w:rsidRPr="00C2789E">
        <w:t>commitment to an ongoing, continuous storm restoration process improvement plan so that current and future customers only pay for prudent, cost-effective storm restoration costs incurred due to extreme weather events. OPC agrees with</w:t>
      </w:r>
      <w:r w:rsidR="00180BBE">
        <w:t xml:space="preserve"> FPL</w:t>
      </w:r>
      <w:r w:rsidR="00180BBE" w:rsidRPr="00C2789E">
        <w:t>.</w:t>
      </w:r>
    </w:p>
    <w:p w14:paraId="01AED5E0" w14:textId="77777777" w:rsidR="00322D3C" w:rsidRPr="006E669B" w:rsidRDefault="00322D3C" w:rsidP="00B37E10">
      <w:pPr>
        <w:ind w:left="1440" w:hanging="1440"/>
        <w:jc w:val="both"/>
      </w:pPr>
    </w:p>
    <w:p w14:paraId="2B4FA028" w14:textId="77777777" w:rsidR="00322D3C" w:rsidRPr="006E669B" w:rsidRDefault="00322D3C" w:rsidP="00B37E10">
      <w:pPr>
        <w:ind w:left="1440" w:hanging="1440"/>
        <w:jc w:val="both"/>
      </w:pPr>
      <w:r>
        <w:rPr>
          <w:b/>
          <w:bCs/>
        </w:rPr>
        <w:t>Walmart</w:t>
      </w:r>
      <w:r w:rsidRPr="006E669B">
        <w:rPr>
          <w:b/>
          <w:bCs/>
        </w:rPr>
        <w:t>:</w:t>
      </w:r>
      <w:r w:rsidRPr="006E669B">
        <w:tab/>
      </w:r>
      <w:r w:rsidR="00577E8D" w:rsidRPr="00913D83">
        <w:t>Walmart takes no position.</w:t>
      </w:r>
    </w:p>
    <w:p w14:paraId="28BFF7B3" w14:textId="77777777" w:rsidR="00322D3C" w:rsidRPr="006E669B" w:rsidRDefault="00322D3C" w:rsidP="00B37E10">
      <w:pPr>
        <w:ind w:left="1440" w:hanging="1440"/>
        <w:jc w:val="both"/>
      </w:pPr>
    </w:p>
    <w:p w14:paraId="678E5E59"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5BC671BE" w14:textId="77777777" w:rsidR="00322D3C" w:rsidRDefault="00322D3C" w:rsidP="00B37E10">
      <w:pPr>
        <w:ind w:left="1440" w:hanging="1440"/>
        <w:jc w:val="both"/>
      </w:pPr>
    </w:p>
    <w:p w14:paraId="67067810" w14:textId="77777777" w:rsidR="00322D3C" w:rsidRDefault="00322D3C" w:rsidP="00B37E10">
      <w:pPr>
        <w:ind w:left="1440" w:hanging="1440"/>
        <w:jc w:val="both"/>
      </w:pPr>
    </w:p>
    <w:p w14:paraId="7E38E92E" w14:textId="77777777" w:rsidR="00322D3C" w:rsidRPr="008468D1" w:rsidRDefault="00322D3C" w:rsidP="00B37E10">
      <w:pPr>
        <w:ind w:left="1440" w:hanging="1440"/>
        <w:jc w:val="both"/>
        <w:rPr>
          <w:b/>
        </w:rPr>
      </w:pPr>
      <w:r w:rsidRPr="006E669B">
        <w:rPr>
          <w:b/>
          <w:bCs/>
        </w:rPr>
        <w:t>ISSUE 1</w:t>
      </w:r>
      <w:r>
        <w:rPr>
          <w:b/>
          <w:bCs/>
        </w:rPr>
        <w:t>3</w:t>
      </w:r>
      <w:r w:rsidRPr="006E669B">
        <w:rPr>
          <w:b/>
          <w:bCs/>
        </w:rPr>
        <w:t>:</w:t>
      </w:r>
      <w:r w:rsidRPr="006E669B">
        <w:tab/>
      </w:r>
      <w:r w:rsidR="00834AA7" w:rsidRPr="008468D1">
        <w:rPr>
          <w:b/>
        </w:rPr>
        <w:t>Should the Commission approve FPL’s proposed tariffs and associated charges?</w:t>
      </w:r>
    </w:p>
    <w:p w14:paraId="68569513" w14:textId="77777777" w:rsidR="00322D3C" w:rsidRPr="006E669B" w:rsidRDefault="00322D3C" w:rsidP="00B37E10">
      <w:pPr>
        <w:ind w:left="1440" w:hanging="1440"/>
        <w:jc w:val="both"/>
      </w:pPr>
    </w:p>
    <w:p w14:paraId="5CA1F469" w14:textId="77777777" w:rsidR="00322D3C" w:rsidRPr="006E669B" w:rsidRDefault="00322D3C" w:rsidP="00B37E10">
      <w:pPr>
        <w:ind w:left="1440" w:hanging="1440"/>
        <w:jc w:val="both"/>
      </w:pPr>
      <w:r>
        <w:rPr>
          <w:b/>
          <w:bCs/>
        </w:rPr>
        <w:t>FPL</w:t>
      </w:r>
      <w:r w:rsidRPr="006E669B">
        <w:rPr>
          <w:b/>
          <w:bCs/>
        </w:rPr>
        <w:t>:</w:t>
      </w:r>
      <w:r w:rsidRPr="006E669B">
        <w:tab/>
      </w:r>
      <w:r w:rsidR="008468D1" w:rsidRPr="000E5CED">
        <w:t>FPL’s Interim Storm Charge has been fully recovered and terminated as of March 3</w:t>
      </w:r>
      <w:r w:rsidR="008468D1">
        <w:t>1</w:t>
      </w:r>
      <w:r w:rsidR="008468D1" w:rsidRPr="000E5CED">
        <w:t xml:space="preserve">, 2024.  The Commission should approve FPL’s proposed one-time true-up methodology of the revenues collected through the Interim Storm Charge as set </w:t>
      </w:r>
      <w:r w:rsidR="008468D1" w:rsidRPr="000E5CED">
        <w:lastRenderedPageBreak/>
        <w:t>forth in Issue 14 below.  Staff should be authorized to review and verify the final true-up rates contained in FPL’s compliance filing referenced in Issue 14 below.  (</w:t>
      </w:r>
      <w:r w:rsidR="008468D1" w:rsidRPr="000E5CED">
        <w:rPr>
          <w:i/>
          <w:iCs/>
        </w:rPr>
        <w:t>Cohen</w:t>
      </w:r>
      <w:r w:rsidR="008468D1" w:rsidRPr="000E5CED">
        <w:t>)</w:t>
      </w:r>
    </w:p>
    <w:p w14:paraId="4C2A394F" w14:textId="77777777" w:rsidR="00322D3C" w:rsidRPr="006E669B" w:rsidRDefault="00322D3C" w:rsidP="00B37E10">
      <w:pPr>
        <w:ind w:left="1440" w:hanging="1440"/>
        <w:jc w:val="both"/>
      </w:pPr>
    </w:p>
    <w:p w14:paraId="0AE56B63" w14:textId="77777777" w:rsidR="00322D3C" w:rsidRPr="006E669B" w:rsidRDefault="00322D3C" w:rsidP="00B37E10">
      <w:pPr>
        <w:ind w:left="1440" w:hanging="1440"/>
        <w:jc w:val="both"/>
      </w:pPr>
      <w:r>
        <w:rPr>
          <w:b/>
          <w:bCs/>
        </w:rPr>
        <w:t>OPC</w:t>
      </w:r>
      <w:r w:rsidRPr="006E669B">
        <w:rPr>
          <w:b/>
          <w:bCs/>
        </w:rPr>
        <w:t>:</w:t>
      </w:r>
      <w:r w:rsidR="00834AA7">
        <w:tab/>
      </w:r>
      <w:r w:rsidR="00180BBE" w:rsidRPr="00C2789E">
        <w:t>Based on the entirety of the circumstances,</w:t>
      </w:r>
      <w:r w:rsidR="00180BBE">
        <w:t xml:space="preserve"> FPL</w:t>
      </w:r>
      <w:r w:rsidR="00180BBE" w:rsidRPr="00C2789E">
        <w:t>’s petition meets the burden of</w:t>
      </w:r>
      <w:r w:rsidR="00180BBE">
        <w:t xml:space="preserve"> proof established by the Irma</w:t>
      </w:r>
      <w:r w:rsidR="00180BBE" w:rsidRPr="00C2789E">
        <w:t xml:space="preserve"> Settlement and other applicable laws. As a result of the due diligence performed by the OPC and the cooperation by </w:t>
      </w:r>
      <w:r w:rsidR="00180BBE">
        <w:t xml:space="preserve">FPL </w:t>
      </w:r>
      <w:r w:rsidR="00180BBE" w:rsidRPr="00C2789E">
        <w:t xml:space="preserve">in this matter, OPC is in support of </w:t>
      </w:r>
      <w:r w:rsidR="00180BBE">
        <w:t xml:space="preserve">FPL’s </w:t>
      </w:r>
      <w:r w:rsidR="00180BBE" w:rsidRPr="00C2789E">
        <w:t>commitment to an ongoing, continuous storm restoration process improvement plan so that current and future customers only pay for prudent, cost-effective storm restoration costs incurred due to extreme weather events. OPC agrees with</w:t>
      </w:r>
      <w:r w:rsidR="00180BBE">
        <w:t xml:space="preserve"> FPL</w:t>
      </w:r>
      <w:r w:rsidR="00180BBE" w:rsidRPr="00C2789E">
        <w:t>.</w:t>
      </w:r>
    </w:p>
    <w:p w14:paraId="1E5566B8" w14:textId="77777777" w:rsidR="00322D3C" w:rsidRPr="006E669B" w:rsidRDefault="00322D3C" w:rsidP="00B37E10">
      <w:pPr>
        <w:ind w:left="1440" w:hanging="1440"/>
        <w:jc w:val="both"/>
      </w:pPr>
    </w:p>
    <w:p w14:paraId="4D526BB2" w14:textId="47352893" w:rsidR="00322D3C" w:rsidRPr="006E669B" w:rsidRDefault="00322D3C" w:rsidP="00B37E10">
      <w:pPr>
        <w:ind w:left="1440" w:hanging="1440"/>
        <w:jc w:val="both"/>
      </w:pPr>
      <w:r>
        <w:rPr>
          <w:b/>
          <w:bCs/>
        </w:rPr>
        <w:t>Walmart</w:t>
      </w:r>
      <w:r w:rsidRPr="006E669B">
        <w:rPr>
          <w:b/>
          <w:bCs/>
        </w:rPr>
        <w:t>:</w:t>
      </w:r>
      <w:r w:rsidRPr="006E669B">
        <w:tab/>
      </w:r>
      <w:r w:rsidR="00577E8D" w:rsidRPr="00913D83">
        <w:t>Walmart</w:t>
      </w:r>
      <w:r w:rsidR="00577E8D">
        <w:t xml:space="preserve"> understands that FPL's Storm Charges have been fully re</w:t>
      </w:r>
      <w:r w:rsidR="004D5F67">
        <w:t>covered and terminated as of March</w:t>
      </w:r>
      <w:r w:rsidR="00577E8D">
        <w:t xml:space="preserve"> 31, 2024</w:t>
      </w:r>
      <w:r w:rsidR="00577E8D" w:rsidRPr="00913D83">
        <w:t>.</w:t>
      </w:r>
      <w:r w:rsidR="00577E8D">
        <w:t xml:space="preserve">  Without waiving its right to challenge rate design or cost allocation in future Dockets, Walmart joins the Stipulation entered into between </w:t>
      </w:r>
      <w:r w:rsidR="00577E8D" w:rsidRPr="00E10DB4">
        <w:t>the Office of Public Counsel (</w:t>
      </w:r>
      <w:r w:rsidR="00577E8D">
        <w:t>"</w:t>
      </w:r>
      <w:r w:rsidR="00577E8D" w:rsidRPr="00E10DB4">
        <w:t>OPC</w:t>
      </w:r>
      <w:r w:rsidR="00577E8D">
        <w:t>"</w:t>
      </w:r>
      <w:r w:rsidR="00577E8D" w:rsidRPr="00E10DB4">
        <w:t xml:space="preserve">) </w:t>
      </w:r>
      <w:r w:rsidR="00577E8D">
        <w:t>and FPL related to this Issue, and specifically FPL's proposal to refund its over-collection as set forth in Issue 14.</w:t>
      </w:r>
    </w:p>
    <w:p w14:paraId="6DFA771C" w14:textId="77777777" w:rsidR="00322D3C" w:rsidRPr="006E669B" w:rsidRDefault="00322D3C" w:rsidP="00B37E10">
      <w:pPr>
        <w:ind w:left="1440" w:hanging="1440"/>
        <w:jc w:val="both"/>
      </w:pPr>
    </w:p>
    <w:p w14:paraId="3CB85925"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0740B08B" w14:textId="77777777" w:rsidR="00322D3C" w:rsidRDefault="00322D3C" w:rsidP="00B37E10">
      <w:pPr>
        <w:ind w:left="1440" w:hanging="1440"/>
        <w:jc w:val="both"/>
      </w:pPr>
    </w:p>
    <w:p w14:paraId="57C17EA4" w14:textId="77777777" w:rsidR="00322D3C" w:rsidRDefault="00322D3C" w:rsidP="00B37E10">
      <w:pPr>
        <w:ind w:left="1440" w:hanging="1440"/>
        <w:jc w:val="both"/>
      </w:pPr>
    </w:p>
    <w:p w14:paraId="3524319F" w14:textId="77777777" w:rsidR="00322D3C" w:rsidRPr="008468D1" w:rsidRDefault="00322D3C" w:rsidP="00B37E10">
      <w:pPr>
        <w:ind w:left="1440" w:hanging="1440"/>
        <w:jc w:val="both"/>
        <w:rPr>
          <w:b/>
        </w:rPr>
      </w:pPr>
      <w:r w:rsidRPr="006E669B">
        <w:rPr>
          <w:b/>
          <w:bCs/>
        </w:rPr>
        <w:t>ISSUE 1</w:t>
      </w:r>
      <w:r>
        <w:rPr>
          <w:b/>
          <w:bCs/>
        </w:rPr>
        <w:t>4</w:t>
      </w:r>
      <w:r w:rsidRPr="006E669B">
        <w:rPr>
          <w:b/>
          <w:bCs/>
        </w:rPr>
        <w:t>:</w:t>
      </w:r>
      <w:r w:rsidRPr="006E669B">
        <w:tab/>
      </w:r>
      <w:r w:rsidR="00834AA7" w:rsidRPr="008468D1">
        <w:rPr>
          <w:b/>
        </w:rPr>
        <w:t>If applicable, how should any under-recovery or over-recovery be handled?</w:t>
      </w:r>
    </w:p>
    <w:p w14:paraId="489064A6" w14:textId="77777777" w:rsidR="00322D3C" w:rsidRPr="006E669B" w:rsidRDefault="00322D3C" w:rsidP="00B37E10">
      <w:pPr>
        <w:ind w:left="1440" w:hanging="1440"/>
        <w:jc w:val="both"/>
      </w:pPr>
    </w:p>
    <w:p w14:paraId="6671FD82" w14:textId="77777777" w:rsidR="00322D3C" w:rsidRPr="006E669B" w:rsidRDefault="00322D3C" w:rsidP="00B37E10">
      <w:pPr>
        <w:ind w:left="1440" w:hanging="1440"/>
        <w:jc w:val="both"/>
      </w:pPr>
      <w:r>
        <w:rPr>
          <w:b/>
          <w:bCs/>
        </w:rPr>
        <w:t>FPL</w:t>
      </w:r>
      <w:r w:rsidRPr="006E669B">
        <w:rPr>
          <w:b/>
          <w:bCs/>
        </w:rPr>
        <w:t>:</w:t>
      </w:r>
      <w:r w:rsidRPr="006E669B">
        <w:tab/>
      </w:r>
      <w:r w:rsidR="008468D1" w:rsidRPr="00D26727">
        <w:t xml:space="preserve">After the Commission has made its final determination of the final actual Recoverable Storm Amount in this proceeding, FPL will compare the approved Recoverable Storm Amount to the actual total revenues collected from the Interim Storm Charge, as set forth in Exhibit TCC-1, in order to determine any excess or shortfall in recovery.  Interest will be applied to any excess or shortfall at the thirty-day commercial paper rate consistent with Rule 25-6.109, Florida Administrative Code.  FPL will make a compliance filing with the Commission that sets forth the calculation of the appropriate true-up rates to apply to customer bills for a one-month period in order to refund the excess or collect the shortfall.  The true-up rates will be designed in a manner that is consistent with the cost allocation used for the Interim Storm Charge rates filed and approved in Order Nos. PSC-2023-0110-PCO-EI and PSC-2023-0354-PCO-EI.  FPL will apply the true-up rates through the non-fuel energy charge on customers’ bills starting on Cycle Day 1 of the first month that is more than thirty days after Commission approval.  FPL will notify customers of the change in their rates due to the one-time true-up at least thirty days in advance in the form of a message on their bill, with more detailed information regarding the revised Interim Storm Charge tariff provided on FPL’s website, </w:t>
      </w:r>
      <w:hyperlink r:id="rId8" w:history="1">
        <w:r w:rsidR="008468D1" w:rsidRPr="00D26727">
          <w:rPr>
            <w:color w:val="0000FF"/>
            <w:u w:val="single"/>
          </w:rPr>
          <w:t>www.FPL.com/rates</w:t>
        </w:r>
      </w:hyperlink>
      <w:r w:rsidR="008468D1" w:rsidRPr="00D26727">
        <w:t>.  (</w:t>
      </w:r>
      <w:r w:rsidR="008468D1" w:rsidRPr="00D26727">
        <w:rPr>
          <w:i/>
          <w:iCs/>
        </w:rPr>
        <w:t>Cohen</w:t>
      </w:r>
      <w:r w:rsidR="008468D1" w:rsidRPr="00D26727">
        <w:t>)</w:t>
      </w:r>
    </w:p>
    <w:p w14:paraId="3E174FD3" w14:textId="77777777" w:rsidR="00322D3C" w:rsidRPr="006E669B" w:rsidRDefault="00322D3C" w:rsidP="00B37E10">
      <w:pPr>
        <w:ind w:left="1440" w:hanging="1440"/>
        <w:jc w:val="both"/>
      </w:pPr>
    </w:p>
    <w:p w14:paraId="1F5E2533" w14:textId="77777777" w:rsidR="00322D3C" w:rsidRPr="006E669B" w:rsidRDefault="00322D3C" w:rsidP="00B37E10">
      <w:pPr>
        <w:ind w:left="1440" w:hanging="1440"/>
        <w:jc w:val="both"/>
      </w:pPr>
      <w:r>
        <w:rPr>
          <w:b/>
          <w:bCs/>
        </w:rPr>
        <w:t>OPC</w:t>
      </w:r>
      <w:r w:rsidRPr="006E669B">
        <w:rPr>
          <w:b/>
          <w:bCs/>
        </w:rPr>
        <w:t>:</w:t>
      </w:r>
      <w:r w:rsidR="00834AA7">
        <w:tab/>
      </w:r>
      <w:r w:rsidR="00180BBE" w:rsidRPr="00C2789E">
        <w:t>Based on the entirety of the circumstances,</w:t>
      </w:r>
      <w:r w:rsidR="00180BBE">
        <w:t xml:space="preserve"> FPL</w:t>
      </w:r>
      <w:r w:rsidR="00180BBE" w:rsidRPr="00C2789E">
        <w:t>’s petition meets the burden of</w:t>
      </w:r>
      <w:r w:rsidR="00180BBE">
        <w:t xml:space="preserve"> proof established by the Irma</w:t>
      </w:r>
      <w:r w:rsidR="00180BBE" w:rsidRPr="00C2789E">
        <w:t xml:space="preserve"> Settlement and other applicable laws. As a result of </w:t>
      </w:r>
      <w:r w:rsidR="00180BBE" w:rsidRPr="00C2789E">
        <w:lastRenderedPageBreak/>
        <w:t xml:space="preserve">the due diligence performed by the OPC and the cooperation by </w:t>
      </w:r>
      <w:r w:rsidR="00180BBE">
        <w:t xml:space="preserve">FPL </w:t>
      </w:r>
      <w:r w:rsidR="00180BBE" w:rsidRPr="00C2789E">
        <w:t xml:space="preserve">in this matter, OPC is in support of </w:t>
      </w:r>
      <w:r w:rsidR="00180BBE">
        <w:t xml:space="preserve">FPL’s </w:t>
      </w:r>
      <w:r w:rsidR="00180BBE" w:rsidRPr="00C2789E">
        <w:t>commitment to an ongoing, continuous storm restoration process improvement plan so that current and future customers only pay for prudent, cost-effective storm restoration costs incurred due to extreme weather events. OPC agrees with</w:t>
      </w:r>
      <w:r w:rsidR="00180BBE">
        <w:t xml:space="preserve"> FPL</w:t>
      </w:r>
      <w:r w:rsidR="00180BBE" w:rsidRPr="00C2789E">
        <w:t>.</w:t>
      </w:r>
    </w:p>
    <w:p w14:paraId="79C5DD4E" w14:textId="77777777" w:rsidR="00322D3C" w:rsidRPr="006E669B" w:rsidRDefault="00322D3C" w:rsidP="00B37E10">
      <w:pPr>
        <w:ind w:left="1440" w:hanging="1440"/>
        <w:jc w:val="both"/>
      </w:pPr>
    </w:p>
    <w:p w14:paraId="36C7F9FD" w14:textId="77777777" w:rsidR="00322D3C" w:rsidRPr="006E669B" w:rsidRDefault="00322D3C" w:rsidP="00B37E10">
      <w:pPr>
        <w:ind w:left="1440" w:hanging="1440"/>
        <w:jc w:val="both"/>
      </w:pPr>
      <w:r>
        <w:rPr>
          <w:b/>
          <w:bCs/>
        </w:rPr>
        <w:t>Walmart</w:t>
      </w:r>
      <w:r w:rsidRPr="006E669B">
        <w:rPr>
          <w:b/>
          <w:bCs/>
        </w:rPr>
        <w:t>:</w:t>
      </w:r>
      <w:r w:rsidRPr="006E669B">
        <w:tab/>
      </w:r>
      <w:r w:rsidR="00577E8D" w:rsidRPr="00AC1114">
        <w:t>Walmart understands that</w:t>
      </w:r>
      <w:r w:rsidR="00577E8D">
        <w:rPr>
          <w:b/>
        </w:rPr>
        <w:t xml:space="preserve"> </w:t>
      </w:r>
      <w:r w:rsidR="00577E8D">
        <w:t>a</w:t>
      </w:r>
      <w:r w:rsidR="00577E8D" w:rsidRPr="00D26727">
        <w:t>fter the Commission has made its final determination of the final actual Recoverable Storm Amount in this proceeding, FPL will compare the approved Recoverable Storm Amount to the actual total revenues collected from the Interim Storm Charge, as set forth in Exhibit TCC-1, in order to determine any excess or shortfall in recovery.  Interest will be applied to any excess or shortfall at the thirty-day commercial paper rate consistent with Rule 25-6.109, Florida Administrative Code.  FPL will make a compliance filing with the Commission that sets forth the calculation of the appropriate true-up rates to apply to customer bills for a one-month period in order to refund the excess.  The true-up rates will be designed in a manner that is consistent with the cost allocation used for the Interim Storm Charge rates filed and approved in Order Nos. PSC-2023-0110-PCO-EI and PSC-2023-0354-PCO-EI.  FPL will apply the true-up rates through the non-fuel energy charge on customers</w:t>
      </w:r>
      <w:r w:rsidR="00577E8D">
        <w:t>'</w:t>
      </w:r>
      <w:r w:rsidR="00577E8D" w:rsidRPr="00D26727">
        <w:t xml:space="preserve"> bills starting on Cycle D</w:t>
      </w:r>
      <w:r w:rsidR="00577E8D">
        <w:t>ay 1 of the first month that is more than thirty days after Commission approval, and will provide notification to customers of the same.  Without waiving its right to challenge rate design or cost allocation in future Dockets, Walmart joins the Stipulation entered into between OPC and FPL related to this Issue, and specifically supports FPL's proposal to refund its over-collection in the same manner in which the charges were originally collected (</w:t>
      </w:r>
      <w:r w:rsidR="00577E8D" w:rsidRPr="006A60B5">
        <w:rPr>
          <w:i/>
        </w:rPr>
        <w:t>i.e.</w:t>
      </w:r>
      <w:r w:rsidR="00577E8D">
        <w:t>, via energy charges).</w:t>
      </w:r>
    </w:p>
    <w:p w14:paraId="30CE341B" w14:textId="77777777" w:rsidR="00322D3C" w:rsidRPr="006E669B" w:rsidRDefault="00322D3C" w:rsidP="00B37E10">
      <w:pPr>
        <w:ind w:left="1440" w:hanging="1440"/>
        <w:jc w:val="both"/>
      </w:pPr>
    </w:p>
    <w:p w14:paraId="71B1B770"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49D73667" w14:textId="77777777" w:rsidR="00322D3C" w:rsidRDefault="00322D3C" w:rsidP="00B37E10">
      <w:pPr>
        <w:ind w:left="1440" w:hanging="1440"/>
        <w:jc w:val="both"/>
      </w:pPr>
    </w:p>
    <w:p w14:paraId="604EEADA" w14:textId="77777777" w:rsidR="00322D3C" w:rsidRDefault="00322D3C" w:rsidP="00B37E10">
      <w:pPr>
        <w:ind w:left="1440" w:hanging="1440"/>
        <w:jc w:val="both"/>
      </w:pPr>
    </w:p>
    <w:p w14:paraId="4E949A71" w14:textId="77777777" w:rsidR="00322D3C" w:rsidRPr="008468D1" w:rsidRDefault="00322D3C" w:rsidP="00B37E10">
      <w:pPr>
        <w:ind w:left="1440" w:hanging="1440"/>
        <w:jc w:val="both"/>
        <w:rPr>
          <w:b/>
        </w:rPr>
      </w:pPr>
      <w:r w:rsidRPr="006E669B">
        <w:rPr>
          <w:b/>
          <w:bCs/>
        </w:rPr>
        <w:t>ISSUE 1</w:t>
      </w:r>
      <w:r>
        <w:rPr>
          <w:b/>
          <w:bCs/>
        </w:rPr>
        <w:t>5</w:t>
      </w:r>
      <w:r w:rsidRPr="006E669B">
        <w:rPr>
          <w:b/>
          <w:bCs/>
        </w:rPr>
        <w:t>:</w:t>
      </w:r>
      <w:r w:rsidRPr="006E669B">
        <w:tab/>
      </w:r>
      <w:r w:rsidR="00834AA7" w:rsidRPr="008468D1">
        <w:rPr>
          <w:b/>
        </w:rPr>
        <w:t>Should this docket be closed?</w:t>
      </w:r>
    </w:p>
    <w:p w14:paraId="35F5B472" w14:textId="77777777" w:rsidR="00322D3C" w:rsidRPr="006E669B" w:rsidRDefault="00322D3C" w:rsidP="00B37E10">
      <w:pPr>
        <w:ind w:left="1440" w:hanging="1440"/>
        <w:jc w:val="both"/>
      </w:pPr>
    </w:p>
    <w:p w14:paraId="2E1859A0" w14:textId="77777777" w:rsidR="00322D3C" w:rsidRPr="006E669B" w:rsidRDefault="00322D3C" w:rsidP="00B37E10">
      <w:pPr>
        <w:ind w:left="1440" w:hanging="1440"/>
        <w:jc w:val="both"/>
      </w:pPr>
      <w:r>
        <w:rPr>
          <w:b/>
          <w:bCs/>
        </w:rPr>
        <w:t>FPL</w:t>
      </w:r>
      <w:r w:rsidRPr="006E669B">
        <w:rPr>
          <w:b/>
          <w:bCs/>
        </w:rPr>
        <w:t>:</w:t>
      </w:r>
      <w:r w:rsidRPr="006E669B">
        <w:tab/>
      </w:r>
      <w:r w:rsidR="008468D1" w:rsidRPr="00D030F9">
        <w:t>Upon FPL’s submission of the compliance filing set forth in Issue 14 above, this docket should be closed.  (</w:t>
      </w:r>
      <w:r w:rsidR="008468D1" w:rsidRPr="00D030F9">
        <w:rPr>
          <w:i/>
          <w:iCs/>
        </w:rPr>
        <w:t>Cohen</w:t>
      </w:r>
      <w:r w:rsidR="008468D1" w:rsidRPr="00D030F9">
        <w:t>)</w:t>
      </w:r>
    </w:p>
    <w:p w14:paraId="77330B4A" w14:textId="77777777" w:rsidR="00322D3C" w:rsidRPr="006E669B" w:rsidRDefault="00322D3C" w:rsidP="00B37E10">
      <w:pPr>
        <w:ind w:left="1440" w:hanging="1440"/>
        <w:jc w:val="both"/>
      </w:pPr>
    </w:p>
    <w:p w14:paraId="7C45109D" w14:textId="77777777" w:rsidR="00322D3C" w:rsidRPr="006E669B" w:rsidRDefault="00322D3C" w:rsidP="00B37E10">
      <w:pPr>
        <w:ind w:left="1440" w:hanging="1440"/>
        <w:jc w:val="both"/>
      </w:pPr>
      <w:r>
        <w:rPr>
          <w:b/>
          <w:bCs/>
        </w:rPr>
        <w:t>OPC</w:t>
      </w:r>
      <w:r w:rsidRPr="006E669B">
        <w:rPr>
          <w:b/>
          <w:bCs/>
        </w:rPr>
        <w:t>:</w:t>
      </w:r>
      <w:r w:rsidR="00834AA7">
        <w:tab/>
      </w:r>
      <w:r w:rsidR="00180BBE" w:rsidRPr="00035752">
        <w:t>No.</w:t>
      </w:r>
    </w:p>
    <w:p w14:paraId="009B4542" w14:textId="77777777" w:rsidR="00322D3C" w:rsidRPr="006E669B" w:rsidRDefault="00322D3C" w:rsidP="00B37E10">
      <w:pPr>
        <w:ind w:left="1440" w:hanging="1440"/>
        <w:jc w:val="both"/>
      </w:pPr>
    </w:p>
    <w:p w14:paraId="5FBCAFF2" w14:textId="77777777" w:rsidR="00322D3C" w:rsidRPr="006E669B" w:rsidRDefault="00322D3C" w:rsidP="00B37E10">
      <w:pPr>
        <w:ind w:left="1440" w:hanging="1440"/>
        <w:jc w:val="both"/>
      </w:pPr>
      <w:r>
        <w:rPr>
          <w:b/>
          <w:bCs/>
        </w:rPr>
        <w:t>Walmart</w:t>
      </w:r>
      <w:r w:rsidRPr="006E669B">
        <w:rPr>
          <w:b/>
          <w:bCs/>
        </w:rPr>
        <w:t>:</w:t>
      </w:r>
      <w:r w:rsidRPr="006E669B">
        <w:tab/>
      </w:r>
      <w:r w:rsidR="00BE01F7">
        <w:t>[No position stated].</w:t>
      </w:r>
    </w:p>
    <w:p w14:paraId="64B6AEE1" w14:textId="77777777" w:rsidR="00322D3C" w:rsidRPr="006E669B" w:rsidRDefault="00322D3C" w:rsidP="00B37E10">
      <w:pPr>
        <w:ind w:left="1440" w:hanging="1440"/>
        <w:jc w:val="both"/>
      </w:pPr>
    </w:p>
    <w:p w14:paraId="4F5FDC7B" w14:textId="77777777" w:rsidR="00322D3C" w:rsidRPr="006E669B" w:rsidRDefault="00322D3C" w:rsidP="00B37E10">
      <w:pPr>
        <w:ind w:left="1440" w:hanging="1440"/>
        <w:jc w:val="both"/>
        <w:rPr>
          <w:b/>
          <w:bCs/>
        </w:rPr>
      </w:pPr>
      <w:r w:rsidRPr="006E669B">
        <w:rPr>
          <w:b/>
          <w:bCs/>
        </w:rPr>
        <w:t>STAFF:</w:t>
      </w:r>
      <w:r w:rsidRPr="006E669B">
        <w:rPr>
          <w:b/>
          <w:bCs/>
        </w:rPr>
        <w:tab/>
      </w:r>
      <w:r w:rsidR="000B6507">
        <w:rPr>
          <w:color w:val="252525"/>
          <w:sz w:val="23"/>
          <w:szCs w:val="23"/>
        </w:rPr>
        <w:t xml:space="preserve">Staff </w:t>
      </w:r>
      <w:r w:rsidR="000B6507">
        <w:rPr>
          <w:color w:val="0F0F0F"/>
          <w:sz w:val="23"/>
          <w:szCs w:val="23"/>
        </w:rPr>
        <w:t xml:space="preserve">has no position </w:t>
      </w:r>
      <w:r w:rsidR="000B6507">
        <w:rPr>
          <w:color w:val="252525"/>
          <w:sz w:val="23"/>
          <w:szCs w:val="23"/>
        </w:rPr>
        <w:t xml:space="preserve">at </w:t>
      </w:r>
      <w:r w:rsidR="000B6507">
        <w:rPr>
          <w:color w:val="0F0F0F"/>
          <w:sz w:val="23"/>
          <w:szCs w:val="23"/>
        </w:rPr>
        <w:t>this time.</w:t>
      </w:r>
    </w:p>
    <w:p w14:paraId="5889EB92" w14:textId="00D361C8" w:rsidR="006E669B" w:rsidRDefault="006E669B" w:rsidP="006E669B">
      <w:pPr>
        <w:jc w:val="both"/>
      </w:pPr>
    </w:p>
    <w:p w14:paraId="582D1535" w14:textId="0918DBF3" w:rsidR="00E92F96" w:rsidRDefault="00E92F96" w:rsidP="006E669B">
      <w:pPr>
        <w:jc w:val="both"/>
      </w:pPr>
    </w:p>
    <w:p w14:paraId="19BAB4D9" w14:textId="38A43679" w:rsidR="00D63101" w:rsidRDefault="00D63101" w:rsidP="006E669B">
      <w:pPr>
        <w:jc w:val="both"/>
      </w:pPr>
    </w:p>
    <w:p w14:paraId="0ECA89B1" w14:textId="44AE2F6C" w:rsidR="00D63101" w:rsidRDefault="00D63101" w:rsidP="006E669B">
      <w:pPr>
        <w:jc w:val="both"/>
      </w:pPr>
    </w:p>
    <w:p w14:paraId="695E11CE" w14:textId="77777777" w:rsidR="00D63101" w:rsidRPr="006E669B" w:rsidRDefault="00D63101" w:rsidP="006E669B">
      <w:pPr>
        <w:jc w:val="both"/>
      </w:pPr>
    </w:p>
    <w:p w14:paraId="3E1F2A10" w14:textId="77777777" w:rsidR="006E669B" w:rsidRPr="006E669B" w:rsidRDefault="006E669B" w:rsidP="006E669B">
      <w:pPr>
        <w:jc w:val="both"/>
        <w:rPr>
          <w:b/>
        </w:rPr>
      </w:pPr>
      <w:r w:rsidRPr="006E669B">
        <w:rPr>
          <w:b/>
        </w:rPr>
        <w:lastRenderedPageBreak/>
        <w:t>IX.</w:t>
      </w:r>
      <w:r w:rsidRPr="006E669B">
        <w:rPr>
          <w:b/>
        </w:rPr>
        <w:tab/>
      </w:r>
      <w:r w:rsidRPr="006E669B">
        <w:rPr>
          <w:b/>
          <w:u w:val="single"/>
        </w:rPr>
        <w:t>EXHIBIT LIST</w:t>
      </w:r>
    </w:p>
    <w:p w14:paraId="4C9D827A" w14:textId="5C9AF4B9" w:rsidR="006E669B" w:rsidRDefault="006E669B" w:rsidP="006E669B">
      <w:pPr>
        <w:jc w:val="both"/>
      </w:pPr>
    </w:p>
    <w:p w14:paraId="3FAB45F5" w14:textId="5B4601AB" w:rsidR="00B30142" w:rsidRDefault="00B30142" w:rsidP="00B30142">
      <w:pPr>
        <w:ind w:firstLine="720"/>
        <w:jc w:val="both"/>
      </w:pPr>
      <w:r w:rsidRPr="00B30142">
        <w:t>Each exhibit that is preceded by an asterisk (*) has been stipulated. All stipulated exhibits shall be introduced into the record in the order presented below.</w:t>
      </w:r>
    </w:p>
    <w:p w14:paraId="6F95F9CD" w14:textId="77777777" w:rsidR="00B30142" w:rsidRPr="006E669B" w:rsidRDefault="00B30142" w:rsidP="00B30142">
      <w:pPr>
        <w:ind w:firstLine="720"/>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6E669B" w:rsidRPr="006E669B" w14:paraId="194A9796" w14:textId="77777777" w:rsidTr="000B6507">
        <w:trPr>
          <w:cantSplit/>
          <w:trHeight w:val="373"/>
          <w:tblHeader/>
        </w:trPr>
        <w:tc>
          <w:tcPr>
            <w:tcW w:w="3198" w:type="dxa"/>
          </w:tcPr>
          <w:p w14:paraId="51A353EB" w14:textId="77777777" w:rsidR="006E669B" w:rsidRPr="006E669B" w:rsidRDefault="006E669B" w:rsidP="006E669B">
            <w:pPr>
              <w:jc w:val="both"/>
            </w:pPr>
            <w:r w:rsidRPr="006E669B">
              <w:rPr>
                <w:u w:val="single"/>
              </w:rPr>
              <w:t>Witness</w:t>
            </w:r>
          </w:p>
        </w:tc>
        <w:tc>
          <w:tcPr>
            <w:tcW w:w="1680" w:type="dxa"/>
          </w:tcPr>
          <w:p w14:paraId="01D730CC" w14:textId="77777777" w:rsidR="006E669B" w:rsidRPr="006E669B" w:rsidRDefault="006E669B" w:rsidP="006E669B">
            <w:pPr>
              <w:jc w:val="center"/>
            </w:pPr>
            <w:r w:rsidRPr="006E669B">
              <w:rPr>
                <w:u w:val="single"/>
              </w:rPr>
              <w:t>Proffered By</w:t>
            </w:r>
          </w:p>
        </w:tc>
        <w:tc>
          <w:tcPr>
            <w:tcW w:w="1482" w:type="dxa"/>
          </w:tcPr>
          <w:p w14:paraId="3777AE18" w14:textId="77777777" w:rsidR="006E669B" w:rsidRPr="006E669B" w:rsidRDefault="006E669B" w:rsidP="006E669B">
            <w:pPr>
              <w:jc w:val="center"/>
            </w:pPr>
          </w:p>
        </w:tc>
        <w:tc>
          <w:tcPr>
            <w:tcW w:w="3205" w:type="dxa"/>
          </w:tcPr>
          <w:p w14:paraId="055E9A1A" w14:textId="77777777" w:rsidR="006E669B" w:rsidRPr="006E669B" w:rsidRDefault="006E669B" w:rsidP="006E669B">
            <w:pPr>
              <w:jc w:val="both"/>
            </w:pPr>
            <w:r w:rsidRPr="006E669B">
              <w:rPr>
                <w:u w:val="single"/>
              </w:rPr>
              <w:t>Description</w:t>
            </w:r>
          </w:p>
        </w:tc>
      </w:tr>
      <w:tr w:rsidR="006E669B" w:rsidRPr="006E669B" w14:paraId="294E0CAE" w14:textId="77777777" w:rsidTr="000B6507">
        <w:trPr>
          <w:cantSplit/>
          <w:trHeight w:val="353"/>
        </w:trPr>
        <w:tc>
          <w:tcPr>
            <w:tcW w:w="3198" w:type="dxa"/>
          </w:tcPr>
          <w:p w14:paraId="5DA61B8C" w14:textId="77777777" w:rsidR="006E669B" w:rsidRPr="006E669B" w:rsidRDefault="006E669B" w:rsidP="006E669B">
            <w:pPr>
              <w:jc w:val="both"/>
            </w:pPr>
            <w:r w:rsidRPr="006E669B">
              <w:tab/>
            </w:r>
            <w:r w:rsidRPr="006E669B">
              <w:rPr>
                <w:u w:val="single"/>
              </w:rPr>
              <w:t>Direct</w:t>
            </w:r>
          </w:p>
        </w:tc>
        <w:tc>
          <w:tcPr>
            <w:tcW w:w="1680" w:type="dxa"/>
          </w:tcPr>
          <w:p w14:paraId="487BC3B1" w14:textId="77777777" w:rsidR="006E669B" w:rsidRPr="006E669B" w:rsidRDefault="006E669B" w:rsidP="006E669B">
            <w:pPr>
              <w:jc w:val="center"/>
            </w:pPr>
          </w:p>
        </w:tc>
        <w:tc>
          <w:tcPr>
            <w:tcW w:w="1482" w:type="dxa"/>
          </w:tcPr>
          <w:p w14:paraId="4F0F447A" w14:textId="77777777" w:rsidR="006E669B" w:rsidRPr="006E669B" w:rsidRDefault="006E669B" w:rsidP="006E669B">
            <w:pPr>
              <w:jc w:val="center"/>
            </w:pPr>
          </w:p>
        </w:tc>
        <w:tc>
          <w:tcPr>
            <w:tcW w:w="3205" w:type="dxa"/>
          </w:tcPr>
          <w:p w14:paraId="17C2DABC" w14:textId="77777777" w:rsidR="006E669B" w:rsidRPr="006E669B" w:rsidRDefault="006E669B" w:rsidP="006E669B"/>
        </w:tc>
      </w:tr>
      <w:tr w:rsidR="006E669B" w:rsidRPr="006E669B" w14:paraId="0F1A0BAD" w14:textId="77777777" w:rsidTr="000B6507">
        <w:trPr>
          <w:cantSplit/>
          <w:trHeight w:val="353"/>
        </w:trPr>
        <w:tc>
          <w:tcPr>
            <w:tcW w:w="3198" w:type="dxa"/>
          </w:tcPr>
          <w:p w14:paraId="32493366" w14:textId="4DF12D70" w:rsidR="006E669B" w:rsidRPr="006E669B" w:rsidRDefault="00B30142" w:rsidP="006E669B">
            <w:pPr>
              <w:jc w:val="both"/>
            </w:pPr>
            <w:r>
              <w:t>*</w:t>
            </w:r>
            <w:r w:rsidR="001B784E">
              <w:t>Michael Jarro</w:t>
            </w:r>
          </w:p>
        </w:tc>
        <w:tc>
          <w:tcPr>
            <w:tcW w:w="1680" w:type="dxa"/>
          </w:tcPr>
          <w:p w14:paraId="3D458EC5" w14:textId="77777777" w:rsidR="006E669B" w:rsidRPr="006E669B" w:rsidRDefault="001B784E" w:rsidP="006E669B">
            <w:pPr>
              <w:jc w:val="center"/>
            </w:pPr>
            <w:r>
              <w:t>FPL</w:t>
            </w:r>
          </w:p>
        </w:tc>
        <w:tc>
          <w:tcPr>
            <w:tcW w:w="1482" w:type="dxa"/>
          </w:tcPr>
          <w:p w14:paraId="3082F6AE" w14:textId="77777777" w:rsidR="006E669B" w:rsidRPr="006E669B" w:rsidRDefault="001B784E" w:rsidP="006E669B">
            <w:pPr>
              <w:jc w:val="center"/>
            </w:pPr>
            <w:r>
              <w:t>MJ-1</w:t>
            </w:r>
          </w:p>
        </w:tc>
        <w:tc>
          <w:tcPr>
            <w:tcW w:w="3205" w:type="dxa"/>
          </w:tcPr>
          <w:p w14:paraId="2B3E4642" w14:textId="77777777" w:rsidR="006E669B" w:rsidRPr="006E669B" w:rsidRDefault="001B784E" w:rsidP="006E669B">
            <w:r>
              <w:t xml:space="preserve">Hurricane Ian - </w:t>
            </w:r>
            <w:r w:rsidRPr="00C900A7">
              <w:t>National Hurricane Center’s Forecast Track</w:t>
            </w:r>
          </w:p>
        </w:tc>
      </w:tr>
      <w:tr w:rsidR="001B784E" w:rsidRPr="006E669B" w14:paraId="1676C294" w14:textId="77777777" w:rsidTr="000B6507">
        <w:trPr>
          <w:cantSplit/>
          <w:trHeight w:val="373"/>
        </w:trPr>
        <w:tc>
          <w:tcPr>
            <w:tcW w:w="3198" w:type="dxa"/>
          </w:tcPr>
          <w:p w14:paraId="753E9A13" w14:textId="709AA344" w:rsidR="001B784E" w:rsidRPr="006E669B" w:rsidRDefault="000649FF" w:rsidP="001B784E">
            <w:pPr>
              <w:jc w:val="both"/>
            </w:pPr>
            <w:r>
              <w:t>*</w:t>
            </w:r>
            <w:r w:rsidR="001B784E">
              <w:t>Michael Jarro</w:t>
            </w:r>
          </w:p>
        </w:tc>
        <w:tc>
          <w:tcPr>
            <w:tcW w:w="1680" w:type="dxa"/>
          </w:tcPr>
          <w:p w14:paraId="7DA9CDE0" w14:textId="77777777" w:rsidR="001B784E" w:rsidRPr="006E669B" w:rsidRDefault="001B784E" w:rsidP="001B784E">
            <w:pPr>
              <w:jc w:val="center"/>
            </w:pPr>
            <w:r>
              <w:t>FPL</w:t>
            </w:r>
          </w:p>
        </w:tc>
        <w:tc>
          <w:tcPr>
            <w:tcW w:w="1482" w:type="dxa"/>
          </w:tcPr>
          <w:p w14:paraId="764BF7B1" w14:textId="77777777" w:rsidR="001B784E" w:rsidRPr="006E669B" w:rsidRDefault="001B784E" w:rsidP="001B784E">
            <w:pPr>
              <w:jc w:val="center"/>
            </w:pPr>
            <w:r>
              <w:t>MJ-2</w:t>
            </w:r>
          </w:p>
        </w:tc>
        <w:tc>
          <w:tcPr>
            <w:tcW w:w="3205" w:type="dxa"/>
          </w:tcPr>
          <w:p w14:paraId="5B6A421A" w14:textId="77777777" w:rsidR="001B784E" w:rsidRPr="006E669B" w:rsidRDefault="001B784E" w:rsidP="001B784E">
            <w:r w:rsidRPr="00052A4B">
              <w:rPr>
                <w:color w:val="000000"/>
              </w:rPr>
              <w:t>Hurricane Ian – Satellite View</w:t>
            </w:r>
          </w:p>
        </w:tc>
      </w:tr>
      <w:tr w:rsidR="001B784E" w:rsidRPr="006E669B" w14:paraId="637D81FC" w14:textId="77777777" w:rsidTr="000B6507">
        <w:trPr>
          <w:cantSplit/>
          <w:trHeight w:val="373"/>
        </w:trPr>
        <w:tc>
          <w:tcPr>
            <w:tcW w:w="3198" w:type="dxa"/>
          </w:tcPr>
          <w:p w14:paraId="65136727" w14:textId="0388AE32" w:rsidR="001B784E" w:rsidRPr="006E669B" w:rsidRDefault="000649FF" w:rsidP="001B784E">
            <w:pPr>
              <w:jc w:val="both"/>
            </w:pPr>
            <w:r>
              <w:t>*</w:t>
            </w:r>
            <w:r w:rsidR="001B784E">
              <w:t>Michael Jarro</w:t>
            </w:r>
          </w:p>
        </w:tc>
        <w:tc>
          <w:tcPr>
            <w:tcW w:w="1680" w:type="dxa"/>
          </w:tcPr>
          <w:p w14:paraId="346936A2" w14:textId="77777777" w:rsidR="001B784E" w:rsidRPr="006E669B" w:rsidRDefault="001B784E" w:rsidP="001B784E">
            <w:pPr>
              <w:jc w:val="center"/>
            </w:pPr>
            <w:r>
              <w:t>FPL</w:t>
            </w:r>
          </w:p>
        </w:tc>
        <w:tc>
          <w:tcPr>
            <w:tcW w:w="1482" w:type="dxa"/>
          </w:tcPr>
          <w:p w14:paraId="4361BB2B" w14:textId="77777777" w:rsidR="001B784E" w:rsidRPr="006E669B" w:rsidRDefault="001B784E" w:rsidP="001B784E">
            <w:pPr>
              <w:jc w:val="center"/>
            </w:pPr>
            <w:r>
              <w:t>MJ-3</w:t>
            </w:r>
          </w:p>
        </w:tc>
        <w:tc>
          <w:tcPr>
            <w:tcW w:w="3205" w:type="dxa"/>
          </w:tcPr>
          <w:p w14:paraId="1756440E" w14:textId="77777777" w:rsidR="001B784E" w:rsidRPr="006E669B" w:rsidRDefault="001B784E" w:rsidP="001B784E">
            <w:r w:rsidRPr="00052A4B">
              <w:rPr>
                <w:color w:val="000000"/>
              </w:rPr>
              <w:t>Hurricane Nicole – National Hurricane Center’s Forecast Track</w:t>
            </w:r>
          </w:p>
        </w:tc>
      </w:tr>
      <w:tr w:rsidR="001B784E" w:rsidRPr="006E669B" w14:paraId="746CB189" w14:textId="77777777" w:rsidTr="000B6507">
        <w:trPr>
          <w:cantSplit/>
          <w:trHeight w:val="373"/>
        </w:trPr>
        <w:tc>
          <w:tcPr>
            <w:tcW w:w="3198" w:type="dxa"/>
          </w:tcPr>
          <w:p w14:paraId="60F08387" w14:textId="2FC60B01" w:rsidR="001B784E" w:rsidRPr="006E669B" w:rsidRDefault="000649FF" w:rsidP="001B784E">
            <w:pPr>
              <w:jc w:val="both"/>
            </w:pPr>
            <w:r>
              <w:t>*</w:t>
            </w:r>
            <w:r w:rsidR="001B784E">
              <w:t>Michael Jarro</w:t>
            </w:r>
          </w:p>
        </w:tc>
        <w:tc>
          <w:tcPr>
            <w:tcW w:w="1680" w:type="dxa"/>
          </w:tcPr>
          <w:p w14:paraId="05F2A9DD" w14:textId="77777777" w:rsidR="001B784E" w:rsidRPr="006E669B" w:rsidRDefault="001B784E" w:rsidP="001B784E">
            <w:pPr>
              <w:jc w:val="center"/>
            </w:pPr>
            <w:r>
              <w:t>FPL</w:t>
            </w:r>
          </w:p>
        </w:tc>
        <w:tc>
          <w:tcPr>
            <w:tcW w:w="1482" w:type="dxa"/>
          </w:tcPr>
          <w:p w14:paraId="496B3244" w14:textId="77777777" w:rsidR="001B784E" w:rsidRPr="006E669B" w:rsidRDefault="001B784E" w:rsidP="001B784E">
            <w:pPr>
              <w:jc w:val="center"/>
            </w:pPr>
            <w:r>
              <w:t>MJ-4</w:t>
            </w:r>
          </w:p>
        </w:tc>
        <w:tc>
          <w:tcPr>
            <w:tcW w:w="3205" w:type="dxa"/>
          </w:tcPr>
          <w:p w14:paraId="30743046" w14:textId="77777777" w:rsidR="001B784E" w:rsidRPr="006E669B" w:rsidRDefault="001B784E" w:rsidP="001B784E">
            <w:r w:rsidRPr="00D5528B">
              <w:rPr>
                <w:color w:val="000000"/>
              </w:rPr>
              <w:t>Hurricane Nicole – Satellite View</w:t>
            </w:r>
          </w:p>
        </w:tc>
      </w:tr>
      <w:tr w:rsidR="001B784E" w:rsidRPr="006E669B" w14:paraId="7A755103" w14:textId="77777777" w:rsidTr="000B6507">
        <w:trPr>
          <w:cantSplit/>
          <w:trHeight w:val="373"/>
        </w:trPr>
        <w:tc>
          <w:tcPr>
            <w:tcW w:w="3198" w:type="dxa"/>
          </w:tcPr>
          <w:p w14:paraId="08E3D93F" w14:textId="61D7C17C" w:rsidR="001B784E" w:rsidRPr="006E669B" w:rsidRDefault="000649FF" w:rsidP="001B784E">
            <w:pPr>
              <w:jc w:val="both"/>
            </w:pPr>
            <w:r>
              <w:t>*</w:t>
            </w:r>
            <w:r w:rsidR="001B784E">
              <w:t>Michael Jarro</w:t>
            </w:r>
          </w:p>
        </w:tc>
        <w:tc>
          <w:tcPr>
            <w:tcW w:w="1680" w:type="dxa"/>
          </w:tcPr>
          <w:p w14:paraId="2811FEC2" w14:textId="77777777" w:rsidR="001B784E" w:rsidRPr="006E669B" w:rsidRDefault="001B784E" w:rsidP="001B784E">
            <w:pPr>
              <w:jc w:val="center"/>
            </w:pPr>
            <w:r>
              <w:t>FPL</w:t>
            </w:r>
          </w:p>
        </w:tc>
        <w:tc>
          <w:tcPr>
            <w:tcW w:w="1482" w:type="dxa"/>
          </w:tcPr>
          <w:p w14:paraId="55672D25" w14:textId="77777777" w:rsidR="001B784E" w:rsidRPr="006E669B" w:rsidRDefault="001B784E" w:rsidP="001B784E">
            <w:pPr>
              <w:jc w:val="center"/>
            </w:pPr>
            <w:r>
              <w:t>MJ-5</w:t>
            </w:r>
          </w:p>
        </w:tc>
        <w:tc>
          <w:tcPr>
            <w:tcW w:w="3205" w:type="dxa"/>
          </w:tcPr>
          <w:p w14:paraId="723BC805" w14:textId="77777777" w:rsidR="001B784E" w:rsidRPr="006E669B" w:rsidRDefault="001B784E" w:rsidP="001B784E">
            <w:r w:rsidRPr="004850FB">
              <w:rPr>
                <w:color w:val="000000"/>
                <w:spacing w:val="-1"/>
              </w:rPr>
              <w:t>FPL’s T&amp;D Hurricane Ian Restoration Costs</w:t>
            </w:r>
          </w:p>
        </w:tc>
      </w:tr>
      <w:tr w:rsidR="001B784E" w:rsidRPr="006E669B" w14:paraId="20F379DC" w14:textId="77777777" w:rsidTr="000B6507">
        <w:trPr>
          <w:cantSplit/>
          <w:trHeight w:val="373"/>
        </w:trPr>
        <w:tc>
          <w:tcPr>
            <w:tcW w:w="3198" w:type="dxa"/>
          </w:tcPr>
          <w:p w14:paraId="01B1E132" w14:textId="152FE9A6" w:rsidR="001B784E" w:rsidRPr="006E669B" w:rsidRDefault="000649FF" w:rsidP="001B784E">
            <w:pPr>
              <w:jc w:val="both"/>
            </w:pPr>
            <w:r>
              <w:t>*</w:t>
            </w:r>
            <w:r w:rsidR="001B784E">
              <w:t>Michael Jarro</w:t>
            </w:r>
          </w:p>
        </w:tc>
        <w:tc>
          <w:tcPr>
            <w:tcW w:w="1680" w:type="dxa"/>
          </w:tcPr>
          <w:p w14:paraId="2018ED71" w14:textId="77777777" w:rsidR="001B784E" w:rsidRPr="006E669B" w:rsidRDefault="001B784E" w:rsidP="001B784E">
            <w:pPr>
              <w:jc w:val="center"/>
            </w:pPr>
            <w:r>
              <w:t>FPL</w:t>
            </w:r>
          </w:p>
        </w:tc>
        <w:tc>
          <w:tcPr>
            <w:tcW w:w="1482" w:type="dxa"/>
          </w:tcPr>
          <w:p w14:paraId="7759DD52" w14:textId="77777777" w:rsidR="001B784E" w:rsidRPr="006E669B" w:rsidRDefault="001B784E" w:rsidP="001B784E">
            <w:pPr>
              <w:jc w:val="center"/>
            </w:pPr>
            <w:r>
              <w:t>MJ-6</w:t>
            </w:r>
          </w:p>
        </w:tc>
        <w:tc>
          <w:tcPr>
            <w:tcW w:w="3205" w:type="dxa"/>
          </w:tcPr>
          <w:p w14:paraId="4D8C7864" w14:textId="77777777" w:rsidR="001B784E" w:rsidRPr="006E669B" w:rsidRDefault="001B784E" w:rsidP="001B784E">
            <w:r w:rsidRPr="00D94A3E">
              <w:rPr>
                <w:color w:val="000000"/>
                <w:spacing w:val="-1"/>
              </w:rPr>
              <w:t>FPL’s T&amp;D Hurricane Nicole Restoration Costs</w:t>
            </w:r>
          </w:p>
        </w:tc>
      </w:tr>
      <w:tr w:rsidR="001B784E" w:rsidRPr="006E669B" w14:paraId="0E2B4C4C" w14:textId="77777777" w:rsidTr="000B6507">
        <w:trPr>
          <w:cantSplit/>
          <w:trHeight w:val="373"/>
        </w:trPr>
        <w:tc>
          <w:tcPr>
            <w:tcW w:w="3198" w:type="dxa"/>
          </w:tcPr>
          <w:p w14:paraId="3796A51E" w14:textId="2E52D0A5" w:rsidR="001B784E" w:rsidRPr="006E669B" w:rsidRDefault="000649FF" w:rsidP="001B784E">
            <w:pPr>
              <w:jc w:val="both"/>
            </w:pPr>
            <w:r>
              <w:t>*</w:t>
            </w:r>
            <w:r w:rsidR="001B784E">
              <w:t>Keith Ferguson</w:t>
            </w:r>
          </w:p>
        </w:tc>
        <w:tc>
          <w:tcPr>
            <w:tcW w:w="1680" w:type="dxa"/>
          </w:tcPr>
          <w:p w14:paraId="29495295" w14:textId="77777777" w:rsidR="001B784E" w:rsidRPr="006E669B" w:rsidRDefault="001B784E" w:rsidP="001B784E">
            <w:pPr>
              <w:jc w:val="center"/>
            </w:pPr>
            <w:r>
              <w:t>FPL</w:t>
            </w:r>
          </w:p>
        </w:tc>
        <w:tc>
          <w:tcPr>
            <w:tcW w:w="1482" w:type="dxa"/>
          </w:tcPr>
          <w:p w14:paraId="7CF1DA11" w14:textId="77777777" w:rsidR="001B784E" w:rsidRPr="006E669B" w:rsidRDefault="001B784E" w:rsidP="001B784E">
            <w:pPr>
              <w:jc w:val="center"/>
            </w:pPr>
            <w:r>
              <w:t>KF-1</w:t>
            </w:r>
          </w:p>
        </w:tc>
        <w:tc>
          <w:tcPr>
            <w:tcW w:w="3205" w:type="dxa"/>
          </w:tcPr>
          <w:p w14:paraId="6547CA5D" w14:textId="77777777" w:rsidR="001B784E" w:rsidRPr="006E669B" w:rsidRDefault="001B784E" w:rsidP="001B784E">
            <w:r w:rsidRPr="0028505B">
              <w:t xml:space="preserve">Hurricane </w:t>
            </w:r>
            <w:r>
              <w:t>Ian</w:t>
            </w:r>
            <w:r w:rsidRPr="0028505B">
              <w:t xml:space="preserve"> </w:t>
            </w:r>
            <w:r>
              <w:t>Incremental Cost and Capitalization Approach Adjustments as of June 1, 2023</w:t>
            </w:r>
          </w:p>
        </w:tc>
      </w:tr>
      <w:tr w:rsidR="001B784E" w:rsidRPr="006E669B" w14:paraId="4446CB56" w14:textId="77777777" w:rsidTr="000B6507">
        <w:trPr>
          <w:cantSplit/>
          <w:trHeight w:val="373"/>
        </w:trPr>
        <w:tc>
          <w:tcPr>
            <w:tcW w:w="3198" w:type="dxa"/>
          </w:tcPr>
          <w:p w14:paraId="2E1AB26A" w14:textId="25F66002" w:rsidR="001B784E" w:rsidRPr="006E669B" w:rsidRDefault="000649FF" w:rsidP="001B784E">
            <w:pPr>
              <w:jc w:val="both"/>
            </w:pPr>
            <w:r>
              <w:t>*</w:t>
            </w:r>
            <w:r w:rsidR="001B784E">
              <w:t>Keith Ferguson</w:t>
            </w:r>
          </w:p>
        </w:tc>
        <w:tc>
          <w:tcPr>
            <w:tcW w:w="1680" w:type="dxa"/>
          </w:tcPr>
          <w:p w14:paraId="513B45D4" w14:textId="77777777" w:rsidR="001B784E" w:rsidRPr="006E669B" w:rsidRDefault="001B784E" w:rsidP="001B784E">
            <w:pPr>
              <w:jc w:val="center"/>
            </w:pPr>
            <w:r>
              <w:t>FPL</w:t>
            </w:r>
          </w:p>
        </w:tc>
        <w:tc>
          <w:tcPr>
            <w:tcW w:w="1482" w:type="dxa"/>
          </w:tcPr>
          <w:p w14:paraId="69F2AE21" w14:textId="77777777" w:rsidR="001B784E" w:rsidRPr="006E669B" w:rsidRDefault="001B784E" w:rsidP="001B784E">
            <w:pPr>
              <w:jc w:val="center"/>
            </w:pPr>
            <w:r>
              <w:t>KF-2</w:t>
            </w:r>
          </w:p>
        </w:tc>
        <w:tc>
          <w:tcPr>
            <w:tcW w:w="3205" w:type="dxa"/>
          </w:tcPr>
          <w:p w14:paraId="1E0F1935" w14:textId="77777777" w:rsidR="001B784E" w:rsidRPr="006E669B" w:rsidRDefault="001B784E" w:rsidP="001B784E">
            <w:r w:rsidRPr="0028505B">
              <w:t xml:space="preserve">Hurricane </w:t>
            </w:r>
            <w:r>
              <w:t>Nicole</w:t>
            </w:r>
            <w:r w:rsidRPr="0028505B">
              <w:t xml:space="preserve"> </w:t>
            </w:r>
            <w:r>
              <w:t>Incremental Cost and Capitalization Approach Adjustments as of June 1, 2023</w:t>
            </w:r>
          </w:p>
        </w:tc>
      </w:tr>
      <w:tr w:rsidR="001B784E" w:rsidRPr="006E669B" w14:paraId="3134A624" w14:textId="77777777" w:rsidTr="000B6507">
        <w:trPr>
          <w:cantSplit/>
          <w:trHeight w:val="373"/>
        </w:trPr>
        <w:tc>
          <w:tcPr>
            <w:tcW w:w="3198" w:type="dxa"/>
          </w:tcPr>
          <w:p w14:paraId="6AF38E36" w14:textId="746CCB4E" w:rsidR="001B784E" w:rsidRPr="006E669B" w:rsidRDefault="000649FF" w:rsidP="001B784E">
            <w:pPr>
              <w:jc w:val="both"/>
            </w:pPr>
            <w:r>
              <w:t>*</w:t>
            </w:r>
            <w:r w:rsidR="001B784E">
              <w:t>Keith Ferguson</w:t>
            </w:r>
          </w:p>
        </w:tc>
        <w:tc>
          <w:tcPr>
            <w:tcW w:w="1680" w:type="dxa"/>
          </w:tcPr>
          <w:p w14:paraId="1CA3A402" w14:textId="77777777" w:rsidR="001B784E" w:rsidRPr="006E669B" w:rsidRDefault="001B784E" w:rsidP="001B784E">
            <w:pPr>
              <w:jc w:val="center"/>
            </w:pPr>
            <w:r>
              <w:t>FPL</w:t>
            </w:r>
          </w:p>
        </w:tc>
        <w:tc>
          <w:tcPr>
            <w:tcW w:w="1482" w:type="dxa"/>
          </w:tcPr>
          <w:p w14:paraId="4CD793E7" w14:textId="77777777" w:rsidR="001B784E" w:rsidRPr="006E669B" w:rsidRDefault="001B784E" w:rsidP="001B784E">
            <w:pPr>
              <w:jc w:val="center"/>
            </w:pPr>
            <w:r>
              <w:t>KF-3</w:t>
            </w:r>
          </w:p>
        </w:tc>
        <w:tc>
          <w:tcPr>
            <w:tcW w:w="3205" w:type="dxa"/>
          </w:tcPr>
          <w:p w14:paraId="0551E115" w14:textId="77777777" w:rsidR="001B784E" w:rsidRPr="006E669B" w:rsidRDefault="001B784E" w:rsidP="001B784E">
            <w:r w:rsidRPr="002D134F">
              <w:t>Total Storm Costs to be Recovered from Customers</w:t>
            </w:r>
          </w:p>
        </w:tc>
      </w:tr>
      <w:tr w:rsidR="001B784E" w:rsidRPr="006E669B" w14:paraId="70226DB8" w14:textId="77777777" w:rsidTr="000B6507">
        <w:trPr>
          <w:cantSplit/>
          <w:trHeight w:val="373"/>
        </w:trPr>
        <w:tc>
          <w:tcPr>
            <w:tcW w:w="3198" w:type="dxa"/>
          </w:tcPr>
          <w:p w14:paraId="4BD67FCE" w14:textId="71E05F07" w:rsidR="001B784E" w:rsidRPr="006E669B" w:rsidRDefault="000649FF" w:rsidP="001B784E">
            <w:pPr>
              <w:jc w:val="both"/>
            </w:pPr>
            <w:r>
              <w:t>*</w:t>
            </w:r>
            <w:r w:rsidR="001B784E">
              <w:t>Keith Ferguson</w:t>
            </w:r>
          </w:p>
        </w:tc>
        <w:tc>
          <w:tcPr>
            <w:tcW w:w="1680" w:type="dxa"/>
          </w:tcPr>
          <w:p w14:paraId="7EF1DBAC" w14:textId="77777777" w:rsidR="001B784E" w:rsidRPr="006E669B" w:rsidRDefault="001B784E" w:rsidP="001B784E">
            <w:pPr>
              <w:jc w:val="center"/>
            </w:pPr>
            <w:r>
              <w:t>FPL</w:t>
            </w:r>
          </w:p>
        </w:tc>
        <w:tc>
          <w:tcPr>
            <w:tcW w:w="1482" w:type="dxa"/>
          </w:tcPr>
          <w:p w14:paraId="1F854D86" w14:textId="77777777" w:rsidR="001B784E" w:rsidRPr="006E669B" w:rsidRDefault="001B784E" w:rsidP="001B784E">
            <w:pPr>
              <w:jc w:val="center"/>
            </w:pPr>
            <w:r>
              <w:t>KF-4</w:t>
            </w:r>
          </w:p>
        </w:tc>
        <w:tc>
          <w:tcPr>
            <w:tcW w:w="3205" w:type="dxa"/>
          </w:tcPr>
          <w:p w14:paraId="57FBC0DB" w14:textId="77777777" w:rsidR="001B784E" w:rsidRPr="006E669B" w:rsidRDefault="001B784E" w:rsidP="001B784E">
            <w:r w:rsidRPr="000249C2">
              <w:t>PwC Engagement Letter</w:t>
            </w:r>
          </w:p>
        </w:tc>
      </w:tr>
      <w:tr w:rsidR="001B784E" w:rsidRPr="006E669B" w14:paraId="0F611EA1" w14:textId="77777777" w:rsidTr="000B6507">
        <w:trPr>
          <w:cantSplit/>
          <w:trHeight w:val="373"/>
        </w:trPr>
        <w:tc>
          <w:tcPr>
            <w:tcW w:w="3198" w:type="dxa"/>
          </w:tcPr>
          <w:p w14:paraId="73D815B7" w14:textId="2F0FB5E7" w:rsidR="001B784E" w:rsidRPr="006E669B" w:rsidRDefault="000649FF" w:rsidP="001B784E">
            <w:pPr>
              <w:jc w:val="both"/>
            </w:pPr>
            <w:r>
              <w:t>*</w:t>
            </w:r>
            <w:r w:rsidR="001B784E">
              <w:t>Keith Ferguson</w:t>
            </w:r>
          </w:p>
        </w:tc>
        <w:tc>
          <w:tcPr>
            <w:tcW w:w="1680" w:type="dxa"/>
          </w:tcPr>
          <w:p w14:paraId="43C600A5" w14:textId="77777777" w:rsidR="001B784E" w:rsidRPr="006E669B" w:rsidRDefault="001B784E" w:rsidP="001B784E">
            <w:pPr>
              <w:jc w:val="center"/>
            </w:pPr>
            <w:r>
              <w:t>FPL</w:t>
            </w:r>
          </w:p>
        </w:tc>
        <w:tc>
          <w:tcPr>
            <w:tcW w:w="1482" w:type="dxa"/>
          </w:tcPr>
          <w:p w14:paraId="1E139AD3" w14:textId="77777777" w:rsidR="001B784E" w:rsidRPr="006E669B" w:rsidRDefault="001B784E" w:rsidP="001B784E">
            <w:pPr>
              <w:jc w:val="center"/>
            </w:pPr>
            <w:r>
              <w:t>KF-5</w:t>
            </w:r>
          </w:p>
        </w:tc>
        <w:tc>
          <w:tcPr>
            <w:tcW w:w="3205" w:type="dxa"/>
          </w:tcPr>
          <w:p w14:paraId="7127652B" w14:textId="77777777" w:rsidR="001B784E" w:rsidRPr="006E669B" w:rsidRDefault="001B784E" w:rsidP="001B784E">
            <w:r w:rsidRPr="00341672">
              <w:t>PwC Attestation Report</w:t>
            </w:r>
          </w:p>
        </w:tc>
      </w:tr>
      <w:tr w:rsidR="001B784E" w:rsidRPr="006E669B" w14:paraId="5E885AF4" w14:textId="77777777" w:rsidTr="000B6507">
        <w:trPr>
          <w:cantSplit/>
          <w:trHeight w:val="353"/>
        </w:trPr>
        <w:tc>
          <w:tcPr>
            <w:tcW w:w="3198" w:type="dxa"/>
          </w:tcPr>
          <w:p w14:paraId="1BE0D1A5" w14:textId="0C702E94" w:rsidR="001B784E" w:rsidRPr="006E669B" w:rsidRDefault="000649FF" w:rsidP="001B784E">
            <w:pPr>
              <w:jc w:val="both"/>
            </w:pPr>
            <w:r>
              <w:t>*</w:t>
            </w:r>
            <w:r w:rsidR="001B784E">
              <w:t>Tiffany C. Cohen</w:t>
            </w:r>
          </w:p>
        </w:tc>
        <w:tc>
          <w:tcPr>
            <w:tcW w:w="1680" w:type="dxa"/>
          </w:tcPr>
          <w:p w14:paraId="1AD7618A" w14:textId="77777777" w:rsidR="001B784E" w:rsidRPr="006E669B" w:rsidRDefault="001B784E" w:rsidP="001B784E">
            <w:pPr>
              <w:jc w:val="center"/>
            </w:pPr>
            <w:r>
              <w:t>FPL</w:t>
            </w:r>
          </w:p>
        </w:tc>
        <w:tc>
          <w:tcPr>
            <w:tcW w:w="1482" w:type="dxa"/>
          </w:tcPr>
          <w:p w14:paraId="53C5A042" w14:textId="04961220" w:rsidR="001B784E" w:rsidRPr="006E669B" w:rsidRDefault="001B784E" w:rsidP="001B784E">
            <w:pPr>
              <w:jc w:val="center"/>
            </w:pPr>
            <w:r>
              <w:t>TCC-1</w:t>
            </w:r>
          </w:p>
        </w:tc>
        <w:tc>
          <w:tcPr>
            <w:tcW w:w="3205" w:type="dxa"/>
          </w:tcPr>
          <w:p w14:paraId="5FA1D57F" w14:textId="77777777" w:rsidR="001B784E" w:rsidRPr="006E669B" w:rsidRDefault="001B784E" w:rsidP="001B784E">
            <w:r w:rsidRPr="008F6377">
              <w:t>Consolidated Interim Storm Restoration Recovery Charge Revenues</w:t>
            </w:r>
          </w:p>
        </w:tc>
      </w:tr>
      <w:tr w:rsidR="001B784E" w:rsidRPr="006E669B" w14:paraId="72713082" w14:textId="77777777" w:rsidTr="000B6507">
        <w:trPr>
          <w:cantSplit/>
          <w:trHeight w:val="353"/>
        </w:trPr>
        <w:tc>
          <w:tcPr>
            <w:tcW w:w="3198" w:type="dxa"/>
          </w:tcPr>
          <w:p w14:paraId="3016191C" w14:textId="5F0F0860" w:rsidR="001B784E" w:rsidRPr="006E669B" w:rsidRDefault="000649FF" w:rsidP="001B784E">
            <w:pPr>
              <w:jc w:val="both"/>
            </w:pPr>
            <w:r>
              <w:lastRenderedPageBreak/>
              <w:t>*</w:t>
            </w:r>
            <w:r w:rsidR="001B784E">
              <w:t>Yen Ngo</w:t>
            </w:r>
          </w:p>
        </w:tc>
        <w:tc>
          <w:tcPr>
            <w:tcW w:w="1680" w:type="dxa"/>
          </w:tcPr>
          <w:p w14:paraId="5ACE122C" w14:textId="77777777" w:rsidR="001B784E" w:rsidRPr="006E669B" w:rsidRDefault="001B784E" w:rsidP="001B784E">
            <w:pPr>
              <w:jc w:val="center"/>
            </w:pPr>
            <w:r>
              <w:t>Staff</w:t>
            </w:r>
          </w:p>
        </w:tc>
        <w:tc>
          <w:tcPr>
            <w:tcW w:w="1482" w:type="dxa"/>
          </w:tcPr>
          <w:p w14:paraId="2E9C1B5F" w14:textId="77777777" w:rsidR="001B784E" w:rsidRPr="006E669B" w:rsidRDefault="001B784E" w:rsidP="001B784E">
            <w:pPr>
              <w:jc w:val="center"/>
            </w:pPr>
            <w:r>
              <w:t>YN-1</w:t>
            </w:r>
          </w:p>
        </w:tc>
        <w:tc>
          <w:tcPr>
            <w:tcW w:w="3205" w:type="dxa"/>
          </w:tcPr>
          <w:p w14:paraId="35D2C8E1" w14:textId="77777777" w:rsidR="001B784E" w:rsidRPr="006E669B" w:rsidRDefault="001B784E" w:rsidP="001B784E">
            <w:r>
              <w:t>Audit Report of Florida Power &amp; Light</w:t>
            </w:r>
          </w:p>
        </w:tc>
      </w:tr>
    </w:tbl>
    <w:p w14:paraId="7B5EE415" w14:textId="77777777" w:rsidR="006E669B" w:rsidRPr="006E669B" w:rsidRDefault="006E669B" w:rsidP="006E669B">
      <w:pPr>
        <w:jc w:val="both"/>
      </w:pPr>
    </w:p>
    <w:p w14:paraId="0260F963" w14:textId="77777777" w:rsidR="006E669B" w:rsidRPr="006E669B" w:rsidRDefault="006E669B" w:rsidP="006E669B">
      <w:pPr>
        <w:jc w:val="both"/>
      </w:pPr>
      <w:r w:rsidRPr="006E669B">
        <w:tab/>
        <w:t>Parties and Staff reserve the right to identify additional exhibits for the purpose of cross-examination.</w:t>
      </w:r>
    </w:p>
    <w:p w14:paraId="5D4BF2E6" w14:textId="77777777" w:rsidR="006E669B" w:rsidRPr="006E669B" w:rsidRDefault="006E669B" w:rsidP="006E669B">
      <w:pPr>
        <w:jc w:val="both"/>
      </w:pPr>
    </w:p>
    <w:p w14:paraId="04E53D87" w14:textId="77777777" w:rsidR="006438F6" w:rsidRPr="006E669B" w:rsidRDefault="006438F6" w:rsidP="006E669B">
      <w:pPr>
        <w:jc w:val="both"/>
      </w:pPr>
    </w:p>
    <w:p w14:paraId="664C246F" w14:textId="77777777" w:rsidR="006E669B" w:rsidRPr="006E669B" w:rsidRDefault="006E669B" w:rsidP="006E669B">
      <w:pPr>
        <w:jc w:val="both"/>
        <w:rPr>
          <w:b/>
        </w:rPr>
      </w:pPr>
      <w:r w:rsidRPr="006E669B">
        <w:rPr>
          <w:b/>
        </w:rPr>
        <w:t>X.</w:t>
      </w:r>
      <w:r w:rsidRPr="006E669B">
        <w:rPr>
          <w:b/>
        </w:rPr>
        <w:tab/>
      </w:r>
      <w:r w:rsidRPr="006E669B">
        <w:rPr>
          <w:b/>
          <w:u w:val="single"/>
        </w:rPr>
        <w:t>PROPOSED STIPULATIONS</w:t>
      </w:r>
    </w:p>
    <w:p w14:paraId="121EB4E2" w14:textId="77777777" w:rsidR="006E669B" w:rsidRPr="00D63101" w:rsidRDefault="006E669B" w:rsidP="006E669B">
      <w:pPr>
        <w:jc w:val="both"/>
      </w:pPr>
    </w:p>
    <w:p w14:paraId="3F0DED8F" w14:textId="5AC456A3" w:rsidR="006E669B" w:rsidRPr="00B664D5" w:rsidRDefault="006E669B" w:rsidP="006E669B">
      <w:pPr>
        <w:jc w:val="both"/>
      </w:pPr>
      <w:r w:rsidRPr="006E669B">
        <w:rPr>
          <w:color w:val="FF0000"/>
        </w:rPr>
        <w:tab/>
      </w:r>
      <w:r w:rsidR="00B664D5" w:rsidRPr="00E10DB4">
        <w:t xml:space="preserve">On May 29, 2024, FPL and </w:t>
      </w:r>
      <w:r w:rsidR="00B664D5">
        <w:t>OPC</w:t>
      </w:r>
      <w:r w:rsidR="00B664D5" w:rsidRPr="00E10DB4">
        <w:t xml:space="preserve"> entered into a set of stipulations attached to this Prehearing </w:t>
      </w:r>
      <w:r w:rsidR="00E92F96">
        <w:t>Order</w:t>
      </w:r>
      <w:r w:rsidR="00B664D5" w:rsidRPr="00E10DB4">
        <w:t xml:space="preserve"> as Attachment A.</w:t>
      </w:r>
      <w:r w:rsidR="00446B35">
        <w:t xml:space="preserve"> </w:t>
      </w:r>
      <w:r w:rsidR="00971FA3">
        <w:t xml:space="preserve">On June 12, 2024, </w:t>
      </w:r>
      <w:r w:rsidR="00446B35">
        <w:t xml:space="preserve">Walmart </w:t>
      </w:r>
      <w:r w:rsidR="00971FA3">
        <w:t xml:space="preserve">filed a statement that it agrees with paragraphs 1-4 and 12-13, and takes no position on paragraphs 5-11 and 14-16 of Attachment </w:t>
      </w:r>
      <w:r w:rsidR="00446B35">
        <w:t>A.</w:t>
      </w:r>
      <w:r w:rsidR="00B664D5" w:rsidRPr="00E10DB4">
        <w:t xml:space="preserve"> If approved by the Florida Public Service Commission, the stipulations </w:t>
      </w:r>
      <w:r w:rsidR="00971FA3">
        <w:t xml:space="preserve">in Attachment A </w:t>
      </w:r>
      <w:r w:rsidR="00B664D5" w:rsidRPr="00E10DB4">
        <w:t>will fully resolve the Parties</w:t>
      </w:r>
      <w:r w:rsidR="00B664D5">
        <w:t>'</w:t>
      </w:r>
      <w:r w:rsidR="00B664D5" w:rsidRPr="00E10DB4">
        <w:t xml:space="preserve"> respective issues in Docket No. 20230017-EI</w:t>
      </w:r>
      <w:r w:rsidR="008F2FB6">
        <w:t>, and Issues 1-15 will be moot</w:t>
      </w:r>
      <w:r w:rsidR="00B664D5" w:rsidRPr="00E10DB4">
        <w:t>.</w:t>
      </w:r>
    </w:p>
    <w:p w14:paraId="145F6E47" w14:textId="77777777" w:rsidR="006E669B" w:rsidRPr="006E669B" w:rsidRDefault="006E669B" w:rsidP="006E669B">
      <w:pPr>
        <w:ind w:left="1440" w:hanging="1440"/>
        <w:jc w:val="both"/>
        <w:rPr>
          <w:bCs/>
        </w:rPr>
      </w:pPr>
    </w:p>
    <w:p w14:paraId="2C165FC7" w14:textId="77777777" w:rsidR="006E669B" w:rsidRPr="006E669B" w:rsidRDefault="006E669B" w:rsidP="006E669B">
      <w:pPr>
        <w:ind w:left="1440" w:hanging="1440"/>
        <w:jc w:val="both"/>
        <w:rPr>
          <w:bCs/>
        </w:rPr>
      </w:pPr>
    </w:p>
    <w:p w14:paraId="716521CB" w14:textId="77777777" w:rsidR="006E669B" w:rsidRPr="006E669B" w:rsidRDefault="006E669B" w:rsidP="006E669B">
      <w:pPr>
        <w:jc w:val="both"/>
        <w:rPr>
          <w:b/>
        </w:rPr>
      </w:pPr>
      <w:r w:rsidRPr="006E669B">
        <w:rPr>
          <w:b/>
        </w:rPr>
        <w:t>XI.</w:t>
      </w:r>
      <w:r w:rsidRPr="006E669B">
        <w:rPr>
          <w:b/>
        </w:rPr>
        <w:tab/>
      </w:r>
      <w:r w:rsidRPr="006E669B">
        <w:rPr>
          <w:b/>
          <w:u w:val="single"/>
        </w:rPr>
        <w:t>PENDING MOTIONS</w:t>
      </w:r>
    </w:p>
    <w:p w14:paraId="4FCE540B" w14:textId="77777777" w:rsidR="006E669B" w:rsidRPr="00D63101" w:rsidRDefault="006E669B" w:rsidP="006E669B">
      <w:pPr>
        <w:jc w:val="both"/>
      </w:pPr>
    </w:p>
    <w:p w14:paraId="397B0808" w14:textId="6C557420" w:rsidR="006E669B" w:rsidRPr="00D20897" w:rsidRDefault="00B30142" w:rsidP="006E669B">
      <w:pPr>
        <w:ind w:firstLine="720"/>
        <w:jc w:val="both"/>
      </w:pPr>
      <w:r>
        <w:t>There are no pending motions at this time.</w:t>
      </w:r>
    </w:p>
    <w:p w14:paraId="3FEFF32C" w14:textId="77777777" w:rsidR="00D20897" w:rsidRPr="006E669B" w:rsidRDefault="00D20897" w:rsidP="006E669B">
      <w:pPr>
        <w:jc w:val="both"/>
      </w:pPr>
    </w:p>
    <w:p w14:paraId="7350B7C6" w14:textId="77777777" w:rsidR="006E669B" w:rsidRPr="006E669B" w:rsidRDefault="006E669B" w:rsidP="006E669B">
      <w:pPr>
        <w:jc w:val="both"/>
      </w:pPr>
    </w:p>
    <w:p w14:paraId="7AA70A22" w14:textId="77777777" w:rsidR="006E669B" w:rsidRPr="006E669B" w:rsidRDefault="006E669B" w:rsidP="006E669B">
      <w:pPr>
        <w:jc w:val="both"/>
        <w:rPr>
          <w:b/>
        </w:rPr>
      </w:pPr>
      <w:r w:rsidRPr="006E669B">
        <w:rPr>
          <w:b/>
        </w:rPr>
        <w:t>XII.</w:t>
      </w:r>
      <w:r w:rsidRPr="006E669B">
        <w:rPr>
          <w:b/>
        </w:rPr>
        <w:tab/>
      </w:r>
      <w:r w:rsidRPr="006E669B">
        <w:rPr>
          <w:b/>
          <w:u w:val="single"/>
        </w:rPr>
        <w:t>PENDING CONFIDENTIALITY MATTERS</w:t>
      </w:r>
    </w:p>
    <w:p w14:paraId="753CA712" w14:textId="77777777" w:rsidR="006E669B" w:rsidRPr="00D63101" w:rsidRDefault="006E669B">
      <w:pPr>
        <w:jc w:val="both"/>
      </w:pPr>
    </w:p>
    <w:p w14:paraId="11EDA56B" w14:textId="44E6B710" w:rsidR="00932CFE" w:rsidRDefault="008F2FB6" w:rsidP="006915F5">
      <w:pPr>
        <w:pStyle w:val="ListParagraph"/>
        <w:numPr>
          <w:ilvl w:val="0"/>
          <w:numId w:val="3"/>
        </w:numPr>
        <w:ind w:left="1440" w:hanging="720"/>
        <w:jc w:val="both"/>
      </w:pPr>
      <w:r>
        <w:rPr>
          <w:szCs w:val="20"/>
        </w:rPr>
        <w:t xml:space="preserve">FPL’s </w:t>
      </w:r>
      <w:r>
        <w:t>r</w:t>
      </w:r>
      <w:r w:rsidR="00932CFE" w:rsidRPr="00932CFE">
        <w:t>equest for confidential classification filed on November 20, 2023</w:t>
      </w:r>
      <w:r>
        <w:t xml:space="preserve"> </w:t>
      </w:r>
      <w:r w:rsidRPr="00932CFE">
        <w:t>[DN 06137-2023</w:t>
      </w:r>
      <w:r>
        <w:t>]</w:t>
      </w:r>
      <w:r w:rsidR="00932CFE" w:rsidRPr="00932CFE">
        <w:t>.</w:t>
      </w:r>
    </w:p>
    <w:p w14:paraId="5C212154" w14:textId="77777777" w:rsidR="008F2FB6" w:rsidRDefault="008F2FB6" w:rsidP="00446B35">
      <w:pPr>
        <w:keepNext/>
        <w:contextualSpacing/>
        <w:jc w:val="both"/>
        <w:rPr>
          <w:szCs w:val="20"/>
        </w:rPr>
      </w:pPr>
    </w:p>
    <w:p w14:paraId="580E923A" w14:textId="243F0249" w:rsidR="00932CFE" w:rsidRDefault="008F2FB6" w:rsidP="006915F5">
      <w:pPr>
        <w:pStyle w:val="ListParagraph"/>
        <w:numPr>
          <w:ilvl w:val="0"/>
          <w:numId w:val="3"/>
        </w:numPr>
        <w:ind w:left="1440" w:hanging="720"/>
      </w:pPr>
      <w:r>
        <w:rPr>
          <w:szCs w:val="20"/>
        </w:rPr>
        <w:t xml:space="preserve">FPL’s </w:t>
      </w:r>
      <w:r>
        <w:t>r</w:t>
      </w:r>
      <w:r w:rsidR="00932CFE" w:rsidRPr="00932CFE">
        <w:t>equest for confidential classification filed on January 25, 2024</w:t>
      </w:r>
      <w:r>
        <w:t xml:space="preserve"> </w:t>
      </w:r>
      <w:r w:rsidRPr="00932CFE">
        <w:t>[DN 00336-2024]</w:t>
      </w:r>
      <w:r w:rsidR="00932CFE" w:rsidRPr="00932CFE">
        <w:t>.</w:t>
      </w:r>
    </w:p>
    <w:p w14:paraId="420CB01C" w14:textId="77777777" w:rsidR="006E669B" w:rsidRPr="006E669B" w:rsidRDefault="006E669B">
      <w:pPr>
        <w:jc w:val="both"/>
      </w:pPr>
    </w:p>
    <w:p w14:paraId="7BCCF15E" w14:textId="77777777" w:rsidR="006E669B" w:rsidRPr="006E669B" w:rsidRDefault="006E669B" w:rsidP="006E669B">
      <w:pPr>
        <w:jc w:val="both"/>
      </w:pPr>
    </w:p>
    <w:p w14:paraId="0054A321" w14:textId="77777777" w:rsidR="006E669B" w:rsidRPr="006E669B" w:rsidRDefault="006E669B" w:rsidP="006E669B">
      <w:pPr>
        <w:jc w:val="both"/>
        <w:rPr>
          <w:b/>
        </w:rPr>
      </w:pPr>
      <w:r w:rsidRPr="006E669B">
        <w:rPr>
          <w:b/>
        </w:rPr>
        <w:t>XIII.</w:t>
      </w:r>
      <w:r w:rsidRPr="006E669B">
        <w:rPr>
          <w:b/>
        </w:rPr>
        <w:tab/>
      </w:r>
      <w:r w:rsidRPr="006E669B">
        <w:rPr>
          <w:b/>
          <w:u w:val="single"/>
        </w:rPr>
        <w:t>POST-HEARING PROCEDURES</w:t>
      </w:r>
    </w:p>
    <w:p w14:paraId="4A02E5C1" w14:textId="77777777" w:rsidR="006E669B" w:rsidRPr="006E669B" w:rsidRDefault="006E669B" w:rsidP="006E669B">
      <w:pPr>
        <w:jc w:val="both"/>
      </w:pPr>
    </w:p>
    <w:p w14:paraId="6C3502DD" w14:textId="77777777" w:rsidR="006E669B" w:rsidRPr="006E669B" w:rsidRDefault="006E669B" w:rsidP="006E669B">
      <w:pPr>
        <w:jc w:val="both"/>
      </w:pPr>
      <w:r w:rsidRPr="006E669B">
        <w:tab/>
        <w:t>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50 words, it must be reduced to no more than 50 words.  If a party fails to file a post-hearing statement, that party shall have waived all issues and may be dismissed from the proceeding.</w:t>
      </w:r>
    </w:p>
    <w:p w14:paraId="48BBDA23" w14:textId="77777777" w:rsidR="006E669B" w:rsidRPr="006E669B" w:rsidRDefault="006E669B" w:rsidP="006E669B">
      <w:pPr>
        <w:jc w:val="both"/>
      </w:pPr>
    </w:p>
    <w:p w14:paraId="69AC424F" w14:textId="77777777" w:rsidR="006E669B" w:rsidRPr="006E669B" w:rsidRDefault="006E669B" w:rsidP="006E669B">
      <w:pPr>
        <w:jc w:val="both"/>
      </w:pPr>
      <w:r w:rsidRPr="006E669B">
        <w:lastRenderedPageBreak/>
        <w:tab/>
        <w:t>Pursuant to Rule 28-106.215, F.A.C., a party's proposed findings of fact and conclusions of law, if any, statement of issues and positions, and brief, shall toget</w:t>
      </w:r>
      <w:r w:rsidR="00232D2A">
        <w:t>her total no more than 40 pages</w:t>
      </w:r>
      <w:r w:rsidRPr="006E669B">
        <w:rPr>
          <w:color w:val="FF0000"/>
        </w:rPr>
        <w:t xml:space="preserve"> </w:t>
      </w:r>
      <w:r w:rsidRPr="006E669B">
        <w:t>and shall be filed at the same time.</w:t>
      </w:r>
    </w:p>
    <w:p w14:paraId="1078C97D" w14:textId="77777777" w:rsidR="006E669B" w:rsidRPr="006E669B" w:rsidRDefault="006E669B" w:rsidP="006E669B">
      <w:pPr>
        <w:jc w:val="both"/>
      </w:pPr>
    </w:p>
    <w:p w14:paraId="04D66C66" w14:textId="77777777" w:rsidR="006E669B" w:rsidRPr="006E669B" w:rsidRDefault="006E669B" w:rsidP="006E669B">
      <w:pPr>
        <w:jc w:val="both"/>
      </w:pPr>
    </w:p>
    <w:p w14:paraId="31092A12" w14:textId="77777777" w:rsidR="006E669B" w:rsidRPr="006E669B" w:rsidRDefault="006E669B" w:rsidP="006E669B">
      <w:pPr>
        <w:jc w:val="both"/>
        <w:rPr>
          <w:b/>
        </w:rPr>
      </w:pPr>
      <w:r w:rsidRPr="006E669B">
        <w:rPr>
          <w:b/>
        </w:rPr>
        <w:t>XIV.</w:t>
      </w:r>
      <w:r w:rsidRPr="006E669B">
        <w:rPr>
          <w:b/>
        </w:rPr>
        <w:tab/>
      </w:r>
      <w:r w:rsidRPr="006E669B">
        <w:rPr>
          <w:b/>
          <w:u w:val="single"/>
        </w:rPr>
        <w:t>RULINGS</w:t>
      </w:r>
    </w:p>
    <w:p w14:paraId="479FC40A" w14:textId="77777777" w:rsidR="006E669B" w:rsidRPr="006E669B" w:rsidRDefault="006E669B" w:rsidP="006E669B">
      <w:pPr>
        <w:jc w:val="both"/>
      </w:pPr>
    </w:p>
    <w:p w14:paraId="573082C2" w14:textId="7EA657E0" w:rsidR="006E669B" w:rsidRPr="006E669B" w:rsidRDefault="006E669B" w:rsidP="006E669B">
      <w:pPr>
        <w:ind w:firstLine="720"/>
        <w:jc w:val="both"/>
      </w:pPr>
      <w:r w:rsidRPr="006E669B">
        <w:t xml:space="preserve">Opening statements, if any, shall not </w:t>
      </w:r>
      <w:r w:rsidR="002F3292">
        <w:t>exceed three</w:t>
      </w:r>
      <w:r w:rsidR="00232D2A">
        <w:t xml:space="preserve"> minutes per party.</w:t>
      </w:r>
    </w:p>
    <w:p w14:paraId="7B151F1F" w14:textId="77777777" w:rsidR="006E669B" w:rsidRPr="006E669B" w:rsidRDefault="006E669B" w:rsidP="006E669B">
      <w:pPr>
        <w:jc w:val="both"/>
      </w:pPr>
    </w:p>
    <w:p w14:paraId="7457CF83" w14:textId="77777777" w:rsidR="006E669B" w:rsidRPr="006E669B" w:rsidRDefault="006E669B" w:rsidP="006E669B">
      <w:pPr>
        <w:jc w:val="both"/>
      </w:pPr>
      <w:r w:rsidRPr="006E669B">
        <w:tab/>
        <w:t>It is therefore,</w:t>
      </w:r>
    </w:p>
    <w:p w14:paraId="67C0BA1E" w14:textId="77777777" w:rsidR="006E669B" w:rsidRPr="006E669B" w:rsidRDefault="006E669B" w:rsidP="006E669B">
      <w:pPr>
        <w:jc w:val="both"/>
      </w:pPr>
    </w:p>
    <w:p w14:paraId="67B0EF88" w14:textId="77777777" w:rsidR="00CB5276" w:rsidRDefault="006E669B" w:rsidP="006E669B">
      <w:pPr>
        <w:pStyle w:val="OrderBody"/>
      </w:pPr>
      <w:r w:rsidRPr="006E669B">
        <w:tab/>
        <w:t xml:space="preserve">ORDERED by Commissioner </w:t>
      </w:r>
      <w:r w:rsidR="00A3326C">
        <w:t>Art Graham</w:t>
      </w:r>
      <w:r w:rsidRPr="006E669B">
        <w:t>, as Prehearing Officer, that this Prehearing Order shall govern the conduct of these proceedings as set forth above unless modified by the Commission.</w:t>
      </w:r>
    </w:p>
    <w:p w14:paraId="09E21E0F" w14:textId="77777777" w:rsidR="006E669B" w:rsidRDefault="006E669B" w:rsidP="006E669B">
      <w:pPr>
        <w:pStyle w:val="OrderBody"/>
      </w:pPr>
    </w:p>
    <w:p w14:paraId="5B57C4D5" w14:textId="142A41FC" w:rsidR="00687F26" w:rsidRDefault="006E669B" w:rsidP="006E669B">
      <w:pPr>
        <w:pStyle w:val="OrderBody"/>
        <w:keepNext/>
        <w:keepLines/>
      </w:pPr>
      <w:r>
        <w:tab/>
        <w:t xml:space="preserve">By ORDER of Commissioner Art Graham, as Prehearing Officer, this </w:t>
      </w:r>
      <w:bookmarkStart w:id="5" w:name="replaceDate"/>
      <w:bookmarkEnd w:id="5"/>
      <w:r w:rsidR="00687F26">
        <w:rPr>
          <w:u w:val="single"/>
        </w:rPr>
        <w:t>14th</w:t>
      </w:r>
      <w:r w:rsidR="00687F26">
        <w:t xml:space="preserve"> day of </w:t>
      </w:r>
      <w:r w:rsidR="00687F26">
        <w:rPr>
          <w:u w:val="single"/>
        </w:rPr>
        <w:t>June</w:t>
      </w:r>
      <w:r w:rsidR="00687F26">
        <w:t xml:space="preserve">, </w:t>
      </w:r>
      <w:r w:rsidR="00687F26">
        <w:rPr>
          <w:u w:val="single"/>
        </w:rPr>
        <w:t>2024</w:t>
      </w:r>
      <w:r w:rsidR="00687F26">
        <w:t>.</w:t>
      </w:r>
    </w:p>
    <w:p w14:paraId="34321140" w14:textId="77777777" w:rsidR="00687F26" w:rsidRPr="00687F26" w:rsidRDefault="00687F26" w:rsidP="006E669B">
      <w:pPr>
        <w:pStyle w:val="OrderBody"/>
        <w:keepNext/>
        <w:keepLines/>
      </w:pPr>
    </w:p>
    <w:p w14:paraId="0C8BD59E" w14:textId="77777777" w:rsidR="006E669B" w:rsidRDefault="006E669B" w:rsidP="006E669B">
      <w:pPr>
        <w:pStyle w:val="OrderBody"/>
        <w:keepNext/>
        <w:keepLines/>
      </w:pPr>
    </w:p>
    <w:p w14:paraId="6B8ECBFD" w14:textId="77777777" w:rsidR="006E669B" w:rsidRDefault="006E669B" w:rsidP="006E669B">
      <w:pPr>
        <w:pStyle w:val="OrderBody"/>
        <w:keepNext/>
        <w:keepLines/>
      </w:pPr>
    </w:p>
    <w:p w14:paraId="60348E96" w14:textId="77777777" w:rsidR="006E669B" w:rsidRDefault="006E669B" w:rsidP="006E669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E669B" w14:paraId="78F9B346" w14:textId="77777777" w:rsidTr="006E669B">
        <w:tc>
          <w:tcPr>
            <w:tcW w:w="720" w:type="dxa"/>
            <w:shd w:val="clear" w:color="auto" w:fill="auto"/>
          </w:tcPr>
          <w:p w14:paraId="5B4EFD10" w14:textId="77777777" w:rsidR="006E669B" w:rsidRDefault="006E669B" w:rsidP="006E669B">
            <w:pPr>
              <w:pStyle w:val="OrderBody"/>
              <w:keepNext/>
              <w:keepLines/>
            </w:pPr>
            <w:bookmarkStart w:id="6" w:name="bkmrkSignature" w:colFirst="0" w:colLast="0"/>
          </w:p>
        </w:tc>
        <w:tc>
          <w:tcPr>
            <w:tcW w:w="4320" w:type="dxa"/>
            <w:tcBorders>
              <w:bottom w:val="single" w:sz="4" w:space="0" w:color="auto"/>
            </w:tcBorders>
            <w:shd w:val="clear" w:color="auto" w:fill="auto"/>
          </w:tcPr>
          <w:p w14:paraId="004F3039" w14:textId="492545D4" w:rsidR="006E669B" w:rsidRDefault="00687F26" w:rsidP="006E669B">
            <w:pPr>
              <w:pStyle w:val="OrderBody"/>
              <w:keepNext/>
              <w:keepLines/>
            </w:pPr>
            <w:r>
              <w:t>/s/ Art Graham</w:t>
            </w:r>
            <w:bookmarkStart w:id="7" w:name="_GoBack"/>
            <w:bookmarkEnd w:id="7"/>
          </w:p>
        </w:tc>
      </w:tr>
      <w:bookmarkEnd w:id="6"/>
      <w:tr w:rsidR="006E669B" w14:paraId="16290C2C" w14:textId="77777777" w:rsidTr="006E669B">
        <w:tc>
          <w:tcPr>
            <w:tcW w:w="720" w:type="dxa"/>
            <w:shd w:val="clear" w:color="auto" w:fill="auto"/>
          </w:tcPr>
          <w:p w14:paraId="1E5F89F5" w14:textId="77777777" w:rsidR="006E669B" w:rsidRDefault="006E669B" w:rsidP="006E669B">
            <w:pPr>
              <w:pStyle w:val="OrderBody"/>
              <w:keepNext/>
              <w:keepLines/>
            </w:pPr>
          </w:p>
        </w:tc>
        <w:tc>
          <w:tcPr>
            <w:tcW w:w="4320" w:type="dxa"/>
            <w:tcBorders>
              <w:top w:val="single" w:sz="4" w:space="0" w:color="auto"/>
            </w:tcBorders>
            <w:shd w:val="clear" w:color="auto" w:fill="auto"/>
          </w:tcPr>
          <w:p w14:paraId="523C31BA" w14:textId="77777777" w:rsidR="006E669B" w:rsidRDefault="006E669B" w:rsidP="006E669B">
            <w:pPr>
              <w:pStyle w:val="OrderBody"/>
              <w:keepNext/>
              <w:keepLines/>
            </w:pPr>
            <w:r>
              <w:t>ART GRAHAM</w:t>
            </w:r>
          </w:p>
          <w:p w14:paraId="6A4C8F79" w14:textId="77777777" w:rsidR="006E669B" w:rsidRDefault="006E669B" w:rsidP="006E669B">
            <w:pPr>
              <w:pStyle w:val="OrderBody"/>
              <w:keepNext/>
              <w:keepLines/>
            </w:pPr>
            <w:r>
              <w:t>Commissioner and Prehearing Officer</w:t>
            </w:r>
          </w:p>
        </w:tc>
      </w:tr>
    </w:tbl>
    <w:p w14:paraId="3FC4A716" w14:textId="77777777" w:rsidR="006E669B" w:rsidRDefault="006E669B" w:rsidP="006E669B">
      <w:pPr>
        <w:pStyle w:val="OrderSigInfo"/>
        <w:keepNext/>
        <w:keepLines/>
      </w:pPr>
      <w:r>
        <w:t>Florida Public Service Commission</w:t>
      </w:r>
    </w:p>
    <w:p w14:paraId="764ACC2F" w14:textId="77777777" w:rsidR="006E669B" w:rsidRDefault="006E669B" w:rsidP="006E669B">
      <w:pPr>
        <w:pStyle w:val="OrderSigInfo"/>
        <w:keepNext/>
        <w:keepLines/>
      </w:pPr>
      <w:r>
        <w:t>2540 Shumard Oak Boulevard</w:t>
      </w:r>
    </w:p>
    <w:p w14:paraId="2E881512" w14:textId="77777777" w:rsidR="006E669B" w:rsidRDefault="006E669B" w:rsidP="006E669B">
      <w:pPr>
        <w:pStyle w:val="OrderSigInfo"/>
        <w:keepNext/>
        <w:keepLines/>
      </w:pPr>
      <w:r>
        <w:t>Tallahassee, Florida 32399</w:t>
      </w:r>
    </w:p>
    <w:p w14:paraId="359D1FE4" w14:textId="77777777" w:rsidR="006E669B" w:rsidRDefault="006E669B" w:rsidP="006E669B">
      <w:pPr>
        <w:pStyle w:val="OrderSigInfo"/>
        <w:keepNext/>
        <w:keepLines/>
      </w:pPr>
      <w:r>
        <w:t>(850) 413</w:t>
      </w:r>
      <w:r>
        <w:noBreakHyphen/>
        <w:t>6770</w:t>
      </w:r>
    </w:p>
    <w:p w14:paraId="67DD4B30" w14:textId="77777777" w:rsidR="006E669B" w:rsidRDefault="006E669B" w:rsidP="006E669B">
      <w:pPr>
        <w:pStyle w:val="OrderSigInfo"/>
        <w:keepNext/>
        <w:keepLines/>
      </w:pPr>
      <w:r>
        <w:t>www.floridapsc.com</w:t>
      </w:r>
    </w:p>
    <w:p w14:paraId="2F9A56B7" w14:textId="77777777" w:rsidR="006E669B" w:rsidRDefault="006E669B" w:rsidP="006E669B">
      <w:pPr>
        <w:pStyle w:val="OrderSigInfo"/>
        <w:keepNext/>
        <w:keepLines/>
      </w:pPr>
    </w:p>
    <w:p w14:paraId="4EFD81FF" w14:textId="77777777" w:rsidR="006E669B" w:rsidRDefault="006E669B" w:rsidP="006E669B">
      <w:pPr>
        <w:pStyle w:val="OrderSigInfo"/>
        <w:keepNext/>
        <w:keepLines/>
      </w:pPr>
      <w:r>
        <w:t>Copies furnished:  A copy of this document is provided to the parties of record at the time of issuance and, if applicable, interested persons.</w:t>
      </w:r>
    </w:p>
    <w:p w14:paraId="6E70F378" w14:textId="77777777" w:rsidR="006E669B" w:rsidRDefault="006E669B" w:rsidP="006E669B">
      <w:pPr>
        <w:pStyle w:val="OrderBody"/>
        <w:keepNext/>
        <w:keepLines/>
      </w:pPr>
    </w:p>
    <w:p w14:paraId="7E3928A5" w14:textId="77777777" w:rsidR="006E669B" w:rsidRDefault="006E669B" w:rsidP="006E669B">
      <w:pPr>
        <w:pStyle w:val="OrderBody"/>
        <w:keepNext/>
        <w:keepLines/>
      </w:pPr>
    </w:p>
    <w:p w14:paraId="71D92B10" w14:textId="77777777" w:rsidR="006E669B" w:rsidRDefault="006E669B" w:rsidP="006E669B">
      <w:pPr>
        <w:pStyle w:val="OrderBody"/>
        <w:keepNext/>
        <w:keepLines/>
      </w:pPr>
      <w:r>
        <w:t>SPS</w:t>
      </w:r>
    </w:p>
    <w:p w14:paraId="3355FF06" w14:textId="77777777" w:rsidR="006E669B" w:rsidRDefault="006E669B" w:rsidP="006E669B">
      <w:pPr>
        <w:pStyle w:val="OrderBody"/>
      </w:pPr>
    </w:p>
    <w:p w14:paraId="0525468D" w14:textId="77777777" w:rsidR="006E669B" w:rsidRDefault="006E669B" w:rsidP="006E669B">
      <w:pPr>
        <w:pStyle w:val="OrderBody"/>
      </w:pPr>
    </w:p>
    <w:p w14:paraId="021039A3" w14:textId="77777777" w:rsidR="006E669B" w:rsidRDefault="006E669B" w:rsidP="006E669B">
      <w:pPr>
        <w:pStyle w:val="CenterUnderline"/>
      </w:pPr>
      <w:r>
        <w:t>NOTICE OF FURTHER PROCEEDINGS OR JUDICIAL REVIEW</w:t>
      </w:r>
    </w:p>
    <w:p w14:paraId="437FCE59" w14:textId="77777777" w:rsidR="006E669B" w:rsidRDefault="006E669B" w:rsidP="006E669B">
      <w:pPr>
        <w:pStyle w:val="CenterUnderline"/>
      </w:pPr>
    </w:p>
    <w:p w14:paraId="191C05A7" w14:textId="77777777" w:rsidR="006E669B" w:rsidRDefault="006E669B" w:rsidP="006E669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3118F90" w14:textId="77777777" w:rsidR="006E669B" w:rsidRDefault="006E669B" w:rsidP="006E669B">
      <w:pPr>
        <w:pStyle w:val="OrderBody"/>
      </w:pPr>
    </w:p>
    <w:p w14:paraId="33BD747C" w14:textId="77777777" w:rsidR="006E669B" w:rsidRDefault="006E669B" w:rsidP="006E669B">
      <w:pPr>
        <w:pStyle w:val="OrderBody"/>
      </w:pPr>
      <w:r>
        <w:tab/>
        <w:t>Mediation may be available on a case-by-case basis.  If mediation is conducted, it does not affect a substantially interested person's right to a hearing.</w:t>
      </w:r>
    </w:p>
    <w:p w14:paraId="062A857A" w14:textId="77777777" w:rsidR="006E669B" w:rsidRDefault="006E669B" w:rsidP="006E669B">
      <w:pPr>
        <w:pStyle w:val="OrderBody"/>
      </w:pPr>
    </w:p>
    <w:p w14:paraId="284F574A" w14:textId="77777777" w:rsidR="006E669B" w:rsidRDefault="006E669B" w:rsidP="006E669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6D46DAE" w14:textId="77777777" w:rsidR="00FC6831" w:rsidRDefault="00FC6831" w:rsidP="006E669B">
      <w:pPr>
        <w:pStyle w:val="OrderBody"/>
        <w:sectPr w:rsidR="00FC6831">
          <w:headerReference w:type="even" r:id="rId9"/>
          <w:headerReference w:type="default" r:id="rId10"/>
          <w:footerReference w:type="first" r:id="rId11"/>
          <w:pgSz w:w="12240" w:h="15840" w:code="1"/>
          <w:pgMar w:top="1440" w:right="1440" w:bottom="1440" w:left="1440" w:header="720" w:footer="720" w:gutter="0"/>
          <w:cols w:space="720"/>
          <w:titlePg/>
          <w:docGrid w:linePitch="360"/>
        </w:sectPr>
      </w:pPr>
    </w:p>
    <w:p w14:paraId="1E805DBE" w14:textId="77777777" w:rsidR="006E669B" w:rsidRDefault="00FC6831" w:rsidP="006E669B">
      <w:pPr>
        <w:pStyle w:val="OrderBody"/>
      </w:pPr>
      <w:r w:rsidRPr="00FC6831">
        <w:rPr>
          <w:b/>
          <w:noProof/>
          <w:color w:val="FF0000"/>
        </w:rPr>
        <w:lastRenderedPageBreak/>
        <w:drawing>
          <wp:inline distT="0" distB="0" distL="0" distR="0" wp14:anchorId="6A6FF36B" wp14:editId="63DA3F23">
            <wp:extent cx="7791519" cy="6020747"/>
            <wp:effectExtent l="9207" t="0" r="9208" b="9207"/>
            <wp:docPr id="3" name="Picture 3" descr="C:\Users\CVaughan\Desktop\20230017 - FPL Prehearing Statement - Hurricane Ian and Nicole - Att A - FPL-OPC Stips (Fully Executed)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Vaughan\Desktop\20230017 - FPL Prehearing Statement - Hurricane Ian and Nicole - Att A - FPL-OPC Stips (Fully Executed)_Page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7805500" cy="6031551"/>
                    </a:xfrm>
                    <a:prstGeom prst="rect">
                      <a:avLst/>
                    </a:prstGeom>
                    <a:noFill/>
                    <a:ln>
                      <a:noFill/>
                    </a:ln>
                  </pic:spPr>
                </pic:pic>
              </a:graphicData>
            </a:graphic>
          </wp:inline>
        </w:drawing>
      </w:r>
    </w:p>
    <w:p w14:paraId="3D98F7F9" w14:textId="30EA1063" w:rsidR="00FC6831" w:rsidRDefault="00FC6831" w:rsidP="00FC6831">
      <w:pPr>
        <w:jc w:val="both"/>
        <w:rPr>
          <w:b/>
          <w:color w:val="FF0000"/>
        </w:rPr>
        <w:sectPr w:rsidR="00FC6831">
          <w:headerReference w:type="even" r:id="rId13"/>
          <w:headerReference w:type="default" r:id="rId14"/>
          <w:headerReference w:type="first" r:id="rId15"/>
          <w:pgSz w:w="12240" w:h="15840" w:code="1"/>
          <w:pgMar w:top="1440" w:right="1440" w:bottom="1440" w:left="1440" w:header="720" w:footer="720" w:gutter="0"/>
          <w:cols w:space="720"/>
          <w:titlePg/>
          <w:docGrid w:linePitch="360"/>
        </w:sectPr>
      </w:pPr>
    </w:p>
    <w:p w14:paraId="306DDCE8" w14:textId="21080A78" w:rsidR="00FC6831" w:rsidRDefault="00FC6831" w:rsidP="00FC6831">
      <w:pPr>
        <w:jc w:val="both"/>
      </w:pPr>
      <w:r w:rsidRPr="00FC6831">
        <w:rPr>
          <w:noProof/>
        </w:rPr>
        <w:lastRenderedPageBreak/>
        <w:drawing>
          <wp:inline distT="0" distB="0" distL="0" distR="0" wp14:anchorId="46B517CD" wp14:editId="2C5EF781">
            <wp:extent cx="7705252" cy="5954059"/>
            <wp:effectExtent l="0" t="635" r="0" b="0"/>
            <wp:docPr id="4" name="Picture 4" descr="C:\Users\CVaughan\Desktop\20230017 - FPL Prehearing Statement - Hurricane Ian and Nicole - Att A - FPL-OPC Stips (Fully Executed)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Vaughan\Desktop\20230017 - FPL Prehearing Statement - Hurricane Ian and Nicole - Att A - FPL-OPC Stips (Fully Executed)_Page_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6200000">
                      <a:off x="0" y="0"/>
                      <a:ext cx="7719834" cy="5965327"/>
                    </a:xfrm>
                    <a:prstGeom prst="rect">
                      <a:avLst/>
                    </a:prstGeom>
                    <a:noFill/>
                    <a:ln>
                      <a:noFill/>
                    </a:ln>
                  </pic:spPr>
                </pic:pic>
              </a:graphicData>
            </a:graphic>
          </wp:inline>
        </w:drawing>
      </w:r>
    </w:p>
    <w:p w14:paraId="4C866021" w14:textId="77777777" w:rsidR="00D63101" w:rsidRDefault="00D63101" w:rsidP="00FC6831">
      <w:pPr>
        <w:jc w:val="both"/>
        <w:sectPr w:rsidR="00D63101">
          <w:headerReference w:type="even" r:id="rId17"/>
          <w:headerReference w:type="default" r:id="rId18"/>
          <w:headerReference w:type="first" r:id="rId19"/>
          <w:pgSz w:w="12240" w:h="15840" w:code="1"/>
          <w:pgMar w:top="1440" w:right="1440" w:bottom="1440" w:left="1440" w:header="720" w:footer="720" w:gutter="0"/>
          <w:cols w:space="720"/>
          <w:titlePg/>
          <w:docGrid w:linePitch="360"/>
        </w:sectPr>
      </w:pPr>
    </w:p>
    <w:p w14:paraId="01C074C5" w14:textId="37DAEC6A" w:rsidR="00FC6831" w:rsidRDefault="00FC6831" w:rsidP="00FC6831">
      <w:pPr>
        <w:jc w:val="both"/>
      </w:pPr>
      <w:r w:rsidRPr="00FC6831">
        <w:rPr>
          <w:noProof/>
        </w:rPr>
        <w:lastRenderedPageBreak/>
        <w:drawing>
          <wp:inline distT="0" distB="0" distL="0" distR="0" wp14:anchorId="5249D625" wp14:editId="75A931D0">
            <wp:extent cx="7729905" cy="5973109"/>
            <wp:effectExtent l="2223" t="0" r="6667" b="6668"/>
            <wp:docPr id="5" name="Picture 5" descr="C:\Users\CVaughan\Desktop\20230017 - FPL Prehearing Statement - Hurricane Ian and Nicole - Att A - FPL-OPC Stips (Fully Executed)_P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Vaughan\Desktop\20230017 - FPL Prehearing Statement - Hurricane Ian and Nicole - Att A - FPL-OPC Stips (Fully Executed)_Page_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6200000">
                      <a:off x="0" y="0"/>
                      <a:ext cx="7736118" cy="5977910"/>
                    </a:xfrm>
                    <a:prstGeom prst="rect">
                      <a:avLst/>
                    </a:prstGeom>
                    <a:noFill/>
                    <a:ln>
                      <a:noFill/>
                    </a:ln>
                  </pic:spPr>
                </pic:pic>
              </a:graphicData>
            </a:graphic>
          </wp:inline>
        </w:drawing>
      </w:r>
    </w:p>
    <w:p w14:paraId="64AC6F34" w14:textId="77777777" w:rsidR="00D63101" w:rsidRDefault="00D63101" w:rsidP="00FC6831">
      <w:pPr>
        <w:jc w:val="both"/>
        <w:sectPr w:rsidR="00D63101">
          <w:headerReference w:type="even" r:id="rId21"/>
          <w:headerReference w:type="default" r:id="rId22"/>
          <w:headerReference w:type="first" r:id="rId23"/>
          <w:pgSz w:w="12240" w:h="15840" w:code="1"/>
          <w:pgMar w:top="1440" w:right="1440" w:bottom="1440" w:left="1440" w:header="720" w:footer="720" w:gutter="0"/>
          <w:cols w:space="720"/>
          <w:titlePg/>
          <w:docGrid w:linePitch="360"/>
        </w:sectPr>
      </w:pPr>
    </w:p>
    <w:p w14:paraId="4F4C5DCA" w14:textId="7C160ED4" w:rsidR="00FC6831" w:rsidRDefault="00FC6831" w:rsidP="00FC6831">
      <w:pPr>
        <w:jc w:val="both"/>
      </w:pPr>
      <w:r w:rsidRPr="00FC6831">
        <w:rPr>
          <w:noProof/>
        </w:rPr>
        <w:lastRenderedPageBreak/>
        <w:drawing>
          <wp:inline distT="0" distB="0" distL="0" distR="0" wp14:anchorId="76E8F9BC" wp14:editId="62C1A731">
            <wp:extent cx="7705252" cy="5954059"/>
            <wp:effectExtent l="0" t="635" r="0" b="0"/>
            <wp:docPr id="6" name="Picture 6" descr="C:\Users\CVaughan\Desktop\20230017 - FPL Prehearing Statement - Hurricane Ian and Nicole - Att A - FPL-OPC Stips (Fully Executed)_P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Vaughan\Desktop\20230017 - FPL Prehearing Statement - Hurricane Ian and Nicole - Att A - FPL-OPC Stips (Fully Executed)_Page_4.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16200000">
                      <a:off x="0" y="0"/>
                      <a:ext cx="7714843" cy="5961470"/>
                    </a:xfrm>
                    <a:prstGeom prst="rect">
                      <a:avLst/>
                    </a:prstGeom>
                    <a:noFill/>
                    <a:ln>
                      <a:noFill/>
                    </a:ln>
                  </pic:spPr>
                </pic:pic>
              </a:graphicData>
            </a:graphic>
          </wp:inline>
        </w:drawing>
      </w:r>
    </w:p>
    <w:p w14:paraId="7543E209" w14:textId="77777777" w:rsidR="00D63101" w:rsidRDefault="00D63101" w:rsidP="00FC6831">
      <w:pPr>
        <w:jc w:val="both"/>
        <w:sectPr w:rsidR="00D63101">
          <w:headerReference w:type="even" r:id="rId25"/>
          <w:headerReference w:type="default" r:id="rId26"/>
          <w:headerReference w:type="first" r:id="rId27"/>
          <w:pgSz w:w="12240" w:h="15840" w:code="1"/>
          <w:pgMar w:top="1440" w:right="1440" w:bottom="1440" w:left="1440" w:header="720" w:footer="720" w:gutter="0"/>
          <w:cols w:space="720"/>
          <w:titlePg/>
          <w:docGrid w:linePitch="360"/>
        </w:sectPr>
      </w:pPr>
    </w:p>
    <w:p w14:paraId="3FB6FF61" w14:textId="77777777" w:rsidR="00C3390E" w:rsidRDefault="00FC6831" w:rsidP="00FC6831">
      <w:pPr>
        <w:jc w:val="both"/>
      </w:pPr>
      <w:r w:rsidRPr="00FC6831">
        <w:rPr>
          <w:noProof/>
        </w:rPr>
        <w:lastRenderedPageBreak/>
        <w:drawing>
          <wp:inline distT="0" distB="0" distL="0" distR="0" wp14:anchorId="3A37F36B" wp14:editId="0F8229F0">
            <wp:extent cx="7655946" cy="5915959"/>
            <wp:effectExtent l="0" t="6350" r="0" b="0"/>
            <wp:docPr id="7" name="Picture 7" descr="C:\Users\CVaughan\Desktop\20230017 - FPL Prehearing Statement - Hurricane Ian and Nicole - Att A - FPL-OPC Stips (Fully Executed)_P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Vaughan\Desktop\20230017 - FPL Prehearing Statement - Hurricane Ian and Nicole - Att A - FPL-OPC Stips (Fully Executed)_Page_5.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16200000">
                      <a:off x="0" y="0"/>
                      <a:ext cx="7667673" cy="5925020"/>
                    </a:xfrm>
                    <a:prstGeom prst="rect">
                      <a:avLst/>
                    </a:prstGeom>
                    <a:noFill/>
                    <a:ln>
                      <a:noFill/>
                    </a:ln>
                  </pic:spPr>
                </pic:pic>
              </a:graphicData>
            </a:graphic>
          </wp:inline>
        </w:drawing>
      </w:r>
    </w:p>
    <w:sectPr w:rsidR="00C3390E">
      <w:headerReference w:type="even" r:id="rId29"/>
      <w:headerReference w:type="default" r:id="rId30"/>
      <w:headerReference w:type="first" r:id="rId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9716" w14:textId="77777777" w:rsidR="00687F26" w:rsidRDefault="00687F26">
      <w:r>
        <w:separator/>
      </w:r>
    </w:p>
  </w:endnote>
  <w:endnote w:type="continuationSeparator" w:id="0">
    <w:p w14:paraId="5B8A1C4A" w14:textId="77777777" w:rsidR="00687F26" w:rsidRDefault="0068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0F3E" w14:textId="77777777" w:rsidR="00687F26" w:rsidRDefault="00687F26">
    <w:pPr>
      <w:pStyle w:val="Footer"/>
    </w:pPr>
  </w:p>
  <w:p w14:paraId="7C65A033" w14:textId="77777777" w:rsidR="00687F26" w:rsidRDefault="00687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14DB" w14:textId="77777777" w:rsidR="00687F26" w:rsidRDefault="00687F26">
      <w:r>
        <w:separator/>
      </w:r>
    </w:p>
  </w:footnote>
  <w:footnote w:type="continuationSeparator" w:id="0">
    <w:p w14:paraId="71D81A53" w14:textId="77777777" w:rsidR="00687F26" w:rsidRDefault="00687F26">
      <w:r>
        <w:continuationSeparator/>
      </w:r>
    </w:p>
  </w:footnote>
  <w:footnote w:id="1">
    <w:p w14:paraId="5716DC7E" w14:textId="29AA510A" w:rsidR="00687F26" w:rsidRPr="00063009" w:rsidRDefault="00687F26" w:rsidP="00E2191F">
      <w:pPr>
        <w:pStyle w:val="FootnoteText"/>
      </w:pPr>
      <w:r>
        <w:rPr>
          <w:rStyle w:val="FootnoteReference"/>
        </w:rPr>
        <w:footnoteRef/>
      </w:r>
      <w:r w:rsidRPr="003A4C2F">
        <w:t>Order No. PSC-2021-0446-S-EI</w:t>
      </w:r>
      <w:r>
        <w:t xml:space="preserve">, issued December 2, 2021, in Docket No. 20210015-EI, </w:t>
      </w:r>
      <w:r>
        <w:rPr>
          <w:i/>
        </w:rPr>
        <w:t>In re: Petition for rate increase by Florida Power &amp; Light Company</w:t>
      </w:r>
      <w:r>
        <w:t>.</w:t>
      </w:r>
    </w:p>
  </w:footnote>
  <w:footnote w:id="2">
    <w:p w14:paraId="2315AE0F" w14:textId="20476F28" w:rsidR="00687F26" w:rsidRDefault="00687F26" w:rsidP="00E2191F">
      <w:pPr>
        <w:pStyle w:val="FootnoteText"/>
      </w:pPr>
      <w:r>
        <w:rPr>
          <w:rStyle w:val="FootnoteReference"/>
        </w:rPr>
        <w:footnoteRef/>
      </w:r>
      <w:r w:rsidRPr="00DB105F">
        <w:t>Order No</w:t>
      </w:r>
      <w:r>
        <w:t>s</w:t>
      </w:r>
      <w:r w:rsidRPr="00DB105F">
        <w:t>. PSC-2019-0221-PCO-EI</w:t>
      </w:r>
      <w:r>
        <w:t xml:space="preserve"> and PSC-2022-0406-FOF-EI</w:t>
      </w:r>
      <w:r>
        <w:rPr>
          <w:i/>
        </w:rPr>
        <w:t>.</w:t>
      </w:r>
    </w:p>
  </w:footnote>
  <w:footnote w:id="3">
    <w:p w14:paraId="11C33897" w14:textId="77777777" w:rsidR="00687F26" w:rsidRPr="000440CD" w:rsidRDefault="00687F26" w:rsidP="00721243">
      <w:pPr>
        <w:pStyle w:val="FootnoteText"/>
      </w:pPr>
      <w:r w:rsidRPr="000440CD">
        <w:rPr>
          <w:rStyle w:val="FootnoteReference"/>
        </w:rPr>
        <w:footnoteRef/>
      </w:r>
      <w:r w:rsidRPr="000440CD">
        <w:t xml:space="preserve"> FPL’s total Recoverable Storm Amount, upon which the Consolidated Interim Storm Restoration Recovery Charge was based, includes:  (i) the actual retail incremental storm restoration costs associated with Hurricane Ian; (ii) the actual retail incremental storm restoration costs associated with Hurricane Nicole; (iii) the replenishment of FPL’s storm reserve in accordance with Paragraph 10 of the Stipulation and Settlement approved in Order No. PSC-2021-0446-S-EI; and (iv) the remaining amounts to be collected for Hurricanes Michael, Sally, and Zeta, which have been previously approved by the Commission Order Nos. PSC-2020-0349-S-EI and PSC-2022-0406-FOF-EI.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D5D5" w14:textId="36BE3FEA" w:rsidR="00687F26" w:rsidRDefault="00687F26">
    <w:pPr>
      <w:pStyle w:val="Header"/>
    </w:pPr>
    <w:r>
      <w:rPr>
        <w:noProof/>
      </w:rPr>
      <w:pict w14:anchorId="070A7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797" o:spid="_x0000_s266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D7E6" w14:textId="6878DDE7" w:rsidR="00687F26" w:rsidRDefault="00687F26">
    <w:pPr>
      <w:pStyle w:val="Header"/>
    </w:pPr>
    <w:r>
      <w:rPr>
        <w:noProof/>
      </w:rPr>
      <w:pict w14:anchorId="4D76F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7" o:spid="_x0000_s26636"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24E5" w14:textId="0DC58FDF" w:rsidR="00687F26" w:rsidRDefault="00687F26" w:rsidP="00FC6831">
    <w:pPr>
      <w:pStyle w:val="OrderHeader"/>
    </w:pPr>
    <w:r>
      <w:rPr>
        <w:noProof/>
      </w:rPr>
      <w:pict w14:anchorId="2E084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5" o:spid="_x0000_s26634" type="#_x0000_t136" style="position:absolute;left:0;text-align:left;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ORDER NO. </w:t>
    </w:r>
    <w:fldSimple w:instr=" REF OrderNo0192 ">
      <w:r>
        <w:t>PSC-2024-0192-PHO-EI</w:t>
      </w:r>
    </w:fldSimple>
    <w:r>
      <w:tab/>
    </w:r>
    <w:r>
      <w:tab/>
      <w:t>Attachment A</w:t>
    </w:r>
  </w:p>
  <w:p w14:paraId="73AB5881" w14:textId="77777777" w:rsidR="00687F26" w:rsidRDefault="00687F26" w:rsidP="00FC6831">
    <w:pPr>
      <w:pStyle w:val="OrderHeader"/>
    </w:pPr>
    <w:r>
      <w:t>DOCKET NO. 20230017-EI</w:t>
    </w:r>
  </w:p>
  <w:p w14:paraId="0F6F3B9C" w14:textId="0C3F50EA" w:rsidR="00687F26" w:rsidRDefault="00687F26" w:rsidP="00FC68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87E">
      <w:rPr>
        <w:rStyle w:val="PageNumber"/>
        <w:noProof/>
      </w:rPr>
      <w:t>24</w:t>
    </w:r>
    <w:r>
      <w:rPr>
        <w:rStyle w:val="PageNumber"/>
      </w:rPr>
      <w:fldChar w:fldCharType="end"/>
    </w:r>
  </w:p>
  <w:p w14:paraId="394E9522" w14:textId="77777777" w:rsidR="00687F26" w:rsidRDefault="00687F2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30AC" w14:textId="3B050BB4" w:rsidR="00687F26" w:rsidRDefault="00687F26">
    <w:pPr>
      <w:pStyle w:val="Header"/>
    </w:pPr>
    <w:r>
      <w:rPr>
        <w:noProof/>
      </w:rPr>
      <w:pict w14:anchorId="2B822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9" o:spid="_x0000_s26638"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1133D" w14:textId="28ACE5C0" w:rsidR="00687F26" w:rsidRDefault="00687F26">
    <w:pPr>
      <w:pStyle w:val="Header"/>
    </w:pPr>
    <w:r>
      <w:rPr>
        <w:noProof/>
      </w:rPr>
      <w:pict w14:anchorId="280D7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10" o:spid="_x0000_s26639" type="#_x0000_t136" style="position:absolute;margin-left:0;margin-top:0;width:471.3pt;height:188.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9D978" w14:textId="3F18270F" w:rsidR="00687F26" w:rsidRDefault="00687F26" w:rsidP="00FC6831">
    <w:pPr>
      <w:pStyle w:val="OrderHeader"/>
    </w:pPr>
    <w:r>
      <w:rPr>
        <w:noProof/>
      </w:rPr>
      <w:pict w14:anchorId="29C55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8" o:spid="_x0000_s26637" type="#_x0000_t136" style="position:absolute;left:0;text-align:left;margin-left:0;margin-top:0;width:471.3pt;height:188.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ORDER NO. </w:t>
    </w:r>
    <w:fldSimple w:instr=" REF OrderNo0192 ">
      <w:r>
        <w:t>PSC-2024-0192-PHO-EI</w:t>
      </w:r>
    </w:fldSimple>
    <w:r>
      <w:tab/>
    </w:r>
    <w:r>
      <w:tab/>
      <w:t>Attachment A</w:t>
    </w:r>
  </w:p>
  <w:p w14:paraId="4308AC02" w14:textId="77777777" w:rsidR="00687F26" w:rsidRDefault="00687F26" w:rsidP="00FC6831">
    <w:pPr>
      <w:pStyle w:val="OrderHeader"/>
    </w:pPr>
    <w:r>
      <w:t>DOCKET NO. 20230017-EI</w:t>
    </w:r>
  </w:p>
  <w:p w14:paraId="3EBB9348" w14:textId="3E939F71" w:rsidR="00687F26" w:rsidRDefault="00687F26" w:rsidP="00FC68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87E">
      <w:rPr>
        <w:rStyle w:val="PageNumber"/>
        <w:noProof/>
      </w:rPr>
      <w:t>25</w:t>
    </w:r>
    <w:r>
      <w:rPr>
        <w:rStyle w:val="PageNumber"/>
      </w:rPr>
      <w:fldChar w:fldCharType="end"/>
    </w:r>
  </w:p>
  <w:p w14:paraId="3D0E00BB" w14:textId="77777777" w:rsidR="00687F26" w:rsidRDefault="00687F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03F3" w14:textId="1F601534" w:rsidR="00687F26" w:rsidRDefault="00687F26">
    <w:pPr>
      <w:pStyle w:val="Header"/>
    </w:pPr>
    <w:r>
      <w:rPr>
        <w:noProof/>
      </w:rPr>
      <w:pict w14:anchorId="152AA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12" o:spid="_x0000_s26641" type="#_x0000_t136" style="position:absolute;margin-left:0;margin-top:0;width:471.3pt;height:188.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EB7DE" w14:textId="6F5228E2" w:rsidR="00687F26" w:rsidRDefault="00687F26">
    <w:pPr>
      <w:pStyle w:val="Header"/>
    </w:pPr>
    <w:r>
      <w:rPr>
        <w:noProof/>
      </w:rPr>
      <w:pict w14:anchorId="15977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13" o:spid="_x0000_s26642" type="#_x0000_t136" style="position:absolute;margin-left:0;margin-top:0;width:471.3pt;height:188.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C711" w14:textId="5AC49D07" w:rsidR="00687F26" w:rsidRDefault="00687F26" w:rsidP="00FC6831">
    <w:pPr>
      <w:pStyle w:val="OrderHeader"/>
    </w:pPr>
    <w:r>
      <w:rPr>
        <w:noProof/>
      </w:rPr>
      <w:pict w14:anchorId="371F9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11" o:spid="_x0000_s26640" type="#_x0000_t136" style="position:absolute;left:0;text-align:left;margin-left:0;margin-top:0;width:471.3pt;height:188.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ORDER NO. </w:t>
    </w:r>
    <w:fldSimple w:instr=" REF OrderNo0192 ">
      <w:r>
        <w:t>PSC-2024-0192-PHO-EI</w:t>
      </w:r>
    </w:fldSimple>
    <w:r>
      <w:tab/>
    </w:r>
    <w:r>
      <w:tab/>
      <w:t>Attachment A</w:t>
    </w:r>
  </w:p>
  <w:p w14:paraId="4060BECD" w14:textId="77777777" w:rsidR="00687F26" w:rsidRDefault="00687F26" w:rsidP="00FC6831">
    <w:pPr>
      <w:pStyle w:val="OrderHeader"/>
    </w:pPr>
    <w:r>
      <w:t>DOCKET NO. 20230017-EI</w:t>
    </w:r>
  </w:p>
  <w:p w14:paraId="5A84A054" w14:textId="232C28AF" w:rsidR="00687F26" w:rsidRDefault="00687F26" w:rsidP="00FC68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87E">
      <w:rPr>
        <w:rStyle w:val="PageNumber"/>
        <w:noProof/>
      </w:rPr>
      <w:t>26</w:t>
    </w:r>
    <w:r>
      <w:rPr>
        <w:rStyle w:val="PageNumber"/>
      </w:rPr>
      <w:fldChar w:fldCharType="end"/>
    </w:r>
  </w:p>
  <w:p w14:paraId="2D0798E6" w14:textId="77777777" w:rsidR="00687F26" w:rsidRDefault="00687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749C" w14:textId="0987C6A5" w:rsidR="00687F26" w:rsidRDefault="00687F26">
    <w:pPr>
      <w:pStyle w:val="OrderHeader"/>
    </w:pPr>
    <w:r>
      <w:t xml:space="preserve">ORDER NO. </w:t>
    </w:r>
    <w:fldSimple w:instr=" REF OrderNo0192 ">
      <w:r>
        <w:t>PSC-2024-0192-PHO-EI</w:t>
      </w:r>
    </w:fldSimple>
    <w:r>
      <w:tab/>
    </w:r>
    <w:r>
      <w:tab/>
    </w:r>
  </w:p>
  <w:p w14:paraId="69D64C27" w14:textId="77777777" w:rsidR="00687F26" w:rsidRDefault="00687F26">
    <w:pPr>
      <w:pStyle w:val="OrderHeader"/>
    </w:pPr>
    <w:bookmarkStart w:id="8" w:name="HeaderDocketNo"/>
    <w:bookmarkEnd w:id="8"/>
    <w:r>
      <w:t>DOCKET NO. 20230017-EI</w:t>
    </w:r>
  </w:p>
  <w:p w14:paraId="5D3458F2" w14:textId="11F618A0" w:rsidR="00687F26" w:rsidRDefault="00687F2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87E">
      <w:rPr>
        <w:rStyle w:val="PageNumber"/>
        <w:noProof/>
      </w:rPr>
      <w:t>21</w:t>
    </w:r>
    <w:r>
      <w:rPr>
        <w:rStyle w:val="PageNumber"/>
      </w:rPr>
      <w:fldChar w:fldCharType="end"/>
    </w:r>
  </w:p>
  <w:p w14:paraId="3C452184" w14:textId="77777777" w:rsidR="00687F26" w:rsidRDefault="00687F26">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4723" w14:textId="262D7FCB" w:rsidR="00687F26" w:rsidRDefault="00687F26">
    <w:pPr>
      <w:pStyle w:val="Header"/>
    </w:pPr>
    <w:r>
      <w:rPr>
        <w:noProof/>
      </w:rPr>
      <w:pict w14:anchorId="4A57D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0" o:spid="_x0000_s26629"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0FB39" w14:textId="18B3A83D" w:rsidR="00687F26" w:rsidRDefault="00687F26">
    <w:pPr>
      <w:pStyle w:val="Header"/>
    </w:pPr>
    <w:r>
      <w:rPr>
        <w:noProof/>
      </w:rPr>
      <w:pict w14:anchorId="0128E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1" o:spid="_x0000_s26630"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DCFF" w14:textId="1A623E9D" w:rsidR="00687F26" w:rsidRDefault="00687F26" w:rsidP="00FC6831">
    <w:pPr>
      <w:pStyle w:val="OrderHeader"/>
    </w:pPr>
    <w:r>
      <w:rPr>
        <w:noProof/>
      </w:rPr>
      <w:pict w14:anchorId="72A7C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799" o:spid="_x0000_s26628"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ORDER NO. </w:t>
    </w:r>
    <w:fldSimple w:instr=" REF OrderNo0192 ">
      <w:r>
        <w:t>PSC-2024-0192-PHO-EI</w:t>
      </w:r>
    </w:fldSimple>
    <w:r>
      <w:tab/>
    </w:r>
    <w:r>
      <w:tab/>
      <w:t>Attachment A</w:t>
    </w:r>
  </w:p>
  <w:p w14:paraId="453DD058" w14:textId="77777777" w:rsidR="00687F26" w:rsidRDefault="00687F26" w:rsidP="00FC6831">
    <w:pPr>
      <w:pStyle w:val="OrderHeader"/>
    </w:pPr>
    <w:r>
      <w:t>DOCKET NO. 20230017-EI</w:t>
    </w:r>
  </w:p>
  <w:p w14:paraId="6F6E922A" w14:textId="1ED86832" w:rsidR="00687F26" w:rsidRDefault="00687F26" w:rsidP="00FC68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87E">
      <w:rPr>
        <w:rStyle w:val="PageNumber"/>
        <w:noProof/>
      </w:rPr>
      <w:t>22</w:t>
    </w:r>
    <w:r>
      <w:rPr>
        <w:rStyle w:val="PageNumber"/>
      </w:rPr>
      <w:fldChar w:fldCharType="end"/>
    </w:r>
  </w:p>
  <w:p w14:paraId="7FEA390F" w14:textId="77777777" w:rsidR="00687F26" w:rsidRDefault="00687F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82F8" w14:textId="0C210E16" w:rsidR="00687F26" w:rsidRDefault="00687F26">
    <w:pPr>
      <w:pStyle w:val="Header"/>
    </w:pPr>
    <w:r>
      <w:rPr>
        <w:noProof/>
      </w:rPr>
      <w:pict w14:anchorId="6BAAA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3" o:spid="_x0000_s26632"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E894" w14:textId="1A848F09" w:rsidR="00687F26" w:rsidRDefault="00687F26">
    <w:pPr>
      <w:pStyle w:val="Header"/>
    </w:pPr>
    <w:r>
      <w:rPr>
        <w:noProof/>
      </w:rPr>
      <w:pict w14:anchorId="17F48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4" o:spid="_x0000_s26633" type="#_x0000_t136" style="position:absolute;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5000A" w14:textId="6EF7369E" w:rsidR="00687F26" w:rsidRDefault="00687F26" w:rsidP="00FC6831">
    <w:pPr>
      <w:pStyle w:val="OrderHeader"/>
    </w:pPr>
    <w:r>
      <w:rPr>
        <w:noProof/>
      </w:rPr>
      <w:pict w14:anchorId="16619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2" o:spid="_x0000_s26631"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t xml:space="preserve">ORDER NO. </w:t>
    </w:r>
    <w:fldSimple w:instr=" REF OrderNo0192 ">
      <w:r>
        <w:t>PSC-2024-0192-PHO-EI</w:t>
      </w:r>
    </w:fldSimple>
    <w:r>
      <w:tab/>
    </w:r>
    <w:r>
      <w:tab/>
      <w:t>Attachment A</w:t>
    </w:r>
  </w:p>
  <w:p w14:paraId="7ECF39EC" w14:textId="77777777" w:rsidR="00687F26" w:rsidRDefault="00687F26" w:rsidP="00FC6831">
    <w:pPr>
      <w:pStyle w:val="OrderHeader"/>
    </w:pPr>
    <w:r>
      <w:t>DOCKET NO. 20230017-EI</w:t>
    </w:r>
  </w:p>
  <w:p w14:paraId="6EEE1F13" w14:textId="74562D4E" w:rsidR="00687F26" w:rsidRDefault="00687F26" w:rsidP="00FC68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87E">
      <w:rPr>
        <w:rStyle w:val="PageNumber"/>
        <w:noProof/>
      </w:rPr>
      <w:t>23</w:t>
    </w:r>
    <w:r>
      <w:rPr>
        <w:rStyle w:val="PageNumber"/>
      </w:rPr>
      <w:fldChar w:fldCharType="end"/>
    </w:r>
  </w:p>
  <w:p w14:paraId="402AFDFC" w14:textId="77777777" w:rsidR="00687F26" w:rsidRDefault="00687F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6A7D3" w14:textId="2EEF6157" w:rsidR="00687F26" w:rsidRDefault="00687F26">
    <w:pPr>
      <w:pStyle w:val="Header"/>
    </w:pPr>
    <w:r>
      <w:rPr>
        <w:noProof/>
      </w:rPr>
      <w:pict w14:anchorId="4BD46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1806" o:spid="_x0000_s26635"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2410"/>
    <w:multiLevelType w:val="hybridMultilevel"/>
    <w:tmpl w:val="88A45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8447FA9"/>
    <w:multiLevelType w:val="hybridMultilevel"/>
    <w:tmpl w:val="A3BC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43"/>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6E669B"/>
    <w:rsid w:val="000022B8"/>
    <w:rsid w:val="00003883"/>
    <w:rsid w:val="00004712"/>
    <w:rsid w:val="00011251"/>
    <w:rsid w:val="00022214"/>
    <w:rsid w:val="00025C2A"/>
    <w:rsid w:val="00025C9D"/>
    <w:rsid w:val="0003433F"/>
    <w:rsid w:val="00035A8C"/>
    <w:rsid w:val="00036BDD"/>
    <w:rsid w:val="00041FFD"/>
    <w:rsid w:val="00042C99"/>
    <w:rsid w:val="00053AB9"/>
    <w:rsid w:val="00056229"/>
    <w:rsid w:val="00057AF1"/>
    <w:rsid w:val="000649FF"/>
    <w:rsid w:val="00065FC2"/>
    <w:rsid w:val="00067685"/>
    <w:rsid w:val="00067B07"/>
    <w:rsid w:val="000730D7"/>
    <w:rsid w:val="00076E6B"/>
    <w:rsid w:val="00081AE4"/>
    <w:rsid w:val="0008247D"/>
    <w:rsid w:val="00090AFC"/>
    <w:rsid w:val="00096507"/>
    <w:rsid w:val="000A774F"/>
    <w:rsid w:val="000B1603"/>
    <w:rsid w:val="000B6507"/>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AAA"/>
    <w:rsid w:val="001655D4"/>
    <w:rsid w:val="00165803"/>
    <w:rsid w:val="00167278"/>
    <w:rsid w:val="00180BBE"/>
    <w:rsid w:val="00187E32"/>
    <w:rsid w:val="001918FF"/>
    <w:rsid w:val="00194A97"/>
    <w:rsid w:val="00194E81"/>
    <w:rsid w:val="001977ED"/>
    <w:rsid w:val="001A15E7"/>
    <w:rsid w:val="001A33C9"/>
    <w:rsid w:val="001A58F3"/>
    <w:rsid w:val="001A7220"/>
    <w:rsid w:val="001B034E"/>
    <w:rsid w:val="001B037E"/>
    <w:rsid w:val="001B784E"/>
    <w:rsid w:val="001C2847"/>
    <w:rsid w:val="001C3BB5"/>
    <w:rsid w:val="001C3F8C"/>
    <w:rsid w:val="001C6097"/>
    <w:rsid w:val="001C7126"/>
    <w:rsid w:val="001D008A"/>
    <w:rsid w:val="001D532F"/>
    <w:rsid w:val="001E0152"/>
    <w:rsid w:val="001E0FF5"/>
    <w:rsid w:val="001F0095"/>
    <w:rsid w:val="001F36B0"/>
    <w:rsid w:val="001F4CA3"/>
    <w:rsid w:val="001F59E0"/>
    <w:rsid w:val="002002ED"/>
    <w:rsid w:val="002044DD"/>
    <w:rsid w:val="002170E5"/>
    <w:rsid w:val="00220D57"/>
    <w:rsid w:val="00223B99"/>
    <w:rsid w:val="0022721A"/>
    <w:rsid w:val="00230BB9"/>
    <w:rsid w:val="00232D2A"/>
    <w:rsid w:val="00241CEF"/>
    <w:rsid w:val="0025124E"/>
    <w:rsid w:val="00252B30"/>
    <w:rsid w:val="00255291"/>
    <w:rsid w:val="002613E4"/>
    <w:rsid w:val="00261D1C"/>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3292"/>
    <w:rsid w:val="002F7BF6"/>
    <w:rsid w:val="00303FDE"/>
    <w:rsid w:val="00313C5B"/>
    <w:rsid w:val="003140E8"/>
    <w:rsid w:val="00322D3C"/>
    <w:rsid w:val="003231C7"/>
    <w:rsid w:val="00323839"/>
    <w:rsid w:val="003270C4"/>
    <w:rsid w:val="00331ED0"/>
    <w:rsid w:val="00332B0A"/>
    <w:rsid w:val="003331BD"/>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785"/>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46B35"/>
    <w:rsid w:val="00451158"/>
    <w:rsid w:val="0045537F"/>
    <w:rsid w:val="00457DC7"/>
    <w:rsid w:val="004640B3"/>
    <w:rsid w:val="00472BCC"/>
    <w:rsid w:val="00477699"/>
    <w:rsid w:val="00480E12"/>
    <w:rsid w:val="004A25CD"/>
    <w:rsid w:val="004A26CC"/>
    <w:rsid w:val="004B2108"/>
    <w:rsid w:val="004B3A2B"/>
    <w:rsid w:val="004B4498"/>
    <w:rsid w:val="004B64A9"/>
    <w:rsid w:val="004B70D3"/>
    <w:rsid w:val="004C312D"/>
    <w:rsid w:val="004D2D1B"/>
    <w:rsid w:val="004D5067"/>
    <w:rsid w:val="004D5F67"/>
    <w:rsid w:val="004D6838"/>
    <w:rsid w:val="004D72BC"/>
    <w:rsid w:val="004E469D"/>
    <w:rsid w:val="004E7F4F"/>
    <w:rsid w:val="004F2DDE"/>
    <w:rsid w:val="004F474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248E"/>
    <w:rsid w:val="00577E8D"/>
    <w:rsid w:val="00581B7D"/>
    <w:rsid w:val="0058264B"/>
    <w:rsid w:val="00586368"/>
    <w:rsid w:val="005868AA"/>
    <w:rsid w:val="00590845"/>
    <w:rsid w:val="00593E20"/>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017"/>
    <w:rsid w:val="00615F9B"/>
    <w:rsid w:val="00616DF2"/>
    <w:rsid w:val="0062385D"/>
    <w:rsid w:val="0063168D"/>
    <w:rsid w:val="00635C79"/>
    <w:rsid w:val="006423A7"/>
    <w:rsid w:val="006438F6"/>
    <w:rsid w:val="006455DF"/>
    <w:rsid w:val="00645AF6"/>
    <w:rsid w:val="00647025"/>
    <w:rsid w:val="0064730A"/>
    <w:rsid w:val="006507DA"/>
    <w:rsid w:val="006531A4"/>
    <w:rsid w:val="00660774"/>
    <w:rsid w:val="0066389A"/>
    <w:rsid w:val="0066495C"/>
    <w:rsid w:val="00665CC7"/>
    <w:rsid w:val="00672612"/>
    <w:rsid w:val="00674ECC"/>
    <w:rsid w:val="00677380"/>
    <w:rsid w:val="00677F18"/>
    <w:rsid w:val="00680916"/>
    <w:rsid w:val="00684990"/>
    <w:rsid w:val="00687F26"/>
    <w:rsid w:val="006915F5"/>
    <w:rsid w:val="00693483"/>
    <w:rsid w:val="006A0BF3"/>
    <w:rsid w:val="006B0036"/>
    <w:rsid w:val="006B0DA6"/>
    <w:rsid w:val="006B3FA9"/>
    <w:rsid w:val="006B760F"/>
    <w:rsid w:val="006C547E"/>
    <w:rsid w:val="006D2B51"/>
    <w:rsid w:val="006D3949"/>
    <w:rsid w:val="006D5575"/>
    <w:rsid w:val="006D7191"/>
    <w:rsid w:val="006E06A6"/>
    <w:rsid w:val="006E21C4"/>
    <w:rsid w:val="006E42BE"/>
    <w:rsid w:val="006E5D4D"/>
    <w:rsid w:val="006E669B"/>
    <w:rsid w:val="006E6D16"/>
    <w:rsid w:val="00703F2A"/>
    <w:rsid w:val="00704C5D"/>
    <w:rsid w:val="007072BC"/>
    <w:rsid w:val="00715275"/>
    <w:rsid w:val="00721243"/>
    <w:rsid w:val="00721B44"/>
    <w:rsid w:val="007232A2"/>
    <w:rsid w:val="00726366"/>
    <w:rsid w:val="00730A3B"/>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8673D"/>
    <w:rsid w:val="0079237D"/>
    <w:rsid w:val="00792383"/>
    <w:rsid w:val="007946DB"/>
    <w:rsid w:val="00794D5A"/>
    <w:rsid w:val="00794DD9"/>
    <w:rsid w:val="007A060F"/>
    <w:rsid w:val="007B1C5E"/>
    <w:rsid w:val="007B350E"/>
    <w:rsid w:val="007C0FBC"/>
    <w:rsid w:val="007C29C9"/>
    <w:rsid w:val="007C35B8"/>
    <w:rsid w:val="007C36E3"/>
    <w:rsid w:val="007C3ABB"/>
    <w:rsid w:val="007C7134"/>
    <w:rsid w:val="007C7ECF"/>
    <w:rsid w:val="007D2B80"/>
    <w:rsid w:val="007D3D20"/>
    <w:rsid w:val="007D44F9"/>
    <w:rsid w:val="007D742E"/>
    <w:rsid w:val="007E3AFD"/>
    <w:rsid w:val="00801DAD"/>
    <w:rsid w:val="00803189"/>
    <w:rsid w:val="00804E7A"/>
    <w:rsid w:val="00805FBB"/>
    <w:rsid w:val="00814292"/>
    <w:rsid w:val="008169A4"/>
    <w:rsid w:val="008278FE"/>
    <w:rsid w:val="00831EE1"/>
    <w:rsid w:val="00832598"/>
    <w:rsid w:val="0083397E"/>
    <w:rsid w:val="00834AA7"/>
    <w:rsid w:val="0083534B"/>
    <w:rsid w:val="00842035"/>
    <w:rsid w:val="00842602"/>
    <w:rsid w:val="008449F0"/>
    <w:rsid w:val="008468D1"/>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FB6"/>
    <w:rsid w:val="008F578F"/>
    <w:rsid w:val="008F5D04"/>
    <w:rsid w:val="008F6B3F"/>
    <w:rsid w:val="009040EE"/>
    <w:rsid w:val="009057FD"/>
    <w:rsid w:val="00906FBA"/>
    <w:rsid w:val="009163E8"/>
    <w:rsid w:val="00921BD3"/>
    <w:rsid w:val="009228C7"/>
    <w:rsid w:val="00922A7F"/>
    <w:rsid w:val="00923A5E"/>
    <w:rsid w:val="00924FE7"/>
    <w:rsid w:val="0092617F"/>
    <w:rsid w:val="00926E27"/>
    <w:rsid w:val="00931C8C"/>
    <w:rsid w:val="00932CFE"/>
    <w:rsid w:val="00943D21"/>
    <w:rsid w:val="0094504B"/>
    <w:rsid w:val="009576EA"/>
    <w:rsid w:val="00964A38"/>
    <w:rsid w:val="00966A9D"/>
    <w:rsid w:val="0096742B"/>
    <w:rsid w:val="00967C64"/>
    <w:rsid w:val="009718C5"/>
    <w:rsid w:val="00971FA3"/>
    <w:rsid w:val="00976AFF"/>
    <w:rsid w:val="009855D5"/>
    <w:rsid w:val="00986AED"/>
    <w:rsid w:val="009924CF"/>
    <w:rsid w:val="00994100"/>
    <w:rsid w:val="009A04B7"/>
    <w:rsid w:val="009A0D05"/>
    <w:rsid w:val="009A6B17"/>
    <w:rsid w:val="009B052E"/>
    <w:rsid w:val="009B4E00"/>
    <w:rsid w:val="009B7694"/>
    <w:rsid w:val="009D4C29"/>
    <w:rsid w:val="009E58E9"/>
    <w:rsid w:val="009E6803"/>
    <w:rsid w:val="009F1644"/>
    <w:rsid w:val="009F4689"/>
    <w:rsid w:val="009F6AD2"/>
    <w:rsid w:val="009F7C1B"/>
    <w:rsid w:val="00A00B5B"/>
    <w:rsid w:val="00A00D8D"/>
    <w:rsid w:val="00A01BB6"/>
    <w:rsid w:val="00A108A7"/>
    <w:rsid w:val="00A228DA"/>
    <w:rsid w:val="00A22B28"/>
    <w:rsid w:val="00A3326C"/>
    <w:rsid w:val="00A3351E"/>
    <w:rsid w:val="00A4303C"/>
    <w:rsid w:val="00A46CAF"/>
    <w:rsid w:val="00A470FD"/>
    <w:rsid w:val="00A50B5E"/>
    <w:rsid w:val="00A62DAB"/>
    <w:rsid w:val="00A6757A"/>
    <w:rsid w:val="00A726A6"/>
    <w:rsid w:val="00A74842"/>
    <w:rsid w:val="00A8269A"/>
    <w:rsid w:val="00A86A50"/>
    <w:rsid w:val="00A9178A"/>
    <w:rsid w:val="00A94945"/>
    <w:rsid w:val="00A9515B"/>
    <w:rsid w:val="00A966DB"/>
    <w:rsid w:val="00A97535"/>
    <w:rsid w:val="00AA2BAA"/>
    <w:rsid w:val="00AA6516"/>
    <w:rsid w:val="00AA73F1"/>
    <w:rsid w:val="00AB042E"/>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0142"/>
    <w:rsid w:val="00B3644F"/>
    <w:rsid w:val="00B37E10"/>
    <w:rsid w:val="00B4057A"/>
    <w:rsid w:val="00B40894"/>
    <w:rsid w:val="00B41039"/>
    <w:rsid w:val="00B41F37"/>
    <w:rsid w:val="00B42987"/>
    <w:rsid w:val="00B444AE"/>
    <w:rsid w:val="00B45E75"/>
    <w:rsid w:val="00B50876"/>
    <w:rsid w:val="00B51074"/>
    <w:rsid w:val="00B54DAA"/>
    <w:rsid w:val="00B552E0"/>
    <w:rsid w:val="00B55AB0"/>
    <w:rsid w:val="00B55EE5"/>
    <w:rsid w:val="00B57760"/>
    <w:rsid w:val="00B61D42"/>
    <w:rsid w:val="00B664D5"/>
    <w:rsid w:val="00B67A43"/>
    <w:rsid w:val="00B71D1F"/>
    <w:rsid w:val="00B72CFF"/>
    <w:rsid w:val="00B73DE6"/>
    <w:rsid w:val="00B761CD"/>
    <w:rsid w:val="00B76B66"/>
    <w:rsid w:val="00B86EF0"/>
    <w:rsid w:val="00B96969"/>
    <w:rsid w:val="00B97900"/>
    <w:rsid w:val="00BA1229"/>
    <w:rsid w:val="00BA44A8"/>
    <w:rsid w:val="00BA49C5"/>
    <w:rsid w:val="00BB0182"/>
    <w:rsid w:val="00BB01B2"/>
    <w:rsid w:val="00BB2F4A"/>
    <w:rsid w:val="00BC786E"/>
    <w:rsid w:val="00BD5C92"/>
    <w:rsid w:val="00BE01F7"/>
    <w:rsid w:val="00BE50E6"/>
    <w:rsid w:val="00BE7A0C"/>
    <w:rsid w:val="00BF2928"/>
    <w:rsid w:val="00BF5D60"/>
    <w:rsid w:val="00BF6691"/>
    <w:rsid w:val="00C00B78"/>
    <w:rsid w:val="00C028FC"/>
    <w:rsid w:val="00C037F2"/>
    <w:rsid w:val="00C0386D"/>
    <w:rsid w:val="00C065A1"/>
    <w:rsid w:val="00C10ED5"/>
    <w:rsid w:val="00C12574"/>
    <w:rsid w:val="00C12AD9"/>
    <w:rsid w:val="00C151A6"/>
    <w:rsid w:val="00C24098"/>
    <w:rsid w:val="00C2410E"/>
    <w:rsid w:val="00C30A4E"/>
    <w:rsid w:val="00C3387E"/>
    <w:rsid w:val="00C3390E"/>
    <w:rsid w:val="00C411F3"/>
    <w:rsid w:val="00C44105"/>
    <w:rsid w:val="00C523EC"/>
    <w:rsid w:val="00C55A33"/>
    <w:rsid w:val="00C64D49"/>
    <w:rsid w:val="00C66692"/>
    <w:rsid w:val="00C673B5"/>
    <w:rsid w:val="00C7063D"/>
    <w:rsid w:val="00C72339"/>
    <w:rsid w:val="00C77112"/>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D7EEE"/>
    <w:rsid w:val="00CE0E6F"/>
    <w:rsid w:val="00CE3B21"/>
    <w:rsid w:val="00CE56FC"/>
    <w:rsid w:val="00CE7A4D"/>
    <w:rsid w:val="00CF32D2"/>
    <w:rsid w:val="00CF4CFE"/>
    <w:rsid w:val="00D00E8E"/>
    <w:rsid w:val="00D02E0F"/>
    <w:rsid w:val="00D03EE8"/>
    <w:rsid w:val="00D10250"/>
    <w:rsid w:val="00D13535"/>
    <w:rsid w:val="00D14D01"/>
    <w:rsid w:val="00D15497"/>
    <w:rsid w:val="00D17B79"/>
    <w:rsid w:val="00D205F5"/>
    <w:rsid w:val="00D20897"/>
    <w:rsid w:val="00D23FEA"/>
    <w:rsid w:val="00D269CA"/>
    <w:rsid w:val="00D30B48"/>
    <w:rsid w:val="00D3168A"/>
    <w:rsid w:val="00D350D1"/>
    <w:rsid w:val="00D46E2B"/>
    <w:rsid w:val="00D46FAA"/>
    <w:rsid w:val="00D47A40"/>
    <w:rsid w:val="00D51D33"/>
    <w:rsid w:val="00D57BB2"/>
    <w:rsid w:val="00D57E57"/>
    <w:rsid w:val="00D63101"/>
    <w:rsid w:val="00D70752"/>
    <w:rsid w:val="00D75FD0"/>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9B2"/>
    <w:rsid w:val="00E001D6"/>
    <w:rsid w:val="00E03A76"/>
    <w:rsid w:val="00E04410"/>
    <w:rsid w:val="00E05B25"/>
    <w:rsid w:val="00E07484"/>
    <w:rsid w:val="00E0751C"/>
    <w:rsid w:val="00E11351"/>
    <w:rsid w:val="00E2191F"/>
    <w:rsid w:val="00E33F44"/>
    <w:rsid w:val="00E37D48"/>
    <w:rsid w:val="00E4225C"/>
    <w:rsid w:val="00E44879"/>
    <w:rsid w:val="00E72914"/>
    <w:rsid w:val="00E75AE0"/>
    <w:rsid w:val="00E83C1F"/>
    <w:rsid w:val="00E85684"/>
    <w:rsid w:val="00E8794B"/>
    <w:rsid w:val="00E92045"/>
    <w:rsid w:val="00E92F96"/>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119B"/>
    <w:rsid w:val="00FA4F6C"/>
    <w:rsid w:val="00FA6EFD"/>
    <w:rsid w:val="00FB3791"/>
    <w:rsid w:val="00FB6780"/>
    <w:rsid w:val="00FB74EA"/>
    <w:rsid w:val="00FC6831"/>
    <w:rsid w:val="00FD0ADB"/>
    <w:rsid w:val="00FD2C9E"/>
    <w:rsid w:val="00FD3769"/>
    <w:rsid w:val="00FD4786"/>
    <w:rsid w:val="00FD616C"/>
    <w:rsid w:val="00FE53F2"/>
    <w:rsid w:val="00FF0A00"/>
    <w:rsid w:val="00FF1C57"/>
    <w:rsid w:val="00FF2581"/>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6643"/>
    <o:shapelayout v:ext="edit">
      <o:idmap v:ext="edit" data="1"/>
    </o:shapelayout>
  </w:shapeDefaults>
  <w:decimalSymbol w:val="."/>
  <w:listSeparator w:val=","/>
  <w14:docId w14:val="5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table" w:customStyle="1" w:styleId="TableGrid3">
    <w:name w:val="Table Grid3"/>
    <w:basedOn w:val="TableNormal"/>
    <w:next w:val="TableGrid"/>
    <w:uiPriority w:val="39"/>
    <w:rsid w:val="00581B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867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F59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5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2CFE"/>
    <w:pPr>
      <w:ind w:left="720"/>
      <w:contextualSpacing/>
    </w:pPr>
  </w:style>
  <w:style w:type="character" w:styleId="CommentReference">
    <w:name w:val="annotation reference"/>
    <w:basedOn w:val="DefaultParagraphFont"/>
    <w:semiHidden/>
    <w:unhideWhenUsed/>
    <w:rsid w:val="00B57760"/>
    <w:rPr>
      <w:sz w:val="16"/>
      <w:szCs w:val="16"/>
    </w:rPr>
  </w:style>
  <w:style w:type="paragraph" w:styleId="CommentText">
    <w:name w:val="annotation text"/>
    <w:basedOn w:val="Normal"/>
    <w:link w:val="CommentTextChar"/>
    <w:semiHidden/>
    <w:unhideWhenUsed/>
    <w:rsid w:val="00B57760"/>
    <w:rPr>
      <w:sz w:val="20"/>
      <w:szCs w:val="20"/>
    </w:rPr>
  </w:style>
  <w:style w:type="character" w:customStyle="1" w:styleId="CommentTextChar">
    <w:name w:val="Comment Text Char"/>
    <w:basedOn w:val="DefaultParagraphFont"/>
    <w:link w:val="CommentText"/>
    <w:semiHidden/>
    <w:rsid w:val="00B57760"/>
  </w:style>
  <w:style w:type="paragraph" w:styleId="CommentSubject">
    <w:name w:val="annotation subject"/>
    <w:basedOn w:val="CommentText"/>
    <w:next w:val="CommentText"/>
    <w:link w:val="CommentSubjectChar"/>
    <w:semiHidden/>
    <w:unhideWhenUsed/>
    <w:rsid w:val="00B57760"/>
    <w:rPr>
      <w:b/>
      <w:bCs/>
    </w:rPr>
  </w:style>
  <w:style w:type="character" w:customStyle="1" w:styleId="CommentSubjectChar">
    <w:name w:val="Comment Subject Char"/>
    <w:basedOn w:val="CommentTextChar"/>
    <w:link w:val="CommentSubject"/>
    <w:semiHidden/>
    <w:rsid w:val="00B57760"/>
    <w:rPr>
      <w:b/>
      <w:bCs/>
    </w:rPr>
  </w:style>
  <w:style w:type="paragraph" w:styleId="BalloonText">
    <w:name w:val="Balloon Text"/>
    <w:basedOn w:val="Normal"/>
    <w:link w:val="BalloonTextChar"/>
    <w:semiHidden/>
    <w:unhideWhenUsed/>
    <w:rsid w:val="00B57760"/>
    <w:rPr>
      <w:rFonts w:ascii="Segoe UI" w:hAnsi="Segoe UI" w:cs="Segoe UI"/>
      <w:sz w:val="18"/>
      <w:szCs w:val="18"/>
    </w:rPr>
  </w:style>
  <w:style w:type="character" w:customStyle="1" w:styleId="BalloonTextChar">
    <w:name w:val="Balloon Text Char"/>
    <w:basedOn w:val="DefaultParagraphFont"/>
    <w:link w:val="BalloonText"/>
    <w:semiHidden/>
    <w:rsid w:val="00B57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L.com/rates" TargetMode="Externa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3.jpeg"/><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1275-0515-4208-8A57-9FE21727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26</Pages>
  <Words>6752</Words>
  <Characters>38493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2024-06-14T15:33:00Z</dcterms:created>
  <dcterms:modified xsi:type="dcterms:W3CDTF">2024-06-14T16:44:00Z</dcterms:modified>
</cp:coreProperties>
</file>