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40"/>
            <w:r w:rsidR="005E7A17">
              <w:t>PSC-2024-0348</w:t>
            </w:r>
            <w:r w:rsidR="008C00E5">
              <w:t>-CFO-EI</w:t>
            </w:r>
            <w:bookmarkEnd w:id="3"/>
          </w:p>
          <w:p w:rsidR="006D7E58" w:rsidRDefault="006D7E58" w:rsidP="00C63FCF">
            <w:pPr>
              <w:pStyle w:val="OrderBody"/>
              <w:tabs>
                <w:tab w:val="center" w:pos="4320"/>
                <w:tab w:val="right" w:pos="8640"/>
              </w:tabs>
              <w:jc w:val="left"/>
            </w:pPr>
            <w:r>
              <w:t xml:space="preserve">ISSUED: </w:t>
            </w:r>
            <w:r w:rsidR="008C00E5">
              <w:t>August 14,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9B69AC">
        <w:t>03895</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 xml:space="preserve">May </w:t>
      </w:r>
      <w:r w:rsidR="0037780B">
        <w:t>23</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377704">
        <w:t xml:space="preserve">s response to </w:t>
      </w:r>
      <w:r w:rsidR="00824916">
        <w:t>Florida Public Service Commission Staff’s</w:t>
      </w:r>
      <w:r w:rsidR="00377704">
        <w:t xml:space="preserve"> </w:t>
      </w:r>
      <w:r w:rsidR="00E867C0">
        <w:t xml:space="preserve">First </w:t>
      </w:r>
      <w:r w:rsidR="00D373D3">
        <w:t>Request for Production of Document</w:t>
      </w:r>
      <w:r w:rsidR="00764C8D">
        <w:t>s</w:t>
      </w:r>
      <w:r w:rsidR="00377704">
        <w:t xml:space="preserve"> </w:t>
      </w:r>
      <w:r w:rsidR="00BB435B">
        <w:t xml:space="preserve">No. 5 </w:t>
      </w:r>
      <w:r w:rsidR="00377704">
        <w:t xml:space="preserve">regarding </w:t>
      </w:r>
      <w:r w:rsidR="008A2713">
        <w:t>TECO’s phosphate customers and usage</w:t>
      </w:r>
      <w:r w:rsidR="00C62B2F">
        <w:t>. (</w:t>
      </w:r>
      <w:r>
        <w:t xml:space="preserve">Document No. </w:t>
      </w:r>
      <w:r w:rsidR="004A157A">
        <w:t>03895</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 xml:space="preserve">asserts that the information at issue relates to: (i) </w:t>
      </w:r>
      <w:r w:rsidR="00105F3C">
        <w:t>labor rates</w:t>
      </w:r>
      <w:r w:rsidR="008C37D7">
        <w:t xml:space="preserve"> and </w:t>
      </w:r>
      <w:r w:rsidR="00105F3C">
        <w:t>calculations</w:t>
      </w:r>
      <w:r w:rsidR="00EB5FFB">
        <w:t xml:space="preserve">, the disclosure of which </w:t>
      </w:r>
      <w:r w:rsidR="00105F3C">
        <w:t>w</w:t>
      </w:r>
      <w:r w:rsidR="00B93EE2">
        <w:t>ould impair the efforts of TECO</w:t>
      </w:r>
      <w:r w:rsidR="00B93EE2">
        <w:rPr>
          <w:i/>
          <w:color w:val="FF0000"/>
        </w:rPr>
        <w:t xml:space="preserve"> </w:t>
      </w:r>
      <w:r w:rsidR="00B93EE2">
        <w:t>to contract for goods and/or services on favorable terms; and (ii) competitive interests, which could be used by competitors to gain confidential internal information. For those reasons, TECO argues the information is entitled to confidential classification pursuant to Section 366.093</w:t>
      </w:r>
      <w:r w:rsidR="00B75001">
        <w:t>(3)</w:t>
      </w:r>
      <w:r w:rsidR="00163DE8">
        <w:t>(d)–</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(d)  Information concerning bids or other contractual data, the disclosure of which would impair the efforts of the public utility or its affiliates to contract for goods or services on favorable terms.</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3E0B93">
        <w:t>03895</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105F3C">
        <w:t>d</w:t>
      </w:r>
      <w:r w:rsidRPr="00322677">
        <w:t>)</w:t>
      </w:r>
      <w:r w:rsidR="00105F3C">
        <w:t xml:space="preserve"> and (e)</w:t>
      </w:r>
      <w:r w:rsidRPr="00322677">
        <w:t>,</w:t>
      </w:r>
      <w:r>
        <w:t xml:space="preserve"> F.S., for classification as proprietary confidential business information. </w:t>
      </w:r>
      <w:r w:rsidR="003F5085" w:rsidRPr="003F5085">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w:t>
      </w:r>
      <w:r w:rsidR="00B92D94">
        <w:t>03895</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r>
        <w:rPr>
          <w:szCs w:val="20"/>
          <w:u w:val="single"/>
          <w:lang w:val="en-CA"/>
        </w:rPr>
        <w:lastRenderedPageBreak/>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7B1011">
        <w:t>03895</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302F68">
        <w:t>03895</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302F68">
        <w:t>03895</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302F68">
        <w:t>03895</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8C00E5">
      <w:pPr>
        <w:pStyle w:val="OrderBody"/>
      </w:pPr>
      <w:r w:rsidRPr="00322677">
        <w:tab/>
        <w:t xml:space="preserve">By ORDER of Commissioner Gary F. Clark, as Prehearing Officer, this </w:t>
      </w:r>
      <w:bookmarkStart w:id="6" w:name="replaceDate"/>
      <w:bookmarkEnd w:id="6"/>
      <w:r w:rsidR="008C00E5">
        <w:rPr>
          <w:u w:val="single"/>
        </w:rPr>
        <w:t>14th</w:t>
      </w:r>
      <w:r w:rsidR="008C00E5">
        <w:t xml:space="preserve"> day of </w:t>
      </w:r>
      <w:r w:rsidR="008C00E5">
        <w:rPr>
          <w:u w:val="single"/>
        </w:rPr>
        <w:t>August</w:t>
      </w:r>
      <w:r w:rsidR="008C00E5">
        <w:t xml:space="preserve">, </w:t>
      </w:r>
      <w:r w:rsidR="008C00E5">
        <w:rPr>
          <w:u w:val="single"/>
        </w:rPr>
        <w:t>2024</w:t>
      </w:r>
      <w:r w:rsidR="008C00E5">
        <w:t>.</w:t>
      </w:r>
    </w:p>
    <w:p w:rsidR="008C00E5" w:rsidRPr="008C00E5" w:rsidRDefault="008C00E5" w:rsidP="008C00E5">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8944F8"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100222" w:rsidRDefault="00100222">
      <w:r>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340 ">
      <w:r w:rsidR="005E7A17">
        <w:t>PSC-2024-0348-CFO-EI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44F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222"/>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64D1"/>
    <w:rsid w:val="0014692C"/>
    <w:rsid w:val="00150284"/>
    <w:rsid w:val="001513DE"/>
    <w:rsid w:val="00154A71"/>
    <w:rsid w:val="00163DE8"/>
    <w:rsid w:val="001655D4"/>
    <w:rsid w:val="00165803"/>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651F"/>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6F7"/>
    <w:rsid w:val="002C7908"/>
    <w:rsid w:val="002C7FA4"/>
    <w:rsid w:val="002D391B"/>
    <w:rsid w:val="002D4B1F"/>
    <w:rsid w:val="002D7D15"/>
    <w:rsid w:val="002E1B2E"/>
    <w:rsid w:val="002E27EB"/>
    <w:rsid w:val="002E4EF4"/>
    <w:rsid w:val="002E78B6"/>
    <w:rsid w:val="002F0F1C"/>
    <w:rsid w:val="002F2A9D"/>
    <w:rsid w:val="002F31C2"/>
    <w:rsid w:val="002F7BF6"/>
    <w:rsid w:val="00302F68"/>
    <w:rsid w:val="00303FDE"/>
    <w:rsid w:val="00304B3E"/>
    <w:rsid w:val="00313C5B"/>
    <w:rsid w:val="003140E8"/>
    <w:rsid w:val="00322677"/>
    <w:rsid w:val="003231C7"/>
    <w:rsid w:val="00323839"/>
    <w:rsid w:val="00325158"/>
    <w:rsid w:val="003270C4"/>
    <w:rsid w:val="00331ED0"/>
    <w:rsid w:val="00332B0A"/>
    <w:rsid w:val="00333A41"/>
    <w:rsid w:val="00341036"/>
    <w:rsid w:val="00345434"/>
    <w:rsid w:val="00351C22"/>
    <w:rsid w:val="0035495B"/>
    <w:rsid w:val="00355A93"/>
    <w:rsid w:val="00360F30"/>
    <w:rsid w:val="00361522"/>
    <w:rsid w:val="0037196E"/>
    <w:rsid w:val="003744F5"/>
    <w:rsid w:val="00377704"/>
    <w:rsid w:val="0037780B"/>
    <w:rsid w:val="00382C6A"/>
    <w:rsid w:val="003875A9"/>
    <w:rsid w:val="00387BDE"/>
    <w:rsid w:val="00390DD8"/>
    <w:rsid w:val="00394DC6"/>
    <w:rsid w:val="00397C3E"/>
    <w:rsid w:val="003B1A09"/>
    <w:rsid w:val="003B6F02"/>
    <w:rsid w:val="003C0431"/>
    <w:rsid w:val="003C29BB"/>
    <w:rsid w:val="003D12B6"/>
    <w:rsid w:val="003D3989"/>
    <w:rsid w:val="003D4CCA"/>
    <w:rsid w:val="003D52A6"/>
    <w:rsid w:val="003D6416"/>
    <w:rsid w:val="003E0B93"/>
    <w:rsid w:val="003E1D48"/>
    <w:rsid w:val="003E711F"/>
    <w:rsid w:val="003F175B"/>
    <w:rsid w:val="003F1D2B"/>
    <w:rsid w:val="003F49A6"/>
    <w:rsid w:val="003F5085"/>
    <w:rsid w:val="003F518F"/>
    <w:rsid w:val="003F6BA7"/>
    <w:rsid w:val="003F7445"/>
    <w:rsid w:val="00411DF2"/>
    <w:rsid w:val="00411E8F"/>
    <w:rsid w:val="004247F5"/>
    <w:rsid w:val="0042527B"/>
    <w:rsid w:val="0042784B"/>
    <w:rsid w:val="00427EAC"/>
    <w:rsid w:val="004431B4"/>
    <w:rsid w:val="00444776"/>
    <w:rsid w:val="00445604"/>
    <w:rsid w:val="00451158"/>
    <w:rsid w:val="00451CE7"/>
    <w:rsid w:val="0045537F"/>
    <w:rsid w:val="00457DC7"/>
    <w:rsid w:val="004640B3"/>
    <w:rsid w:val="00472BCC"/>
    <w:rsid w:val="00477699"/>
    <w:rsid w:val="004816B3"/>
    <w:rsid w:val="00492500"/>
    <w:rsid w:val="004A1282"/>
    <w:rsid w:val="004A15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2F9"/>
    <w:rsid w:val="00525E93"/>
    <w:rsid w:val="0052671D"/>
    <w:rsid w:val="005300C0"/>
    <w:rsid w:val="00533D10"/>
    <w:rsid w:val="00533EF6"/>
    <w:rsid w:val="00540E6B"/>
    <w:rsid w:val="0054109E"/>
    <w:rsid w:val="0055595D"/>
    <w:rsid w:val="00556A10"/>
    <w:rsid w:val="00557F50"/>
    <w:rsid w:val="00571D3D"/>
    <w:rsid w:val="0058264B"/>
    <w:rsid w:val="00586368"/>
    <w:rsid w:val="005868AA"/>
    <w:rsid w:val="00590845"/>
    <w:rsid w:val="005963C2"/>
    <w:rsid w:val="005A01DA"/>
    <w:rsid w:val="005A0D69"/>
    <w:rsid w:val="005A31F4"/>
    <w:rsid w:val="005A37D6"/>
    <w:rsid w:val="005A5540"/>
    <w:rsid w:val="005A73EA"/>
    <w:rsid w:val="005B3B5C"/>
    <w:rsid w:val="005B45F7"/>
    <w:rsid w:val="005B63EA"/>
    <w:rsid w:val="005C1A88"/>
    <w:rsid w:val="005C5033"/>
    <w:rsid w:val="005D4E1B"/>
    <w:rsid w:val="005E751B"/>
    <w:rsid w:val="005E7A17"/>
    <w:rsid w:val="005F2751"/>
    <w:rsid w:val="005F3354"/>
    <w:rsid w:val="005F4AD6"/>
    <w:rsid w:val="0060005E"/>
    <w:rsid w:val="0060095B"/>
    <w:rsid w:val="00601266"/>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490E"/>
    <w:rsid w:val="006C547E"/>
    <w:rsid w:val="006D2B51"/>
    <w:rsid w:val="006D5575"/>
    <w:rsid w:val="006D7191"/>
    <w:rsid w:val="006D7E58"/>
    <w:rsid w:val="006E21C4"/>
    <w:rsid w:val="006E42BE"/>
    <w:rsid w:val="006E5D4D"/>
    <w:rsid w:val="006E6D16"/>
    <w:rsid w:val="006F415E"/>
    <w:rsid w:val="00703F2A"/>
    <w:rsid w:val="00704C5D"/>
    <w:rsid w:val="007072BC"/>
    <w:rsid w:val="00715275"/>
    <w:rsid w:val="00721B44"/>
    <w:rsid w:val="00721CB0"/>
    <w:rsid w:val="007232A2"/>
    <w:rsid w:val="00726366"/>
    <w:rsid w:val="00731AB6"/>
    <w:rsid w:val="00733B6B"/>
    <w:rsid w:val="00740808"/>
    <w:rsid w:val="00740A1B"/>
    <w:rsid w:val="007467C4"/>
    <w:rsid w:val="00752E27"/>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011"/>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4916"/>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44F8"/>
    <w:rsid w:val="0089695B"/>
    <w:rsid w:val="00897740"/>
    <w:rsid w:val="008A12EC"/>
    <w:rsid w:val="008A1EB4"/>
    <w:rsid w:val="008A2713"/>
    <w:rsid w:val="008A6710"/>
    <w:rsid w:val="008B14BE"/>
    <w:rsid w:val="008B19A6"/>
    <w:rsid w:val="008B4EFB"/>
    <w:rsid w:val="008B7615"/>
    <w:rsid w:val="008C00E5"/>
    <w:rsid w:val="008C21C8"/>
    <w:rsid w:val="008C37D7"/>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B69AC"/>
    <w:rsid w:val="009D4C29"/>
    <w:rsid w:val="009E4098"/>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3479"/>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38B3"/>
    <w:rsid w:val="00B54DAA"/>
    <w:rsid w:val="00B552E0"/>
    <w:rsid w:val="00B55AB0"/>
    <w:rsid w:val="00B55EE5"/>
    <w:rsid w:val="00B61D42"/>
    <w:rsid w:val="00B67A43"/>
    <w:rsid w:val="00B71D1F"/>
    <w:rsid w:val="00B72CFF"/>
    <w:rsid w:val="00B73DE6"/>
    <w:rsid w:val="00B75001"/>
    <w:rsid w:val="00B761CD"/>
    <w:rsid w:val="00B76B66"/>
    <w:rsid w:val="00B86EF0"/>
    <w:rsid w:val="00B92D94"/>
    <w:rsid w:val="00B93EE2"/>
    <w:rsid w:val="00B96969"/>
    <w:rsid w:val="00B97900"/>
    <w:rsid w:val="00BA1229"/>
    <w:rsid w:val="00BA44A8"/>
    <w:rsid w:val="00BA48D4"/>
    <w:rsid w:val="00BA49C5"/>
    <w:rsid w:val="00BB0182"/>
    <w:rsid w:val="00BB2F4A"/>
    <w:rsid w:val="00BB435B"/>
    <w:rsid w:val="00BB7640"/>
    <w:rsid w:val="00BC41E7"/>
    <w:rsid w:val="00BC57AC"/>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BC8"/>
    <w:rsid w:val="00C24098"/>
    <w:rsid w:val="00C30A4E"/>
    <w:rsid w:val="00C411F3"/>
    <w:rsid w:val="00C44105"/>
    <w:rsid w:val="00C47858"/>
    <w:rsid w:val="00C523EC"/>
    <w:rsid w:val="00C55A33"/>
    <w:rsid w:val="00C62B2F"/>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80E2D"/>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67C0"/>
    <w:rsid w:val="00E8794B"/>
    <w:rsid w:val="00E97656"/>
    <w:rsid w:val="00EA004A"/>
    <w:rsid w:val="00EA172C"/>
    <w:rsid w:val="00EA259B"/>
    <w:rsid w:val="00EA35A3"/>
    <w:rsid w:val="00EA3E6A"/>
    <w:rsid w:val="00EB18EF"/>
    <w:rsid w:val="00EB58F4"/>
    <w:rsid w:val="00EB5FFB"/>
    <w:rsid w:val="00EB7951"/>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2024-08-14T12:06:00Z</dcterms:created>
  <dcterms:modified xsi:type="dcterms:W3CDTF">2024-08-14T13:30:00Z</dcterms:modified>
</cp:coreProperties>
</file>