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3811C6E6" wp14:editId="1D082B0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B67F7">
            <w:pPr>
              <w:pStyle w:val="MemoHeading"/>
            </w:pPr>
            <w:bookmarkStart w:id="0" w:name="FilingDate"/>
            <w:r>
              <w:t>August 29, 2024</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B67F7" w:rsidRDefault="009B67F7">
            <w:pPr>
              <w:pStyle w:val="MemoHeading"/>
            </w:pPr>
            <w:bookmarkStart w:id="1" w:name="From"/>
            <w:r>
              <w:t>Office of Industry Development and Market Analysis (Nave, Wooten, Long)</w:t>
            </w:r>
          </w:p>
          <w:p w:rsidR="007C0528" w:rsidRDefault="009B67F7">
            <w:pPr>
              <w:pStyle w:val="MemoHeading"/>
            </w:pPr>
            <w:r>
              <w:t>Office of the General Counsel (Farooqi, Marquez)</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B67F7">
            <w:pPr>
              <w:pStyle w:val="MemoHeadingRe"/>
            </w:pPr>
            <w:bookmarkStart w:id="2" w:name="Re"/>
            <w:r>
              <w:t xml:space="preserve">Docket No. 20240097-TP – 2025 State certification under </w:t>
            </w:r>
            <w:bookmarkStart w:id="3" w:name="_GoBack"/>
            <w:r>
              <w:t>47 C.F.R. §54.313 and §54.314, annual reporting requirements for high-cost recipients and certification of support for eligible telecommunications carriers.</w:t>
            </w:r>
            <w:bookmarkEnd w:id="2"/>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41A47">
            <w:pPr>
              <w:pStyle w:val="MemoHeading"/>
            </w:pPr>
            <w:bookmarkStart w:id="4" w:name="AgendaDate"/>
            <w:r>
              <w:t>09/10</w:t>
            </w:r>
            <w:r w:rsidR="009B67F7">
              <w:t>/24</w:t>
            </w:r>
            <w:bookmarkEnd w:id="4"/>
            <w:r w:rsidR="007C0528">
              <w:t xml:space="preserve"> – </w:t>
            </w:r>
            <w:bookmarkStart w:id="5" w:name="PermittedStatus"/>
            <w:r w:rsidR="009B67F7">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B67F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B67F7">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B67F7">
            <w:pPr>
              <w:pStyle w:val="MemoHeading"/>
            </w:pPr>
            <w:r>
              <w:t>10/01/24 (Filing deadline with the Federal Communications Commission and the Universal Service Administrative Company)</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B67F7">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22FA6" w:rsidRPr="00B22FA6" w:rsidRDefault="00B22FA6" w:rsidP="00B22FA6">
      <w:pPr>
        <w:pStyle w:val="BodyText"/>
      </w:pPr>
      <w:r w:rsidRPr="00B22FA6">
        <w:rPr>
          <w:bCs/>
        </w:rPr>
        <w:t>One of the primary principles</w:t>
      </w:r>
      <w:r w:rsidRPr="00B22FA6">
        <w:t xml:space="preserve"> of universal service support as described in the Telecommunications Act of 1996 (Telecom Act) is for consumers in all regions to have reasonably comparable access to telecommunications and information services at reasonably comparable rates.</w:t>
      </w:r>
      <w:r w:rsidRPr="00B22FA6">
        <w:rPr>
          <w:vertAlign w:val="superscript"/>
        </w:rPr>
        <w:footnoteReference w:id="1"/>
      </w:r>
      <w:r w:rsidRPr="00B22FA6">
        <w:t xml:space="preserve"> The federal universal service high-cost program is designed to help ensure that consumers in rural, insular, and high-cost areas have access to modern communications networks capable of providing voice and broadband service, both fixed and mobile, at rates that are reasonably comparable to those in urban areas.</w:t>
      </w:r>
      <w:r w:rsidRPr="00B22FA6">
        <w:rPr>
          <w:vertAlign w:val="superscript"/>
        </w:rPr>
        <w:footnoteReference w:id="2"/>
      </w:r>
      <w:r w:rsidRPr="00B22FA6">
        <w:t xml:space="preserve"> The program supports the goal of universal </w:t>
      </w:r>
      <w:r w:rsidRPr="00B22FA6">
        <w:lastRenderedPageBreak/>
        <w:t>service by allowing eligible telecommunications carriers (ETCs) to recover some of the costs of service provision in high-cost areas from the federal Universal Service Fund. Carriers can be designated as ETCs in Florida by the Florida Public Service Commission (Commission) or the Federal Communications Commission (FCC).</w:t>
      </w:r>
    </w:p>
    <w:p w:rsidR="00B22FA6" w:rsidRPr="00B22FA6" w:rsidRDefault="00B22FA6" w:rsidP="00B22FA6">
      <w:pPr>
        <w:pStyle w:val="BodyText"/>
      </w:pPr>
      <w:r w:rsidRPr="00B22FA6">
        <w:t xml:space="preserve">In order for </w:t>
      </w:r>
      <w:r w:rsidR="00603842">
        <w:t xml:space="preserve">requesting </w:t>
      </w:r>
      <w:r w:rsidRPr="00B22FA6">
        <w:t>carriers to receive federal universal service high-cost support, state commissions must annually certify to the Universal Service Administrative Company (USAC) and to the FCC that each carrier complies with the requirements of Section 254(e) of the Telecom Act by using high-cost support “only for the provision, maintenance, and upgrading of facilities and services for which the support is intended.”</w:t>
      </w:r>
      <w:r w:rsidRPr="00B22FA6">
        <w:rPr>
          <w:vertAlign w:val="superscript"/>
        </w:rPr>
        <w:footnoteReference w:id="3"/>
      </w:r>
      <w:r w:rsidRPr="00B22FA6">
        <w:t xml:space="preserve"> Certification will be filed online by the Commission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2025, </w:t>
      </w:r>
      <w:r w:rsidR="00CB59A2">
        <w:t xml:space="preserve">the Commission must submit the </w:t>
      </w:r>
      <w:r w:rsidRPr="00B22FA6">
        <w:t>certification by October 1, 2024.</w:t>
      </w:r>
      <w:r w:rsidRPr="00B22FA6">
        <w:rPr>
          <w:vertAlign w:val="superscript"/>
        </w:rPr>
        <w:footnoteReference w:id="4"/>
      </w:r>
    </w:p>
    <w:p w:rsidR="0068481F" w:rsidRDefault="00B22FA6" w:rsidP="00B22FA6">
      <w:pPr>
        <w:pStyle w:val="BodyText"/>
      </w:pPr>
      <w:r w:rsidRPr="00B22FA6">
        <w:t>The Commission has jurisdiction pursuant to 47 C.F.R. §54.313 and §54.314, as well as Chapter 364,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B22FA6" w:rsidRPr="00F56BAE" w:rsidRDefault="00B22FA6" w:rsidP="00F56BAE">
      <w:pPr>
        <w:pStyle w:val="IssueHeading"/>
        <w:rPr>
          <w:vanish/>
          <w:specVanish/>
        </w:rPr>
      </w:pPr>
      <w:r w:rsidRPr="00983492">
        <w:t xml:space="preserve">Issue </w:t>
      </w:r>
      <w:fldSimple w:instr=" SEQ Issue \* MERGEFORMAT ">
        <w:r w:rsidR="000F6DA4">
          <w:rPr>
            <w:noProof/>
          </w:rPr>
          <w:t>1</w:t>
        </w:r>
      </w:fldSimple>
      <w:r w:rsidRPr="00983492">
        <w:t>:</w:t>
      </w:r>
      <w:r w:rsidRPr="00983492">
        <w:fldChar w:fldCharType="begin"/>
      </w:r>
      <w:r w:rsidRPr="00983492">
        <w:instrText xml:space="preserve"> TC "</w:instrText>
      </w:r>
      <w:r w:rsidRPr="00983492">
        <w:fldChar w:fldCharType="begin"/>
      </w:r>
      <w:r w:rsidRPr="00983492">
        <w:instrText xml:space="preserve"> SEQ issue \c </w:instrText>
      </w:r>
      <w:r w:rsidRPr="00983492">
        <w:fldChar w:fldCharType="separate"/>
      </w:r>
      <w:r w:rsidR="000F6DA4">
        <w:rPr>
          <w:noProof/>
        </w:rPr>
        <w:instrText>1</w:instrText>
      </w:r>
      <w:r w:rsidRPr="00983492">
        <w:fldChar w:fldCharType="end"/>
      </w:r>
      <w:r w:rsidRPr="00983492">
        <w:tab/>
        <w:instrText xml:space="preserve">" \l 1 </w:instrText>
      </w:r>
      <w:r w:rsidRPr="00983492">
        <w:fldChar w:fldCharType="end"/>
      </w:r>
      <w:r w:rsidRPr="00983492">
        <w:t> </w:t>
      </w:r>
    </w:p>
    <w:p w:rsidR="00B22FA6" w:rsidRPr="00983492" w:rsidRDefault="00B22FA6" w:rsidP="00B22FA6">
      <w:pPr>
        <w:pStyle w:val="BodyText"/>
      </w:pPr>
      <w:r w:rsidRPr="00983492">
        <w:rPr>
          <w:rFonts w:ascii="Arial" w:hAnsi="Arial" w:cs="Arial"/>
          <w:b/>
          <w:bCs/>
          <w:i/>
        </w:rPr>
        <w:t> </w:t>
      </w:r>
      <w:r w:rsidRPr="00983492">
        <w:t>Should the Commission certify to USAC and the FCC that 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Smart City Telecommunications LLC d/b/a Smart City Telecom; Windstream</w:t>
      </w:r>
      <w:r w:rsidR="00603842" w:rsidRPr="00603842">
        <w:t xml:space="preserve"> </w:t>
      </w:r>
      <w:r w:rsidR="00603842" w:rsidRPr="00983492">
        <w:t>Communications</w:t>
      </w:r>
      <w:r w:rsidRPr="00983492">
        <w:t xml:space="preserve">, LLC; and Windstream </w:t>
      </w:r>
      <w:r w:rsidR="00603842" w:rsidRPr="00983492">
        <w:t>Florida</w:t>
      </w:r>
      <w:r w:rsidRPr="00983492">
        <w:t>, LLC are eligible to receive federal high-cost support?</w:t>
      </w:r>
    </w:p>
    <w:p w:rsidR="00B22FA6" w:rsidRPr="00F56BAE" w:rsidRDefault="00B22FA6" w:rsidP="00F56BAE">
      <w:pPr>
        <w:pStyle w:val="IssueSubsectionHeading"/>
        <w:rPr>
          <w:vanish/>
          <w:specVanish/>
        </w:rPr>
      </w:pPr>
      <w:r w:rsidRPr="00983492">
        <w:t xml:space="preserve">Recommendation:  </w:t>
      </w:r>
    </w:p>
    <w:p w:rsidR="00B22FA6" w:rsidRPr="00983492" w:rsidRDefault="00F56BAE" w:rsidP="00B22FA6">
      <w:pPr>
        <w:pStyle w:val="BodyText"/>
      </w:pPr>
      <w:r>
        <w:t xml:space="preserve"> </w:t>
      </w:r>
      <w:r w:rsidR="00B22FA6" w:rsidRPr="00983492">
        <w:t xml:space="preserve">Yes. The Commission should certify to USAC and the FCC that 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Smart City Telecommunications LLC d/b/a Smart City Telecom; Windstream </w:t>
      </w:r>
      <w:r w:rsidR="00603842" w:rsidRPr="00983492">
        <w:t>Communications</w:t>
      </w:r>
      <w:r w:rsidR="00B22FA6" w:rsidRPr="00983492">
        <w:t>, LLC; and Windstream</w:t>
      </w:r>
      <w:r w:rsidR="00603842" w:rsidRPr="00603842">
        <w:t xml:space="preserve"> </w:t>
      </w:r>
      <w:r w:rsidR="00603842" w:rsidRPr="00983492">
        <w:t>Florida</w:t>
      </w:r>
      <w:r w:rsidR="00B22FA6" w:rsidRPr="00983492">
        <w:t>, LLC are eligible to receive federal high-cost support. (Nave, Wooten</w:t>
      </w:r>
      <w:r w:rsidR="00D31386" w:rsidRPr="00983492">
        <w:t>, Long</w:t>
      </w:r>
      <w:r w:rsidR="00B22FA6" w:rsidRPr="00983492">
        <w:t xml:space="preserve">)  </w:t>
      </w:r>
    </w:p>
    <w:p w:rsidR="00B22FA6" w:rsidRPr="00F56BAE" w:rsidRDefault="00B22FA6" w:rsidP="00F56BAE">
      <w:pPr>
        <w:pStyle w:val="IssueSubsectionHeading"/>
        <w:rPr>
          <w:vanish/>
          <w:specVanish/>
        </w:rPr>
      </w:pPr>
      <w:r w:rsidRPr="00983492">
        <w:t xml:space="preserve">Staff Analysis: </w:t>
      </w:r>
    </w:p>
    <w:p w:rsidR="00B22FA6" w:rsidRPr="00983492" w:rsidRDefault="00B22FA6" w:rsidP="00B22FA6">
      <w:pPr>
        <w:pStyle w:val="BodyText"/>
      </w:pPr>
      <w:r w:rsidRPr="00983492">
        <w:rPr>
          <w:rFonts w:ascii="Arial" w:hAnsi="Arial" w:cs="Arial"/>
        </w:rPr>
        <w:t> </w:t>
      </w:r>
      <w:r w:rsidRPr="00983492">
        <w:t xml:space="preserve">All Florida ETCs that are seeking high-cost support have filed affidavits with the Commission attesting that the high-cost funds received for the preceding calendar year were used, and funds for the upcoming calendar year will be used only for the provision, maintenance, and upgrading of facilities and services for which the support is intended. Additionally, each company has filed FCC Form 481 with USAC. </w:t>
      </w:r>
      <w:r w:rsidRPr="00983492" w:rsidDel="008C1CAE">
        <w:t xml:space="preserve">Form 481 includes information such as emergency operation capability, FCC pricing standards comparability for voice and broadband service, holding company and affiliate brand details, and tribal lands service and outreach. </w:t>
      </w:r>
      <w:r w:rsidRPr="00983492">
        <w:t xml:space="preserve">Based on previous years’ data and projected changes in support, staff estimates that </w:t>
      </w:r>
      <w:r w:rsidR="00CB59A2" w:rsidRPr="00983492">
        <w:t xml:space="preserve">approximately $18 million </w:t>
      </w:r>
      <w:r w:rsidR="00CB59A2">
        <w:t>in</w:t>
      </w:r>
      <w:r w:rsidRPr="00983492">
        <w:t xml:space="preserve"> high-cost support may </w:t>
      </w:r>
      <w:r w:rsidR="00CB59A2">
        <w:t xml:space="preserve">be </w:t>
      </w:r>
      <w:r w:rsidRPr="00983492">
        <w:t>receive</w:t>
      </w:r>
      <w:r w:rsidR="00CB59A2">
        <w:t>d</w:t>
      </w:r>
      <w:r w:rsidRPr="00983492">
        <w:t xml:space="preserve"> </w:t>
      </w:r>
      <w:r w:rsidR="00CB59A2">
        <w:t xml:space="preserve">by </w:t>
      </w:r>
      <w:r w:rsidR="000F6DA4">
        <w:t xml:space="preserve">these </w:t>
      </w:r>
      <w:r w:rsidR="00CB59A2">
        <w:t xml:space="preserve">Florida ETCs </w:t>
      </w:r>
      <w:r w:rsidRPr="00983492">
        <w:t xml:space="preserve">in </w:t>
      </w:r>
      <w:r w:rsidR="00CB59A2">
        <w:t>2025</w:t>
      </w:r>
      <w:r w:rsidRPr="00983492">
        <w:t>.</w:t>
      </w:r>
      <w:r w:rsidRPr="00983492">
        <w:rPr>
          <w:vertAlign w:val="superscript"/>
        </w:rPr>
        <w:footnoteReference w:id="5"/>
      </w:r>
    </w:p>
    <w:p w:rsidR="00B22FA6" w:rsidRPr="00B22FA6" w:rsidRDefault="00B22FA6" w:rsidP="00B22FA6">
      <w:pPr>
        <w:pStyle w:val="BodyText"/>
      </w:pPr>
      <w:r w:rsidRPr="00B22FA6">
        <w:t>Staff reviewed the affidavits and submissions made by each carrier to the Commission and to USAC. Each of the Florida ETCs receiving high-cost support has attested that all federal high-cost support provided to them within Florida was used in the preceding calendar year and will be used in the coming calendar year only for the provision, maintenance, and upgrading of facilities and services for which the support is intended.</w:t>
      </w:r>
    </w:p>
    <w:p w:rsidR="009D2F82" w:rsidRDefault="00B22FA6" w:rsidP="00E275D8">
      <w:pPr>
        <w:pStyle w:val="BodyText"/>
      </w:pPr>
      <w:r w:rsidRPr="00B22FA6">
        <w:t>Having reviewed the carriers’ filings, staff recommends that the Commission certify to USAC and the FCC that 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Smart City Telecommunications LLC d/b/a Smart City Telecom; Windstream</w:t>
      </w:r>
      <w:r w:rsidR="00603842" w:rsidRPr="00603842">
        <w:t xml:space="preserve"> </w:t>
      </w:r>
      <w:r w:rsidR="00603842" w:rsidRPr="00B22FA6">
        <w:t>Communications</w:t>
      </w:r>
      <w:r w:rsidRPr="00B22FA6">
        <w:t xml:space="preserve">, LLC; and Windstream </w:t>
      </w:r>
      <w:r w:rsidR="00603842" w:rsidRPr="00B22FA6">
        <w:t>Florida</w:t>
      </w:r>
      <w:r w:rsidRPr="00B22FA6">
        <w:t>,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w:t>
      </w:r>
      <w:r w:rsidR="00F56BAE">
        <w:t xml:space="preserve"> </w:t>
      </w:r>
      <w:r w:rsidR="009D2F82">
        <w:br w:type="page"/>
      </w:r>
    </w:p>
    <w:p w:rsidR="00B22FA6" w:rsidRPr="00F56BAE" w:rsidRDefault="00B22FA6" w:rsidP="00F56BAE">
      <w:pPr>
        <w:pStyle w:val="IssueHeading"/>
        <w:rPr>
          <w:rFonts w:eastAsiaTheme="minorHAnsi"/>
          <w:vanish/>
          <w:specVanish/>
        </w:rPr>
      </w:pPr>
      <w:r w:rsidRPr="00B22FA6">
        <w:rPr>
          <w:rFonts w:eastAsiaTheme="minorHAnsi"/>
        </w:rPr>
        <w:lastRenderedPageBreak/>
        <w:t xml:space="preserve">Issue </w:t>
      </w:r>
      <w:r w:rsidRPr="00B22FA6">
        <w:rPr>
          <w:rFonts w:eastAsiaTheme="minorHAnsi"/>
        </w:rPr>
        <w:fldChar w:fldCharType="begin"/>
      </w:r>
      <w:r w:rsidRPr="00B22FA6">
        <w:rPr>
          <w:rFonts w:eastAsiaTheme="minorHAnsi"/>
        </w:rPr>
        <w:instrText xml:space="preserve"> SEQ Issue \* MERGEFORMAT </w:instrText>
      </w:r>
      <w:r w:rsidRPr="00B22FA6">
        <w:rPr>
          <w:rFonts w:eastAsiaTheme="minorHAnsi"/>
        </w:rPr>
        <w:fldChar w:fldCharType="separate"/>
      </w:r>
      <w:r w:rsidR="000F6DA4">
        <w:rPr>
          <w:rFonts w:eastAsiaTheme="minorHAnsi"/>
          <w:noProof/>
        </w:rPr>
        <w:t>2</w:t>
      </w:r>
      <w:r w:rsidRPr="00B22FA6">
        <w:rPr>
          <w:rFonts w:eastAsiaTheme="minorHAnsi"/>
        </w:rPr>
        <w:fldChar w:fldCharType="end"/>
      </w:r>
      <w:r w:rsidRPr="00B22FA6">
        <w:rPr>
          <w:rFonts w:eastAsiaTheme="minorHAnsi"/>
        </w:rPr>
        <w:t>:</w:t>
      </w:r>
      <w:r w:rsidRPr="00B22FA6">
        <w:rPr>
          <w:rFonts w:eastAsiaTheme="minorHAnsi"/>
        </w:rPr>
        <w:fldChar w:fldCharType="begin"/>
      </w:r>
      <w:r w:rsidRPr="00B22FA6">
        <w:rPr>
          <w:rFonts w:eastAsiaTheme="minorHAnsi"/>
        </w:rPr>
        <w:instrText xml:space="preserve"> TC "</w:instrText>
      </w:r>
      <w:r w:rsidRPr="00B22FA6">
        <w:rPr>
          <w:rFonts w:eastAsiaTheme="minorHAnsi"/>
        </w:rPr>
        <w:fldChar w:fldCharType="begin"/>
      </w:r>
      <w:r w:rsidRPr="00B22FA6">
        <w:rPr>
          <w:rFonts w:eastAsiaTheme="minorHAnsi"/>
        </w:rPr>
        <w:instrText xml:space="preserve"> SEQ issue \c </w:instrText>
      </w:r>
      <w:r w:rsidRPr="00B22FA6">
        <w:rPr>
          <w:rFonts w:eastAsiaTheme="minorHAnsi"/>
        </w:rPr>
        <w:fldChar w:fldCharType="separate"/>
      </w:r>
      <w:r w:rsidR="000F6DA4">
        <w:rPr>
          <w:rFonts w:eastAsiaTheme="minorHAnsi"/>
          <w:noProof/>
        </w:rPr>
        <w:instrText>2</w:instrText>
      </w:r>
      <w:r w:rsidRPr="00B22FA6">
        <w:rPr>
          <w:rFonts w:eastAsiaTheme="minorHAnsi"/>
        </w:rPr>
        <w:fldChar w:fldCharType="end"/>
      </w:r>
      <w:r w:rsidRPr="00B22FA6">
        <w:rPr>
          <w:rFonts w:eastAsiaTheme="minorHAnsi"/>
        </w:rPr>
        <w:tab/>
        <w:instrText xml:space="preserve">" \l 1 </w:instrText>
      </w:r>
      <w:r w:rsidRPr="00B22FA6">
        <w:rPr>
          <w:rFonts w:eastAsiaTheme="minorHAnsi"/>
        </w:rPr>
        <w:fldChar w:fldCharType="end"/>
      </w:r>
      <w:r w:rsidRPr="00B22FA6">
        <w:rPr>
          <w:rFonts w:eastAsiaTheme="minorHAnsi"/>
        </w:rPr>
        <w:t> </w:t>
      </w:r>
    </w:p>
    <w:p w:rsidR="00B22FA6" w:rsidRPr="00B22FA6" w:rsidRDefault="00B22FA6" w:rsidP="00B22FA6">
      <w:pPr>
        <w:spacing w:after="200" w:line="276" w:lineRule="auto"/>
        <w:rPr>
          <w:rFonts w:eastAsiaTheme="minorHAnsi" w:cstheme="minorBidi"/>
          <w:szCs w:val="22"/>
        </w:rPr>
      </w:pPr>
      <w:r w:rsidRPr="00B22FA6">
        <w:rPr>
          <w:rFonts w:eastAsiaTheme="minorHAnsi" w:cstheme="minorBidi"/>
          <w:szCs w:val="22"/>
        </w:rPr>
        <w:t> Should this docket be closed?</w:t>
      </w:r>
    </w:p>
    <w:p w:rsidR="00B22FA6" w:rsidRPr="00F56BAE" w:rsidRDefault="00B22FA6" w:rsidP="00F56BAE">
      <w:pPr>
        <w:pStyle w:val="IssueSubsectionHeading"/>
        <w:rPr>
          <w:rFonts w:eastAsiaTheme="minorHAnsi"/>
          <w:vanish/>
          <w:specVanish/>
        </w:rPr>
      </w:pPr>
      <w:r w:rsidRPr="00B22FA6">
        <w:rPr>
          <w:rFonts w:eastAsiaTheme="minorHAnsi"/>
        </w:rPr>
        <w:t>Recommendation: </w:t>
      </w:r>
    </w:p>
    <w:p w:rsidR="00B22FA6" w:rsidRPr="00B22FA6" w:rsidRDefault="00B22FA6" w:rsidP="00B22FA6">
      <w:pPr>
        <w:spacing w:after="200" w:line="276" w:lineRule="auto"/>
        <w:rPr>
          <w:rFonts w:eastAsiaTheme="minorHAnsi" w:cstheme="minorBidi"/>
          <w:szCs w:val="22"/>
        </w:rPr>
      </w:pPr>
      <w:r w:rsidRPr="00B22FA6">
        <w:rPr>
          <w:rFonts w:eastAsiaTheme="minorHAnsi" w:cstheme="minorBidi"/>
          <w:szCs w:val="22"/>
        </w:rPr>
        <w:t> Yes. This docket should be closed upon issuance of a Final Order. (</w:t>
      </w:r>
      <w:r w:rsidR="00D31386">
        <w:rPr>
          <w:rFonts w:eastAsiaTheme="minorHAnsi" w:cstheme="minorBidi"/>
          <w:szCs w:val="22"/>
        </w:rPr>
        <w:t>Farooqi, Marquez</w:t>
      </w:r>
      <w:r w:rsidRPr="00B22FA6">
        <w:rPr>
          <w:rFonts w:eastAsiaTheme="minorHAnsi" w:cstheme="minorBidi"/>
          <w:szCs w:val="22"/>
        </w:rPr>
        <w:t xml:space="preserve">) </w:t>
      </w:r>
    </w:p>
    <w:p w:rsidR="00B22FA6" w:rsidRPr="00F56BAE" w:rsidRDefault="00B22FA6" w:rsidP="00F56BAE">
      <w:pPr>
        <w:pStyle w:val="IssueSubsectionHeading"/>
        <w:rPr>
          <w:rFonts w:eastAsiaTheme="minorHAnsi"/>
          <w:vanish/>
          <w:specVanish/>
        </w:rPr>
      </w:pPr>
      <w:r w:rsidRPr="00B22FA6">
        <w:rPr>
          <w:rFonts w:eastAsiaTheme="minorHAnsi"/>
        </w:rPr>
        <w:t>Staff Analysis: </w:t>
      </w:r>
    </w:p>
    <w:p w:rsidR="00B22FA6" w:rsidRPr="00B22FA6" w:rsidRDefault="00B22FA6" w:rsidP="00B22FA6">
      <w:pPr>
        <w:spacing w:after="200" w:line="276" w:lineRule="auto"/>
        <w:rPr>
          <w:rFonts w:eastAsiaTheme="minorHAnsi" w:cstheme="minorBidi"/>
          <w:szCs w:val="22"/>
        </w:rPr>
      </w:pPr>
      <w:r w:rsidRPr="00B22FA6">
        <w:rPr>
          <w:rFonts w:eastAsiaTheme="minorHAnsi" w:cstheme="minorBidi"/>
          <w:szCs w:val="22"/>
        </w:rPr>
        <w:t> This docket should be closed upon issuance of a Final Order.</w:t>
      </w:r>
    </w:p>
    <w:sectPr w:rsidR="00B22FA6" w:rsidRPr="00B22FA6"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C53" w:rsidRDefault="00B77C53">
      <w:r>
        <w:separator/>
      </w:r>
    </w:p>
  </w:endnote>
  <w:endnote w:type="continuationSeparator" w:id="0">
    <w:p w:rsidR="00B77C53" w:rsidRDefault="00B7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41866">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C53" w:rsidRDefault="00B77C53">
      <w:r>
        <w:separator/>
      </w:r>
    </w:p>
  </w:footnote>
  <w:footnote w:type="continuationSeparator" w:id="0">
    <w:p w:rsidR="00B77C53" w:rsidRDefault="00B77C53">
      <w:r>
        <w:continuationSeparator/>
      </w:r>
    </w:p>
  </w:footnote>
  <w:footnote w:id="1">
    <w:p w:rsidR="00B22FA6" w:rsidRDefault="00B22FA6" w:rsidP="00B22FA6">
      <w:pPr>
        <w:pStyle w:val="FootnoteText"/>
      </w:pPr>
      <w:r>
        <w:rPr>
          <w:rStyle w:val="FootnoteReference"/>
        </w:rPr>
        <w:footnoteRef/>
      </w:r>
      <w:r>
        <w:t xml:space="preserve">   </w:t>
      </w:r>
      <w:r w:rsidRPr="00961C7E">
        <w:t xml:space="preserve">47 </w:t>
      </w:r>
      <w:r>
        <w:t>U.S.C. §</w:t>
      </w:r>
      <w:r w:rsidRPr="00961C7E">
        <w:t>254(b)(3)</w:t>
      </w:r>
      <w:r>
        <w:t xml:space="preserve"> (2024</w:t>
      </w:r>
      <w:r w:rsidRPr="00D9323D">
        <w:t>)</w:t>
      </w:r>
    </w:p>
  </w:footnote>
  <w:footnote w:id="2">
    <w:p w:rsidR="00B22FA6" w:rsidRDefault="00B22FA6" w:rsidP="00B22FA6">
      <w:pPr>
        <w:pStyle w:val="FootnoteText"/>
      </w:pPr>
      <w:r>
        <w:rPr>
          <w:rStyle w:val="FootnoteReference"/>
        </w:rPr>
        <w:footnoteRef/>
      </w:r>
      <w:r>
        <w:t xml:space="preserve"> FCC, “</w:t>
      </w:r>
      <w:r w:rsidRPr="00394F80">
        <w:t>Universal Service for High Cost Areas - Connect America Fund</w:t>
      </w:r>
      <w:r>
        <w:t>,” updated August 21, 2024</w:t>
      </w:r>
      <w:r w:rsidRPr="00D9323D">
        <w:t xml:space="preserve">, </w:t>
      </w:r>
      <w:hyperlink r:id="rId1" w:history="1">
        <w:r w:rsidRPr="00D9323D">
          <w:rPr>
            <w:rStyle w:val="Hyperlink"/>
          </w:rPr>
          <w:t>https://www.fcc.gov/general/universal-service-high-cost-areas-connect-america-fund</w:t>
        </w:r>
      </w:hyperlink>
      <w:r>
        <w:t>, accessed August</w:t>
      </w:r>
      <w:r w:rsidRPr="00D9323D">
        <w:t xml:space="preserve"> </w:t>
      </w:r>
      <w:r>
        <w:t>23</w:t>
      </w:r>
      <w:r w:rsidRPr="00D9323D">
        <w:t>, 20</w:t>
      </w:r>
      <w:r>
        <w:t>24</w:t>
      </w:r>
      <w:r w:rsidRPr="00D9323D">
        <w:t>.</w:t>
      </w:r>
    </w:p>
  </w:footnote>
  <w:footnote w:id="3">
    <w:p w:rsidR="00B22FA6" w:rsidRPr="00C47BC7" w:rsidRDefault="00B22FA6" w:rsidP="00B22FA6">
      <w:pPr>
        <w:pStyle w:val="FootnoteText"/>
      </w:pPr>
      <w:r>
        <w:rPr>
          <w:rStyle w:val="FootnoteReference"/>
        </w:rPr>
        <w:footnoteRef/>
      </w:r>
      <w:r>
        <w:t xml:space="preserve"> 47 C.F.R §54.314(a</w:t>
      </w:r>
      <w:r w:rsidRPr="00340987">
        <w:t>)</w:t>
      </w:r>
      <w:r>
        <w:t xml:space="preserve"> (2024</w:t>
      </w:r>
      <w:r w:rsidRPr="00C47BC7">
        <w:t>)</w:t>
      </w:r>
    </w:p>
  </w:footnote>
  <w:footnote w:id="4">
    <w:p w:rsidR="00B22FA6" w:rsidRDefault="00B22FA6" w:rsidP="00B22FA6">
      <w:pPr>
        <w:pStyle w:val="FootnoteText"/>
      </w:pPr>
      <w:r w:rsidRPr="00C47BC7">
        <w:rPr>
          <w:rStyle w:val="FootnoteReference"/>
        </w:rPr>
        <w:footnoteRef/>
      </w:r>
      <w:r w:rsidRPr="00C47BC7">
        <w:t xml:space="preserve"> 47 C.F.R §54.314(d) (</w:t>
      </w:r>
      <w:r>
        <w:t>2024</w:t>
      </w:r>
      <w:r w:rsidRPr="00C47BC7">
        <w:t>)</w:t>
      </w:r>
    </w:p>
  </w:footnote>
  <w:footnote w:id="5">
    <w:p w:rsidR="00B22FA6" w:rsidRDefault="00B22FA6" w:rsidP="00B22FA6">
      <w:pPr>
        <w:pStyle w:val="FootnoteText"/>
      </w:pPr>
      <w:r>
        <w:rPr>
          <w:rStyle w:val="FootnoteReference"/>
        </w:rPr>
        <w:footnoteRef/>
      </w:r>
      <w:r>
        <w:t xml:space="preserve"> This estimate was obtained using data from the USAC high-cost funding </w:t>
      </w:r>
      <w:r w:rsidRPr="00BC4D59">
        <w:t xml:space="preserve">data </w:t>
      </w:r>
      <w:r>
        <w:t>disbursement search tool.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9B67F7"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20240097-TP</w:t>
    </w:r>
    <w:bookmarkEnd w:id="14"/>
  </w:p>
  <w:p w:rsidR="00BC402E" w:rsidRDefault="00BC402E">
    <w:pPr>
      <w:pStyle w:val="Header"/>
    </w:pPr>
    <w:r>
      <w:t xml:space="preserve">Date: </w:t>
    </w:r>
    <w:r w:rsidR="00D82F60">
      <w:fldChar w:fldCharType="begin"/>
    </w:r>
    <w:r w:rsidR="00D82F60">
      <w:instrText xml:space="preserve"> REF FilingDate </w:instrText>
    </w:r>
    <w:r w:rsidR="00D82F60">
      <w:fldChar w:fldCharType="separate"/>
    </w:r>
    <w:r w:rsidR="000F6DA4">
      <w:t>August 29, 2024</w:t>
    </w:r>
    <w:r w:rsidR="00D82F6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F6DA4">
      <w:t>Docket No.</w:t>
    </w:r>
    <w:r>
      <w:fldChar w:fldCharType="end"/>
    </w:r>
    <w:r>
      <w:t xml:space="preserve"> </w:t>
    </w:r>
    <w:r>
      <w:fldChar w:fldCharType="begin"/>
    </w:r>
    <w:r>
      <w:instrText xml:space="preserve"> REF DocketList</w:instrText>
    </w:r>
    <w:r>
      <w:fldChar w:fldCharType="separate"/>
    </w:r>
    <w:r w:rsidR="000F6DA4">
      <w:t>20240097-TP</w:t>
    </w:r>
    <w:r>
      <w:fldChar w:fldCharType="end"/>
    </w:r>
    <w:r>
      <w:tab/>
      <w:t xml:space="preserve">Issue </w:t>
    </w:r>
    <w:fldSimple w:instr=" Seq Issue \c \* Arabic ">
      <w:r w:rsidR="00A41866">
        <w:rPr>
          <w:noProof/>
        </w:rPr>
        <w:t>2</w:t>
      </w:r>
    </w:fldSimple>
  </w:p>
  <w:p w:rsidR="00BC402E" w:rsidRDefault="00BC402E">
    <w:pPr>
      <w:pStyle w:val="Header"/>
    </w:pPr>
    <w:r>
      <w:t xml:space="preserve">Date: </w:t>
    </w:r>
    <w:r w:rsidR="00D82F60">
      <w:fldChar w:fldCharType="begin"/>
    </w:r>
    <w:r w:rsidR="00D82F60">
      <w:instrText xml:space="preserve"> REF FilingDate </w:instrText>
    </w:r>
    <w:r w:rsidR="00D82F60">
      <w:fldChar w:fldCharType="separate"/>
    </w:r>
    <w:r w:rsidR="000F6DA4">
      <w:t>August 29, 2024</w:t>
    </w:r>
    <w:r w:rsidR="00D82F6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B67F7"/>
    <w:rsid w:val="00003CD2"/>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83824"/>
    <w:rsid w:val="000A2B57"/>
    <w:rsid w:val="000A418B"/>
    <w:rsid w:val="000B0ACE"/>
    <w:rsid w:val="000C4431"/>
    <w:rsid w:val="000C6607"/>
    <w:rsid w:val="000D1C06"/>
    <w:rsid w:val="000D3043"/>
    <w:rsid w:val="000D4319"/>
    <w:rsid w:val="000E24FA"/>
    <w:rsid w:val="000E338A"/>
    <w:rsid w:val="000E4392"/>
    <w:rsid w:val="000F374A"/>
    <w:rsid w:val="000F4DAF"/>
    <w:rsid w:val="000F6DA4"/>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96A54"/>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E5E4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1A47"/>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07B54"/>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3842"/>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57742"/>
    <w:rsid w:val="006603F4"/>
    <w:rsid w:val="00661708"/>
    <w:rsid w:val="00662380"/>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1E51"/>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3492"/>
    <w:rsid w:val="009863B0"/>
    <w:rsid w:val="00987DE1"/>
    <w:rsid w:val="00990571"/>
    <w:rsid w:val="00991905"/>
    <w:rsid w:val="009926B2"/>
    <w:rsid w:val="0099673A"/>
    <w:rsid w:val="009A3291"/>
    <w:rsid w:val="009A3330"/>
    <w:rsid w:val="009A548F"/>
    <w:rsid w:val="009A7C96"/>
    <w:rsid w:val="009B61BF"/>
    <w:rsid w:val="009B67F7"/>
    <w:rsid w:val="009C3253"/>
    <w:rsid w:val="009C3DB9"/>
    <w:rsid w:val="009C5968"/>
    <w:rsid w:val="009D0436"/>
    <w:rsid w:val="009D2F82"/>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866"/>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2FA6"/>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C53"/>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23CD"/>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2D3"/>
    <w:rsid w:val="00C91670"/>
    <w:rsid w:val="00C93211"/>
    <w:rsid w:val="00C93DB8"/>
    <w:rsid w:val="00C942EC"/>
    <w:rsid w:val="00C96047"/>
    <w:rsid w:val="00C979D0"/>
    <w:rsid w:val="00CA0818"/>
    <w:rsid w:val="00CA15C8"/>
    <w:rsid w:val="00CA2C8F"/>
    <w:rsid w:val="00CA30DA"/>
    <w:rsid w:val="00CA3A24"/>
    <w:rsid w:val="00CB1777"/>
    <w:rsid w:val="00CB33E9"/>
    <w:rsid w:val="00CB59A2"/>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31386"/>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0A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56BAE"/>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97EDE61-9C98-43E5-BE12-E8491493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B22FA6"/>
    <w:rPr>
      <w:vertAlign w:val="superscript"/>
    </w:rPr>
  </w:style>
  <w:style w:type="character" w:styleId="FollowedHyperlink">
    <w:name w:val="FollowedHyperlink"/>
    <w:basedOn w:val="DefaultParagraphFont"/>
    <w:semiHidden/>
    <w:unhideWhenUsed/>
    <w:rsid w:val="00B22FA6"/>
    <w:rPr>
      <w:color w:val="800080" w:themeColor="followedHyperlink"/>
      <w:u w:val="single"/>
    </w:rPr>
  </w:style>
  <w:style w:type="character" w:styleId="CommentReference">
    <w:name w:val="annotation reference"/>
    <w:basedOn w:val="DefaultParagraphFont"/>
    <w:semiHidden/>
    <w:unhideWhenUsed/>
    <w:rsid w:val="00CB59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904</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Debra Betton</cp:lastModifiedBy>
  <cp:revision>2</cp:revision>
  <cp:lastPrinted>2024-08-28T12:23:00Z</cp:lastPrinted>
  <dcterms:created xsi:type="dcterms:W3CDTF">2024-08-29T11:22:00Z</dcterms:created>
  <dcterms:modified xsi:type="dcterms:W3CDTF">2024-08-29T11:22:00Z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20240097-TP</vt:lpwstr>
  </property>
  <property fmtid="{D5CDD505-2E9C-101B-9397-08002B2CF9AE}" pid="3" name="MasterDocument">
    <vt:bool>false</vt:bool>
  </property>
</Properties>
</file>