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020F39" w:rsidP="000B4817">
            <w:pPr>
              <w:pStyle w:val="MemoHeading"/>
            </w:pPr>
            <w:bookmarkStart w:id="1" w:name="FilingDate"/>
            <w:r>
              <w:t>September 1</w:t>
            </w:r>
            <w:r w:rsidR="000B4817">
              <w:t>9</w:t>
            </w:r>
            <w:r>
              <w:t>, 2024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0B4817" w:rsidRDefault="000B4817" w:rsidP="000B4817">
            <w:pPr>
              <w:pStyle w:val="MemoHeading"/>
            </w:pPr>
            <w:r>
              <w:t>Office of the General Counsel (Marquez)</w:t>
            </w:r>
            <w:r w:rsidR="00E5277C">
              <w:t xml:space="preserve"> </w:t>
            </w:r>
            <w:r w:rsidR="00E5277C" w:rsidRPr="00E5277C">
              <w:rPr>
                <w:rFonts w:ascii="Freestyle Script" w:hAnsi="Freestyle Script"/>
                <w:color w:val="0070C0"/>
              </w:rPr>
              <w:t>AEH</w:t>
            </w:r>
          </w:p>
          <w:p w:rsidR="007C0528" w:rsidRDefault="000B4817" w:rsidP="000B4817">
            <w:pPr>
              <w:pStyle w:val="MemoHeading"/>
            </w:pPr>
            <w:r>
              <w:t>Division of Accounting and Finance (Richards, Higgins, Kelley, Mouring)</w:t>
            </w:r>
            <w:r w:rsidR="00673950">
              <w:t xml:space="preserve"> </w:t>
            </w:r>
            <w:r w:rsidR="00673950" w:rsidRPr="00673950">
              <w:rPr>
                <w:rFonts w:ascii="Freestyle Script" w:hAnsi="Freestyle Script"/>
                <w:color w:val="0070C0"/>
              </w:rPr>
              <w:t>ALM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B4817">
            <w:pPr>
              <w:pStyle w:val="MemoHeadingRe"/>
            </w:pPr>
            <w:r w:rsidRPr="00E14464">
              <w:t>Docket No. 20230131-WS – Application for staff-assisted rate case in Putnam County, by St. Joh</w:t>
            </w:r>
            <w:r>
              <w:t>ns River Estates Utilities, LLC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B4817">
            <w:pPr>
              <w:pStyle w:val="MemoHeading"/>
            </w:pPr>
            <w:r>
              <w:t xml:space="preserve">10/01/2024 – </w:t>
            </w:r>
            <w:bookmarkStart w:id="2" w:name="PermittedStatus"/>
            <w:bookmarkEnd w:id="2"/>
            <w:r>
              <w:t>Regular Agenda – Interested Persons May Participate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20F39">
            <w:pPr>
              <w:pStyle w:val="MemoHeading"/>
            </w:pPr>
            <w:bookmarkStart w:id="3" w:name="CommissionersAssigned"/>
            <w:r>
              <w:t>All Commissioners</w:t>
            </w:r>
            <w:bookmarkEnd w:id="3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20F39">
            <w:pPr>
              <w:pStyle w:val="MemoHeading"/>
            </w:pPr>
            <w:bookmarkStart w:id="4" w:name="PrehearingOfficer"/>
            <w:r>
              <w:t>Clark</w:t>
            </w:r>
            <w:bookmarkEnd w:id="4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5" w:name="CriticalDatesLabel"/>
            <w:r>
              <w:t>CRITICAL DATES:</w:t>
            </w:r>
            <w:bookmarkEnd w:id="5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B4817">
            <w:pPr>
              <w:pStyle w:val="MemoHeading"/>
            </w:pPr>
            <w:r>
              <w:t>April 30, 2025 (15-month statutory deadline pursuant to Section 367.0814(2), Florida Statutes)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020F39">
            <w:pPr>
              <w:pStyle w:val="MemoHeading"/>
            </w:pPr>
            <w:bookmarkStart w:id="6" w:name="SpecialInstructions"/>
            <w:r>
              <w:t>None</w:t>
            </w:r>
            <w:bookmarkEnd w:id="6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7" w:name="RecToC"/>
      <w:bookmarkEnd w:id="7"/>
      <w:r>
        <w:t xml:space="preserve"> </w:t>
      </w:r>
      <w:bookmarkStart w:id="8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9" w:name="_Toc94516455"/>
      <w:r>
        <w:instrText>Case Background</w:instrText>
      </w:r>
      <w:bookmarkEnd w:id="9"/>
      <w:r>
        <w:instrText xml:space="preserve">" \l 1 </w:instrText>
      </w:r>
      <w:r>
        <w:fldChar w:fldCharType="end"/>
      </w:r>
    </w:p>
    <w:p w:rsidR="0068481F" w:rsidRDefault="000B4817">
      <w:pPr>
        <w:pStyle w:val="BodyText"/>
      </w:pPr>
      <w:r>
        <w:t xml:space="preserve">St. Johns River Estates Utilities, LLC (“St. Johns” or “Utility”) is a water and wastewater utility serving approximately 90 customers in Putnam County, Florida. On November 30, 2023, St. Johns filed an application for staff-assisted rate case (“SARC”) pursuant to Section 367.0814, Florida Statutes (“F.S.”), and Rule </w:t>
      </w:r>
      <w:r w:rsidRPr="0064730A">
        <w:t>25-30.455</w:t>
      </w:r>
      <w:r>
        <w:t>, Florida Administrative Code (“F.A.C.”).</w:t>
      </w:r>
      <w:r>
        <w:rPr>
          <w:rStyle w:val="FootnoteReference"/>
        </w:rPr>
        <w:footnoteReference w:id="1"/>
      </w:r>
      <w:r>
        <w:t xml:space="preserve"> The application was accepted by Florida Public Service Commission Staff (“Commission staff”) on December 22, 2023.</w:t>
      </w:r>
      <w:r>
        <w:rPr>
          <w:rStyle w:val="FootnoteReference"/>
        </w:rPr>
        <w:footnoteReference w:id="2"/>
      </w:r>
      <w:r>
        <w:t xml:space="preserve"> However, St. Johns failed to remit its $1,200 filing fee which resulted in an application denial.</w:t>
      </w:r>
      <w:r>
        <w:rPr>
          <w:rStyle w:val="FootnoteReference"/>
        </w:rPr>
        <w:footnoteReference w:id="3"/>
      </w:r>
    </w:p>
    <w:p w:rsidR="000B4817" w:rsidRDefault="000B4817" w:rsidP="000B4817">
      <w:pPr>
        <w:pStyle w:val="BodyText"/>
      </w:pPr>
      <w:r>
        <w:lastRenderedPageBreak/>
        <w:t>St. Johns then filed a new application for SARC on January 30, 2024, coupled with its $1,200 filing fee.</w:t>
      </w:r>
      <w:r>
        <w:rPr>
          <w:rStyle w:val="FootnoteReference"/>
        </w:rPr>
        <w:footnoteReference w:id="4"/>
      </w:r>
      <w:r>
        <w:t xml:space="preserve"> This second application was accepted by Commission staff with January 30, 2024, as the official date of filing.</w:t>
      </w:r>
      <w:r>
        <w:rPr>
          <w:rStyle w:val="FootnoteReference"/>
        </w:rPr>
        <w:footnoteReference w:id="5"/>
      </w:r>
    </w:p>
    <w:p w:rsidR="000B4817" w:rsidRDefault="000B4817" w:rsidP="000B4817">
      <w:pPr>
        <w:pStyle w:val="BodyText"/>
      </w:pPr>
      <w:r>
        <w:t>After acceptance, Commission staff determined that St. Johns was no longer eligible for a SARC because the Utility is not in compliance with Commission rules that require the filing of an Annual Report and payment of regulatory assessment fees (“RAFs”). A notice of late Annual Report and delinquent RAFs for 2023 was sent to St. Johns via certified U.S. mail on August 1, 2024.</w:t>
      </w:r>
      <w:r>
        <w:rPr>
          <w:rStyle w:val="FootnoteReference"/>
        </w:rPr>
        <w:footnoteReference w:id="6"/>
      </w:r>
    </w:p>
    <w:p w:rsidR="000B4817" w:rsidRDefault="000B4817" w:rsidP="000B4817">
      <w:pPr>
        <w:pStyle w:val="BodyText"/>
      </w:pPr>
      <w:r>
        <w:t>The Commission has jurisdiction over this matter pursuant to Section 367.0814, F.S.</w:t>
      </w:r>
    </w:p>
    <w:p w:rsidR="007C0528" w:rsidRDefault="007C0528" w:rsidP="0068481F"/>
    <w:bookmarkEnd w:id="8"/>
    <w:p w:rsidR="00EA2273" w:rsidRDefault="00EA2273">
      <w:pPr>
        <w:pStyle w:val="RecommendationMajorSectionHeading"/>
        <w:sectPr w:rsidR="00EA2273">
          <w:headerReference w:type="default" r:id="rId8"/>
          <w:footerReference w:type="default" r:id="rId9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2" w:name="DiscussionOfIssues"/>
      <w:r>
        <w:lastRenderedPageBreak/>
        <w:t>Discussion of Issues</w:t>
      </w:r>
    </w:p>
    <w:bookmarkEnd w:id="12"/>
    <w:p w:rsidR="00020F39" w:rsidRDefault="00020F39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845CB0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845CB0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020F39" w:rsidRDefault="00020F39">
      <w:pPr>
        <w:pStyle w:val="BodyText"/>
      </w:pPr>
      <w:r>
        <w:t> Does St. Johns remain eligible for a SARC?</w:t>
      </w:r>
    </w:p>
    <w:p w:rsidR="00020F39" w:rsidRPr="004C3641" w:rsidRDefault="00020F39">
      <w:pPr>
        <w:pStyle w:val="IssueSubsectionHeading"/>
        <w:rPr>
          <w:vanish/>
          <w:specVanish/>
        </w:rPr>
      </w:pPr>
      <w:r w:rsidRPr="004C3641">
        <w:t>Recommendation: </w:t>
      </w:r>
    </w:p>
    <w:p w:rsidR="00020F39" w:rsidRDefault="00020F39">
      <w:pPr>
        <w:pStyle w:val="BodyText"/>
      </w:pPr>
      <w:r>
        <w:t xml:space="preserve"> No. An applicant must continuously meet all eligibility criteria in Rule 25-30.455(1), F.A.C., to qualify for a SARC. St. Johns’ failure to pay its 2023 RAF balance means it is not eligible for a SARC at this time. Therefore, the Commission should deny the SARC application. (Marquez) </w:t>
      </w:r>
    </w:p>
    <w:p w:rsidR="00020F39" w:rsidRPr="004C3641" w:rsidRDefault="00020F39">
      <w:pPr>
        <w:pStyle w:val="IssueSubsectionHeading"/>
        <w:rPr>
          <w:vanish/>
          <w:specVanish/>
        </w:rPr>
      </w:pPr>
      <w:r w:rsidRPr="004C3641">
        <w:t>Staff Analysis: </w:t>
      </w:r>
    </w:p>
    <w:p w:rsidR="00020F39" w:rsidRPr="00F0779A" w:rsidRDefault="00020F39" w:rsidP="00020F39">
      <w:pPr>
        <w:pStyle w:val="BodyText"/>
        <w:rPr>
          <w:rFonts w:ascii="Arial" w:hAnsi="Arial" w:cs="Arial"/>
        </w:rPr>
      </w:pPr>
      <w:r>
        <w:t xml:space="preserve"> To be eligible for a SARC, an applicant must meet certain threshold requirements detailed in Rule </w:t>
      </w:r>
      <w:r w:rsidRPr="0064730A">
        <w:t>25-30.455</w:t>
      </w:r>
      <w:r>
        <w:t xml:space="preserve">(1)(a)–(c), F.A.C. Specifically, it must (1) have </w:t>
      </w:r>
      <w:r w:rsidRPr="00A42DFE">
        <w:t xml:space="preserve">total gross annual operating revenues no more than $335,000 </w:t>
      </w:r>
      <w:r>
        <w:t xml:space="preserve">for water service or wastewater service </w:t>
      </w:r>
      <w:r w:rsidRPr="00A42DFE">
        <w:t>(or $670,000 on a combined basis)</w:t>
      </w:r>
      <w:r>
        <w:t>; (2</w:t>
      </w:r>
      <w:r w:rsidRPr="00B15168">
        <w:t xml:space="preserve">) have at least one year of experience operating the utility for which the rate increase is </w:t>
      </w:r>
      <w:r>
        <w:t>sought</w:t>
      </w:r>
      <w:r w:rsidRPr="00B15168">
        <w:t>; (</w:t>
      </w:r>
      <w:r>
        <w:t>3</w:t>
      </w:r>
      <w:r w:rsidRPr="00B15168">
        <w:t>) be in compliance with annual report filings pursuant to Rule 25-30.110(3)–(5), F.A.C.; and (</w:t>
      </w:r>
      <w:r>
        <w:t>4</w:t>
      </w:r>
      <w:r w:rsidRPr="00B15168">
        <w:t xml:space="preserve">) be up-to-date with all </w:t>
      </w:r>
      <w:r>
        <w:t>RAF payments. Failure to satisfy any one of those criteria renders a utility ineligible for a SARC.</w:t>
      </w:r>
    </w:p>
    <w:p w:rsidR="00020F39" w:rsidRDefault="00020F39" w:rsidP="00020F39">
      <w:pPr>
        <w:pStyle w:val="BodyText"/>
      </w:pPr>
      <w:r>
        <w:t>On August 1, 2024, Commission staff sent a certified letter to St. Johns. The letter notified the Utility of the change in circumstances now making it ineligible for a SARC. Nonetheless, Commission staff provided St. Johns over three weeks time to remedy the deficiencies. St. Johns needed to do the following by August 23, 2024:</w:t>
      </w:r>
    </w:p>
    <w:p w:rsidR="00020F39" w:rsidRDefault="00020F39" w:rsidP="00020F39">
      <w:pPr>
        <w:pStyle w:val="BodyText"/>
        <w:numPr>
          <w:ilvl w:val="0"/>
          <w:numId w:val="11"/>
        </w:numPr>
      </w:pPr>
      <w:r>
        <w:t>File its 2023 Annual Report;</w:t>
      </w:r>
    </w:p>
    <w:p w:rsidR="00020F39" w:rsidRDefault="00020F39" w:rsidP="00020F39">
      <w:pPr>
        <w:pStyle w:val="BodyText"/>
        <w:numPr>
          <w:ilvl w:val="0"/>
          <w:numId w:val="11"/>
        </w:numPr>
      </w:pPr>
      <w:r>
        <w:t>Pay an Annual Report late fee of $485.00;</w:t>
      </w:r>
    </w:p>
    <w:p w:rsidR="00020F39" w:rsidRDefault="00020F39" w:rsidP="00020F39">
      <w:pPr>
        <w:pStyle w:val="BodyText"/>
        <w:numPr>
          <w:ilvl w:val="0"/>
          <w:numId w:val="11"/>
        </w:numPr>
      </w:pPr>
      <w:r>
        <w:t>Pay the 2023 water RAF, including penalties, of $959.82; and</w:t>
      </w:r>
    </w:p>
    <w:p w:rsidR="00020F39" w:rsidRDefault="00020F39" w:rsidP="00020F39">
      <w:pPr>
        <w:pStyle w:val="BodyText"/>
        <w:numPr>
          <w:ilvl w:val="0"/>
          <w:numId w:val="11"/>
        </w:numPr>
      </w:pPr>
      <w:r>
        <w:t>Pay the 2023 wastewater RAF, including penalties, of $1,293.26.</w:t>
      </w:r>
    </w:p>
    <w:p w:rsidR="00020F39" w:rsidRDefault="00020F39" w:rsidP="00020F39">
      <w:pPr>
        <w:pStyle w:val="BodyText"/>
      </w:pPr>
      <w:r>
        <w:t>Pursuant to Rule 25-30.110(3)(a), F.A.C., each utility must file an annual report with the Commission by March 31</w:t>
      </w:r>
      <w:r w:rsidRPr="006E19BD">
        <w:rPr>
          <w:vertAlign w:val="superscript"/>
        </w:rPr>
        <w:t>st</w:t>
      </w:r>
      <w:r>
        <w:t xml:space="preserve"> for the preceding year ending December 31</w:t>
      </w:r>
      <w:r w:rsidRPr="006E19BD">
        <w:rPr>
          <w:vertAlign w:val="superscript"/>
        </w:rPr>
        <w:t>st</w:t>
      </w:r>
      <w:r>
        <w:t>. St. Johns filed its 2023 Annual Report five months late on August 16, 2024. Rule 25-30.110(6), F.A.C., sets forth the penalties for delinquent annual reports. The applicable penalty for a Class C utility is $3.00 per day plus interest, based on the number of calendar days elapsed from the date due until the date filed. St. Johns remitted a check to cover the late fee in the amount of $420. Although not the full sum required, Commission staff is willing to waive the remaining balance of less than $50.00.</w:t>
      </w:r>
    </w:p>
    <w:p w:rsidR="00020F39" w:rsidRDefault="00020F39" w:rsidP="00020F39">
      <w:pPr>
        <w:pStyle w:val="BodyText"/>
      </w:pPr>
      <w:r>
        <w:t>Pursuant to Rule 25-30.120(2)(b), F.A.C., small water and wastewater utilities must file their RAFs with the Commission by March 31</w:t>
      </w:r>
      <w:r w:rsidRPr="00532CFC">
        <w:rPr>
          <w:vertAlign w:val="superscript"/>
        </w:rPr>
        <w:t>st</w:t>
      </w:r>
      <w:r>
        <w:t xml:space="preserve"> for the proceeding year ending December 31</w:t>
      </w:r>
      <w:r w:rsidRPr="00532CFC">
        <w:rPr>
          <w:vertAlign w:val="superscript"/>
        </w:rPr>
        <w:t>st</w:t>
      </w:r>
      <w:r>
        <w:t>. St. Johns has not paid its 2023 regulatory assessment fees.</w:t>
      </w:r>
      <w:r>
        <w:rPr>
          <w:rStyle w:val="FootnoteReference"/>
        </w:rPr>
        <w:footnoteReference w:id="7"/>
      </w:r>
      <w:r>
        <w:t xml:space="preserve"> As of August 23, 2024, the amount due for 2023 water RAF, plus penalties pursuant to Rule 25-30.120(7), F.A.C., was $959.82.  As of the same date, the amount due for 2023 wastewater RAF, plus penalties, was $1,293.26. The Commission has not received payment. Nor has St. Johns entered into a RAF repayment plan.</w:t>
      </w:r>
    </w:p>
    <w:p w:rsidR="00020F39" w:rsidRDefault="00020F39" w:rsidP="00020F39">
      <w:pPr>
        <w:pStyle w:val="BodyText"/>
      </w:pPr>
      <w:r>
        <w:lastRenderedPageBreak/>
        <w:t>To date, the RAF payments remain outstanding. Commission staff recommends that the Commission deny the SARC application b</w:t>
      </w:r>
      <w:r w:rsidRPr="00204D71">
        <w:t>ecause</w:t>
      </w:r>
      <w:r>
        <w:t xml:space="preserve"> St. Johns’ failure to pay RAFs has rendered it ineligible to qualify for a SARC pursuant to Rule </w:t>
      </w:r>
      <w:r w:rsidRPr="00204D71">
        <w:t>25-30.455(1)</w:t>
      </w:r>
      <w:r>
        <w:t>, F.A.C.</w:t>
      </w:r>
    </w:p>
    <w:p w:rsidR="00020F39" w:rsidRDefault="00020F39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845CB0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845CB0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020F39" w:rsidRDefault="00020F39">
      <w:pPr>
        <w:pStyle w:val="BodyText"/>
      </w:pPr>
      <w:r>
        <w:t> </w:t>
      </w:r>
      <w:r w:rsidR="000B4817">
        <w:t>Should this docket be closed?</w:t>
      </w:r>
    </w:p>
    <w:p w:rsidR="00020F39" w:rsidRPr="004C3641" w:rsidRDefault="00020F39">
      <w:pPr>
        <w:pStyle w:val="IssueSubsectionHeading"/>
        <w:rPr>
          <w:vanish/>
          <w:specVanish/>
        </w:rPr>
      </w:pPr>
      <w:r w:rsidRPr="004C3641">
        <w:t>Recommendation: </w:t>
      </w:r>
    </w:p>
    <w:p w:rsidR="00020F39" w:rsidRDefault="00020F39">
      <w:pPr>
        <w:pStyle w:val="BodyText"/>
      </w:pPr>
      <w:r>
        <w:t> </w:t>
      </w:r>
      <w:r w:rsidR="000B4817">
        <w:t>Yes. (Marquez)</w:t>
      </w:r>
      <w:r>
        <w:t xml:space="preserve"> </w:t>
      </w:r>
    </w:p>
    <w:p w:rsidR="00020F39" w:rsidRPr="004C3641" w:rsidRDefault="00020F39">
      <w:pPr>
        <w:pStyle w:val="IssueSubsectionHeading"/>
        <w:rPr>
          <w:vanish/>
          <w:specVanish/>
        </w:rPr>
      </w:pPr>
      <w:r w:rsidRPr="004C3641">
        <w:t>Staff Analysis: </w:t>
      </w:r>
    </w:p>
    <w:p w:rsidR="00020F39" w:rsidRDefault="00020F39">
      <w:pPr>
        <w:pStyle w:val="BodyText"/>
      </w:pPr>
      <w:r>
        <w:t> </w:t>
      </w:r>
      <w:r w:rsidR="000B4817">
        <w:t>Having denied St. Johns’ application for SARC, the docket should be closed.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0"/>
      <w:headerReference w:type="first" r:id="rId11"/>
      <w:footerReference w:type="first" r:id="rId12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18" w:rsidRDefault="00B55118">
      <w:r>
        <w:separator/>
      </w:r>
    </w:p>
  </w:endnote>
  <w:endnote w:type="continuationSeparator" w:id="0">
    <w:p w:rsidR="00B55118" w:rsidRDefault="00B5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1BF2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18" w:rsidRDefault="00B55118">
      <w:r>
        <w:separator/>
      </w:r>
    </w:p>
  </w:footnote>
  <w:footnote w:type="continuationSeparator" w:id="0">
    <w:p w:rsidR="00B55118" w:rsidRDefault="00B55118">
      <w:r>
        <w:continuationSeparator/>
      </w:r>
    </w:p>
  </w:footnote>
  <w:footnote w:id="1">
    <w:p w:rsidR="000B4817" w:rsidRDefault="000B4817" w:rsidP="000B4817">
      <w:pPr>
        <w:pStyle w:val="FootnoteText"/>
      </w:pPr>
      <w:r>
        <w:rPr>
          <w:rStyle w:val="FootnoteReference"/>
        </w:rPr>
        <w:footnoteRef/>
      </w:r>
      <w:r>
        <w:t xml:space="preserve"> Document No. 06394-2023, Docket No. 20230131-WS, filed November 30, 2023.</w:t>
      </w:r>
    </w:p>
  </w:footnote>
  <w:footnote w:id="2">
    <w:p w:rsidR="000B4817" w:rsidRDefault="000B4817" w:rsidP="000B4817">
      <w:pPr>
        <w:pStyle w:val="FootnoteText"/>
      </w:pPr>
      <w:r>
        <w:rPr>
          <w:rStyle w:val="FootnoteReference"/>
        </w:rPr>
        <w:footnoteRef/>
      </w:r>
      <w:r>
        <w:t xml:space="preserve"> Document No. 06729-2023, Docket No. 20230131-WS, filed December 22, 2023 (establishing January 22, 2024, as official date of filing and filing fee due date).</w:t>
      </w:r>
    </w:p>
  </w:footnote>
  <w:footnote w:id="3">
    <w:p w:rsidR="000B4817" w:rsidRDefault="000B4817" w:rsidP="000B4817">
      <w:pPr>
        <w:pStyle w:val="FootnoteText"/>
      </w:pPr>
      <w:r>
        <w:rPr>
          <w:rStyle w:val="FootnoteReference"/>
        </w:rPr>
        <w:footnoteRef/>
      </w:r>
      <w:r>
        <w:t xml:space="preserve"> Document No. 00363-2024, Docket No. 20230131-WS, filed January 29, 2024.</w:t>
      </w:r>
    </w:p>
  </w:footnote>
  <w:footnote w:id="4">
    <w:p w:rsidR="000B4817" w:rsidRDefault="000B4817" w:rsidP="000B4817">
      <w:pPr>
        <w:pStyle w:val="FootnoteText"/>
      </w:pPr>
      <w:r>
        <w:rPr>
          <w:rStyle w:val="FootnoteReference"/>
        </w:rPr>
        <w:footnoteRef/>
      </w:r>
      <w:r>
        <w:t xml:space="preserve"> Document No. 00410-2024, Docket No. 20230131-WS, filed January 30, 2024.</w:t>
      </w:r>
    </w:p>
  </w:footnote>
  <w:footnote w:id="5">
    <w:p w:rsidR="000B4817" w:rsidRDefault="000B4817" w:rsidP="000B4817">
      <w:pPr>
        <w:pStyle w:val="FootnoteText"/>
      </w:pPr>
      <w:r>
        <w:rPr>
          <w:rStyle w:val="FootnoteReference"/>
        </w:rPr>
        <w:footnoteRef/>
      </w:r>
      <w:r>
        <w:t xml:space="preserve"> Document No. 00521-2024, Docket No. 20230131-WS, filed February 2, 2024.</w:t>
      </w:r>
    </w:p>
  </w:footnote>
  <w:footnote w:id="6">
    <w:p w:rsidR="000B4817" w:rsidRDefault="000B4817" w:rsidP="000B4817">
      <w:pPr>
        <w:pStyle w:val="FootnoteText"/>
      </w:pPr>
      <w:r>
        <w:rPr>
          <w:rStyle w:val="FootnoteReference"/>
        </w:rPr>
        <w:footnoteRef/>
      </w:r>
      <w:r>
        <w:t xml:space="preserve"> Document No. 08327-2024, Docket No. 20230131-WS, filed August 8, 2024.</w:t>
      </w:r>
    </w:p>
  </w:footnote>
  <w:footnote w:id="7">
    <w:p w:rsidR="00020F39" w:rsidRDefault="00020F39" w:rsidP="00020F39">
      <w:pPr>
        <w:pStyle w:val="FootnoteText"/>
      </w:pPr>
      <w:r>
        <w:rPr>
          <w:rStyle w:val="FootnoteReference"/>
        </w:rPr>
        <w:footnoteRef/>
      </w:r>
      <w:r>
        <w:t xml:space="preserve"> On April 2, 2024, the Commission received two RAF checks from St. Johns, but each check bounced.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020F39" w:rsidP="00220732">
    <w:pPr>
      <w:pStyle w:val="Header"/>
      <w:tabs>
        <w:tab w:val="clear" w:pos="4320"/>
        <w:tab w:val="clear" w:pos="8640"/>
        <w:tab w:val="right" w:pos="9360"/>
      </w:tabs>
    </w:pPr>
    <w:bookmarkStart w:id="10" w:name="DocketLabel"/>
    <w:r>
      <w:t>Docket No.</w:t>
    </w:r>
    <w:bookmarkEnd w:id="10"/>
    <w:r w:rsidR="00BC402E">
      <w:t xml:space="preserve"> </w:t>
    </w:r>
    <w:bookmarkStart w:id="11" w:name="DocketList"/>
    <w:r>
      <w:t>20230131-WS</w:t>
    </w:r>
    <w:bookmarkEnd w:id="11"/>
  </w:p>
  <w:p w:rsidR="00BC402E" w:rsidRDefault="00BC402E">
    <w:pPr>
      <w:pStyle w:val="Header"/>
    </w:pPr>
    <w:r>
      <w:t xml:space="preserve">Date: </w:t>
    </w:r>
    <w:fldSimple w:instr=" REF FilingDate ">
      <w:r w:rsidR="00845CB0">
        <w:t>September 19, 2024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845CB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845CB0">
      <w:t>20230131-WS</w:t>
    </w:r>
    <w:r>
      <w:fldChar w:fldCharType="end"/>
    </w:r>
    <w:r>
      <w:tab/>
      <w:t xml:space="preserve">Issue </w:t>
    </w:r>
    <w:r w:rsidR="00A2007B">
      <w:fldChar w:fldCharType="begin"/>
    </w:r>
    <w:r w:rsidR="00A2007B">
      <w:instrText xml:space="preserve"> Seq Issue \c \* Arabic </w:instrText>
    </w:r>
    <w:r w:rsidR="00A2007B">
      <w:fldChar w:fldCharType="separate"/>
    </w:r>
    <w:r w:rsidR="005B1BF2">
      <w:rPr>
        <w:noProof/>
      </w:rPr>
      <w:t>2</w:t>
    </w:r>
    <w:r w:rsidR="00A2007B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845CB0">
        <w:t>September 19, 2024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A11FE1"/>
    <w:multiLevelType w:val="hybridMultilevel"/>
    <w:tmpl w:val="8946A9D4"/>
    <w:lvl w:ilvl="0" w:tplc="4E58E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020F39"/>
    <w:rsid w:val="000043D5"/>
    <w:rsid w:val="00006170"/>
    <w:rsid w:val="00010E37"/>
    <w:rsid w:val="000172DA"/>
    <w:rsid w:val="00020F39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451B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B0ACE"/>
    <w:rsid w:val="000B4817"/>
    <w:rsid w:val="000C4431"/>
    <w:rsid w:val="000C6607"/>
    <w:rsid w:val="000D1C06"/>
    <w:rsid w:val="000D3043"/>
    <w:rsid w:val="000D4319"/>
    <w:rsid w:val="000E24FA"/>
    <w:rsid w:val="000E338A"/>
    <w:rsid w:val="000E4392"/>
    <w:rsid w:val="000F374A"/>
    <w:rsid w:val="000F4DAF"/>
    <w:rsid w:val="00105BA1"/>
    <w:rsid w:val="001076AF"/>
    <w:rsid w:val="001109F6"/>
    <w:rsid w:val="00116C6B"/>
    <w:rsid w:val="00117C8C"/>
    <w:rsid w:val="001239F0"/>
    <w:rsid w:val="00124C38"/>
    <w:rsid w:val="00124E2E"/>
    <w:rsid w:val="00125ED4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63031"/>
    <w:rsid w:val="001654C4"/>
    <w:rsid w:val="00171A90"/>
    <w:rsid w:val="00180254"/>
    <w:rsid w:val="00191E1F"/>
    <w:rsid w:val="00191EE8"/>
    <w:rsid w:val="00192943"/>
    <w:rsid w:val="00193BAF"/>
    <w:rsid w:val="00194791"/>
    <w:rsid w:val="001A7406"/>
    <w:rsid w:val="001A7AE4"/>
    <w:rsid w:val="001B1EDC"/>
    <w:rsid w:val="001B4053"/>
    <w:rsid w:val="001B4FEE"/>
    <w:rsid w:val="001B51C5"/>
    <w:rsid w:val="001B672A"/>
    <w:rsid w:val="001B6F3F"/>
    <w:rsid w:val="001C52B5"/>
    <w:rsid w:val="001D0D3E"/>
    <w:rsid w:val="001D2817"/>
    <w:rsid w:val="001D2899"/>
    <w:rsid w:val="001E14A3"/>
    <w:rsid w:val="001E390F"/>
    <w:rsid w:val="001E7E0B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63D44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40073"/>
    <w:rsid w:val="003411D8"/>
    <w:rsid w:val="003445B0"/>
    <w:rsid w:val="00353B66"/>
    <w:rsid w:val="00355934"/>
    <w:rsid w:val="00357928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48AE"/>
    <w:rsid w:val="003A08C0"/>
    <w:rsid w:val="003A22A6"/>
    <w:rsid w:val="003A32EB"/>
    <w:rsid w:val="003A5494"/>
    <w:rsid w:val="003B2510"/>
    <w:rsid w:val="003B4355"/>
    <w:rsid w:val="003C2CC4"/>
    <w:rsid w:val="003C3710"/>
    <w:rsid w:val="003C42A3"/>
    <w:rsid w:val="003C48F7"/>
    <w:rsid w:val="003E0463"/>
    <w:rsid w:val="003E0EFC"/>
    <w:rsid w:val="003E4A2B"/>
    <w:rsid w:val="003E6FE9"/>
    <w:rsid w:val="003E76C2"/>
    <w:rsid w:val="003F1367"/>
    <w:rsid w:val="003F1679"/>
    <w:rsid w:val="003F21EB"/>
    <w:rsid w:val="003F4A35"/>
    <w:rsid w:val="003F5F03"/>
    <w:rsid w:val="003F7FDD"/>
    <w:rsid w:val="00402101"/>
    <w:rsid w:val="00402481"/>
    <w:rsid w:val="004042B4"/>
    <w:rsid w:val="00410DC4"/>
    <w:rsid w:val="00412DAE"/>
    <w:rsid w:val="0041302D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71860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B1BF2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F468D"/>
    <w:rsid w:val="005F69A3"/>
    <w:rsid w:val="00604CC7"/>
    <w:rsid w:val="00613441"/>
    <w:rsid w:val="00615423"/>
    <w:rsid w:val="006165B2"/>
    <w:rsid w:val="00617276"/>
    <w:rsid w:val="00620633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603F4"/>
    <w:rsid w:val="00661708"/>
    <w:rsid w:val="00666522"/>
    <w:rsid w:val="00667036"/>
    <w:rsid w:val="00667B89"/>
    <w:rsid w:val="00673950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A4B9D"/>
    <w:rsid w:val="006B09C4"/>
    <w:rsid w:val="006B3947"/>
    <w:rsid w:val="006B4293"/>
    <w:rsid w:val="006B624F"/>
    <w:rsid w:val="006C0C95"/>
    <w:rsid w:val="006C31E3"/>
    <w:rsid w:val="006D18D3"/>
    <w:rsid w:val="006D1EE9"/>
    <w:rsid w:val="006D3BD1"/>
    <w:rsid w:val="006E010E"/>
    <w:rsid w:val="006E08CB"/>
    <w:rsid w:val="006E598D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B55"/>
    <w:rsid w:val="007515FD"/>
    <w:rsid w:val="00760D80"/>
    <w:rsid w:val="00761CB4"/>
    <w:rsid w:val="00780C09"/>
    <w:rsid w:val="00780DDF"/>
    <w:rsid w:val="007834E9"/>
    <w:rsid w:val="00787DBC"/>
    <w:rsid w:val="0079019A"/>
    <w:rsid w:val="00792935"/>
    <w:rsid w:val="007A04A1"/>
    <w:rsid w:val="007A1840"/>
    <w:rsid w:val="007B730C"/>
    <w:rsid w:val="007C0528"/>
    <w:rsid w:val="007C08EA"/>
    <w:rsid w:val="007C3D38"/>
    <w:rsid w:val="007D0F35"/>
    <w:rsid w:val="007D1783"/>
    <w:rsid w:val="007D4546"/>
    <w:rsid w:val="007D4FEB"/>
    <w:rsid w:val="007D6146"/>
    <w:rsid w:val="007E0CE7"/>
    <w:rsid w:val="007F1193"/>
    <w:rsid w:val="007F417F"/>
    <w:rsid w:val="007F7644"/>
    <w:rsid w:val="008042BD"/>
    <w:rsid w:val="00804E17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CB0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7736"/>
    <w:rsid w:val="0090019E"/>
    <w:rsid w:val="00900435"/>
    <w:rsid w:val="00901086"/>
    <w:rsid w:val="00901C8A"/>
    <w:rsid w:val="00902F66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56F2"/>
    <w:rsid w:val="00966A08"/>
    <w:rsid w:val="009701B7"/>
    <w:rsid w:val="00971207"/>
    <w:rsid w:val="00975CB4"/>
    <w:rsid w:val="009863B0"/>
    <w:rsid w:val="00987DE1"/>
    <w:rsid w:val="00990571"/>
    <w:rsid w:val="00991905"/>
    <w:rsid w:val="009926B2"/>
    <w:rsid w:val="00993075"/>
    <w:rsid w:val="0099673A"/>
    <w:rsid w:val="009A3291"/>
    <w:rsid w:val="009A3330"/>
    <w:rsid w:val="009A548F"/>
    <w:rsid w:val="009A7C96"/>
    <w:rsid w:val="009B61BF"/>
    <w:rsid w:val="009C3253"/>
    <w:rsid w:val="009C3DB9"/>
    <w:rsid w:val="009C5968"/>
    <w:rsid w:val="009D0436"/>
    <w:rsid w:val="009D46E5"/>
    <w:rsid w:val="009D568A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7D6E"/>
    <w:rsid w:val="00A328EC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444B"/>
    <w:rsid w:val="00AD5614"/>
    <w:rsid w:val="00AD6C78"/>
    <w:rsid w:val="00AE03F0"/>
    <w:rsid w:val="00AE2EAB"/>
    <w:rsid w:val="00AF13D0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2D37"/>
    <w:rsid w:val="00B41AA8"/>
    <w:rsid w:val="00B42B45"/>
    <w:rsid w:val="00B516ED"/>
    <w:rsid w:val="00B55118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402E"/>
    <w:rsid w:val="00BC70C6"/>
    <w:rsid w:val="00BD0F48"/>
    <w:rsid w:val="00BD14E5"/>
    <w:rsid w:val="00BE0E50"/>
    <w:rsid w:val="00BE6DDB"/>
    <w:rsid w:val="00BF03E0"/>
    <w:rsid w:val="00BF5010"/>
    <w:rsid w:val="00C03009"/>
    <w:rsid w:val="00C03D5F"/>
    <w:rsid w:val="00C13791"/>
    <w:rsid w:val="00C210BD"/>
    <w:rsid w:val="00C2575A"/>
    <w:rsid w:val="00C31BB3"/>
    <w:rsid w:val="00C36977"/>
    <w:rsid w:val="00C46628"/>
    <w:rsid w:val="00C467DA"/>
    <w:rsid w:val="00C477D9"/>
    <w:rsid w:val="00C57869"/>
    <w:rsid w:val="00C60BA3"/>
    <w:rsid w:val="00C623F7"/>
    <w:rsid w:val="00C62A81"/>
    <w:rsid w:val="00C67CD7"/>
    <w:rsid w:val="00C71E00"/>
    <w:rsid w:val="00C75BC5"/>
    <w:rsid w:val="00C81670"/>
    <w:rsid w:val="00C81773"/>
    <w:rsid w:val="00C82861"/>
    <w:rsid w:val="00C86896"/>
    <w:rsid w:val="00C907A8"/>
    <w:rsid w:val="00C91670"/>
    <w:rsid w:val="00C93211"/>
    <w:rsid w:val="00C93DB8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0655"/>
    <w:rsid w:val="00CE2BF8"/>
    <w:rsid w:val="00CE484E"/>
    <w:rsid w:val="00CE4D20"/>
    <w:rsid w:val="00CE656F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479AE"/>
    <w:rsid w:val="00D50FCD"/>
    <w:rsid w:val="00D533E3"/>
    <w:rsid w:val="00D60B16"/>
    <w:rsid w:val="00D60F02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E254E"/>
    <w:rsid w:val="00DE32C0"/>
    <w:rsid w:val="00DE76A7"/>
    <w:rsid w:val="00DF1510"/>
    <w:rsid w:val="00E02F1F"/>
    <w:rsid w:val="00E05454"/>
    <w:rsid w:val="00E06484"/>
    <w:rsid w:val="00E06B24"/>
    <w:rsid w:val="00E20A7D"/>
    <w:rsid w:val="00E23FE4"/>
    <w:rsid w:val="00E275D8"/>
    <w:rsid w:val="00E30F6A"/>
    <w:rsid w:val="00E3117C"/>
    <w:rsid w:val="00E31288"/>
    <w:rsid w:val="00E3192E"/>
    <w:rsid w:val="00E34307"/>
    <w:rsid w:val="00E34511"/>
    <w:rsid w:val="00E3635B"/>
    <w:rsid w:val="00E375C3"/>
    <w:rsid w:val="00E375CA"/>
    <w:rsid w:val="00E5277C"/>
    <w:rsid w:val="00E5364F"/>
    <w:rsid w:val="00E53CDE"/>
    <w:rsid w:val="00E567E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C3FBB"/>
    <w:rsid w:val="00EC6B7A"/>
    <w:rsid w:val="00ED3A87"/>
    <w:rsid w:val="00ED5B67"/>
    <w:rsid w:val="00EE1A5C"/>
    <w:rsid w:val="00EE5F5A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263B9"/>
    <w:rsid w:val="00F30701"/>
    <w:rsid w:val="00F32978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semiHidden/>
    <w:unhideWhenUsed/>
    <w:rsid w:val="00020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5</Pages>
  <Words>817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2024-09-19T13:58:00Z</dcterms:created>
  <dcterms:modified xsi:type="dcterms:W3CDTF">2024-09-19T13:58:00Z</dcterms:modified>
  <cp:category/>
</cp:coreProperties>
</file>