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CE342" w14:textId="77777777" w:rsidR="00CB5276" w:rsidRDefault="00DA3B80" w:rsidP="00DA3B80">
      <w:pPr>
        <w:pStyle w:val="OrderHeading"/>
      </w:pPr>
      <w:r>
        <w:t>BEFORE THE FLORIDA PUBLIC SERVICE COMMISSION</w:t>
      </w:r>
    </w:p>
    <w:p w14:paraId="227752DD" w14:textId="77777777" w:rsidR="00DA3B80" w:rsidRDefault="00DA3B80" w:rsidP="00DA3B80">
      <w:pPr>
        <w:pStyle w:val="OrderBody"/>
      </w:pPr>
    </w:p>
    <w:p w14:paraId="56B2B3BD" w14:textId="77777777" w:rsidR="00DA3B80" w:rsidRDefault="00DA3B80" w:rsidP="00DA3B8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A3B80" w:rsidRPr="00C63FCF" w14:paraId="2C76FE98" w14:textId="77777777" w:rsidTr="00C63FCF">
        <w:trPr>
          <w:trHeight w:val="828"/>
        </w:trPr>
        <w:tc>
          <w:tcPr>
            <w:tcW w:w="4788" w:type="dxa"/>
            <w:tcBorders>
              <w:bottom w:val="single" w:sz="8" w:space="0" w:color="auto"/>
              <w:right w:val="double" w:sz="6" w:space="0" w:color="auto"/>
            </w:tcBorders>
            <w:shd w:val="clear" w:color="auto" w:fill="auto"/>
          </w:tcPr>
          <w:p w14:paraId="20A63021" w14:textId="77777777" w:rsidR="00DA3B80" w:rsidRDefault="00DA3B80" w:rsidP="00C63FCF">
            <w:pPr>
              <w:pStyle w:val="OrderBody"/>
              <w:tabs>
                <w:tab w:val="center" w:pos="4320"/>
                <w:tab w:val="right" w:pos="8640"/>
              </w:tabs>
              <w:jc w:val="left"/>
            </w:pPr>
            <w:r>
              <w:t xml:space="preserve">In re: </w:t>
            </w:r>
            <w:bookmarkStart w:id="0" w:name="SSInRe"/>
            <w:bookmarkEnd w:id="0"/>
            <w:r>
              <w:t>Application for staff-assisted rate case in Putnam County, by St. Johns River Estates Utilities, LLC.</w:t>
            </w:r>
          </w:p>
        </w:tc>
        <w:tc>
          <w:tcPr>
            <w:tcW w:w="4788" w:type="dxa"/>
            <w:tcBorders>
              <w:left w:val="double" w:sz="6" w:space="0" w:color="auto"/>
            </w:tcBorders>
            <w:shd w:val="clear" w:color="auto" w:fill="auto"/>
          </w:tcPr>
          <w:p w14:paraId="22912CFE" w14:textId="77777777" w:rsidR="00DA3B80" w:rsidRDefault="00DA3B80" w:rsidP="00DA3B80">
            <w:pPr>
              <w:pStyle w:val="OrderBody"/>
            </w:pPr>
            <w:r>
              <w:t xml:space="preserve">DOCKET NO. </w:t>
            </w:r>
            <w:bookmarkStart w:id="1" w:name="SSDocketNo"/>
            <w:bookmarkEnd w:id="1"/>
            <w:r>
              <w:t>20230131-WS</w:t>
            </w:r>
          </w:p>
          <w:p w14:paraId="3677DF4B" w14:textId="3EE3FE7B" w:rsidR="00DA3B80" w:rsidRDefault="00DA3B80" w:rsidP="00C63FCF">
            <w:pPr>
              <w:pStyle w:val="OrderBody"/>
              <w:tabs>
                <w:tab w:val="center" w:pos="4320"/>
                <w:tab w:val="right" w:pos="8640"/>
              </w:tabs>
              <w:jc w:val="left"/>
            </w:pPr>
            <w:r>
              <w:t xml:space="preserve">ORDER NO. </w:t>
            </w:r>
            <w:bookmarkStart w:id="2" w:name="OrderNo0455"/>
            <w:r w:rsidR="00DD6FFC">
              <w:t>PSC-2024-0455-FOF-WS</w:t>
            </w:r>
            <w:bookmarkEnd w:id="2"/>
          </w:p>
          <w:p w14:paraId="2FBE23FA" w14:textId="61024F4B" w:rsidR="00DA3B80" w:rsidRDefault="00DA3B80" w:rsidP="00C63FCF">
            <w:pPr>
              <w:pStyle w:val="OrderBody"/>
              <w:tabs>
                <w:tab w:val="center" w:pos="4320"/>
                <w:tab w:val="right" w:pos="8640"/>
              </w:tabs>
              <w:jc w:val="left"/>
            </w:pPr>
            <w:r>
              <w:t xml:space="preserve">ISSUED: </w:t>
            </w:r>
            <w:r w:rsidR="00DD6FFC">
              <w:t>October 18, 2024</w:t>
            </w:r>
          </w:p>
        </w:tc>
      </w:tr>
    </w:tbl>
    <w:p w14:paraId="6C11DFB6" w14:textId="77777777" w:rsidR="00DA3B80" w:rsidRDefault="00DA3B80" w:rsidP="00DA3B80"/>
    <w:p w14:paraId="04C048CD" w14:textId="77777777" w:rsidR="00DA3B80" w:rsidRDefault="00DA3B80" w:rsidP="00DA3B80"/>
    <w:p w14:paraId="5FB5815D" w14:textId="77777777" w:rsidR="00DA3B80" w:rsidRDefault="00DA3B80" w:rsidP="00B67A43">
      <w:pPr>
        <w:ind w:firstLine="720"/>
        <w:jc w:val="both"/>
      </w:pPr>
      <w:bookmarkStart w:id="3" w:name="Commissioners"/>
      <w:bookmarkEnd w:id="3"/>
      <w:r>
        <w:t>The following Commissioners participated in the disposition of this matter:</w:t>
      </w:r>
    </w:p>
    <w:p w14:paraId="5130C305" w14:textId="77777777" w:rsidR="00DA3B80" w:rsidRDefault="00DA3B80" w:rsidP="00B67A43"/>
    <w:p w14:paraId="56B688C8" w14:textId="77777777" w:rsidR="00DA3B80" w:rsidRDefault="00DA3B80" w:rsidP="00477699">
      <w:pPr>
        <w:jc w:val="center"/>
      </w:pPr>
      <w:r>
        <w:t>MIKE LA ROSA, Chairman</w:t>
      </w:r>
    </w:p>
    <w:p w14:paraId="33AA4510" w14:textId="77777777" w:rsidR="00DA3B80" w:rsidRDefault="00DA3B80" w:rsidP="00B67A43">
      <w:pPr>
        <w:jc w:val="center"/>
      </w:pPr>
      <w:r>
        <w:t>GARY F. CLARK</w:t>
      </w:r>
    </w:p>
    <w:p w14:paraId="26283993" w14:textId="77777777" w:rsidR="00DA3B80" w:rsidRDefault="00DA3B80" w:rsidP="00B67A43">
      <w:pPr>
        <w:jc w:val="center"/>
      </w:pPr>
      <w:r>
        <w:t>ANDREW GILES FAY</w:t>
      </w:r>
    </w:p>
    <w:p w14:paraId="7035902B" w14:textId="77777777" w:rsidR="00DA3B80" w:rsidRPr="005F2751" w:rsidRDefault="00DA3B80" w:rsidP="00B67A43">
      <w:pPr>
        <w:jc w:val="center"/>
      </w:pPr>
      <w:r w:rsidRPr="005F2751">
        <w:rPr>
          <w:lang w:val="en"/>
        </w:rPr>
        <w:t>GABRIELLA PASSIDOMO</w:t>
      </w:r>
    </w:p>
    <w:p w14:paraId="51E8C4AB" w14:textId="77777777" w:rsidR="00DA3B80" w:rsidRDefault="00DA3B80" w:rsidP="00B67A43"/>
    <w:p w14:paraId="69CDC87C" w14:textId="77777777" w:rsidR="00DA3B80" w:rsidRDefault="00DA3B80" w:rsidP="00DA3B80">
      <w:pPr>
        <w:pStyle w:val="CenterUnderline"/>
      </w:pPr>
      <w:r>
        <w:t>ORDER</w:t>
      </w:r>
      <w:bookmarkStart w:id="4" w:name="OrderTitle"/>
      <w:r>
        <w:t xml:space="preserve"> </w:t>
      </w:r>
      <w:r w:rsidR="00345C7A">
        <w:t>DENYING APPLICATION FOR STAFF-ASSISTED RATE CASE</w:t>
      </w:r>
      <w:r>
        <w:t xml:space="preserve"> </w:t>
      </w:r>
      <w:bookmarkEnd w:id="4"/>
    </w:p>
    <w:p w14:paraId="16911A43" w14:textId="77777777" w:rsidR="00DA3B80" w:rsidRDefault="00DA3B80" w:rsidP="00DA3B80">
      <w:pPr>
        <w:pStyle w:val="CenterUnderline"/>
      </w:pPr>
    </w:p>
    <w:p w14:paraId="57A92E51" w14:textId="77777777" w:rsidR="00345C7A" w:rsidRDefault="00345C7A" w:rsidP="00DA3B80">
      <w:pPr>
        <w:pStyle w:val="CenterUnderline"/>
      </w:pPr>
    </w:p>
    <w:p w14:paraId="1062B930" w14:textId="77777777" w:rsidR="00DA3B80" w:rsidRDefault="00DA3B80" w:rsidP="00DA3B80">
      <w:pPr>
        <w:pStyle w:val="OrderBody"/>
      </w:pPr>
      <w:r>
        <w:t>BY THE COMMISSION:</w:t>
      </w:r>
    </w:p>
    <w:p w14:paraId="36671F29" w14:textId="77777777" w:rsidR="00DA3B80" w:rsidRPr="002C6DD0" w:rsidRDefault="00DA3B80" w:rsidP="00DA3B80">
      <w:pPr>
        <w:pStyle w:val="OrderBody"/>
      </w:pPr>
    </w:p>
    <w:p w14:paraId="2D232EA1" w14:textId="77777777" w:rsidR="000A19D2" w:rsidRPr="002C6DD0" w:rsidRDefault="000A19D2" w:rsidP="005E1A1E">
      <w:pPr>
        <w:pStyle w:val="RecommendationMajorSectionHeading"/>
        <w:spacing w:after="0"/>
        <w:rPr>
          <w:rFonts w:ascii="Times New Roman" w:hAnsi="Times New Roman" w:cs="Times New Roman"/>
          <w:b w:val="0"/>
          <w:u w:val="single"/>
        </w:rPr>
      </w:pPr>
      <w:bookmarkStart w:id="5" w:name="OrderText"/>
      <w:bookmarkEnd w:id="5"/>
      <w:r w:rsidRPr="002C6DD0">
        <w:rPr>
          <w:rFonts w:ascii="Times New Roman" w:hAnsi="Times New Roman" w:cs="Times New Roman"/>
          <w:b w:val="0"/>
          <w:u w:val="single"/>
        </w:rPr>
        <w:t>Background</w:t>
      </w:r>
      <w:r w:rsidRPr="002C6DD0">
        <w:rPr>
          <w:rFonts w:ascii="Times New Roman" w:hAnsi="Times New Roman" w:cs="Times New Roman"/>
          <w:b w:val="0"/>
          <w:u w:val="single"/>
        </w:rPr>
        <w:fldChar w:fldCharType="begin"/>
      </w:r>
      <w:r w:rsidRPr="002C6DD0">
        <w:rPr>
          <w:rFonts w:ascii="Times New Roman" w:hAnsi="Times New Roman" w:cs="Times New Roman"/>
          <w:b w:val="0"/>
          <w:u w:val="single"/>
        </w:rPr>
        <w:instrText xml:space="preserve"> TC  "</w:instrText>
      </w:r>
      <w:r w:rsidRPr="002C6DD0">
        <w:rPr>
          <w:rFonts w:ascii="Times New Roman" w:hAnsi="Times New Roman" w:cs="Times New Roman"/>
          <w:b w:val="0"/>
          <w:u w:val="single"/>
        </w:rPr>
        <w:tab/>
      </w:r>
      <w:bookmarkStart w:id="6" w:name="_Toc94516455"/>
      <w:r w:rsidRPr="002C6DD0">
        <w:rPr>
          <w:rFonts w:ascii="Times New Roman" w:hAnsi="Times New Roman" w:cs="Times New Roman"/>
          <w:b w:val="0"/>
          <w:u w:val="single"/>
        </w:rPr>
        <w:instrText>Case Background</w:instrText>
      </w:r>
      <w:bookmarkEnd w:id="6"/>
      <w:r w:rsidRPr="002C6DD0">
        <w:rPr>
          <w:rFonts w:ascii="Times New Roman" w:hAnsi="Times New Roman" w:cs="Times New Roman"/>
          <w:b w:val="0"/>
          <w:u w:val="single"/>
        </w:rPr>
        <w:instrText xml:space="preserve">" \l 1 </w:instrText>
      </w:r>
      <w:r w:rsidRPr="002C6DD0">
        <w:rPr>
          <w:rFonts w:ascii="Times New Roman" w:hAnsi="Times New Roman" w:cs="Times New Roman"/>
          <w:b w:val="0"/>
          <w:u w:val="single"/>
        </w:rPr>
        <w:fldChar w:fldCharType="end"/>
      </w:r>
    </w:p>
    <w:p w14:paraId="27C28012" w14:textId="77777777" w:rsidR="005E1A1E" w:rsidRDefault="005E1A1E" w:rsidP="005E1A1E">
      <w:pPr>
        <w:pStyle w:val="BodyText"/>
        <w:spacing w:after="0"/>
        <w:jc w:val="both"/>
      </w:pPr>
    </w:p>
    <w:p w14:paraId="39C09BF3" w14:textId="42E970EC" w:rsidR="000A19D2" w:rsidRDefault="000A19D2" w:rsidP="005E1A1E">
      <w:pPr>
        <w:pStyle w:val="BodyText"/>
        <w:spacing w:after="0"/>
        <w:ind w:firstLine="720"/>
        <w:jc w:val="both"/>
      </w:pPr>
      <w:r>
        <w:t xml:space="preserve">St. Johns River Estates Utilities, LLC (“St. Johns” or “Utility”) is a water and wastewater utility serving approximately 90 customers in Putnam County, Florida. On November 30, 2023, St. Johns filed an application for staff-assisted rate case (“SARC”) pursuant to Section 367.0814, Florida Statutes (“F.S.”), and Rule </w:t>
      </w:r>
      <w:r w:rsidRPr="0064730A">
        <w:t>25-30.455</w:t>
      </w:r>
      <w:r>
        <w:t>, Florida Administrative Code (“F.A.C.”).</w:t>
      </w:r>
      <w:r>
        <w:rPr>
          <w:rStyle w:val="FootnoteReference"/>
        </w:rPr>
        <w:footnoteReference w:id="1"/>
      </w:r>
      <w:r>
        <w:t xml:space="preserve"> The application was accepted by Florida Public Service Commission Staff (“Commission staff”) on December 22, 2023.</w:t>
      </w:r>
      <w:r>
        <w:rPr>
          <w:rStyle w:val="FootnoteReference"/>
        </w:rPr>
        <w:footnoteReference w:id="2"/>
      </w:r>
      <w:r>
        <w:t xml:space="preserve"> However, St. Johns failed to remit its $1,200 filing fee which resulted in an application denial.</w:t>
      </w:r>
      <w:r>
        <w:rPr>
          <w:rStyle w:val="FootnoteReference"/>
        </w:rPr>
        <w:footnoteReference w:id="3"/>
      </w:r>
    </w:p>
    <w:p w14:paraId="109DD778" w14:textId="77777777" w:rsidR="005E1A1E" w:rsidRDefault="005E1A1E" w:rsidP="005E1A1E">
      <w:pPr>
        <w:pStyle w:val="BodyText"/>
        <w:spacing w:after="0"/>
        <w:jc w:val="both"/>
      </w:pPr>
    </w:p>
    <w:p w14:paraId="2D2B7B5E" w14:textId="35433778" w:rsidR="000A19D2" w:rsidRDefault="000A19D2" w:rsidP="005E1A1E">
      <w:pPr>
        <w:pStyle w:val="BodyText"/>
        <w:spacing w:after="0"/>
        <w:ind w:firstLine="720"/>
        <w:jc w:val="both"/>
      </w:pPr>
      <w:r>
        <w:t xml:space="preserve">St. Johns then filed a new application for </w:t>
      </w:r>
      <w:r w:rsidR="00E81133">
        <w:t xml:space="preserve">a </w:t>
      </w:r>
      <w:r>
        <w:t>SARC on January 30, 2024, coupled with its $1,200 filing fee.</w:t>
      </w:r>
      <w:r>
        <w:rPr>
          <w:rStyle w:val="FootnoteReference"/>
        </w:rPr>
        <w:footnoteReference w:id="4"/>
      </w:r>
      <w:r>
        <w:t xml:space="preserve"> This second application was accepted by Commission staff with January 30, 2024, as the official date of filing.</w:t>
      </w:r>
      <w:r>
        <w:rPr>
          <w:rStyle w:val="FootnoteReference"/>
        </w:rPr>
        <w:footnoteReference w:id="5"/>
      </w:r>
    </w:p>
    <w:p w14:paraId="64B94390" w14:textId="77777777" w:rsidR="005E1A1E" w:rsidRDefault="005E1A1E" w:rsidP="005E1A1E">
      <w:pPr>
        <w:pStyle w:val="BodyText"/>
        <w:spacing w:after="0"/>
        <w:jc w:val="both"/>
      </w:pPr>
    </w:p>
    <w:p w14:paraId="78288090" w14:textId="77777777" w:rsidR="005F2751" w:rsidRDefault="000A19D2" w:rsidP="00631935">
      <w:pPr>
        <w:pStyle w:val="OrderBody"/>
        <w:ind w:firstLine="720"/>
      </w:pPr>
      <w:r>
        <w:t xml:space="preserve">After acceptance, Commission staff determined that St. Johns was no longer eligible for a SARC because the Utility is not in compliance with </w:t>
      </w:r>
      <w:r w:rsidR="001B55D6">
        <w:t>our</w:t>
      </w:r>
      <w:r>
        <w:t xml:space="preserve"> rules that require the filing of an Annual Report and payment of regulatory assessment fees (“RAFs”). A notice of late Annual Report and delinquent RAFs for 2023 was sent to St. Johns via certified U.S. mail on August 1, 2024.</w:t>
      </w:r>
      <w:r>
        <w:rPr>
          <w:rStyle w:val="FootnoteReference"/>
        </w:rPr>
        <w:footnoteReference w:id="6"/>
      </w:r>
    </w:p>
    <w:p w14:paraId="44D91617" w14:textId="77777777" w:rsidR="000A19D2" w:rsidRDefault="000A19D2" w:rsidP="00631935">
      <w:pPr>
        <w:pStyle w:val="OrderBody"/>
      </w:pPr>
    </w:p>
    <w:p w14:paraId="57313AE8" w14:textId="77777777" w:rsidR="000A19D2" w:rsidRDefault="00F25536" w:rsidP="00631935">
      <w:pPr>
        <w:pStyle w:val="OrderBody"/>
        <w:ind w:firstLine="720"/>
      </w:pPr>
      <w:r>
        <w:t>We have</w:t>
      </w:r>
      <w:r w:rsidR="000A19D2">
        <w:t xml:space="preserve"> jurisdiction over this matter pursuant to Section 367.0814, F.S.</w:t>
      </w:r>
    </w:p>
    <w:p w14:paraId="16ADCC39" w14:textId="77777777" w:rsidR="000A19D2" w:rsidRPr="00E27243" w:rsidRDefault="00227163" w:rsidP="00631935">
      <w:pPr>
        <w:pStyle w:val="RecommendationMajorSectionHeading"/>
        <w:spacing w:after="0"/>
        <w:rPr>
          <w:rFonts w:ascii="Times New Roman" w:hAnsi="Times New Roman" w:cs="Times New Roman"/>
          <w:b w:val="0"/>
          <w:u w:val="single"/>
        </w:rPr>
      </w:pPr>
      <w:bookmarkStart w:id="7" w:name="DiscussionOfIssues"/>
      <w:r w:rsidRPr="00E27243">
        <w:rPr>
          <w:rFonts w:ascii="Times New Roman" w:hAnsi="Times New Roman" w:cs="Times New Roman"/>
          <w:b w:val="0"/>
          <w:u w:val="single"/>
        </w:rPr>
        <w:lastRenderedPageBreak/>
        <w:t>Analysis and Decision</w:t>
      </w:r>
    </w:p>
    <w:bookmarkEnd w:id="7"/>
    <w:p w14:paraId="2EDA2CEE" w14:textId="77777777" w:rsidR="00631935" w:rsidRPr="00631935" w:rsidRDefault="00631935" w:rsidP="00631935">
      <w:pPr>
        <w:pStyle w:val="IssueSubsectionHeading"/>
        <w:spacing w:after="0"/>
        <w:rPr>
          <w:rFonts w:ascii="Times New Roman" w:hAnsi="Times New Roman" w:cs="Times New Roman"/>
          <w:b w:val="0"/>
          <w:i w:val="0"/>
        </w:rPr>
      </w:pPr>
    </w:p>
    <w:p w14:paraId="24805670" w14:textId="65C76E2A" w:rsidR="000A19D2" w:rsidRPr="00631935" w:rsidRDefault="00585F61" w:rsidP="00631935">
      <w:pPr>
        <w:pStyle w:val="IssueSubsectionHeading"/>
        <w:spacing w:after="0"/>
        <w:rPr>
          <w:rFonts w:ascii="Times New Roman" w:hAnsi="Times New Roman" w:cs="Times New Roman"/>
          <w:b w:val="0"/>
          <w:i w:val="0"/>
          <w:vanish/>
          <w:specVanish/>
        </w:rPr>
      </w:pPr>
      <w:r w:rsidRPr="00631935">
        <w:rPr>
          <w:rFonts w:ascii="Times New Roman" w:hAnsi="Times New Roman" w:cs="Times New Roman"/>
          <w:b w:val="0"/>
          <w:i w:val="0"/>
        </w:rPr>
        <w:tab/>
      </w:r>
    </w:p>
    <w:p w14:paraId="1A3A2391" w14:textId="23757895" w:rsidR="00345D70" w:rsidRDefault="000A19D2" w:rsidP="00631935">
      <w:pPr>
        <w:pStyle w:val="BodyText"/>
        <w:spacing w:after="0"/>
        <w:jc w:val="both"/>
      </w:pPr>
      <w:r w:rsidRPr="00E27243">
        <w:t>To be eligible for a SARC, an applicant must meet certain threshold requirements detailed in Rule 25-30.455(1)(a)–(c), F.A.C. Specifically, it must (1) have total gross annual operating revenues no more than $335,000 for water service or wastewater service (or $670,000 on a combined basis); (2) have at least one year of experi</w:t>
      </w:r>
      <w:r w:rsidRPr="00B15168">
        <w:t xml:space="preserve">ence operating the utility for which the rate increase is </w:t>
      </w:r>
      <w:r>
        <w:t>sought</w:t>
      </w:r>
      <w:r w:rsidRPr="00B15168">
        <w:t>; (</w:t>
      </w:r>
      <w:r>
        <w:t>3</w:t>
      </w:r>
      <w:r w:rsidRPr="00B15168">
        <w:t>) be in compliance with annual report filings pursuant to Rule 25-30.110(3)–(5), F.A.C.; and (</w:t>
      </w:r>
      <w:r>
        <w:t>4</w:t>
      </w:r>
      <w:r w:rsidRPr="00B15168">
        <w:t xml:space="preserve">) be up-to-date with all </w:t>
      </w:r>
      <w:r>
        <w:t>RAF payments. F</w:t>
      </w:r>
      <w:r w:rsidR="00A77ECE">
        <w:t>ailure to satisfy any one of tho</w:t>
      </w:r>
      <w:r>
        <w:t>se criteria renders a utility ineligible for a SARC.</w:t>
      </w:r>
    </w:p>
    <w:p w14:paraId="6C9FA8F8" w14:textId="77777777" w:rsidR="00631935" w:rsidRDefault="00631935" w:rsidP="00631935">
      <w:pPr>
        <w:pStyle w:val="BodyText"/>
        <w:spacing w:after="0"/>
        <w:jc w:val="both"/>
      </w:pPr>
    </w:p>
    <w:p w14:paraId="6B80603E" w14:textId="577AB9E3" w:rsidR="000A19D2" w:rsidRPr="00345D70" w:rsidRDefault="000A19D2" w:rsidP="00631935">
      <w:pPr>
        <w:pStyle w:val="BodyText"/>
        <w:spacing w:after="0"/>
        <w:ind w:firstLine="720"/>
        <w:jc w:val="both"/>
        <w:rPr>
          <w:rFonts w:ascii="Arial" w:hAnsi="Arial" w:cs="Arial"/>
        </w:rPr>
      </w:pPr>
      <w:r>
        <w:t xml:space="preserve">On August 1, 2024, Commission staff sent a certified letter to St. Johns. The letter notified </w:t>
      </w:r>
      <w:r w:rsidR="00A77ECE">
        <w:t>t</w:t>
      </w:r>
      <w:r>
        <w:t>he Utility of the change in circumstances now making it ineligible for a SARC. Nonetheless, Commission staff provided St. Johns over three weeks time to remedy the deficiencies. St. Johns needed to do the following by August 23, 2024:</w:t>
      </w:r>
    </w:p>
    <w:p w14:paraId="36F90C61" w14:textId="77777777" w:rsidR="000A19D2" w:rsidRDefault="000A19D2" w:rsidP="00631935">
      <w:pPr>
        <w:pStyle w:val="OrderBody"/>
      </w:pPr>
    </w:p>
    <w:p w14:paraId="0B5CC7C6" w14:textId="77777777" w:rsidR="000A19D2" w:rsidRDefault="000A19D2" w:rsidP="000A19D2">
      <w:pPr>
        <w:pStyle w:val="BodyText"/>
        <w:numPr>
          <w:ilvl w:val="0"/>
          <w:numId w:val="1"/>
        </w:numPr>
        <w:spacing w:after="240"/>
        <w:jc w:val="both"/>
      </w:pPr>
      <w:r>
        <w:t>File its 2023 Annual Report;</w:t>
      </w:r>
    </w:p>
    <w:p w14:paraId="0168A4F1" w14:textId="77777777" w:rsidR="000A19D2" w:rsidRDefault="000A19D2" w:rsidP="000A19D2">
      <w:pPr>
        <w:pStyle w:val="BodyText"/>
        <w:numPr>
          <w:ilvl w:val="0"/>
          <w:numId w:val="1"/>
        </w:numPr>
        <w:spacing w:after="240"/>
        <w:jc w:val="both"/>
      </w:pPr>
      <w:r>
        <w:t>Pay an Annual Report late fee of $485.00;</w:t>
      </w:r>
    </w:p>
    <w:p w14:paraId="268C52E5" w14:textId="77777777" w:rsidR="000A19D2" w:rsidRDefault="000A19D2" w:rsidP="000A19D2">
      <w:pPr>
        <w:pStyle w:val="BodyText"/>
        <w:numPr>
          <w:ilvl w:val="0"/>
          <w:numId w:val="1"/>
        </w:numPr>
        <w:spacing w:after="240"/>
        <w:jc w:val="both"/>
      </w:pPr>
      <w:r>
        <w:t>Pay the 2023 water RAF, including penalties, of $959.82; and</w:t>
      </w:r>
    </w:p>
    <w:p w14:paraId="7054EE83" w14:textId="77777777" w:rsidR="000A19D2" w:rsidRDefault="000A19D2" w:rsidP="00292A09">
      <w:pPr>
        <w:pStyle w:val="BodyText"/>
        <w:numPr>
          <w:ilvl w:val="0"/>
          <w:numId w:val="1"/>
        </w:numPr>
        <w:spacing w:after="0"/>
        <w:jc w:val="both"/>
      </w:pPr>
      <w:r>
        <w:t>Pay the 2023 wastewater RAF, including penalties, of $1,293.26.</w:t>
      </w:r>
    </w:p>
    <w:p w14:paraId="4C1AE47B" w14:textId="77777777" w:rsidR="00292A09" w:rsidRDefault="00292A09" w:rsidP="00292A09">
      <w:pPr>
        <w:pStyle w:val="BodyText"/>
        <w:spacing w:after="0"/>
        <w:jc w:val="both"/>
      </w:pPr>
    </w:p>
    <w:p w14:paraId="054EFC56" w14:textId="2B3A8AD5" w:rsidR="000A19D2" w:rsidRDefault="000A19D2" w:rsidP="00292A09">
      <w:pPr>
        <w:pStyle w:val="BodyText"/>
        <w:spacing w:after="0"/>
        <w:ind w:firstLine="720"/>
        <w:jc w:val="both"/>
      </w:pPr>
      <w:r>
        <w:t xml:space="preserve">Pursuant to Rule 25-30.110(3)(a), F.A.C., each utility must file an annual report with </w:t>
      </w:r>
      <w:r w:rsidR="00A77ECE">
        <w:t xml:space="preserve">this </w:t>
      </w:r>
      <w:r>
        <w:t>Commission by March 31</w:t>
      </w:r>
      <w:r w:rsidRPr="006E19BD">
        <w:rPr>
          <w:vertAlign w:val="superscript"/>
        </w:rPr>
        <w:t>st</w:t>
      </w:r>
      <w:r>
        <w:t xml:space="preserve"> for the preceding year ending December 31</w:t>
      </w:r>
      <w:r w:rsidRPr="006E19BD">
        <w:rPr>
          <w:vertAlign w:val="superscript"/>
        </w:rPr>
        <w:t>st</w:t>
      </w:r>
      <w:r>
        <w:t xml:space="preserve">. St. Johns filed its 2023 Annual Report five months late on August 16, 2024. Rule 25-30.110(6), F.A.C., sets forth the penalties for delinquent annual reports. The applicable penalty for a Class C utility is $3.00 per day plus interest, based on the number of calendar days elapsed from the date due until the date filed. St. Johns remitted a check to cover the late fee in the amount of $420. Although not the full sum required, </w:t>
      </w:r>
      <w:r w:rsidR="006D07C3">
        <w:t xml:space="preserve">we will </w:t>
      </w:r>
      <w:r>
        <w:t xml:space="preserve">waive the </w:t>
      </w:r>
      <w:r w:rsidR="00911244">
        <w:t>then-</w:t>
      </w:r>
      <w:r>
        <w:t>remaining balance of less than $50.00.</w:t>
      </w:r>
    </w:p>
    <w:p w14:paraId="3AB5CCC8" w14:textId="77777777" w:rsidR="00292A09" w:rsidRDefault="00292A09" w:rsidP="00292A09">
      <w:pPr>
        <w:pStyle w:val="BodyText"/>
        <w:spacing w:after="0"/>
        <w:jc w:val="both"/>
      </w:pPr>
    </w:p>
    <w:p w14:paraId="64BAFBED" w14:textId="28D2EEAB" w:rsidR="008A5A82" w:rsidRDefault="000A19D2" w:rsidP="00292A09">
      <w:pPr>
        <w:pStyle w:val="OrderBody"/>
        <w:ind w:firstLine="720"/>
      </w:pPr>
      <w:r>
        <w:t xml:space="preserve">Pursuant to Rule 25-30.120(2)(b), F.A.C., small water and wastewater utilities must file their RAFs with </w:t>
      </w:r>
      <w:r w:rsidR="008A5A82">
        <w:t>this</w:t>
      </w:r>
      <w:r>
        <w:t xml:space="preserve"> Commission by March 31</w:t>
      </w:r>
      <w:r w:rsidRPr="00532CFC">
        <w:rPr>
          <w:vertAlign w:val="superscript"/>
        </w:rPr>
        <w:t>st</w:t>
      </w:r>
      <w:r>
        <w:t xml:space="preserve"> for the proceeding year ending December 31</w:t>
      </w:r>
      <w:r w:rsidRPr="00532CFC">
        <w:rPr>
          <w:vertAlign w:val="superscript"/>
        </w:rPr>
        <w:t>st</w:t>
      </w:r>
      <w:r>
        <w:t>. St. Johns has not paid its 2023 regulatory assessment fees.</w:t>
      </w:r>
      <w:r>
        <w:rPr>
          <w:rStyle w:val="FootnoteReference"/>
        </w:rPr>
        <w:footnoteReference w:id="7"/>
      </w:r>
      <w:r>
        <w:t xml:space="preserve"> As of August 23, 2024, the amount due for 2023 water RAF, plus penalties pursuant to Rule 25-30.120(7), F.A.C., was $959.82. As of the same date, the amount due for 2023 wastewater RAF,</w:t>
      </w:r>
      <w:r w:rsidR="008A5A82">
        <w:t xml:space="preserve"> plus penalties, was $1,293.26.</w:t>
      </w:r>
    </w:p>
    <w:p w14:paraId="3F1ACC7B" w14:textId="77777777" w:rsidR="00292A09" w:rsidRDefault="00292A09" w:rsidP="00292A09">
      <w:pPr>
        <w:pStyle w:val="OrderBody"/>
      </w:pPr>
    </w:p>
    <w:p w14:paraId="16FBB14F" w14:textId="04BCBECE" w:rsidR="00A41D36" w:rsidRDefault="00147893" w:rsidP="00292A09">
      <w:pPr>
        <w:pStyle w:val="OrderBody"/>
        <w:ind w:firstLine="720"/>
      </w:pPr>
      <w:r>
        <w:t xml:space="preserve">Even as we sit here today, </w:t>
      </w:r>
      <w:r w:rsidR="008A5A82">
        <w:t xml:space="preserve">St. Johns has </w:t>
      </w:r>
      <w:r w:rsidR="009523BD">
        <w:t>still not</w:t>
      </w:r>
      <w:r w:rsidR="008A5A82">
        <w:t xml:space="preserve"> paid its 2023 RAFs nor </w:t>
      </w:r>
      <w:r w:rsidR="000A19D2">
        <w:t>entered into a RAF repayment plan</w:t>
      </w:r>
      <w:r w:rsidR="00503062">
        <w:t xml:space="preserve"> despite Commission staff’s efforts</w:t>
      </w:r>
      <w:r w:rsidR="000A19D2">
        <w:t>.</w:t>
      </w:r>
      <w:r w:rsidR="00A41D36">
        <w:t xml:space="preserve"> An applicant must continuously meet all eligibility criteria in Rule 25-30.455(1), F.A.C., to qualify for a SARC. St. Johns’ failure to pay its 2023 RAF balance means it is </w:t>
      </w:r>
      <w:r w:rsidR="00C35047">
        <w:t>no longer</w:t>
      </w:r>
      <w:r w:rsidR="00A41D36">
        <w:t xml:space="preserve"> eligible for a SARC at this time</w:t>
      </w:r>
      <w:r w:rsidR="005308A5">
        <w:t xml:space="preserve"> pursuant to Rule 25-30.455(1)(c), F.A.C</w:t>
      </w:r>
      <w:r w:rsidR="00A41D36">
        <w:t xml:space="preserve">. </w:t>
      </w:r>
      <w:r w:rsidR="008D3930">
        <w:t>We therefore deny St. Johns’ SARC application</w:t>
      </w:r>
      <w:r w:rsidR="00C35047">
        <w:t xml:space="preserve"> without prejudice.</w:t>
      </w:r>
    </w:p>
    <w:p w14:paraId="68DCB4C5" w14:textId="3A1F9436" w:rsidR="009B056B" w:rsidRDefault="009B056B" w:rsidP="00292A09">
      <w:pPr>
        <w:pStyle w:val="OrderBody"/>
      </w:pPr>
    </w:p>
    <w:p w14:paraId="6885A725" w14:textId="3F3A7DDC" w:rsidR="009B056B" w:rsidRDefault="009B056B" w:rsidP="00292A09">
      <w:pPr>
        <w:pStyle w:val="OrderBody"/>
      </w:pPr>
    </w:p>
    <w:p w14:paraId="61B31279" w14:textId="2F255C28" w:rsidR="009B056B" w:rsidRDefault="009B056B" w:rsidP="009B056B">
      <w:pPr>
        <w:pStyle w:val="OrderBody"/>
      </w:pPr>
      <w:r>
        <w:lastRenderedPageBreak/>
        <w:tab/>
        <w:t>Based on the foregoing, it is</w:t>
      </w:r>
      <w:r w:rsidR="00910ED5">
        <w:t xml:space="preserve"> hereby</w:t>
      </w:r>
    </w:p>
    <w:p w14:paraId="07BA38E4" w14:textId="11B1E8C3" w:rsidR="009B056B" w:rsidRDefault="009B056B" w:rsidP="009B056B">
      <w:pPr>
        <w:pStyle w:val="OrderBody"/>
      </w:pPr>
    </w:p>
    <w:p w14:paraId="713B2F38" w14:textId="6A03FA4B" w:rsidR="009B056B" w:rsidRDefault="009B056B" w:rsidP="009B056B">
      <w:pPr>
        <w:pStyle w:val="OrderBody"/>
      </w:pPr>
      <w:r>
        <w:tab/>
        <w:t>ORDERED that St. Johns River Estates Utilities, LLC’s Application of Staff-Assisted Rate Case is DENIED without prejudice.</w:t>
      </w:r>
    </w:p>
    <w:p w14:paraId="35A5EFFB" w14:textId="6387A550" w:rsidR="00910ED5" w:rsidRDefault="00910ED5" w:rsidP="009B056B">
      <w:pPr>
        <w:pStyle w:val="OrderBody"/>
      </w:pPr>
    </w:p>
    <w:p w14:paraId="65DDDEFA" w14:textId="359864A0" w:rsidR="00910ED5" w:rsidRDefault="00910ED5" w:rsidP="009B056B">
      <w:pPr>
        <w:pStyle w:val="OrderBody"/>
      </w:pPr>
      <w:r>
        <w:tab/>
        <w:t xml:space="preserve">ORDERED that </w:t>
      </w:r>
      <w:r w:rsidR="00510298">
        <w:t>this docket will be</w:t>
      </w:r>
      <w:r>
        <w:t xml:space="preserve"> closed thirty (30) days after the issuance of this Order.</w:t>
      </w:r>
    </w:p>
    <w:p w14:paraId="08491717" w14:textId="6E9E0D0D" w:rsidR="000A19D2" w:rsidRDefault="000A19D2" w:rsidP="000A19D2">
      <w:pPr>
        <w:pStyle w:val="OrderBody"/>
      </w:pPr>
    </w:p>
    <w:p w14:paraId="7C4024BD" w14:textId="29525A67" w:rsidR="000A19D2" w:rsidRDefault="000A19D2" w:rsidP="000A19D2">
      <w:pPr>
        <w:pStyle w:val="OrderBody"/>
        <w:keepNext/>
        <w:keepLines/>
      </w:pPr>
      <w:r>
        <w:tab/>
        <w:t xml:space="preserve">By ORDER of the Florida Public Service Commission this </w:t>
      </w:r>
      <w:bookmarkStart w:id="8" w:name="replaceDate"/>
      <w:bookmarkEnd w:id="8"/>
      <w:r w:rsidR="00DD6FFC">
        <w:rPr>
          <w:u w:val="single"/>
        </w:rPr>
        <w:t>18th</w:t>
      </w:r>
      <w:r w:rsidR="00DD6FFC">
        <w:t xml:space="preserve"> day of </w:t>
      </w:r>
      <w:r w:rsidR="00DD6FFC">
        <w:rPr>
          <w:u w:val="single"/>
        </w:rPr>
        <w:t>October</w:t>
      </w:r>
      <w:r w:rsidR="00DD6FFC">
        <w:t xml:space="preserve">, </w:t>
      </w:r>
      <w:r w:rsidR="00DD6FFC">
        <w:rPr>
          <w:u w:val="single"/>
        </w:rPr>
        <w:t>2024</w:t>
      </w:r>
      <w:r w:rsidR="00DD6FFC">
        <w:t>.</w:t>
      </w:r>
    </w:p>
    <w:p w14:paraId="5762E155" w14:textId="77777777" w:rsidR="00DD6FFC" w:rsidRPr="00DD6FFC" w:rsidRDefault="00DD6FFC" w:rsidP="000A19D2">
      <w:pPr>
        <w:pStyle w:val="OrderBody"/>
        <w:keepNext/>
        <w:keepLines/>
      </w:pPr>
    </w:p>
    <w:p w14:paraId="43CE7194" w14:textId="77777777" w:rsidR="000A19D2" w:rsidRDefault="000A19D2" w:rsidP="000A19D2">
      <w:pPr>
        <w:pStyle w:val="OrderBody"/>
        <w:keepNext/>
        <w:keepLines/>
      </w:pPr>
    </w:p>
    <w:p w14:paraId="61E80B9D" w14:textId="77777777" w:rsidR="000A19D2" w:rsidRDefault="000A19D2" w:rsidP="000A19D2">
      <w:pPr>
        <w:pStyle w:val="OrderBody"/>
        <w:keepNext/>
        <w:keepLines/>
      </w:pPr>
    </w:p>
    <w:p w14:paraId="1E125F80" w14:textId="77777777" w:rsidR="000A19D2" w:rsidRDefault="000A19D2" w:rsidP="000A19D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A19D2" w14:paraId="3C9289F6" w14:textId="77777777" w:rsidTr="000A19D2">
        <w:tc>
          <w:tcPr>
            <w:tcW w:w="720" w:type="dxa"/>
            <w:shd w:val="clear" w:color="auto" w:fill="auto"/>
          </w:tcPr>
          <w:p w14:paraId="41E686B2" w14:textId="77777777" w:rsidR="000A19D2" w:rsidRDefault="000A19D2" w:rsidP="000A19D2">
            <w:pPr>
              <w:pStyle w:val="OrderBody"/>
              <w:keepNext/>
              <w:keepLines/>
            </w:pPr>
            <w:bookmarkStart w:id="9" w:name="bkmrkSignature" w:colFirst="0" w:colLast="0"/>
          </w:p>
        </w:tc>
        <w:tc>
          <w:tcPr>
            <w:tcW w:w="4320" w:type="dxa"/>
            <w:tcBorders>
              <w:bottom w:val="single" w:sz="4" w:space="0" w:color="auto"/>
            </w:tcBorders>
            <w:shd w:val="clear" w:color="auto" w:fill="auto"/>
          </w:tcPr>
          <w:p w14:paraId="43CA224C" w14:textId="5897DAB6" w:rsidR="000A19D2" w:rsidRDefault="00B26C46" w:rsidP="000A19D2">
            <w:pPr>
              <w:pStyle w:val="OrderBody"/>
              <w:keepNext/>
              <w:keepLines/>
            </w:pPr>
            <w:r>
              <w:t>/s/ Adam J. Teitzman</w:t>
            </w:r>
            <w:bookmarkStart w:id="10" w:name="_GoBack"/>
            <w:bookmarkEnd w:id="10"/>
          </w:p>
        </w:tc>
      </w:tr>
      <w:bookmarkEnd w:id="9"/>
      <w:tr w:rsidR="000A19D2" w14:paraId="55B9CA2A" w14:textId="77777777" w:rsidTr="000A19D2">
        <w:tc>
          <w:tcPr>
            <w:tcW w:w="720" w:type="dxa"/>
            <w:shd w:val="clear" w:color="auto" w:fill="auto"/>
          </w:tcPr>
          <w:p w14:paraId="5CC37FBA" w14:textId="77777777" w:rsidR="000A19D2" w:rsidRDefault="000A19D2" w:rsidP="000A19D2">
            <w:pPr>
              <w:pStyle w:val="OrderBody"/>
              <w:keepNext/>
              <w:keepLines/>
            </w:pPr>
          </w:p>
        </w:tc>
        <w:tc>
          <w:tcPr>
            <w:tcW w:w="4320" w:type="dxa"/>
            <w:tcBorders>
              <w:top w:val="single" w:sz="4" w:space="0" w:color="auto"/>
            </w:tcBorders>
            <w:shd w:val="clear" w:color="auto" w:fill="auto"/>
          </w:tcPr>
          <w:p w14:paraId="5307E8D9" w14:textId="77777777" w:rsidR="000A19D2" w:rsidRDefault="000A19D2" w:rsidP="000A19D2">
            <w:pPr>
              <w:pStyle w:val="OrderBody"/>
              <w:keepNext/>
              <w:keepLines/>
            </w:pPr>
            <w:r>
              <w:t>ADAM J. TEITZMAN</w:t>
            </w:r>
          </w:p>
          <w:p w14:paraId="717CA458" w14:textId="77777777" w:rsidR="000A19D2" w:rsidRDefault="000A19D2" w:rsidP="000A19D2">
            <w:pPr>
              <w:pStyle w:val="OrderBody"/>
              <w:keepNext/>
              <w:keepLines/>
            </w:pPr>
            <w:r>
              <w:t>Commission Clerk</w:t>
            </w:r>
          </w:p>
        </w:tc>
      </w:tr>
    </w:tbl>
    <w:p w14:paraId="538D9362" w14:textId="77777777" w:rsidR="000A19D2" w:rsidRDefault="000A19D2" w:rsidP="000A19D2">
      <w:pPr>
        <w:pStyle w:val="OrderSigInfo"/>
        <w:keepNext/>
        <w:keepLines/>
      </w:pPr>
      <w:r>
        <w:t>Florida Public Service Commission</w:t>
      </w:r>
    </w:p>
    <w:p w14:paraId="795C068B" w14:textId="77777777" w:rsidR="000A19D2" w:rsidRDefault="000A19D2" w:rsidP="000A19D2">
      <w:pPr>
        <w:pStyle w:val="OrderSigInfo"/>
        <w:keepNext/>
        <w:keepLines/>
      </w:pPr>
      <w:r>
        <w:t>2540 Shumard Oak Boulevard</w:t>
      </w:r>
    </w:p>
    <w:p w14:paraId="5A73EA92" w14:textId="77777777" w:rsidR="000A19D2" w:rsidRDefault="000A19D2" w:rsidP="000A19D2">
      <w:pPr>
        <w:pStyle w:val="OrderSigInfo"/>
        <w:keepNext/>
        <w:keepLines/>
      </w:pPr>
      <w:r>
        <w:t>Tallahassee, Florida 32399</w:t>
      </w:r>
    </w:p>
    <w:p w14:paraId="2BFAC86B" w14:textId="77777777" w:rsidR="000A19D2" w:rsidRDefault="000A19D2" w:rsidP="000A19D2">
      <w:pPr>
        <w:pStyle w:val="OrderSigInfo"/>
        <w:keepNext/>
        <w:keepLines/>
      </w:pPr>
      <w:r>
        <w:t>(850) 413</w:t>
      </w:r>
      <w:r>
        <w:noBreakHyphen/>
        <w:t>6770</w:t>
      </w:r>
    </w:p>
    <w:p w14:paraId="4EE7817E" w14:textId="77777777" w:rsidR="000A19D2" w:rsidRDefault="000A19D2" w:rsidP="000A19D2">
      <w:pPr>
        <w:pStyle w:val="OrderSigInfo"/>
        <w:keepNext/>
        <w:keepLines/>
      </w:pPr>
      <w:r>
        <w:t>www.floridapsc.com</w:t>
      </w:r>
    </w:p>
    <w:p w14:paraId="225FA9B3" w14:textId="77777777" w:rsidR="000A19D2" w:rsidRDefault="000A19D2" w:rsidP="000A19D2">
      <w:pPr>
        <w:pStyle w:val="OrderSigInfo"/>
        <w:keepNext/>
        <w:keepLines/>
      </w:pPr>
    </w:p>
    <w:p w14:paraId="4AFDF338" w14:textId="6579064B" w:rsidR="000A19D2" w:rsidRDefault="000A19D2" w:rsidP="000A19D2">
      <w:pPr>
        <w:pStyle w:val="OrderSigInfo"/>
        <w:keepNext/>
        <w:keepLines/>
      </w:pPr>
      <w:r>
        <w:t>Copies furnished: A copy of this document is provided to the parties of record at the time of issuance and, if applicable, interested persons.</w:t>
      </w:r>
    </w:p>
    <w:p w14:paraId="0B689838" w14:textId="77777777" w:rsidR="000A19D2" w:rsidRDefault="000A19D2" w:rsidP="000A19D2">
      <w:pPr>
        <w:pStyle w:val="OrderBody"/>
        <w:keepNext/>
        <w:keepLines/>
      </w:pPr>
    </w:p>
    <w:p w14:paraId="46A44CE6" w14:textId="77777777" w:rsidR="000A19D2" w:rsidRDefault="000A19D2" w:rsidP="000A19D2">
      <w:pPr>
        <w:pStyle w:val="OrderBody"/>
        <w:keepNext/>
        <w:keepLines/>
      </w:pPr>
    </w:p>
    <w:p w14:paraId="2826E202" w14:textId="77777777" w:rsidR="000A19D2" w:rsidRDefault="000A19D2" w:rsidP="000A19D2">
      <w:pPr>
        <w:pStyle w:val="OrderBody"/>
        <w:keepNext/>
        <w:keepLines/>
      </w:pPr>
      <w:r>
        <w:t>CMM</w:t>
      </w:r>
    </w:p>
    <w:p w14:paraId="76B92105" w14:textId="77777777" w:rsidR="000A19D2" w:rsidRDefault="000A19D2">
      <w:r>
        <w:br w:type="page"/>
      </w:r>
    </w:p>
    <w:p w14:paraId="3734A2CB" w14:textId="77777777" w:rsidR="000A19D2" w:rsidRDefault="000A19D2" w:rsidP="000A19D2">
      <w:pPr>
        <w:pStyle w:val="CenterUnderline"/>
      </w:pPr>
      <w:r>
        <w:lastRenderedPageBreak/>
        <w:t>NOTICE OF FURTHER PROCEEDINGS OR JUDICIAL REVIEW</w:t>
      </w:r>
    </w:p>
    <w:p w14:paraId="795627D3" w14:textId="77777777" w:rsidR="000A19D2" w:rsidRDefault="000A19D2" w:rsidP="000A19D2">
      <w:pPr>
        <w:pStyle w:val="CenterUnderline"/>
      </w:pPr>
    </w:p>
    <w:p w14:paraId="10F097A0" w14:textId="29B0EFC7" w:rsidR="000A19D2" w:rsidRDefault="000A19D2" w:rsidP="000A19D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8F57FE8" w14:textId="77777777" w:rsidR="000A19D2" w:rsidRDefault="000A19D2" w:rsidP="000A19D2">
      <w:pPr>
        <w:pStyle w:val="OrderBody"/>
      </w:pPr>
    </w:p>
    <w:p w14:paraId="7D38DC9E" w14:textId="7E690707" w:rsidR="000A19D2" w:rsidRDefault="000A19D2" w:rsidP="000A19D2">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097484A0" w14:textId="77777777" w:rsidR="000A19D2" w:rsidRDefault="000A19D2" w:rsidP="000A19D2">
      <w:pPr>
        <w:pStyle w:val="OrderBody"/>
      </w:pPr>
    </w:p>
    <w:p w14:paraId="56109EE7" w14:textId="77777777" w:rsidR="000A19D2" w:rsidRDefault="000A19D2" w:rsidP="000A19D2">
      <w:pPr>
        <w:pStyle w:val="OrderBody"/>
      </w:pPr>
    </w:p>
    <w:sectPr w:rsidR="000A19D2">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514B2" w14:textId="77777777" w:rsidR="00DA3B80" w:rsidRDefault="00DA3B80">
      <w:r>
        <w:separator/>
      </w:r>
    </w:p>
  </w:endnote>
  <w:endnote w:type="continuationSeparator" w:id="0">
    <w:p w14:paraId="7F6D9C5C" w14:textId="77777777" w:rsidR="00DA3B80" w:rsidRDefault="00DA3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03449" w14:textId="77777777" w:rsidR="00FA6EFD" w:rsidRDefault="00FA6EFD">
    <w:pPr>
      <w:pStyle w:val="Footer"/>
    </w:pPr>
  </w:p>
  <w:p w14:paraId="1532C1FE"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0988C" w14:textId="77777777" w:rsidR="00DA3B80" w:rsidRDefault="00DA3B80">
      <w:r>
        <w:separator/>
      </w:r>
    </w:p>
  </w:footnote>
  <w:footnote w:type="continuationSeparator" w:id="0">
    <w:p w14:paraId="3C7CE9E2" w14:textId="77777777" w:rsidR="00DA3B80" w:rsidRDefault="00DA3B80">
      <w:r>
        <w:continuationSeparator/>
      </w:r>
    </w:p>
  </w:footnote>
  <w:footnote w:id="1">
    <w:p w14:paraId="2C97026A" w14:textId="77777777" w:rsidR="000A19D2" w:rsidRDefault="000A19D2" w:rsidP="000A19D2">
      <w:pPr>
        <w:pStyle w:val="FootnoteText"/>
      </w:pPr>
      <w:r>
        <w:rPr>
          <w:rStyle w:val="FootnoteReference"/>
        </w:rPr>
        <w:footnoteRef/>
      </w:r>
      <w:r>
        <w:t xml:space="preserve"> Document No. 06394-2023, Docket No. 20230131-WS, filed November 30, 2023.</w:t>
      </w:r>
    </w:p>
  </w:footnote>
  <w:footnote w:id="2">
    <w:p w14:paraId="384466B0" w14:textId="77777777" w:rsidR="000A19D2" w:rsidRDefault="000A19D2" w:rsidP="000A19D2">
      <w:pPr>
        <w:pStyle w:val="FootnoteText"/>
      </w:pPr>
      <w:r>
        <w:rPr>
          <w:rStyle w:val="FootnoteReference"/>
        </w:rPr>
        <w:footnoteRef/>
      </w:r>
      <w:r>
        <w:t xml:space="preserve"> Document No. 06729-2023, Docket No. 20230131-WS, filed December 22, 2023 (establishing January 22, 2024, as official date of filing and filing fee due date).</w:t>
      </w:r>
    </w:p>
  </w:footnote>
  <w:footnote w:id="3">
    <w:p w14:paraId="33244109" w14:textId="77777777" w:rsidR="000A19D2" w:rsidRDefault="000A19D2" w:rsidP="000A19D2">
      <w:pPr>
        <w:pStyle w:val="FootnoteText"/>
      </w:pPr>
      <w:r>
        <w:rPr>
          <w:rStyle w:val="FootnoteReference"/>
        </w:rPr>
        <w:footnoteRef/>
      </w:r>
      <w:r>
        <w:t xml:space="preserve"> Document No. 00363-2024, Docket No. 20230131-WS, filed January 29, 2024.</w:t>
      </w:r>
    </w:p>
  </w:footnote>
  <w:footnote w:id="4">
    <w:p w14:paraId="10DFBA9B" w14:textId="77777777" w:rsidR="000A19D2" w:rsidRDefault="000A19D2" w:rsidP="000A19D2">
      <w:pPr>
        <w:pStyle w:val="FootnoteText"/>
      </w:pPr>
      <w:r>
        <w:rPr>
          <w:rStyle w:val="FootnoteReference"/>
        </w:rPr>
        <w:footnoteRef/>
      </w:r>
      <w:r>
        <w:t xml:space="preserve"> Document No. 00410-2024, Docket No. 20230131-WS, filed January 30, 2024.</w:t>
      </w:r>
    </w:p>
  </w:footnote>
  <w:footnote w:id="5">
    <w:p w14:paraId="720698F5" w14:textId="77777777" w:rsidR="000A19D2" w:rsidRDefault="000A19D2" w:rsidP="000A19D2">
      <w:pPr>
        <w:pStyle w:val="FootnoteText"/>
      </w:pPr>
      <w:r>
        <w:rPr>
          <w:rStyle w:val="FootnoteReference"/>
        </w:rPr>
        <w:footnoteRef/>
      </w:r>
      <w:r>
        <w:t xml:space="preserve"> Document No. 00521-2024, Docket No. 20230131-WS, filed February 2, 2024.</w:t>
      </w:r>
    </w:p>
  </w:footnote>
  <w:footnote w:id="6">
    <w:p w14:paraId="0226E83E" w14:textId="77777777" w:rsidR="000A19D2" w:rsidRDefault="000A19D2" w:rsidP="000A19D2">
      <w:pPr>
        <w:pStyle w:val="FootnoteText"/>
      </w:pPr>
      <w:r>
        <w:rPr>
          <w:rStyle w:val="FootnoteReference"/>
        </w:rPr>
        <w:footnoteRef/>
      </w:r>
      <w:r>
        <w:t xml:space="preserve"> Document No. 08327-2024, Docket No. 20230131-WS, filed August 8, 2024.</w:t>
      </w:r>
    </w:p>
  </w:footnote>
  <w:footnote w:id="7">
    <w:p w14:paraId="29A8421B" w14:textId="77777777" w:rsidR="000A19D2" w:rsidRDefault="000A19D2" w:rsidP="000A19D2">
      <w:pPr>
        <w:pStyle w:val="FootnoteText"/>
      </w:pPr>
      <w:r>
        <w:rPr>
          <w:rStyle w:val="FootnoteReference"/>
        </w:rPr>
        <w:footnoteRef/>
      </w:r>
      <w:r>
        <w:t xml:space="preserve"> On April 2, 2024, the Commission received two RAF checks from St. Johns, but each check bounced.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07FB3" w14:textId="7361ED95" w:rsidR="00FA6EFD" w:rsidRDefault="00FA6EFD">
    <w:pPr>
      <w:pStyle w:val="OrderHeader"/>
    </w:pPr>
    <w:r>
      <w:t xml:space="preserve">ORDER NO. </w:t>
    </w:r>
    <w:fldSimple w:instr=" REF OrderNo0455 ">
      <w:r w:rsidR="00DD6FFC">
        <w:t>PSC-2024-0455-FOF-WS</w:t>
      </w:r>
    </w:fldSimple>
  </w:p>
  <w:p w14:paraId="303FCD18" w14:textId="77777777" w:rsidR="00FA6EFD" w:rsidRDefault="00DA3B80">
    <w:pPr>
      <w:pStyle w:val="OrderHeader"/>
    </w:pPr>
    <w:bookmarkStart w:id="11" w:name="HeaderDocketNo"/>
    <w:bookmarkEnd w:id="11"/>
    <w:r>
      <w:t>DOCKET NO. 20230131-WS</w:t>
    </w:r>
  </w:p>
  <w:p w14:paraId="1AABEE1C" w14:textId="7BBC7A41"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6C46">
      <w:rPr>
        <w:rStyle w:val="PageNumber"/>
        <w:noProof/>
      </w:rPr>
      <w:t>4</w:t>
    </w:r>
    <w:r>
      <w:rPr>
        <w:rStyle w:val="PageNumber"/>
      </w:rPr>
      <w:fldChar w:fldCharType="end"/>
    </w:r>
  </w:p>
  <w:p w14:paraId="50DA5A39"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11FE1"/>
    <w:multiLevelType w:val="hybridMultilevel"/>
    <w:tmpl w:val="8946A9D4"/>
    <w:lvl w:ilvl="0" w:tplc="4E58E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31-WS"/>
  </w:docVars>
  <w:rsids>
    <w:rsidRoot w:val="00DA3B80"/>
    <w:rsid w:val="000022B8"/>
    <w:rsid w:val="00003883"/>
    <w:rsid w:val="00006EB6"/>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19D2"/>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00B1"/>
    <w:rsid w:val="00120C64"/>
    <w:rsid w:val="00121957"/>
    <w:rsid w:val="0012387E"/>
    <w:rsid w:val="001259EC"/>
    <w:rsid w:val="00126593"/>
    <w:rsid w:val="00134177"/>
    <w:rsid w:val="00136087"/>
    <w:rsid w:val="00142A96"/>
    <w:rsid w:val="00147893"/>
    <w:rsid w:val="001513DE"/>
    <w:rsid w:val="00154A71"/>
    <w:rsid w:val="001655D4"/>
    <w:rsid w:val="00165803"/>
    <w:rsid w:val="00187E32"/>
    <w:rsid w:val="001918FF"/>
    <w:rsid w:val="00194A97"/>
    <w:rsid w:val="00194E81"/>
    <w:rsid w:val="001A15E7"/>
    <w:rsid w:val="001A33C9"/>
    <w:rsid w:val="001A58F3"/>
    <w:rsid w:val="001B034E"/>
    <w:rsid w:val="001B55D6"/>
    <w:rsid w:val="001C2847"/>
    <w:rsid w:val="001C3BB5"/>
    <w:rsid w:val="001C3F8C"/>
    <w:rsid w:val="001C6097"/>
    <w:rsid w:val="001C7126"/>
    <w:rsid w:val="001D008A"/>
    <w:rsid w:val="001E0152"/>
    <w:rsid w:val="001E0FF5"/>
    <w:rsid w:val="001E272A"/>
    <w:rsid w:val="001F0095"/>
    <w:rsid w:val="001F36B0"/>
    <w:rsid w:val="001F4CA3"/>
    <w:rsid w:val="001F59E0"/>
    <w:rsid w:val="001F5E1E"/>
    <w:rsid w:val="002002ED"/>
    <w:rsid w:val="002044DD"/>
    <w:rsid w:val="002170E5"/>
    <w:rsid w:val="00220D57"/>
    <w:rsid w:val="00223B99"/>
    <w:rsid w:val="00227163"/>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2A09"/>
    <w:rsid w:val="00293DC9"/>
    <w:rsid w:val="00297C37"/>
    <w:rsid w:val="002A11AC"/>
    <w:rsid w:val="002A6F30"/>
    <w:rsid w:val="002A7884"/>
    <w:rsid w:val="002B3111"/>
    <w:rsid w:val="002C09F5"/>
    <w:rsid w:val="002C118E"/>
    <w:rsid w:val="002C2096"/>
    <w:rsid w:val="002C6DD0"/>
    <w:rsid w:val="002C7908"/>
    <w:rsid w:val="002D391B"/>
    <w:rsid w:val="002D4B1F"/>
    <w:rsid w:val="002D7D15"/>
    <w:rsid w:val="002E1B2E"/>
    <w:rsid w:val="002E27C6"/>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45C7A"/>
    <w:rsid w:val="00345D70"/>
    <w:rsid w:val="00351C22"/>
    <w:rsid w:val="0035495B"/>
    <w:rsid w:val="00355A93"/>
    <w:rsid w:val="00360F30"/>
    <w:rsid w:val="00361522"/>
    <w:rsid w:val="0037196E"/>
    <w:rsid w:val="003744F5"/>
    <w:rsid w:val="00381E37"/>
    <w:rsid w:val="00382C6A"/>
    <w:rsid w:val="003875A9"/>
    <w:rsid w:val="00387BDE"/>
    <w:rsid w:val="00390DD8"/>
    <w:rsid w:val="00394DC6"/>
    <w:rsid w:val="00397C3E"/>
    <w:rsid w:val="003B1A09"/>
    <w:rsid w:val="003B6F02"/>
    <w:rsid w:val="003C0431"/>
    <w:rsid w:val="003C0F13"/>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03062"/>
    <w:rsid w:val="00510298"/>
    <w:rsid w:val="00514B1F"/>
    <w:rsid w:val="00523C5C"/>
    <w:rsid w:val="00524884"/>
    <w:rsid w:val="00525E93"/>
    <w:rsid w:val="0052671D"/>
    <w:rsid w:val="005300C0"/>
    <w:rsid w:val="005308A5"/>
    <w:rsid w:val="00533EF6"/>
    <w:rsid w:val="00540E6B"/>
    <w:rsid w:val="0054109E"/>
    <w:rsid w:val="0055595D"/>
    <w:rsid w:val="00556A10"/>
    <w:rsid w:val="00557F50"/>
    <w:rsid w:val="00571D3D"/>
    <w:rsid w:val="0058264B"/>
    <w:rsid w:val="00585F61"/>
    <w:rsid w:val="00586368"/>
    <w:rsid w:val="005868AA"/>
    <w:rsid w:val="00590845"/>
    <w:rsid w:val="005962CB"/>
    <w:rsid w:val="005963C2"/>
    <w:rsid w:val="005A0D69"/>
    <w:rsid w:val="005A31F4"/>
    <w:rsid w:val="005A73EA"/>
    <w:rsid w:val="005B45F7"/>
    <w:rsid w:val="005B63EA"/>
    <w:rsid w:val="005C1A88"/>
    <w:rsid w:val="005C5033"/>
    <w:rsid w:val="005D4E1B"/>
    <w:rsid w:val="005E1A1E"/>
    <w:rsid w:val="005E751B"/>
    <w:rsid w:val="005F2751"/>
    <w:rsid w:val="005F3354"/>
    <w:rsid w:val="005F4AD6"/>
    <w:rsid w:val="0060005E"/>
    <w:rsid w:val="0060095B"/>
    <w:rsid w:val="00601266"/>
    <w:rsid w:val="00610221"/>
    <w:rsid w:val="00610E73"/>
    <w:rsid w:val="00615F9B"/>
    <w:rsid w:val="00616DF2"/>
    <w:rsid w:val="0062385D"/>
    <w:rsid w:val="0063168D"/>
    <w:rsid w:val="00631935"/>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12E1"/>
    <w:rsid w:val="006C547E"/>
    <w:rsid w:val="006D07C3"/>
    <w:rsid w:val="006D0A45"/>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47DAC"/>
    <w:rsid w:val="0076170F"/>
    <w:rsid w:val="007633B4"/>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1861"/>
    <w:rsid w:val="00863A66"/>
    <w:rsid w:val="008703D7"/>
    <w:rsid w:val="00874429"/>
    <w:rsid w:val="00875D22"/>
    <w:rsid w:val="00883D9A"/>
    <w:rsid w:val="008919EF"/>
    <w:rsid w:val="00892B20"/>
    <w:rsid w:val="008931BC"/>
    <w:rsid w:val="0089695B"/>
    <w:rsid w:val="00897740"/>
    <w:rsid w:val="008A12EC"/>
    <w:rsid w:val="008A5A82"/>
    <w:rsid w:val="008B14BE"/>
    <w:rsid w:val="008B19A6"/>
    <w:rsid w:val="008B4EFB"/>
    <w:rsid w:val="008B7615"/>
    <w:rsid w:val="008C21C8"/>
    <w:rsid w:val="008C6375"/>
    <w:rsid w:val="008C6A5B"/>
    <w:rsid w:val="008D3930"/>
    <w:rsid w:val="008D441D"/>
    <w:rsid w:val="008D498D"/>
    <w:rsid w:val="008D6D36"/>
    <w:rsid w:val="008E0693"/>
    <w:rsid w:val="008E26A5"/>
    <w:rsid w:val="008E42D2"/>
    <w:rsid w:val="008E6328"/>
    <w:rsid w:val="008E7CF7"/>
    <w:rsid w:val="008F578F"/>
    <w:rsid w:val="008F5D04"/>
    <w:rsid w:val="008F6B3F"/>
    <w:rsid w:val="009040EE"/>
    <w:rsid w:val="009057FD"/>
    <w:rsid w:val="00906FBA"/>
    <w:rsid w:val="00910ED5"/>
    <w:rsid w:val="00911244"/>
    <w:rsid w:val="009163E8"/>
    <w:rsid w:val="00921BD3"/>
    <w:rsid w:val="009228C7"/>
    <w:rsid w:val="00922A7F"/>
    <w:rsid w:val="00923A5E"/>
    <w:rsid w:val="00924FE7"/>
    <w:rsid w:val="00926E27"/>
    <w:rsid w:val="00931C8C"/>
    <w:rsid w:val="00943D21"/>
    <w:rsid w:val="0094504B"/>
    <w:rsid w:val="009523BD"/>
    <w:rsid w:val="00964A38"/>
    <w:rsid w:val="00966A9D"/>
    <w:rsid w:val="0096742B"/>
    <w:rsid w:val="00967C64"/>
    <w:rsid w:val="009718C5"/>
    <w:rsid w:val="00976AFF"/>
    <w:rsid w:val="00986AED"/>
    <w:rsid w:val="009924CF"/>
    <w:rsid w:val="00994100"/>
    <w:rsid w:val="009A04B7"/>
    <w:rsid w:val="009A6B17"/>
    <w:rsid w:val="009B052E"/>
    <w:rsid w:val="009B056B"/>
    <w:rsid w:val="009B4E00"/>
    <w:rsid w:val="009D4C29"/>
    <w:rsid w:val="009E58E9"/>
    <w:rsid w:val="009E6803"/>
    <w:rsid w:val="009F6AD2"/>
    <w:rsid w:val="009F7C1B"/>
    <w:rsid w:val="00A00B5B"/>
    <w:rsid w:val="00A00D8D"/>
    <w:rsid w:val="00A01BB6"/>
    <w:rsid w:val="00A108A7"/>
    <w:rsid w:val="00A228DA"/>
    <w:rsid w:val="00A22B28"/>
    <w:rsid w:val="00A3351E"/>
    <w:rsid w:val="00A41D36"/>
    <w:rsid w:val="00A4303C"/>
    <w:rsid w:val="00A46CAF"/>
    <w:rsid w:val="00A470FD"/>
    <w:rsid w:val="00A50B5E"/>
    <w:rsid w:val="00A62DAB"/>
    <w:rsid w:val="00A6757A"/>
    <w:rsid w:val="00A726A6"/>
    <w:rsid w:val="00A74842"/>
    <w:rsid w:val="00A77ECE"/>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173A9"/>
    <w:rsid w:val="00B209C7"/>
    <w:rsid w:val="00B26480"/>
    <w:rsid w:val="00B266E9"/>
    <w:rsid w:val="00B26C46"/>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1A4F"/>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27E91"/>
    <w:rsid w:val="00C30A4E"/>
    <w:rsid w:val="00C35047"/>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97979"/>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3B80"/>
    <w:rsid w:val="00DA3BD2"/>
    <w:rsid w:val="00DA4EDD"/>
    <w:rsid w:val="00DA6B78"/>
    <w:rsid w:val="00DB122B"/>
    <w:rsid w:val="00DC1D94"/>
    <w:rsid w:val="00DC42CF"/>
    <w:rsid w:val="00DC738A"/>
    <w:rsid w:val="00DD382A"/>
    <w:rsid w:val="00DD592E"/>
    <w:rsid w:val="00DD6FFC"/>
    <w:rsid w:val="00DE057F"/>
    <w:rsid w:val="00DE2082"/>
    <w:rsid w:val="00DE2289"/>
    <w:rsid w:val="00DF09A7"/>
    <w:rsid w:val="00DF2B51"/>
    <w:rsid w:val="00E001D6"/>
    <w:rsid w:val="00E03A76"/>
    <w:rsid w:val="00E04410"/>
    <w:rsid w:val="00E07484"/>
    <w:rsid w:val="00E11351"/>
    <w:rsid w:val="00E27243"/>
    <w:rsid w:val="00E33F44"/>
    <w:rsid w:val="00E37D48"/>
    <w:rsid w:val="00E4225C"/>
    <w:rsid w:val="00E44879"/>
    <w:rsid w:val="00E72914"/>
    <w:rsid w:val="00E75AE0"/>
    <w:rsid w:val="00E81133"/>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5536"/>
    <w:rsid w:val="00F277B6"/>
    <w:rsid w:val="00F27DA5"/>
    <w:rsid w:val="00F37E07"/>
    <w:rsid w:val="00F4182A"/>
    <w:rsid w:val="00F464ED"/>
    <w:rsid w:val="00F54380"/>
    <w:rsid w:val="00F54B47"/>
    <w:rsid w:val="00F61247"/>
    <w:rsid w:val="00F61F61"/>
    <w:rsid w:val="00F63191"/>
    <w:rsid w:val="00F6702E"/>
    <w:rsid w:val="00F70E84"/>
    <w:rsid w:val="00F80685"/>
    <w:rsid w:val="00F90466"/>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18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0A19D2"/>
    <w:pPr>
      <w:jc w:val="center"/>
    </w:pPr>
    <w:rPr>
      <w:rFonts w:ascii="Arial" w:hAnsi="Arial"/>
      <w:b/>
    </w:rPr>
  </w:style>
  <w:style w:type="paragraph" w:customStyle="1" w:styleId="IssueHeading">
    <w:name w:val="Issue Heading"/>
    <w:basedOn w:val="Heading1"/>
    <w:next w:val="BodyText"/>
    <w:link w:val="IssueHeadingChar"/>
    <w:qFormat/>
    <w:rsid w:val="000A19D2"/>
    <w:pPr>
      <w:keepNext w:val="0"/>
    </w:pPr>
    <w:rPr>
      <w:rFonts w:ascii="Arial" w:hAnsi="Arial"/>
      <w:b/>
      <w:i/>
    </w:rPr>
  </w:style>
  <w:style w:type="character" w:customStyle="1" w:styleId="IssueHeadingChar">
    <w:name w:val="Issue Heading Char"/>
    <w:link w:val="IssueHeading"/>
    <w:rsid w:val="000A19D2"/>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0A19D2"/>
    <w:pPr>
      <w:keepNext w:val="0"/>
    </w:pPr>
    <w:rPr>
      <w:rFonts w:ascii="Arial" w:hAnsi="Arial"/>
      <w:b/>
      <w:i/>
    </w:rPr>
  </w:style>
  <w:style w:type="character" w:customStyle="1" w:styleId="IssueSubsectionHeadingChar">
    <w:name w:val="Issue Subsection Heading Char"/>
    <w:link w:val="IssueSubsectionHeading"/>
    <w:rsid w:val="000A19D2"/>
    <w:rPr>
      <w:rFonts w:ascii="Arial" w:hAnsi="Arial" w:cs="Arial"/>
      <w:b/>
      <w:bCs/>
      <w:i/>
      <w:iCs/>
      <w:sz w:val="24"/>
      <w:szCs w:val="28"/>
    </w:rPr>
  </w:style>
  <w:style w:type="character" w:styleId="CommentReference">
    <w:name w:val="annotation reference"/>
    <w:basedOn w:val="DefaultParagraphFont"/>
    <w:semiHidden/>
    <w:unhideWhenUsed/>
    <w:rsid w:val="006D07C3"/>
    <w:rPr>
      <w:sz w:val="16"/>
      <w:szCs w:val="16"/>
    </w:rPr>
  </w:style>
  <w:style w:type="paragraph" w:styleId="CommentText">
    <w:name w:val="annotation text"/>
    <w:basedOn w:val="Normal"/>
    <w:link w:val="CommentTextChar"/>
    <w:semiHidden/>
    <w:unhideWhenUsed/>
    <w:rsid w:val="006D07C3"/>
    <w:rPr>
      <w:sz w:val="20"/>
      <w:szCs w:val="20"/>
    </w:rPr>
  </w:style>
  <w:style w:type="character" w:customStyle="1" w:styleId="CommentTextChar">
    <w:name w:val="Comment Text Char"/>
    <w:basedOn w:val="DefaultParagraphFont"/>
    <w:link w:val="CommentText"/>
    <w:semiHidden/>
    <w:rsid w:val="006D07C3"/>
  </w:style>
  <w:style w:type="paragraph" w:styleId="CommentSubject">
    <w:name w:val="annotation subject"/>
    <w:basedOn w:val="CommentText"/>
    <w:next w:val="CommentText"/>
    <w:link w:val="CommentSubjectChar"/>
    <w:semiHidden/>
    <w:unhideWhenUsed/>
    <w:rsid w:val="006D07C3"/>
    <w:rPr>
      <w:b/>
      <w:bCs/>
    </w:rPr>
  </w:style>
  <w:style w:type="character" w:customStyle="1" w:styleId="CommentSubjectChar">
    <w:name w:val="Comment Subject Char"/>
    <w:basedOn w:val="CommentTextChar"/>
    <w:link w:val="CommentSubject"/>
    <w:semiHidden/>
    <w:rsid w:val="006D07C3"/>
    <w:rPr>
      <w:b/>
      <w:bCs/>
    </w:rPr>
  </w:style>
  <w:style w:type="paragraph" w:styleId="BalloonText">
    <w:name w:val="Balloon Text"/>
    <w:basedOn w:val="Normal"/>
    <w:link w:val="BalloonTextChar"/>
    <w:semiHidden/>
    <w:unhideWhenUsed/>
    <w:rsid w:val="006D07C3"/>
    <w:rPr>
      <w:rFonts w:ascii="Segoe UI" w:hAnsi="Segoe UI" w:cs="Segoe UI"/>
      <w:sz w:val="18"/>
      <w:szCs w:val="18"/>
    </w:rPr>
  </w:style>
  <w:style w:type="character" w:customStyle="1" w:styleId="BalloonTextChar">
    <w:name w:val="Balloon Text Char"/>
    <w:basedOn w:val="DefaultParagraphFont"/>
    <w:link w:val="BalloonText"/>
    <w:semiHidden/>
    <w:rsid w:val="006D07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E0ABB-BB9B-4281-9E3E-005757733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2024-10-18T15:34:00Z</dcterms:created>
  <dcterms:modified xsi:type="dcterms:W3CDTF">2024-10-18T16:25:00Z</dcterms:modified>
</cp:coreProperties>
</file>