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21ABE" w:rsidP="00B21ABE">
      <w:pPr>
        <w:pStyle w:val="OrderHeading"/>
      </w:pPr>
      <w:r>
        <w:t>BEFORE THE FLORIDA PUBLIC SERVICE COMMISSION</w:t>
      </w:r>
    </w:p>
    <w:p w:rsidR="00B21ABE" w:rsidRDefault="00B21ABE" w:rsidP="00B21ABE">
      <w:pPr>
        <w:pStyle w:val="OrderBody"/>
      </w:pPr>
    </w:p>
    <w:p w:rsidR="00B21ABE" w:rsidRDefault="00B21ABE" w:rsidP="00B21A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1ABE" w:rsidRPr="00C63FCF" w:rsidTr="004814F5">
        <w:trPr>
          <w:trHeight w:val="828"/>
        </w:trPr>
        <w:tc>
          <w:tcPr>
            <w:tcW w:w="4788" w:type="dxa"/>
            <w:tcBorders>
              <w:bottom w:val="single" w:sz="8" w:space="0" w:color="auto"/>
              <w:right w:val="double" w:sz="6" w:space="0" w:color="auto"/>
            </w:tcBorders>
            <w:shd w:val="clear" w:color="auto" w:fill="auto"/>
          </w:tcPr>
          <w:p w:rsidR="00B21ABE" w:rsidRDefault="00B21ABE" w:rsidP="004814F5">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1ABE" w:rsidRDefault="00B21ABE" w:rsidP="00B21ABE">
            <w:pPr>
              <w:pStyle w:val="OrderBody"/>
            </w:pPr>
            <w:r>
              <w:t xml:space="preserve">DOCKET NO. </w:t>
            </w:r>
            <w:bookmarkStart w:id="1" w:name="SSDocketNo"/>
            <w:bookmarkEnd w:id="1"/>
            <w:r>
              <w:t>20240001-EI</w:t>
            </w:r>
          </w:p>
          <w:p w:rsidR="00B21ABE" w:rsidRDefault="00B21ABE" w:rsidP="004814F5">
            <w:pPr>
              <w:pStyle w:val="OrderBody"/>
              <w:tabs>
                <w:tab w:val="center" w:pos="4320"/>
                <w:tab w:val="right" w:pos="8640"/>
              </w:tabs>
              <w:jc w:val="left"/>
            </w:pPr>
            <w:r>
              <w:t xml:space="preserve">ORDER NO. </w:t>
            </w:r>
            <w:r w:rsidR="00B926D5">
              <w:t>PSC-2024-0465-PHO-EI</w:t>
            </w:r>
          </w:p>
          <w:p w:rsidR="00B21ABE" w:rsidRDefault="00B21ABE" w:rsidP="004814F5">
            <w:pPr>
              <w:pStyle w:val="OrderBody"/>
              <w:tabs>
                <w:tab w:val="center" w:pos="4320"/>
                <w:tab w:val="right" w:pos="8640"/>
              </w:tabs>
              <w:jc w:val="left"/>
            </w:pPr>
            <w:r>
              <w:t xml:space="preserve">ISSUED: </w:t>
            </w:r>
            <w:r w:rsidR="00D177E1">
              <w:t>October 31, 2024</w:t>
            </w:r>
          </w:p>
        </w:tc>
      </w:tr>
    </w:tbl>
    <w:p w:rsidR="00B21ABE" w:rsidRDefault="00B21ABE" w:rsidP="00B21ABE"/>
    <w:p w:rsidR="00CB5276" w:rsidRDefault="00B21ABE" w:rsidP="00B21ABE">
      <w:pPr>
        <w:pStyle w:val="CenterUnderline"/>
      </w:pPr>
      <w:bookmarkStart w:id="2" w:name="Commissioners"/>
      <w:bookmarkStart w:id="3" w:name="OrderTitle"/>
      <w:bookmarkEnd w:id="2"/>
      <w:r>
        <w:t xml:space="preserve">PREHEARING ORDER </w:t>
      </w:r>
      <w:bookmarkEnd w:id="3"/>
    </w:p>
    <w:p w:rsidR="00B21ABE" w:rsidRDefault="00B21ABE" w:rsidP="00B21ABE">
      <w:pPr>
        <w:pStyle w:val="CenterUnderline"/>
      </w:pPr>
    </w:p>
    <w:p w:rsidR="00B21ABE" w:rsidRPr="00701945" w:rsidRDefault="00B21ABE" w:rsidP="00B21ABE">
      <w:pPr>
        <w:ind w:firstLine="720"/>
        <w:jc w:val="both"/>
      </w:pPr>
      <w:bookmarkStart w:id="4" w:name="OrderText"/>
      <w:bookmarkEnd w:id="4"/>
      <w:r w:rsidRPr="00701945">
        <w:t xml:space="preserve">Pursuant to Notice and in accordance with Rule 28-106.209, </w:t>
      </w:r>
      <w:r>
        <w:t>Florida Administrative Code (F.A.C.)</w:t>
      </w:r>
      <w:r w:rsidRPr="00701945">
        <w:t xml:space="preserve">, a Prehearing Conference was held on </w:t>
      </w:r>
      <w:r>
        <w:t>October 24, 2024</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Gabriella Passidomo</w:t>
      </w:r>
      <w:r w:rsidRPr="00701945">
        <w:t>, as Prehearing Officer.</w:t>
      </w:r>
    </w:p>
    <w:p w:rsidR="00B21ABE" w:rsidRPr="00701945" w:rsidRDefault="00B21ABE" w:rsidP="00B21ABE">
      <w:pPr>
        <w:jc w:val="both"/>
      </w:pPr>
    </w:p>
    <w:p w:rsidR="00B21ABE" w:rsidRPr="00701945" w:rsidRDefault="00B21ABE" w:rsidP="00B21ABE">
      <w:pPr>
        <w:jc w:val="both"/>
      </w:pPr>
      <w:r w:rsidRPr="00701945">
        <w:t>APPEARANCES:</w:t>
      </w:r>
    </w:p>
    <w:p w:rsidR="00B21ABE" w:rsidRDefault="00B21ABE" w:rsidP="00B21ABE">
      <w:pPr>
        <w:jc w:val="both"/>
      </w:pPr>
    </w:p>
    <w:p w:rsidR="00177555" w:rsidRDefault="00177555" w:rsidP="00177555">
      <w:pPr>
        <w:ind w:left="1440"/>
        <w:jc w:val="both"/>
      </w:pPr>
      <w:r w:rsidRPr="00503582">
        <w:t>MATTHEW BERNIER</w:t>
      </w:r>
      <w:r>
        <w:t>, and STEPHANIE CUELLO</w:t>
      </w:r>
      <w:r w:rsidRPr="00503582">
        <w:t xml:space="preserve">, </w:t>
      </w:r>
      <w:r>
        <w:t xml:space="preserve">ESQUIRES, </w:t>
      </w:r>
      <w:r w:rsidRPr="00503582">
        <w:t xml:space="preserve">106 East College Avenue, </w:t>
      </w:r>
      <w:r>
        <w:t xml:space="preserve">Suite 800, </w:t>
      </w:r>
      <w:r w:rsidRPr="00503582">
        <w:t>Tallahassee, Florida 32301-7740</w:t>
      </w:r>
      <w:r>
        <w:t xml:space="preserve">; and </w:t>
      </w:r>
      <w:r w:rsidRPr="00503582">
        <w:t>DIANNE M. TRIPLETT,</w:t>
      </w:r>
      <w:r>
        <w:t xml:space="preserve"> ESQUIRE</w:t>
      </w:r>
      <w:r w:rsidRPr="00503582">
        <w:t>,</w:t>
      </w:r>
      <w:r>
        <w:t xml:space="preserve"> 299 First Avenue North, St. Petersburg, Florida 33701</w:t>
      </w:r>
    </w:p>
    <w:p w:rsidR="00177555" w:rsidRPr="00E06FF8" w:rsidRDefault="00177555" w:rsidP="00177555">
      <w:pPr>
        <w:ind w:left="720" w:firstLine="720"/>
        <w:jc w:val="both"/>
      </w:pPr>
      <w:r w:rsidRPr="00503582">
        <w:rPr>
          <w:u w:val="single"/>
        </w:rPr>
        <w:t>On beh</w:t>
      </w:r>
      <w:r>
        <w:rPr>
          <w:u w:val="single"/>
        </w:rPr>
        <w:t>alf of Duke Energy Florida, LLC</w:t>
      </w:r>
      <w:r w:rsidRPr="00503582">
        <w:rPr>
          <w:u w:val="single"/>
        </w:rPr>
        <w:t xml:space="preserve"> (DEF)</w:t>
      </w:r>
      <w:r w:rsidR="00E06FF8">
        <w:t>.</w:t>
      </w:r>
    </w:p>
    <w:p w:rsidR="00177555" w:rsidRDefault="00177555" w:rsidP="00177555">
      <w:pPr>
        <w:ind w:left="720" w:firstLine="720"/>
        <w:jc w:val="both"/>
        <w:rPr>
          <w:u w:val="single"/>
        </w:rPr>
      </w:pPr>
    </w:p>
    <w:p w:rsidR="00177555" w:rsidRPr="00503582" w:rsidRDefault="00177555" w:rsidP="00177555">
      <w:pPr>
        <w:ind w:left="1440"/>
        <w:jc w:val="both"/>
      </w:pPr>
      <w:r w:rsidRPr="00503582">
        <w:t>MARIA J</w:t>
      </w:r>
      <w:r>
        <w:t>OSE</w:t>
      </w:r>
      <w:r w:rsidRPr="00503582">
        <w:t xml:space="preserve"> MONCADA</w:t>
      </w:r>
      <w:r>
        <w:t xml:space="preserve">, </w:t>
      </w:r>
      <w:r w:rsidR="000E6EC8">
        <w:t xml:space="preserve">WILLIAM P. COX, </w:t>
      </w:r>
      <w:r>
        <w:t xml:space="preserve">and DAVID M. LEE, </w:t>
      </w:r>
      <w:r w:rsidRPr="00503582">
        <w:t>ESQUIRE</w:t>
      </w:r>
      <w:r>
        <w:t>S</w:t>
      </w:r>
      <w:r w:rsidRPr="00503582">
        <w:t>, Florida Power &amp; Light Company, 700 Universe Boulevard, Juno Beach, Florida 33408-0420</w:t>
      </w:r>
    </w:p>
    <w:p w:rsidR="00177555" w:rsidRPr="00E06FF8" w:rsidRDefault="00177555" w:rsidP="00177555">
      <w:pPr>
        <w:ind w:left="720" w:firstLine="720"/>
      </w:pPr>
      <w:r w:rsidRPr="00503582">
        <w:rPr>
          <w:u w:val="single"/>
        </w:rPr>
        <w:t>On behalf of Florida Power &amp; Light Company (FPL)</w:t>
      </w:r>
      <w:r w:rsidR="00E06FF8">
        <w:t>.</w:t>
      </w:r>
    </w:p>
    <w:p w:rsidR="00177555" w:rsidRDefault="00177555" w:rsidP="00177555">
      <w:pPr>
        <w:ind w:left="720" w:firstLine="720"/>
        <w:rPr>
          <w:u w:val="single"/>
        </w:rPr>
      </w:pPr>
    </w:p>
    <w:p w:rsidR="00177555" w:rsidRPr="00503582" w:rsidRDefault="00177555" w:rsidP="00177555">
      <w:pPr>
        <w:ind w:left="1440"/>
        <w:jc w:val="both"/>
      </w:pPr>
      <w:r w:rsidRPr="00503582">
        <w:t>BETH KEATING, ESQUIRE, Gunster, Yoakley &amp; Stewart, P.A., 215 South Monroe St., Suite 601, Tallahassee, Florida 32301</w:t>
      </w:r>
    </w:p>
    <w:p w:rsidR="00177555" w:rsidRPr="00E06FF8" w:rsidRDefault="00177555" w:rsidP="00177555">
      <w:pPr>
        <w:ind w:left="720" w:firstLine="720"/>
      </w:pPr>
      <w:r w:rsidRPr="00503582">
        <w:rPr>
          <w:u w:val="single"/>
        </w:rPr>
        <w:t>On behalf of Florida Public Utilities Company (FPUC)</w:t>
      </w:r>
      <w:r w:rsidR="00E06FF8">
        <w:t>.</w:t>
      </w:r>
    </w:p>
    <w:p w:rsidR="00177555" w:rsidRDefault="00177555" w:rsidP="00177555">
      <w:pPr>
        <w:ind w:left="720" w:firstLine="720"/>
        <w:rPr>
          <w:u w:val="single"/>
        </w:rPr>
      </w:pPr>
    </w:p>
    <w:p w:rsidR="00177555" w:rsidRPr="00503582" w:rsidRDefault="00177555" w:rsidP="00177555">
      <w:pPr>
        <w:ind w:left="1440"/>
        <w:jc w:val="both"/>
        <w:rPr>
          <w:rFonts w:cs="Arial"/>
          <w:spacing w:val="-3"/>
        </w:rPr>
      </w:pPr>
      <w:r>
        <w:rPr>
          <w:rFonts w:cs="Arial"/>
          <w:spacing w:val="-3"/>
        </w:rPr>
        <w:t xml:space="preserve">MALCOLM N. MEANS, </w:t>
      </w:r>
      <w:r w:rsidRPr="00503582">
        <w:rPr>
          <w:rFonts w:cs="Arial"/>
          <w:spacing w:val="-3"/>
        </w:rPr>
        <w:t>J. JEFFRY WAHLEN</w:t>
      </w:r>
      <w:r>
        <w:rPr>
          <w:rFonts w:cs="Arial"/>
          <w:spacing w:val="-3"/>
        </w:rPr>
        <w:t xml:space="preserve">, and VIRGINIA PONDER, </w:t>
      </w:r>
      <w:r w:rsidRPr="00503582">
        <w:rPr>
          <w:rFonts w:cs="Arial"/>
          <w:spacing w:val="-3"/>
        </w:rPr>
        <w:t>ESQUIRES, Ausley McMullen, Post Office Box 391, Tallahassee, Florida 32302</w:t>
      </w:r>
    </w:p>
    <w:p w:rsidR="00177555" w:rsidRPr="00E06FF8" w:rsidRDefault="00177555" w:rsidP="00177555">
      <w:pPr>
        <w:ind w:left="720" w:firstLine="720"/>
        <w:rPr>
          <w:rFonts w:cs="Arial"/>
          <w:spacing w:val="-3"/>
        </w:rPr>
      </w:pPr>
      <w:r w:rsidRPr="00503582">
        <w:rPr>
          <w:rFonts w:cs="Arial"/>
          <w:spacing w:val="-3"/>
          <w:u w:val="single"/>
        </w:rPr>
        <w:t>On behalf of Tampa Electric Company (TECO)</w:t>
      </w:r>
      <w:r w:rsidR="00E06FF8">
        <w:rPr>
          <w:rFonts w:cs="Arial"/>
          <w:spacing w:val="-3"/>
        </w:rPr>
        <w:t>.</w:t>
      </w:r>
    </w:p>
    <w:p w:rsidR="00177555" w:rsidRDefault="00177555" w:rsidP="00177555">
      <w:pPr>
        <w:ind w:left="720" w:firstLine="720"/>
        <w:rPr>
          <w:rFonts w:cs="Arial"/>
          <w:spacing w:val="-3"/>
          <w:u w:val="single"/>
        </w:rPr>
      </w:pPr>
    </w:p>
    <w:p w:rsidR="00177555" w:rsidRPr="00503582" w:rsidRDefault="00177555" w:rsidP="00177555">
      <w:pPr>
        <w:ind w:left="1440"/>
        <w:jc w:val="both"/>
      </w:pPr>
      <w:r>
        <w:rPr>
          <w:rFonts w:cs="Arial"/>
          <w:spacing w:val="-3"/>
        </w:rPr>
        <w:t>WALT TRIERWEILER</w:t>
      </w:r>
      <w:r w:rsidRPr="00503582">
        <w:rPr>
          <w:rFonts w:cs="Arial"/>
          <w:spacing w:val="-3"/>
        </w:rPr>
        <w:t>,</w:t>
      </w:r>
      <w:r>
        <w:rPr>
          <w:rFonts w:cs="Arial"/>
          <w:spacing w:val="-3"/>
        </w:rPr>
        <w:t xml:space="preserve"> </w:t>
      </w:r>
      <w:r w:rsidRPr="00503582">
        <w:t>CHARLES REHWINKEL</w:t>
      </w:r>
      <w:r>
        <w:t xml:space="preserve">, </w:t>
      </w:r>
      <w:r w:rsidRPr="004A6555">
        <w:t>PATRICIA A. CHRISTENSEN</w:t>
      </w:r>
      <w:r>
        <w:t xml:space="preserve">, MARY WESSLING, OCTAVIO SIMOES-PONCE, and AUSTIN WATROUS, </w:t>
      </w:r>
      <w:r w:rsidRPr="00503582">
        <w:t>ESQUIRES, Office of Public Counsel, c/o The Florida Legislature, 111 West Madison Street, Room 812, Tallahassee, Florida 32399-1400</w:t>
      </w:r>
    </w:p>
    <w:p w:rsidR="00177555" w:rsidRPr="00E06FF8" w:rsidRDefault="00177555" w:rsidP="00177555">
      <w:pPr>
        <w:ind w:left="720" w:firstLine="720"/>
      </w:pPr>
      <w:r w:rsidRPr="00503582">
        <w:rPr>
          <w:u w:val="single"/>
        </w:rPr>
        <w:t>On behalf of the Citizens of the State of Florida (OPC)</w:t>
      </w:r>
      <w:r w:rsidR="00E06FF8">
        <w:t>.</w:t>
      </w:r>
    </w:p>
    <w:p w:rsidR="00177555" w:rsidRDefault="00177555" w:rsidP="00177555">
      <w:pPr>
        <w:ind w:left="720" w:firstLine="720"/>
        <w:rPr>
          <w:u w:val="single"/>
        </w:rPr>
      </w:pPr>
    </w:p>
    <w:p w:rsidR="00177555" w:rsidRPr="00503582" w:rsidRDefault="00177555" w:rsidP="00177555">
      <w:pPr>
        <w:ind w:left="1440"/>
        <w:jc w:val="both"/>
        <w:rPr>
          <w:bCs/>
        </w:rPr>
      </w:pPr>
      <w:r>
        <w:rPr>
          <w:bCs/>
        </w:rPr>
        <w:t xml:space="preserve">JON C. MOYLE, JR., and KAREN A. PUTNAL, </w:t>
      </w:r>
      <w:r w:rsidRPr="00503582">
        <w:rPr>
          <w:bCs/>
        </w:rPr>
        <w:t>ESQUIRE</w:t>
      </w:r>
      <w:r>
        <w:rPr>
          <w:bCs/>
        </w:rPr>
        <w:t>S</w:t>
      </w:r>
      <w:r w:rsidRPr="00503582">
        <w:rPr>
          <w:bCs/>
        </w:rPr>
        <w:t>, Moyle Law Firm, PA, The Perkins House, 118 North Gadsden Street, Tallahassee, Florida 32301</w:t>
      </w:r>
    </w:p>
    <w:p w:rsidR="00177555" w:rsidRPr="00E06FF8" w:rsidRDefault="00177555" w:rsidP="00177555">
      <w:pPr>
        <w:ind w:left="720" w:firstLine="720"/>
      </w:pPr>
      <w:r w:rsidRPr="00503582">
        <w:rPr>
          <w:bCs/>
          <w:u w:val="single"/>
        </w:rPr>
        <w:t>On behalf of the Florida Industrial Power Users Group (FIPUG)</w:t>
      </w:r>
      <w:r w:rsidR="00E06FF8">
        <w:rPr>
          <w:bCs/>
        </w:rPr>
        <w:t>.</w:t>
      </w:r>
    </w:p>
    <w:p w:rsidR="00177555" w:rsidRDefault="00177555" w:rsidP="00177555">
      <w:pPr>
        <w:ind w:left="720" w:firstLine="720"/>
        <w:rPr>
          <w:rFonts w:cs="Arial"/>
          <w:spacing w:val="-3"/>
          <w:u w:val="single"/>
        </w:rPr>
      </w:pPr>
    </w:p>
    <w:p w:rsidR="00DC1EA8" w:rsidRDefault="00DC1EA8" w:rsidP="00DC1EA8">
      <w:pPr>
        <w:ind w:left="1440"/>
        <w:jc w:val="both"/>
      </w:pPr>
      <w:r>
        <w:lastRenderedPageBreak/>
        <w:t>ROBERT SCHEFFEL WRIGHT and JOHN T. LAVIA, III, ESQUIRES, Gardner Bist, Bowden, Dee, LaVia, Wright, Perry, and Harper, PA., 1300 Thomaswood Drive, Tallahassee, Florida 32308</w:t>
      </w:r>
    </w:p>
    <w:p w:rsidR="00DC1EA8" w:rsidRPr="00E06FF8" w:rsidRDefault="00DC1EA8" w:rsidP="00DC1EA8">
      <w:pPr>
        <w:ind w:left="720" w:firstLine="720"/>
      </w:pPr>
      <w:r>
        <w:rPr>
          <w:u w:val="single"/>
        </w:rPr>
        <w:t>On behalf of Florida Retail Federation (FRF)</w:t>
      </w:r>
      <w:r w:rsidR="00E06FF8">
        <w:t>.</w:t>
      </w:r>
    </w:p>
    <w:p w:rsidR="00DC1EA8" w:rsidRDefault="00DC1EA8" w:rsidP="00DC1EA8">
      <w:pPr>
        <w:ind w:left="720" w:firstLine="720"/>
        <w:rPr>
          <w:u w:val="single"/>
        </w:rPr>
      </w:pPr>
    </w:p>
    <w:p w:rsidR="00DC1EA8" w:rsidRPr="00503582" w:rsidRDefault="00DC1EA8" w:rsidP="00DC1EA8">
      <w:pPr>
        <w:ind w:left="1440"/>
        <w:jc w:val="both"/>
      </w:pPr>
      <w:r w:rsidRPr="00503582">
        <w:t>JAMES W. BREW</w:t>
      </w:r>
      <w:r>
        <w:rPr>
          <w:caps/>
        </w:rPr>
        <w:t xml:space="preserve">, </w:t>
      </w:r>
      <w:r w:rsidRPr="00503582">
        <w:t>LAURA WYNN</w:t>
      </w:r>
      <w:r>
        <w:t xml:space="preserve"> BAKER</w:t>
      </w:r>
      <w:r w:rsidRPr="00503582">
        <w:t xml:space="preserve">, </w:t>
      </w:r>
      <w:r>
        <w:t xml:space="preserve">and SARAH B. NEWMAN, </w:t>
      </w:r>
      <w:r w:rsidRPr="00503582">
        <w:t>ESQUIRES, Stone Mattheis Xenopoulos &amp; Brew, PC, 1025 Thomas Jefferson St., NW, Eighth Floor, West Tower, Washington, DC 20007</w:t>
      </w:r>
    </w:p>
    <w:p w:rsidR="00DC1EA8" w:rsidRPr="00E06FF8" w:rsidRDefault="00DC1EA8" w:rsidP="00DC1EA8">
      <w:pPr>
        <w:ind w:left="1440"/>
      </w:pPr>
      <w:r w:rsidRPr="00503582">
        <w:rPr>
          <w:u w:val="single"/>
        </w:rPr>
        <w:t>On behalf of White Springs Agricultural Chemicals, Inc. d/b/a PCS Phosphate – White Springs (PCS Phosphate)</w:t>
      </w:r>
      <w:r w:rsidR="00E06FF8">
        <w:t>.</w:t>
      </w:r>
    </w:p>
    <w:p w:rsidR="00DC1EA8" w:rsidRDefault="00DC1EA8" w:rsidP="00DC1EA8">
      <w:pPr>
        <w:ind w:left="720" w:firstLine="720"/>
        <w:rPr>
          <w:rFonts w:cs="Arial"/>
          <w:spacing w:val="-3"/>
          <w:u w:val="single"/>
        </w:rPr>
      </w:pPr>
    </w:p>
    <w:p w:rsidR="00DC1EA8" w:rsidRPr="00503582" w:rsidRDefault="00DC1EA8" w:rsidP="00DC1EA8">
      <w:pPr>
        <w:ind w:left="1440"/>
        <w:jc w:val="both"/>
      </w:pPr>
      <w:r>
        <w:t xml:space="preserve">PETER J. MATTHEIS, MICHAEL K. LAVANGA, and JOSEPH R. BRISCAR, ESQUIRES, </w:t>
      </w:r>
      <w:r w:rsidRPr="00503582">
        <w:t>Stone Mattheis Xenopoulos &amp; Brew, PC, 1025 Thomas Jefferson St., NW, Eighth Floor, West Tower, Washington, DC 20007</w:t>
      </w:r>
    </w:p>
    <w:p w:rsidR="00177555" w:rsidRPr="00E06FF8" w:rsidRDefault="00DC1EA8" w:rsidP="00DC1EA8">
      <w:pPr>
        <w:ind w:left="720" w:firstLine="720"/>
      </w:pPr>
      <w:r w:rsidRPr="00503582">
        <w:rPr>
          <w:u w:val="single"/>
        </w:rPr>
        <w:t>On behalf of</w:t>
      </w:r>
      <w:r>
        <w:rPr>
          <w:u w:val="single"/>
        </w:rPr>
        <w:t xml:space="preserve"> Nucor Steel Florida, Inc. (NUCOR)</w:t>
      </w:r>
      <w:r w:rsidR="00E06FF8">
        <w:t>.</w:t>
      </w:r>
    </w:p>
    <w:p w:rsidR="00177555" w:rsidRDefault="00177555" w:rsidP="00177555">
      <w:pPr>
        <w:ind w:left="720" w:firstLine="720"/>
        <w:rPr>
          <w:u w:val="single"/>
        </w:rPr>
      </w:pPr>
    </w:p>
    <w:p w:rsidR="00B21ABE" w:rsidRPr="00701945" w:rsidRDefault="00DC1EA8" w:rsidP="00B21ABE">
      <w:pPr>
        <w:ind w:left="1440"/>
        <w:jc w:val="both"/>
      </w:pPr>
      <w:r>
        <w:t>SUZANNE BROWNLESS, and RYAN SANDY</w:t>
      </w:r>
      <w:r w:rsidR="00B21ABE" w:rsidRPr="00701945">
        <w:t>, ESQUIRE</w:t>
      </w:r>
      <w:r>
        <w:t>S</w:t>
      </w:r>
      <w:r w:rsidR="00B21ABE" w:rsidRPr="00701945">
        <w:t xml:space="preserve">, </w:t>
      </w:r>
      <w:smartTag w:uri="urn:schemas-microsoft-com:office:smarttags" w:element="State">
        <w:smartTag w:uri="urn:schemas-microsoft-com:office:smarttags" w:element="place">
          <w:r w:rsidR="00B21ABE" w:rsidRPr="00701945">
            <w:t>Florida</w:t>
          </w:r>
        </w:smartTag>
      </w:smartTag>
      <w:r w:rsidR="00B21ABE" w:rsidRPr="00701945">
        <w:t xml:space="preserve"> Public Service Commission, </w:t>
      </w:r>
      <w:smartTag w:uri="urn:schemas-microsoft-com:office:smarttags" w:element="address">
        <w:smartTag w:uri="urn:schemas-microsoft-com:office:smarttags" w:element="Street">
          <w:r w:rsidR="00B21ABE" w:rsidRPr="00701945">
            <w:t>2540 Shumard Oak Boulevard</w:t>
          </w:r>
        </w:smartTag>
        <w:r w:rsidR="00B21ABE" w:rsidRPr="00701945">
          <w:t xml:space="preserve">, </w:t>
        </w:r>
        <w:smartTag w:uri="urn:schemas-microsoft-com:office:smarttags" w:element="City">
          <w:r w:rsidR="00B21ABE" w:rsidRPr="00701945">
            <w:t>Tallahassee</w:t>
          </w:r>
        </w:smartTag>
        <w:r w:rsidR="00B21ABE" w:rsidRPr="00701945">
          <w:t xml:space="preserve">, </w:t>
        </w:r>
        <w:smartTag w:uri="urn:schemas-microsoft-com:office:smarttags" w:element="State">
          <w:r w:rsidR="00B21ABE" w:rsidRPr="00701945">
            <w:t>Florida</w:t>
          </w:r>
        </w:smartTag>
        <w:r w:rsidR="00B21ABE" w:rsidRPr="00701945">
          <w:t xml:space="preserve"> </w:t>
        </w:r>
        <w:smartTag w:uri="urn:schemas-microsoft-com:office:smarttags" w:element="PostalCode">
          <w:r w:rsidR="00B21ABE" w:rsidRPr="00701945">
            <w:t>32399-0850</w:t>
          </w:r>
        </w:smartTag>
      </w:smartTag>
    </w:p>
    <w:p w:rsidR="00B21ABE" w:rsidRPr="00701945" w:rsidRDefault="00B21ABE" w:rsidP="00B21ABE">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B21ABE" w:rsidRPr="00701945" w:rsidRDefault="00B21ABE" w:rsidP="00B21ABE">
      <w:pPr>
        <w:jc w:val="both"/>
      </w:pPr>
    </w:p>
    <w:p w:rsidR="00B21ABE" w:rsidRPr="00701945" w:rsidRDefault="00B21ABE" w:rsidP="00B21ABE">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B21ABE" w:rsidRPr="00701945" w:rsidRDefault="00B21ABE" w:rsidP="00B21ABE">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B21ABE" w:rsidRPr="00701945" w:rsidRDefault="00B21ABE" w:rsidP="00B21ABE">
      <w:pPr>
        <w:jc w:val="center"/>
        <w:rPr>
          <w:b/>
          <w:bCs/>
          <w:u w:val="single"/>
        </w:rPr>
      </w:pPr>
    </w:p>
    <w:p w:rsidR="00B21ABE" w:rsidRPr="00D033EB" w:rsidRDefault="00B21ABE" w:rsidP="00B21ABE">
      <w:pPr>
        <w:ind w:left="1440"/>
        <w:jc w:val="both"/>
      </w:pPr>
      <w:r w:rsidRPr="00D033EB">
        <w:t>K</w:t>
      </w:r>
      <w:r>
        <w:t>EITH C. HETRICK</w:t>
      </w:r>
      <w:r w:rsidRPr="00D033EB">
        <w:t>, ESQUIRE, General Counsel, Florida Public Service Commission, 2540 Shumard Oak Boulevard, Tallahassee, Florida 32399-0850</w:t>
      </w:r>
    </w:p>
    <w:p w:rsidR="00B21ABE" w:rsidRPr="00E06FF8" w:rsidRDefault="00B21ABE" w:rsidP="00B21ABE">
      <w:pPr>
        <w:ind w:left="720" w:firstLine="720"/>
        <w:jc w:val="both"/>
      </w:pPr>
      <w:r w:rsidRPr="00D033EB">
        <w:rPr>
          <w:u w:val="single"/>
        </w:rPr>
        <w:t>Florida Public Service Commission General Counsel</w:t>
      </w:r>
      <w:r w:rsidR="00E06FF8">
        <w:t>.</w:t>
      </w:r>
    </w:p>
    <w:p w:rsidR="00B21ABE" w:rsidRPr="00D033EB" w:rsidRDefault="00B21ABE" w:rsidP="00B21ABE">
      <w:pPr>
        <w:ind w:left="720" w:firstLine="720"/>
        <w:jc w:val="both"/>
      </w:pPr>
    </w:p>
    <w:p w:rsidR="00B21ABE" w:rsidRDefault="00B21ABE" w:rsidP="00B21ABE">
      <w:pPr>
        <w:jc w:val="both"/>
      </w:pPr>
    </w:p>
    <w:p w:rsidR="00B21ABE" w:rsidRPr="00A32DC5" w:rsidRDefault="00B21ABE" w:rsidP="00B21ABE">
      <w:pPr>
        <w:jc w:val="both"/>
        <w:rPr>
          <w:b/>
        </w:rPr>
      </w:pPr>
      <w:r w:rsidRPr="00A32DC5">
        <w:rPr>
          <w:b/>
        </w:rPr>
        <w:t>I.</w:t>
      </w:r>
      <w:r w:rsidRPr="00A32DC5">
        <w:rPr>
          <w:b/>
        </w:rPr>
        <w:tab/>
      </w:r>
      <w:r w:rsidRPr="00A32DC5">
        <w:rPr>
          <w:b/>
          <w:u w:val="single"/>
        </w:rPr>
        <w:t>CASE BACKGROUND</w:t>
      </w:r>
    </w:p>
    <w:p w:rsidR="00B21ABE" w:rsidRPr="00701945" w:rsidRDefault="00B21ABE" w:rsidP="00B21ABE">
      <w:pPr>
        <w:jc w:val="both"/>
      </w:pPr>
    </w:p>
    <w:p w:rsidR="00B21ABE" w:rsidRDefault="00B21ABE" w:rsidP="00B21ABE">
      <w:pPr>
        <w:jc w:val="both"/>
      </w:pPr>
      <w:r>
        <w:tab/>
      </w:r>
      <w:r w:rsidR="00246834" w:rsidRPr="00440FD7">
        <w:rPr>
          <w:rFonts w:ascii="TimesNewRomanPSMT" w:hAnsi="TimesNewRomanPSMT" w:cs="TimesNewRomanPSMT"/>
        </w:rPr>
        <w:t>As part of the continuing fuel and purchased power adjustment and generating performance</w:t>
      </w:r>
      <w:r w:rsidR="00246834">
        <w:rPr>
          <w:rFonts w:ascii="TimesNewRomanPSMT" w:hAnsi="TimesNewRomanPSMT" w:cs="TimesNewRomanPSMT"/>
        </w:rPr>
        <w:t xml:space="preserve"> </w:t>
      </w:r>
      <w:r w:rsidR="00246834" w:rsidRPr="00440FD7">
        <w:rPr>
          <w:rFonts w:ascii="TimesNewRomanPSMT" w:hAnsi="TimesNewRomanPSMT" w:cs="TimesNewRomanPSMT"/>
        </w:rPr>
        <w:t>incentive clause proceedings, an administrative hearing will be held by the Florida Public Service</w:t>
      </w:r>
      <w:r w:rsidR="00246834">
        <w:rPr>
          <w:rFonts w:ascii="TimesNewRomanPSMT" w:hAnsi="TimesNewRomanPSMT" w:cs="TimesNewRomanPSMT"/>
        </w:rPr>
        <w:t xml:space="preserve"> </w:t>
      </w:r>
      <w:r w:rsidR="00246834" w:rsidRPr="00440FD7">
        <w:rPr>
          <w:rFonts w:ascii="TimesNewRomanPSMT" w:hAnsi="TimesNewRomanPSMT" w:cs="TimesNewRomanPSMT"/>
        </w:rPr>
        <w:t xml:space="preserve">Commission (Commission) on </w:t>
      </w:r>
      <w:r w:rsidR="00246834">
        <w:rPr>
          <w:rFonts w:ascii="TimesNewRomanPSMT" w:hAnsi="TimesNewRomanPSMT" w:cs="TimesNewRomanPSMT"/>
        </w:rPr>
        <w:t>November 5-7, 2024</w:t>
      </w:r>
      <w:r w:rsidR="00246834" w:rsidRPr="00440FD7">
        <w:rPr>
          <w:rFonts w:ascii="TimesNewRomanPSMT" w:hAnsi="TimesNewRomanPSMT" w:cs="TimesNewRomanPSMT"/>
        </w:rPr>
        <w:t>. The purpose of this docket is to review and</w:t>
      </w:r>
      <w:r w:rsidR="00246834">
        <w:rPr>
          <w:rFonts w:ascii="TimesNewRomanPSMT" w:hAnsi="TimesNewRomanPSMT" w:cs="TimesNewRomanPSMT"/>
        </w:rPr>
        <w:t xml:space="preserve"> </w:t>
      </w:r>
      <w:r w:rsidR="00246834" w:rsidRPr="00440FD7">
        <w:rPr>
          <w:rFonts w:ascii="TimesNewRomanPSMT" w:hAnsi="TimesNewRomanPSMT" w:cs="TimesNewRomanPSMT"/>
        </w:rPr>
        <w:t>approve purchased wholesale electric power charges, electric generation facilities’ fuel and fuel</w:t>
      </w:r>
      <w:r w:rsidR="00246834">
        <w:rPr>
          <w:rFonts w:ascii="TimesNewRomanPSMT" w:hAnsi="TimesNewRomanPSMT" w:cs="TimesNewRomanPSMT"/>
        </w:rPr>
        <w:t xml:space="preserve"> </w:t>
      </w:r>
      <w:r w:rsidR="00246834" w:rsidRPr="00440FD7">
        <w:rPr>
          <w:rFonts w:ascii="TimesNewRomanPSMT" w:hAnsi="TimesNewRomanPSMT" w:cs="TimesNewRomanPSMT"/>
        </w:rPr>
        <w:t>related costs, and incentives associated with the efficient operation of generation facilities which are</w:t>
      </w:r>
      <w:r w:rsidR="00246834">
        <w:rPr>
          <w:rFonts w:ascii="TimesNewRomanPSMT" w:hAnsi="TimesNewRomanPSMT" w:cs="TimesNewRomanPSMT"/>
        </w:rPr>
        <w:t xml:space="preserve"> </w:t>
      </w:r>
      <w:r w:rsidR="00246834" w:rsidRPr="00440FD7">
        <w:rPr>
          <w:rFonts w:ascii="TimesNewRomanPSMT" w:hAnsi="TimesNewRomanPSMT" w:cs="TimesNewRomanPSMT"/>
        </w:rPr>
        <w:t>passed through to ratepayers through the fuel adjustment factor. The Commission will address those</w:t>
      </w:r>
      <w:r w:rsidR="00246834">
        <w:rPr>
          <w:rFonts w:ascii="TimesNewRomanPSMT" w:hAnsi="TimesNewRomanPSMT" w:cs="TimesNewRomanPSMT"/>
        </w:rPr>
        <w:t xml:space="preserve"> </w:t>
      </w:r>
      <w:r w:rsidR="00246834" w:rsidRPr="00440FD7">
        <w:rPr>
          <w:rFonts w:ascii="TimesNewRomanPSMT" w:hAnsi="TimesNewRomanPSMT" w:cs="TimesNewRomanPSMT"/>
        </w:rPr>
        <w:t>issues listed in this prehearing order. The Commission has the option to render a bench decision with</w:t>
      </w:r>
      <w:r w:rsidR="00246834">
        <w:rPr>
          <w:rFonts w:ascii="TimesNewRomanPSMT" w:hAnsi="TimesNewRomanPSMT" w:cs="TimesNewRomanPSMT"/>
        </w:rPr>
        <w:t xml:space="preserve"> </w:t>
      </w:r>
      <w:r w:rsidR="00246834" w:rsidRPr="00440FD7">
        <w:rPr>
          <w:rFonts w:ascii="TimesNewRomanPSMT" w:hAnsi="TimesNewRomanPSMT" w:cs="TimesNewRomanPSMT"/>
        </w:rPr>
        <w:t>agreement of the parties on any or all of the issues listed below.</w:t>
      </w:r>
    </w:p>
    <w:p w:rsidR="00B21ABE" w:rsidRDefault="00B21ABE" w:rsidP="00B21ABE">
      <w:pPr>
        <w:jc w:val="both"/>
      </w:pPr>
    </w:p>
    <w:p w:rsidR="00246834" w:rsidRDefault="00246834">
      <w:pPr>
        <w:rPr>
          <w:b/>
        </w:rPr>
      </w:pPr>
      <w:r>
        <w:rPr>
          <w:b/>
        </w:rPr>
        <w:br w:type="page"/>
      </w:r>
    </w:p>
    <w:p w:rsidR="00B21ABE" w:rsidRPr="00A32DC5" w:rsidRDefault="00B21ABE" w:rsidP="00B21ABE">
      <w:pPr>
        <w:jc w:val="both"/>
        <w:rPr>
          <w:b/>
        </w:rPr>
      </w:pPr>
      <w:r w:rsidRPr="00A32DC5">
        <w:rPr>
          <w:b/>
        </w:rPr>
        <w:lastRenderedPageBreak/>
        <w:t>II.</w:t>
      </w:r>
      <w:r w:rsidRPr="00A32DC5">
        <w:rPr>
          <w:b/>
        </w:rPr>
        <w:tab/>
      </w:r>
      <w:r w:rsidRPr="00A32DC5">
        <w:rPr>
          <w:b/>
          <w:u w:val="single"/>
        </w:rPr>
        <w:t>CONDUCT OF PROCEEDINGS</w:t>
      </w:r>
    </w:p>
    <w:p w:rsidR="00B21ABE" w:rsidRPr="00701945" w:rsidRDefault="00B21ABE" w:rsidP="00B21ABE">
      <w:pPr>
        <w:jc w:val="both"/>
      </w:pPr>
    </w:p>
    <w:p w:rsidR="00B21ABE" w:rsidRPr="00701945" w:rsidRDefault="00B21ABE" w:rsidP="00B21ABE">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B21ABE" w:rsidRDefault="00B21ABE" w:rsidP="00B21ABE">
      <w:pPr>
        <w:jc w:val="both"/>
      </w:pPr>
    </w:p>
    <w:p w:rsidR="00B21ABE" w:rsidRPr="00701945" w:rsidRDefault="00B21ABE" w:rsidP="00B21ABE">
      <w:pPr>
        <w:jc w:val="both"/>
      </w:pPr>
    </w:p>
    <w:p w:rsidR="00B21ABE" w:rsidRPr="00A32DC5" w:rsidRDefault="00B21ABE" w:rsidP="00B21ABE">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B21ABE" w:rsidRPr="00701945" w:rsidRDefault="00B21ABE" w:rsidP="00B21ABE">
      <w:pPr>
        <w:jc w:val="both"/>
      </w:pPr>
    </w:p>
    <w:p w:rsidR="00565CA9" w:rsidRPr="00701945" w:rsidRDefault="00B21ABE" w:rsidP="00565CA9">
      <w:pPr>
        <w:jc w:val="both"/>
      </w:pPr>
      <w:r w:rsidRPr="00701945">
        <w:tab/>
      </w:r>
      <w:r w:rsidR="00565CA9" w:rsidRPr="00701945">
        <w:t xml:space="preserve">This Commission is vested with jurisdiction over the subject matter by the provisions of Chapter </w:t>
      </w:r>
      <w:r w:rsidR="00565CA9">
        <w:t>366</w:t>
      </w:r>
      <w:r w:rsidR="00565CA9" w:rsidRPr="00701945">
        <w:t xml:space="preserve">, </w:t>
      </w:r>
      <w:r w:rsidR="00565CA9">
        <w:t>Florida Statutes (F.S</w:t>
      </w:r>
      <w:r w:rsidR="00565CA9" w:rsidRPr="00701945">
        <w:t>.</w:t>
      </w:r>
      <w:r w:rsidR="00565CA9">
        <w:t>).</w:t>
      </w:r>
      <w:r w:rsidR="00565CA9" w:rsidRPr="00701945">
        <w:t xml:space="preserve">  This hearing will be governed by said Chapter</w:t>
      </w:r>
      <w:r w:rsidR="00565CA9">
        <w:t xml:space="preserve">, Chapter 120, F.S., </w:t>
      </w:r>
      <w:r w:rsidR="00565CA9" w:rsidRPr="00701945">
        <w:t>and Chapters</w:t>
      </w:r>
      <w:r w:rsidR="00565CA9">
        <w:t xml:space="preserve"> 25-6</w:t>
      </w:r>
      <w:r w:rsidR="00565CA9" w:rsidRPr="00701945">
        <w:t xml:space="preserve">, 25-22, and 28-106, </w:t>
      </w:r>
      <w:r w:rsidR="00565CA9">
        <w:t>F.A.C., as well as any other applicable provisions of law</w:t>
      </w:r>
      <w:r w:rsidR="00565CA9" w:rsidRPr="00701945">
        <w:t>.</w:t>
      </w:r>
    </w:p>
    <w:p w:rsidR="00B21ABE" w:rsidRDefault="00B21ABE" w:rsidP="00B21ABE">
      <w:pPr>
        <w:jc w:val="both"/>
      </w:pPr>
    </w:p>
    <w:p w:rsidR="00B21ABE" w:rsidRPr="00701945" w:rsidRDefault="00B21ABE" w:rsidP="00B21ABE">
      <w:pPr>
        <w:jc w:val="both"/>
      </w:pPr>
    </w:p>
    <w:p w:rsidR="00B21ABE" w:rsidRPr="00237584" w:rsidRDefault="00B21ABE" w:rsidP="00B21ABE">
      <w:pPr>
        <w:jc w:val="both"/>
        <w:rPr>
          <w:b/>
        </w:rPr>
      </w:pPr>
      <w:r w:rsidRPr="00237584">
        <w:rPr>
          <w:b/>
        </w:rPr>
        <w:t>IV.</w:t>
      </w:r>
      <w:r w:rsidRPr="00237584">
        <w:rPr>
          <w:b/>
        </w:rPr>
        <w:tab/>
      </w:r>
      <w:r w:rsidRPr="00237584">
        <w:rPr>
          <w:b/>
          <w:u w:val="single"/>
        </w:rPr>
        <w:t>PROCEDURE FOR HANDLING CONFIDENTIAL INFORMATION</w:t>
      </w:r>
    </w:p>
    <w:p w:rsidR="00B21ABE" w:rsidRPr="00237584" w:rsidRDefault="00B21ABE" w:rsidP="00B21ABE">
      <w:pPr>
        <w:jc w:val="both"/>
        <w:rPr>
          <w:b/>
        </w:rPr>
      </w:pPr>
    </w:p>
    <w:p w:rsidR="00565CA9" w:rsidRDefault="00B21ABE" w:rsidP="00565CA9">
      <w:pPr>
        <w:jc w:val="both"/>
      </w:pPr>
      <w:r w:rsidRPr="00701945">
        <w:tab/>
      </w:r>
      <w:r w:rsidR="00565CA9" w:rsidRPr="006D7478">
        <w:t>Infor</w:t>
      </w:r>
      <w:r w:rsidR="00565CA9">
        <w:t>mation for which proprietary confidential business information status is requested</w:t>
      </w:r>
      <w:r w:rsidR="00565CA9" w:rsidRPr="00A72918">
        <w:t xml:space="preserve"> pursuant to</w:t>
      </w:r>
      <w:r w:rsidR="00565CA9">
        <w:t xml:space="preserve"> Section 366.093, F.S.</w:t>
      </w:r>
      <w:r w:rsidR="00565CA9" w:rsidRPr="00A72918">
        <w:t xml:space="preserve">, and Rule 25-22.006, </w:t>
      </w:r>
      <w:r w:rsidR="00565CA9">
        <w:t>F.A.C.</w:t>
      </w:r>
      <w:r w:rsidR="00565CA9" w:rsidRPr="00A72918">
        <w:t>,</w:t>
      </w:r>
      <w:r w:rsidR="00565CA9">
        <w:t xml:space="preserve"> shall be treated by the Commission as confidential.  The information shall be exempt from Section 119.07(1), F.S., pending a formal ruling on such request by the Commission or pending return of the information to the person providing the information.  </w:t>
      </w:r>
      <w:r w:rsidR="00565CA9" w:rsidRPr="005555EC">
        <w:t xml:space="preserve">If no determination of confidentiality has been made and the information has not been made a part </w:t>
      </w:r>
      <w:r w:rsidR="00565CA9">
        <w:t>of the evidentiary record in this</w:t>
      </w:r>
      <w:r w:rsidR="00565CA9" w:rsidRPr="005555EC">
        <w:t xml:space="preserve"> proceeding, it shall be returned to the person providing the information.  If a determination of confidentiality has been made and the information was no</w:t>
      </w:r>
      <w:r w:rsidR="00565CA9">
        <w:t>t entered into the record of this</w:t>
      </w:r>
      <w:r w:rsidR="00565CA9" w:rsidRPr="005555EC">
        <w:t xml:space="preserve"> proceeding, it shall be returned to the person providing the information with</w:t>
      </w:r>
      <w:r w:rsidR="00565CA9">
        <w:t xml:space="preserve">in the time period set forth in </w:t>
      </w:r>
      <w:r w:rsidR="00565CA9" w:rsidRPr="005555EC">
        <w:t>Section</w:t>
      </w:r>
      <w:r w:rsidR="00565CA9">
        <w:t xml:space="preserve"> 366.093, F.S.  T</w:t>
      </w:r>
      <w:r w:rsidR="00565CA9" w:rsidRPr="00B2317F">
        <w:t>he Commission may determine that continued possession of the information is necessary for the Commission to conduct its business.</w:t>
      </w:r>
    </w:p>
    <w:p w:rsidR="00565CA9" w:rsidRDefault="00565CA9" w:rsidP="00565CA9">
      <w:pPr>
        <w:jc w:val="both"/>
      </w:pPr>
    </w:p>
    <w:p w:rsidR="00565CA9" w:rsidRDefault="00565CA9" w:rsidP="00565C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565CA9" w:rsidRDefault="00565CA9" w:rsidP="00565C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CA9" w:rsidRDefault="00565CA9" w:rsidP="00565CA9">
      <w:pPr>
        <w:spacing w:line="2" w:lineRule="exact"/>
        <w:jc w:val="both"/>
      </w:pPr>
    </w:p>
    <w:p w:rsidR="00B21ABE" w:rsidRDefault="00B21ABE" w:rsidP="00B21ABE">
      <w:pPr>
        <w:spacing w:line="2" w:lineRule="exact"/>
        <w:jc w:val="both"/>
      </w:pPr>
    </w:p>
    <w:p w:rsidR="00B21ABE" w:rsidRDefault="00B21ABE" w:rsidP="00B21AB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21ABE" w:rsidRDefault="00B21ABE" w:rsidP="00B21A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21ABE" w:rsidRDefault="00B21ABE" w:rsidP="00B21AB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rsidR="00B21ABE" w:rsidRDefault="00B21ABE" w:rsidP="00B21A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21ABE" w:rsidRDefault="00B21ABE" w:rsidP="00B21A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B21ABE" w:rsidRDefault="00B21ABE" w:rsidP="00B21ABE">
      <w:pPr>
        <w:jc w:val="both"/>
      </w:pPr>
    </w:p>
    <w:p w:rsidR="00B21ABE" w:rsidRDefault="00B21ABE" w:rsidP="00B21ABE">
      <w:pPr>
        <w:jc w:val="both"/>
      </w:pPr>
    </w:p>
    <w:p w:rsidR="00B21ABE" w:rsidRPr="00A32DC5" w:rsidRDefault="00B21ABE" w:rsidP="00B21ABE">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B21ABE" w:rsidRPr="00701945" w:rsidRDefault="00B21ABE" w:rsidP="00B21ABE">
      <w:pPr>
        <w:jc w:val="both"/>
      </w:pPr>
    </w:p>
    <w:p w:rsidR="00B21ABE" w:rsidRDefault="00B21ABE" w:rsidP="00B21ABE">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w:t>
      </w:r>
      <w:r w:rsidR="004A3A8F">
        <w:t>’</w:t>
      </w:r>
      <w:r w:rsidRPr="00701945">
        <w:t xml:space="preserve">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B21ABE" w:rsidRDefault="00B21ABE" w:rsidP="00B21ABE">
      <w:pPr>
        <w:jc w:val="both"/>
      </w:pPr>
    </w:p>
    <w:p w:rsidR="00B21ABE" w:rsidRPr="00701945" w:rsidRDefault="00B21ABE" w:rsidP="00B21ABE">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B21ABE" w:rsidRPr="00701945" w:rsidRDefault="00B21ABE" w:rsidP="00B21ABE">
      <w:pPr>
        <w:jc w:val="both"/>
      </w:pPr>
    </w:p>
    <w:p w:rsidR="00B21ABE" w:rsidRPr="00701945" w:rsidRDefault="00B21ABE" w:rsidP="00B21ABE">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B21ABE" w:rsidRPr="00B75F84" w:rsidRDefault="00B21ABE" w:rsidP="00B21ABE">
      <w:pPr>
        <w:jc w:val="both"/>
        <w:rPr>
          <w:color w:val="000000"/>
        </w:rPr>
      </w:pPr>
    </w:p>
    <w:p w:rsidR="00B21ABE" w:rsidRPr="00B75F84" w:rsidRDefault="00B21ABE" w:rsidP="00B21ABE">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w:t>
      </w:r>
      <w:r w:rsidR="004A3A8F">
        <w:rPr>
          <w:color w:val="000000"/>
        </w:rPr>
        <w:t>’</w:t>
      </w:r>
      <w:r w:rsidRPr="00B75F84">
        <w:rPr>
          <w:color w:val="000000"/>
        </w:rPr>
        <w:t>s direct testimony is adverse to its interests.</w:t>
      </w:r>
    </w:p>
    <w:p w:rsidR="00B21ABE" w:rsidRDefault="00B21ABE" w:rsidP="00B21ABE">
      <w:pPr>
        <w:jc w:val="both"/>
      </w:pPr>
    </w:p>
    <w:p w:rsidR="004A3A8F" w:rsidRDefault="004A3A8F">
      <w:r>
        <w:br w:type="page"/>
      </w:r>
    </w:p>
    <w:p w:rsidR="00B21ABE" w:rsidRPr="00A32DC5" w:rsidRDefault="00B21ABE" w:rsidP="00B21ABE">
      <w:pPr>
        <w:jc w:val="both"/>
        <w:rPr>
          <w:b/>
        </w:rPr>
      </w:pPr>
      <w:r w:rsidRPr="00A32DC5">
        <w:rPr>
          <w:b/>
        </w:rPr>
        <w:lastRenderedPageBreak/>
        <w:t>VI.</w:t>
      </w:r>
      <w:r w:rsidRPr="00A32DC5">
        <w:rPr>
          <w:b/>
        </w:rPr>
        <w:tab/>
      </w:r>
      <w:r w:rsidRPr="00A32DC5">
        <w:rPr>
          <w:b/>
          <w:u w:val="single"/>
        </w:rPr>
        <w:t>ORDER OF WITNESSES</w:t>
      </w:r>
    </w:p>
    <w:p w:rsidR="00B21ABE" w:rsidRDefault="00B21ABE" w:rsidP="00B21ABE">
      <w:pPr>
        <w:jc w:val="both"/>
      </w:pPr>
    </w:p>
    <w:p w:rsidR="00B21ABE" w:rsidRPr="00701945" w:rsidRDefault="00B21ABE" w:rsidP="00B21ABE">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B21ABE" w:rsidRPr="00701945" w:rsidTr="004814F5">
        <w:trPr>
          <w:cantSplit/>
          <w:trHeight w:val="362"/>
          <w:tblHeader/>
        </w:trPr>
        <w:tc>
          <w:tcPr>
            <w:tcW w:w="3507" w:type="dxa"/>
            <w:tcBorders>
              <w:top w:val="nil"/>
              <w:left w:val="nil"/>
              <w:bottom w:val="nil"/>
              <w:right w:val="nil"/>
            </w:tcBorders>
          </w:tcPr>
          <w:p w:rsidR="00B21ABE" w:rsidRPr="00701945" w:rsidRDefault="00B21ABE" w:rsidP="004814F5">
            <w:pPr>
              <w:jc w:val="both"/>
            </w:pPr>
            <w:r w:rsidRPr="00701945">
              <w:rPr>
                <w:u w:val="single"/>
              </w:rPr>
              <w:t>Witness</w:t>
            </w:r>
          </w:p>
        </w:tc>
        <w:tc>
          <w:tcPr>
            <w:tcW w:w="2511" w:type="dxa"/>
            <w:tcBorders>
              <w:top w:val="nil"/>
              <w:left w:val="nil"/>
              <w:bottom w:val="nil"/>
              <w:right w:val="nil"/>
            </w:tcBorders>
          </w:tcPr>
          <w:p w:rsidR="00B21ABE" w:rsidRPr="00701945" w:rsidRDefault="00B21ABE" w:rsidP="004814F5">
            <w:pPr>
              <w:jc w:val="center"/>
            </w:pPr>
            <w:r w:rsidRPr="00701945">
              <w:rPr>
                <w:u w:val="single"/>
              </w:rPr>
              <w:t>Proffered By</w:t>
            </w:r>
          </w:p>
        </w:tc>
        <w:tc>
          <w:tcPr>
            <w:tcW w:w="3546" w:type="dxa"/>
            <w:tcBorders>
              <w:top w:val="nil"/>
              <w:left w:val="nil"/>
              <w:bottom w:val="nil"/>
              <w:right w:val="nil"/>
            </w:tcBorders>
          </w:tcPr>
          <w:p w:rsidR="00B21ABE" w:rsidRPr="00701945" w:rsidRDefault="00B21ABE" w:rsidP="004814F5">
            <w:pPr>
              <w:jc w:val="both"/>
            </w:pPr>
            <w:r w:rsidRPr="00701945">
              <w:rPr>
                <w:u w:val="single"/>
              </w:rPr>
              <w:t>Issues #</w:t>
            </w:r>
          </w:p>
        </w:tc>
      </w:tr>
      <w:tr w:rsidR="00B21ABE" w:rsidRPr="00701945" w:rsidTr="004814F5">
        <w:trPr>
          <w:cantSplit/>
          <w:trHeight w:val="362"/>
        </w:trPr>
        <w:tc>
          <w:tcPr>
            <w:tcW w:w="3507" w:type="dxa"/>
            <w:tcBorders>
              <w:top w:val="nil"/>
              <w:left w:val="nil"/>
              <w:bottom w:val="nil"/>
              <w:right w:val="nil"/>
            </w:tcBorders>
          </w:tcPr>
          <w:p w:rsidR="00B21ABE" w:rsidRPr="00AC105C" w:rsidRDefault="00B21ABE" w:rsidP="004814F5">
            <w:pPr>
              <w:jc w:val="both"/>
              <w:rPr>
                <w:u w:val="single"/>
              </w:rPr>
            </w:pPr>
            <w:r w:rsidRPr="00AC105C">
              <w:tab/>
            </w:r>
            <w:r w:rsidRPr="00AC105C">
              <w:rPr>
                <w:u w:val="single"/>
              </w:rPr>
              <w:t>Direct</w:t>
            </w:r>
          </w:p>
        </w:tc>
        <w:tc>
          <w:tcPr>
            <w:tcW w:w="2511" w:type="dxa"/>
            <w:tcBorders>
              <w:top w:val="nil"/>
              <w:left w:val="nil"/>
              <w:bottom w:val="nil"/>
              <w:right w:val="nil"/>
            </w:tcBorders>
          </w:tcPr>
          <w:p w:rsidR="00B21ABE" w:rsidRPr="00701945" w:rsidRDefault="00B21ABE" w:rsidP="004814F5">
            <w:pPr>
              <w:jc w:val="center"/>
            </w:pPr>
          </w:p>
        </w:tc>
        <w:tc>
          <w:tcPr>
            <w:tcW w:w="3546" w:type="dxa"/>
            <w:tcBorders>
              <w:top w:val="nil"/>
              <w:left w:val="nil"/>
              <w:bottom w:val="nil"/>
              <w:right w:val="nil"/>
            </w:tcBorders>
          </w:tcPr>
          <w:p w:rsidR="00B21ABE" w:rsidRPr="00701945" w:rsidRDefault="00B21ABE" w:rsidP="004814F5"/>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rPr>
                <w:w w:val="105"/>
                <w:sz w:val="23"/>
              </w:rPr>
              <w:t>+</w:t>
            </w:r>
            <w:r w:rsidR="00632C75">
              <w:rPr>
                <w:w w:val="105"/>
                <w:sz w:val="23"/>
              </w:rPr>
              <w:t>Gary</w:t>
            </w:r>
            <w:r w:rsidR="00632C75">
              <w:rPr>
                <w:spacing w:val="-7"/>
                <w:w w:val="105"/>
                <w:sz w:val="23"/>
              </w:rPr>
              <w:t xml:space="preserve"> </w:t>
            </w:r>
            <w:r w:rsidR="00632C75">
              <w:rPr>
                <w:w w:val="105"/>
                <w:sz w:val="23"/>
              </w:rPr>
              <w:t>P.</w:t>
            </w:r>
            <w:r w:rsidR="00632C75">
              <w:rPr>
                <w:spacing w:val="-11"/>
                <w:w w:val="105"/>
                <w:sz w:val="23"/>
              </w:rPr>
              <w:t xml:space="preserve"> </w:t>
            </w:r>
            <w:r w:rsidR="00632C75">
              <w:rPr>
                <w:spacing w:val="-4"/>
                <w:w w:val="105"/>
                <w:sz w:val="23"/>
              </w:rPr>
              <w:t>Dean</w:t>
            </w:r>
          </w:p>
        </w:tc>
        <w:tc>
          <w:tcPr>
            <w:tcW w:w="2511" w:type="dxa"/>
            <w:tcBorders>
              <w:top w:val="nil"/>
              <w:left w:val="nil"/>
              <w:bottom w:val="nil"/>
              <w:right w:val="nil"/>
            </w:tcBorders>
          </w:tcPr>
          <w:p w:rsidR="00B21ABE" w:rsidRPr="00701945" w:rsidRDefault="00632C75" w:rsidP="004814F5">
            <w:pPr>
              <w:jc w:val="center"/>
            </w:pPr>
            <w:r>
              <w:t>DEF</w:t>
            </w:r>
          </w:p>
        </w:tc>
        <w:tc>
          <w:tcPr>
            <w:tcW w:w="3546" w:type="dxa"/>
            <w:tcBorders>
              <w:top w:val="nil"/>
              <w:left w:val="nil"/>
              <w:bottom w:val="nil"/>
              <w:right w:val="nil"/>
            </w:tcBorders>
          </w:tcPr>
          <w:p w:rsidR="00632C75" w:rsidRDefault="00632C75" w:rsidP="00632C75">
            <w:r>
              <w:t>1B-1C,</w:t>
            </w:r>
            <w:r>
              <w:rPr>
                <w:spacing w:val="29"/>
              </w:rPr>
              <w:t xml:space="preserve"> </w:t>
            </w:r>
            <w:r>
              <w:t>5-10,</w:t>
            </w:r>
            <w:r>
              <w:rPr>
                <w:spacing w:val="29"/>
              </w:rPr>
              <w:t xml:space="preserve"> </w:t>
            </w:r>
            <w:r>
              <w:t>16-</w:t>
            </w:r>
            <w:r>
              <w:rPr>
                <w:spacing w:val="-5"/>
              </w:rPr>
              <w:t>20,</w:t>
            </w:r>
          </w:p>
          <w:p w:rsidR="00B21ABE" w:rsidRPr="00701945" w:rsidRDefault="00632C75" w:rsidP="00632C75">
            <w:r>
              <w:rPr>
                <w:w w:val="105"/>
                <w:sz w:val="23"/>
              </w:rPr>
              <w:t>21A,</w:t>
            </w:r>
            <w:r>
              <w:rPr>
                <w:spacing w:val="-7"/>
                <w:w w:val="105"/>
                <w:sz w:val="23"/>
              </w:rPr>
              <w:t xml:space="preserve"> </w:t>
            </w:r>
            <w:r>
              <w:rPr>
                <w:w w:val="105"/>
                <w:sz w:val="23"/>
              </w:rPr>
              <w:t>and</w:t>
            </w:r>
            <w:r>
              <w:rPr>
                <w:spacing w:val="-2"/>
                <w:w w:val="105"/>
                <w:sz w:val="23"/>
              </w:rPr>
              <w:t xml:space="preserve"> </w:t>
            </w:r>
            <w:r>
              <w:rPr>
                <w:w w:val="105"/>
                <w:sz w:val="23"/>
              </w:rPr>
              <w:t>24-</w:t>
            </w:r>
            <w:r>
              <w:rPr>
                <w:spacing w:val="-5"/>
                <w:w w:val="105"/>
                <w:sz w:val="23"/>
              </w:rPr>
              <w:t>32</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rPr>
                <w:w w:val="105"/>
                <w:sz w:val="23"/>
              </w:rPr>
              <w:t>+</w:t>
            </w:r>
            <w:r w:rsidR="00632C75">
              <w:rPr>
                <w:w w:val="105"/>
                <w:sz w:val="23"/>
              </w:rPr>
              <w:t>Adam</w:t>
            </w:r>
            <w:r w:rsidR="00632C75">
              <w:rPr>
                <w:spacing w:val="-7"/>
                <w:w w:val="105"/>
                <w:sz w:val="23"/>
              </w:rPr>
              <w:t xml:space="preserve"> </w:t>
            </w:r>
            <w:r w:rsidR="00632C75">
              <w:rPr>
                <w:w w:val="105"/>
                <w:sz w:val="23"/>
              </w:rPr>
              <w:t>R.</w:t>
            </w:r>
            <w:r w:rsidR="00632C75">
              <w:rPr>
                <w:spacing w:val="-10"/>
                <w:w w:val="105"/>
                <w:sz w:val="23"/>
              </w:rPr>
              <w:t xml:space="preserve"> </w:t>
            </w:r>
            <w:r w:rsidR="00632C75">
              <w:rPr>
                <w:spacing w:val="-2"/>
                <w:w w:val="105"/>
                <w:sz w:val="23"/>
              </w:rPr>
              <w:t>Bingham</w:t>
            </w:r>
          </w:p>
        </w:tc>
        <w:tc>
          <w:tcPr>
            <w:tcW w:w="2511" w:type="dxa"/>
            <w:tcBorders>
              <w:top w:val="nil"/>
              <w:left w:val="nil"/>
              <w:bottom w:val="nil"/>
              <w:right w:val="nil"/>
            </w:tcBorders>
          </w:tcPr>
          <w:p w:rsidR="00B21ABE" w:rsidRPr="00701945" w:rsidRDefault="00632C75" w:rsidP="004814F5">
            <w:pPr>
              <w:jc w:val="center"/>
            </w:pPr>
            <w:r>
              <w:t>DEF</w:t>
            </w:r>
          </w:p>
        </w:tc>
        <w:tc>
          <w:tcPr>
            <w:tcW w:w="3546" w:type="dxa"/>
            <w:tcBorders>
              <w:top w:val="nil"/>
              <w:left w:val="nil"/>
              <w:bottom w:val="nil"/>
              <w:right w:val="nil"/>
            </w:tcBorders>
          </w:tcPr>
          <w:p w:rsidR="00B21ABE" w:rsidRPr="00701945" w:rsidRDefault="00632C75" w:rsidP="004814F5">
            <w:r>
              <w:rPr>
                <w:w w:val="105"/>
                <w:sz w:val="23"/>
              </w:rPr>
              <w:t>14</w:t>
            </w:r>
            <w:r>
              <w:rPr>
                <w:spacing w:val="-2"/>
                <w:w w:val="105"/>
                <w:sz w:val="23"/>
              </w:rPr>
              <w:t xml:space="preserve"> </w:t>
            </w:r>
            <w:r>
              <w:rPr>
                <w:w w:val="105"/>
                <w:sz w:val="23"/>
              </w:rPr>
              <w:t>and</w:t>
            </w:r>
            <w:r>
              <w:rPr>
                <w:spacing w:val="-1"/>
                <w:w w:val="105"/>
                <w:sz w:val="23"/>
              </w:rPr>
              <w:t xml:space="preserve"> </w:t>
            </w:r>
            <w:r>
              <w:rPr>
                <w:spacing w:val="-5"/>
                <w:w w:val="105"/>
                <w:sz w:val="23"/>
              </w:rPr>
              <w:t>15</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rPr>
                <w:w w:val="105"/>
                <w:sz w:val="23"/>
              </w:rPr>
              <w:t>+</w:t>
            </w:r>
            <w:r w:rsidR="00632C75">
              <w:rPr>
                <w:w w:val="105"/>
                <w:sz w:val="23"/>
              </w:rPr>
              <w:t>James</w:t>
            </w:r>
            <w:r w:rsidR="00632C75">
              <w:rPr>
                <w:spacing w:val="-9"/>
                <w:w w:val="105"/>
                <w:sz w:val="23"/>
              </w:rPr>
              <w:t xml:space="preserve"> </w:t>
            </w:r>
            <w:r w:rsidR="00632C75">
              <w:rPr>
                <w:w w:val="105"/>
                <w:sz w:val="23"/>
              </w:rPr>
              <w:t>(“Jim”)</w:t>
            </w:r>
            <w:r w:rsidR="00632C75">
              <w:rPr>
                <w:spacing w:val="-9"/>
                <w:w w:val="105"/>
                <w:sz w:val="23"/>
              </w:rPr>
              <w:t xml:space="preserve"> </w:t>
            </w:r>
            <w:r w:rsidR="00632C75">
              <w:rPr>
                <w:spacing w:val="-2"/>
                <w:w w:val="105"/>
                <w:sz w:val="23"/>
              </w:rPr>
              <w:t>McClay</w:t>
            </w:r>
          </w:p>
        </w:tc>
        <w:tc>
          <w:tcPr>
            <w:tcW w:w="2511" w:type="dxa"/>
            <w:tcBorders>
              <w:top w:val="nil"/>
              <w:left w:val="nil"/>
              <w:bottom w:val="nil"/>
              <w:right w:val="nil"/>
            </w:tcBorders>
          </w:tcPr>
          <w:p w:rsidR="00B21ABE" w:rsidRPr="00701945" w:rsidRDefault="00632C75" w:rsidP="004814F5">
            <w:pPr>
              <w:jc w:val="center"/>
            </w:pPr>
            <w:r>
              <w:t>DEF</w:t>
            </w:r>
          </w:p>
        </w:tc>
        <w:tc>
          <w:tcPr>
            <w:tcW w:w="3546" w:type="dxa"/>
            <w:tcBorders>
              <w:top w:val="nil"/>
              <w:left w:val="nil"/>
              <w:bottom w:val="nil"/>
              <w:right w:val="nil"/>
            </w:tcBorders>
          </w:tcPr>
          <w:p w:rsidR="00B21ABE" w:rsidRPr="00701945" w:rsidRDefault="00632C75" w:rsidP="004814F5">
            <w:r>
              <w:rPr>
                <w:spacing w:val="-5"/>
                <w:w w:val="105"/>
                <w:sz w:val="23"/>
              </w:rPr>
              <w:t>1A</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t>+</w:t>
            </w:r>
            <w:r w:rsidR="00142401">
              <w:t>Amin Mohomed</w:t>
            </w:r>
          </w:p>
        </w:tc>
        <w:tc>
          <w:tcPr>
            <w:tcW w:w="2511" w:type="dxa"/>
            <w:tcBorders>
              <w:top w:val="nil"/>
              <w:left w:val="nil"/>
              <w:bottom w:val="nil"/>
              <w:right w:val="nil"/>
            </w:tcBorders>
          </w:tcPr>
          <w:p w:rsidR="00B21ABE" w:rsidRPr="00701945" w:rsidRDefault="00142401" w:rsidP="004814F5">
            <w:pPr>
              <w:jc w:val="center"/>
            </w:pPr>
            <w:r>
              <w:t>FPL</w:t>
            </w:r>
          </w:p>
        </w:tc>
        <w:tc>
          <w:tcPr>
            <w:tcW w:w="3546" w:type="dxa"/>
            <w:tcBorders>
              <w:top w:val="nil"/>
              <w:left w:val="nil"/>
              <w:bottom w:val="nil"/>
              <w:right w:val="nil"/>
            </w:tcBorders>
          </w:tcPr>
          <w:p w:rsidR="00B21ABE" w:rsidRPr="00701945" w:rsidRDefault="00142401" w:rsidP="004814F5">
            <w:r>
              <w:t>2E, 2H, 7-10, 16-20, 22A</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B72B7D">
            <w:pPr>
              <w:jc w:val="both"/>
            </w:pPr>
            <w:r>
              <w:t>+</w:t>
            </w:r>
            <w:r w:rsidR="00142401">
              <w:t>Michael V. C</w:t>
            </w:r>
            <w:r w:rsidR="00B72B7D">
              <w:t>a</w:t>
            </w:r>
            <w:r w:rsidR="00142401">
              <w:t>shman</w:t>
            </w:r>
          </w:p>
        </w:tc>
        <w:tc>
          <w:tcPr>
            <w:tcW w:w="2511" w:type="dxa"/>
            <w:tcBorders>
              <w:top w:val="nil"/>
              <w:left w:val="nil"/>
              <w:bottom w:val="nil"/>
              <w:right w:val="nil"/>
            </w:tcBorders>
          </w:tcPr>
          <w:p w:rsidR="00B21ABE" w:rsidRPr="00701945" w:rsidRDefault="00142401" w:rsidP="004814F5">
            <w:pPr>
              <w:jc w:val="center"/>
            </w:pPr>
            <w:r>
              <w:t>FPL</w:t>
            </w:r>
          </w:p>
        </w:tc>
        <w:tc>
          <w:tcPr>
            <w:tcW w:w="3546" w:type="dxa"/>
            <w:tcBorders>
              <w:top w:val="nil"/>
              <w:left w:val="nil"/>
              <w:bottom w:val="nil"/>
              <w:right w:val="nil"/>
            </w:tcBorders>
          </w:tcPr>
          <w:p w:rsidR="00B21ABE" w:rsidRPr="00701945" w:rsidRDefault="00FC6890" w:rsidP="004814F5">
            <w:r>
              <w:t>2A-2D, 2F, 5-10</w:t>
            </w:r>
          </w:p>
        </w:tc>
      </w:tr>
      <w:tr w:rsidR="00B21ABE" w:rsidRPr="00701945" w:rsidTr="004814F5">
        <w:trPr>
          <w:cantSplit/>
          <w:trHeight w:val="362"/>
        </w:trPr>
        <w:tc>
          <w:tcPr>
            <w:tcW w:w="3507" w:type="dxa"/>
            <w:tcBorders>
              <w:top w:val="nil"/>
              <w:left w:val="nil"/>
              <w:bottom w:val="nil"/>
              <w:right w:val="nil"/>
            </w:tcBorders>
          </w:tcPr>
          <w:p w:rsidR="00142401" w:rsidRPr="00701945" w:rsidRDefault="00D24DDE" w:rsidP="00142401">
            <w:pPr>
              <w:jc w:val="both"/>
            </w:pPr>
            <w:r>
              <w:t>+</w:t>
            </w:r>
            <w:r w:rsidR="00142401">
              <w:t>Daniel DeBoer</w:t>
            </w:r>
          </w:p>
        </w:tc>
        <w:tc>
          <w:tcPr>
            <w:tcW w:w="2511" w:type="dxa"/>
            <w:tcBorders>
              <w:top w:val="nil"/>
              <w:left w:val="nil"/>
              <w:bottom w:val="nil"/>
              <w:right w:val="nil"/>
            </w:tcBorders>
          </w:tcPr>
          <w:p w:rsidR="00B21ABE" w:rsidRPr="00701945" w:rsidRDefault="00142401" w:rsidP="004814F5">
            <w:pPr>
              <w:jc w:val="center"/>
            </w:pPr>
            <w:r>
              <w:t>FPL</w:t>
            </w:r>
          </w:p>
        </w:tc>
        <w:tc>
          <w:tcPr>
            <w:tcW w:w="3546" w:type="dxa"/>
            <w:tcBorders>
              <w:top w:val="nil"/>
              <w:left w:val="nil"/>
              <w:bottom w:val="nil"/>
              <w:right w:val="nil"/>
            </w:tcBorders>
          </w:tcPr>
          <w:p w:rsidR="00B21ABE" w:rsidRPr="00701945" w:rsidRDefault="00FC6890" w:rsidP="004814F5">
            <w:r>
              <w:t>10</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t>+</w:t>
            </w:r>
            <w:r w:rsidR="00142401">
              <w:t>Charles Rote</w:t>
            </w:r>
          </w:p>
        </w:tc>
        <w:tc>
          <w:tcPr>
            <w:tcW w:w="2511" w:type="dxa"/>
            <w:tcBorders>
              <w:top w:val="nil"/>
              <w:left w:val="nil"/>
              <w:bottom w:val="nil"/>
              <w:right w:val="nil"/>
            </w:tcBorders>
          </w:tcPr>
          <w:p w:rsidR="00B21ABE" w:rsidRPr="00701945" w:rsidRDefault="00142401" w:rsidP="004814F5">
            <w:pPr>
              <w:jc w:val="center"/>
            </w:pPr>
            <w:r>
              <w:t>FPL</w:t>
            </w:r>
          </w:p>
        </w:tc>
        <w:tc>
          <w:tcPr>
            <w:tcW w:w="3546" w:type="dxa"/>
            <w:tcBorders>
              <w:top w:val="nil"/>
              <w:left w:val="nil"/>
              <w:bottom w:val="nil"/>
              <w:right w:val="nil"/>
            </w:tcBorders>
          </w:tcPr>
          <w:p w:rsidR="00B21ABE" w:rsidRPr="00701945" w:rsidRDefault="00FC6890" w:rsidP="004814F5">
            <w:r>
              <w:t>14, 15</w:t>
            </w:r>
          </w:p>
        </w:tc>
      </w:tr>
      <w:tr w:rsidR="00B21ABE" w:rsidRPr="00701945" w:rsidTr="004814F5">
        <w:trPr>
          <w:cantSplit/>
          <w:trHeight w:val="362"/>
        </w:trPr>
        <w:tc>
          <w:tcPr>
            <w:tcW w:w="3507" w:type="dxa"/>
            <w:tcBorders>
              <w:top w:val="nil"/>
              <w:left w:val="nil"/>
              <w:bottom w:val="nil"/>
              <w:right w:val="nil"/>
            </w:tcBorders>
          </w:tcPr>
          <w:p w:rsidR="00B21ABE" w:rsidRPr="00701945" w:rsidRDefault="00D24DDE" w:rsidP="004814F5">
            <w:pPr>
              <w:jc w:val="both"/>
            </w:pPr>
            <w:r>
              <w:t>+</w:t>
            </w:r>
            <w:r w:rsidR="00142401">
              <w:t>Kelly Fagan</w:t>
            </w:r>
          </w:p>
        </w:tc>
        <w:tc>
          <w:tcPr>
            <w:tcW w:w="2511" w:type="dxa"/>
            <w:tcBorders>
              <w:top w:val="nil"/>
              <w:left w:val="nil"/>
              <w:bottom w:val="nil"/>
              <w:right w:val="nil"/>
            </w:tcBorders>
          </w:tcPr>
          <w:p w:rsidR="00B21ABE" w:rsidRPr="00701945" w:rsidRDefault="00142401" w:rsidP="004814F5">
            <w:pPr>
              <w:jc w:val="center"/>
            </w:pPr>
            <w:r>
              <w:t>FPL</w:t>
            </w:r>
          </w:p>
        </w:tc>
        <w:tc>
          <w:tcPr>
            <w:tcW w:w="3546" w:type="dxa"/>
            <w:tcBorders>
              <w:top w:val="nil"/>
              <w:left w:val="nil"/>
              <w:bottom w:val="nil"/>
              <w:right w:val="nil"/>
            </w:tcBorders>
          </w:tcPr>
          <w:p w:rsidR="00B21ABE" w:rsidRPr="00701945" w:rsidRDefault="00FC6890" w:rsidP="00FC6890">
            <w:r>
              <w:t>2G</w:t>
            </w:r>
          </w:p>
        </w:tc>
      </w:tr>
      <w:tr w:rsidR="00142401" w:rsidRPr="00701945" w:rsidTr="004814F5">
        <w:trPr>
          <w:cantSplit/>
          <w:trHeight w:val="362"/>
        </w:trPr>
        <w:tc>
          <w:tcPr>
            <w:tcW w:w="3507" w:type="dxa"/>
            <w:tcBorders>
              <w:top w:val="nil"/>
              <w:left w:val="nil"/>
              <w:bottom w:val="nil"/>
              <w:right w:val="nil"/>
            </w:tcBorders>
          </w:tcPr>
          <w:p w:rsidR="00142401" w:rsidRDefault="00D24DDE" w:rsidP="004814F5">
            <w:pPr>
              <w:jc w:val="both"/>
            </w:pPr>
            <w:r>
              <w:t>+</w:t>
            </w:r>
            <w:r w:rsidR="00142401">
              <w:t>Andrew W. Whitley</w:t>
            </w:r>
          </w:p>
        </w:tc>
        <w:tc>
          <w:tcPr>
            <w:tcW w:w="2511" w:type="dxa"/>
            <w:tcBorders>
              <w:top w:val="nil"/>
              <w:left w:val="nil"/>
              <w:bottom w:val="nil"/>
              <w:right w:val="nil"/>
            </w:tcBorders>
          </w:tcPr>
          <w:p w:rsidR="00142401" w:rsidRPr="00701945" w:rsidRDefault="00142401" w:rsidP="004814F5">
            <w:pPr>
              <w:jc w:val="center"/>
            </w:pPr>
            <w:r>
              <w:t>FPL</w:t>
            </w:r>
          </w:p>
        </w:tc>
        <w:tc>
          <w:tcPr>
            <w:tcW w:w="3546" w:type="dxa"/>
            <w:tcBorders>
              <w:top w:val="nil"/>
              <w:left w:val="nil"/>
              <w:bottom w:val="nil"/>
              <w:right w:val="nil"/>
            </w:tcBorders>
          </w:tcPr>
          <w:p w:rsidR="00142401" w:rsidRPr="00701945" w:rsidRDefault="00FC6890" w:rsidP="004814F5">
            <w:r>
              <w:t>2G</w:t>
            </w:r>
          </w:p>
        </w:tc>
      </w:tr>
      <w:tr w:rsidR="00142401" w:rsidRPr="00701945" w:rsidTr="004814F5">
        <w:trPr>
          <w:cantSplit/>
          <w:trHeight w:val="362"/>
        </w:trPr>
        <w:tc>
          <w:tcPr>
            <w:tcW w:w="3507" w:type="dxa"/>
            <w:tcBorders>
              <w:top w:val="nil"/>
              <w:left w:val="nil"/>
              <w:bottom w:val="nil"/>
              <w:right w:val="nil"/>
            </w:tcBorders>
          </w:tcPr>
          <w:p w:rsidR="00142401" w:rsidRDefault="00D24DDE" w:rsidP="004814F5">
            <w:pPr>
              <w:jc w:val="both"/>
            </w:pPr>
            <w:r>
              <w:t>+</w:t>
            </w:r>
            <w:r w:rsidR="00142401">
              <w:t>Edward J. Anderson</w:t>
            </w:r>
          </w:p>
        </w:tc>
        <w:tc>
          <w:tcPr>
            <w:tcW w:w="2511" w:type="dxa"/>
            <w:tcBorders>
              <w:top w:val="nil"/>
              <w:left w:val="nil"/>
              <w:bottom w:val="nil"/>
              <w:right w:val="nil"/>
            </w:tcBorders>
          </w:tcPr>
          <w:p w:rsidR="00142401" w:rsidRPr="00701945" w:rsidRDefault="00142401" w:rsidP="004814F5">
            <w:pPr>
              <w:jc w:val="center"/>
            </w:pPr>
            <w:r>
              <w:t>FPL</w:t>
            </w:r>
          </w:p>
        </w:tc>
        <w:tc>
          <w:tcPr>
            <w:tcW w:w="3546" w:type="dxa"/>
            <w:tcBorders>
              <w:top w:val="nil"/>
              <w:left w:val="nil"/>
              <w:bottom w:val="nil"/>
              <w:right w:val="nil"/>
            </w:tcBorders>
          </w:tcPr>
          <w:p w:rsidR="00142401" w:rsidRPr="00701945" w:rsidRDefault="00FC6890" w:rsidP="004814F5">
            <w:r>
              <w:t>2I, 2J</w:t>
            </w:r>
          </w:p>
        </w:tc>
      </w:tr>
      <w:tr w:rsidR="001B7959" w:rsidRPr="00701945" w:rsidTr="004814F5">
        <w:trPr>
          <w:cantSplit/>
          <w:trHeight w:val="362"/>
        </w:trPr>
        <w:tc>
          <w:tcPr>
            <w:tcW w:w="3507" w:type="dxa"/>
            <w:tcBorders>
              <w:top w:val="nil"/>
              <w:left w:val="nil"/>
              <w:bottom w:val="nil"/>
              <w:right w:val="nil"/>
            </w:tcBorders>
          </w:tcPr>
          <w:p w:rsidR="001B7959" w:rsidRPr="001B7959" w:rsidRDefault="00D24DDE" w:rsidP="001B7959">
            <w:pPr>
              <w:pStyle w:val="BodyText2"/>
              <w:ind w:firstLine="0"/>
              <w:jc w:val="left"/>
              <w:rPr>
                <w:rStyle w:val="WitnessandExhibitTableHeader"/>
                <w:bCs/>
                <w:u w:val="none"/>
              </w:rPr>
            </w:pPr>
            <w:r>
              <w:rPr>
                <w:rStyle w:val="WitnessandExhibitTableHeader"/>
                <w:bCs/>
                <w:u w:val="none"/>
              </w:rPr>
              <w:t>+</w:t>
            </w:r>
            <w:r w:rsidR="001B7959" w:rsidRPr="001B7959">
              <w:rPr>
                <w:rStyle w:val="WitnessandExhibitTableHeader"/>
                <w:bCs/>
                <w:u w:val="none"/>
              </w:rPr>
              <w:t>Brittnee Baker*</w:t>
            </w:r>
          </w:p>
        </w:tc>
        <w:tc>
          <w:tcPr>
            <w:tcW w:w="2511" w:type="dxa"/>
            <w:tcBorders>
              <w:top w:val="nil"/>
              <w:left w:val="nil"/>
              <w:bottom w:val="nil"/>
              <w:right w:val="nil"/>
            </w:tcBorders>
          </w:tcPr>
          <w:p w:rsidR="001B7959" w:rsidRPr="00701945" w:rsidRDefault="001B7959" w:rsidP="001B7959">
            <w:pPr>
              <w:jc w:val="center"/>
            </w:pPr>
            <w:r>
              <w:t>FPUC</w:t>
            </w:r>
          </w:p>
        </w:tc>
        <w:tc>
          <w:tcPr>
            <w:tcW w:w="3546" w:type="dxa"/>
            <w:tcBorders>
              <w:top w:val="nil"/>
              <w:left w:val="nil"/>
              <w:bottom w:val="nil"/>
              <w:right w:val="nil"/>
            </w:tcBorders>
          </w:tcPr>
          <w:p w:rsidR="001B7959" w:rsidRPr="00701945" w:rsidRDefault="001B7959" w:rsidP="001B7959">
            <w:r>
              <w:t>7</w:t>
            </w:r>
          </w:p>
        </w:tc>
      </w:tr>
      <w:tr w:rsidR="001B7959" w:rsidRPr="00701945" w:rsidTr="004814F5">
        <w:trPr>
          <w:cantSplit/>
          <w:trHeight w:val="362"/>
        </w:trPr>
        <w:tc>
          <w:tcPr>
            <w:tcW w:w="3507" w:type="dxa"/>
            <w:tcBorders>
              <w:top w:val="nil"/>
              <w:left w:val="nil"/>
              <w:bottom w:val="nil"/>
              <w:right w:val="nil"/>
            </w:tcBorders>
          </w:tcPr>
          <w:p w:rsidR="001B7959" w:rsidRPr="001B7959" w:rsidRDefault="00D24DDE" w:rsidP="001B7959">
            <w:pPr>
              <w:pStyle w:val="BodyText2"/>
              <w:ind w:firstLine="0"/>
              <w:jc w:val="left"/>
              <w:rPr>
                <w:rStyle w:val="WitnessandExhibitTableHeader"/>
                <w:bCs/>
                <w:u w:val="none"/>
              </w:rPr>
            </w:pPr>
            <w:r>
              <w:rPr>
                <w:rStyle w:val="WitnessandExhibitTableHeader"/>
                <w:bCs/>
                <w:u w:val="none"/>
              </w:rPr>
              <w:t>+</w:t>
            </w:r>
            <w:r w:rsidR="001B7959">
              <w:rPr>
                <w:rStyle w:val="WitnessandExhibitTableHeader"/>
                <w:bCs/>
                <w:u w:val="none"/>
              </w:rPr>
              <w:t>Brittnee Baker</w:t>
            </w:r>
          </w:p>
        </w:tc>
        <w:tc>
          <w:tcPr>
            <w:tcW w:w="2511" w:type="dxa"/>
            <w:tcBorders>
              <w:top w:val="nil"/>
              <w:left w:val="nil"/>
              <w:bottom w:val="nil"/>
              <w:right w:val="nil"/>
            </w:tcBorders>
          </w:tcPr>
          <w:p w:rsidR="001B7959" w:rsidRDefault="001B7959" w:rsidP="001B7959">
            <w:pPr>
              <w:jc w:val="center"/>
            </w:pPr>
            <w:r>
              <w:t>FPUC</w:t>
            </w:r>
          </w:p>
        </w:tc>
        <w:tc>
          <w:tcPr>
            <w:tcW w:w="3546" w:type="dxa"/>
            <w:tcBorders>
              <w:top w:val="nil"/>
              <w:left w:val="nil"/>
              <w:bottom w:val="nil"/>
              <w:right w:val="nil"/>
            </w:tcBorders>
          </w:tcPr>
          <w:p w:rsidR="001B7959" w:rsidRDefault="001B7959" w:rsidP="001B7959">
            <w:r>
              <w:t>8</w:t>
            </w:r>
            <w:r w:rsidR="005E6568">
              <w:t>, 9, 10, 16, 17, 18, 19, 20, 31,32,33</w:t>
            </w:r>
          </w:p>
        </w:tc>
      </w:tr>
      <w:tr w:rsidR="001B7959" w:rsidRPr="00701945" w:rsidTr="004814F5">
        <w:trPr>
          <w:cantSplit/>
          <w:trHeight w:val="362"/>
        </w:trPr>
        <w:tc>
          <w:tcPr>
            <w:tcW w:w="3507" w:type="dxa"/>
            <w:tcBorders>
              <w:top w:val="nil"/>
              <w:left w:val="nil"/>
              <w:bottom w:val="nil"/>
              <w:right w:val="nil"/>
            </w:tcBorders>
          </w:tcPr>
          <w:p w:rsidR="001B7959" w:rsidRDefault="00D24DDE" w:rsidP="001B7959">
            <w:pPr>
              <w:jc w:val="both"/>
            </w:pPr>
            <w:r>
              <w:t>+</w:t>
            </w:r>
            <w:r w:rsidR="005E6568">
              <w:t>P. Mark Cutshaw</w:t>
            </w:r>
          </w:p>
        </w:tc>
        <w:tc>
          <w:tcPr>
            <w:tcW w:w="2511" w:type="dxa"/>
            <w:tcBorders>
              <w:top w:val="nil"/>
              <w:left w:val="nil"/>
              <w:bottom w:val="nil"/>
              <w:right w:val="nil"/>
            </w:tcBorders>
          </w:tcPr>
          <w:p w:rsidR="001B7959" w:rsidRPr="00701945" w:rsidRDefault="005E6568" w:rsidP="001B7959">
            <w:pPr>
              <w:jc w:val="center"/>
            </w:pPr>
            <w:r>
              <w:t>FPUC</w:t>
            </w:r>
          </w:p>
        </w:tc>
        <w:tc>
          <w:tcPr>
            <w:tcW w:w="3546" w:type="dxa"/>
            <w:tcBorders>
              <w:top w:val="nil"/>
              <w:left w:val="nil"/>
              <w:bottom w:val="nil"/>
              <w:right w:val="nil"/>
            </w:tcBorders>
          </w:tcPr>
          <w:p w:rsidR="001B7959" w:rsidRPr="00701945" w:rsidRDefault="005E6568" w:rsidP="001B7959">
            <w:r>
              <w:t>9, 10</w:t>
            </w:r>
          </w:p>
        </w:tc>
      </w:tr>
      <w:tr w:rsidR="00973781" w:rsidRPr="00701945" w:rsidTr="004814F5">
        <w:trPr>
          <w:cantSplit/>
          <w:trHeight w:val="362"/>
        </w:trPr>
        <w:tc>
          <w:tcPr>
            <w:tcW w:w="3507" w:type="dxa"/>
            <w:tcBorders>
              <w:top w:val="nil"/>
              <w:left w:val="nil"/>
              <w:bottom w:val="nil"/>
              <w:right w:val="nil"/>
            </w:tcBorders>
          </w:tcPr>
          <w:p w:rsidR="00973781" w:rsidRDefault="00D24DDE" w:rsidP="001B7959">
            <w:pPr>
              <w:jc w:val="both"/>
            </w:pPr>
            <w:r>
              <w:t>+</w:t>
            </w:r>
            <w:r w:rsidR="00973781">
              <w:t>Zel D. Jones</w:t>
            </w:r>
          </w:p>
        </w:tc>
        <w:tc>
          <w:tcPr>
            <w:tcW w:w="2511" w:type="dxa"/>
            <w:tcBorders>
              <w:top w:val="nil"/>
              <w:left w:val="nil"/>
              <w:bottom w:val="nil"/>
              <w:right w:val="nil"/>
            </w:tcBorders>
          </w:tcPr>
          <w:p w:rsidR="00973781" w:rsidRDefault="00973781" w:rsidP="001B7959">
            <w:pPr>
              <w:jc w:val="center"/>
            </w:pPr>
            <w:r>
              <w:t>TECO</w:t>
            </w:r>
          </w:p>
        </w:tc>
        <w:tc>
          <w:tcPr>
            <w:tcW w:w="3546" w:type="dxa"/>
            <w:tcBorders>
              <w:top w:val="nil"/>
              <w:left w:val="nil"/>
              <w:bottom w:val="nil"/>
              <w:right w:val="nil"/>
            </w:tcBorders>
          </w:tcPr>
          <w:p w:rsidR="00973781" w:rsidRDefault="00973781" w:rsidP="001B7959">
            <w:r>
              <w:t>5-10, 16-20, 24-30, 31-33</w:t>
            </w:r>
          </w:p>
        </w:tc>
      </w:tr>
      <w:tr w:rsidR="00973781" w:rsidRPr="00701945" w:rsidTr="004814F5">
        <w:trPr>
          <w:cantSplit/>
          <w:trHeight w:val="362"/>
        </w:trPr>
        <w:tc>
          <w:tcPr>
            <w:tcW w:w="3507" w:type="dxa"/>
            <w:tcBorders>
              <w:top w:val="nil"/>
              <w:left w:val="nil"/>
              <w:bottom w:val="nil"/>
              <w:right w:val="nil"/>
            </w:tcBorders>
          </w:tcPr>
          <w:p w:rsidR="00973781" w:rsidRDefault="00D24DDE" w:rsidP="001B7959">
            <w:pPr>
              <w:jc w:val="both"/>
            </w:pPr>
            <w:r>
              <w:t>+</w:t>
            </w:r>
            <w:r w:rsidR="00973781">
              <w:t>Elena B. Vance</w:t>
            </w:r>
          </w:p>
        </w:tc>
        <w:tc>
          <w:tcPr>
            <w:tcW w:w="2511" w:type="dxa"/>
            <w:tcBorders>
              <w:top w:val="nil"/>
              <w:left w:val="nil"/>
              <w:bottom w:val="nil"/>
              <w:right w:val="nil"/>
            </w:tcBorders>
          </w:tcPr>
          <w:p w:rsidR="00973781" w:rsidRDefault="00973781" w:rsidP="001B7959">
            <w:pPr>
              <w:jc w:val="center"/>
            </w:pPr>
            <w:r>
              <w:t>TECO</w:t>
            </w:r>
          </w:p>
        </w:tc>
        <w:tc>
          <w:tcPr>
            <w:tcW w:w="3546" w:type="dxa"/>
            <w:tcBorders>
              <w:top w:val="nil"/>
              <w:left w:val="nil"/>
              <w:bottom w:val="nil"/>
              <w:right w:val="nil"/>
            </w:tcBorders>
          </w:tcPr>
          <w:p w:rsidR="00973781" w:rsidRDefault="00973781" w:rsidP="001B7959">
            <w:r>
              <w:t>14, 15</w:t>
            </w:r>
          </w:p>
        </w:tc>
      </w:tr>
      <w:tr w:rsidR="00973781" w:rsidRPr="00701945" w:rsidTr="004814F5">
        <w:trPr>
          <w:cantSplit/>
          <w:trHeight w:val="362"/>
        </w:trPr>
        <w:tc>
          <w:tcPr>
            <w:tcW w:w="3507" w:type="dxa"/>
            <w:tcBorders>
              <w:top w:val="nil"/>
              <w:left w:val="nil"/>
              <w:bottom w:val="nil"/>
              <w:right w:val="nil"/>
            </w:tcBorders>
          </w:tcPr>
          <w:p w:rsidR="00973781" w:rsidRDefault="00D24DDE" w:rsidP="001B7959">
            <w:pPr>
              <w:jc w:val="both"/>
            </w:pPr>
            <w:r>
              <w:t>+</w:t>
            </w:r>
            <w:r w:rsidR="00973781">
              <w:t>Benjamin F. Smith</w:t>
            </w:r>
          </w:p>
        </w:tc>
        <w:tc>
          <w:tcPr>
            <w:tcW w:w="2511" w:type="dxa"/>
            <w:tcBorders>
              <w:top w:val="nil"/>
              <w:left w:val="nil"/>
              <w:bottom w:val="nil"/>
              <w:right w:val="nil"/>
            </w:tcBorders>
          </w:tcPr>
          <w:p w:rsidR="00973781" w:rsidRDefault="00973781" w:rsidP="001B7959">
            <w:pPr>
              <w:jc w:val="center"/>
            </w:pPr>
            <w:r>
              <w:t>TECO</w:t>
            </w:r>
          </w:p>
        </w:tc>
        <w:tc>
          <w:tcPr>
            <w:tcW w:w="3546" w:type="dxa"/>
            <w:tcBorders>
              <w:top w:val="nil"/>
              <w:left w:val="nil"/>
              <w:bottom w:val="nil"/>
              <w:right w:val="nil"/>
            </w:tcBorders>
          </w:tcPr>
          <w:p w:rsidR="00973781" w:rsidRDefault="00973781" w:rsidP="001B7959">
            <w:r>
              <w:t>28</w:t>
            </w:r>
          </w:p>
        </w:tc>
      </w:tr>
      <w:tr w:rsidR="00973781" w:rsidRPr="00701945" w:rsidTr="004814F5">
        <w:trPr>
          <w:cantSplit/>
          <w:trHeight w:val="362"/>
        </w:trPr>
        <w:tc>
          <w:tcPr>
            <w:tcW w:w="3507" w:type="dxa"/>
            <w:tcBorders>
              <w:top w:val="nil"/>
              <w:left w:val="nil"/>
              <w:bottom w:val="nil"/>
              <w:right w:val="nil"/>
            </w:tcBorders>
          </w:tcPr>
          <w:p w:rsidR="00973781" w:rsidRDefault="00D24DDE" w:rsidP="001B7959">
            <w:pPr>
              <w:jc w:val="both"/>
            </w:pPr>
            <w:r>
              <w:t>+</w:t>
            </w:r>
            <w:r w:rsidR="00973781">
              <w:t>John C. Heisey</w:t>
            </w:r>
          </w:p>
        </w:tc>
        <w:tc>
          <w:tcPr>
            <w:tcW w:w="2511" w:type="dxa"/>
            <w:tcBorders>
              <w:top w:val="nil"/>
              <w:left w:val="nil"/>
              <w:bottom w:val="nil"/>
              <w:right w:val="nil"/>
            </w:tcBorders>
          </w:tcPr>
          <w:p w:rsidR="00973781" w:rsidRDefault="00973781" w:rsidP="001B7959">
            <w:pPr>
              <w:jc w:val="center"/>
            </w:pPr>
            <w:r>
              <w:t>TECO</w:t>
            </w:r>
          </w:p>
        </w:tc>
        <w:tc>
          <w:tcPr>
            <w:tcW w:w="3546" w:type="dxa"/>
            <w:tcBorders>
              <w:top w:val="nil"/>
              <w:left w:val="nil"/>
              <w:bottom w:val="nil"/>
              <w:right w:val="nil"/>
            </w:tcBorders>
          </w:tcPr>
          <w:p w:rsidR="00973781" w:rsidRDefault="00973781" w:rsidP="001B7959">
            <w:r>
              <w:t>4A, 4B, 16</w:t>
            </w:r>
          </w:p>
        </w:tc>
      </w:tr>
      <w:tr w:rsidR="001B7959" w:rsidRPr="00701945" w:rsidTr="004814F5">
        <w:trPr>
          <w:cantSplit/>
          <w:trHeight w:val="382"/>
        </w:trPr>
        <w:tc>
          <w:tcPr>
            <w:tcW w:w="3507" w:type="dxa"/>
            <w:tcBorders>
              <w:top w:val="nil"/>
              <w:left w:val="nil"/>
              <w:bottom w:val="nil"/>
              <w:right w:val="nil"/>
            </w:tcBorders>
          </w:tcPr>
          <w:p w:rsidR="001B7959" w:rsidRPr="00701945" w:rsidRDefault="001B7959" w:rsidP="001B7959">
            <w:pPr>
              <w:jc w:val="both"/>
            </w:pPr>
          </w:p>
        </w:tc>
        <w:tc>
          <w:tcPr>
            <w:tcW w:w="2511" w:type="dxa"/>
            <w:tcBorders>
              <w:top w:val="nil"/>
              <w:left w:val="nil"/>
              <w:bottom w:val="nil"/>
              <w:right w:val="nil"/>
            </w:tcBorders>
          </w:tcPr>
          <w:p w:rsidR="001B7959" w:rsidRPr="00701945" w:rsidRDefault="001B7959" w:rsidP="001B7959">
            <w:pPr>
              <w:jc w:val="center"/>
            </w:pPr>
          </w:p>
        </w:tc>
        <w:tc>
          <w:tcPr>
            <w:tcW w:w="3546" w:type="dxa"/>
            <w:tcBorders>
              <w:top w:val="nil"/>
              <w:left w:val="nil"/>
              <w:bottom w:val="nil"/>
              <w:right w:val="nil"/>
            </w:tcBorders>
          </w:tcPr>
          <w:p w:rsidR="001B7959" w:rsidRPr="00701945" w:rsidRDefault="001B7959" w:rsidP="001B7959"/>
        </w:tc>
      </w:tr>
    </w:tbl>
    <w:p w:rsidR="00B21ABE" w:rsidRDefault="001B7959" w:rsidP="00B21ABE">
      <w:pPr>
        <w:jc w:val="both"/>
      </w:pPr>
      <w:r>
        <w:t>* Adopting the testimony of Phuong T. Nguyen.</w:t>
      </w:r>
    </w:p>
    <w:p w:rsidR="00483F1A" w:rsidRPr="00C41EFE" w:rsidRDefault="00D24DDE" w:rsidP="00B21ABE">
      <w:pPr>
        <w:jc w:val="both"/>
      </w:pPr>
      <w:r>
        <w:rPr>
          <w:b/>
        </w:rPr>
        <w:t>+</w:t>
      </w:r>
      <w:r w:rsidR="00C41EFE">
        <w:rPr>
          <w:b/>
        </w:rPr>
        <w:t xml:space="preserve"> </w:t>
      </w:r>
      <w:r w:rsidR="00C41EFE">
        <w:t>These witnesses have been excused from attending the final hearing.</w:t>
      </w:r>
    </w:p>
    <w:p w:rsidR="00B21ABE" w:rsidRPr="00A32DC5" w:rsidRDefault="00B21ABE" w:rsidP="00B21ABE">
      <w:pPr>
        <w:jc w:val="both"/>
        <w:rPr>
          <w:b/>
        </w:rPr>
      </w:pPr>
      <w:r w:rsidRPr="00A32DC5">
        <w:rPr>
          <w:b/>
        </w:rPr>
        <w:lastRenderedPageBreak/>
        <w:t>VII.</w:t>
      </w:r>
      <w:r w:rsidRPr="00A32DC5">
        <w:rPr>
          <w:b/>
        </w:rPr>
        <w:tab/>
      </w:r>
      <w:r w:rsidRPr="00A32DC5">
        <w:rPr>
          <w:b/>
          <w:u w:val="single"/>
        </w:rPr>
        <w:t>BASIC POSITIONS</w:t>
      </w:r>
    </w:p>
    <w:p w:rsidR="00B21ABE" w:rsidRDefault="00B21ABE" w:rsidP="00B21ABE">
      <w:pPr>
        <w:jc w:val="both"/>
      </w:pPr>
    </w:p>
    <w:p w:rsidR="008E6B28" w:rsidRDefault="008E6B28" w:rsidP="008E6B28">
      <w:pPr>
        <w:rPr>
          <w:spacing w:val="-2"/>
          <w:w w:val="105"/>
        </w:rPr>
      </w:pPr>
      <w:r>
        <w:rPr>
          <w:b/>
        </w:rPr>
        <w:t>DEF:</w:t>
      </w:r>
      <w:r>
        <w:rPr>
          <w:b/>
        </w:rPr>
        <w:tab/>
      </w:r>
      <w:r w:rsidR="00E06FF8">
        <w:rPr>
          <w:b/>
        </w:rPr>
        <w:tab/>
      </w:r>
      <w:r>
        <w:rPr>
          <w:w w:val="105"/>
        </w:rPr>
        <w:t>Not</w:t>
      </w:r>
      <w:r>
        <w:rPr>
          <w:spacing w:val="-5"/>
          <w:w w:val="105"/>
        </w:rPr>
        <w:t xml:space="preserve"> </w:t>
      </w:r>
      <w:r>
        <w:rPr>
          <w:w w:val="105"/>
        </w:rPr>
        <w:t>applicable.</w:t>
      </w:r>
      <w:r>
        <w:rPr>
          <w:spacing w:val="-6"/>
          <w:w w:val="105"/>
        </w:rPr>
        <w:t xml:space="preserve"> </w:t>
      </w:r>
      <w:r>
        <w:rPr>
          <w:w w:val="105"/>
        </w:rPr>
        <w:t>DEF’s positions</w:t>
      </w:r>
      <w:r>
        <w:rPr>
          <w:spacing w:val="-3"/>
          <w:w w:val="105"/>
        </w:rPr>
        <w:t xml:space="preserve"> </w:t>
      </w:r>
      <w:r>
        <w:rPr>
          <w:w w:val="105"/>
        </w:rPr>
        <w:t>on</w:t>
      </w:r>
      <w:r>
        <w:rPr>
          <w:spacing w:val="-2"/>
          <w:w w:val="105"/>
        </w:rPr>
        <w:t xml:space="preserve"> </w:t>
      </w:r>
      <w:r>
        <w:rPr>
          <w:w w:val="105"/>
        </w:rPr>
        <w:t>specific</w:t>
      </w:r>
      <w:r>
        <w:rPr>
          <w:spacing w:val="-3"/>
          <w:w w:val="105"/>
        </w:rPr>
        <w:t xml:space="preserve"> </w:t>
      </w:r>
      <w:r>
        <w:rPr>
          <w:w w:val="105"/>
        </w:rPr>
        <w:t>issues</w:t>
      </w:r>
      <w:r>
        <w:rPr>
          <w:spacing w:val="-3"/>
          <w:w w:val="105"/>
        </w:rPr>
        <w:t xml:space="preserve"> </w:t>
      </w:r>
      <w:r>
        <w:rPr>
          <w:w w:val="105"/>
        </w:rPr>
        <w:t>are</w:t>
      </w:r>
      <w:r>
        <w:rPr>
          <w:spacing w:val="-3"/>
          <w:w w:val="105"/>
        </w:rPr>
        <w:t xml:space="preserve"> </w:t>
      </w:r>
      <w:r>
        <w:rPr>
          <w:w w:val="105"/>
        </w:rPr>
        <w:t xml:space="preserve">listed </w:t>
      </w:r>
      <w:r>
        <w:rPr>
          <w:spacing w:val="-2"/>
          <w:w w:val="105"/>
        </w:rPr>
        <w:t>below.</w:t>
      </w:r>
    </w:p>
    <w:p w:rsidR="00167A33" w:rsidRDefault="00167A33" w:rsidP="008E6B28"/>
    <w:p w:rsidR="00167A33" w:rsidRPr="00E43773" w:rsidRDefault="008E6B28" w:rsidP="00E06FF8">
      <w:pPr>
        <w:ind w:left="1440" w:hanging="1440"/>
        <w:jc w:val="both"/>
      </w:pPr>
      <w:r>
        <w:rPr>
          <w:b/>
        </w:rPr>
        <w:t>FPL:</w:t>
      </w:r>
      <w:r w:rsidR="00167A33">
        <w:rPr>
          <w:b/>
        </w:rPr>
        <w:tab/>
      </w:r>
      <w:r w:rsidR="00167A33" w:rsidRPr="00E43773">
        <w:t>FPL’s 202</w:t>
      </w:r>
      <w:r w:rsidR="00167A33">
        <w:t>5</w:t>
      </w:r>
      <w:r w:rsidR="00167A33" w:rsidRPr="00E43773">
        <w:t xml:space="preserve"> Fuel and Purchased Power Cost Recovery factors and Capacity Cost Recovery factors are appropriate and reasonable and should be approved.  FPL’s proposed FCR factors for the </w:t>
      </w:r>
      <w:r w:rsidR="00167A33" w:rsidRPr="00063A0C">
        <w:t>period January 2025 through December 2025 reflect the recovery of projected total net fuel costs of $3,431,589,874.  This amount includes</w:t>
      </w:r>
      <w:r w:rsidR="00167A33">
        <w:t xml:space="preserve"> an estimated 2024 net true-up,</w:t>
      </w:r>
      <w:r w:rsidR="00167A33" w:rsidRPr="00063A0C">
        <w:t xml:space="preserve"> the Generating Performance Incentive Factor (“GPIF”) reward, FPL’s 2025 projected fuel costs, FPL’s portion of the 2023 Jurisdictional Asset Optimization Gains, and the projected 2025 FPL SolarTogether Credit.  FPL’s proposed CCR factors for the period January 2025 through December 2025 reflect the recovery of projected total net capacity costs of $117,186,652.  This amount includes</w:t>
      </w:r>
      <w:r w:rsidR="00167A33">
        <w:t xml:space="preserve"> the 2023 final true-up,</w:t>
      </w:r>
      <w:r w:rsidR="00167A33" w:rsidRPr="00063A0C">
        <w:t xml:space="preserve"> the 2024 actual/estimated under-recovery, FPL’s 2025</w:t>
      </w:r>
      <w:r w:rsidR="00167A33" w:rsidRPr="00E43773">
        <w:t xml:space="preserve"> projected fuel costs, and a revenue requirement reduction to reflect incremental tax savings (for 202</w:t>
      </w:r>
      <w:r w:rsidR="00167A33">
        <w:t>5</w:t>
      </w:r>
      <w:r w:rsidR="00167A33" w:rsidRPr="00E43773">
        <w:t>) stemming from the Inflation Reduction Act.  In addition, FPL’s 202</w:t>
      </w:r>
      <w:r w:rsidR="00167A33">
        <w:t>5</w:t>
      </w:r>
      <w:r w:rsidR="00167A33" w:rsidRPr="00E43773">
        <w:t xml:space="preserve"> Risk Management Plan and GPIF targets and ranges are reasonable and should be approved.</w:t>
      </w:r>
    </w:p>
    <w:p w:rsidR="008E6B28" w:rsidRPr="00167A33" w:rsidRDefault="008E6B28" w:rsidP="005E6568">
      <w:pPr>
        <w:jc w:val="both"/>
      </w:pPr>
    </w:p>
    <w:p w:rsidR="008E6B28" w:rsidRDefault="00167A33" w:rsidP="00E06FF8">
      <w:pPr>
        <w:ind w:left="1440"/>
        <w:jc w:val="both"/>
      </w:pPr>
      <w:r w:rsidRPr="00E43773">
        <w:t>FPL’s request for a Solar Base Rate Adjustment (“SoBRA”) to be effective 202</w:t>
      </w:r>
      <w:r>
        <w:t>5</w:t>
      </w:r>
      <w:r w:rsidRPr="00E43773">
        <w:t>, satisfies the requirements set forth in Order No. PSC-2021-0446-S-EI (the “2021 Rate Settlement” or “Settlement”), and should therefore be approved.  FPL will place 894 MW</w:t>
      </w:r>
      <w:r w:rsidRPr="00E43773">
        <w:rPr>
          <w:rStyle w:val="FootnoteReference"/>
        </w:rPr>
        <w:footnoteReference w:id="1"/>
      </w:r>
      <w:r w:rsidRPr="00E43773">
        <w:t xml:space="preserve"> of solar generation </w:t>
      </w:r>
      <w:r w:rsidRPr="00063A0C">
        <w:t>into service in 2025 (the “2025 Project”), which is projected to save FPL customers approximately $911 million on a cumulative present value of revenue requirements (“CPVRR”) basis.  In addition, FPL’s costs are reasonable, and it is limiting the amount of construction costs to be recovered through the SoBRA to $1,159 per kW in accordance with the “Adjusted Cap” prescribed by the Settlement.  Finally, the revenue requirement of $61.087 million and SoBRA factor of 0.667% are calculated</w:t>
      </w:r>
      <w:r w:rsidRPr="00E43773">
        <w:t xml:space="preserve"> in accordance with the terms approved in the 2021 Rate Settlement.  Accordingly, the Commission should approve the proposed tariff rates reflecting the requested base rate percentage increase for the 202</w:t>
      </w:r>
      <w:r>
        <w:t>5</w:t>
      </w:r>
      <w:r w:rsidRPr="00E43773">
        <w:t xml:space="preserve"> SoBRA.</w:t>
      </w:r>
    </w:p>
    <w:p w:rsidR="00167A33" w:rsidRDefault="00167A33" w:rsidP="00167A33">
      <w:pPr>
        <w:ind w:left="720"/>
        <w:rPr>
          <w:b/>
        </w:rPr>
      </w:pPr>
    </w:p>
    <w:p w:rsidR="008E6B28" w:rsidRDefault="005E6568" w:rsidP="00E06FF8">
      <w:pPr>
        <w:ind w:left="1440" w:hanging="1440"/>
        <w:jc w:val="both"/>
        <w:rPr>
          <w:b/>
        </w:rPr>
      </w:pPr>
      <w:r>
        <w:rPr>
          <w:b/>
        </w:rPr>
        <w:t>F</w:t>
      </w:r>
      <w:r w:rsidR="008E6B28">
        <w:rPr>
          <w:b/>
        </w:rPr>
        <w:t>PUC:</w:t>
      </w:r>
      <w:r w:rsidR="00E06FF8">
        <w:rPr>
          <w:b/>
        </w:rPr>
        <w:tab/>
      </w:r>
      <w:r>
        <w:t xml:space="preserve">The Commission should approve Florida Public Utilities Company’s final net true-up for the period January through December 2023, the estimated true-up for the period January through December 2024, and the pruchase power cost recovery factors for the period January through December 2025, until subsequently revised by the Commission. </w:t>
      </w:r>
      <w:r>
        <w:rPr>
          <w:b/>
        </w:rPr>
        <w:t xml:space="preserve"> </w:t>
      </w:r>
    </w:p>
    <w:p w:rsidR="008E6B28" w:rsidRDefault="008E6B28" w:rsidP="005E6568">
      <w:pPr>
        <w:jc w:val="both"/>
        <w:rPr>
          <w:b/>
        </w:rPr>
      </w:pPr>
    </w:p>
    <w:p w:rsidR="00973781" w:rsidRPr="00C809DC" w:rsidRDefault="008E6B28" w:rsidP="00E06FF8">
      <w:pPr>
        <w:ind w:left="1440" w:hanging="1440"/>
        <w:jc w:val="both"/>
      </w:pPr>
      <w:r>
        <w:rPr>
          <w:b/>
        </w:rPr>
        <w:t>TECO:</w:t>
      </w:r>
      <w:r w:rsidR="00973781">
        <w:rPr>
          <w:b/>
        </w:rPr>
        <w:t xml:space="preserve"> </w:t>
      </w:r>
      <w:r w:rsidR="00E06FF8">
        <w:rPr>
          <w:b/>
        </w:rPr>
        <w:tab/>
      </w:r>
      <w:r w:rsidR="00973781" w:rsidRPr="00C809DC">
        <w:t xml:space="preserve">The Commission should approve Tampa Electric's calculation of its fuel adjustment, capacity cost recovery, and GPIF true-up and projection calculations, including the proposed fuel adjustment factor of </w:t>
      </w:r>
      <w:r w:rsidR="00973781">
        <w:t xml:space="preserve">3.083 </w:t>
      </w:r>
      <w:r w:rsidR="00973781" w:rsidRPr="00C809DC">
        <w:t xml:space="preserve">cents per kWh before any application of time of use multipliers for on-peak or off-peak </w:t>
      </w:r>
      <w:r w:rsidR="00973781">
        <w:t xml:space="preserve">or super off-peak </w:t>
      </w:r>
      <w:r w:rsidR="00973781" w:rsidRPr="00C809DC">
        <w:lastRenderedPageBreak/>
        <w:t>usage</w:t>
      </w:r>
      <w:r w:rsidR="00973781">
        <w:t xml:space="preserve"> for the period January 2025 through May 2025 and </w:t>
      </w:r>
      <w:r w:rsidR="00973781" w:rsidRPr="00C809DC">
        <w:t xml:space="preserve">the proposed fuel adjustment factor of </w:t>
      </w:r>
      <w:r w:rsidR="00973781">
        <w:t xml:space="preserve">3.391 </w:t>
      </w:r>
      <w:r w:rsidR="00973781" w:rsidRPr="00C809DC">
        <w:t xml:space="preserve">cents per kWh before any application of time of use multipliers for on-peak or off-peak </w:t>
      </w:r>
      <w:r w:rsidR="00973781">
        <w:t xml:space="preserve">or super off-peak </w:t>
      </w:r>
      <w:r w:rsidR="00973781" w:rsidRPr="00C809DC">
        <w:t>usage</w:t>
      </w:r>
      <w:r w:rsidR="00973781">
        <w:t xml:space="preserve"> for the period June 2025 through December 2025</w:t>
      </w:r>
      <w:r w:rsidR="00973781" w:rsidRPr="00C809DC">
        <w:t xml:space="preserve">; the company's proposed capacity factor for the period January through December </w:t>
      </w:r>
      <w:r w:rsidR="00973781">
        <w:t>2025</w:t>
      </w:r>
      <w:r w:rsidR="00973781" w:rsidRPr="00C809DC">
        <w:t xml:space="preserve">; a GPIF </w:t>
      </w:r>
      <w:r w:rsidR="00973781">
        <w:t>reward</w:t>
      </w:r>
      <w:r w:rsidR="00973781" w:rsidRPr="00C809DC">
        <w:t xml:space="preserve"> of </w:t>
      </w:r>
      <w:r w:rsidR="00973781" w:rsidRPr="00C809DC">
        <w:rPr>
          <w:bCs/>
        </w:rPr>
        <w:t>$</w:t>
      </w:r>
      <w:r w:rsidR="00973781">
        <w:rPr>
          <w:bCs/>
        </w:rPr>
        <w:t>1,830,750</w:t>
      </w:r>
      <w:r w:rsidR="00973781" w:rsidRPr="00C809DC">
        <w:rPr>
          <w:bCs/>
        </w:rPr>
        <w:t xml:space="preserve"> for performance during </w:t>
      </w:r>
      <w:r w:rsidR="00973781">
        <w:rPr>
          <w:bCs/>
        </w:rPr>
        <w:t>2023</w:t>
      </w:r>
      <w:r w:rsidR="00973781" w:rsidRPr="00C809DC">
        <w:rPr>
          <w:bCs/>
        </w:rPr>
        <w:t xml:space="preserve"> and </w:t>
      </w:r>
      <w:r w:rsidR="00973781" w:rsidRPr="00C809DC">
        <w:t xml:space="preserve">the company’s proposed GPIF targets and ranges for </w:t>
      </w:r>
      <w:r w:rsidR="00973781">
        <w:t>2025</w:t>
      </w:r>
      <w:r w:rsidR="00973781" w:rsidRPr="00C809DC">
        <w:t xml:space="preserve">.  </w:t>
      </w:r>
    </w:p>
    <w:p w:rsidR="008E6B28" w:rsidRDefault="008E6B28" w:rsidP="00973781">
      <w:pPr>
        <w:jc w:val="both"/>
        <w:rPr>
          <w:b/>
        </w:rPr>
      </w:pPr>
    </w:p>
    <w:p w:rsidR="008F3A80" w:rsidRPr="00346841" w:rsidRDefault="008E6B28" w:rsidP="00E06FF8">
      <w:pPr>
        <w:ind w:left="1440" w:hanging="1440"/>
        <w:jc w:val="both"/>
      </w:pPr>
      <w:r>
        <w:rPr>
          <w:b/>
        </w:rPr>
        <w:t>OPC:</w:t>
      </w:r>
      <w:r w:rsidR="008F3A80">
        <w:rPr>
          <w:b/>
        </w:rPr>
        <w:t xml:space="preserve"> </w:t>
      </w:r>
      <w:r w:rsidR="00E06FF8">
        <w:rPr>
          <w:b/>
        </w:rPr>
        <w:tab/>
      </w:r>
      <w:r w:rsidR="008F3A80" w:rsidRPr="00346841">
        <w:t xml:space="preserve">The utilities bear the burden of proof to justify the recovery of costs they request in this docket and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w:t>
      </w:r>
      <w:r w:rsidR="008F3A80">
        <w:t>a</w:t>
      </w:r>
      <w:r w:rsidR="008F3A80" w:rsidRPr="00346841">
        <w:t>mount and prudently incurred.  Further, recovery of all costs is constrained by the Commission’s obligation to set fair, just, and reasonable rates, based on projects that are prudent in purpose and scope and costs that are prudently incurred pursuant to Section 366.01, Florida Statutes. Additionally, the provisions of Chapter 366 must be liberally construed to protect the public welfare.</w:t>
      </w:r>
    </w:p>
    <w:p w:rsidR="008E6B28" w:rsidRDefault="008E6B28" w:rsidP="008F3A80">
      <w:pPr>
        <w:jc w:val="both"/>
        <w:rPr>
          <w:b/>
        </w:rPr>
      </w:pPr>
    </w:p>
    <w:p w:rsidR="008E6B28" w:rsidRDefault="008E6B28" w:rsidP="00E06FF8">
      <w:pPr>
        <w:ind w:left="1440" w:hanging="1440"/>
        <w:jc w:val="both"/>
        <w:rPr>
          <w:b/>
        </w:rPr>
      </w:pPr>
      <w:r>
        <w:rPr>
          <w:b/>
        </w:rPr>
        <w:t>FIPUG</w:t>
      </w:r>
      <w:r w:rsidR="00BA384C">
        <w:rPr>
          <w:b/>
        </w:rPr>
        <w:t>:</w:t>
      </w:r>
      <w:r w:rsidR="00876EEB">
        <w:rPr>
          <w:b/>
        </w:rPr>
        <w:t xml:space="preserve">  </w:t>
      </w:r>
      <w:r w:rsidR="00E06FF8">
        <w:rPr>
          <w:b/>
        </w:rPr>
        <w:tab/>
      </w:r>
      <w:r w:rsidR="00876EEB" w:rsidRPr="00FE0C88">
        <w:t>The utilities bear the burden of proof to justify the recovery of costs they request in this docket</w:t>
      </w:r>
      <w:r w:rsidR="00876EEB">
        <w:t xml:space="preserve"> as reasonable and prudent. The utilities </w:t>
      </w:r>
      <w:r w:rsidR="00876EEB" w:rsidRPr="00FE0C88">
        <w:rPr>
          <w:bCs/>
        </w:rPr>
        <w:t>must carry this burden regardless of whether or not</w:t>
      </w:r>
      <w:r w:rsidR="00876EEB">
        <w:rPr>
          <w:bCs/>
        </w:rPr>
        <w:t xml:space="preserve"> FIPUG or other parties</w:t>
      </w:r>
      <w:r w:rsidR="00876EEB" w:rsidRPr="00FE0C88">
        <w:rPr>
          <w:bCs/>
        </w:rPr>
        <w:t xml:space="preserve"> </w:t>
      </w:r>
      <w:r w:rsidR="00876EEB">
        <w:rPr>
          <w:bCs/>
        </w:rPr>
        <w:t xml:space="preserve">introduce </w:t>
      </w:r>
      <w:r w:rsidR="00876EEB" w:rsidRPr="00FE0C88">
        <w:rPr>
          <w:bCs/>
        </w:rPr>
        <w:t xml:space="preserve">evidence to the contrary.  </w:t>
      </w:r>
      <w:r w:rsidR="00876EEB">
        <w:rPr>
          <w:bCs/>
        </w:rPr>
        <w:t>The</w:t>
      </w:r>
      <w:r w:rsidR="00876EEB" w:rsidRPr="00FE0C88">
        <w:rPr>
          <w:bCs/>
        </w:rPr>
        <w:t xml:space="preserve"> utilities </w:t>
      </w:r>
      <w:r w:rsidR="00876EEB">
        <w:rPr>
          <w:bCs/>
        </w:rPr>
        <w:t>must also carry their</w:t>
      </w:r>
      <w:r w:rsidR="00876EEB" w:rsidRPr="00FE0C88">
        <w:rPr>
          <w:bCs/>
        </w:rPr>
        <w:t xml:space="preserve"> burden of proof to support</w:t>
      </w:r>
      <w:r w:rsidR="00876EEB">
        <w:t xml:space="preserve"> their </w:t>
      </w:r>
      <w:r w:rsidR="00876EEB" w:rsidRPr="00FE0C88">
        <w:t xml:space="preserve">proposal(s) </w:t>
      </w:r>
      <w:r w:rsidR="00876EEB">
        <w:t>asking</w:t>
      </w:r>
      <w:r w:rsidR="00876EEB" w:rsidRPr="00FE0C88">
        <w:t xml:space="preserve"> the Commission's adoption of policy statements (whether new or changed) or other affirmative relief sought.</w:t>
      </w:r>
    </w:p>
    <w:p w:rsidR="008E6B28" w:rsidRDefault="008E6B28" w:rsidP="00B21ABE">
      <w:pPr>
        <w:jc w:val="both"/>
        <w:rPr>
          <w:b/>
        </w:rPr>
      </w:pPr>
    </w:p>
    <w:p w:rsidR="00AA4615" w:rsidRDefault="008E6B28" w:rsidP="00E06FF8">
      <w:pPr>
        <w:ind w:left="1440" w:hanging="1440"/>
        <w:jc w:val="both"/>
        <w:rPr>
          <w:color w:val="000000"/>
        </w:rPr>
      </w:pPr>
      <w:r>
        <w:rPr>
          <w:b/>
        </w:rPr>
        <w:t>FRF:</w:t>
      </w:r>
      <w:r w:rsidR="00AA4615">
        <w:rPr>
          <w:b/>
        </w:rPr>
        <w:t xml:space="preserve">  </w:t>
      </w:r>
      <w:r w:rsidR="00E06FF8">
        <w:rPr>
          <w:b/>
        </w:rPr>
        <w:tab/>
      </w:r>
      <w:r w:rsidR="00AA4615" w:rsidRPr="0053392F">
        <w:rPr>
          <w:color w:val="000000"/>
        </w:rPr>
        <w:t xml:space="preserve">The </w:t>
      </w:r>
      <w:r w:rsidR="00AA4615">
        <w:rPr>
          <w:color w:val="000000"/>
        </w:rPr>
        <w:t xml:space="preserve">Commission’s task in the Fuel Docket, as in all ratemaking proceedings, is to ensure that the rates charged by Florida public utilities are fair, just, reasonable, non-discriminatory, and neither insufficient nor excessive.  In this context, Florida public </w:t>
      </w:r>
      <w:r w:rsidR="00AA4615" w:rsidRPr="0053392F">
        <w:rPr>
          <w:color w:val="000000"/>
        </w:rPr>
        <w:t>utilities are only allowed to recover reasonable and prudent costs that are fully authorized by Florida Statutes</w:t>
      </w:r>
      <w:r w:rsidR="00AA4615">
        <w:rPr>
          <w:color w:val="000000"/>
        </w:rPr>
        <w:t>, Commission rules,</w:t>
      </w:r>
      <w:r w:rsidR="00AA4615" w:rsidRPr="0053392F">
        <w:rPr>
          <w:color w:val="000000"/>
        </w:rPr>
        <w:t xml:space="preserve"> and Commission orders</w:t>
      </w:r>
      <w:r w:rsidR="00AA4615">
        <w:rPr>
          <w:color w:val="000000"/>
        </w:rPr>
        <w:t xml:space="preserve"> </w:t>
      </w:r>
      <w:r w:rsidR="00AA4615" w:rsidRPr="0053392F">
        <w:rPr>
          <w:color w:val="000000"/>
        </w:rPr>
        <w:t xml:space="preserve">through their </w:t>
      </w:r>
      <w:r w:rsidR="00AA4615">
        <w:rPr>
          <w:color w:val="000000"/>
        </w:rPr>
        <w:t>F</w:t>
      </w:r>
      <w:r w:rsidR="00AA4615" w:rsidRPr="0053392F">
        <w:rPr>
          <w:color w:val="000000"/>
        </w:rPr>
        <w:t>uel Cost Recovery and Capacity Cost Recovery charges</w:t>
      </w:r>
      <w:r w:rsidR="00AA4615">
        <w:rPr>
          <w:color w:val="000000"/>
        </w:rPr>
        <w:t xml:space="preserve"> (collectively herein, “Fuel Charges”)</w:t>
      </w:r>
      <w:r w:rsidR="00AA4615" w:rsidRPr="0053392F">
        <w:rPr>
          <w:color w:val="000000"/>
        </w:rPr>
        <w:t xml:space="preserve">.  The utilities bear the burden of proof </w:t>
      </w:r>
      <w:r w:rsidR="00AA4615">
        <w:rPr>
          <w:color w:val="000000"/>
        </w:rPr>
        <w:t>that their proposed Fuel Charges satisfy the statutory criteria articulated above</w:t>
      </w:r>
      <w:r w:rsidR="00AA4615" w:rsidRPr="0053392F">
        <w:rPr>
          <w:color w:val="000000"/>
        </w:rPr>
        <w:t xml:space="preserve">.   </w:t>
      </w:r>
    </w:p>
    <w:p w:rsidR="008E6B28" w:rsidRDefault="008E6B28" w:rsidP="00B21ABE">
      <w:pPr>
        <w:jc w:val="both"/>
        <w:rPr>
          <w:b/>
        </w:rPr>
      </w:pPr>
    </w:p>
    <w:p w:rsidR="008E6B28" w:rsidRDefault="008E6B28" w:rsidP="00B21ABE">
      <w:pPr>
        <w:jc w:val="both"/>
        <w:rPr>
          <w:b/>
        </w:rPr>
      </w:pPr>
      <w:r>
        <w:rPr>
          <w:b/>
        </w:rPr>
        <w:t>PCS</w:t>
      </w:r>
    </w:p>
    <w:p w:rsidR="008E6B28" w:rsidRPr="005B64AC" w:rsidRDefault="008E6B28" w:rsidP="00E06FF8">
      <w:pPr>
        <w:ind w:left="1440" w:hanging="1440"/>
        <w:jc w:val="both"/>
      </w:pPr>
      <w:r>
        <w:rPr>
          <w:b/>
        </w:rPr>
        <w:t>Phosphate:</w:t>
      </w:r>
      <w:r w:rsidR="005B64AC">
        <w:rPr>
          <w:b/>
        </w:rPr>
        <w:t xml:space="preserve"> </w:t>
      </w:r>
      <w:r w:rsidR="00E06FF8">
        <w:rPr>
          <w:b/>
        </w:rPr>
        <w:tab/>
      </w:r>
      <w:r w:rsidR="005B64AC" w:rsidRPr="00241436">
        <w:t>Only costs prudently incurred and legally authorized may be recovered through the fuel clause. Florida electric utilities, including in particular Duke Energy Florida, LLC (“DEF”), must satisfy the burden of proving the reasonableness of any expenditures for which recovery or other relief is sought in this proceeding.</w:t>
      </w:r>
    </w:p>
    <w:p w:rsidR="008E6B28" w:rsidRDefault="008E6B28" w:rsidP="005B64AC">
      <w:pPr>
        <w:jc w:val="both"/>
        <w:rPr>
          <w:b/>
        </w:rPr>
      </w:pPr>
    </w:p>
    <w:p w:rsidR="008E6B28" w:rsidRPr="00B9400A" w:rsidRDefault="008E6B28" w:rsidP="00E06FF8">
      <w:pPr>
        <w:ind w:left="1440" w:hanging="1440"/>
        <w:jc w:val="both"/>
      </w:pPr>
      <w:r w:rsidRPr="00B9400A">
        <w:rPr>
          <w:b/>
        </w:rPr>
        <w:lastRenderedPageBreak/>
        <w:t>NUCOR:</w:t>
      </w:r>
      <w:r w:rsidR="00B9400A" w:rsidRPr="00B9400A">
        <w:rPr>
          <w:b/>
        </w:rPr>
        <w:t xml:space="preserve">  </w:t>
      </w:r>
      <w:r w:rsidR="00E06FF8">
        <w:rPr>
          <w:b/>
        </w:rPr>
        <w:tab/>
      </w:r>
      <w:r w:rsidR="00B9400A" w:rsidRPr="003D4768">
        <w:rPr>
          <w:rFonts w:cstheme="minorHAnsi"/>
          <w:bCs/>
        </w:rPr>
        <w:t>Nucor’s basic position is that Duke Energy Florida, LLC (“DEF”) bears the burden of proof to justify the costs it seeks to recover through the fuel clause</w:t>
      </w:r>
      <w:r w:rsidR="00B9400A">
        <w:rPr>
          <w:rFonts w:cstheme="minorHAnsi"/>
          <w:bCs/>
        </w:rPr>
        <w:t xml:space="preserve"> and capacity cost recovery clause </w:t>
      </w:r>
      <w:r w:rsidR="00B9400A" w:rsidRPr="003D4768">
        <w:rPr>
          <w:rFonts w:cstheme="minorHAnsi"/>
          <w:bCs/>
        </w:rPr>
        <w:t>and any other relief DEF requests in this proceeding</w:t>
      </w:r>
      <w:r w:rsidR="00B9400A" w:rsidRPr="00041B60">
        <w:rPr>
          <w:rFonts w:cstheme="minorHAnsi"/>
          <w:bCs/>
        </w:rPr>
        <w:t>.</w:t>
      </w:r>
      <w:r w:rsidR="00B9400A">
        <w:rPr>
          <w:rFonts w:cstheme="minorHAnsi"/>
          <w:bCs/>
        </w:rPr>
        <w:t xml:space="preserve"> Fuel expense makes up a large portion of DEF’s revenues and therefore a large portion of the charges passed onto customers. The Commission should carefully review DEF’s fuel costs to ensure that they were reasonably and prudently incurred.</w:t>
      </w:r>
    </w:p>
    <w:p w:rsidR="008E6B28" w:rsidRPr="008E6B28" w:rsidRDefault="008E6B28" w:rsidP="00B21ABE">
      <w:pPr>
        <w:jc w:val="both"/>
        <w:rPr>
          <w:b/>
        </w:rPr>
      </w:pPr>
    </w:p>
    <w:p w:rsidR="00B21ABE" w:rsidRDefault="00B21ABE" w:rsidP="00E06FF8">
      <w:pPr>
        <w:ind w:left="1440" w:hanging="1440"/>
        <w:jc w:val="both"/>
      </w:pPr>
      <w:r w:rsidRPr="005D4B47">
        <w:rPr>
          <w:b/>
          <w:bCs/>
        </w:rPr>
        <w:t>STAFF</w:t>
      </w:r>
      <w:r w:rsidRPr="00701945">
        <w:rPr>
          <w:b/>
          <w:bCs/>
        </w:rPr>
        <w:t>:</w:t>
      </w:r>
      <w:r w:rsidR="00D767DE">
        <w:rPr>
          <w:b/>
          <w:bCs/>
        </w:rPr>
        <w:t xml:space="preserve">  </w:t>
      </w:r>
      <w:r w:rsidR="00E06FF8">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4814F5">
        <w:t xml:space="preserve"> stated herein</w:t>
      </w:r>
      <w:r w:rsidRPr="00701945">
        <w:t xml:space="preserve">.  </w:t>
      </w:r>
    </w:p>
    <w:p w:rsidR="004814F5" w:rsidRDefault="004814F5" w:rsidP="00B21ABE">
      <w:pPr>
        <w:ind w:left="1440" w:hanging="1440"/>
        <w:jc w:val="both"/>
      </w:pPr>
    </w:p>
    <w:p w:rsidR="009068BF" w:rsidRPr="00701945" w:rsidRDefault="009068BF" w:rsidP="00B21ABE">
      <w:pPr>
        <w:ind w:left="1440" w:hanging="1440"/>
        <w:jc w:val="both"/>
      </w:pPr>
    </w:p>
    <w:p w:rsidR="00B21ABE" w:rsidRPr="00A32DC5" w:rsidRDefault="00B21ABE" w:rsidP="00B21ABE">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565CA9" w:rsidRDefault="00565CA9" w:rsidP="00565CA9">
      <w:pPr>
        <w:jc w:val="both"/>
        <w:rPr>
          <w:b/>
          <w:u w:val="single"/>
        </w:rPr>
      </w:pPr>
    </w:p>
    <w:p w:rsidR="00565CA9" w:rsidRPr="00D767DE" w:rsidRDefault="00565CA9" w:rsidP="00565CA9">
      <w:pPr>
        <w:jc w:val="both"/>
        <w:rPr>
          <w:b/>
        </w:rPr>
      </w:pPr>
      <w:r w:rsidRPr="00D767DE">
        <w:rPr>
          <w:b/>
        </w:rPr>
        <w:t>I.</w:t>
      </w:r>
      <w:r w:rsidRPr="00D767DE">
        <w:rPr>
          <w:b/>
        </w:rPr>
        <w:tab/>
      </w:r>
      <w:r w:rsidRPr="00046B0B">
        <w:rPr>
          <w:b/>
          <w:u w:val="single"/>
        </w:rPr>
        <w:t>COMPANY-SPECIFIC FUEL ISSUES</w:t>
      </w:r>
    </w:p>
    <w:p w:rsidR="00565CA9" w:rsidRPr="00BF6EBB" w:rsidRDefault="00565CA9" w:rsidP="00565CA9">
      <w:pPr>
        <w:autoSpaceDE w:val="0"/>
        <w:autoSpaceDN w:val="0"/>
        <w:adjustRightInd w:val="0"/>
        <w:ind w:left="1440" w:hanging="1440"/>
        <w:jc w:val="both"/>
        <w:rPr>
          <w:b/>
        </w:rPr>
      </w:pPr>
    </w:p>
    <w:p w:rsidR="00565CA9" w:rsidRPr="00BF6EBB" w:rsidRDefault="00565CA9" w:rsidP="00565CA9">
      <w:pPr>
        <w:autoSpaceDE w:val="0"/>
        <w:autoSpaceDN w:val="0"/>
        <w:adjustRightInd w:val="0"/>
        <w:ind w:left="1440" w:hanging="1440"/>
        <w:jc w:val="both"/>
        <w:rPr>
          <w:b/>
        </w:rPr>
      </w:pPr>
      <w:r w:rsidRPr="00BF6EBB">
        <w:rPr>
          <w:b/>
        </w:rPr>
        <w:t>Duke Energy Florida, LLC</w:t>
      </w:r>
    </w:p>
    <w:p w:rsidR="00565CA9" w:rsidRPr="00BF6EBB" w:rsidRDefault="00565CA9" w:rsidP="00565CA9">
      <w:pPr>
        <w:tabs>
          <w:tab w:val="left" w:pos="8571"/>
        </w:tabs>
        <w:autoSpaceDE w:val="0"/>
        <w:autoSpaceDN w:val="0"/>
        <w:adjustRightInd w:val="0"/>
        <w:ind w:left="1440" w:hanging="1440"/>
        <w:jc w:val="both"/>
      </w:pPr>
    </w:p>
    <w:p w:rsidR="00565CA9" w:rsidRDefault="00565CA9" w:rsidP="00565CA9">
      <w:pPr>
        <w:autoSpaceDE w:val="0"/>
        <w:autoSpaceDN w:val="0"/>
        <w:adjustRightInd w:val="0"/>
        <w:ind w:left="1440" w:hanging="1440"/>
        <w:jc w:val="both"/>
        <w:rPr>
          <w:b/>
        </w:rPr>
      </w:pPr>
      <w:r w:rsidRPr="00925D58">
        <w:rPr>
          <w:b/>
          <w:u w:val="single"/>
        </w:rPr>
        <w:t>ISSUE 1A</w:t>
      </w:r>
      <w:r w:rsidRPr="00925D58">
        <w:rPr>
          <w:b/>
        </w:rPr>
        <w:t>:</w:t>
      </w:r>
      <w:r>
        <w:rPr>
          <w:b/>
        </w:rPr>
        <w:tab/>
      </w:r>
      <w:r w:rsidRPr="009068BF">
        <w:rPr>
          <w:b/>
        </w:rPr>
        <w:t>Should the Commission approve DEF’s 2025 Risk Management Plan?</w:t>
      </w:r>
    </w:p>
    <w:p w:rsidR="005D35D0" w:rsidRDefault="005D35D0" w:rsidP="00565CA9">
      <w:pPr>
        <w:autoSpaceDE w:val="0"/>
        <w:autoSpaceDN w:val="0"/>
        <w:adjustRightInd w:val="0"/>
        <w:ind w:left="1440" w:hanging="1440"/>
        <w:jc w:val="both"/>
      </w:pPr>
    </w:p>
    <w:p w:rsidR="005D35D0" w:rsidRPr="005D35D0" w:rsidRDefault="005D35D0" w:rsidP="005D35D0">
      <w:pPr>
        <w:autoSpaceDE w:val="0"/>
        <w:autoSpaceDN w:val="0"/>
        <w:adjustRightInd w:val="0"/>
        <w:ind w:left="1440" w:hanging="1440"/>
        <w:jc w:val="both"/>
        <w:rPr>
          <w:b/>
        </w:rPr>
      </w:pPr>
      <w:r w:rsidRPr="00DB2037">
        <w:rPr>
          <w:b/>
        </w:rPr>
        <w:t>Stipulation:</w:t>
      </w:r>
      <w:r>
        <w:rPr>
          <w:b/>
        </w:rPr>
        <w:tab/>
      </w:r>
      <w:r w:rsidRPr="005D35D0">
        <w:t>See Section X, Proposed Stipulations.</w:t>
      </w:r>
    </w:p>
    <w:p w:rsidR="005D35D0" w:rsidRDefault="005D35D0" w:rsidP="005D35D0">
      <w:pPr>
        <w:autoSpaceDE w:val="0"/>
        <w:autoSpaceDN w:val="0"/>
        <w:adjustRightInd w:val="0"/>
        <w:ind w:left="1440" w:hanging="1440"/>
        <w:jc w:val="both"/>
        <w:rPr>
          <w:b/>
          <w:u w:val="single"/>
        </w:rPr>
      </w:pPr>
    </w:p>
    <w:p w:rsidR="001C2EE1" w:rsidRPr="005D35D0" w:rsidRDefault="001C2EE1" w:rsidP="005D35D0">
      <w:pPr>
        <w:autoSpaceDE w:val="0"/>
        <w:autoSpaceDN w:val="0"/>
        <w:adjustRightInd w:val="0"/>
        <w:ind w:left="1440" w:hanging="1440"/>
        <w:jc w:val="both"/>
        <w:rPr>
          <w:b/>
          <w:u w:val="single"/>
        </w:rPr>
      </w:pPr>
    </w:p>
    <w:p w:rsidR="00565CA9" w:rsidRDefault="005D35D0" w:rsidP="005D35D0">
      <w:pPr>
        <w:autoSpaceDE w:val="0"/>
        <w:autoSpaceDN w:val="0"/>
        <w:adjustRightInd w:val="0"/>
        <w:ind w:left="1440" w:hanging="1440"/>
        <w:jc w:val="both"/>
      </w:pPr>
      <w:r w:rsidRPr="005D35D0">
        <w:rPr>
          <w:b/>
          <w:u w:val="single"/>
        </w:rPr>
        <w:t>ISSUE 1B</w:t>
      </w:r>
      <w:r w:rsidRPr="005D35D0">
        <w:rPr>
          <w:b/>
        </w:rPr>
        <w:t>:</w:t>
      </w:r>
      <w:r>
        <w:rPr>
          <w:b/>
        </w:rPr>
        <w:tab/>
      </w:r>
      <w:r w:rsidRPr="005D35D0">
        <w:rPr>
          <w:b/>
        </w:rPr>
        <w:t>W</w:t>
      </w:r>
      <w:r w:rsidR="00565CA9" w:rsidRPr="009068BF">
        <w:rPr>
          <w:b/>
        </w:rPr>
        <w:t>hat is the appropriate subscription bill credit associated with DEF’s Clean Energy Connection Program, approved by Order No. PSC-2021-0059-S-EI, to be included for recovery in 2025?</w:t>
      </w:r>
    </w:p>
    <w:p w:rsidR="00565CA9" w:rsidRDefault="00565CA9" w:rsidP="00565CA9">
      <w:pPr>
        <w:autoSpaceDE w:val="0"/>
        <w:autoSpaceDN w:val="0"/>
        <w:adjustRightInd w:val="0"/>
        <w:jc w:val="both"/>
      </w:pPr>
    </w:p>
    <w:p w:rsidR="004814F5" w:rsidRPr="005D35D0" w:rsidRDefault="005D35D0" w:rsidP="00565CA9">
      <w:pPr>
        <w:autoSpaceDE w:val="0"/>
        <w:autoSpaceDN w:val="0"/>
        <w:adjustRightInd w:val="0"/>
        <w:jc w:val="both"/>
      </w:pPr>
      <w:r w:rsidRPr="00DB2037">
        <w:rPr>
          <w:b/>
        </w:rPr>
        <w:t>Stipulation:</w:t>
      </w:r>
      <w:r>
        <w:tab/>
        <w:t>See Section X, Proposed Stipulations.</w:t>
      </w:r>
    </w:p>
    <w:p w:rsidR="009068BF" w:rsidRDefault="009068BF" w:rsidP="00565CA9">
      <w:pPr>
        <w:autoSpaceDE w:val="0"/>
        <w:autoSpaceDN w:val="0"/>
        <w:adjustRightInd w:val="0"/>
        <w:jc w:val="both"/>
      </w:pPr>
    </w:p>
    <w:p w:rsidR="001C2EE1" w:rsidRDefault="001C2EE1" w:rsidP="00565CA9">
      <w:pPr>
        <w:autoSpaceDE w:val="0"/>
        <w:autoSpaceDN w:val="0"/>
        <w:adjustRightInd w:val="0"/>
        <w:jc w:val="both"/>
      </w:pPr>
    </w:p>
    <w:p w:rsidR="00565CA9" w:rsidRPr="000C6331" w:rsidRDefault="00565CA9" w:rsidP="00565CA9">
      <w:pPr>
        <w:autoSpaceDE w:val="0"/>
        <w:autoSpaceDN w:val="0"/>
        <w:adjustRightInd w:val="0"/>
        <w:ind w:left="1440" w:hanging="1440"/>
        <w:jc w:val="both"/>
      </w:pPr>
      <w:r>
        <w:rPr>
          <w:b/>
          <w:u w:val="single"/>
        </w:rPr>
        <w:t>ISSUE 1C</w:t>
      </w:r>
      <w:r>
        <w:rPr>
          <w:b/>
        </w:rPr>
        <w:t>:</w:t>
      </w:r>
      <w:r>
        <w:rPr>
          <w:b/>
        </w:rPr>
        <w:tab/>
      </w:r>
      <w:r w:rsidRPr="009068BF">
        <w:rPr>
          <w:b/>
        </w:rPr>
        <w:t>What is the appropriate Clean Energy Impact (CEI) credit, approved by Order No. PSC-2023-0191-TRF-EI, to be included in the fuel clause in 2025?</w:t>
      </w:r>
      <w:r>
        <w:t xml:space="preserve"> </w:t>
      </w:r>
    </w:p>
    <w:p w:rsidR="00565CA9" w:rsidRDefault="00565CA9" w:rsidP="00565CA9">
      <w:pPr>
        <w:autoSpaceDE w:val="0"/>
        <w:autoSpaceDN w:val="0"/>
        <w:adjustRightInd w:val="0"/>
        <w:ind w:left="1440" w:hanging="1440"/>
        <w:jc w:val="both"/>
      </w:pPr>
    </w:p>
    <w:p w:rsidR="004814F5" w:rsidRDefault="005D35D0" w:rsidP="00565CA9">
      <w:pPr>
        <w:autoSpaceDE w:val="0"/>
        <w:autoSpaceDN w:val="0"/>
        <w:adjustRightInd w:val="0"/>
        <w:ind w:left="1440" w:hanging="1440"/>
        <w:jc w:val="both"/>
      </w:pPr>
      <w:r w:rsidRPr="00DB2037">
        <w:rPr>
          <w:b/>
        </w:rPr>
        <w:t>Stipulation:</w:t>
      </w:r>
      <w:r>
        <w:tab/>
        <w:t>See Section X, Proposed Stipulations.</w:t>
      </w:r>
    </w:p>
    <w:p w:rsidR="005D35D0" w:rsidRDefault="005D35D0" w:rsidP="00565CA9">
      <w:pPr>
        <w:autoSpaceDE w:val="0"/>
        <w:autoSpaceDN w:val="0"/>
        <w:adjustRightInd w:val="0"/>
        <w:ind w:left="1440" w:hanging="1440"/>
        <w:jc w:val="both"/>
      </w:pPr>
    </w:p>
    <w:p w:rsidR="001C2EE1" w:rsidRPr="005D35D0" w:rsidRDefault="001C2EE1" w:rsidP="00565CA9">
      <w:pPr>
        <w:autoSpaceDE w:val="0"/>
        <w:autoSpaceDN w:val="0"/>
        <w:adjustRightInd w:val="0"/>
        <w:ind w:left="1440" w:hanging="1440"/>
        <w:jc w:val="both"/>
      </w:pPr>
    </w:p>
    <w:p w:rsidR="00565CA9" w:rsidRPr="00BF6EBB" w:rsidRDefault="00565CA9" w:rsidP="00565CA9">
      <w:pPr>
        <w:autoSpaceDE w:val="0"/>
        <w:autoSpaceDN w:val="0"/>
        <w:adjustRightInd w:val="0"/>
        <w:ind w:left="1440" w:hanging="1440"/>
        <w:jc w:val="both"/>
        <w:rPr>
          <w:b/>
          <w:u w:val="single"/>
        </w:rPr>
      </w:pPr>
      <w:r w:rsidRPr="00BF6EBB">
        <w:rPr>
          <w:b/>
        </w:rPr>
        <w:t>Florida Power &amp; Light</w:t>
      </w:r>
      <w:r>
        <w:rPr>
          <w:b/>
        </w:rPr>
        <w:t xml:space="preserve"> Company</w:t>
      </w:r>
    </w:p>
    <w:p w:rsidR="00565CA9" w:rsidRPr="00BF6EBB" w:rsidRDefault="00565CA9" w:rsidP="00565CA9">
      <w:pPr>
        <w:autoSpaceDE w:val="0"/>
        <w:autoSpaceDN w:val="0"/>
        <w:adjustRightInd w:val="0"/>
        <w:ind w:left="1440" w:hanging="1440"/>
        <w:jc w:val="both"/>
        <w:rPr>
          <w:b/>
          <w:u w:val="single"/>
        </w:rPr>
      </w:pPr>
    </w:p>
    <w:p w:rsidR="00565CA9" w:rsidRPr="00DF2F14" w:rsidRDefault="00565CA9" w:rsidP="00565CA9">
      <w:pPr>
        <w:autoSpaceDE w:val="0"/>
        <w:autoSpaceDN w:val="0"/>
        <w:adjustRightInd w:val="0"/>
        <w:ind w:left="1440" w:hanging="1440"/>
        <w:jc w:val="both"/>
      </w:pPr>
      <w:r w:rsidRPr="00BF6EBB">
        <w:rPr>
          <w:b/>
          <w:u w:val="single"/>
        </w:rPr>
        <w:t>ISSUE 2</w:t>
      </w:r>
      <w:r>
        <w:rPr>
          <w:b/>
          <w:u w:val="single"/>
        </w:rPr>
        <w:t>A</w:t>
      </w:r>
      <w:r w:rsidRPr="00BA384C">
        <w:rPr>
          <w:b/>
        </w:rPr>
        <w:t>:</w:t>
      </w:r>
      <w:r w:rsidRPr="00BA384C">
        <w:t xml:space="preserve"> </w:t>
      </w:r>
      <w:r w:rsidRPr="00DF2F14">
        <w:tab/>
      </w:r>
      <w:r w:rsidRPr="009068BF">
        <w:rPr>
          <w:b/>
        </w:rPr>
        <w:t>What was the total gain under FPL’s Incentive Mechanism approved by Order No. PSC-2021-0446A-S-EI that FPL may recover for the period January 2023 through December 2023, and how should that gain to be shared between FPL and its customers?</w:t>
      </w:r>
    </w:p>
    <w:p w:rsidR="00565CA9" w:rsidRDefault="00565CA9" w:rsidP="00565CA9">
      <w:pPr>
        <w:autoSpaceDE w:val="0"/>
        <w:autoSpaceDN w:val="0"/>
        <w:adjustRightInd w:val="0"/>
        <w:jc w:val="both"/>
      </w:pPr>
    </w:p>
    <w:p w:rsidR="005D35D0" w:rsidRDefault="005D35D0" w:rsidP="005D35D0">
      <w:pPr>
        <w:autoSpaceDE w:val="0"/>
        <w:autoSpaceDN w:val="0"/>
        <w:adjustRightInd w:val="0"/>
        <w:ind w:left="1440" w:hanging="1440"/>
        <w:jc w:val="both"/>
      </w:pPr>
      <w:r w:rsidRPr="00DB2037">
        <w:rPr>
          <w:b/>
        </w:rPr>
        <w:lastRenderedPageBreak/>
        <w:t>Stipulation:</w:t>
      </w:r>
      <w:r>
        <w:tab/>
        <w:t>See Section X, Proposed Stipulations.</w:t>
      </w:r>
    </w:p>
    <w:p w:rsidR="004814F5" w:rsidRDefault="004814F5" w:rsidP="004814F5">
      <w:pPr>
        <w:autoSpaceDE w:val="0"/>
        <w:autoSpaceDN w:val="0"/>
        <w:adjustRightInd w:val="0"/>
        <w:jc w:val="both"/>
      </w:pPr>
    </w:p>
    <w:p w:rsidR="00406E90" w:rsidRPr="005D35D0" w:rsidRDefault="00406E90" w:rsidP="004814F5">
      <w:pPr>
        <w:autoSpaceDE w:val="0"/>
        <w:autoSpaceDN w:val="0"/>
        <w:adjustRightInd w:val="0"/>
        <w:jc w:val="both"/>
      </w:pPr>
    </w:p>
    <w:p w:rsidR="00565CA9" w:rsidRPr="00DF2F14" w:rsidRDefault="00565CA9" w:rsidP="00565CA9">
      <w:pPr>
        <w:autoSpaceDE w:val="0"/>
        <w:autoSpaceDN w:val="0"/>
        <w:adjustRightInd w:val="0"/>
        <w:ind w:left="1440" w:hanging="1440"/>
        <w:jc w:val="both"/>
      </w:pPr>
      <w:r w:rsidRPr="00BF6EBB">
        <w:rPr>
          <w:b/>
          <w:u w:val="single"/>
        </w:rPr>
        <w:t>ISSUE 2</w:t>
      </w:r>
      <w:r>
        <w:rPr>
          <w:b/>
          <w:u w:val="single"/>
        </w:rPr>
        <w:t>B</w:t>
      </w:r>
      <w:r w:rsidRPr="00BA384C">
        <w:rPr>
          <w:b/>
        </w:rPr>
        <w:t>:</w:t>
      </w:r>
      <w:r w:rsidRPr="00BF6EBB">
        <w:tab/>
      </w:r>
      <w:r w:rsidRPr="009068BF">
        <w:rPr>
          <w:b/>
        </w:rPr>
        <w:t>What is the appropriate amount of Incremental Optimization Costs under FPL’s Incentive Mechanism approved by Order No. PSC-2021-0446A-S-EI that FPL should be allowed to recover through the fuel clause for Personnel, Software, and Hardware costs for the period January 2023 through December 2023?</w:t>
      </w:r>
    </w:p>
    <w:p w:rsidR="00565CA9" w:rsidRDefault="00565CA9" w:rsidP="00565CA9">
      <w:pPr>
        <w:autoSpaceDE w:val="0"/>
        <w:autoSpaceDN w:val="0"/>
        <w:adjustRightInd w:val="0"/>
      </w:pPr>
      <w:r w:rsidRPr="00DF2F14">
        <w:t xml:space="preserve">                         </w:t>
      </w:r>
    </w:p>
    <w:p w:rsidR="005D35D0" w:rsidRDefault="005D35D0" w:rsidP="005D35D0">
      <w:pPr>
        <w:autoSpaceDE w:val="0"/>
        <w:autoSpaceDN w:val="0"/>
        <w:adjustRightInd w:val="0"/>
        <w:ind w:left="1440" w:hanging="1440"/>
        <w:jc w:val="both"/>
      </w:pPr>
      <w:r w:rsidRPr="00DB2037">
        <w:rPr>
          <w:b/>
        </w:rPr>
        <w:t>Stipulation:</w:t>
      </w:r>
      <w:r>
        <w:tab/>
        <w:t>See Section X, Proposed Stipulations.</w:t>
      </w:r>
    </w:p>
    <w:p w:rsidR="009068BF" w:rsidRDefault="009068BF" w:rsidP="00565CA9">
      <w:pPr>
        <w:autoSpaceDE w:val="0"/>
        <w:autoSpaceDN w:val="0"/>
        <w:adjustRightInd w:val="0"/>
      </w:pPr>
    </w:p>
    <w:p w:rsidR="00406E90" w:rsidRPr="00DF2F14" w:rsidRDefault="00406E90" w:rsidP="00565CA9">
      <w:pPr>
        <w:autoSpaceDE w:val="0"/>
        <w:autoSpaceDN w:val="0"/>
        <w:adjustRightInd w:val="0"/>
      </w:pPr>
    </w:p>
    <w:p w:rsidR="00565CA9" w:rsidRPr="00DF2F14" w:rsidRDefault="00565CA9" w:rsidP="00565CA9">
      <w:pPr>
        <w:autoSpaceDE w:val="0"/>
        <w:autoSpaceDN w:val="0"/>
        <w:adjustRightInd w:val="0"/>
        <w:ind w:left="1440" w:hanging="1440"/>
        <w:jc w:val="both"/>
      </w:pPr>
      <w:r w:rsidRPr="00DF2F14">
        <w:rPr>
          <w:b/>
          <w:u w:val="single"/>
        </w:rPr>
        <w:t>ISSUE 2C</w:t>
      </w:r>
      <w:r w:rsidRPr="00BA384C">
        <w:rPr>
          <w:b/>
        </w:rPr>
        <w:t>:</w:t>
      </w:r>
      <w:r w:rsidRPr="00DF2F14">
        <w:tab/>
      </w:r>
      <w:r w:rsidRPr="009068BF">
        <w:rPr>
          <w:b/>
        </w:rPr>
        <w:t>What is the appropriate amount of Variable Power Plant O&amp;M Attributable to Off-System Sales under FPL’s Incentive Mechanism approved by Order No. PSC-2021-0446A-S-EI that FPL should be allowed to recover through the fuel clause for the period January 2023 through December 2023?</w:t>
      </w:r>
    </w:p>
    <w:p w:rsidR="005D35D0" w:rsidRDefault="005D35D0" w:rsidP="00565CA9">
      <w:pPr>
        <w:autoSpaceDE w:val="0"/>
        <w:autoSpaceDN w:val="0"/>
        <w:adjustRightInd w:val="0"/>
        <w:jc w:val="both"/>
        <w:rPr>
          <w:b/>
          <w:u w:val="single"/>
        </w:rPr>
      </w:pPr>
    </w:p>
    <w:p w:rsidR="005D35D0" w:rsidRDefault="005D35D0" w:rsidP="005D35D0">
      <w:pPr>
        <w:autoSpaceDE w:val="0"/>
        <w:autoSpaceDN w:val="0"/>
        <w:adjustRightInd w:val="0"/>
        <w:ind w:left="1440" w:hanging="1440"/>
        <w:jc w:val="both"/>
      </w:pPr>
      <w:r w:rsidRPr="00DB2037">
        <w:rPr>
          <w:b/>
        </w:rPr>
        <w:t>Stipulation:</w:t>
      </w:r>
      <w:r>
        <w:rPr>
          <w:b/>
        </w:rPr>
        <w:tab/>
      </w:r>
      <w:r>
        <w:t>See Section X, Proposed Stipulations.</w:t>
      </w:r>
    </w:p>
    <w:p w:rsidR="009068BF" w:rsidRDefault="009068BF" w:rsidP="004814F5">
      <w:pPr>
        <w:autoSpaceDE w:val="0"/>
        <w:autoSpaceDN w:val="0"/>
        <w:adjustRightInd w:val="0"/>
        <w:jc w:val="both"/>
      </w:pPr>
    </w:p>
    <w:p w:rsidR="00406E90" w:rsidRPr="002A0A72" w:rsidRDefault="00406E90" w:rsidP="004814F5">
      <w:pPr>
        <w:autoSpaceDE w:val="0"/>
        <w:autoSpaceDN w:val="0"/>
        <w:adjustRightInd w:val="0"/>
        <w:jc w:val="both"/>
      </w:pPr>
    </w:p>
    <w:p w:rsidR="00565CA9" w:rsidRDefault="00565CA9" w:rsidP="00565CA9">
      <w:pPr>
        <w:autoSpaceDE w:val="0"/>
        <w:autoSpaceDN w:val="0"/>
        <w:adjustRightInd w:val="0"/>
        <w:ind w:left="1440" w:hanging="1440"/>
        <w:jc w:val="both"/>
      </w:pPr>
      <w:r w:rsidRPr="00DF2F14">
        <w:rPr>
          <w:b/>
          <w:u w:val="single"/>
        </w:rPr>
        <w:t>ISSUE 2D</w:t>
      </w:r>
      <w:r w:rsidRPr="00BA384C">
        <w:rPr>
          <w:b/>
        </w:rPr>
        <w:t>:</w:t>
      </w:r>
      <w:r w:rsidRPr="00DF2F14">
        <w:tab/>
      </w:r>
      <w:r w:rsidRPr="009068BF">
        <w:rPr>
          <w:b/>
        </w:rPr>
        <w:t>What is the appropriate amount of Variable Power Plant O&amp;M Avoided due to Economy Purchases under FPL’s Incentive Mechanism approved by Order No. PSC-2021-0446A-S-EI that FPL should be allowed to recover through the fuel clause for the period January 2023 through December 2023?</w:t>
      </w:r>
      <w:r w:rsidRPr="00BF6EBB">
        <w:t xml:space="preserve"> </w:t>
      </w:r>
    </w:p>
    <w:p w:rsidR="00565CA9" w:rsidRDefault="00565CA9" w:rsidP="00565CA9">
      <w:pPr>
        <w:autoSpaceDE w:val="0"/>
        <w:autoSpaceDN w:val="0"/>
        <w:adjustRightInd w:val="0"/>
        <w:ind w:left="1440" w:hanging="1440"/>
        <w:jc w:val="both"/>
      </w:pPr>
    </w:p>
    <w:p w:rsidR="005D35D0" w:rsidRDefault="005D35D0" w:rsidP="005D35D0">
      <w:pPr>
        <w:autoSpaceDE w:val="0"/>
        <w:autoSpaceDN w:val="0"/>
        <w:adjustRightInd w:val="0"/>
        <w:ind w:left="1440" w:hanging="1440"/>
        <w:jc w:val="both"/>
      </w:pPr>
      <w:r w:rsidRPr="00DB2037">
        <w:rPr>
          <w:b/>
        </w:rPr>
        <w:t>Stipulation:</w:t>
      </w:r>
      <w:r>
        <w:tab/>
        <w:t>See Section X, Proposed Stipulations.</w:t>
      </w:r>
    </w:p>
    <w:p w:rsidR="005D35D0" w:rsidRDefault="005D35D0" w:rsidP="00565CA9">
      <w:pPr>
        <w:autoSpaceDE w:val="0"/>
        <w:autoSpaceDN w:val="0"/>
        <w:adjustRightInd w:val="0"/>
        <w:ind w:left="1440" w:hanging="1440"/>
        <w:jc w:val="both"/>
      </w:pPr>
    </w:p>
    <w:p w:rsidR="00406E90" w:rsidRPr="005D35D0" w:rsidRDefault="00406E90" w:rsidP="00565CA9">
      <w:pPr>
        <w:autoSpaceDE w:val="0"/>
        <w:autoSpaceDN w:val="0"/>
        <w:adjustRightInd w:val="0"/>
        <w:ind w:left="1440" w:hanging="1440"/>
        <w:jc w:val="both"/>
      </w:pPr>
    </w:p>
    <w:p w:rsidR="00565CA9" w:rsidRDefault="00565CA9" w:rsidP="00565CA9">
      <w:pPr>
        <w:autoSpaceDE w:val="0"/>
        <w:autoSpaceDN w:val="0"/>
        <w:adjustRightInd w:val="0"/>
        <w:ind w:left="1440" w:hanging="1440"/>
        <w:jc w:val="both"/>
      </w:pPr>
      <w:r>
        <w:rPr>
          <w:b/>
          <w:u w:val="single"/>
        </w:rPr>
        <w:t>ISSUE 2E</w:t>
      </w:r>
      <w:r w:rsidRPr="00BA384C">
        <w:rPr>
          <w:b/>
        </w:rPr>
        <w:t>:</w:t>
      </w:r>
      <w:r>
        <w:rPr>
          <w:b/>
        </w:rPr>
        <w:tab/>
      </w:r>
      <w:r w:rsidRPr="009068BF">
        <w:rPr>
          <w:b/>
        </w:rPr>
        <w:t>What is the appropriate subscription credit associated with FPL’s SolarTogether Program approved by Order No. PSC-2020-0084-S-EI, to be included for recovery in 2025?</w:t>
      </w:r>
    </w:p>
    <w:p w:rsidR="005D35D0" w:rsidRDefault="005D35D0" w:rsidP="00565CA9">
      <w:pPr>
        <w:autoSpaceDE w:val="0"/>
        <w:autoSpaceDN w:val="0"/>
        <w:adjustRightInd w:val="0"/>
        <w:ind w:left="1440" w:hanging="1440"/>
        <w:jc w:val="both"/>
        <w:rPr>
          <w:b/>
          <w:u w:val="single"/>
        </w:rPr>
      </w:pPr>
    </w:p>
    <w:p w:rsidR="00DB2037" w:rsidRDefault="005D35D0" w:rsidP="00DB2037">
      <w:pPr>
        <w:autoSpaceDE w:val="0"/>
        <w:autoSpaceDN w:val="0"/>
        <w:adjustRightInd w:val="0"/>
        <w:ind w:left="1440" w:hanging="1440"/>
        <w:jc w:val="both"/>
      </w:pPr>
      <w:r w:rsidRPr="00DB2037">
        <w:rPr>
          <w:b/>
        </w:rPr>
        <w:t>Stipulation:</w:t>
      </w:r>
      <w:r w:rsidR="00DB2037">
        <w:tab/>
        <w:t>See Section X, Proposed Stipulations.</w:t>
      </w:r>
    </w:p>
    <w:p w:rsidR="005D35D0" w:rsidRDefault="005D35D0" w:rsidP="00565CA9">
      <w:pPr>
        <w:autoSpaceDE w:val="0"/>
        <w:autoSpaceDN w:val="0"/>
        <w:adjustRightInd w:val="0"/>
        <w:ind w:left="1440" w:hanging="1440"/>
        <w:jc w:val="both"/>
      </w:pPr>
    </w:p>
    <w:p w:rsidR="00406E90" w:rsidRDefault="00406E90" w:rsidP="00565CA9">
      <w:pPr>
        <w:autoSpaceDE w:val="0"/>
        <w:autoSpaceDN w:val="0"/>
        <w:adjustRightInd w:val="0"/>
        <w:ind w:left="1440" w:hanging="1440"/>
        <w:jc w:val="both"/>
      </w:pPr>
    </w:p>
    <w:p w:rsidR="00565CA9" w:rsidRDefault="00565CA9" w:rsidP="00565CA9">
      <w:r>
        <w:rPr>
          <w:b/>
          <w:u w:val="single"/>
        </w:rPr>
        <w:t>ISSUE 2F</w:t>
      </w:r>
      <w:r>
        <w:rPr>
          <w:b/>
        </w:rPr>
        <w:t>:</w:t>
      </w:r>
      <w:r>
        <w:tab/>
      </w:r>
      <w:r w:rsidRPr="009068BF">
        <w:rPr>
          <w:b/>
        </w:rPr>
        <w:t>Should the Commission approve FPL’s 2025 Risk Management Plan?</w:t>
      </w:r>
    </w:p>
    <w:p w:rsidR="00565CA9" w:rsidRDefault="00565CA9" w:rsidP="00565CA9">
      <w:pPr>
        <w:autoSpaceDE w:val="0"/>
        <w:autoSpaceDN w:val="0"/>
        <w:adjustRightInd w:val="0"/>
        <w:ind w:left="1440"/>
        <w:jc w:val="both"/>
      </w:pPr>
    </w:p>
    <w:p w:rsidR="00DB2037" w:rsidRDefault="00DB2037" w:rsidP="00DB2037">
      <w:pPr>
        <w:autoSpaceDE w:val="0"/>
        <w:autoSpaceDN w:val="0"/>
        <w:adjustRightInd w:val="0"/>
        <w:ind w:left="1440" w:hanging="1440"/>
        <w:jc w:val="both"/>
      </w:pPr>
      <w:r w:rsidRPr="00DB2037">
        <w:rPr>
          <w:b/>
        </w:rPr>
        <w:t>Stipulation:</w:t>
      </w:r>
      <w:r>
        <w:tab/>
        <w:t>See Section X, Proposed Stipulations.</w:t>
      </w:r>
    </w:p>
    <w:p w:rsidR="009068BF" w:rsidRDefault="009068BF" w:rsidP="009068BF">
      <w:pPr>
        <w:autoSpaceDE w:val="0"/>
        <w:autoSpaceDN w:val="0"/>
        <w:adjustRightInd w:val="0"/>
        <w:jc w:val="both"/>
      </w:pPr>
    </w:p>
    <w:p w:rsidR="00406E90" w:rsidRDefault="00406E90" w:rsidP="009068BF">
      <w:pPr>
        <w:autoSpaceDE w:val="0"/>
        <w:autoSpaceDN w:val="0"/>
        <w:adjustRightInd w:val="0"/>
        <w:jc w:val="both"/>
      </w:pPr>
    </w:p>
    <w:p w:rsidR="00565CA9" w:rsidRDefault="00565CA9" w:rsidP="00565CA9">
      <w:pPr>
        <w:ind w:left="1440" w:hanging="1440"/>
        <w:jc w:val="both"/>
      </w:pPr>
      <w:r>
        <w:rPr>
          <w:b/>
          <w:u w:val="single"/>
        </w:rPr>
        <w:t>ISSUE 2G</w:t>
      </w:r>
      <w:r w:rsidRPr="00BA384C">
        <w:rPr>
          <w:b/>
        </w:rPr>
        <w:t>:</w:t>
      </w:r>
      <w:r w:rsidRPr="005E6F70">
        <w:rPr>
          <w:b/>
        </w:rPr>
        <w:tab/>
      </w:r>
      <w:r w:rsidRPr="009068BF">
        <w:rPr>
          <w:b/>
        </w:rPr>
        <w:t>Are the 2025 SoBRA units proposed by FPL cost effective?</w:t>
      </w:r>
    </w:p>
    <w:p w:rsidR="00565CA9" w:rsidRPr="005E6F70" w:rsidRDefault="00565CA9" w:rsidP="00565CA9">
      <w:pPr>
        <w:ind w:left="1440" w:hanging="1440"/>
        <w:jc w:val="both"/>
      </w:pPr>
      <w:r>
        <w:tab/>
        <w:t xml:space="preserve"> </w:t>
      </w:r>
    </w:p>
    <w:p w:rsidR="00DB2037" w:rsidRDefault="00DB2037" w:rsidP="00DB2037">
      <w:pPr>
        <w:autoSpaceDE w:val="0"/>
        <w:autoSpaceDN w:val="0"/>
        <w:adjustRightInd w:val="0"/>
        <w:ind w:left="1440" w:hanging="1440"/>
        <w:jc w:val="both"/>
      </w:pPr>
      <w:r w:rsidRPr="00DB2037">
        <w:rPr>
          <w:b/>
        </w:rPr>
        <w:t>Stipulation:</w:t>
      </w:r>
      <w:r>
        <w:tab/>
        <w:t>See Section X, Proposed Stipulations.</w:t>
      </w:r>
    </w:p>
    <w:p w:rsidR="009068BF" w:rsidRDefault="009068BF" w:rsidP="00D57D0F">
      <w:pPr>
        <w:rPr>
          <w:b/>
          <w:u w:val="single"/>
        </w:rPr>
      </w:pPr>
    </w:p>
    <w:p w:rsidR="00406E90" w:rsidRDefault="00406E90" w:rsidP="00D57D0F">
      <w:pPr>
        <w:rPr>
          <w:b/>
          <w:u w:val="single"/>
        </w:rPr>
      </w:pPr>
    </w:p>
    <w:p w:rsidR="00565CA9" w:rsidRDefault="00565CA9" w:rsidP="00046B0B">
      <w:pPr>
        <w:ind w:left="1440" w:hanging="1440"/>
        <w:jc w:val="both"/>
      </w:pPr>
      <w:r>
        <w:rPr>
          <w:b/>
          <w:u w:val="single"/>
        </w:rPr>
        <w:lastRenderedPageBreak/>
        <w:t>ISSUE 2H</w:t>
      </w:r>
      <w:r w:rsidRPr="00BA384C">
        <w:rPr>
          <w:b/>
        </w:rPr>
        <w:t>:</w:t>
      </w:r>
      <w:r w:rsidRPr="005E6F70">
        <w:rPr>
          <w:b/>
        </w:rPr>
        <w:tab/>
      </w:r>
      <w:r w:rsidRPr="009068BF">
        <w:rPr>
          <w:b/>
        </w:rPr>
        <w:t>What are the revenue requirements associated with the 2025 SoBRA Project?</w:t>
      </w:r>
    </w:p>
    <w:p w:rsidR="00565CA9" w:rsidRPr="005E6F70" w:rsidRDefault="00565CA9" w:rsidP="00565CA9">
      <w:pPr>
        <w:ind w:left="1440" w:hanging="1440"/>
        <w:jc w:val="both"/>
      </w:pPr>
      <w:r>
        <w:tab/>
        <w:t xml:space="preserve">  </w:t>
      </w:r>
    </w:p>
    <w:p w:rsidR="00DB2037" w:rsidRDefault="00DB2037" w:rsidP="00DB2037">
      <w:pPr>
        <w:autoSpaceDE w:val="0"/>
        <w:autoSpaceDN w:val="0"/>
        <w:adjustRightInd w:val="0"/>
        <w:ind w:left="1440" w:hanging="1440"/>
        <w:jc w:val="both"/>
      </w:pPr>
      <w:r>
        <w:rPr>
          <w:b/>
        </w:rPr>
        <w:t>Stipulation:</w:t>
      </w:r>
      <w:r>
        <w:rPr>
          <w:b/>
        </w:rPr>
        <w:tab/>
      </w:r>
      <w:r>
        <w:t>See Section X, Proposed Stipulations.</w:t>
      </w:r>
    </w:p>
    <w:p w:rsidR="009068BF" w:rsidRPr="00DB2037" w:rsidRDefault="009068BF" w:rsidP="00565CA9">
      <w:pPr>
        <w:ind w:left="1440" w:hanging="1440"/>
        <w:jc w:val="both"/>
      </w:pPr>
    </w:p>
    <w:p w:rsidR="00565CA9" w:rsidRDefault="00565CA9" w:rsidP="00565CA9">
      <w:pPr>
        <w:ind w:left="1440" w:hanging="1440"/>
        <w:jc w:val="both"/>
      </w:pPr>
      <w:r>
        <w:rPr>
          <w:b/>
          <w:u w:val="single"/>
        </w:rPr>
        <w:t>ISSUE 2I</w:t>
      </w:r>
      <w:r w:rsidRPr="00BA384C">
        <w:rPr>
          <w:b/>
        </w:rPr>
        <w:t>:</w:t>
      </w:r>
      <w:r w:rsidRPr="005E6F70">
        <w:tab/>
      </w:r>
      <w:r w:rsidRPr="009068BF">
        <w:rPr>
          <w:b/>
        </w:rPr>
        <w:t>What is the appropriate base rate percentage increase for the 2025 SoBRA Project, to be effective when all 2025 units are in service?</w:t>
      </w:r>
    </w:p>
    <w:p w:rsidR="00565CA9" w:rsidRDefault="00565CA9" w:rsidP="00565CA9">
      <w:pPr>
        <w:jc w:val="both"/>
      </w:pPr>
      <w:r>
        <w:t xml:space="preserve"> </w:t>
      </w:r>
    </w:p>
    <w:p w:rsidR="00DB2037" w:rsidRDefault="00DB2037" w:rsidP="00DB2037">
      <w:pPr>
        <w:autoSpaceDE w:val="0"/>
        <w:autoSpaceDN w:val="0"/>
        <w:adjustRightInd w:val="0"/>
        <w:ind w:left="1440" w:hanging="1440"/>
        <w:jc w:val="both"/>
      </w:pPr>
      <w:r>
        <w:rPr>
          <w:b/>
        </w:rPr>
        <w:t>Stipulation:</w:t>
      </w:r>
      <w:r>
        <w:rPr>
          <w:b/>
        </w:rPr>
        <w:tab/>
      </w:r>
      <w:r>
        <w:t>See Section X, Proposed Stipulations.</w:t>
      </w:r>
    </w:p>
    <w:p w:rsidR="009068BF" w:rsidRDefault="009068BF" w:rsidP="00565CA9">
      <w:pPr>
        <w:jc w:val="both"/>
      </w:pPr>
    </w:p>
    <w:p w:rsidR="00406E90" w:rsidRPr="005E6F70" w:rsidRDefault="00406E90" w:rsidP="00565CA9">
      <w:pPr>
        <w:jc w:val="both"/>
      </w:pPr>
    </w:p>
    <w:p w:rsidR="00565CA9" w:rsidRDefault="00565CA9" w:rsidP="00565CA9">
      <w:pPr>
        <w:ind w:left="1440" w:hanging="1440"/>
        <w:jc w:val="both"/>
      </w:pPr>
      <w:r>
        <w:rPr>
          <w:b/>
          <w:u w:val="single"/>
        </w:rPr>
        <w:t>ISSUE 2J</w:t>
      </w:r>
      <w:r w:rsidRPr="00BA384C">
        <w:rPr>
          <w:b/>
        </w:rPr>
        <w:t>:</w:t>
      </w:r>
      <w:r w:rsidRPr="005E6F70">
        <w:tab/>
      </w:r>
      <w:r w:rsidRPr="009068BF">
        <w:rPr>
          <w:b/>
        </w:rPr>
        <w:t>Should the Commission approve revised tariffs for FPL reflecting the base rate percentage increases for the 2025 SoBRA project determined to be appropriate in this proceeding?</w:t>
      </w:r>
    </w:p>
    <w:p w:rsidR="00565CA9" w:rsidRDefault="00565CA9" w:rsidP="00565CA9">
      <w:pPr>
        <w:ind w:left="1440" w:hanging="1440"/>
        <w:jc w:val="both"/>
      </w:pPr>
      <w:r>
        <w:tab/>
      </w:r>
    </w:p>
    <w:p w:rsidR="00DB2037" w:rsidRDefault="00DB2037" w:rsidP="00DB2037">
      <w:pPr>
        <w:autoSpaceDE w:val="0"/>
        <w:autoSpaceDN w:val="0"/>
        <w:adjustRightInd w:val="0"/>
        <w:ind w:left="1440" w:hanging="1440"/>
        <w:jc w:val="both"/>
      </w:pPr>
      <w:r>
        <w:rPr>
          <w:b/>
        </w:rPr>
        <w:t>Stipulation:</w:t>
      </w:r>
      <w:r>
        <w:rPr>
          <w:b/>
        </w:rPr>
        <w:tab/>
      </w:r>
      <w:r>
        <w:t>See Section X, Proposed Stipulations.</w:t>
      </w:r>
    </w:p>
    <w:p w:rsidR="009068BF" w:rsidRDefault="009068BF" w:rsidP="00565CA9">
      <w:pPr>
        <w:ind w:left="1440" w:hanging="1440"/>
        <w:jc w:val="both"/>
      </w:pPr>
    </w:p>
    <w:p w:rsidR="00406E90" w:rsidRPr="00DB2037" w:rsidRDefault="00406E90" w:rsidP="00565CA9">
      <w:pPr>
        <w:ind w:left="1440" w:hanging="1440"/>
        <w:jc w:val="both"/>
      </w:pPr>
    </w:p>
    <w:p w:rsidR="00565CA9" w:rsidRPr="00565CA9" w:rsidRDefault="00565CA9" w:rsidP="00565CA9">
      <w:pPr>
        <w:ind w:left="1440" w:hanging="1440"/>
        <w:jc w:val="both"/>
      </w:pPr>
      <w:r w:rsidRPr="00565CA9">
        <w:rPr>
          <w:b/>
          <w:u w:val="single"/>
        </w:rPr>
        <w:t>ISSUE 2K</w:t>
      </w:r>
      <w:r w:rsidRPr="00BA384C">
        <w:rPr>
          <w:b/>
        </w:rPr>
        <w:t>:</w:t>
      </w:r>
      <w:r w:rsidRPr="00565CA9">
        <w:tab/>
      </w:r>
      <w:r w:rsidRPr="009068BF">
        <w:rPr>
          <w:b/>
        </w:rPr>
        <w:t>Were FPL’s actions related to the forced outage event(s) that occurred at St. Lucie Nuclear Unit No. 1 in July 2024 prudent?  If not, what actions should the Commission take?</w:t>
      </w:r>
    </w:p>
    <w:p w:rsidR="00565CA9" w:rsidRDefault="00565CA9" w:rsidP="00565CA9">
      <w:pPr>
        <w:ind w:left="1440" w:hanging="1440"/>
        <w:jc w:val="both"/>
      </w:pPr>
    </w:p>
    <w:p w:rsidR="004814F5" w:rsidRPr="00D57D0F" w:rsidRDefault="004814F5" w:rsidP="004814F5">
      <w:pPr>
        <w:autoSpaceDE w:val="0"/>
        <w:autoSpaceDN w:val="0"/>
        <w:adjustRightInd w:val="0"/>
        <w:jc w:val="both"/>
      </w:pPr>
      <w:r>
        <w:rPr>
          <w:b/>
        </w:rPr>
        <w:t>DEF:</w:t>
      </w:r>
      <w:r w:rsidR="00D57D0F">
        <w:tab/>
      </w:r>
      <w:r w:rsidR="00D57D0F">
        <w:tab/>
        <w:t>No position.</w:t>
      </w:r>
    </w:p>
    <w:p w:rsidR="004814F5" w:rsidRDefault="004814F5" w:rsidP="004814F5">
      <w:pPr>
        <w:autoSpaceDE w:val="0"/>
        <w:autoSpaceDN w:val="0"/>
        <w:adjustRightInd w:val="0"/>
        <w:jc w:val="both"/>
        <w:rPr>
          <w:b/>
        </w:rPr>
      </w:pPr>
    </w:p>
    <w:p w:rsidR="001457E5" w:rsidRPr="006E2C9C" w:rsidRDefault="004814F5" w:rsidP="001457E5">
      <w:pPr>
        <w:ind w:left="1440" w:hanging="1440"/>
        <w:jc w:val="both"/>
      </w:pPr>
      <w:r>
        <w:rPr>
          <w:b/>
        </w:rPr>
        <w:t>FPL:</w:t>
      </w:r>
      <w:r w:rsidR="001457E5">
        <w:rPr>
          <w:b/>
        </w:rPr>
        <w:tab/>
      </w:r>
      <w:r w:rsidR="006E2C9C" w:rsidRPr="006E2C9C">
        <w:t>Resolution of this issue and associated discovery should be deferred to 2026.</w:t>
      </w:r>
    </w:p>
    <w:p w:rsidR="004814F5" w:rsidRPr="006E2C9C" w:rsidRDefault="004814F5" w:rsidP="004814F5">
      <w:pPr>
        <w:autoSpaceDE w:val="0"/>
        <w:autoSpaceDN w:val="0"/>
        <w:adjustRightInd w:val="0"/>
        <w:jc w:val="both"/>
      </w:pPr>
    </w:p>
    <w:p w:rsidR="00EA4266" w:rsidRPr="005E6568" w:rsidRDefault="004814F5" w:rsidP="00EA4266">
      <w:pPr>
        <w:autoSpaceDE w:val="0"/>
        <w:autoSpaceDN w:val="0"/>
        <w:adjustRightInd w:val="0"/>
        <w:jc w:val="both"/>
      </w:pPr>
      <w:r>
        <w:rPr>
          <w:b/>
        </w:rPr>
        <w:t>FPUC:</w:t>
      </w:r>
      <w:r w:rsidR="00EA4266">
        <w:rPr>
          <w:b/>
        </w:rPr>
        <w:tab/>
      </w:r>
      <w:r w:rsidR="00EA4266">
        <w:rPr>
          <w:b/>
        </w:rPr>
        <w:tab/>
      </w:r>
      <w:r w:rsidR="00EA4266">
        <w:t>No position.</w:t>
      </w:r>
    </w:p>
    <w:p w:rsidR="004814F5" w:rsidRDefault="004814F5" w:rsidP="004814F5">
      <w:pPr>
        <w:autoSpaceDE w:val="0"/>
        <w:autoSpaceDN w:val="0"/>
        <w:adjustRightInd w:val="0"/>
        <w:jc w:val="both"/>
        <w:rPr>
          <w:b/>
        </w:rPr>
      </w:pPr>
    </w:p>
    <w:p w:rsidR="002F77E7" w:rsidRPr="002F77E7" w:rsidRDefault="004814F5" w:rsidP="002F77E7">
      <w:pPr>
        <w:autoSpaceDE w:val="0"/>
        <w:autoSpaceDN w:val="0"/>
        <w:adjustRightInd w:val="0"/>
        <w:jc w:val="both"/>
      </w:pPr>
      <w:r>
        <w:rPr>
          <w:b/>
        </w:rPr>
        <w:t>TECO:</w:t>
      </w:r>
      <w:r w:rsidR="002F77E7">
        <w:rPr>
          <w:b/>
        </w:rPr>
        <w:tab/>
      </w:r>
      <w:r w:rsidR="002F77E7">
        <w:t>No position.</w:t>
      </w:r>
    </w:p>
    <w:p w:rsidR="004814F5" w:rsidRDefault="004814F5" w:rsidP="004814F5">
      <w:pPr>
        <w:autoSpaceDE w:val="0"/>
        <w:autoSpaceDN w:val="0"/>
        <w:adjustRightInd w:val="0"/>
        <w:jc w:val="both"/>
        <w:rPr>
          <w:b/>
        </w:rPr>
      </w:pPr>
    </w:p>
    <w:p w:rsidR="004814F5" w:rsidRPr="008F3A80" w:rsidRDefault="004814F5" w:rsidP="008F3A80">
      <w:pPr>
        <w:autoSpaceDE w:val="0"/>
        <w:autoSpaceDN w:val="0"/>
        <w:adjustRightInd w:val="0"/>
        <w:ind w:left="1440" w:hanging="1440"/>
        <w:jc w:val="both"/>
      </w:pPr>
      <w:r>
        <w:rPr>
          <w:b/>
        </w:rPr>
        <w:t>OPC:</w:t>
      </w:r>
      <w:r w:rsidR="008F3A80">
        <w:rPr>
          <w:b/>
        </w:rPr>
        <w:tab/>
      </w:r>
      <w:r w:rsidR="00A97B31" w:rsidRPr="00E06FF8">
        <w:t>R</w:t>
      </w:r>
      <w:r w:rsidR="008F3A80">
        <w:t xml:space="preserve">esolution of this issue should be deferred to </w:t>
      </w:r>
      <w:r w:rsidR="00A97B31">
        <w:t>2026</w:t>
      </w:r>
      <w:r w:rsidR="008F3A80">
        <w:t>.</w:t>
      </w:r>
    </w:p>
    <w:p w:rsidR="004814F5" w:rsidRDefault="004814F5" w:rsidP="004814F5">
      <w:pPr>
        <w:autoSpaceDE w:val="0"/>
        <w:autoSpaceDN w:val="0"/>
        <w:adjustRightInd w:val="0"/>
        <w:jc w:val="both"/>
        <w:rPr>
          <w:b/>
        </w:rPr>
      </w:pPr>
    </w:p>
    <w:p w:rsidR="004814F5" w:rsidRPr="00C41EFE" w:rsidRDefault="004814F5" w:rsidP="004814F5">
      <w:pPr>
        <w:autoSpaceDE w:val="0"/>
        <w:autoSpaceDN w:val="0"/>
        <w:adjustRightInd w:val="0"/>
        <w:jc w:val="both"/>
      </w:pPr>
      <w:r>
        <w:rPr>
          <w:b/>
        </w:rPr>
        <w:t>FIPUG:</w:t>
      </w:r>
      <w:r w:rsidR="00D77C09">
        <w:rPr>
          <w:b/>
        </w:rPr>
        <w:tab/>
      </w:r>
      <w:r w:rsidR="00C41EFE">
        <w:t>Defer the resolution of this issue to a later hearing.</w:t>
      </w:r>
    </w:p>
    <w:p w:rsidR="004814F5" w:rsidRDefault="004814F5" w:rsidP="004814F5">
      <w:pPr>
        <w:autoSpaceDE w:val="0"/>
        <w:autoSpaceDN w:val="0"/>
        <w:adjustRightInd w:val="0"/>
        <w:jc w:val="both"/>
        <w:rPr>
          <w:b/>
        </w:rPr>
      </w:pPr>
    </w:p>
    <w:p w:rsidR="004814F5" w:rsidRPr="00114B2D" w:rsidRDefault="004814F5" w:rsidP="004814F5">
      <w:pPr>
        <w:autoSpaceDE w:val="0"/>
        <w:autoSpaceDN w:val="0"/>
        <w:adjustRightInd w:val="0"/>
        <w:jc w:val="both"/>
      </w:pPr>
      <w:r>
        <w:rPr>
          <w:b/>
        </w:rPr>
        <w:t>FRF:</w:t>
      </w:r>
      <w:r w:rsidR="00114B2D">
        <w:rPr>
          <w:b/>
        </w:rPr>
        <w:tab/>
      </w:r>
      <w:r w:rsidR="00114B2D">
        <w:rPr>
          <w:b/>
        </w:rPr>
        <w:tab/>
      </w:r>
      <w:r w:rsidR="00114B2D">
        <w:t>The FRF supports deferring the resolution of this issue to a later hearing.</w:t>
      </w:r>
    </w:p>
    <w:p w:rsidR="004814F5" w:rsidRDefault="004814F5" w:rsidP="004814F5">
      <w:pPr>
        <w:autoSpaceDE w:val="0"/>
        <w:autoSpaceDN w:val="0"/>
        <w:adjustRightInd w:val="0"/>
        <w:jc w:val="both"/>
        <w:rPr>
          <w:b/>
        </w:rPr>
      </w:pPr>
    </w:p>
    <w:p w:rsidR="004814F5" w:rsidRDefault="004814F5" w:rsidP="004814F5">
      <w:pPr>
        <w:autoSpaceDE w:val="0"/>
        <w:autoSpaceDN w:val="0"/>
        <w:adjustRightInd w:val="0"/>
        <w:jc w:val="both"/>
        <w:rPr>
          <w:b/>
        </w:rPr>
      </w:pPr>
      <w:r>
        <w:rPr>
          <w:b/>
        </w:rPr>
        <w:t>PCS</w:t>
      </w:r>
    </w:p>
    <w:p w:rsidR="004814F5" w:rsidRPr="002E5D1F" w:rsidRDefault="004814F5" w:rsidP="004814F5">
      <w:pPr>
        <w:autoSpaceDE w:val="0"/>
        <w:autoSpaceDN w:val="0"/>
        <w:adjustRightInd w:val="0"/>
        <w:jc w:val="both"/>
      </w:pPr>
      <w:r>
        <w:rPr>
          <w:b/>
        </w:rPr>
        <w:t>Phosphate:</w:t>
      </w:r>
      <w:r w:rsidR="002E5D1F">
        <w:rPr>
          <w:b/>
        </w:rPr>
        <w:tab/>
      </w:r>
      <w:r w:rsidR="002E5D1F">
        <w:t>No position.</w:t>
      </w:r>
    </w:p>
    <w:p w:rsidR="004814F5" w:rsidRDefault="004814F5" w:rsidP="004814F5">
      <w:pPr>
        <w:autoSpaceDE w:val="0"/>
        <w:autoSpaceDN w:val="0"/>
        <w:adjustRightInd w:val="0"/>
        <w:jc w:val="both"/>
        <w:rPr>
          <w:b/>
        </w:rPr>
      </w:pPr>
    </w:p>
    <w:p w:rsidR="004814F5" w:rsidRPr="00F90F0C" w:rsidRDefault="004814F5" w:rsidP="004814F5">
      <w:pPr>
        <w:autoSpaceDE w:val="0"/>
        <w:autoSpaceDN w:val="0"/>
        <w:adjustRightInd w:val="0"/>
        <w:jc w:val="both"/>
      </w:pPr>
      <w:r>
        <w:rPr>
          <w:b/>
        </w:rPr>
        <w:t>NUCOR:</w:t>
      </w:r>
      <w:r w:rsidR="00F90F0C">
        <w:rPr>
          <w:b/>
        </w:rPr>
        <w:tab/>
      </w:r>
      <w:r w:rsidR="00F90F0C">
        <w:t>No position.</w:t>
      </w:r>
    </w:p>
    <w:p w:rsidR="004814F5" w:rsidRDefault="004814F5" w:rsidP="004814F5">
      <w:pPr>
        <w:autoSpaceDE w:val="0"/>
        <w:autoSpaceDN w:val="0"/>
        <w:adjustRightInd w:val="0"/>
        <w:jc w:val="both"/>
        <w:rPr>
          <w:b/>
        </w:rPr>
      </w:pPr>
    </w:p>
    <w:p w:rsidR="004814F5" w:rsidRPr="002A0A72" w:rsidRDefault="004814F5" w:rsidP="004814F5">
      <w:pPr>
        <w:autoSpaceDE w:val="0"/>
        <w:autoSpaceDN w:val="0"/>
        <w:adjustRightInd w:val="0"/>
        <w:jc w:val="both"/>
      </w:pPr>
      <w:r>
        <w:rPr>
          <w:b/>
        </w:rPr>
        <w:t>STAFF:</w:t>
      </w:r>
      <w:r w:rsidR="002A0A72">
        <w:rPr>
          <w:b/>
        </w:rPr>
        <w:tab/>
      </w:r>
      <w:r w:rsidR="00C41EFE">
        <w:t>Defer this issue to a later hearing.</w:t>
      </w:r>
      <w:r w:rsidR="00C41EFE">
        <w:rPr>
          <w:b/>
        </w:rPr>
        <w:t xml:space="preserve"> </w:t>
      </w:r>
    </w:p>
    <w:p w:rsidR="004814F5" w:rsidRDefault="004814F5" w:rsidP="00565CA9">
      <w:pPr>
        <w:ind w:left="1440" w:hanging="1440"/>
        <w:jc w:val="both"/>
      </w:pPr>
    </w:p>
    <w:p w:rsidR="009068BF" w:rsidRPr="00565CA9" w:rsidRDefault="009068BF" w:rsidP="00565CA9">
      <w:pPr>
        <w:ind w:left="1440" w:hanging="1440"/>
        <w:jc w:val="both"/>
      </w:pPr>
    </w:p>
    <w:p w:rsidR="00565CA9" w:rsidRPr="00565CA9" w:rsidRDefault="00565CA9" w:rsidP="00565CA9">
      <w:pPr>
        <w:ind w:left="1440" w:hanging="1440"/>
        <w:jc w:val="both"/>
      </w:pPr>
      <w:r w:rsidRPr="00565CA9">
        <w:rPr>
          <w:b/>
          <w:u w:val="single"/>
        </w:rPr>
        <w:lastRenderedPageBreak/>
        <w:t>ISSUE 2L</w:t>
      </w:r>
      <w:r w:rsidR="00BA384C">
        <w:rPr>
          <w:b/>
        </w:rPr>
        <w:t>:</w:t>
      </w:r>
      <w:r w:rsidRPr="00565CA9">
        <w:tab/>
      </w:r>
      <w:r w:rsidRPr="009068BF">
        <w:rPr>
          <w:b/>
        </w:rPr>
        <w:t>How much replacement power cost did FPL incur due to the forced outage event(s) that occurred at St. Lucie Nuclear Unit No. 1 in July 2024?</w:t>
      </w:r>
    </w:p>
    <w:p w:rsidR="00565CA9" w:rsidRDefault="00565CA9" w:rsidP="00565CA9">
      <w:pPr>
        <w:ind w:left="1440" w:hanging="1440"/>
        <w:jc w:val="both"/>
      </w:pPr>
    </w:p>
    <w:p w:rsidR="004814F5" w:rsidRDefault="004814F5" w:rsidP="004814F5">
      <w:pPr>
        <w:autoSpaceDE w:val="0"/>
        <w:autoSpaceDN w:val="0"/>
        <w:adjustRightInd w:val="0"/>
        <w:jc w:val="both"/>
      </w:pPr>
      <w:r>
        <w:rPr>
          <w:b/>
        </w:rPr>
        <w:t>DEF:</w:t>
      </w:r>
      <w:r w:rsidR="00D57D0F">
        <w:tab/>
      </w:r>
      <w:r w:rsidR="00D57D0F">
        <w:tab/>
        <w:t>No position.</w:t>
      </w:r>
    </w:p>
    <w:p w:rsidR="009E2EC0" w:rsidRPr="00D57D0F" w:rsidRDefault="009E2EC0" w:rsidP="004814F5">
      <w:pPr>
        <w:autoSpaceDE w:val="0"/>
        <w:autoSpaceDN w:val="0"/>
        <w:adjustRightInd w:val="0"/>
        <w:jc w:val="both"/>
      </w:pPr>
    </w:p>
    <w:p w:rsidR="001457E5" w:rsidRPr="009E2EC0" w:rsidRDefault="004814F5" w:rsidP="001457E5">
      <w:pPr>
        <w:ind w:left="1440" w:hanging="1440"/>
        <w:jc w:val="both"/>
      </w:pPr>
      <w:r>
        <w:rPr>
          <w:b/>
        </w:rPr>
        <w:t>FPL:</w:t>
      </w:r>
      <w:r w:rsidR="001457E5">
        <w:rPr>
          <w:b/>
        </w:rPr>
        <w:tab/>
      </w:r>
      <w:r w:rsidR="009E2EC0" w:rsidRPr="009E2EC0">
        <w:t>Resolution of this issue and associated discovery should be deferred to 2026.</w:t>
      </w:r>
    </w:p>
    <w:p w:rsidR="004814F5" w:rsidRDefault="004814F5" w:rsidP="004814F5">
      <w:pPr>
        <w:autoSpaceDE w:val="0"/>
        <w:autoSpaceDN w:val="0"/>
        <w:adjustRightInd w:val="0"/>
        <w:jc w:val="both"/>
        <w:rPr>
          <w:b/>
        </w:rPr>
      </w:pPr>
    </w:p>
    <w:p w:rsidR="00EA4266" w:rsidRPr="005E6568" w:rsidRDefault="004814F5" w:rsidP="00EA4266">
      <w:pPr>
        <w:autoSpaceDE w:val="0"/>
        <w:autoSpaceDN w:val="0"/>
        <w:adjustRightInd w:val="0"/>
        <w:jc w:val="both"/>
      </w:pPr>
      <w:r>
        <w:rPr>
          <w:b/>
        </w:rPr>
        <w:t>FPUC:</w:t>
      </w:r>
      <w:r w:rsidR="00EA4266">
        <w:rPr>
          <w:b/>
        </w:rPr>
        <w:tab/>
      </w:r>
      <w:r w:rsidR="00EA4266">
        <w:rPr>
          <w:b/>
        </w:rPr>
        <w:tab/>
      </w:r>
      <w:r w:rsidR="00EA4266">
        <w:t>No position.</w:t>
      </w:r>
    </w:p>
    <w:p w:rsidR="004814F5" w:rsidRDefault="004814F5" w:rsidP="004814F5">
      <w:pPr>
        <w:autoSpaceDE w:val="0"/>
        <w:autoSpaceDN w:val="0"/>
        <w:adjustRightInd w:val="0"/>
        <w:jc w:val="both"/>
        <w:rPr>
          <w:b/>
        </w:rPr>
      </w:pPr>
    </w:p>
    <w:p w:rsidR="002F77E7" w:rsidRPr="002F77E7" w:rsidRDefault="004814F5" w:rsidP="002F77E7">
      <w:pPr>
        <w:autoSpaceDE w:val="0"/>
        <w:autoSpaceDN w:val="0"/>
        <w:adjustRightInd w:val="0"/>
        <w:jc w:val="both"/>
      </w:pPr>
      <w:r>
        <w:rPr>
          <w:b/>
        </w:rPr>
        <w:t>TECO:</w:t>
      </w:r>
      <w:r w:rsidR="002F77E7">
        <w:rPr>
          <w:b/>
        </w:rPr>
        <w:tab/>
      </w:r>
      <w:r w:rsidR="002F77E7">
        <w:t>No position.</w:t>
      </w:r>
    </w:p>
    <w:p w:rsidR="004814F5" w:rsidRDefault="004814F5" w:rsidP="004814F5">
      <w:pPr>
        <w:autoSpaceDE w:val="0"/>
        <w:autoSpaceDN w:val="0"/>
        <w:adjustRightInd w:val="0"/>
        <w:jc w:val="both"/>
        <w:rPr>
          <w:b/>
        </w:rPr>
      </w:pPr>
    </w:p>
    <w:p w:rsidR="004814F5" w:rsidRPr="008F3A80" w:rsidRDefault="004814F5" w:rsidP="008F3A80">
      <w:pPr>
        <w:autoSpaceDE w:val="0"/>
        <w:autoSpaceDN w:val="0"/>
        <w:adjustRightInd w:val="0"/>
        <w:ind w:left="1440" w:hanging="1440"/>
        <w:jc w:val="both"/>
      </w:pPr>
      <w:r>
        <w:rPr>
          <w:b/>
        </w:rPr>
        <w:t>OPC:</w:t>
      </w:r>
      <w:r w:rsidR="008F3A80">
        <w:rPr>
          <w:b/>
        </w:rPr>
        <w:tab/>
      </w:r>
      <w:r w:rsidR="00A97B31" w:rsidRPr="00A97B31">
        <w:t>R</w:t>
      </w:r>
      <w:r w:rsidR="008F3A80" w:rsidRPr="00A97B31">
        <w:t>e</w:t>
      </w:r>
      <w:r w:rsidR="008F3A80">
        <w:t xml:space="preserve">solution of this issue should be deferred </w:t>
      </w:r>
      <w:r w:rsidR="00A97B31">
        <w:t>until 2026</w:t>
      </w:r>
      <w:r w:rsidR="008F3A80">
        <w:t>.</w:t>
      </w:r>
    </w:p>
    <w:p w:rsidR="004814F5" w:rsidRDefault="004814F5" w:rsidP="004814F5">
      <w:pPr>
        <w:autoSpaceDE w:val="0"/>
        <w:autoSpaceDN w:val="0"/>
        <w:adjustRightInd w:val="0"/>
        <w:jc w:val="both"/>
        <w:rPr>
          <w:b/>
        </w:rPr>
      </w:pPr>
    </w:p>
    <w:p w:rsidR="004814F5" w:rsidRPr="00D77C09" w:rsidRDefault="004814F5" w:rsidP="004814F5">
      <w:pPr>
        <w:autoSpaceDE w:val="0"/>
        <w:autoSpaceDN w:val="0"/>
        <w:adjustRightInd w:val="0"/>
        <w:jc w:val="both"/>
      </w:pPr>
      <w:r>
        <w:rPr>
          <w:b/>
        </w:rPr>
        <w:t>FIPUG:</w:t>
      </w:r>
      <w:r w:rsidR="00D77C09">
        <w:rPr>
          <w:b/>
        </w:rPr>
        <w:tab/>
      </w:r>
      <w:r w:rsidR="00C41EFE">
        <w:t>Defer this issue to a later hearing.</w:t>
      </w:r>
      <w:r w:rsidR="00C41EFE">
        <w:rPr>
          <w:b/>
        </w:rPr>
        <w:t xml:space="preserve"> </w:t>
      </w:r>
    </w:p>
    <w:p w:rsidR="004814F5" w:rsidRDefault="004814F5" w:rsidP="004814F5">
      <w:pPr>
        <w:autoSpaceDE w:val="0"/>
        <w:autoSpaceDN w:val="0"/>
        <w:adjustRightInd w:val="0"/>
        <w:jc w:val="both"/>
        <w:rPr>
          <w:b/>
        </w:rPr>
      </w:pPr>
    </w:p>
    <w:p w:rsidR="004814F5" w:rsidRPr="00114B2D" w:rsidRDefault="004814F5" w:rsidP="00114B2D">
      <w:pPr>
        <w:spacing w:line="480" w:lineRule="auto"/>
      </w:pPr>
      <w:r>
        <w:rPr>
          <w:b/>
        </w:rPr>
        <w:t>FRF:</w:t>
      </w:r>
      <w:r w:rsidR="00114B2D">
        <w:tab/>
      </w:r>
      <w:r w:rsidR="00114B2D">
        <w:tab/>
      </w:r>
      <w:r w:rsidR="00114B2D" w:rsidRPr="0053392F">
        <w:rPr>
          <w:color w:val="000000"/>
        </w:rPr>
        <w:t>T</w:t>
      </w:r>
      <w:r w:rsidR="00114B2D">
        <w:rPr>
          <w:color w:val="000000"/>
        </w:rPr>
        <w:t>he FRF supports deferring the resolution of this issue to a later hearing.</w:t>
      </w:r>
    </w:p>
    <w:p w:rsidR="004814F5" w:rsidRDefault="004814F5" w:rsidP="004814F5">
      <w:pPr>
        <w:autoSpaceDE w:val="0"/>
        <w:autoSpaceDN w:val="0"/>
        <w:adjustRightInd w:val="0"/>
        <w:jc w:val="both"/>
        <w:rPr>
          <w:b/>
        </w:rPr>
      </w:pPr>
      <w:r>
        <w:rPr>
          <w:b/>
        </w:rPr>
        <w:t>PCS</w:t>
      </w:r>
    </w:p>
    <w:p w:rsidR="004814F5" w:rsidRPr="002E5D1F" w:rsidRDefault="004814F5" w:rsidP="004814F5">
      <w:pPr>
        <w:autoSpaceDE w:val="0"/>
        <w:autoSpaceDN w:val="0"/>
        <w:adjustRightInd w:val="0"/>
        <w:jc w:val="both"/>
      </w:pPr>
      <w:r>
        <w:rPr>
          <w:b/>
        </w:rPr>
        <w:t>Phosphate:</w:t>
      </w:r>
      <w:r w:rsidR="002E5D1F">
        <w:rPr>
          <w:b/>
        </w:rPr>
        <w:tab/>
      </w:r>
      <w:r w:rsidR="002E5D1F">
        <w:t>No position.</w:t>
      </w:r>
    </w:p>
    <w:p w:rsidR="004814F5" w:rsidRDefault="004814F5" w:rsidP="004814F5">
      <w:pPr>
        <w:autoSpaceDE w:val="0"/>
        <w:autoSpaceDN w:val="0"/>
        <w:adjustRightInd w:val="0"/>
        <w:jc w:val="both"/>
        <w:rPr>
          <w:b/>
        </w:rPr>
      </w:pPr>
    </w:p>
    <w:p w:rsidR="004814F5" w:rsidRPr="00F90F0C" w:rsidRDefault="004814F5" w:rsidP="004814F5">
      <w:pPr>
        <w:autoSpaceDE w:val="0"/>
        <w:autoSpaceDN w:val="0"/>
        <w:adjustRightInd w:val="0"/>
        <w:jc w:val="both"/>
      </w:pPr>
      <w:r>
        <w:rPr>
          <w:b/>
        </w:rPr>
        <w:t>NUCOR:</w:t>
      </w:r>
      <w:r w:rsidR="00F90F0C">
        <w:rPr>
          <w:b/>
        </w:rPr>
        <w:tab/>
      </w:r>
      <w:r w:rsidR="00F90F0C">
        <w:t>No position.</w:t>
      </w:r>
    </w:p>
    <w:p w:rsidR="004814F5" w:rsidRDefault="004814F5" w:rsidP="004814F5">
      <w:pPr>
        <w:autoSpaceDE w:val="0"/>
        <w:autoSpaceDN w:val="0"/>
        <w:adjustRightInd w:val="0"/>
        <w:jc w:val="both"/>
        <w:rPr>
          <w:b/>
        </w:rPr>
      </w:pPr>
    </w:p>
    <w:p w:rsidR="004814F5" w:rsidRPr="00C41EFE" w:rsidRDefault="004814F5" w:rsidP="004814F5">
      <w:pPr>
        <w:autoSpaceDE w:val="0"/>
        <w:autoSpaceDN w:val="0"/>
        <w:adjustRightInd w:val="0"/>
        <w:jc w:val="both"/>
      </w:pPr>
      <w:r>
        <w:rPr>
          <w:b/>
        </w:rPr>
        <w:t>STAFF:</w:t>
      </w:r>
      <w:r w:rsidR="002A0A72">
        <w:rPr>
          <w:b/>
        </w:rPr>
        <w:tab/>
      </w:r>
      <w:r w:rsidR="00C41EFE" w:rsidRPr="00C41EFE">
        <w:t>Defer this issue to a later hearing.</w:t>
      </w:r>
    </w:p>
    <w:p w:rsidR="004814F5" w:rsidRDefault="004814F5" w:rsidP="00565CA9">
      <w:pPr>
        <w:ind w:left="1440" w:hanging="1440"/>
        <w:jc w:val="both"/>
      </w:pPr>
    </w:p>
    <w:p w:rsidR="009068BF" w:rsidRPr="00565CA9" w:rsidRDefault="009068BF" w:rsidP="00565CA9">
      <w:pPr>
        <w:ind w:left="1440" w:hanging="1440"/>
        <w:jc w:val="both"/>
      </w:pPr>
    </w:p>
    <w:p w:rsidR="00565CA9" w:rsidRPr="00565CA9" w:rsidRDefault="00565CA9" w:rsidP="00565CA9">
      <w:pPr>
        <w:ind w:left="1440" w:hanging="1440"/>
        <w:jc w:val="both"/>
      </w:pPr>
      <w:r w:rsidRPr="00565CA9">
        <w:rPr>
          <w:b/>
          <w:u w:val="single"/>
        </w:rPr>
        <w:t>ISSUE 2M</w:t>
      </w:r>
      <w:r w:rsidR="00BA384C">
        <w:rPr>
          <w:b/>
        </w:rPr>
        <w:t>:</w:t>
      </w:r>
      <w:r w:rsidRPr="00565CA9">
        <w:tab/>
      </w:r>
      <w:r w:rsidRPr="009068BF">
        <w:rPr>
          <w:b/>
        </w:rPr>
        <w:t>Were FPL’s actions related to the forced outage event(s) that occurred at St. Lucie Nuclear Unit No. 2 in May/June 2024 prudent?  If not, what actions should the Commission take?</w:t>
      </w:r>
    </w:p>
    <w:p w:rsidR="00565CA9" w:rsidRDefault="00565CA9" w:rsidP="00565CA9">
      <w:pPr>
        <w:ind w:left="1440" w:hanging="1440"/>
        <w:jc w:val="both"/>
      </w:pPr>
    </w:p>
    <w:p w:rsidR="004814F5" w:rsidRPr="00D57D0F" w:rsidRDefault="004814F5" w:rsidP="004814F5">
      <w:pPr>
        <w:autoSpaceDE w:val="0"/>
        <w:autoSpaceDN w:val="0"/>
        <w:adjustRightInd w:val="0"/>
        <w:jc w:val="both"/>
      </w:pPr>
      <w:r>
        <w:rPr>
          <w:b/>
        </w:rPr>
        <w:t>DEF:</w:t>
      </w:r>
      <w:r w:rsidR="00D57D0F">
        <w:tab/>
      </w:r>
      <w:r w:rsidR="00D57D0F">
        <w:tab/>
        <w:t>No position.</w:t>
      </w:r>
    </w:p>
    <w:p w:rsidR="004814F5" w:rsidRDefault="004814F5" w:rsidP="004814F5">
      <w:pPr>
        <w:autoSpaceDE w:val="0"/>
        <w:autoSpaceDN w:val="0"/>
        <w:adjustRightInd w:val="0"/>
        <w:jc w:val="both"/>
        <w:rPr>
          <w:b/>
        </w:rPr>
      </w:pPr>
    </w:p>
    <w:p w:rsidR="003A4C1C" w:rsidRPr="009E2EC0" w:rsidRDefault="004814F5" w:rsidP="003A4C1C">
      <w:pPr>
        <w:ind w:left="1440" w:hanging="1440"/>
        <w:jc w:val="both"/>
      </w:pPr>
      <w:r>
        <w:rPr>
          <w:b/>
        </w:rPr>
        <w:t>FPL:</w:t>
      </w:r>
      <w:r w:rsidR="001457E5">
        <w:rPr>
          <w:b/>
        </w:rPr>
        <w:tab/>
      </w:r>
      <w:r w:rsidR="009E2EC0" w:rsidRPr="009E2EC0">
        <w:t>Resolution of this issue and associated discovery should be deferred to 2026.</w:t>
      </w:r>
    </w:p>
    <w:p w:rsidR="004814F5" w:rsidRDefault="004814F5" w:rsidP="004814F5">
      <w:pPr>
        <w:autoSpaceDE w:val="0"/>
        <w:autoSpaceDN w:val="0"/>
        <w:adjustRightInd w:val="0"/>
        <w:jc w:val="both"/>
        <w:rPr>
          <w:b/>
        </w:rPr>
      </w:pPr>
    </w:p>
    <w:p w:rsidR="00EA4266" w:rsidRPr="005E6568" w:rsidRDefault="004814F5" w:rsidP="00EA4266">
      <w:pPr>
        <w:autoSpaceDE w:val="0"/>
        <w:autoSpaceDN w:val="0"/>
        <w:adjustRightInd w:val="0"/>
        <w:jc w:val="both"/>
      </w:pPr>
      <w:r>
        <w:rPr>
          <w:b/>
        </w:rPr>
        <w:t>FPUC:</w:t>
      </w:r>
      <w:r w:rsidR="00EA4266">
        <w:rPr>
          <w:b/>
        </w:rPr>
        <w:tab/>
      </w:r>
      <w:r w:rsidR="00EA4266">
        <w:rPr>
          <w:b/>
        </w:rPr>
        <w:tab/>
      </w:r>
      <w:r w:rsidR="00EA4266">
        <w:t>No position.</w:t>
      </w:r>
    </w:p>
    <w:p w:rsidR="004814F5" w:rsidRDefault="004814F5" w:rsidP="004814F5">
      <w:pPr>
        <w:autoSpaceDE w:val="0"/>
        <w:autoSpaceDN w:val="0"/>
        <w:adjustRightInd w:val="0"/>
        <w:jc w:val="both"/>
        <w:rPr>
          <w:b/>
        </w:rPr>
      </w:pPr>
    </w:p>
    <w:p w:rsidR="002F77E7" w:rsidRPr="002F77E7" w:rsidRDefault="004814F5" w:rsidP="002F77E7">
      <w:pPr>
        <w:autoSpaceDE w:val="0"/>
        <w:autoSpaceDN w:val="0"/>
        <w:adjustRightInd w:val="0"/>
        <w:jc w:val="both"/>
      </w:pPr>
      <w:r>
        <w:rPr>
          <w:b/>
        </w:rPr>
        <w:t>TECO:</w:t>
      </w:r>
      <w:r w:rsidR="002F77E7">
        <w:rPr>
          <w:b/>
        </w:rPr>
        <w:tab/>
      </w:r>
      <w:r w:rsidR="002F77E7">
        <w:t>No position.</w:t>
      </w:r>
    </w:p>
    <w:p w:rsidR="004814F5" w:rsidRPr="002F77E7" w:rsidRDefault="004814F5" w:rsidP="004814F5">
      <w:pPr>
        <w:autoSpaceDE w:val="0"/>
        <w:autoSpaceDN w:val="0"/>
        <w:adjustRightInd w:val="0"/>
        <w:jc w:val="both"/>
      </w:pPr>
    </w:p>
    <w:p w:rsidR="004814F5" w:rsidRPr="008F3A80" w:rsidRDefault="004814F5" w:rsidP="008F3A80">
      <w:pPr>
        <w:autoSpaceDE w:val="0"/>
        <w:autoSpaceDN w:val="0"/>
        <w:adjustRightInd w:val="0"/>
        <w:ind w:left="1440" w:hanging="1440"/>
        <w:jc w:val="both"/>
      </w:pPr>
      <w:r>
        <w:rPr>
          <w:b/>
        </w:rPr>
        <w:t>OPC:</w:t>
      </w:r>
      <w:r w:rsidR="008F3A80">
        <w:rPr>
          <w:b/>
        </w:rPr>
        <w:tab/>
      </w:r>
      <w:r w:rsidR="00A97B31" w:rsidRPr="00A97B31">
        <w:t>R</w:t>
      </w:r>
      <w:r w:rsidR="008F3A80">
        <w:t xml:space="preserve">esolution of this issue should be deferred </w:t>
      </w:r>
      <w:r w:rsidR="00A97B31">
        <w:t>until 2026</w:t>
      </w:r>
      <w:r w:rsidR="008F3A80">
        <w:t>.</w:t>
      </w:r>
    </w:p>
    <w:p w:rsidR="004814F5" w:rsidRDefault="00D77C09" w:rsidP="004814F5">
      <w:pPr>
        <w:autoSpaceDE w:val="0"/>
        <w:autoSpaceDN w:val="0"/>
        <w:adjustRightInd w:val="0"/>
        <w:jc w:val="both"/>
        <w:rPr>
          <w:b/>
        </w:rPr>
      </w:pPr>
      <w:r>
        <w:rPr>
          <w:b/>
        </w:rPr>
        <w:tab/>
      </w:r>
      <w:r>
        <w:rPr>
          <w:b/>
        </w:rPr>
        <w:tab/>
      </w:r>
    </w:p>
    <w:p w:rsidR="004814F5" w:rsidRPr="00D77C09" w:rsidRDefault="004814F5" w:rsidP="004814F5">
      <w:pPr>
        <w:autoSpaceDE w:val="0"/>
        <w:autoSpaceDN w:val="0"/>
        <w:adjustRightInd w:val="0"/>
        <w:jc w:val="both"/>
      </w:pPr>
      <w:r>
        <w:rPr>
          <w:b/>
        </w:rPr>
        <w:t>FIPUG:</w:t>
      </w:r>
      <w:r w:rsidR="00D77C09">
        <w:rPr>
          <w:b/>
        </w:rPr>
        <w:tab/>
      </w:r>
      <w:r w:rsidR="00C41EFE">
        <w:t>Defer this issue to a later hearing.</w:t>
      </w:r>
      <w:r w:rsidR="00C41EFE">
        <w:rPr>
          <w:b/>
        </w:rPr>
        <w:t xml:space="preserve"> </w:t>
      </w:r>
    </w:p>
    <w:p w:rsidR="004814F5" w:rsidRDefault="004814F5" w:rsidP="004814F5">
      <w:pPr>
        <w:autoSpaceDE w:val="0"/>
        <w:autoSpaceDN w:val="0"/>
        <w:adjustRightInd w:val="0"/>
        <w:jc w:val="both"/>
        <w:rPr>
          <w:b/>
        </w:rPr>
      </w:pPr>
    </w:p>
    <w:p w:rsidR="004814F5" w:rsidRPr="00114B2D" w:rsidRDefault="004814F5" w:rsidP="004814F5">
      <w:pPr>
        <w:autoSpaceDE w:val="0"/>
        <w:autoSpaceDN w:val="0"/>
        <w:adjustRightInd w:val="0"/>
        <w:jc w:val="both"/>
      </w:pPr>
      <w:r>
        <w:rPr>
          <w:b/>
        </w:rPr>
        <w:t>FRF:</w:t>
      </w:r>
      <w:r w:rsidR="00114B2D">
        <w:rPr>
          <w:b/>
        </w:rPr>
        <w:tab/>
      </w:r>
      <w:r w:rsidR="00114B2D">
        <w:rPr>
          <w:b/>
        </w:rPr>
        <w:tab/>
      </w:r>
      <w:r w:rsidR="00114B2D" w:rsidRPr="0053392F">
        <w:rPr>
          <w:color w:val="000000"/>
        </w:rPr>
        <w:t>T</w:t>
      </w:r>
      <w:r w:rsidR="00114B2D">
        <w:rPr>
          <w:color w:val="000000"/>
        </w:rPr>
        <w:t>he FRF supports deferring the resolution of this issue to a later hearing.</w:t>
      </w:r>
    </w:p>
    <w:p w:rsidR="004814F5" w:rsidRDefault="004814F5" w:rsidP="004814F5">
      <w:pPr>
        <w:autoSpaceDE w:val="0"/>
        <w:autoSpaceDN w:val="0"/>
        <w:adjustRightInd w:val="0"/>
        <w:jc w:val="both"/>
        <w:rPr>
          <w:b/>
        </w:rPr>
      </w:pPr>
    </w:p>
    <w:p w:rsidR="004814F5" w:rsidRDefault="004814F5" w:rsidP="004814F5">
      <w:pPr>
        <w:autoSpaceDE w:val="0"/>
        <w:autoSpaceDN w:val="0"/>
        <w:adjustRightInd w:val="0"/>
        <w:jc w:val="both"/>
        <w:rPr>
          <w:b/>
        </w:rPr>
      </w:pPr>
      <w:r>
        <w:rPr>
          <w:b/>
        </w:rPr>
        <w:t>PCS</w:t>
      </w:r>
    </w:p>
    <w:p w:rsidR="004814F5" w:rsidRPr="002E5D1F" w:rsidRDefault="004814F5" w:rsidP="004814F5">
      <w:pPr>
        <w:autoSpaceDE w:val="0"/>
        <w:autoSpaceDN w:val="0"/>
        <w:adjustRightInd w:val="0"/>
        <w:jc w:val="both"/>
      </w:pPr>
      <w:r>
        <w:rPr>
          <w:b/>
        </w:rPr>
        <w:t>Phosphate:</w:t>
      </w:r>
      <w:r w:rsidR="002E5D1F">
        <w:rPr>
          <w:b/>
        </w:rPr>
        <w:tab/>
      </w:r>
      <w:r w:rsidR="002E5D1F">
        <w:t>No position.</w:t>
      </w:r>
    </w:p>
    <w:p w:rsidR="004814F5" w:rsidRDefault="004814F5" w:rsidP="004814F5">
      <w:pPr>
        <w:autoSpaceDE w:val="0"/>
        <w:autoSpaceDN w:val="0"/>
        <w:adjustRightInd w:val="0"/>
        <w:jc w:val="both"/>
        <w:rPr>
          <w:b/>
        </w:rPr>
      </w:pPr>
    </w:p>
    <w:p w:rsidR="004814F5" w:rsidRPr="00F90F0C" w:rsidRDefault="004814F5" w:rsidP="004814F5">
      <w:pPr>
        <w:autoSpaceDE w:val="0"/>
        <w:autoSpaceDN w:val="0"/>
        <w:adjustRightInd w:val="0"/>
        <w:jc w:val="both"/>
      </w:pPr>
      <w:r>
        <w:rPr>
          <w:b/>
        </w:rPr>
        <w:t>NUCOR:</w:t>
      </w:r>
      <w:r w:rsidR="00F90F0C">
        <w:rPr>
          <w:b/>
        </w:rPr>
        <w:tab/>
      </w:r>
      <w:r w:rsidR="00F90F0C">
        <w:t>No position.</w:t>
      </w:r>
    </w:p>
    <w:p w:rsidR="004814F5" w:rsidRDefault="004814F5" w:rsidP="004814F5">
      <w:pPr>
        <w:autoSpaceDE w:val="0"/>
        <w:autoSpaceDN w:val="0"/>
        <w:adjustRightInd w:val="0"/>
        <w:jc w:val="both"/>
        <w:rPr>
          <w:b/>
        </w:rPr>
      </w:pPr>
    </w:p>
    <w:p w:rsidR="004814F5" w:rsidRPr="00C41EFE" w:rsidRDefault="004814F5" w:rsidP="004814F5">
      <w:pPr>
        <w:autoSpaceDE w:val="0"/>
        <w:autoSpaceDN w:val="0"/>
        <w:adjustRightInd w:val="0"/>
        <w:jc w:val="both"/>
      </w:pPr>
      <w:r>
        <w:rPr>
          <w:b/>
        </w:rPr>
        <w:t>STAFF:</w:t>
      </w:r>
      <w:r w:rsidR="002A0A72">
        <w:rPr>
          <w:b/>
        </w:rPr>
        <w:tab/>
      </w:r>
      <w:r w:rsidR="00C41EFE">
        <w:t>Defer this issue to a later hearing.</w:t>
      </w:r>
    </w:p>
    <w:p w:rsidR="004814F5" w:rsidRDefault="004814F5" w:rsidP="00565CA9">
      <w:pPr>
        <w:ind w:left="1440" w:hanging="1440"/>
        <w:jc w:val="both"/>
      </w:pPr>
    </w:p>
    <w:p w:rsidR="009068BF" w:rsidRPr="00565CA9" w:rsidRDefault="009068BF" w:rsidP="00565CA9">
      <w:pPr>
        <w:ind w:left="1440" w:hanging="1440"/>
        <w:jc w:val="both"/>
      </w:pPr>
    </w:p>
    <w:p w:rsidR="00565CA9" w:rsidRDefault="00565CA9" w:rsidP="00565CA9">
      <w:pPr>
        <w:ind w:left="1440" w:hanging="1440"/>
        <w:jc w:val="both"/>
      </w:pPr>
      <w:r w:rsidRPr="00565CA9">
        <w:rPr>
          <w:b/>
          <w:u w:val="single"/>
        </w:rPr>
        <w:t>ISSUE 2N</w:t>
      </w:r>
      <w:r w:rsidRPr="00565CA9">
        <w:t>:</w:t>
      </w:r>
      <w:r w:rsidRPr="00565CA9">
        <w:tab/>
      </w:r>
      <w:r w:rsidRPr="009068BF">
        <w:rPr>
          <w:b/>
        </w:rPr>
        <w:t>How much replacement power cost did FPL incur due to the forced outage event(s) that occurred at St. Lucie Nuclear Unit No. 2 in July 2024?</w:t>
      </w:r>
    </w:p>
    <w:p w:rsidR="00565CA9" w:rsidRDefault="00565CA9" w:rsidP="00565CA9">
      <w:pPr>
        <w:ind w:left="1440" w:hanging="1440"/>
        <w:jc w:val="both"/>
      </w:pPr>
    </w:p>
    <w:p w:rsidR="004814F5" w:rsidRPr="00D57D0F" w:rsidRDefault="004814F5" w:rsidP="004814F5">
      <w:pPr>
        <w:autoSpaceDE w:val="0"/>
        <w:autoSpaceDN w:val="0"/>
        <w:adjustRightInd w:val="0"/>
        <w:jc w:val="both"/>
      </w:pPr>
      <w:r>
        <w:rPr>
          <w:b/>
        </w:rPr>
        <w:t>DEF:</w:t>
      </w:r>
      <w:r w:rsidR="00D57D0F">
        <w:tab/>
      </w:r>
      <w:r w:rsidR="00D57D0F">
        <w:tab/>
        <w:t>No position.</w:t>
      </w:r>
    </w:p>
    <w:p w:rsidR="004814F5" w:rsidRDefault="004814F5" w:rsidP="004814F5">
      <w:pPr>
        <w:autoSpaceDE w:val="0"/>
        <w:autoSpaceDN w:val="0"/>
        <w:adjustRightInd w:val="0"/>
        <w:jc w:val="both"/>
        <w:rPr>
          <w:b/>
        </w:rPr>
      </w:pPr>
    </w:p>
    <w:p w:rsidR="003A4C1C" w:rsidRPr="009E2EC0" w:rsidRDefault="004814F5" w:rsidP="00D767DE">
      <w:pPr>
        <w:ind w:left="1440" w:hanging="1440"/>
        <w:jc w:val="both"/>
      </w:pPr>
      <w:r>
        <w:rPr>
          <w:b/>
        </w:rPr>
        <w:t>FPL:</w:t>
      </w:r>
      <w:r w:rsidR="003A4C1C">
        <w:rPr>
          <w:b/>
        </w:rPr>
        <w:tab/>
      </w:r>
      <w:r w:rsidR="009E2EC0">
        <w:t>Resolution of this issue and associated discovery should be deferred to 2026.</w:t>
      </w:r>
    </w:p>
    <w:p w:rsidR="002F77E7" w:rsidRPr="00F96B2E" w:rsidRDefault="002F77E7" w:rsidP="00D767DE">
      <w:pPr>
        <w:ind w:left="1440" w:hanging="1440"/>
        <w:jc w:val="both"/>
      </w:pPr>
    </w:p>
    <w:p w:rsidR="00EA4266" w:rsidRPr="005E6568" w:rsidRDefault="004814F5" w:rsidP="00EA4266">
      <w:pPr>
        <w:autoSpaceDE w:val="0"/>
        <w:autoSpaceDN w:val="0"/>
        <w:adjustRightInd w:val="0"/>
        <w:jc w:val="both"/>
      </w:pPr>
      <w:r>
        <w:rPr>
          <w:b/>
        </w:rPr>
        <w:t>FPUC:</w:t>
      </w:r>
      <w:r w:rsidR="00EA4266">
        <w:rPr>
          <w:b/>
        </w:rPr>
        <w:tab/>
      </w:r>
      <w:r w:rsidR="00EA4266">
        <w:rPr>
          <w:b/>
        </w:rPr>
        <w:tab/>
      </w:r>
      <w:r w:rsidR="00EA4266">
        <w:t>No position.</w:t>
      </w:r>
    </w:p>
    <w:p w:rsidR="004814F5" w:rsidRDefault="004814F5" w:rsidP="004814F5">
      <w:pPr>
        <w:autoSpaceDE w:val="0"/>
        <w:autoSpaceDN w:val="0"/>
        <w:adjustRightInd w:val="0"/>
        <w:jc w:val="both"/>
        <w:rPr>
          <w:b/>
        </w:rPr>
      </w:pPr>
    </w:p>
    <w:p w:rsidR="002F77E7" w:rsidRPr="002F77E7" w:rsidRDefault="004814F5" w:rsidP="002F77E7">
      <w:pPr>
        <w:autoSpaceDE w:val="0"/>
        <w:autoSpaceDN w:val="0"/>
        <w:adjustRightInd w:val="0"/>
        <w:jc w:val="both"/>
      </w:pPr>
      <w:r>
        <w:rPr>
          <w:b/>
        </w:rPr>
        <w:t>TECO:</w:t>
      </w:r>
      <w:r w:rsidR="002F77E7">
        <w:rPr>
          <w:b/>
        </w:rPr>
        <w:tab/>
      </w:r>
      <w:r w:rsidR="002F77E7">
        <w:t>No position.</w:t>
      </w:r>
    </w:p>
    <w:p w:rsidR="004814F5" w:rsidRDefault="004814F5" w:rsidP="004814F5">
      <w:pPr>
        <w:autoSpaceDE w:val="0"/>
        <w:autoSpaceDN w:val="0"/>
        <w:adjustRightInd w:val="0"/>
        <w:jc w:val="both"/>
        <w:rPr>
          <w:b/>
        </w:rPr>
      </w:pPr>
    </w:p>
    <w:p w:rsidR="004814F5" w:rsidRPr="008F3A80" w:rsidRDefault="004814F5" w:rsidP="008F3A80">
      <w:pPr>
        <w:autoSpaceDE w:val="0"/>
        <w:autoSpaceDN w:val="0"/>
        <w:adjustRightInd w:val="0"/>
        <w:ind w:left="1440" w:hanging="1440"/>
        <w:jc w:val="both"/>
      </w:pPr>
      <w:r>
        <w:rPr>
          <w:b/>
        </w:rPr>
        <w:t>OPC:</w:t>
      </w:r>
      <w:r w:rsidR="008F3A80">
        <w:rPr>
          <w:b/>
        </w:rPr>
        <w:tab/>
      </w:r>
      <w:r w:rsidR="00A97B31" w:rsidRPr="00A97B31">
        <w:t>R</w:t>
      </w:r>
      <w:r w:rsidR="008F3A80">
        <w:t xml:space="preserve">esolution of this issue should be deferred </w:t>
      </w:r>
      <w:r w:rsidR="00A97B31">
        <w:t>until 2026</w:t>
      </w:r>
      <w:r w:rsidR="008F3A80">
        <w:t>.</w:t>
      </w:r>
    </w:p>
    <w:p w:rsidR="004814F5" w:rsidRDefault="004814F5" w:rsidP="004814F5">
      <w:pPr>
        <w:autoSpaceDE w:val="0"/>
        <w:autoSpaceDN w:val="0"/>
        <w:adjustRightInd w:val="0"/>
        <w:jc w:val="both"/>
        <w:rPr>
          <w:b/>
        </w:rPr>
      </w:pPr>
    </w:p>
    <w:p w:rsidR="004814F5" w:rsidRPr="00C41EFE" w:rsidRDefault="004814F5" w:rsidP="004814F5">
      <w:pPr>
        <w:autoSpaceDE w:val="0"/>
        <w:autoSpaceDN w:val="0"/>
        <w:adjustRightInd w:val="0"/>
        <w:jc w:val="both"/>
      </w:pPr>
      <w:r>
        <w:rPr>
          <w:b/>
        </w:rPr>
        <w:t>FIPUG:</w:t>
      </w:r>
      <w:r w:rsidR="00D77C09">
        <w:rPr>
          <w:b/>
        </w:rPr>
        <w:tab/>
      </w:r>
      <w:r w:rsidR="00C41EFE" w:rsidRPr="00C41EFE">
        <w:t>Defer this issue to a later hearing.</w:t>
      </w:r>
    </w:p>
    <w:p w:rsidR="004814F5" w:rsidRDefault="004814F5" w:rsidP="004814F5">
      <w:pPr>
        <w:autoSpaceDE w:val="0"/>
        <w:autoSpaceDN w:val="0"/>
        <w:adjustRightInd w:val="0"/>
        <w:jc w:val="both"/>
        <w:rPr>
          <w:b/>
        </w:rPr>
      </w:pPr>
    </w:p>
    <w:p w:rsidR="004814F5" w:rsidRPr="00114B2D" w:rsidRDefault="004814F5" w:rsidP="004814F5">
      <w:pPr>
        <w:autoSpaceDE w:val="0"/>
        <w:autoSpaceDN w:val="0"/>
        <w:adjustRightInd w:val="0"/>
        <w:jc w:val="both"/>
      </w:pPr>
      <w:r>
        <w:rPr>
          <w:b/>
        </w:rPr>
        <w:t>FRF:</w:t>
      </w:r>
      <w:r w:rsidR="00114B2D">
        <w:rPr>
          <w:b/>
        </w:rPr>
        <w:tab/>
      </w:r>
      <w:r w:rsidR="00114B2D">
        <w:rPr>
          <w:b/>
        </w:rPr>
        <w:tab/>
      </w:r>
      <w:r w:rsidR="00114B2D" w:rsidRPr="0053392F">
        <w:rPr>
          <w:color w:val="000000"/>
        </w:rPr>
        <w:t>T</w:t>
      </w:r>
      <w:r w:rsidR="00114B2D">
        <w:rPr>
          <w:color w:val="000000"/>
        </w:rPr>
        <w:t>he FRF supports deferring the resolution of this issue to a later hearing.</w:t>
      </w:r>
    </w:p>
    <w:p w:rsidR="004814F5" w:rsidRDefault="004814F5" w:rsidP="004814F5">
      <w:pPr>
        <w:autoSpaceDE w:val="0"/>
        <w:autoSpaceDN w:val="0"/>
        <w:adjustRightInd w:val="0"/>
        <w:jc w:val="both"/>
        <w:rPr>
          <w:b/>
        </w:rPr>
      </w:pPr>
    </w:p>
    <w:p w:rsidR="004814F5" w:rsidRDefault="004814F5" w:rsidP="004814F5">
      <w:pPr>
        <w:autoSpaceDE w:val="0"/>
        <w:autoSpaceDN w:val="0"/>
        <w:adjustRightInd w:val="0"/>
        <w:jc w:val="both"/>
        <w:rPr>
          <w:b/>
        </w:rPr>
      </w:pPr>
      <w:r>
        <w:rPr>
          <w:b/>
        </w:rPr>
        <w:t>PCS</w:t>
      </w:r>
    </w:p>
    <w:p w:rsidR="004814F5" w:rsidRPr="002E5D1F" w:rsidRDefault="004814F5" w:rsidP="004814F5">
      <w:pPr>
        <w:autoSpaceDE w:val="0"/>
        <w:autoSpaceDN w:val="0"/>
        <w:adjustRightInd w:val="0"/>
        <w:jc w:val="both"/>
      </w:pPr>
      <w:r>
        <w:rPr>
          <w:b/>
        </w:rPr>
        <w:t>Phosphate:</w:t>
      </w:r>
      <w:r w:rsidR="002E5D1F">
        <w:rPr>
          <w:b/>
        </w:rPr>
        <w:tab/>
      </w:r>
      <w:r w:rsidR="002E5D1F">
        <w:t>No position.</w:t>
      </w:r>
    </w:p>
    <w:p w:rsidR="004814F5" w:rsidRDefault="004814F5" w:rsidP="004814F5">
      <w:pPr>
        <w:autoSpaceDE w:val="0"/>
        <w:autoSpaceDN w:val="0"/>
        <w:adjustRightInd w:val="0"/>
        <w:jc w:val="both"/>
        <w:rPr>
          <w:b/>
        </w:rPr>
      </w:pPr>
    </w:p>
    <w:p w:rsidR="004814F5" w:rsidRPr="00F90F0C" w:rsidRDefault="004814F5" w:rsidP="004814F5">
      <w:pPr>
        <w:autoSpaceDE w:val="0"/>
        <w:autoSpaceDN w:val="0"/>
        <w:adjustRightInd w:val="0"/>
        <w:jc w:val="both"/>
      </w:pPr>
      <w:r>
        <w:rPr>
          <w:b/>
        </w:rPr>
        <w:t>NUCOR:</w:t>
      </w:r>
      <w:r w:rsidR="00F90F0C">
        <w:rPr>
          <w:b/>
        </w:rPr>
        <w:tab/>
      </w:r>
      <w:r w:rsidR="00F90F0C">
        <w:t>No position.</w:t>
      </w:r>
    </w:p>
    <w:p w:rsidR="004814F5" w:rsidRDefault="004814F5" w:rsidP="004814F5">
      <w:pPr>
        <w:autoSpaceDE w:val="0"/>
        <w:autoSpaceDN w:val="0"/>
        <w:adjustRightInd w:val="0"/>
        <w:jc w:val="both"/>
        <w:rPr>
          <w:b/>
        </w:rPr>
      </w:pPr>
    </w:p>
    <w:p w:rsidR="004814F5" w:rsidRPr="002A0A72" w:rsidRDefault="004814F5" w:rsidP="004814F5">
      <w:pPr>
        <w:autoSpaceDE w:val="0"/>
        <w:autoSpaceDN w:val="0"/>
        <w:adjustRightInd w:val="0"/>
        <w:jc w:val="both"/>
      </w:pPr>
      <w:r>
        <w:rPr>
          <w:b/>
        </w:rPr>
        <w:t>STAFF:</w:t>
      </w:r>
      <w:r w:rsidR="002A0A72">
        <w:rPr>
          <w:b/>
        </w:rPr>
        <w:tab/>
      </w:r>
      <w:r w:rsidR="00C41EFE" w:rsidRPr="00C41EFE">
        <w:t>Defer this issue to a later hearing</w:t>
      </w:r>
      <w:r w:rsidR="002A0A72" w:rsidRPr="00C41EFE">
        <w:t>.</w:t>
      </w:r>
    </w:p>
    <w:p w:rsidR="00565CA9" w:rsidRDefault="00565CA9" w:rsidP="00565CA9">
      <w:pPr>
        <w:ind w:left="1440" w:hanging="1440"/>
        <w:jc w:val="both"/>
      </w:pPr>
    </w:p>
    <w:p w:rsidR="009068BF" w:rsidRDefault="009068BF" w:rsidP="00565CA9">
      <w:pPr>
        <w:ind w:left="1440" w:hanging="1440"/>
        <w:jc w:val="both"/>
      </w:pPr>
    </w:p>
    <w:p w:rsidR="00565CA9" w:rsidRPr="0034081C" w:rsidRDefault="00565CA9" w:rsidP="00565CA9">
      <w:pPr>
        <w:jc w:val="both"/>
        <w:rPr>
          <w:b/>
          <w:bCs/>
        </w:rPr>
      </w:pPr>
      <w:r w:rsidRPr="0034081C">
        <w:rPr>
          <w:b/>
        </w:rPr>
        <w:t>F</w:t>
      </w:r>
      <w:r w:rsidRPr="0034081C">
        <w:rPr>
          <w:b/>
          <w:bCs/>
        </w:rPr>
        <w:t>lorida Public Utilities Company</w:t>
      </w:r>
    </w:p>
    <w:p w:rsidR="00565CA9" w:rsidRPr="00BF6EBB" w:rsidRDefault="00565CA9" w:rsidP="00565CA9">
      <w:pPr>
        <w:autoSpaceDE w:val="0"/>
        <w:autoSpaceDN w:val="0"/>
        <w:adjustRightInd w:val="0"/>
        <w:jc w:val="both"/>
      </w:pPr>
    </w:p>
    <w:p w:rsidR="00565CA9" w:rsidRDefault="00565CA9" w:rsidP="00565CA9">
      <w:pPr>
        <w:autoSpaceDE w:val="0"/>
        <w:autoSpaceDN w:val="0"/>
        <w:adjustRightInd w:val="0"/>
        <w:jc w:val="both"/>
        <w:rPr>
          <w:bCs/>
        </w:rPr>
      </w:pPr>
      <w:r>
        <w:rPr>
          <w:bCs/>
        </w:rPr>
        <w:t>No company-specific fuel issues for Florida Public Utilities Company have been identified at this time.  If such issues are identified, they shall be numbered 3A, 3B, 3C, and so forth, as appropriate.</w:t>
      </w:r>
    </w:p>
    <w:p w:rsidR="00565CA9" w:rsidRDefault="00565CA9" w:rsidP="00565CA9">
      <w:pPr>
        <w:autoSpaceDE w:val="0"/>
        <w:autoSpaceDN w:val="0"/>
        <w:adjustRightInd w:val="0"/>
        <w:jc w:val="both"/>
        <w:rPr>
          <w:bCs/>
        </w:rPr>
      </w:pPr>
    </w:p>
    <w:p w:rsidR="009068BF" w:rsidRDefault="009068BF" w:rsidP="00565CA9">
      <w:pPr>
        <w:autoSpaceDE w:val="0"/>
        <w:autoSpaceDN w:val="0"/>
        <w:adjustRightInd w:val="0"/>
        <w:jc w:val="both"/>
        <w:rPr>
          <w:bCs/>
        </w:rPr>
      </w:pPr>
    </w:p>
    <w:p w:rsidR="00565CA9" w:rsidRPr="006549A3" w:rsidRDefault="00565CA9" w:rsidP="00565CA9">
      <w:pPr>
        <w:autoSpaceDE w:val="0"/>
        <w:autoSpaceDN w:val="0"/>
        <w:adjustRightInd w:val="0"/>
        <w:jc w:val="both"/>
        <w:rPr>
          <w:bCs/>
        </w:rPr>
      </w:pPr>
      <w:r w:rsidRPr="00BF6EBB">
        <w:rPr>
          <w:b/>
          <w:bCs/>
        </w:rPr>
        <w:t xml:space="preserve">Tampa Electric Company </w:t>
      </w:r>
    </w:p>
    <w:p w:rsidR="00565CA9" w:rsidRPr="00BF6EBB" w:rsidRDefault="00565CA9" w:rsidP="00565CA9">
      <w:pPr>
        <w:autoSpaceDE w:val="0"/>
        <w:autoSpaceDN w:val="0"/>
        <w:adjustRightInd w:val="0"/>
        <w:jc w:val="both"/>
        <w:rPr>
          <w:bCs/>
        </w:rPr>
      </w:pPr>
    </w:p>
    <w:p w:rsidR="00565CA9" w:rsidRPr="00AB1493" w:rsidRDefault="00565CA9" w:rsidP="00565CA9">
      <w:pPr>
        <w:autoSpaceDE w:val="0"/>
        <w:autoSpaceDN w:val="0"/>
        <w:adjustRightInd w:val="0"/>
        <w:ind w:left="1440" w:hanging="1440"/>
        <w:jc w:val="both"/>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r>
      <w:r w:rsidRPr="009068BF">
        <w:rPr>
          <w:b/>
        </w:rPr>
        <w:t>What was the total gain under TECO’s Optimization Mechanism approved by Order No. PSC-2021-0423-S-EI that TECO may recover for the period January 2023 through December 2023, and how should that gain to be shared between TECO and its customers?</w:t>
      </w:r>
    </w:p>
    <w:p w:rsidR="00565CA9" w:rsidRDefault="00565CA9" w:rsidP="00565CA9">
      <w:pPr>
        <w:autoSpaceDE w:val="0"/>
        <w:autoSpaceDN w:val="0"/>
        <w:adjustRightInd w:val="0"/>
        <w:ind w:left="1440" w:hanging="1440"/>
        <w:jc w:val="both"/>
        <w:rPr>
          <w:b/>
        </w:rPr>
      </w:pPr>
    </w:p>
    <w:p w:rsidR="00DB2037" w:rsidRDefault="00DB2037" w:rsidP="00DB2037">
      <w:pPr>
        <w:autoSpaceDE w:val="0"/>
        <w:autoSpaceDN w:val="0"/>
        <w:adjustRightInd w:val="0"/>
        <w:ind w:left="1440" w:hanging="1440"/>
        <w:jc w:val="both"/>
      </w:pPr>
      <w:r w:rsidRPr="00DB2037">
        <w:rPr>
          <w:b/>
        </w:rPr>
        <w:lastRenderedPageBreak/>
        <w:t>Stipulation:</w:t>
      </w:r>
      <w:r>
        <w:tab/>
        <w:t>See Section X, Proposed Stipulations.</w:t>
      </w:r>
    </w:p>
    <w:p w:rsidR="009068BF" w:rsidRDefault="009068BF" w:rsidP="00565CA9">
      <w:pPr>
        <w:autoSpaceDE w:val="0"/>
        <w:autoSpaceDN w:val="0"/>
        <w:adjustRightInd w:val="0"/>
        <w:ind w:left="1440" w:hanging="1440"/>
        <w:jc w:val="both"/>
        <w:rPr>
          <w:b/>
        </w:rPr>
      </w:pPr>
    </w:p>
    <w:p w:rsidR="00406E90" w:rsidRDefault="00406E90" w:rsidP="00565CA9">
      <w:pPr>
        <w:autoSpaceDE w:val="0"/>
        <w:autoSpaceDN w:val="0"/>
        <w:adjustRightInd w:val="0"/>
        <w:ind w:left="1440" w:hanging="1440"/>
        <w:jc w:val="both"/>
        <w:rPr>
          <w:b/>
        </w:rPr>
      </w:pPr>
    </w:p>
    <w:p w:rsidR="00565CA9" w:rsidRDefault="00565CA9" w:rsidP="00565CA9">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9068BF">
        <w:rPr>
          <w:b/>
        </w:rPr>
        <w:t>Should the Commission approve TECO’s 2025 Risk Management Plan?</w:t>
      </w:r>
      <w:r>
        <w:t xml:space="preserve"> </w:t>
      </w:r>
    </w:p>
    <w:p w:rsidR="00565CA9" w:rsidRDefault="00565CA9" w:rsidP="00565CA9">
      <w:pPr>
        <w:tabs>
          <w:tab w:val="left" w:pos="8571"/>
        </w:tabs>
        <w:autoSpaceDE w:val="0"/>
        <w:autoSpaceDN w:val="0"/>
        <w:adjustRightInd w:val="0"/>
        <w:ind w:left="1440" w:hanging="1440"/>
        <w:jc w:val="both"/>
      </w:pPr>
    </w:p>
    <w:p w:rsidR="00406E90" w:rsidRDefault="00DB2037" w:rsidP="00406E90">
      <w:pPr>
        <w:autoSpaceDE w:val="0"/>
        <w:autoSpaceDN w:val="0"/>
        <w:adjustRightInd w:val="0"/>
        <w:ind w:left="1440" w:hanging="1440"/>
        <w:jc w:val="both"/>
      </w:pPr>
      <w:r>
        <w:rPr>
          <w:b/>
        </w:rPr>
        <w:t>Stipulation:</w:t>
      </w:r>
      <w:r>
        <w:rPr>
          <w:b/>
        </w:rPr>
        <w:tab/>
      </w:r>
      <w:r>
        <w:t>See Section X, Proposed Stipulations.</w:t>
      </w:r>
    </w:p>
    <w:p w:rsidR="00E06FF8" w:rsidRDefault="00E06FF8" w:rsidP="00406E90">
      <w:pPr>
        <w:autoSpaceDE w:val="0"/>
        <w:autoSpaceDN w:val="0"/>
        <w:adjustRightInd w:val="0"/>
        <w:ind w:left="1440" w:hanging="1440"/>
        <w:jc w:val="both"/>
      </w:pPr>
    </w:p>
    <w:p w:rsidR="00565CA9" w:rsidRPr="004B2031" w:rsidRDefault="00046B0B" w:rsidP="00406E90">
      <w:pPr>
        <w:autoSpaceDE w:val="0"/>
        <w:autoSpaceDN w:val="0"/>
        <w:adjustRightInd w:val="0"/>
        <w:ind w:left="1440" w:hanging="1440"/>
        <w:jc w:val="both"/>
        <w:rPr>
          <w:b/>
          <w:u w:val="single"/>
        </w:rPr>
      </w:pPr>
      <w:r w:rsidRPr="00046B0B">
        <w:rPr>
          <w:b/>
          <w:u w:val="single"/>
        </w:rPr>
        <w:t>G</w:t>
      </w:r>
      <w:r w:rsidR="00565CA9" w:rsidRPr="00046B0B">
        <w:rPr>
          <w:b/>
          <w:u w:val="single"/>
        </w:rPr>
        <w:t>E</w:t>
      </w:r>
      <w:r w:rsidR="00565CA9" w:rsidRPr="004B2031">
        <w:rPr>
          <w:b/>
          <w:u w:val="single"/>
        </w:rPr>
        <w:t>NERIC FUEL ADJUSTMENT ISSUES</w:t>
      </w:r>
    </w:p>
    <w:p w:rsidR="00565CA9" w:rsidRPr="00BF6EBB" w:rsidRDefault="00565CA9" w:rsidP="00565CA9">
      <w:pPr>
        <w:tabs>
          <w:tab w:val="left" w:pos="8571"/>
        </w:tabs>
        <w:autoSpaceDE w:val="0"/>
        <w:autoSpaceDN w:val="0"/>
        <w:adjustRightInd w:val="0"/>
        <w:ind w:left="1440" w:hanging="1440"/>
        <w:jc w:val="both"/>
      </w:pPr>
    </w:p>
    <w:p w:rsidR="00565CA9" w:rsidRDefault="00565CA9" w:rsidP="00565CA9">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r>
      <w:r w:rsidRPr="009068BF">
        <w:rPr>
          <w:b/>
        </w:rPr>
        <w:t>What are the appropriate actual benchmark levels for calendar year 2024 for gains on non-separated wholesale energy sales eligible for a shareholder incentive?</w:t>
      </w:r>
      <w:r w:rsidRPr="00BF6EBB">
        <w:t xml:space="preserve"> </w:t>
      </w:r>
    </w:p>
    <w:p w:rsidR="00565CA9" w:rsidRDefault="00565CA9" w:rsidP="00565CA9">
      <w:pPr>
        <w:ind w:left="1440" w:hanging="1440"/>
        <w:jc w:val="both"/>
        <w:rPr>
          <w:b/>
          <w:bCs/>
          <w:u w:val="single"/>
        </w:rPr>
      </w:pPr>
    </w:p>
    <w:p w:rsidR="00814181" w:rsidRDefault="00814181" w:rsidP="00814181">
      <w:pPr>
        <w:autoSpaceDE w:val="0"/>
        <w:autoSpaceDN w:val="0"/>
        <w:adjustRightInd w:val="0"/>
        <w:ind w:left="1440" w:hanging="1440"/>
        <w:jc w:val="both"/>
      </w:pPr>
      <w:r>
        <w:rPr>
          <w:b/>
          <w:bCs/>
        </w:rPr>
        <w:t>Stipulation:</w:t>
      </w:r>
      <w:r>
        <w:rPr>
          <w:b/>
          <w:bCs/>
        </w:rPr>
        <w:tab/>
      </w:r>
      <w:r>
        <w:t>See Section X, Proposed Stipulations.</w:t>
      </w:r>
    </w:p>
    <w:p w:rsidR="009068BF" w:rsidRDefault="009068BF" w:rsidP="00565CA9">
      <w:pPr>
        <w:ind w:left="1440" w:hanging="1440"/>
        <w:jc w:val="both"/>
        <w:rPr>
          <w:b/>
          <w:bCs/>
          <w:u w:val="single"/>
        </w:rPr>
      </w:pPr>
    </w:p>
    <w:p w:rsidR="00406E90" w:rsidRPr="005A75A1" w:rsidRDefault="00406E90" w:rsidP="00565CA9">
      <w:pPr>
        <w:ind w:left="1440" w:hanging="1440"/>
        <w:jc w:val="both"/>
        <w:rPr>
          <w:b/>
          <w:bCs/>
          <w:u w:val="single"/>
        </w:rPr>
      </w:pPr>
    </w:p>
    <w:p w:rsidR="00565CA9" w:rsidRPr="005A75A1" w:rsidRDefault="00565CA9" w:rsidP="00565CA9">
      <w:pPr>
        <w:ind w:left="1440" w:hanging="1440"/>
        <w:jc w:val="both"/>
        <w:rPr>
          <w:b/>
          <w:bCs/>
          <w:u w:val="single"/>
        </w:rPr>
      </w:pPr>
      <w:r w:rsidRPr="005A75A1">
        <w:rPr>
          <w:b/>
          <w:bCs/>
          <w:u w:val="single"/>
        </w:rPr>
        <w:t>ISSUE 6</w:t>
      </w:r>
      <w:r w:rsidRPr="005A75A1">
        <w:t>:</w:t>
      </w:r>
      <w:r w:rsidRPr="005A75A1">
        <w:tab/>
      </w:r>
      <w:r w:rsidRPr="009068BF">
        <w:rPr>
          <w:b/>
        </w:rPr>
        <w:t>What are the appropriate estimated benchmark levels for calendar year 2025 for gains on non-separated wholesale energy sales eligible for a shareholder incentive?</w:t>
      </w:r>
    </w:p>
    <w:p w:rsidR="00565CA9" w:rsidRDefault="00565CA9" w:rsidP="00565CA9">
      <w:pPr>
        <w:pStyle w:val="ListParagraph"/>
        <w:autoSpaceDE w:val="0"/>
        <w:autoSpaceDN w:val="0"/>
        <w:adjustRightInd w:val="0"/>
        <w:ind w:firstLine="720"/>
        <w:jc w:val="both"/>
      </w:pPr>
      <w:r>
        <w:t xml:space="preserve"> </w:t>
      </w:r>
      <w:r w:rsidRPr="005A75A1">
        <w:t xml:space="preserve"> </w:t>
      </w: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9068BF" w:rsidRDefault="009068BF" w:rsidP="009068BF">
      <w:pPr>
        <w:autoSpaceDE w:val="0"/>
        <w:autoSpaceDN w:val="0"/>
        <w:adjustRightInd w:val="0"/>
        <w:jc w:val="both"/>
      </w:pPr>
    </w:p>
    <w:p w:rsidR="00406E90" w:rsidRPr="00814181" w:rsidRDefault="00406E90" w:rsidP="009068BF">
      <w:pPr>
        <w:autoSpaceDE w:val="0"/>
        <w:autoSpaceDN w:val="0"/>
        <w:adjustRightInd w:val="0"/>
        <w:jc w:val="both"/>
      </w:pPr>
    </w:p>
    <w:p w:rsidR="00565CA9" w:rsidRDefault="00565CA9" w:rsidP="00565CA9">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r>
      <w:r w:rsidRPr="009068BF">
        <w:rPr>
          <w:b/>
        </w:rPr>
        <w:t>What are the appropriate final fuel adjustment true-up amounts for the period January 2023 through December 2023?</w:t>
      </w:r>
    </w:p>
    <w:p w:rsidR="00565CA9" w:rsidRPr="005A75A1" w:rsidRDefault="00565CA9" w:rsidP="00565CA9">
      <w:pPr>
        <w:autoSpaceDE w:val="0"/>
        <w:autoSpaceDN w:val="0"/>
        <w:adjustRightInd w:val="0"/>
        <w:jc w:val="both"/>
      </w:pPr>
    </w:p>
    <w:p w:rsidR="00814181" w:rsidRDefault="00814181" w:rsidP="00814181">
      <w:pPr>
        <w:autoSpaceDE w:val="0"/>
        <w:autoSpaceDN w:val="0"/>
        <w:adjustRightInd w:val="0"/>
        <w:ind w:left="1440" w:hanging="1440"/>
        <w:jc w:val="both"/>
      </w:pPr>
      <w:r w:rsidRPr="00814181">
        <w:rPr>
          <w:b/>
        </w:rPr>
        <w:t>Stipulation:</w:t>
      </w:r>
      <w:r>
        <w:rPr>
          <w:b/>
        </w:rPr>
        <w:tab/>
      </w:r>
      <w:r>
        <w:t>See Section X, Proposed Stipulations.</w:t>
      </w:r>
    </w:p>
    <w:p w:rsidR="009068BF" w:rsidRDefault="009068BF" w:rsidP="00565CA9">
      <w:pPr>
        <w:autoSpaceDE w:val="0"/>
        <w:autoSpaceDN w:val="0"/>
        <w:adjustRightInd w:val="0"/>
        <w:ind w:left="1440" w:hanging="1440"/>
        <w:jc w:val="both"/>
      </w:pPr>
    </w:p>
    <w:p w:rsidR="00406E90" w:rsidRPr="00814181" w:rsidRDefault="00406E90" w:rsidP="00565CA9">
      <w:pPr>
        <w:autoSpaceDE w:val="0"/>
        <w:autoSpaceDN w:val="0"/>
        <w:adjustRightInd w:val="0"/>
        <w:ind w:left="1440" w:hanging="1440"/>
        <w:jc w:val="both"/>
      </w:pPr>
    </w:p>
    <w:p w:rsidR="00565CA9" w:rsidRPr="009068BF" w:rsidRDefault="00565CA9" w:rsidP="009068BF">
      <w:pPr>
        <w:ind w:left="1440" w:hanging="1440"/>
        <w:jc w:val="both"/>
        <w:rPr>
          <w:b/>
        </w:rPr>
      </w:pPr>
      <w:r w:rsidRPr="00BF6EBB">
        <w:rPr>
          <w:b/>
          <w:bCs/>
          <w:u w:val="single"/>
        </w:rPr>
        <w:t xml:space="preserve">ISSUE </w:t>
      </w:r>
      <w:r>
        <w:rPr>
          <w:b/>
          <w:bCs/>
          <w:u w:val="single"/>
        </w:rPr>
        <w:t>8</w:t>
      </w:r>
      <w:r w:rsidRPr="00BF6EBB">
        <w:rPr>
          <w:b/>
          <w:bCs/>
        </w:rPr>
        <w:t>:</w:t>
      </w:r>
      <w:r w:rsidRPr="00BF6EBB">
        <w:rPr>
          <w:b/>
          <w:bCs/>
        </w:rPr>
        <w:tab/>
      </w:r>
      <w:r w:rsidRPr="009068BF">
        <w:rPr>
          <w:b/>
        </w:rPr>
        <w:t>What are the appropriate fuel adjustment actual/estimated true-up amounts for the</w:t>
      </w:r>
      <w:r w:rsidR="009068BF">
        <w:rPr>
          <w:b/>
        </w:rPr>
        <w:t xml:space="preserve"> </w:t>
      </w:r>
      <w:r w:rsidRPr="009068BF">
        <w:rPr>
          <w:b/>
        </w:rPr>
        <w:t>period January 2024 through December 2024?</w:t>
      </w:r>
    </w:p>
    <w:p w:rsidR="00565CA9" w:rsidRDefault="00565CA9" w:rsidP="00565CA9">
      <w:pPr>
        <w:ind w:left="720" w:firstLine="72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9068BF" w:rsidRDefault="009068BF" w:rsidP="00565CA9">
      <w:pPr>
        <w:autoSpaceDE w:val="0"/>
        <w:autoSpaceDN w:val="0"/>
        <w:adjustRightInd w:val="0"/>
        <w:ind w:left="1440" w:hanging="1440"/>
        <w:jc w:val="both"/>
      </w:pPr>
    </w:p>
    <w:p w:rsidR="00406E90" w:rsidRPr="00814181" w:rsidRDefault="00406E90" w:rsidP="00565CA9">
      <w:pPr>
        <w:autoSpaceDE w:val="0"/>
        <w:autoSpaceDN w:val="0"/>
        <w:adjustRightInd w:val="0"/>
        <w:ind w:left="1440" w:hanging="1440"/>
        <w:jc w:val="both"/>
      </w:pPr>
    </w:p>
    <w:p w:rsidR="00565CA9" w:rsidRPr="00AB1493" w:rsidRDefault="00565CA9" w:rsidP="00565CA9">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r>
      <w:r w:rsidRPr="009068BF">
        <w:rPr>
          <w:b/>
        </w:rPr>
        <w:t>What are the appropriate total fuel adjustment true-up amounts to be collected/refunded from January 2025 through December 2025?</w:t>
      </w:r>
    </w:p>
    <w:p w:rsidR="00565CA9" w:rsidRPr="00AB1493" w:rsidRDefault="00565CA9"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9068BF" w:rsidRDefault="009068BF" w:rsidP="00565CA9">
      <w:pPr>
        <w:autoSpaceDE w:val="0"/>
        <w:autoSpaceDN w:val="0"/>
        <w:adjustRightInd w:val="0"/>
        <w:ind w:left="1440" w:hanging="1440"/>
        <w:jc w:val="both"/>
      </w:pPr>
    </w:p>
    <w:p w:rsidR="00406E90" w:rsidRPr="00BF6EBB" w:rsidRDefault="00406E90" w:rsidP="00565CA9">
      <w:pPr>
        <w:autoSpaceDE w:val="0"/>
        <w:autoSpaceDN w:val="0"/>
        <w:adjustRightInd w:val="0"/>
        <w:ind w:left="1440" w:hanging="1440"/>
        <w:jc w:val="both"/>
      </w:pPr>
    </w:p>
    <w:p w:rsidR="00565CA9" w:rsidRPr="00D21AC9" w:rsidRDefault="00565CA9" w:rsidP="00565CA9">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r>
      <w:r w:rsidRPr="00D21AC9">
        <w:rPr>
          <w:rStyle w:val="Strong"/>
        </w:rPr>
        <w:t>What are the appropriate projected total fuel and purchased power cost recovery amounts for the period January 2025 through December 2025?</w:t>
      </w:r>
    </w:p>
    <w:p w:rsidR="00814181" w:rsidRDefault="00814181" w:rsidP="00814181">
      <w:pPr>
        <w:autoSpaceDE w:val="0"/>
        <w:autoSpaceDN w:val="0"/>
        <w:adjustRightInd w:val="0"/>
        <w:ind w:left="1440" w:hanging="1440"/>
        <w:jc w:val="both"/>
      </w:pPr>
      <w:r>
        <w:rPr>
          <w:b/>
          <w:bCs/>
        </w:rPr>
        <w:t>Stipulation:</w:t>
      </w:r>
      <w:r>
        <w:rPr>
          <w:b/>
          <w:bCs/>
        </w:rPr>
        <w:tab/>
      </w:r>
      <w:r>
        <w:t>See Section X, Proposed Stipulations.</w:t>
      </w:r>
    </w:p>
    <w:p w:rsidR="00A715C8" w:rsidRDefault="00A715C8">
      <w:pPr>
        <w:rPr>
          <w:bCs/>
        </w:rPr>
      </w:pPr>
    </w:p>
    <w:p w:rsidR="00BA384C" w:rsidRDefault="00BA384C" w:rsidP="00E06FF8">
      <w:pPr>
        <w:rPr>
          <w:b/>
          <w:bCs/>
          <w:u w:val="single"/>
        </w:rPr>
      </w:pPr>
      <w:r>
        <w:rPr>
          <w:b/>
          <w:bCs/>
          <w:u w:val="single"/>
        </w:rPr>
        <w:br w:type="page"/>
      </w:r>
      <w:r w:rsidR="00565CA9" w:rsidRPr="004B2031">
        <w:rPr>
          <w:b/>
          <w:bCs/>
          <w:u w:val="single"/>
        </w:rPr>
        <w:lastRenderedPageBreak/>
        <w:t>COMPANY-SPECIFIC GENERATING PERFORMANCE INCENTIVE FACTOR ISSUES</w:t>
      </w:r>
    </w:p>
    <w:p w:rsidR="00BA384C" w:rsidRDefault="00BA384C" w:rsidP="00BA384C">
      <w:pPr>
        <w:jc w:val="both"/>
        <w:rPr>
          <w:b/>
          <w:bCs/>
          <w:u w:val="single"/>
        </w:rPr>
      </w:pPr>
    </w:p>
    <w:p w:rsidR="00565CA9" w:rsidRPr="00BF6EBB" w:rsidRDefault="00565CA9" w:rsidP="00BA384C">
      <w:pPr>
        <w:jc w:val="both"/>
        <w:rPr>
          <w:b/>
          <w:bCs/>
        </w:rPr>
      </w:pPr>
      <w:r w:rsidRPr="00BF6EBB">
        <w:rPr>
          <w:b/>
          <w:bCs/>
        </w:rPr>
        <w:t>Duke Energy Florida, LLC</w:t>
      </w:r>
    </w:p>
    <w:p w:rsidR="00565CA9" w:rsidRPr="00BF6EBB" w:rsidRDefault="00565CA9" w:rsidP="00565CA9">
      <w:pPr>
        <w:autoSpaceDE w:val="0"/>
        <w:autoSpaceDN w:val="0"/>
        <w:adjustRightInd w:val="0"/>
      </w:pPr>
    </w:p>
    <w:p w:rsidR="00565CA9" w:rsidRPr="00BF6EBB" w:rsidRDefault="00565CA9" w:rsidP="00565CA9">
      <w:pPr>
        <w:autoSpaceDE w:val="0"/>
        <w:autoSpaceDN w:val="0"/>
        <w:adjustRightInd w:val="0"/>
        <w:jc w:val="both"/>
      </w:pPr>
      <w:r w:rsidRPr="00BF6EBB">
        <w:t>No company-specific GPIF issues for Duke Energy Florida, Inc. have been identified at this time. If such issues are identified, they shall be numbered 1</w:t>
      </w:r>
      <w:r>
        <w:t>1</w:t>
      </w:r>
      <w:r w:rsidRPr="00BF6EBB">
        <w:t>A, 1</w:t>
      </w:r>
      <w:r>
        <w:t>1</w:t>
      </w:r>
      <w:r w:rsidRPr="00BF6EBB">
        <w:t>B, 1</w:t>
      </w:r>
      <w:r>
        <w:t>1</w:t>
      </w:r>
      <w:r w:rsidRPr="00BF6EBB">
        <w:t>C, and so forth, as appropriate.</w:t>
      </w:r>
    </w:p>
    <w:p w:rsidR="00814181" w:rsidRDefault="00814181">
      <w:pPr>
        <w:rPr>
          <w:b/>
          <w:bCs/>
        </w:rPr>
      </w:pPr>
    </w:p>
    <w:p w:rsidR="00565CA9" w:rsidRPr="00BF6EBB" w:rsidRDefault="003E448B" w:rsidP="004814F5">
      <w:pPr>
        <w:spacing w:after="200" w:line="276" w:lineRule="auto"/>
        <w:rPr>
          <w:b/>
          <w:bCs/>
        </w:rPr>
      </w:pPr>
      <w:r>
        <w:rPr>
          <w:b/>
          <w:bCs/>
        </w:rPr>
        <w:t>F</w:t>
      </w:r>
      <w:r w:rsidR="00565CA9" w:rsidRPr="00BF6EBB">
        <w:rPr>
          <w:b/>
          <w:bCs/>
        </w:rPr>
        <w:t>lorida Power &amp; Light Company</w:t>
      </w:r>
    </w:p>
    <w:p w:rsidR="00565CA9" w:rsidRDefault="00565CA9" w:rsidP="00565CA9">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E06FF8" w:rsidRPr="00BF6EBB" w:rsidRDefault="00E06FF8" w:rsidP="00565CA9">
      <w:pPr>
        <w:autoSpaceDE w:val="0"/>
        <w:autoSpaceDN w:val="0"/>
        <w:adjustRightInd w:val="0"/>
        <w:jc w:val="both"/>
      </w:pPr>
    </w:p>
    <w:p w:rsidR="00565CA9" w:rsidRPr="00BF6EBB" w:rsidRDefault="00565CA9" w:rsidP="00565CA9">
      <w:pPr>
        <w:rPr>
          <w:b/>
          <w:bCs/>
        </w:rPr>
      </w:pPr>
      <w:r w:rsidRPr="00BF6EBB">
        <w:rPr>
          <w:b/>
          <w:bCs/>
        </w:rPr>
        <w:t>Tampa Electric Company</w:t>
      </w:r>
    </w:p>
    <w:p w:rsidR="00565CA9" w:rsidRPr="00BF6EBB" w:rsidRDefault="00565CA9" w:rsidP="00565CA9">
      <w:pPr>
        <w:autoSpaceDE w:val="0"/>
        <w:autoSpaceDN w:val="0"/>
        <w:adjustRightInd w:val="0"/>
        <w:jc w:val="both"/>
      </w:pPr>
    </w:p>
    <w:p w:rsidR="00565CA9" w:rsidRPr="00BF6EBB" w:rsidRDefault="00565CA9" w:rsidP="00565CA9">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565CA9" w:rsidRDefault="00565CA9" w:rsidP="00565CA9">
      <w:pPr>
        <w:rPr>
          <w:b/>
          <w:bCs/>
          <w:u w:val="single"/>
        </w:rPr>
      </w:pPr>
    </w:p>
    <w:p w:rsidR="009068BF" w:rsidRDefault="009068BF" w:rsidP="00565CA9">
      <w:pPr>
        <w:rPr>
          <w:b/>
          <w:bCs/>
          <w:u w:val="single"/>
        </w:rPr>
      </w:pPr>
    </w:p>
    <w:p w:rsidR="00565CA9" w:rsidRPr="004B2031" w:rsidRDefault="00565CA9" w:rsidP="00565CA9">
      <w:pPr>
        <w:rPr>
          <w:b/>
          <w:bCs/>
          <w:u w:val="single"/>
        </w:rPr>
      </w:pPr>
      <w:r w:rsidRPr="004B2031">
        <w:rPr>
          <w:b/>
          <w:bCs/>
          <w:u w:val="single"/>
        </w:rPr>
        <w:t>GENERIC GPIF ISSUES</w:t>
      </w:r>
    </w:p>
    <w:p w:rsidR="00565CA9" w:rsidRPr="00BF6EBB" w:rsidRDefault="00565CA9" w:rsidP="00565CA9">
      <w:pPr>
        <w:autoSpaceDE w:val="0"/>
        <w:autoSpaceDN w:val="0"/>
        <w:adjustRightInd w:val="0"/>
        <w:jc w:val="both"/>
      </w:pPr>
    </w:p>
    <w:p w:rsidR="00565CA9" w:rsidRDefault="00565CA9" w:rsidP="00565CA9">
      <w:pPr>
        <w:autoSpaceDE w:val="0"/>
        <w:autoSpaceDN w:val="0"/>
        <w:adjustRightInd w:val="0"/>
        <w:ind w:left="1440" w:hanging="1440"/>
        <w:jc w:val="both"/>
      </w:pPr>
      <w:r w:rsidRPr="00BF6EBB">
        <w:rPr>
          <w:b/>
          <w:bCs/>
          <w:u w:val="single"/>
        </w:rPr>
        <w:t>ISSUE 1</w:t>
      </w:r>
      <w:r>
        <w:rPr>
          <w:b/>
          <w:bCs/>
          <w:u w:val="single"/>
        </w:rPr>
        <w:t>4</w:t>
      </w:r>
      <w:r w:rsidRPr="00BF6EBB">
        <w:t>:</w:t>
      </w:r>
      <w:r w:rsidRPr="00BF6EBB">
        <w:tab/>
      </w:r>
      <w:r w:rsidRPr="003E448B">
        <w:rPr>
          <w:b/>
        </w:rPr>
        <w:t>What is the appropriate GPIF reward or penalty for performance achieved during the period January 2023 through December 2023 for each investor-owned electric utility subject to the GPIF?</w:t>
      </w:r>
      <w:r w:rsidRPr="00BF6EBB">
        <w:t xml:space="preserve"> </w:t>
      </w:r>
    </w:p>
    <w:p w:rsidR="0040280A" w:rsidRDefault="0040280A"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3E448B" w:rsidRDefault="003E448B" w:rsidP="00565CA9"/>
    <w:p w:rsidR="00406E90" w:rsidRPr="00520C62" w:rsidRDefault="00406E90" w:rsidP="00565CA9"/>
    <w:p w:rsidR="00565CA9" w:rsidRDefault="00565CA9" w:rsidP="00565CA9">
      <w:pPr>
        <w:autoSpaceDE w:val="0"/>
        <w:autoSpaceDN w:val="0"/>
        <w:adjustRightInd w:val="0"/>
        <w:ind w:left="1440" w:hanging="1440"/>
        <w:jc w:val="both"/>
      </w:pPr>
      <w:r w:rsidRPr="00BF6EBB">
        <w:rPr>
          <w:b/>
          <w:bCs/>
          <w:u w:val="single"/>
        </w:rPr>
        <w:t>ISSUE 1</w:t>
      </w:r>
      <w:r>
        <w:rPr>
          <w:b/>
          <w:bCs/>
          <w:u w:val="single"/>
        </w:rPr>
        <w:t>5</w:t>
      </w:r>
      <w:r w:rsidRPr="00BF6EBB">
        <w:t>:</w:t>
      </w:r>
      <w:r w:rsidRPr="00BF6EBB">
        <w:tab/>
      </w:r>
      <w:r w:rsidRPr="003E448B">
        <w:rPr>
          <w:b/>
        </w:rPr>
        <w:t>What should the GPIF targets/ranges be for the period January 2025 through December 2025 for each investor-owned electric utility subject to the GPIF?</w:t>
      </w:r>
    </w:p>
    <w:p w:rsidR="00565CA9" w:rsidRDefault="00565CA9"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bCs/>
        </w:rPr>
        <w:t>Stipulation:</w:t>
      </w:r>
      <w:r>
        <w:rPr>
          <w:b/>
          <w:bCs/>
        </w:rPr>
        <w:tab/>
      </w:r>
      <w:r>
        <w:t>See Section X, Proposed Stipulations.</w:t>
      </w:r>
    </w:p>
    <w:p w:rsidR="00565CA9" w:rsidRPr="00814181" w:rsidRDefault="00565CA9" w:rsidP="00565CA9">
      <w:pPr>
        <w:autoSpaceDE w:val="0"/>
        <w:autoSpaceDN w:val="0"/>
        <w:adjustRightInd w:val="0"/>
        <w:rPr>
          <w:bCs/>
          <w:caps/>
        </w:rPr>
      </w:pPr>
    </w:p>
    <w:p w:rsidR="003E448B" w:rsidRDefault="003E448B" w:rsidP="00565CA9">
      <w:pPr>
        <w:autoSpaceDE w:val="0"/>
        <w:autoSpaceDN w:val="0"/>
        <w:adjustRightInd w:val="0"/>
        <w:rPr>
          <w:b/>
          <w:bCs/>
          <w:caps/>
        </w:rPr>
      </w:pPr>
    </w:p>
    <w:p w:rsidR="00565CA9" w:rsidRPr="004B2031" w:rsidRDefault="00565CA9" w:rsidP="00565CA9">
      <w:pPr>
        <w:autoSpaceDE w:val="0"/>
        <w:autoSpaceDN w:val="0"/>
        <w:adjustRightInd w:val="0"/>
        <w:rPr>
          <w:b/>
          <w:bCs/>
          <w:u w:val="single"/>
        </w:rPr>
      </w:pPr>
      <w:r w:rsidRPr="004B2031">
        <w:rPr>
          <w:b/>
          <w:bCs/>
          <w:caps/>
          <w:u w:val="single"/>
        </w:rPr>
        <w:t xml:space="preserve">Fuel Factor Calculation ISSUES </w:t>
      </w:r>
    </w:p>
    <w:p w:rsidR="00565CA9" w:rsidRPr="00BF6EBB" w:rsidRDefault="00565CA9" w:rsidP="00565CA9">
      <w:pPr>
        <w:autoSpaceDE w:val="0"/>
        <w:autoSpaceDN w:val="0"/>
        <w:adjustRightInd w:val="0"/>
        <w:jc w:val="both"/>
        <w:rPr>
          <w:b/>
          <w:bCs/>
          <w:u w:val="single"/>
        </w:rPr>
      </w:pPr>
    </w:p>
    <w:p w:rsidR="00565CA9" w:rsidRDefault="00565CA9" w:rsidP="00565CA9">
      <w:pPr>
        <w:autoSpaceDE w:val="0"/>
        <w:autoSpaceDN w:val="0"/>
        <w:adjustRightInd w:val="0"/>
        <w:ind w:left="1440" w:hanging="1440"/>
        <w:jc w:val="both"/>
      </w:pPr>
      <w:r w:rsidRPr="00BF6EBB">
        <w:rPr>
          <w:b/>
          <w:bCs/>
          <w:u w:val="single"/>
        </w:rPr>
        <w:t>ISSUE 1</w:t>
      </w:r>
      <w:r>
        <w:rPr>
          <w:b/>
          <w:bCs/>
          <w:u w:val="single"/>
        </w:rPr>
        <w:t>6</w:t>
      </w:r>
      <w:r w:rsidRPr="00BF6EBB">
        <w:t>:</w:t>
      </w:r>
      <w:r w:rsidRPr="00BF6EBB">
        <w:tab/>
      </w:r>
      <w:r w:rsidRPr="003E448B">
        <w:rPr>
          <w:b/>
        </w:rPr>
        <w:t>What are the appropriate projected net fuel and purchased power cost recovery and Generating Performance Incentive amounts to be included in the recovery factor for the period January 2025 through December 2025?</w:t>
      </w:r>
    </w:p>
    <w:p w:rsidR="006F6BB5" w:rsidRDefault="006F6BB5"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565CA9" w:rsidRPr="00D21AC9" w:rsidRDefault="00565CA9" w:rsidP="00565CA9">
      <w:pPr>
        <w:ind w:left="1440" w:hanging="1440"/>
        <w:jc w:val="both"/>
        <w:rPr>
          <w:rStyle w:val="Strong"/>
          <w:b w:val="0"/>
          <w:bCs w:val="0"/>
        </w:rPr>
      </w:pPr>
      <w:r w:rsidRPr="00BF6EBB">
        <w:rPr>
          <w:rStyle w:val="Strong"/>
          <w:u w:val="single"/>
        </w:rPr>
        <w:lastRenderedPageBreak/>
        <w:t>ISSUE 1</w:t>
      </w:r>
      <w:r>
        <w:rPr>
          <w:rStyle w:val="Strong"/>
          <w:u w:val="single"/>
        </w:rPr>
        <w:t>7</w:t>
      </w:r>
      <w:r w:rsidRPr="00BF6EBB">
        <w:rPr>
          <w:rStyle w:val="Strong"/>
        </w:rPr>
        <w:t>:</w:t>
      </w:r>
      <w:r w:rsidRPr="00BF6EBB">
        <w:rPr>
          <w:rStyle w:val="Strong"/>
        </w:rPr>
        <w:tab/>
      </w:r>
      <w:r w:rsidRPr="00D21AC9">
        <w:rPr>
          <w:rStyle w:val="Strong"/>
        </w:rPr>
        <w:t>What is the appropriate revenue tax factor to be applied in calculating each investor-owned electric utility’s levelized fuel factor for the projection period January 2025 through December 2025?</w:t>
      </w:r>
    </w:p>
    <w:p w:rsidR="00565CA9" w:rsidRDefault="00565CA9" w:rsidP="00565CA9">
      <w:pPr>
        <w:rPr>
          <w:bCs/>
        </w:rPr>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3E448B" w:rsidRDefault="003E448B" w:rsidP="00565CA9"/>
    <w:p w:rsidR="00406E90" w:rsidRPr="00814181" w:rsidRDefault="00406E90" w:rsidP="00565CA9"/>
    <w:p w:rsidR="00565CA9" w:rsidRDefault="00565CA9" w:rsidP="00565CA9">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r>
      <w:r w:rsidRPr="003E448B">
        <w:rPr>
          <w:b/>
        </w:rPr>
        <w:t>What are the appropriate levelized fuel cost recovery factors for the period January 2025 through December 2025?</w:t>
      </w:r>
    </w:p>
    <w:p w:rsidR="00565CA9" w:rsidRDefault="00565CA9"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406E90" w:rsidRDefault="00406E90" w:rsidP="00814181">
      <w:pPr>
        <w:autoSpaceDE w:val="0"/>
        <w:autoSpaceDN w:val="0"/>
        <w:adjustRightInd w:val="0"/>
        <w:ind w:left="1440" w:hanging="1440"/>
        <w:jc w:val="both"/>
      </w:pPr>
    </w:p>
    <w:p w:rsidR="00406E90" w:rsidRDefault="00406E90" w:rsidP="00814181">
      <w:pPr>
        <w:autoSpaceDE w:val="0"/>
        <w:autoSpaceDN w:val="0"/>
        <w:adjustRightInd w:val="0"/>
        <w:ind w:left="1440" w:hanging="1440"/>
        <w:jc w:val="both"/>
      </w:pPr>
    </w:p>
    <w:p w:rsidR="00565CA9" w:rsidRDefault="00565CA9" w:rsidP="00565CA9">
      <w:pPr>
        <w:autoSpaceDE w:val="0"/>
        <w:autoSpaceDN w:val="0"/>
        <w:adjustRightInd w:val="0"/>
        <w:ind w:left="1440" w:hanging="1440"/>
        <w:jc w:val="both"/>
      </w:pPr>
      <w:r w:rsidRPr="00BF6EBB">
        <w:rPr>
          <w:b/>
          <w:bCs/>
          <w:u w:val="single"/>
        </w:rPr>
        <w:t xml:space="preserve">ISSUE </w:t>
      </w:r>
      <w:r>
        <w:rPr>
          <w:b/>
          <w:bCs/>
          <w:u w:val="single"/>
        </w:rPr>
        <w:t>19</w:t>
      </w:r>
      <w:r w:rsidRPr="00BF6EBB">
        <w:t>:</w:t>
      </w:r>
      <w:r w:rsidRPr="00BF6EBB">
        <w:tab/>
      </w:r>
      <w:r w:rsidRPr="003E448B">
        <w:rPr>
          <w:b/>
        </w:rPr>
        <w:t>What are the appropriate fuel recovery line loss multipliers to be used in calculating the fuel cost recovery factors charged to each rate class/delivery voltage level class?</w:t>
      </w:r>
    </w:p>
    <w:p w:rsidR="00D17F20" w:rsidRDefault="00D17F20" w:rsidP="00565CA9">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814181" w:rsidRDefault="00814181" w:rsidP="00565CA9">
      <w:pPr>
        <w:autoSpaceDE w:val="0"/>
        <w:autoSpaceDN w:val="0"/>
        <w:adjustRightInd w:val="0"/>
        <w:ind w:left="1440" w:hanging="1440"/>
        <w:jc w:val="both"/>
      </w:pPr>
    </w:p>
    <w:p w:rsidR="00406E90" w:rsidRPr="00814181" w:rsidRDefault="00406E90" w:rsidP="00565CA9">
      <w:pPr>
        <w:autoSpaceDE w:val="0"/>
        <w:autoSpaceDN w:val="0"/>
        <w:adjustRightInd w:val="0"/>
        <w:ind w:left="1440" w:hanging="1440"/>
        <w:jc w:val="both"/>
      </w:pPr>
    </w:p>
    <w:p w:rsidR="00565CA9" w:rsidRDefault="00565CA9" w:rsidP="00565CA9">
      <w:pPr>
        <w:autoSpaceDE w:val="0"/>
        <w:autoSpaceDN w:val="0"/>
        <w:adjustRightInd w:val="0"/>
        <w:ind w:left="1440" w:hanging="1440"/>
        <w:jc w:val="both"/>
        <w:rPr>
          <w:b/>
        </w:rPr>
      </w:pPr>
      <w:r w:rsidRPr="00D21AC9">
        <w:rPr>
          <w:b/>
          <w:u w:val="single"/>
        </w:rPr>
        <w:t>ISSUE 20</w:t>
      </w:r>
      <w:r>
        <w:rPr>
          <w:b/>
        </w:rPr>
        <w:t>:</w:t>
      </w:r>
      <w:r>
        <w:rPr>
          <w:b/>
        </w:rPr>
        <w:tab/>
      </w:r>
      <w:r w:rsidRPr="003E448B">
        <w:rPr>
          <w:b/>
        </w:rPr>
        <w:t>What are the appropriate fuel cost recovery factors for each rate class/delivery voltage level class adjusted for line losses?</w:t>
      </w:r>
    </w:p>
    <w:p w:rsidR="00D17F20" w:rsidRDefault="00D17F20" w:rsidP="00565CA9">
      <w:pPr>
        <w:autoSpaceDE w:val="0"/>
        <w:autoSpaceDN w:val="0"/>
        <w:adjustRightInd w:val="0"/>
        <w:ind w:left="1440" w:hanging="1440"/>
        <w:jc w:val="both"/>
        <w:rPr>
          <w:b/>
        </w:rPr>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3E448B" w:rsidRDefault="003E448B" w:rsidP="00565CA9">
      <w:pPr>
        <w:autoSpaceDE w:val="0"/>
        <w:autoSpaceDN w:val="0"/>
        <w:adjustRightInd w:val="0"/>
        <w:ind w:left="1440" w:hanging="1440"/>
        <w:jc w:val="both"/>
      </w:pPr>
    </w:p>
    <w:p w:rsidR="00406E90" w:rsidRPr="00814181" w:rsidRDefault="00406E90" w:rsidP="00565CA9">
      <w:pPr>
        <w:autoSpaceDE w:val="0"/>
        <w:autoSpaceDN w:val="0"/>
        <w:adjustRightInd w:val="0"/>
        <w:ind w:left="1440" w:hanging="1440"/>
        <w:jc w:val="both"/>
      </w:pPr>
    </w:p>
    <w:p w:rsidR="00565CA9" w:rsidRPr="00A715C8" w:rsidRDefault="00565CA9" w:rsidP="00565CA9">
      <w:pPr>
        <w:rPr>
          <w:b/>
          <w:bCs/>
          <w:caps/>
        </w:rPr>
      </w:pPr>
      <w:r w:rsidRPr="00A715C8">
        <w:rPr>
          <w:b/>
          <w:bCs/>
          <w:caps/>
        </w:rPr>
        <w:t>II.</w:t>
      </w:r>
      <w:r w:rsidRPr="00A715C8">
        <w:rPr>
          <w:b/>
          <w:bCs/>
          <w:caps/>
        </w:rPr>
        <w:tab/>
      </w:r>
      <w:r w:rsidRPr="00910005">
        <w:rPr>
          <w:b/>
          <w:bCs/>
          <w:caps/>
          <w:u w:val="single"/>
        </w:rPr>
        <w:t>Capacity Issues</w:t>
      </w:r>
    </w:p>
    <w:p w:rsidR="00565CA9" w:rsidRPr="00A715C8" w:rsidRDefault="00565CA9" w:rsidP="00565CA9">
      <w:pPr>
        <w:autoSpaceDE w:val="0"/>
        <w:autoSpaceDN w:val="0"/>
        <w:adjustRightInd w:val="0"/>
        <w:rPr>
          <w:b/>
          <w:bCs/>
        </w:rPr>
      </w:pPr>
    </w:p>
    <w:p w:rsidR="00565CA9" w:rsidRPr="00910005" w:rsidRDefault="00565CA9" w:rsidP="00565CA9">
      <w:pPr>
        <w:autoSpaceDE w:val="0"/>
        <w:autoSpaceDN w:val="0"/>
        <w:adjustRightInd w:val="0"/>
        <w:rPr>
          <w:b/>
          <w:bCs/>
          <w:u w:val="single"/>
        </w:rPr>
      </w:pPr>
      <w:r w:rsidRPr="00910005">
        <w:rPr>
          <w:b/>
          <w:bCs/>
          <w:u w:val="single"/>
        </w:rPr>
        <w:t>COMPANY-SPECIFIC CAPACITY COST RECOVERY FACTOR ISSUES</w:t>
      </w:r>
    </w:p>
    <w:p w:rsidR="00565CA9" w:rsidRDefault="00565CA9" w:rsidP="00565CA9">
      <w:pPr>
        <w:autoSpaceDE w:val="0"/>
        <w:autoSpaceDN w:val="0"/>
        <w:adjustRightInd w:val="0"/>
        <w:rPr>
          <w:b/>
          <w:bCs/>
        </w:rPr>
      </w:pPr>
    </w:p>
    <w:p w:rsidR="00565CA9" w:rsidRDefault="00565CA9" w:rsidP="00565CA9">
      <w:pPr>
        <w:autoSpaceDE w:val="0"/>
        <w:autoSpaceDN w:val="0"/>
        <w:adjustRightInd w:val="0"/>
        <w:rPr>
          <w:b/>
          <w:bCs/>
        </w:rPr>
      </w:pPr>
      <w:r w:rsidRPr="00BF6EBB">
        <w:rPr>
          <w:b/>
          <w:bCs/>
        </w:rPr>
        <w:t>Duke Energy Florida, LLC</w:t>
      </w:r>
    </w:p>
    <w:p w:rsidR="00565CA9" w:rsidRDefault="00565CA9" w:rsidP="00565CA9">
      <w:pPr>
        <w:autoSpaceDE w:val="0"/>
        <w:autoSpaceDN w:val="0"/>
        <w:adjustRightInd w:val="0"/>
        <w:rPr>
          <w:b/>
          <w:bCs/>
        </w:rPr>
      </w:pPr>
    </w:p>
    <w:p w:rsidR="00565CA9" w:rsidRPr="003E448B" w:rsidRDefault="00565CA9" w:rsidP="00A715C8">
      <w:pPr>
        <w:autoSpaceDE w:val="0"/>
        <w:autoSpaceDN w:val="0"/>
        <w:adjustRightInd w:val="0"/>
        <w:ind w:left="1440" w:hanging="1440"/>
        <w:jc w:val="both"/>
        <w:rPr>
          <w:b/>
        </w:rPr>
      </w:pPr>
      <w:r>
        <w:rPr>
          <w:b/>
          <w:u w:val="single"/>
        </w:rPr>
        <w:t>ISSUE 21A</w:t>
      </w:r>
      <w:r>
        <w:rPr>
          <w:b/>
        </w:rPr>
        <w:t>:</w:t>
      </w:r>
      <w:r>
        <w:rPr>
          <w:b/>
        </w:rPr>
        <w:tab/>
      </w:r>
      <w:r w:rsidRPr="003E448B">
        <w:rPr>
          <w:b/>
        </w:rPr>
        <w:t>What is the appropriate amount of costs for the Independent Spent Fuel Storage Installation (ISFSI) that DEF should be allowed to recover through the capacity cost recovery clause pursuant to DEF’s 2017 Settlement for 2025?</w:t>
      </w:r>
    </w:p>
    <w:p w:rsidR="00565CA9" w:rsidRDefault="00565CA9" w:rsidP="00A715C8">
      <w:pPr>
        <w:autoSpaceDE w:val="0"/>
        <w:autoSpaceDN w:val="0"/>
        <w:adjustRightInd w:val="0"/>
        <w:ind w:left="1440" w:hanging="144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3E448B" w:rsidRDefault="003E448B" w:rsidP="00565CA9">
      <w:pPr>
        <w:autoSpaceDE w:val="0"/>
        <w:autoSpaceDN w:val="0"/>
        <w:adjustRightInd w:val="0"/>
        <w:ind w:left="1440" w:hanging="1440"/>
      </w:pPr>
    </w:p>
    <w:p w:rsidR="00814181" w:rsidRPr="00814181" w:rsidRDefault="00814181" w:rsidP="00565CA9">
      <w:pPr>
        <w:autoSpaceDE w:val="0"/>
        <w:autoSpaceDN w:val="0"/>
        <w:adjustRightInd w:val="0"/>
        <w:ind w:left="1440" w:hanging="1440"/>
      </w:pPr>
    </w:p>
    <w:p w:rsidR="00565CA9" w:rsidRPr="00BF6EBB" w:rsidRDefault="00565CA9" w:rsidP="00565CA9">
      <w:pPr>
        <w:autoSpaceDE w:val="0"/>
        <w:autoSpaceDN w:val="0"/>
        <w:adjustRightInd w:val="0"/>
        <w:jc w:val="both"/>
        <w:rPr>
          <w:b/>
          <w:bCs/>
        </w:rPr>
      </w:pPr>
      <w:r w:rsidRPr="00BF6EBB">
        <w:rPr>
          <w:b/>
          <w:bCs/>
        </w:rPr>
        <w:t>Florida Power &amp; Light Company</w:t>
      </w:r>
    </w:p>
    <w:p w:rsidR="00565CA9" w:rsidRPr="00BF6EBB" w:rsidRDefault="00565CA9" w:rsidP="00565CA9">
      <w:pPr>
        <w:autoSpaceDE w:val="0"/>
        <w:autoSpaceDN w:val="0"/>
        <w:adjustRightInd w:val="0"/>
        <w:jc w:val="both"/>
        <w:rPr>
          <w:bCs/>
        </w:rPr>
      </w:pPr>
    </w:p>
    <w:p w:rsidR="00565CA9" w:rsidRDefault="00565CA9" w:rsidP="00565CA9">
      <w:pPr>
        <w:autoSpaceDE w:val="0"/>
        <w:autoSpaceDN w:val="0"/>
        <w:adjustRightInd w:val="0"/>
        <w:jc w:val="both"/>
      </w:pPr>
      <w:r w:rsidRPr="00BF6EBB">
        <w:t xml:space="preserve">No company-specific capacity cost recovery factor issues for </w:t>
      </w:r>
      <w:r>
        <w:t>Florida Power &amp; Light Company</w:t>
      </w:r>
      <w:r w:rsidRPr="00BF6EBB">
        <w:t xml:space="preserve"> have been identified at this time. If such issues are identified, they will be numbered 2</w:t>
      </w:r>
      <w:r>
        <w:t>2</w:t>
      </w:r>
      <w:r w:rsidRPr="00BF6EBB">
        <w:t>A, 2</w:t>
      </w:r>
      <w:r>
        <w:t>2</w:t>
      </w:r>
      <w:r w:rsidRPr="00BF6EBB">
        <w:t>B, 2</w:t>
      </w:r>
      <w:r>
        <w:t>2</w:t>
      </w:r>
      <w:r w:rsidRPr="00BF6EBB">
        <w:t>C, and so forth, as appropriate.</w:t>
      </w:r>
    </w:p>
    <w:p w:rsidR="00565CA9" w:rsidRPr="00BF6EBB" w:rsidRDefault="00565CA9" w:rsidP="00565CA9">
      <w:pPr>
        <w:rPr>
          <w:b/>
          <w:bCs/>
        </w:rPr>
      </w:pPr>
      <w:r w:rsidRPr="00BF6EBB">
        <w:rPr>
          <w:b/>
          <w:bCs/>
        </w:rPr>
        <w:lastRenderedPageBreak/>
        <w:t>Tampa Electric Company</w:t>
      </w:r>
    </w:p>
    <w:p w:rsidR="00565CA9" w:rsidRPr="00BF6EBB" w:rsidRDefault="00565CA9" w:rsidP="00565CA9">
      <w:pPr>
        <w:autoSpaceDE w:val="0"/>
        <w:autoSpaceDN w:val="0"/>
        <w:adjustRightInd w:val="0"/>
        <w:jc w:val="both"/>
      </w:pPr>
    </w:p>
    <w:p w:rsidR="00565CA9" w:rsidRPr="00BF6EBB" w:rsidRDefault="00565CA9" w:rsidP="00565CA9">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565CA9" w:rsidRDefault="00565CA9" w:rsidP="00565CA9">
      <w:pPr>
        <w:jc w:val="both"/>
        <w:rPr>
          <w:b/>
          <w:bCs/>
        </w:rPr>
      </w:pPr>
    </w:p>
    <w:p w:rsidR="003E448B" w:rsidRDefault="003E448B" w:rsidP="00565CA9">
      <w:pPr>
        <w:jc w:val="both"/>
        <w:rPr>
          <w:b/>
          <w:bCs/>
        </w:rPr>
      </w:pPr>
    </w:p>
    <w:p w:rsidR="00565CA9" w:rsidRPr="00910005" w:rsidRDefault="00565CA9" w:rsidP="00565CA9">
      <w:pPr>
        <w:rPr>
          <w:b/>
          <w:bCs/>
          <w:u w:val="single"/>
        </w:rPr>
      </w:pPr>
      <w:r w:rsidRPr="00910005">
        <w:rPr>
          <w:b/>
          <w:bCs/>
          <w:u w:val="single"/>
        </w:rPr>
        <w:t>GENERIC CAPACITY COST RECOVERY FACTOR ISSUES</w:t>
      </w:r>
    </w:p>
    <w:p w:rsidR="00565CA9" w:rsidRPr="00BF6EBB" w:rsidRDefault="00565CA9" w:rsidP="00565CA9">
      <w:pPr>
        <w:autoSpaceDE w:val="0"/>
        <w:autoSpaceDN w:val="0"/>
        <w:adjustRightInd w:val="0"/>
      </w:pPr>
    </w:p>
    <w:p w:rsidR="00565CA9" w:rsidRPr="00AB1493" w:rsidRDefault="00565CA9" w:rsidP="00565CA9">
      <w:pPr>
        <w:autoSpaceDE w:val="0"/>
        <w:autoSpaceDN w:val="0"/>
        <w:adjustRightInd w:val="0"/>
        <w:ind w:left="1440" w:hanging="1440"/>
        <w:jc w:val="both"/>
      </w:pPr>
      <w:r w:rsidRPr="00BF6EBB">
        <w:rPr>
          <w:b/>
          <w:bCs/>
          <w:u w:val="single"/>
        </w:rPr>
        <w:t>ISS</w:t>
      </w:r>
      <w:r w:rsidRPr="00AB1493">
        <w:rPr>
          <w:b/>
          <w:bCs/>
          <w:u w:val="single"/>
        </w:rPr>
        <w:t>UE 24</w:t>
      </w:r>
      <w:r w:rsidR="00BA384C">
        <w:rPr>
          <w:b/>
          <w:bCs/>
        </w:rPr>
        <w:t>:</w:t>
      </w:r>
      <w:r w:rsidRPr="00AB1493">
        <w:tab/>
      </w:r>
      <w:r w:rsidRPr="003E448B">
        <w:rPr>
          <w:b/>
        </w:rPr>
        <w:t>What are the appropriate final capacity cost recovery true-up amounts for the period January 2023 through December 2023?</w:t>
      </w:r>
    </w:p>
    <w:p w:rsidR="00565CA9" w:rsidRPr="00AB1493" w:rsidRDefault="00565CA9" w:rsidP="00565CA9">
      <w:pPr>
        <w:autoSpaceDE w:val="0"/>
        <w:autoSpaceDN w:val="0"/>
        <w:adjustRightInd w:val="0"/>
        <w:jc w:val="both"/>
      </w:pPr>
    </w:p>
    <w:p w:rsidR="00814181" w:rsidRDefault="00814181" w:rsidP="00814181">
      <w:pPr>
        <w:autoSpaceDE w:val="0"/>
        <w:autoSpaceDN w:val="0"/>
        <w:adjustRightInd w:val="0"/>
        <w:ind w:left="1440" w:hanging="1440"/>
        <w:jc w:val="both"/>
      </w:pPr>
      <w:r>
        <w:rPr>
          <w:b/>
        </w:rPr>
        <w:t>Stipulation:</w:t>
      </w:r>
      <w:r>
        <w:rPr>
          <w:b/>
        </w:rPr>
        <w:tab/>
      </w:r>
      <w:r>
        <w:t>See Section X, Proposed Stipulations.</w:t>
      </w:r>
    </w:p>
    <w:p w:rsidR="00565CA9" w:rsidRPr="00814181" w:rsidRDefault="00565CA9" w:rsidP="00565CA9"/>
    <w:p w:rsidR="003E448B" w:rsidRPr="00AB1493" w:rsidRDefault="003E448B" w:rsidP="00565CA9"/>
    <w:p w:rsidR="00565CA9" w:rsidRPr="00AB1493" w:rsidRDefault="00565CA9" w:rsidP="00565CA9">
      <w:pPr>
        <w:autoSpaceDE w:val="0"/>
        <w:autoSpaceDN w:val="0"/>
        <w:adjustRightInd w:val="0"/>
        <w:ind w:left="1440" w:hanging="1440"/>
        <w:jc w:val="both"/>
      </w:pPr>
      <w:r w:rsidRPr="00AB1493">
        <w:rPr>
          <w:b/>
          <w:bCs/>
          <w:u w:val="single"/>
        </w:rPr>
        <w:t>ISSUE 25</w:t>
      </w:r>
      <w:r w:rsidRPr="00AB1493">
        <w:t>:</w:t>
      </w:r>
      <w:r w:rsidRPr="00AB1493">
        <w:tab/>
      </w:r>
      <w:r w:rsidRPr="003E448B">
        <w:rPr>
          <w:b/>
        </w:rPr>
        <w:t>What are the appropriate capacity cost recovery actual/estimated true-up amounts for the period January 2024 through December 2024?</w:t>
      </w:r>
    </w:p>
    <w:p w:rsidR="00565CA9" w:rsidRPr="00BF6EBB" w:rsidRDefault="00565CA9" w:rsidP="00565CA9">
      <w:pPr>
        <w:autoSpaceDE w:val="0"/>
        <w:autoSpaceDN w:val="0"/>
        <w:adjustRightInd w:val="0"/>
        <w:jc w:val="both"/>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565CA9" w:rsidRPr="00E35EC2" w:rsidRDefault="00565CA9" w:rsidP="00565CA9"/>
    <w:p w:rsidR="003E448B" w:rsidRPr="00520C62" w:rsidRDefault="003E448B" w:rsidP="00565CA9"/>
    <w:p w:rsidR="00565CA9" w:rsidRDefault="00565CA9" w:rsidP="00565CA9">
      <w:pPr>
        <w:autoSpaceDE w:val="0"/>
        <w:autoSpaceDN w:val="0"/>
        <w:adjustRightInd w:val="0"/>
        <w:ind w:left="1440" w:hanging="1440"/>
        <w:jc w:val="both"/>
      </w:pPr>
      <w:r w:rsidRPr="00BF6EBB">
        <w:rPr>
          <w:b/>
          <w:bCs/>
          <w:u w:val="single"/>
        </w:rPr>
        <w:t>ISSUE 2</w:t>
      </w:r>
      <w:r>
        <w:rPr>
          <w:b/>
          <w:bCs/>
          <w:u w:val="single"/>
        </w:rPr>
        <w:t>6</w:t>
      </w:r>
      <w:r w:rsidRPr="00BF6EBB">
        <w:t>:</w:t>
      </w:r>
      <w:r w:rsidRPr="00BF6EBB">
        <w:tab/>
      </w:r>
      <w:r w:rsidRPr="003E448B">
        <w:rPr>
          <w:b/>
        </w:rPr>
        <w:t>What are the appropriate total capacity cost recovery true-up amounts to be collected/refunded during the period January 2025 through December 2025?</w:t>
      </w:r>
    </w:p>
    <w:p w:rsidR="00565CA9" w:rsidRDefault="00565CA9" w:rsidP="00565CA9"/>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565CA9" w:rsidRPr="00E35EC2" w:rsidRDefault="00565CA9" w:rsidP="00565CA9"/>
    <w:p w:rsidR="003E448B" w:rsidRPr="00520C62" w:rsidRDefault="003E448B" w:rsidP="00565CA9"/>
    <w:p w:rsidR="00565CA9" w:rsidRDefault="00565CA9" w:rsidP="00565CA9">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r>
      <w:r w:rsidRPr="003E448B">
        <w:rPr>
          <w:b/>
        </w:rPr>
        <w:t>What are the appropriate projected total capacity cost recovery amounts for the period January 2025 through December 2025?</w:t>
      </w:r>
    </w:p>
    <w:p w:rsidR="00565CA9" w:rsidRDefault="00565CA9" w:rsidP="00565CA9">
      <w:pPr>
        <w:autoSpaceDE w:val="0"/>
        <w:autoSpaceDN w:val="0"/>
        <w:adjustRightInd w:val="0"/>
        <w:ind w:left="1440" w:hanging="1440"/>
        <w:jc w:val="both"/>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565CA9" w:rsidRPr="00E35EC2" w:rsidRDefault="00565CA9" w:rsidP="00565CA9"/>
    <w:p w:rsidR="003E448B" w:rsidRPr="00520C62" w:rsidRDefault="003E448B" w:rsidP="00565CA9"/>
    <w:p w:rsidR="00565CA9" w:rsidRDefault="00565CA9" w:rsidP="00565CA9">
      <w:pPr>
        <w:ind w:left="1440" w:hanging="1440"/>
        <w:jc w:val="both"/>
      </w:pPr>
      <w:r w:rsidRPr="00BF6EBB">
        <w:rPr>
          <w:b/>
          <w:bCs/>
          <w:u w:val="single"/>
        </w:rPr>
        <w:t xml:space="preserve">ISSUE </w:t>
      </w:r>
      <w:r>
        <w:rPr>
          <w:b/>
          <w:bCs/>
          <w:u w:val="single"/>
        </w:rPr>
        <w:t>28</w:t>
      </w:r>
      <w:r w:rsidRPr="00BF6EBB">
        <w:t>:</w:t>
      </w:r>
      <w:r w:rsidRPr="00BF6EBB">
        <w:tab/>
      </w:r>
      <w:r w:rsidRPr="003E448B">
        <w:rPr>
          <w:b/>
        </w:rPr>
        <w:t>What are the appropriate projected net purchased power capacity cost recovery amounts to be included in the recovery factor for the period January 2025 through December 2025?</w:t>
      </w:r>
    </w:p>
    <w:p w:rsidR="00500885" w:rsidRDefault="00500885" w:rsidP="00D17F20">
      <w:pPr>
        <w:autoSpaceDE w:val="0"/>
        <w:autoSpaceDN w:val="0"/>
        <w:adjustRightInd w:val="0"/>
        <w:jc w:val="both"/>
        <w:rPr>
          <w:b/>
        </w:rPr>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D17F20" w:rsidRPr="00E35EC2" w:rsidRDefault="00D17F20" w:rsidP="00565CA9">
      <w:pPr>
        <w:autoSpaceDE w:val="0"/>
        <w:autoSpaceDN w:val="0"/>
        <w:adjustRightInd w:val="0"/>
        <w:jc w:val="both"/>
      </w:pPr>
    </w:p>
    <w:p w:rsidR="00565CA9" w:rsidRPr="00BF6EBB" w:rsidRDefault="00565CA9" w:rsidP="003E448B">
      <w:pPr>
        <w:autoSpaceDE w:val="0"/>
        <w:autoSpaceDN w:val="0"/>
        <w:adjustRightInd w:val="0"/>
        <w:jc w:val="both"/>
      </w:pPr>
    </w:p>
    <w:p w:rsidR="00565CA9" w:rsidRDefault="00565CA9" w:rsidP="00565CA9">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r>
      <w:r w:rsidRPr="003E448B">
        <w:rPr>
          <w:b/>
        </w:rPr>
        <w:t>What are the appropriate jurisdictional separation factors for capacity revenues and costs to be included in the recovery factor for the period January 2025 through December 2025?</w:t>
      </w:r>
    </w:p>
    <w:p w:rsidR="00565CA9" w:rsidRDefault="00565CA9" w:rsidP="00565CA9">
      <w:pPr>
        <w:autoSpaceDE w:val="0"/>
        <w:autoSpaceDN w:val="0"/>
        <w:adjustRightInd w:val="0"/>
        <w:ind w:left="1440" w:hanging="1440"/>
        <w:jc w:val="both"/>
      </w:pPr>
      <w:r w:rsidRPr="00BF6EBB">
        <w:t xml:space="preserve"> </w:t>
      </w:r>
      <w:r w:rsidRPr="00520C62">
        <w:t xml:space="preserve">            </w:t>
      </w: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565CA9" w:rsidRDefault="00565CA9" w:rsidP="00565CA9">
      <w:pPr>
        <w:ind w:left="1440" w:hanging="1440"/>
        <w:jc w:val="both"/>
      </w:pPr>
      <w:r w:rsidRPr="00520C62">
        <w:rPr>
          <w:b/>
          <w:bCs/>
          <w:u w:val="single"/>
        </w:rPr>
        <w:lastRenderedPageBreak/>
        <w:t>ISSUE 3</w:t>
      </w:r>
      <w:r>
        <w:rPr>
          <w:b/>
          <w:bCs/>
          <w:u w:val="single"/>
        </w:rPr>
        <w:t>0</w:t>
      </w:r>
      <w:r w:rsidRPr="00520C62">
        <w:t>:</w:t>
      </w:r>
      <w:r w:rsidRPr="00520C62">
        <w:tab/>
      </w:r>
      <w:r w:rsidRPr="003E448B">
        <w:rPr>
          <w:b/>
        </w:rPr>
        <w:t>What are the appropriate capacity cost recovery factors for the period January 2025 through December 2025?</w:t>
      </w:r>
    </w:p>
    <w:p w:rsidR="00565CA9" w:rsidRDefault="00565CA9" w:rsidP="00565CA9">
      <w:pPr>
        <w:ind w:left="1440" w:hanging="1440"/>
        <w:jc w:val="both"/>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E35EC2" w:rsidRDefault="00E35EC2" w:rsidP="00565CA9">
      <w:pPr>
        <w:ind w:left="1440" w:hanging="1440"/>
        <w:jc w:val="both"/>
      </w:pPr>
    </w:p>
    <w:p w:rsidR="00406E90" w:rsidRPr="00E35EC2" w:rsidRDefault="00406E90" w:rsidP="00565CA9">
      <w:pPr>
        <w:ind w:left="1440" w:hanging="1440"/>
        <w:jc w:val="both"/>
      </w:pPr>
    </w:p>
    <w:p w:rsidR="00565CA9" w:rsidRPr="008A4BAC" w:rsidRDefault="00565CA9" w:rsidP="00565CA9">
      <w:pPr>
        <w:autoSpaceDE w:val="0"/>
        <w:autoSpaceDN w:val="0"/>
        <w:adjustRightInd w:val="0"/>
        <w:jc w:val="both"/>
        <w:rPr>
          <w:b/>
          <w:bCs/>
          <w:caps/>
        </w:rPr>
      </w:pPr>
      <w:r w:rsidRPr="008A4BAC">
        <w:rPr>
          <w:b/>
          <w:bCs/>
          <w:caps/>
        </w:rPr>
        <w:t>III.</w:t>
      </w:r>
      <w:r w:rsidRPr="008A4BAC">
        <w:rPr>
          <w:b/>
          <w:bCs/>
          <w:caps/>
        </w:rPr>
        <w:tab/>
      </w:r>
      <w:r w:rsidRPr="00910005">
        <w:rPr>
          <w:b/>
          <w:bCs/>
          <w:caps/>
          <w:u w:val="single"/>
        </w:rPr>
        <w:t>Effective Date</w:t>
      </w:r>
    </w:p>
    <w:p w:rsidR="003E448B" w:rsidRPr="008A4BAC" w:rsidRDefault="003E448B" w:rsidP="0056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565CA9" w:rsidRDefault="00565CA9" w:rsidP="00565CA9">
      <w:pPr>
        <w:autoSpaceDE w:val="0"/>
        <w:autoSpaceDN w:val="0"/>
        <w:adjustRightInd w:val="0"/>
        <w:ind w:left="1440" w:hanging="1440"/>
        <w:jc w:val="both"/>
      </w:pPr>
      <w:r w:rsidRPr="00BF6EBB">
        <w:rPr>
          <w:b/>
          <w:bCs/>
          <w:u w:val="single"/>
        </w:rPr>
        <w:t>ISSUE 3</w:t>
      </w:r>
      <w:r>
        <w:rPr>
          <w:b/>
          <w:bCs/>
          <w:u w:val="single"/>
        </w:rPr>
        <w:t>1</w:t>
      </w:r>
      <w:r w:rsidR="00BA384C">
        <w:rPr>
          <w:b/>
          <w:bCs/>
        </w:rPr>
        <w:t>:</w:t>
      </w:r>
      <w:r w:rsidRPr="00BF6EBB">
        <w:tab/>
      </w:r>
      <w:r w:rsidRPr="003E448B">
        <w:rPr>
          <w:b/>
        </w:rPr>
        <w:t>What should be the effective date of the fuel adjustment factors and capacity cost recovery factors for billing purposes?</w:t>
      </w:r>
    </w:p>
    <w:p w:rsidR="00565CA9" w:rsidRDefault="00565CA9" w:rsidP="00565CA9">
      <w:pPr>
        <w:autoSpaceDE w:val="0"/>
        <w:autoSpaceDN w:val="0"/>
        <w:adjustRightInd w:val="0"/>
        <w:jc w:val="both"/>
      </w:pPr>
      <w:r w:rsidRPr="00BF6EBB">
        <w:t xml:space="preserve">                                                           </w:t>
      </w: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D17F20" w:rsidRPr="00E35EC2" w:rsidRDefault="00D17F20" w:rsidP="00565CA9">
      <w:pPr>
        <w:autoSpaceDE w:val="0"/>
        <w:autoSpaceDN w:val="0"/>
        <w:adjustRightInd w:val="0"/>
        <w:jc w:val="both"/>
      </w:pPr>
    </w:p>
    <w:p w:rsidR="003E448B" w:rsidRPr="00BF6EBB" w:rsidRDefault="003E448B" w:rsidP="00565CA9">
      <w:pPr>
        <w:autoSpaceDE w:val="0"/>
        <w:autoSpaceDN w:val="0"/>
        <w:adjustRightInd w:val="0"/>
        <w:jc w:val="both"/>
      </w:pPr>
    </w:p>
    <w:p w:rsidR="00565CA9" w:rsidRDefault="00565CA9" w:rsidP="00306C3A">
      <w:pPr>
        <w:autoSpaceDE w:val="0"/>
        <w:autoSpaceDN w:val="0"/>
        <w:adjustRightInd w:val="0"/>
        <w:ind w:left="1440" w:hanging="1440"/>
        <w:jc w:val="both"/>
      </w:pPr>
      <w:r w:rsidRPr="00BF6EBB">
        <w:rPr>
          <w:b/>
          <w:u w:val="single"/>
        </w:rPr>
        <w:t>ISSUE 3</w:t>
      </w:r>
      <w:r>
        <w:rPr>
          <w:b/>
          <w:u w:val="single"/>
        </w:rPr>
        <w:t>2</w:t>
      </w:r>
      <w:r w:rsidR="00BA384C">
        <w:rPr>
          <w:b/>
        </w:rPr>
        <w:t>:</w:t>
      </w:r>
      <w:r w:rsidRPr="00BF6EBB">
        <w:rPr>
          <w:b/>
        </w:rPr>
        <w:tab/>
      </w:r>
      <w:r w:rsidRPr="003E448B">
        <w:rPr>
          <w:b/>
        </w:rPr>
        <w:t>Should the Commission approve revised tariffs reflecting the fuel adjustment factors and capacity cost recovery factors determined to be appropriate in this proceeding?</w:t>
      </w:r>
    </w:p>
    <w:p w:rsidR="00565CA9" w:rsidRDefault="00565CA9" w:rsidP="00565CA9">
      <w:pPr>
        <w:autoSpaceDE w:val="0"/>
        <w:autoSpaceDN w:val="0"/>
        <w:adjustRightInd w:val="0"/>
        <w:ind w:left="1440" w:hanging="1440"/>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D17F20" w:rsidRPr="00E35EC2" w:rsidRDefault="00D17F20" w:rsidP="00565CA9">
      <w:pPr>
        <w:autoSpaceDE w:val="0"/>
        <w:autoSpaceDN w:val="0"/>
        <w:adjustRightInd w:val="0"/>
        <w:ind w:left="1440" w:hanging="1440"/>
      </w:pPr>
    </w:p>
    <w:p w:rsidR="003E448B" w:rsidRDefault="003E448B" w:rsidP="00565CA9">
      <w:pPr>
        <w:autoSpaceDE w:val="0"/>
        <w:autoSpaceDN w:val="0"/>
        <w:adjustRightInd w:val="0"/>
        <w:ind w:left="1440" w:hanging="1440"/>
      </w:pPr>
    </w:p>
    <w:p w:rsidR="00565CA9" w:rsidRDefault="00565CA9" w:rsidP="00565CA9">
      <w:pPr>
        <w:autoSpaceDE w:val="0"/>
        <w:autoSpaceDN w:val="0"/>
        <w:adjustRightInd w:val="0"/>
        <w:ind w:left="1440" w:hanging="1440"/>
        <w:jc w:val="both"/>
      </w:pPr>
      <w:r>
        <w:rPr>
          <w:b/>
          <w:u w:val="single"/>
        </w:rPr>
        <w:t>ISSUE 33</w:t>
      </w:r>
      <w:r>
        <w:rPr>
          <w:b/>
        </w:rPr>
        <w:t>:</w:t>
      </w:r>
      <w:r>
        <w:rPr>
          <w:b/>
        </w:rPr>
        <w:tab/>
      </w:r>
      <w:r w:rsidRPr="003E448B">
        <w:rPr>
          <w:b/>
        </w:rPr>
        <w:t>Should this docket be closed?</w:t>
      </w:r>
    </w:p>
    <w:p w:rsidR="00565CA9" w:rsidRDefault="00565CA9" w:rsidP="00565CA9">
      <w:pPr>
        <w:autoSpaceDE w:val="0"/>
        <w:autoSpaceDN w:val="0"/>
        <w:adjustRightInd w:val="0"/>
        <w:ind w:left="1440" w:hanging="1440"/>
        <w:jc w:val="both"/>
      </w:pPr>
    </w:p>
    <w:p w:rsidR="00E35EC2" w:rsidRDefault="00E35EC2" w:rsidP="00E35EC2">
      <w:pPr>
        <w:autoSpaceDE w:val="0"/>
        <w:autoSpaceDN w:val="0"/>
        <w:adjustRightInd w:val="0"/>
        <w:ind w:left="1440" w:hanging="1440"/>
        <w:jc w:val="both"/>
      </w:pPr>
      <w:r>
        <w:rPr>
          <w:b/>
        </w:rPr>
        <w:t>Stipulation:</w:t>
      </w:r>
      <w:r>
        <w:rPr>
          <w:b/>
        </w:rPr>
        <w:tab/>
      </w:r>
      <w:r>
        <w:t>See Section X, Proposed Stipulations.</w:t>
      </w:r>
    </w:p>
    <w:p w:rsidR="00836911" w:rsidRDefault="00836911"/>
    <w:p w:rsidR="00E35EC2" w:rsidRDefault="00E35EC2"/>
    <w:p w:rsidR="00B21ABE" w:rsidRPr="00A32DC5" w:rsidRDefault="00B21ABE" w:rsidP="00B21ABE">
      <w:pPr>
        <w:jc w:val="both"/>
        <w:rPr>
          <w:b/>
        </w:rPr>
      </w:pPr>
      <w:r w:rsidRPr="00A32DC5">
        <w:rPr>
          <w:b/>
        </w:rPr>
        <w:t>IX.</w:t>
      </w:r>
      <w:r w:rsidRPr="00A32DC5">
        <w:rPr>
          <w:b/>
        </w:rPr>
        <w:tab/>
      </w:r>
      <w:r w:rsidRPr="00A32DC5">
        <w:rPr>
          <w:b/>
          <w:u w:val="single"/>
        </w:rPr>
        <w:t>EXHIBIT LIST</w:t>
      </w:r>
    </w:p>
    <w:p w:rsidR="00B21ABE" w:rsidRPr="00701945" w:rsidRDefault="00B21ABE" w:rsidP="00B21ABE">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21ABE" w:rsidRPr="00701945" w:rsidTr="005204D7">
        <w:trPr>
          <w:cantSplit/>
          <w:trHeight w:val="373"/>
          <w:tblHeader/>
        </w:trPr>
        <w:tc>
          <w:tcPr>
            <w:tcW w:w="3198" w:type="dxa"/>
          </w:tcPr>
          <w:p w:rsidR="00B21ABE" w:rsidRPr="00701945" w:rsidRDefault="00B21ABE" w:rsidP="004814F5">
            <w:pPr>
              <w:jc w:val="both"/>
            </w:pPr>
            <w:r w:rsidRPr="00701945">
              <w:rPr>
                <w:u w:val="single"/>
              </w:rPr>
              <w:t>Witness</w:t>
            </w:r>
          </w:p>
        </w:tc>
        <w:tc>
          <w:tcPr>
            <w:tcW w:w="1680" w:type="dxa"/>
          </w:tcPr>
          <w:p w:rsidR="00B21ABE" w:rsidRPr="00701945" w:rsidRDefault="00B21ABE" w:rsidP="004814F5">
            <w:pPr>
              <w:jc w:val="center"/>
            </w:pPr>
            <w:r w:rsidRPr="00701945">
              <w:rPr>
                <w:u w:val="single"/>
              </w:rPr>
              <w:t>Proffered By</w:t>
            </w:r>
          </w:p>
        </w:tc>
        <w:tc>
          <w:tcPr>
            <w:tcW w:w="1482" w:type="dxa"/>
          </w:tcPr>
          <w:p w:rsidR="00B21ABE" w:rsidRPr="004515FB" w:rsidRDefault="00B21ABE" w:rsidP="004814F5">
            <w:pPr>
              <w:jc w:val="center"/>
            </w:pPr>
          </w:p>
        </w:tc>
        <w:tc>
          <w:tcPr>
            <w:tcW w:w="3205" w:type="dxa"/>
          </w:tcPr>
          <w:p w:rsidR="00B21ABE" w:rsidRPr="00701945" w:rsidRDefault="00B21ABE" w:rsidP="004814F5">
            <w:pPr>
              <w:jc w:val="both"/>
            </w:pPr>
            <w:r w:rsidRPr="00701945">
              <w:rPr>
                <w:u w:val="single"/>
              </w:rPr>
              <w:t>Description</w:t>
            </w:r>
          </w:p>
        </w:tc>
      </w:tr>
      <w:tr w:rsidR="00B21ABE" w:rsidRPr="00701945" w:rsidTr="005204D7">
        <w:trPr>
          <w:cantSplit/>
          <w:trHeight w:val="353"/>
        </w:trPr>
        <w:tc>
          <w:tcPr>
            <w:tcW w:w="3198" w:type="dxa"/>
          </w:tcPr>
          <w:p w:rsidR="00B21ABE" w:rsidRPr="00701945" w:rsidRDefault="00B21ABE" w:rsidP="004814F5">
            <w:pPr>
              <w:jc w:val="both"/>
            </w:pPr>
            <w:r w:rsidRPr="00701945">
              <w:tab/>
            </w:r>
            <w:r w:rsidRPr="00701945">
              <w:rPr>
                <w:u w:val="single"/>
              </w:rPr>
              <w:t>Direct</w:t>
            </w:r>
          </w:p>
        </w:tc>
        <w:tc>
          <w:tcPr>
            <w:tcW w:w="1680" w:type="dxa"/>
          </w:tcPr>
          <w:p w:rsidR="00B21ABE" w:rsidRPr="00701945" w:rsidRDefault="00B21ABE" w:rsidP="004814F5">
            <w:pPr>
              <w:jc w:val="center"/>
            </w:pPr>
          </w:p>
        </w:tc>
        <w:tc>
          <w:tcPr>
            <w:tcW w:w="1482" w:type="dxa"/>
          </w:tcPr>
          <w:p w:rsidR="00B21ABE" w:rsidRPr="004515FB" w:rsidRDefault="00B21ABE" w:rsidP="004814F5">
            <w:pPr>
              <w:jc w:val="center"/>
            </w:pPr>
          </w:p>
        </w:tc>
        <w:tc>
          <w:tcPr>
            <w:tcW w:w="3205" w:type="dxa"/>
          </w:tcPr>
          <w:p w:rsidR="00B21ABE" w:rsidRPr="00701945" w:rsidRDefault="00B21ABE" w:rsidP="004814F5"/>
        </w:tc>
      </w:tr>
      <w:tr w:rsidR="00B21ABE" w:rsidRPr="00701945" w:rsidTr="005204D7">
        <w:trPr>
          <w:cantSplit/>
          <w:trHeight w:val="726"/>
        </w:trPr>
        <w:tc>
          <w:tcPr>
            <w:tcW w:w="3198" w:type="dxa"/>
          </w:tcPr>
          <w:p w:rsidR="00B21ABE" w:rsidRPr="00701945" w:rsidRDefault="00FD458D" w:rsidP="004814F5">
            <w:pPr>
              <w:jc w:val="both"/>
            </w:pPr>
            <w:r>
              <w:t>Gary Dean</w:t>
            </w:r>
          </w:p>
        </w:tc>
        <w:tc>
          <w:tcPr>
            <w:tcW w:w="1680" w:type="dxa"/>
          </w:tcPr>
          <w:p w:rsidR="00B21ABE" w:rsidRPr="00701945" w:rsidRDefault="00FD458D" w:rsidP="004814F5">
            <w:pPr>
              <w:jc w:val="center"/>
            </w:pPr>
            <w:r>
              <w:t>DEF</w:t>
            </w:r>
          </w:p>
        </w:tc>
        <w:tc>
          <w:tcPr>
            <w:tcW w:w="1482" w:type="dxa"/>
          </w:tcPr>
          <w:p w:rsidR="00B21ABE" w:rsidRPr="004515FB" w:rsidRDefault="00FD458D" w:rsidP="004814F5">
            <w:pPr>
              <w:jc w:val="center"/>
            </w:pPr>
            <w:r>
              <w:t>(GPT-1T)</w:t>
            </w:r>
          </w:p>
        </w:tc>
        <w:tc>
          <w:tcPr>
            <w:tcW w:w="3205" w:type="dxa"/>
          </w:tcPr>
          <w:p w:rsidR="00B21ABE" w:rsidRDefault="00FD458D" w:rsidP="004814F5">
            <w:r>
              <w:t>Fuel Cost Recovery True-Up</w:t>
            </w:r>
          </w:p>
          <w:p w:rsidR="00FD458D" w:rsidRPr="00701945" w:rsidRDefault="00FD458D" w:rsidP="004814F5">
            <w:r>
              <w:t>(Jan. –Dec. 2023)</w:t>
            </w:r>
          </w:p>
        </w:tc>
      </w:tr>
      <w:tr w:rsidR="00B21ABE" w:rsidRPr="00701945" w:rsidTr="005204D7">
        <w:trPr>
          <w:cantSplit/>
          <w:trHeight w:val="353"/>
        </w:trPr>
        <w:tc>
          <w:tcPr>
            <w:tcW w:w="3198" w:type="dxa"/>
          </w:tcPr>
          <w:p w:rsidR="00B21ABE" w:rsidRPr="00701945" w:rsidRDefault="006C0BE8" w:rsidP="004814F5">
            <w:pPr>
              <w:jc w:val="both"/>
            </w:pPr>
            <w:r>
              <w:t>Gary Dean</w:t>
            </w:r>
          </w:p>
        </w:tc>
        <w:tc>
          <w:tcPr>
            <w:tcW w:w="1680" w:type="dxa"/>
          </w:tcPr>
          <w:p w:rsidR="00B21ABE" w:rsidRPr="00701945" w:rsidRDefault="006C0BE8" w:rsidP="004814F5">
            <w:pPr>
              <w:jc w:val="center"/>
            </w:pPr>
            <w:r>
              <w:t>DEF</w:t>
            </w:r>
          </w:p>
        </w:tc>
        <w:tc>
          <w:tcPr>
            <w:tcW w:w="1482" w:type="dxa"/>
          </w:tcPr>
          <w:p w:rsidR="00B21ABE" w:rsidRPr="004515FB" w:rsidRDefault="006C0BE8" w:rsidP="004814F5">
            <w:pPr>
              <w:jc w:val="center"/>
            </w:pPr>
            <w:r>
              <w:t>(GPD-2T)</w:t>
            </w:r>
          </w:p>
        </w:tc>
        <w:tc>
          <w:tcPr>
            <w:tcW w:w="3205" w:type="dxa"/>
          </w:tcPr>
          <w:p w:rsidR="00B21ABE" w:rsidRPr="00701945" w:rsidRDefault="006C0BE8" w:rsidP="006C0BE8">
            <w:r>
              <w:t>Capacity Cost Recovery True-Up (Jan. – Dec. 2023)</w:t>
            </w:r>
          </w:p>
        </w:tc>
      </w:tr>
      <w:tr w:rsidR="00B21ABE" w:rsidRPr="00701945" w:rsidTr="005204D7">
        <w:trPr>
          <w:cantSplit/>
          <w:trHeight w:val="373"/>
        </w:trPr>
        <w:tc>
          <w:tcPr>
            <w:tcW w:w="3198" w:type="dxa"/>
          </w:tcPr>
          <w:p w:rsidR="00B21ABE" w:rsidRPr="00701945" w:rsidRDefault="006C0BE8" w:rsidP="004814F5">
            <w:pPr>
              <w:jc w:val="both"/>
            </w:pPr>
            <w:r>
              <w:t>Gary Dean</w:t>
            </w:r>
          </w:p>
        </w:tc>
        <w:tc>
          <w:tcPr>
            <w:tcW w:w="1680" w:type="dxa"/>
          </w:tcPr>
          <w:p w:rsidR="00B21ABE" w:rsidRPr="00701945" w:rsidRDefault="006C0BE8" w:rsidP="004814F5">
            <w:pPr>
              <w:jc w:val="center"/>
            </w:pPr>
            <w:r>
              <w:t>DEF</w:t>
            </w:r>
          </w:p>
        </w:tc>
        <w:tc>
          <w:tcPr>
            <w:tcW w:w="1482" w:type="dxa"/>
          </w:tcPr>
          <w:p w:rsidR="00B21ABE" w:rsidRPr="004515FB" w:rsidRDefault="006C0BE8" w:rsidP="004814F5">
            <w:pPr>
              <w:jc w:val="center"/>
            </w:pPr>
            <w:r>
              <w:t>(GPD-3T)</w:t>
            </w:r>
          </w:p>
        </w:tc>
        <w:tc>
          <w:tcPr>
            <w:tcW w:w="3205" w:type="dxa"/>
          </w:tcPr>
          <w:p w:rsidR="006C0BE8" w:rsidRPr="00701945" w:rsidRDefault="006C0BE8" w:rsidP="006C0BE8">
            <w:r>
              <w:t>Schedules A1 through A3, A6 and A12 for Dec. 2023</w:t>
            </w:r>
          </w:p>
        </w:tc>
      </w:tr>
      <w:tr w:rsidR="006C0BE8" w:rsidRPr="00701945" w:rsidTr="005204D7">
        <w:trPr>
          <w:cantSplit/>
          <w:trHeight w:val="353"/>
        </w:trPr>
        <w:tc>
          <w:tcPr>
            <w:tcW w:w="3198" w:type="dxa"/>
          </w:tcPr>
          <w:p w:rsidR="006C0BE8" w:rsidRPr="00701945" w:rsidRDefault="006C0BE8" w:rsidP="006C0BE8">
            <w:pPr>
              <w:jc w:val="both"/>
            </w:pPr>
            <w:r>
              <w:t>Gary Dean</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(GPD-4T)</w:t>
            </w:r>
          </w:p>
        </w:tc>
        <w:tc>
          <w:tcPr>
            <w:tcW w:w="3205" w:type="dxa"/>
          </w:tcPr>
          <w:p w:rsidR="006C0BE8" w:rsidRPr="00701945" w:rsidRDefault="006C0BE8" w:rsidP="006C0BE8">
            <w:r>
              <w:t>2023 Capital Structure and Cost Rates Applied to Capital Projects</w:t>
            </w:r>
          </w:p>
        </w:tc>
      </w:tr>
      <w:tr w:rsidR="006C0BE8" w:rsidRPr="00701945" w:rsidTr="005204D7">
        <w:trPr>
          <w:cantSplit/>
          <w:trHeight w:val="353"/>
        </w:trPr>
        <w:tc>
          <w:tcPr>
            <w:tcW w:w="3198" w:type="dxa"/>
          </w:tcPr>
          <w:p w:rsidR="006C0BE8" w:rsidRPr="00701945" w:rsidRDefault="006C0BE8" w:rsidP="006C0BE8">
            <w:pPr>
              <w:jc w:val="both"/>
            </w:pPr>
            <w:r>
              <w:lastRenderedPageBreak/>
              <w:t>Gary Dean</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(GPD-5T)</w:t>
            </w:r>
          </w:p>
        </w:tc>
        <w:tc>
          <w:tcPr>
            <w:tcW w:w="3205" w:type="dxa"/>
          </w:tcPr>
          <w:p w:rsidR="006C0BE8" w:rsidRPr="00701945" w:rsidRDefault="006C0BE8" w:rsidP="006C0BE8">
            <w:r>
              <w:t>Annual Clean Energy Impact Program report</w:t>
            </w:r>
          </w:p>
        </w:tc>
      </w:tr>
      <w:tr w:rsidR="006C0BE8" w:rsidRPr="00701945" w:rsidTr="005204D7">
        <w:trPr>
          <w:cantSplit/>
          <w:trHeight w:val="373"/>
        </w:trPr>
        <w:tc>
          <w:tcPr>
            <w:tcW w:w="3198" w:type="dxa"/>
          </w:tcPr>
          <w:p w:rsidR="006C0BE8" w:rsidRPr="00701945" w:rsidRDefault="006C0BE8" w:rsidP="006C0BE8">
            <w:pPr>
              <w:jc w:val="both"/>
            </w:pPr>
            <w:r>
              <w:t>Gary Dean</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(GPD-2)</w:t>
            </w:r>
          </w:p>
        </w:tc>
        <w:tc>
          <w:tcPr>
            <w:tcW w:w="3205" w:type="dxa"/>
          </w:tcPr>
          <w:p w:rsidR="006C0BE8" w:rsidRPr="00701945" w:rsidRDefault="006C0BE8" w:rsidP="006C0BE8">
            <w:r>
              <w:t>Actual/Estimated True-up Schedules for period January-December 2024</w:t>
            </w:r>
          </w:p>
        </w:tc>
      </w:tr>
      <w:tr w:rsidR="006C0BE8" w:rsidRPr="00701945" w:rsidTr="005204D7">
        <w:trPr>
          <w:cantSplit/>
          <w:trHeight w:val="353"/>
        </w:trPr>
        <w:tc>
          <w:tcPr>
            <w:tcW w:w="3198" w:type="dxa"/>
          </w:tcPr>
          <w:p w:rsidR="006C0BE8" w:rsidRPr="00701945" w:rsidRDefault="006C0BE8" w:rsidP="006C0BE8">
            <w:pPr>
              <w:jc w:val="both"/>
            </w:pPr>
            <w:r>
              <w:t>Gary Dean</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(GPD-3)</w:t>
            </w:r>
          </w:p>
        </w:tc>
        <w:tc>
          <w:tcPr>
            <w:tcW w:w="3205" w:type="dxa"/>
          </w:tcPr>
          <w:p w:rsidR="006C0BE8" w:rsidRPr="00701945" w:rsidRDefault="006C0BE8" w:rsidP="006C0BE8">
            <w:r>
              <w:t>Projection Factors for January –December 2025</w:t>
            </w:r>
          </w:p>
        </w:tc>
      </w:tr>
      <w:tr w:rsidR="006C0BE8" w:rsidRPr="00701945" w:rsidTr="005204D7">
        <w:trPr>
          <w:cantSplit/>
          <w:trHeight w:val="373"/>
        </w:trPr>
        <w:tc>
          <w:tcPr>
            <w:tcW w:w="3198" w:type="dxa"/>
          </w:tcPr>
          <w:p w:rsidR="006C0BE8" w:rsidRPr="00701945" w:rsidRDefault="006C0BE8" w:rsidP="006C0BE8">
            <w:pPr>
              <w:jc w:val="both"/>
            </w:pPr>
            <w:r>
              <w:t>Adam R. Bingham</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(ARB-1T)</w:t>
            </w:r>
          </w:p>
        </w:tc>
        <w:tc>
          <w:tcPr>
            <w:tcW w:w="3205" w:type="dxa"/>
          </w:tcPr>
          <w:p w:rsidR="006C0BE8" w:rsidRPr="00701945" w:rsidRDefault="006C0BE8" w:rsidP="006C0BE8">
            <w:r>
              <w:t>Calculation of GPIF Reward for January –December 2023</w:t>
            </w:r>
          </w:p>
        </w:tc>
      </w:tr>
      <w:tr w:rsidR="006C0BE8" w:rsidRPr="00701945" w:rsidTr="005204D7">
        <w:trPr>
          <w:cantSplit/>
          <w:trHeight w:val="353"/>
        </w:trPr>
        <w:tc>
          <w:tcPr>
            <w:tcW w:w="3198" w:type="dxa"/>
          </w:tcPr>
          <w:p w:rsidR="006C0BE8" w:rsidRPr="00701945" w:rsidRDefault="006C0BE8" w:rsidP="006C0BE8">
            <w:pPr>
              <w:jc w:val="both"/>
            </w:pPr>
            <w:r>
              <w:t>Adam R. Bingham</w:t>
            </w:r>
          </w:p>
        </w:tc>
        <w:tc>
          <w:tcPr>
            <w:tcW w:w="1680" w:type="dxa"/>
          </w:tcPr>
          <w:p w:rsidR="006C0BE8" w:rsidRPr="00701945" w:rsidRDefault="006C0BE8" w:rsidP="006C0BE8">
            <w:pPr>
              <w:jc w:val="center"/>
            </w:pPr>
            <w:r>
              <w:t>DEF</w:t>
            </w:r>
          </w:p>
        </w:tc>
        <w:tc>
          <w:tcPr>
            <w:tcW w:w="1482" w:type="dxa"/>
          </w:tcPr>
          <w:p w:rsidR="006C0BE8" w:rsidRPr="004515FB" w:rsidRDefault="006C0BE8" w:rsidP="006C0BE8">
            <w:pPr>
              <w:jc w:val="center"/>
            </w:pPr>
            <w:r>
              <w:t>(ARB-1P)</w:t>
            </w:r>
          </w:p>
        </w:tc>
        <w:tc>
          <w:tcPr>
            <w:tcW w:w="3205" w:type="dxa"/>
          </w:tcPr>
          <w:p w:rsidR="006C0BE8" w:rsidRPr="00701945" w:rsidRDefault="006C0BE8" w:rsidP="006C0BE8">
            <w:r>
              <w:t>GPIF Targets/Ranges Schedules for January –December 2025</w:t>
            </w:r>
          </w:p>
        </w:tc>
      </w:tr>
      <w:tr w:rsidR="006C0BE8" w:rsidRPr="00701945" w:rsidTr="005204D7">
        <w:trPr>
          <w:cantSplit/>
          <w:trHeight w:val="353"/>
        </w:trPr>
        <w:tc>
          <w:tcPr>
            <w:tcW w:w="3198" w:type="dxa"/>
          </w:tcPr>
          <w:p w:rsidR="006C0BE8" w:rsidRDefault="006C0BE8" w:rsidP="006C0BE8">
            <w:pPr>
              <w:jc w:val="both"/>
            </w:pPr>
            <w:r>
              <w:t>James (“Jim”) McClay</w:t>
            </w:r>
          </w:p>
        </w:tc>
        <w:tc>
          <w:tcPr>
            <w:tcW w:w="1680" w:type="dxa"/>
          </w:tcPr>
          <w:p w:rsidR="006C0BE8" w:rsidRDefault="006C0BE8" w:rsidP="006C0BE8">
            <w:pPr>
              <w:jc w:val="center"/>
            </w:pPr>
            <w:r>
              <w:t>DEF</w:t>
            </w:r>
          </w:p>
        </w:tc>
        <w:tc>
          <w:tcPr>
            <w:tcW w:w="1482" w:type="dxa"/>
          </w:tcPr>
          <w:p w:rsidR="006C0BE8" w:rsidRDefault="006C0BE8" w:rsidP="006C0BE8">
            <w:pPr>
              <w:jc w:val="center"/>
            </w:pPr>
            <w:r>
              <w:t>(JM-1P)</w:t>
            </w:r>
          </w:p>
        </w:tc>
        <w:tc>
          <w:tcPr>
            <w:tcW w:w="3205" w:type="dxa"/>
          </w:tcPr>
          <w:p w:rsidR="006C0BE8" w:rsidRDefault="00431BEC" w:rsidP="006C0BE8">
            <w:r>
              <w:t>2025 Risk Management Plan</w:t>
            </w:r>
          </w:p>
          <w:p w:rsidR="006C0BE8" w:rsidRDefault="00431BEC" w:rsidP="00431BEC">
            <w:r>
              <w:rPr>
                <w:b/>
              </w:rPr>
              <w:t>CONFIDENTIAL</w:t>
            </w:r>
          </w:p>
        </w:tc>
      </w:tr>
      <w:tr w:rsidR="00F34F80" w:rsidRPr="00701945" w:rsidTr="005204D7">
        <w:trPr>
          <w:cantSplit/>
          <w:trHeight w:val="353"/>
        </w:trPr>
        <w:tc>
          <w:tcPr>
            <w:tcW w:w="3198" w:type="dxa"/>
          </w:tcPr>
          <w:p w:rsidR="00F34F80" w:rsidRDefault="00F34F80" w:rsidP="006C0BE8">
            <w:pPr>
              <w:jc w:val="both"/>
            </w:pPr>
            <w:r>
              <w:t>Amin Mohomed</w:t>
            </w:r>
          </w:p>
        </w:tc>
        <w:tc>
          <w:tcPr>
            <w:tcW w:w="1680" w:type="dxa"/>
          </w:tcPr>
          <w:p w:rsidR="00F34F80" w:rsidRDefault="00F34F80" w:rsidP="006C0BE8">
            <w:pPr>
              <w:jc w:val="center"/>
            </w:pPr>
            <w:r>
              <w:t>FPL</w:t>
            </w:r>
          </w:p>
        </w:tc>
        <w:tc>
          <w:tcPr>
            <w:tcW w:w="1482" w:type="dxa"/>
          </w:tcPr>
          <w:p w:rsidR="00F34F80" w:rsidRDefault="00F34F80" w:rsidP="006C0BE8">
            <w:pPr>
              <w:jc w:val="center"/>
            </w:pPr>
            <w:r>
              <w:t>(AM-1)</w:t>
            </w:r>
          </w:p>
        </w:tc>
        <w:tc>
          <w:tcPr>
            <w:tcW w:w="3205" w:type="dxa"/>
          </w:tcPr>
          <w:p w:rsidR="00F34F80" w:rsidRDefault="0016038F" w:rsidP="006C0BE8">
            <w:r>
              <w:t>2023 FCR Final True-Up</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(AM-2)</w:t>
            </w:r>
          </w:p>
        </w:tc>
        <w:tc>
          <w:tcPr>
            <w:tcW w:w="3205" w:type="dxa"/>
          </w:tcPr>
          <w:p w:rsidR="0016038F" w:rsidRDefault="0016038F" w:rsidP="0016038F">
            <w:r>
              <w:t>2023 CCR Fin</w:t>
            </w:r>
            <w:r w:rsidR="008A4BAC">
              <w:t>a</w:t>
            </w:r>
            <w:r>
              <w:t>l True-Up</w:t>
            </w:r>
          </w:p>
          <w:p w:rsidR="0016038F" w:rsidRPr="0016038F" w:rsidRDefault="0016038F" w:rsidP="0016038F">
            <w:pPr>
              <w:rPr>
                <w:b/>
              </w:rPr>
            </w:pPr>
            <w:r>
              <w:rPr>
                <w:b/>
              </w:rPr>
              <w:t>CONFIDENTIAL</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(AM-3)</w:t>
            </w:r>
          </w:p>
        </w:tc>
        <w:tc>
          <w:tcPr>
            <w:tcW w:w="3205" w:type="dxa"/>
          </w:tcPr>
          <w:p w:rsidR="0016038F" w:rsidRDefault="0016038F" w:rsidP="0016038F">
            <w:r>
              <w:t>2024 FCR Actual Estimated</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(AM-4)</w:t>
            </w:r>
          </w:p>
        </w:tc>
        <w:tc>
          <w:tcPr>
            <w:tcW w:w="3205" w:type="dxa"/>
          </w:tcPr>
          <w:p w:rsidR="0016038F" w:rsidRDefault="0016038F" w:rsidP="0016038F">
            <w:r>
              <w:t>2024 CCR Actual Estimated</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(AM-5)</w:t>
            </w:r>
          </w:p>
        </w:tc>
        <w:tc>
          <w:tcPr>
            <w:tcW w:w="3205" w:type="dxa"/>
          </w:tcPr>
          <w:p w:rsidR="0016038F" w:rsidRDefault="0016038F" w:rsidP="0016038F">
            <w:r>
              <w:t xml:space="preserve">2025 FCR Projections (January –December Not Including SoBRA Fuel Savings) </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(AM-6)</w:t>
            </w:r>
          </w:p>
        </w:tc>
        <w:tc>
          <w:tcPr>
            <w:tcW w:w="3205" w:type="dxa"/>
          </w:tcPr>
          <w:p w:rsidR="0016038F" w:rsidRDefault="0016038F" w:rsidP="00F9342D">
            <w:r>
              <w:t>2025 FCR Projections (February –December Including SoBRA Fuel Savings)</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(AM-7)</w:t>
            </w:r>
          </w:p>
        </w:tc>
        <w:tc>
          <w:tcPr>
            <w:tcW w:w="3205" w:type="dxa"/>
          </w:tcPr>
          <w:p w:rsidR="0016038F" w:rsidRDefault="0016038F" w:rsidP="0016038F">
            <w:r>
              <w:t>2025 FCR Projections (January –December Including SoBRA Fuel Savings)</w:t>
            </w:r>
          </w:p>
        </w:tc>
      </w:tr>
      <w:tr w:rsidR="0016038F" w:rsidRPr="00701945" w:rsidTr="005204D7">
        <w:trPr>
          <w:cantSplit/>
          <w:trHeight w:val="353"/>
        </w:trPr>
        <w:tc>
          <w:tcPr>
            <w:tcW w:w="3198" w:type="dxa"/>
          </w:tcPr>
          <w:p w:rsidR="0016038F" w:rsidRDefault="0016038F" w:rsidP="0016038F">
            <w:pPr>
              <w:jc w:val="both"/>
            </w:pPr>
            <w:r>
              <w:t>Amin Mohomed</w:t>
            </w:r>
          </w:p>
        </w:tc>
        <w:tc>
          <w:tcPr>
            <w:tcW w:w="1680" w:type="dxa"/>
          </w:tcPr>
          <w:p w:rsidR="0016038F" w:rsidRDefault="0016038F" w:rsidP="0016038F">
            <w:pPr>
              <w:jc w:val="center"/>
            </w:pPr>
            <w:r>
              <w:t>FPL</w:t>
            </w:r>
          </w:p>
        </w:tc>
        <w:tc>
          <w:tcPr>
            <w:tcW w:w="1482" w:type="dxa"/>
          </w:tcPr>
          <w:p w:rsidR="0016038F" w:rsidRDefault="0016038F" w:rsidP="0016038F">
            <w:pPr>
              <w:jc w:val="center"/>
            </w:pPr>
            <w:r>
              <w:t>(AM-8)</w:t>
            </w:r>
          </w:p>
        </w:tc>
        <w:tc>
          <w:tcPr>
            <w:tcW w:w="3205" w:type="dxa"/>
          </w:tcPr>
          <w:p w:rsidR="0016038F" w:rsidRDefault="0016038F" w:rsidP="0016038F">
            <w:r>
              <w:t>2025 CCR Projections</w:t>
            </w:r>
          </w:p>
          <w:p w:rsidR="0016038F" w:rsidRPr="0016038F" w:rsidRDefault="0016038F" w:rsidP="0016038F">
            <w:pPr>
              <w:rPr>
                <w:b/>
              </w:rPr>
            </w:pPr>
            <w:r>
              <w:rPr>
                <w:b/>
              </w:rPr>
              <w:t>CONFIDENTIAL</w:t>
            </w:r>
          </w:p>
        </w:tc>
      </w:tr>
      <w:tr w:rsidR="0016038F" w:rsidRPr="00701945" w:rsidTr="005204D7">
        <w:trPr>
          <w:cantSplit/>
          <w:trHeight w:val="353"/>
        </w:trPr>
        <w:tc>
          <w:tcPr>
            <w:tcW w:w="3198" w:type="dxa"/>
          </w:tcPr>
          <w:p w:rsidR="0016038F" w:rsidRDefault="0016038F" w:rsidP="0016038F">
            <w:pPr>
              <w:jc w:val="both"/>
            </w:pPr>
            <w:r>
              <w:lastRenderedPageBreak/>
              <w:t>Amin Mohomed</w:t>
            </w:r>
          </w:p>
        </w:tc>
        <w:tc>
          <w:tcPr>
            <w:tcW w:w="1680" w:type="dxa"/>
          </w:tcPr>
          <w:p w:rsidR="0016038F" w:rsidRDefault="0016038F" w:rsidP="0016038F">
            <w:pPr>
              <w:jc w:val="center"/>
            </w:pPr>
            <w:r>
              <w:t>FPL</w:t>
            </w:r>
          </w:p>
        </w:tc>
        <w:tc>
          <w:tcPr>
            <w:tcW w:w="1482" w:type="dxa"/>
          </w:tcPr>
          <w:p w:rsidR="0016038F" w:rsidRPr="00110286" w:rsidRDefault="00110286" w:rsidP="0016038F">
            <w:pPr>
              <w:jc w:val="center"/>
            </w:pPr>
            <w:r w:rsidRPr="00110286">
              <w:t>(AM-9)</w:t>
            </w:r>
          </w:p>
        </w:tc>
        <w:tc>
          <w:tcPr>
            <w:tcW w:w="3205" w:type="dxa"/>
          </w:tcPr>
          <w:p w:rsidR="0016038F" w:rsidRDefault="00110286" w:rsidP="008A4BAC">
            <w:r>
              <w:t xml:space="preserve">2025 SoBRA Revenue Requirement Calculation </w:t>
            </w:r>
          </w:p>
        </w:tc>
      </w:tr>
      <w:tr w:rsidR="0016038F" w:rsidRPr="00701945" w:rsidTr="005204D7">
        <w:trPr>
          <w:cantSplit/>
          <w:trHeight w:val="353"/>
        </w:trPr>
        <w:tc>
          <w:tcPr>
            <w:tcW w:w="3198" w:type="dxa"/>
          </w:tcPr>
          <w:p w:rsidR="0016038F" w:rsidRDefault="00110286" w:rsidP="0016038F">
            <w:pPr>
              <w:jc w:val="both"/>
            </w:pPr>
            <w:r>
              <w:t>Michael V. Cashman</w:t>
            </w:r>
          </w:p>
        </w:tc>
        <w:tc>
          <w:tcPr>
            <w:tcW w:w="1680" w:type="dxa"/>
          </w:tcPr>
          <w:p w:rsidR="0016038F" w:rsidRDefault="00110286" w:rsidP="0016038F">
            <w:pPr>
              <w:jc w:val="center"/>
            </w:pPr>
            <w:r>
              <w:t>FPL</w:t>
            </w:r>
          </w:p>
        </w:tc>
        <w:tc>
          <w:tcPr>
            <w:tcW w:w="1482" w:type="dxa"/>
          </w:tcPr>
          <w:p w:rsidR="0016038F" w:rsidRDefault="00110286" w:rsidP="0016038F">
            <w:pPr>
              <w:jc w:val="center"/>
            </w:pPr>
            <w:r>
              <w:t>(GJY-1)</w:t>
            </w:r>
          </w:p>
        </w:tc>
        <w:tc>
          <w:tcPr>
            <w:tcW w:w="3205" w:type="dxa"/>
          </w:tcPr>
          <w:p w:rsidR="0016038F" w:rsidRDefault="00110286" w:rsidP="00110286">
            <w:r>
              <w:t>2023 Asset Optimization Program Results</w:t>
            </w:r>
          </w:p>
          <w:p w:rsidR="00110286" w:rsidRPr="00110286" w:rsidRDefault="00110286" w:rsidP="00110286">
            <w:pPr>
              <w:rPr>
                <w:b/>
              </w:rPr>
            </w:pPr>
            <w:r>
              <w:rPr>
                <w:b/>
              </w:rPr>
              <w:t>CONFIDENTIAL</w:t>
            </w:r>
          </w:p>
        </w:tc>
      </w:tr>
      <w:tr w:rsidR="0016038F" w:rsidRPr="00701945" w:rsidTr="005204D7">
        <w:trPr>
          <w:cantSplit/>
          <w:trHeight w:val="353"/>
        </w:trPr>
        <w:tc>
          <w:tcPr>
            <w:tcW w:w="3198" w:type="dxa"/>
          </w:tcPr>
          <w:p w:rsidR="0016038F" w:rsidRDefault="00110286" w:rsidP="0016038F">
            <w:pPr>
              <w:jc w:val="both"/>
            </w:pPr>
            <w:r>
              <w:t>Michael V. Cashman</w:t>
            </w:r>
          </w:p>
        </w:tc>
        <w:tc>
          <w:tcPr>
            <w:tcW w:w="1680" w:type="dxa"/>
          </w:tcPr>
          <w:p w:rsidR="0016038F" w:rsidRDefault="00110286" w:rsidP="0016038F">
            <w:pPr>
              <w:jc w:val="center"/>
            </w:pPr>
            <w:r>
              <w:t>FPL</w:t>
            </w:r>
          </w:p>
        </w:tc>
        <w:tc>
          <w:tcPr>
            <w:tcW w:w="1482" w:type="dxa"/>
          </w:tcPr>
          <w:p w:rsidR="0016038F" w:rsidRDefault="00110286" w:rsidP="0016038F">
            <w:pPr>
              <w:jc w:val="center"/>
            </w:pPr>
            <w:r>
              <w:t>(MVC-1)</w:t>
            </w:r>
          </w:p>
        </w:tc>
        <w:tc>
          <w:tcPr>
            <w:tcW w:w="3205" w:type="dxa"/>
          </w:tcPr>
          <w:p w:rsidR="0016038F" w:rsidRDefault="00110286" w:rsidP="0016038F">
            <w:r>
              <w:t xml:space="preserve">2025 Projected Dispatch Costs and Availability </w:t>
            </w:r>
          </w:p>
        </w:tc>
      </w:tr>
      <w:tr w:rsidR="002178DE" w:rsidRPr="00701945" w:rsidTr="005204D7">
        <w:trPr>
          <w:cantSplit/>
          <w:trHeight w:val="353"/>
        </w:trPr>
        <w:tc>
          <w:tcPr>
            <w:tcW w:w="3198" w:type="dxa"/>
          </w:tcPr>
          <w:p w:rsidR="002178DE" w:rsidRDefault="002178DE" w:rsidP="002178DE">
            <w:pPr>
              <w:jc w:val="both"/>
            </w:pPr>
            <w:r>
              <w:t>Michael V. Cashman</w:t>
            </w:r>
          </w:p>
        </w:tc>
        <w:tc>
          <w:tcPr>
            <w:tcW w:w="1680" w:type="dxa"/>
          </w:tcPr>
          <w:p w:rsidR="002178DE" w:rsidRDefault="002178DE" w:rsidP="002178DE">
            <w:pPr>
              <w:jc w:val="center"/>
            </w:pPr>
            <w:r>
              <w:t>FPL</w:t>
            </w:r>
          </w:p>
        </w:tc>
        <w:tc>
          <w:tcPr>
            <w:tcW w:w="1482" w:type="dxa"/>
          </w:tcPr>
          <w:p w:rsidR="002178DE" w:rsidRDefault="002178DE" w:rsidP="002178DE">
            <w:pPr>
              <w:jc w:val="center"/>
            </w:pPr>
            <w:r>
              <w:t>(MVC-2)</w:t>
            </w:r>
          </w:p>
        </w:tc>
        <w:tc>
          <w:tcPr>
            <w:tcW w:w="3205" w:type="dxa"/>
          </w:tcPr>
          <w:p w:rsidR="002178DE" w:rsidRDefault="002178DE" w:rsidP="002178DE">
            <w:r>
              <w:t>2025 Risk Management Plan</w:t>
            </w:r>
          </w:p>
          <w:p w:rsidR="000E6EC8" w:rsidRPr="000E6EC8" w:rsidRDefault="000E6EC8" w:rsidP="000E6EC8">
            <w:pPr>
              <w:rPr>
                <w:b/>
              </w:rPr>
            </w:pPr>
            <w:r>
              <w:rPr>
                <w:b/>
              </w:rPr>
              <w:t>CONFIDENTIAL</w:t>
            </w:r>
          </w:p>
        </w:tc>
      </w:tr>
      <w:tr w:rsidR="002178DE" w:rsidRPr="00701945" w:rsidTr="005204D7">
        <w:trPr>
          <w:cantSplit/>
          <w:trHeight w:val="353"/>
        </w:trPr>
        <w:tc>
          <w:tcPr>
            <w:tcW w:w="3198" w:type="dxa"/>
          </w:tcPr>
          <w:p w:rsidR="002178DE" w:rsidRDefault="002178DE" w:rsidP="002178DE">
            <w:pPr>
              <w:jc w:val="both"/>
            </w:pPr>
            <w:r>
              <w:t>Charles R. Rote</w:t>
            </w:r>
          </w:p>
        </w:tc>
        <w:tc>
          <w:tcPr>
            <w:tcW w:w="1680" w:type="dxa"/>
          </w:tcPr>
          <w:p w:rsidR="002178DE" w:rsidRDefault="002178DE" w:rsidP="002178DE">
            <w:pPr>
              <w:jc w:val="center"/>
            </w:pPr>
            <w:r>
              <w:t>FPL</w:t>
            </w:r>
          </w:p>
        </w:tc>
        <w:tc>
          <w:tcPr>
            <w:tcW w:w="1482" w:type="dxa"/>
          </w:tcPr>
          <w:p w:rsidR="002178DE" w:rsidRDefault="002178DE" w:rsidP="002178DE">
            <w:pPr>
              <w:jc w:val="center"/>
            </w:pPr>
            <w:r>
              <w:t>(CRR-1)</w:t>
            </w:r>
          </w:p>
        </w:tc>
        <w:tc>
          <w:tcPr>
            <w:tcW w:w="3205" w:type="dxa"/>
          </w:tcPr>
          <w:p w:rsidR="002178DE" w:rsidRDefault="002178DE" w:rsidP="000E6EC8">
            <w:r>
              <w:t>2023 GPIF Results</w:t>
            </w:r>
            <w:r w:rsidR="000E6EC8">
              <w:t xml:space="preserve"> (errata filed Sept. 4) </w:t>
            </w:r>
          </w:p>
        </w:tc>
      </w:tr>
      <w:tr w:rsidR="002178DE" w:rsidRPr="00701945" w:rsidTr="005204D7">
        <w:trPr>
          <w:cantSplit/>
          <w:trHeight w:val="353"/>
        </w:trPr>
        <w:tc>
          <w:tcPr>
            <w:tcW w:w="3198" w:type="dxa"/>
          </w:tcPr>
          <w:p w:rsidR="002178DE" w:rsidRDefault="002178DE" w:rsidP="002178DE">
            <w:pPr>
              <w:jc w:val="both"/>
            </w:pPr>
            <w:r>
              <w:t>Charles R. Rote</w:t>
            </w:r>
          </w:p>
        </w:tc>
        <w:tc>
          <w:tcPr>
            <w:tcW w:w="1680" w:type="dxa"/>
          </w:tcPr>
          <w:p w:rsidR="002178DE" w:rsidRDefault="002178DE" w:rsidP="002178DE">
            <w:pPr>
              <w:jc w:val="center"/>
            </w:pPr>
            <w:r>
              <w:t>FPL</w:t>
            </w:r>
          </w:p>
        </w:tc>
        <w:tc>
          <w:tcPr>
            <w:tcW w:w="1482" w:type="dxa"/>
          </w:tcPr>
          <w:p w:rsidR="002178DE" w:rsidRDefault="002178DE" w:rsidP="002178DE">
            <w:pPr>
              <w:jc w:val="center"/>
            </w:pPr>
            <w:r>
              <w:t>(CRR-2)</w:t>
            </w:r>
          </w:p>
        </w:tc>
        <w:tc>
          <w:tcPr>
            <w:tcW w:w="3205" w:type="dxa"/>
          </w:tcPr>
          <w:p w:rsidR="002178DE" w:rsidRDefault="002178DE" w:rsidP="002178DE">
            <w:r>
              <w:t>Generating Performance Incentive Factor</w:t>
            </w:r>
          </w:p>
        </w:tc>
      </w:tr>
      <w:tr w:rsidR="002178DE" w:rsidRPr="00701945" w:rsidTr="005204D7">
        <w:trPr>
          <w:cantSplit/>
          <w:trHeight w:val="353"/>
        </w:trPr>
        <w:tc>
          <w:tcPr>
            <w:tcW w:w="3198" w:type="dxa"/>
          </w:tcPr>
          <w:p w:rsidR="002178DE" w:rsidRDefault="002178DE" w:rsidP="002178DE">
            <w:pPr>
              <w:jc w:val="both"/>
            </w:pPr>
            <w:r>
              <w:t>Charles R. Rote</w:t>
            </w:r>
          </w:p>
        </w:tc>
        <w:tc>
          <w:tcPr>
            <w:tcW w:w="1680" w:type="dxa"/>
          </w:tcPr>
          <w:p w:rsidR="002178DE" w:rsidRDefault="002178DE" w:rsidP="002178DE">
            <w:pPr>
              <w:jc w:val="center"/>
            </w:pPr>
            <w:r>
              <w:t>FPL</w:t>
            </w:r>
          </w:p>
        </w:tc>
        <w:tc>
          <w:tcPr>
            <w:tcW w:w="1482" w:type="dxa"/>
          </w:tcPr>
          <w:p w:rsidR="002178DE" w:rsidRDefault="002178DE" w:rsidP="002178DE">
            <w:pPr>
              <w:jc w:val="center"/>
            </w:pPr>
            <w:r>
              <w:t>(CRR-3)</w:t>
            </w:r>
          </w:p>
        </w:tc>
        <w:tc>
          <w:tcPr>
            <w:tcW w:w="3205" w:type="dxa"/>
          </w:tcPr>
          <w:p w:rsidR="002178DE" w:rsidRDefault="002178DE" w:rsidP="002178DE">
            <w:r>
              <w:t>2023 Revised GPIF Targets</w:t>
            </w:r>
          </w:p>
        </w:tc>
      </w:tr>
      <w:tr w:rsidR="002178DE" w:rsidRPr="00701945" w:rsidTr="005204D7">
        <w:trPr>
          <w:cantSplit/>
          <w:trHeight w:val="353"/>
        </w:trPr>
        <w:tc>
          <w:tcPr>
            <w:tcW w:w="3198" w:type="dxa"/>
          </w:tcPr>
          <w:p w:rsidR="002178DE" w:rsidRDefault="002178DE" w:rsidP="002178DE">
            <w:pPr>
              <w:jc w:val="both"/>
            </w:pPr>
            <w:r>
              <w:t>Charles R. Rote</w:t>
            </w:r>
          </w:p>
        </w:tc>
        <w:tc>
          <w:tcPr>
            <w:tcW w:w="1680" w:type="dxa"/>
          </w:tcPr>
          <w:p w:rsidR="002178DE" w:rsidRDefault="002178DE" w:rsidP="002178DE">
            <w:pPr>
              <w:jc w:val="center"/>
            </w:pPr>
            <w:r>
              <w:t>FPL</w:t>
            </w:r>
          </w:p>
        </w:tc>
        <w:tc>
          <w:tcPr>
            <w:tcW w:w="1482" w:type="dxa"/>
          </w:tcPr>
          <w:p w:rsidR="002178DE" w:rsidRDefault="002178DE" w:rsidP="002178DE">
            <w:pPr>
              <w:jc w:val="center"/>
            </w:pPr>
            <w:r>
              <w:t>(CRR-4)</w:t>
            </w:r>
          </w:p>
        </w:tc>
        <w:tc>
          <w:tcPr>
            <w:tcW w:w="3205" w:type="dxa"/>
          </w:tcPr>
          <w:p w:rsidR="002178DE" w:rsidRDefault="002178DE" w:rsidP="002178DE">
            <w:r>
              <w:t>2024 Revised GPIF Targets</w:t>
            </w:r>
          </w:p>
        </w:tc>
      </w:tr>
      <w:tr w:rsidR="002178DE" w:rsidRPr="00701945" w:rsidTr="005204D7">
        <w:trPr>
          <w:cantSplit/>
          <w:trHeight w:val="353"/>
        </w:trPr>
        <w:tc>
          <w:tcPr>
            <w:tcW w:w="3198" w:type="dxa"/>
          </w:tcPr>
          <w:p w:rsidR="002178DE" w:rsidRDefault="002178DE" w:rsidP="002178DE">
            <w:pPr>
              <w:jc w:val="both"/>
            </w:pPr>
            <w:r>
              <w:t>Kelly Fagan</w:t>
            </w:r>
          </w:p>
        </w:tc>
        <w:tc>
          <w:tcPr>
            <w:tcW w:w="1680" w:type="dxa"/>
          </w:tcPr>
          <w:p w:rsidR="002178DE" w:rsidRDefault="002178DE" w:rsidP="002178DE">
            <w:pPr>
              <w:jc w:val="center"/>
            </w:pPr>
            <w:r>
              <w:t>FPL</w:t>
            </w:r>
          </w:p>
        </w:tc>
        <w:tc>
          <w:tcPr>
            <w:tcW w:w="1482" w:type="dxa"/>
          </w:tcPr>
          <w:p w:rsidR="002178DE" w:rsidRDefault="002178DE" w:rsidP="002178DE">
            <w:pPr>
              <w:jc w:val="center"/>
            </w:pPr>
            <w:r>
              <w:t>(KF-1)</w:t>
            </w:r>
          </w:p>
        </w:tc>
        <w:tc>
          <w:tcPr>
            <w:tcW w:w="3205" w:type="dxa"/>
          </w:tcPr>
          <w:p w:rsidR="002178DE" w:rsidRDefault="002178DE" w:rsidP="002178DE">
            <w:r>
              <w:t>List of FPL Solar Energy Centers in Service</w:t>
            </w:r>
          </w:p>
        </w:tc>
      </w:tr>
      <w:tr w:rsidR="002178DE" w:rsidRPr="00701945" w:rsidTr="005204D7">
        <w:trPr>
          <w:cantSplit/>
          <w:trHeight w:val="353"/>
        </w:trPr>
        <w:tc>
          <w:tcPr>
            <w:tcW w:w="3198" w:type="dxa"/>
          </w:tcPr>
          <w:p w:rsidR="002178DE" w:rsidRDefault="002178DE" w:rsidP="002178DE">
            <w:pPr>
              <w:jc w:val="both"/>
            </w:pPr>
            <w:r>
              <w:t>Kelly Fagan</w:t>
            </w:r>
          </w:p>
        </w:tc>
        <w:tc>
          <w:tcPr>
            <w:tcW w:w="1680" w:type="dxa"/>
          </w:tcPr>
          <w:p w:rsidR="002178DE" w:rsidRDefault="002178DE" w:rsidP="002178DE">
            <w:pPr>
              <w:jc w:val="center"/>
            </w:pPr>
            <w:r>
              <w:t>FPL</w:t>
            </w:r>
          </w:p>
        </w:tc>
        <w:tc>
          <w:tcPr>
            <w:tcW w:w="1482" w:type="dxa"/>
          </w:tcPr>
          <w:p w:rsidR="002178DE" w:rsidRDefault="002178DE" w:rsidP="002178DE">
            <w:pPr>
              <w:jc w:val="center"/>
            </w:pPr>
            <w:r>
              <w:t>(KF-2)</w:t>
            </w:r>
          </w:p>
        </w:tc>
        <w:tc>
          <w:tcPr>
            <w:tcW w:w="3205" w:type="dxa"/>
          </w:tcPr>
          <w:p w:rsidR="002178DE" w:rsidRDefault="002178DE" w:rsidP="002178DE">
            <w:r>
              <w:t>FPL 2025 Solar Energy Center Maps</w:t>
            </w:r>
          </w:p>
        </w:tc>
      </w:tr>
      <w:tr w:rsidR="002178DE" w:rsidRPr="00701945" w:rsidTr="005204D7">
        <w:trPr>
          <w:cantSplit/>
          <w:trHeight w:val="353"/>
        </w:trPr>
        <w:tc>
          <w:tcPr>
            <w:tcW w:w="3198" w:type="dxa"/>
          </w:tcPr>
          <w:p w:rsidR="002178DE" w:rsidRDefault="002178DE" w:rsidP="002178DE">
            <w:pPr>
              <w:jc w:val="both"/>
            </w:pPr>
            <w:r>
              <w:t>Kelly Fagan</w:t>
            </w:r>
          </w:p>
        </w:tc>
        <w:tc>
          <w:tcPr>
            <w:tcW w:w="1680" w:type="dxa"/>
          </w:tcPr>
          <w:p w:rsidR="002178DE" w:rsidRDefault="002178DE" w:rsidP="002178DE">
            <w:pPr>
              <w:jc w:val="center"/>
            </w:pPr>
            <w:r>
              <w:t>FPL</w:t>
            </w:r>
          </w:p>
        </w:tc>
        <w:tc>
          <w:tcPr>
            <w:tcW w:w="1482" w:type="dxa"/>
          </w:tcPr>
          <w:p w:rsidR="002178DE" w:rsidRDefault="002178DE" w:rsidP="002178DE">
            <w:pPr>
              <w:jc w:val="center"/>
            </w:pPr>
            <w:r>
              <w:t>(KF-3)</w:t>
            </w:r>
          </w:p>
        </w:tc>
        <w:tc>
          <w:tcPr>
            <w:tcW w:w="3205" w:type="dxa"/>
          </w:tcPr>
          <w:p w:rsidR="002178DE" w:rsidRDefault="002178DE" w:rsidP="002178DE">
            <w:r>
              <w:t>Typical Solar Energy Center Block Diagram</w:t>
            </w:r>
          </w:p>
        </w:tc>
      </w:tr>
      <w:tr w:rsidR="002178DE" w:rsidRPr="00701945" w:rsidTr="005204D7">
        <w:trPr>
          <w:cantSplit/>
          <w:trHeight w:val="353"/>
        </w:trPr>
        <w:tc>
          <w:tcPr>
            <w:tcW w:w="3198" w:type="dxa"/>
          </w:tcPr>
          <w:p w:rsidR="002178DE" w:rsidRDefault="002178DE" w:rsidP="002178DE">
            <w:pPr>
              <w:jc w:val="both"/>
            </w:pPr>
            <w:r>
              <w:t>Kelly Fagan</w:t>
            </w:r>
          </w:p>
        </w:tc>
        <w:tc>
          <w:tcPr>
            <w:tcW w:w="1680" w:type="dxa"/>
          </w:tcPr>
          <w:p w:rsidR="002178DE" w:rsidRDefault="002178DE" w:rsidP="002178DE">
            <w:pPr>
              <w:jc w:val="center"/>
            </w:pPr>
            <w:r>
              <w:t>FPL</w:t>
            </w:r>
          </w:p>
        </w:tc>
        <w:tc>
          <w:tcPr>
            <w:tcW w:w="1482" w:type="dxa"/>
          </w:tcPr>
          <w:p w:rsidR="002178DE" w:rsidRDefault="002178DE" w:rsidP="002178DE">
            <w:pPr>
              <w:jc w:val="center"/>
            </w:pPr>
            <w:r>
              <w:t>(KF-4)</w:t>
            </w:r>
          </w:p>
        </w:tc>
        <w:tc>
          <w:tcPr>
            <w:tcW w:w="3205" w:type="dxa"/>
          </w:tcPr>
          <w:p w:rsidR="002178DE" w:rsidRDefault="002178DE" w:rsidP="002178DE">
            <w:r>
              <w:t>Specifications for 2025 Solar Energy Centers</w:t>
            </w:r>
          </w:p>
        </w:tc>
      </w:tr>
      <w:tr w:rsidR="002178DE" w:rsidRPr="00701945" w:rsidTr="005204D7">
        <w:trPr>
          <w:cantSplit/>
          <w:trHeight w:val="353"/>
        </w:trPr>
        <w:tc>
          <w:tcPr>
            <w:tcW w:w="3198" w:type="dxa"/>
          </w:tcPr>
          <w:p w:rsidR="002178DE" w:rsidRDefault="002178DE" w:rsidP="002178DE">
            <w:pPr>
              <w:jc w:val="both"/>
            </w:pPr>
            <w:r>
              <w:t>Kelly Fagan</w:t>
            </w:r>
          </w:p>
        </w:tc>
        <w:tc>
          <w:tcPr>
            <w:tcW w:w="1680" w:type="dxa"/>
          </w:tcPr>
          <w:p w:rsidR="002178DE" w:rsidRDefault="002178DE" w:rsidP="002178DE">
            <w:pPr>
              <w:jc w:val="center"/>
            </w:pPr>
            <w:r>
              <w:t>FPL</w:t>
            </w:r>
          </w:p>
        </w:tc>
        <w:tc>
          <w:tcPr>
            <w:tcW w:w="1482" w:type="dxa"/>
          </w:tcPr>
          <w:p w:rsidR="002178DE" w:rsidRDefault="002178DE" w:rsidP="002178DE">
            <w:pPr>
              <w:jc w:val="center"/>
            </w:pPr>
            <w:r>
              <w:t>(KF-5)</w:t>
            </w:r>
          </w:p>
        </w:tc>
        <w:tc>
          <w:tcPr>
            <w:tcW w:w="3205" w:type="dxa"/>
          </w:tcPr>
          <w:p w:rsidR="002178DE" w:rsidRDefault="002178DE" w:rsidP="002178DE">
            <w:r>
              <w:t>Construction Schedules for the 2025 Solar Energy Centers</w:t>
            </w:r>
          </w:p>
        </w:tc>
      </w:tr>
      <w:tr w:rsidR="002178DE" w:rsidRPr="00701945" w:rsidTr="005204D7">
        <w:trPr>
          <w:cantSplit/>
          <w:trHeight w:val="353"/>
        </w:trPr>
        <w:tc>
          <w:tcPr>
            <w:tcW w:w="3198" w:type="dxa"/>
          </w:tcPr>
          <w:p w:rsidR="002178DE" w:rsidRDefault="008D7312" w:rsidP="002178DE">
            <w:pPr>
              <w:jc w:val="both"/>
            </w:pPr>
            <w:r>
              <w:t>Kelly Fagan</w:t>
            </w:r>
          </w:p>
        </w:tc>
        <w:tc>
          <w:tcPr>
            <w:tcW w:w="1680" w:type="dxa"/>
          </w:tcPr>
          <w:p w:rsidR="002178DE" w:rsidRDefault="008D7312" w:rsidP="002178DE">
            <w:pPr>
              <w:jc w:val="center"/>
            </w:pPr>
            <w:r>
              <w:t>FPL</w:t>
            </w:r>
          </w:p>
        </w:tc>
        <w:tc>
          <w:tcPr>
            <w:tcW w:w="1482" w:type="dxa"/>
          </w:tcPr>
          <w:p w:rsidR="002178DE" w:rsidRDefault="008D7312" w:rsidP="002178DE">
            <w:pPr>
              <w:jc w:val="center"/>
            </w:pPr>
            <w:r>
              <w:t>(KF-6)</w:t>
            </w:r>
          </w:p>
        </w:tc>
        <w:tc>
          <w:tcPr>
            <w:tcW w:w="3205" w:type="dxa"/>
          </w:tcPr>
          <w:p w:rsidR="002178DE" w:rsidRDefault="008D7312" w:rsidP="002178DE">
            <w:r>
              <w:t>Capital Cost Table (errata filed Sept. 5)</w:t>
            </w:r>
          </w:p>
        </w:tc>
      </w:tr>
      <w:tr w:rsidR="008D7312" w:rsidRPr="00701945" w:rsidTr="005204D7">
        <w:trPr>
          <w:cantSplit/>
          <w:trHeight w:val="353"/>
        </w:trPr>
        <w:tc>
          <w:tcPr>
            <w:tcW w:w="3198" w:type="dxa"/>
          </w:tcPr>
          <w:p w:rsidR="008D7312" w:rsidRDefault="008D7312" w:rsidP="008D7312">
            <w:pPr>
              <w:jc w:val="both"/>
            </w:pPr>
            <w:r>
              <w:t>Kelly Fagan</w:t>
            </w:r>
          </w:p>
        </w:tc>
        <w:tc>
          <w:tcPr>
            <w:tcW w:w="1680" w:type="dxa"/>
          </w:tcPr>
          <w:p w:rsidR="008D7312" w:rsidRDefault="008D7312" w:rsidP="008D7312">
            <w:pPr>
              <w:jc w:val="center"/>
            </w:pPr>
            <w:r>
              <w:t>FPL</w:t>
            </w:r>
          </w:p>
        </w:tc>
        <w:tc>
          <w:tcPr>
            <w:tcW w:w="1482" w:type="dxa"/>
          </w:tcPr>
          <w:p w:rsidR="008D7312" w:rsidRDefault="008D7312" w:rsidP="008D7312">
            <w:pPr>
              <w:jc w:val="center"/>
            </w:pPr>
            <w:r>
              <w:t>(KF-7)</w:t>
            </w:r>
          </w:p>
        </w:tc>
        <w:tc>
          <w:tcPr>
            <w:tcW w:w="3205" w:type="dxa"/>
          </w:tcPr>
          <w:p w:rsidR="008D7312" w:rsidRDefault="008D7312" w:rsidP="008D7312">
            <w:r>
              <w:t xml:space="preserve">Cost Increase Waterfall </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(AWW-1)</w:t>
            </w:r>
          </w:p>
        </w:tc>
        <w:tc>
          <w:tcPr>
            <w:tcW w:w="3205" w:type="dxa"/>
          </w:tcPr>
          <w:p w:rsidR="008D7312" w:rsidRDefault="008D7312" w:rsidP="008D7312">
            <w:r>
              <w:t>Load Forecast</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(AWW-2)</w:t>
            </w:r>
          </w:p>
        </w:tc>
        <w:tc>
          <w:tcPr>
            <w:tcW w:w="3205" w:type="dxa"/>
          </w:tcPr>
          <w:p w:rsidR="008D7312" w:rsidRDefault="008D7312" w:rsidP="008D7312">
            <w:r>
              <w:t>FPL Fuel Price Forecast</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(AWW-3)</w:t>
            </w:r>
          </w:p>
        </w:tc>
        <w:tc>
          <w:tcPr>
            <w:tcW w:w="3205" w:type="dxa"/>
          </w:tcPr>
          <w:p w:rsidR="008D7312" w:rsidRDefault="008D7312" w:rsidP="008D7312">
            <w:r>
              <w:t>FPL Resource Plans</w:t>
            </w:r>
          </w:p>
        </w:tc>
      </w:tr>
      <w:tr w:rsidR="008D7312" w:rsidRPr="00701945" w:rsidTr="005204D7">
        <w:trPr>
          <w:cantSplit/>
          <w:trHeight w:val="353"/>
        </w:trPr>
        <w:tc>
          <w:tcPr>
            <w:tcW w:w="3198" w:type="dxa"/>
          </w:tcPr>
          <w:p w:rsidR="008D7312" w:rsidRDefault="008D7312" w:rsidP="008D7312">
            <w:pPr>
              <w:jc w:val="both"/>
            </w:pPr>
            <w:r>
              <w:lastRenderedPageBreak/>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(AWW-4)</w:t>
            </w:r>
          </w:p>
        </w:tc>
        <w:tc>
          <w:tcPr>
            <w:tcW w:w="3205" w:type="dxa"/>
          </w:tcPr>
          <w:p w:rsidR="008D7312" w:rsidRDefault="008D7312" w:rsidP="008D7312">
            <w:r>
              <w:t>CPVRR – Costs and (Benefits)</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(AWW-5)</w:t>
            </w:r>
          </w:p>
        </w:tc>
        <w:tc>
          <w:tcPr>
            <w:tcW w:w="3205" w:type="dxa"/>
          </w:tcPr>
          <w:p w:rsidR="008D7312" w:rsidRDefault="008D7312" w:rsidP="008D7312">
            <w:r>
              <w:t>Yearly PTC Impact</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(AWW-6)</w:t>
            </w:r>
          </w:p>
        </w:tc>
        <w:tc>
          <w:tcPr>
            <w:tcW w:w="3205" w:type="dxa"/>
          </w:tcPr>
          <w:p w:rsidR="008D7312" w:rsidRDefault="008D7312" w:rsidP="008D7312">
            <w:r>
              <w:t>Avoided Natural Gas</w:t>
            </w:r>
          </w:p>
        </w:tc>
      </w:tr>
      <w:tr w:rsidR="008D7312" w:rsidRPr="00701945" w:rsidTr="005204D7">
        <w:trPr>
          <w:cantSplit/>
          <w:trHeight w:val="353"/>
        </w:trPr>
        <w:tc>
          <w:tcPr>
            <w:tcW w:w="3198" w:type="dxa"/>
          </w:tcPr>
          <w:p w:rsidR="008D7312" w:rsidRDefault="008D7312" w:rsidP="008D7312">
            <w:pPr>
              <w:jc w:val="both"/>
            </w:pPr>
            <w:r>
              <w:t>Andrew W. Whitley</w:t>
            </w:r>
          </w:p>
        </w:tc>
        <w:tc>
          <w:tcPr>
            <w:tcW w:w="1680" w:type="dxa"/>
          </w:tcPr>
          <w:p w:rsidR="008D7312" w:rsidRDefault="008D7312" w:rsidP="008D7312">
            <w:pPr>
              <w:jc w:val="center"/>
            </w:pPr>
            <w:r>
              <w:t>FPL</w:t>
            </w:r>
          </w:p>
        </w:tc>
        <w:tc>
          <w:tcPr>
            <w:tcW w:w="1482" w:type="dxa"/>
          </w:tcPr>
          <w:p w:rsidR="008D7312" w:rsidRDefault="008D7312" w:rsidP="008D7312">
            <w:pPr>
              <w:jc w:val="center"/>
            </w:pPr>
            <w:r>
              <w:t>(AWW-7)</w:t>
            </w:r>
          </w:p>
        </w:tc>
        <w:tc>
          <w:tcPr>
            <w:tcW w:w="3205" w:type="dxa"/>
          </w:tcPr>
          <w:p w:rsidR="008D7312" w:rsidRDefault="008D7312" w:rsidP="008D7312">
            <w:r>
              <w:t>Avoided Air Emissions</w:t>
            </w:r>
          </w:p>
        </w:tc>
      </w:tr>
      <w:tr w:rsidR="008D7312" w:rsidRPr="00701945" w:rsidTr="005204D7">
        <w:trPr>
          <w:cantSplit/>
          <w:trHeight w:val="353"/>
        </w:trPr>
        <w:tc>
          <w:tcPr>
            <w:tcW w:w="3198" w:type="dxa"/>
          </w:tcPr>
          <w:p w:rsidR="008D7312" w:rsidRDefault="008D7312" w:rsidP="008D7312">
            <w:pPr>
              <w:jc w:val="both"/>
            </w:pPr>
            <w:r>
              <w:t>Edward J. Anderson</w:t>
            </w:r>
          </w:p>
        </w:tc>
        <w:tc>
          <w:tcPr>
            <w:tcW w:w="1680" w:type="dxa"/>
          </w:tcPr>
          <w:p w:rsidR="008D7312" w:rsidRDefault="008D7312" w:rsidP="008D7312">
            <w:pPr>
              <w:jc w:val="center"/>
            </w:pPr>
            <w:r>
              <w:t>FPL</w:t>
            </w:r>
          </w:p>
        </w:tc>
        <w:tc>
          <w:tcPr>
            <w:tcW w:w="1482" w:type="dxa"/>
          </w:tcPr>
          <w:p w:rsidR="008D7312" w:rsidRDefault="008D7312" w:rsidP="008D7312">
            <w:pPr>
              <w:jc w:val="center"/>
            </w:pPr>
            <w:r>
              <w:t>(EJA-1)</w:t>
            </w:r>
          </w:p>
        </w:tc>
        <w:tc>
          <w:tcPr>
            <w:tcW w:w="3205" w:type="dxa"/>
          </w:tcPr>
          <w:p w:rsidR="008D7312" w:rsidRDefault="008D7312" w:rsidP="008D7312">
            <w:r>
              <w:t>2025 SoBRA Factor Calculation</w:t>
            </w:r>
          </w:p>
        </w:tc>
      </w:tr>
      <w:tr w:rsidR="008D7312" w:rsidRPr="00701945" w:rsidTr="005204D7">
        <w:trPr>
          <w:cantSplit/>
          <w:trHeight w:val="353"/>
        </w:trPr>
        <w:tc>
          <w:tcPr>
            <w:tcW w:w="3198" w:type="dxa"/>
          </w:tcPr>
          <w:p w:rsidR="008D7312" w:rsidRDefault="008D7312" w:rsidP="008D7312">
            <w:pPr>
              <w:jc w:val="both"/>
            </w:pPr>
            <w:r>
              <w:t>Edward J. Anderson</w:t>
            </w:r>
          </w:p>
        </w:tc>
        <w:tc>
          <w:tcPr>
            <w:tcW w:w="1680" w:type="dxa"/>
          </w:tcPr>
          <w:p w:rsidR="008D7312" w:rsidRDefault="008D7312" w:rsidP="008D7312">
            <w:pPr>
              <w:jc w:val="center"/>
            </w:pPr>
            <w:r>
              <w:t>FPL</w:t>
            </w:r>
          </w:p>
        </w:tc>
        <w:tc>
          <w:tcPr>
            <w:tcW w:w="1482" w:type="dxa"/>
          </w:tcPr>
          <w:p w:rsidR="008D7312" w:rsidRDefault="008D7312" w:rsidP="008D7312">
            <w:pPr>
              <w:jc w:val="center"/>
            </w:pPr>
            <w:r>
              <w:t>(EJA-2)</w:t>
            </w:r>
          </w:p>
        </w:tc>
        <w:tc>
          <w:tcPr>
            <w:tcW w:w="3205" w:type="dxa"/>
          </w:tcPr>
          <w:p w:rsidR="008D7312" w:rsidRDefault="008D7312" w:rsidP="008D7312">
            <w:r>
              <w:t>Typical Bill Projections</w:t>
            </w:r>
          </w:p>
        </w:tc>
      </w:tr>
      <w:tr w:rsidR="008D7312" w:rsidRPr="00701945" w:rsidTr="005204D7">
        <w:trPr>
          <w:cantSplit/>
          <w:trHeight w:val="353"/>
        </w:trPr>
        <w:tc>
          <w:tcPr>
            <w:tcW w:w="3198" w:type="dxa"/>
          </w:tcPr>
          <w:p w:rsidR="008D7312" w:rsidRDefault="008D7312" w:rsidP="008D7312">
            <w:pPr>
              <w:jc w:val="both"/>
            </w:pPr>
            <w:r>
              <w:t>Phuong T. Nguyen*</w:t>
            </w:r>
          </w:p>
          <w:p w:rsidR="008D7312" w:rsidRDefault="008D7312" w:rsidP="008D7312">
            <w:pPr>
              <w:jc w:val="both"/>
            </w:pPr>
          </w:p>
          <w:p w:rsidR="008D7312" w:rsidRDefault="008D7312" w:rsidP="008D7312">
            <w:pPr>
              <w:jc w:val="both"/>
            </w:pPr>
          </w:p>
        </w:tc>
        <w:tc>
          <w:tcPr>
            <w:tcW w:w="1680" w:type="dxa"/>
          </w:tcPr>
          <w:p w:rsidR="008D7312" w:rsidRDefault="008D7312" w:rsidP="008D7312">
            <w:pPr>
              <w:jc w:val="center"/>
            </w:pPr>
            <w:r>
              <w:t>FPUC</w:t>
            </w:r>
          </w:p>
        </w:tc>
        <w:tc>
          <w:tcPr>
            <w:tcW w:w="1482" w:type="dxa"/>
          </w:tcPr>
          <w:p w:rsidR="008D7312" w:rsidRDefault="008D7312" w:rsidP="008D7312">
            <w:pPr>
              <w:jc w:val="center"/>
            </w:pPr>
            <w:r>
              <w:t>(PTN-1)</w:t>
            </w:r>
          </w:p>
        </w:tc>
        <w:tc>
          <w:tcPr>
            <w:tcW w:w="3205" w:type="dxa"/>
          </w:tcPr>
          <w:p w:rsidR="008D7312" w:rsidRDefault="008D7312" w:rsidP="008D7312">
            <w:r>
              <w:t>Final True Up Schedules (Schedules A, C1 and E1-B for FPUC’s Divisions)</w:t>
            </w:r>
          </w:p>
        </w:tc>
      </w:tr>
      <w:tr w:rsidR="008D7312" w:rsidRPr="00701945" w:rsidTr="005204D7">
        <w:trPr>
          <w:cantSplit/>
          <w:trHeight w:val="353"/>
        </w:trPr>
        <w:tc>
          <w:tcPr>
            <w:tcW w:w="3198" w:type="dxa"/>
          </w:tcPr>
          <w:p w:rsidR="008D7312" w:rsidRDefault="008D7312" w:rsidP="008D7312">
            <w:pPr>
              <w:jc w:val="both"/>
            </w:pPr>
            <w:r>
              <w:t>Brittnee Baker</w:t>
            </w:r>
          </w:p>
        </w:tc>
        <w:tc>
          <w:tcPr>
            <w:tcW w:w="1680" w:type="dxa"/>
          </w:tcPr>
          <w:p w:rsidR="008D7312" w:rsidRDefault="008D7312" w:rsidP="008D7312">
            <w:pPr>
              <w:jc w:val="center"/>
            </w:pPr>
            <w:r>
              <w:t>FPUC</w:t>
            </w:r>
          </w:p>
        </w:tc>
        <w:tc>
          <w:tcPr>
            <w:tcW w:w="1482" w:type="dxa"/>
          </w:tcPr>
          <w:p w:rsidR="008D7312" w:rsidRDefault="008D7312" w:rsidP="008D7312">
            <w:pPr>
              <w:jc w:val="center"/>
            </w:pPr>
            <w:r>
              <w:t>(BB-1)</w:t>
            </w:r>
          </w:p>
        </w:tc>
        <w:tc>
          <w:tcPr>
            <w:tcW w:w="3205" w:type="dxa"/>
          </w:tcPr>
          <w:p w:rsidR="008D7312" w:rsidRDefault="008D7312" w:rsidP="008D7312">
            <w:r>
              <w:t>Estimated/Actual (Schedules E1-A, E1-B, and E1-B1)</w:t>
            </w:r>
          </w:p>
          <w:p w:rsidR="008D7312" w:rsidRDefault="008D7312" w:rsidP="008D7312">
            <w:r>
              <w:rPr>
                <w:b/>
              </w:rPr>
              <w:t>Revised September 5, 2024</w:t>
            </w:r>
            <w:r>
              <w:t xml:space="preserve"> </w:t>
            </w:r>
          </w:p>
        </w:tc>
      </w:tr>
      <w:tr w:rsidR="008D7312" w:rsidRPr="00701945" w:rsidTr="005204D7">
        <w:trPr>
          <w:cantSplit/>
          <w:trHeight w:val="353"/>
        </w:trPr>
        <w:tc>
          <w:tcPr>
            <w:tcW w:w="3198" w:type="dxa"/>
          </w:tcPr>
          <w:p w:rsidR="008D7312" w:rsidRDefault="008D7312" w:rsidP="008D7312">
            <w:pPr>
              <w:jc w:val="both"/>
            </w:pPr>
            <w:r>
              <w:t>Brittnee Baker</w:t>
            </w:r>
          </w:p>
        </w:tc>
        <w:tc>
          <w:tcPr>
            <w:tcW w:w="1680" w:type="dxa"/>
          </w:tcPr>
          <w:p w:rsidR="008D7312" w:rsidRDefault="008D7312" w:rsidP="008D7312">
            <w:pPr>
              <w:jc w:val="center"/>
            </w:pPr>
            <w:r>
              <w:t>FPUC</w:t>
            </w:r>
          </w:p>
        </w:tc>
        <w:tc>
          <w:tcPr>
            <w:tcW w:w="1482" w:type="dxa"/>
          </w:tcPr>
          <w:p w:rsidR="008D7312" w:rsidRPr="004515FB" w:rsidRDefault="008D7312" w:rsidP="008D7312">
            <w:pPr>
              <w:jc w:val="center"/>
            </w:pPr>
            <w:r>
              <w:t>(BB-2)</w:t>
            </w:r>
          </w:p>
        </w:tc>
        <w:tc>
          <w:tcPr>
            <w:tcW w:w="3205" w:type="dxa"/>
          </w:tcPr>
          <w:p w:rsidR="008D7312" w:rsidRPr="00701945" w:rsidRDefault="008D7312" w:rsidP="008D7312">
            <w:r>
              <w:t>Schedules E1, E1A, E2, E7, E8, E10 and Schedule A</w:t>
            </w:r>
          </w:p>
        </w:tc>
      </w:tr>
      <w:tr w:rsidR="00707758" w:rsidRPr="00701945" w:rsidTr="005204D7">
        <w:trPr>
          <w:cantSplit/>
          <w:trHeight w:val="353"/>
        </w:trPr>
        <w:tc>
          <w:tcPr>
            <w:tcW w:w="3198" w:type="dxa"/>
          </w:tcPr>
          <w:p w:rsidR="00707758" w:rsidRDefault="00AE560A" w:rsidP="008D7312">
            <w:pPr>
              <w:jc w:val="both"/>
            </w:pPr>
            <w:r>
              <w:t>Zel D. Jones</w:t>
            </w:r>
          </w:p>
        </w:tc>
        <w:tc>
          <w:tcPr>
            <w:tcW w:w="1680" w:type="dxa"/>
          </w:tcPr>
          <w:p w:rsidR="00707758" w:rsidRDefault="00AE560A" w:rsidP="008D7312">
            <w:pPr>
              <w:jc w:val="center"/>
            </w:pPr>
            <w:r>
              <w:t>TECO</w:t>
            </w:r>
          </w:p>
        </w:tc>
        <w:tc>
          <w:tcPr>
            <w:tcW w:w="1482" w:type="dxa"/>
          </w:tcPr>
          <w:p w:rsidR="00707758" w:rsidRDefault="00AE560A" w:rsidP="005B17AE">
            <w:pPr>
              <w:jc w:val="center"/>
            </w:pPr>
            <w:r>
              <w:t>(ZD</w:t>
            </w:r>
            <w:r w:rsidR="005B17AE">
              <w:t>J</w:t>
            </w:r>
            <w:r>
              <w:t>-1)</w:t>
            </w:r>
          </w:p>
        </w:tc>
        <w:tc>
          <w:tcPr>
            <w:tcW w:w="3205" w:type="dxa"/>
          </w:tcPr>
          <w:p w:rsidR="00AE560A" w:rsidRDefault="00AE560A" w:rsidP="00AE560A">
            <w:r>
              <w:t>Final True-Up Capacity Cost Recovery  -January 2023-December 2023;</w:t>
            </w:r>
          </w:p>
          <w:p w:rsidR="00AE560A" w:rsidRDefault="00AE560A" w:rsidP="00AE560A">
            <w:r>
              <w:t>Final True-Up Fuel Cost Recovery – January 2023-December 2023;</w:t>
            </w:r>
          </w:p>
          <w:p w:rsidR="005B17AE" w:rsidRDefault="005B17AE" w:rsidP="00AE560A">
            <w:r>
              <w:t>Actual Fuel True-up Compared to Original Estimates</w:t>
            </w:r>
          </w:p>
          <w:p w:rsidR="00707758" w:rsidRDefault="005B17AE" w:rsidP="00AE560A">
            <w:r>
              <w:t>January 2023 – December 2023</w:t>
            </w:r>
            <w:r w:rsidR="00AE560A">
              <w:t xml:space="preserve"> </w:t>
            </w:r>
            <w:r>
              <w:t>;</w:t>
            </w:r>
          </w:p>
          <w:p w:rsidR="005B17AE" w:rsidRDefault="005B17AE" w:rsidP="00AE560A">
            <w:r>
              <w:t>Schedules A-1, A-2, A-6 through A-9, and A-12</w:t>
            </w:r>
          </w:p>
          <w:p w:rsidR="005B17AE" w:rsidRDefault="005B17AE" w:rsidP="00AE560A">
            <w:r>
              <w:t>January 2023 –December 2023</w:t>
            </w:r>
          </w:p>
        </w:tc>
      </w:tr>
      <w:tr w:rsidR="00AE560A" w:rsidRPr="00701945" w:rsidTr="005204D7">
        <w:trPr>
          <w:cantSplit/>
          <w:trHeight w:val="353"/>
        </w:trPr>
        <w:tc>
          <w:tcPr>
            <w:tcW w:w="3198" w:type="dxa"/>
          </w:tcPr>
          <w:p w:rsidR="00AE560A" w:rsidRDefault="00AE560A" w:rsidP="00AE560A">
            <w:pPr>
              <w:jc w:val="both"/>
            </w:pPr>
            <w:r>
              <w:lastRenderedPageBreak/>
              <w:t>Zel D. Jones</w:t>
            </w:r>
          </w:p>
        </w:tc>
        <w:tc>
          <w:tcPr>
            <w:tcW w:w="1680" w:type="dxa"/>
          </w:tcPr>
          <w:p w:rsidR="00AE560A" w:rsidRDefault="00AE560A" w:rsidP="00AE560A">
            <w:pPr>
              <w:jc w:val="center"/>
            </w:pPr>
            <w:r>
              <w:t>TECO</w:t>
            </w:r>
          </w:p>
        </w:tc>
        <w:tc>
          <w:tcPr>
            <w:tcW w:w="1482" w:type="dxa"/>
          </w:tcPr>
          <w:p w:rsidR="00AE560A" w:rsidRDefault="00AE560A" w:rsidP="005B17AE">
            <w:pPr>
              <w:jc w:val="center"/>
            </w:pPr>
            <w:r>
              <w:t>(ZD</w:t>
            </w:r>
            <w:r w:rsidR="005B17AE">
              <w:t>J</w:t>
            </w:r>
            <w:r>
              <w:t>-2)</w:t>
            </w:r>
          </w:p>
        </w:tc>
        <w:tc>
          <w:tcPr>
            <w:tcW w:w="3205" w:type="dxa"/>
          </w:tcPr>
          <w:p w:rsidR="00AE560A" w:rsidRDefault="005B17AE" w:rsidP="00AE560A">
            <w:r>
              <w:t>Actual/Estimated True-Up Fuel Cost Recovery, January 2024 –December 2024;</w:t>
            </w:r>
          </w:p>
          <w:p w:rsidR="005B17AE" w:rsidRDefault="005B17AE" w:rsidP="005B17AE">
            <w:r>
              <w:t>Actual/Estimated True-Up Capacity Cost Recovery</w:t>
            </w:r>
          </w:p>
          <w:p w:rsidR="005B17AE" w:rsidRDefault="005B17AE" w:rsidP="005B17AE">
            <w:r>
              <w:t>January –December 2024</w:t>
            </w:r>
          </w:p>
        </w:tc>
      </w:tr>
      <w:tr w:rsidR="00AE560A" w:rsidRPr="00701945" w:rsidTr="005204D7">
        <w:trPr>
          <w:cantSplit/>
          <w:trHeight w:val="353"/>
        </w:trPr>
        <w:tc>
          <w:tcPr>
            <w:tcW w:w="3198" w:type="dxa"/>
          </w:tcPr>
          <w:p w:rsidR="00AE560A" w:rsidRDefault="00AE560A" w:rsidP="00AE560A">
            <w:pPr>
              <w:jc w:val="both"/>
            </w:pPr>
            <w:r>
              <w:t>Zel D. Jones</w:t>
            </w:r>
          </w:p>
        </w:tc>
        <w:tc>
          <w:tcPr>
            <w:tcW w:w="1680" w:type="dxa"/>
          </w:tcPr>
          <w:p w:rsidR="00AE560A" w:rsidRDefault="00AE560A" w:rsidP="00AE560A">
            <w:pPr>
              <w:jc w:val="center"/>
            </w:pPr>
            <w:r>
              <w:t>TECO</w:t>
            </w:r>
          </w:p>
        </w:tc>
        <w:tc>
          <w:tcPr>
            <w:tcW w:w="1482" w:type="dxa"/>
          </w:tcPr>
          <w:p w:rsidR="00AE560A" w:rsidRDefault="00AE560A" w:rsidP="005B17AE">
            <w:pPr>
              <w:jc w:val="center"/>
            </w:pPr>
            <w:r>
              <w:t>(ZD</w:t>
            </w:r>
            <w:r w:rsidR="005B17AE">
              <w:t>J</w:t>
            </w:r>
            <w:r>
              <w:t>-3)</w:t>
            </w:r>
          </w:p>
        </w:tc>
        <w:tc>
          <w:tcPr>
            <w:tcW w:w="3205" w:type="dxa"/>
          </w:tcPr>
          <w:p w:rsidR="00AE560A" w:rsidRDefault="005B17AE" w:rsidP="00AE560A">
            <w:r>
              <w:t>Projected Capacity Cost Recovery</w:t>
            </w:r>
          </w:p>
          <w:p w:rsidR="005B17AE" w:rsidRDefault="005B17AE" w:rsidP="00AE560A">
            <w:r>
              <w:t>January – December 2025;</w:t>
            </w:r>
          </w:p>
          <w:p w:rsidR="005B17AE" w:rsidRDefault="005B17AE" w:rsidP="00AE560A">
            <w:r>
              <w:t>Projected Fuel Cost Recovery</w:t>
            </w:r>
          </w:p>
          <w:p w:rsidR="005B17AE" w:rsidRDefault="005B17AE" w:rsidP="005B17AE">
            <w:r>
              <w:t>January – December 2025;</w:t>
            </w:r>
          </w:p>
          <w:p w:rsidR="005B17AE" w:rsidRDefault="005B17AE" w:rsidP="005B17AE">
            <w:r>
              <w:t xml:space="preserve">Levelized and Tiered Fuel Rate – January –December 2025 </w:t>
            </w:r>
          </w:p>
        </w:tc>
      </w:tr>
      <w:tr w:rsidR="00AE560A" w:rsidRPr="00701945" w:rsidTr="005204D7">
        <w:trPr>
          <w:cantSplit/>
          <w:trHeight w:val="353"/>
        </w:trPr>
        <w:tc>
          <w:tcPr>
            <w:tcW w:w="3198" w:type="dxa"/>
          </w:tcPr>
          <w:p w:rsidR="00AE560A" w:rsidRDefault="005B17AE" w:rsidP="00AE560A">
            <w:pPr>
              <w:jc w:val="both"/>
            </w:pPr>
            <w:r>
              <w:t>Elena B. Vance</w:t>
            </w:r>
          </w:p>
        </w:tc>
        <w:tc>
          <w:tcPr>
            <w:tcW w:w="1680" w:type="dxa"/>
          </w:tcPr>
          <w:p w:rsidR="00AE560A" w:rsidRDefault="005B17AE" w:rsidP="00AE560A">
            <w:pPr>
              <w:jc w:val="center"/>
            </w:pPr>
            <w:r>
              <w:t>TECO</w:t>
            </w:r>
          </w:p>
        </w:tc>
        <w:tc>
          <w:tcPr>
            <w:tcW w:w="1482" w:type="dxa"/>
          </w:tcPr>
          <w:p w:rsidR="00AE560A" w:rsidRDefault="00BC3F79" w:rsidP="00AE560A">
            <w:pPr>
              <w:jc w:val="center"/>
            </w:pPr>
            <w:r>
              <w:t>(EBV-1)</w:t>
            </w:r>
          </w:p>
        </w:tc>
        <w:tc>
          <w:tcPr>
            <w:tcW w:w="3205" w:type="dxa"/>
          </w:tcPr>
          <w:p w:rsidR="00BC3F79" w:rsidRDefault="00BC3F79" w:rsidP="00BC3F79">
            <w:r>
              <w:t>Final True-Up Generating Performance Incentive Factor</w:t>
            </w:r>
          </w:p>
          <w:p w:rsidR="00BC3F79" w:rsidRDefault="00BC3F79" w:rsidP="00BC3F79">
            <w:r>
              <w:t>January – December 2023;</w:t>
            </w:r>
          </w:p>
          <w:p w:rsidR="00BC3F79" w:rsidRDefault="00BC3F79" w:rsidP="00BC3F79">
            <w:r>
              <w:t>Actual Unit Performance Data</w:t>
            </w:r>
          </w:p>
          <w:p w:rsidR="00AE560A" w:rsidRDefault="00BC3F79" w:rsidP="00BC3F79">
            <w:r>
              <w:t xml:space="preserve">January – December 2023 </w:t>
            </w:r>
          </w:p>
        </w:tc>
      </w:tr>
      <w:tr w:rsidR="00AE560A" w:rsidRPr="00701945" w:rsidTr="005204D7">
        <w:trPr>
          <w:cantSplit/>
          <w:trHeight w:val="353"/>
        </w:trPr>
        <w:tc>
          <w:tcPr>
            <w:tcW w:w="3198" w:type="dxa"/>
          </w:tcPr>
          <w:p w:rsidR="00AE560A" w:rsidRDefault="00BC3F79" w:rsidP="00AE560A">
            <w:pPr>
              <w:jc w:val="both"/>
            </w:pPr>
            <w:r>
              <w:t>Elena B. Vance</w:t>
            </w:r>
          </w:p>
        </w:tc>
        <w:tc>
          <w:tcPr>
            <w:tcW w:w="1680" w:type="dxa"/>
          </w:tcPr>
          <w:p w:rsidR="00AE560A" w:rsidRDefault="00BC3F79" w:rsidP="00AE560A">
            <w:pPr>
              <w:jc w:val="center"/>
            </w:pPr>
            <w:r>
              <w:t>TECO</w:t>
            </w:r>
          </w:p>
        </w:tc>
        <w:tc>
          <w:tcPr>
            <w:tcW w:w="1482" w:type="dxa"/>
          </w:tcPr>
          <w:p w:rsidR="00AE560A" w:rsidRDefault="00BC3F79" w:rsidP="00AE560A">
            <w:pPr>
              <w:jc w:val="center"/>
            </w:pPr>
            <w:r>
              <w:t>(EBV-2)</w:t>
            </w:r>
          </w:p>
        </w:tc>
        <w:tc>
          <w:tcPr>
            <w:tcW w:w="3205" w:type="dxa"/>
          </w:tcPr>
          <w:p w:rsidR="00BC3F79" w:rsidRDefault="00BC3F79" w:rsidP="00AE560A">
            <w:r>
              <w:t>Generating Performance Incentive Factor</w:t>
            </w:r>
          </w:p>
          <w:p w:rsidR="00BC3F79" w:rsidRDefault="00BC3F79" w:rsidP="00BC3F79">
            <w:r>
              <w:t>January – December 2025;</w:t>
            </w:r>
          </w:p>
          <w:p w:rsidR="00BC3F79" w:rsidRDefault="00BC3F79" w:rsidP="00BC3F79">
            <w:r>
              <w:t>Summary of Generating Performance Incentive Factor Targets</w:t>
            </w:r>
          </w:p>
          <w:p w:rsidR="00AE560A" w:rsidRDefault="00BC3F79" w:rsidP="00BC3F79">
            <w:r>
              <w:t xml:space="preserve">January to December 2025 </w:t>
            </w:r>
          </w:p>
        </w:tc>
      </w:tr>
      <w:tr w:rsidR="00AE560A" w:rsidRPr="00701945" w:rsidTr="005204D7">
        <w:trPr>
          <w:cantSplit/>
          <w:trHeight w:val="353"/>
        </w:trPr>
        <w:tc>
          <w:tcPr>
            <w:tcW w:w="3198" w:type="dxa"/>
          </w:tcPr>
          <w:p w:rsidR="00AE560A" w:rsidRDefault="00BC3F79" w:rsidP="00AE560A">
            <w:pPr>
              <w:jc w:val="both"/>
            </w:pPr>
            <w:r>
              <w:t>John C. Heisey</w:t>
            </w:r>
          </w:p>
        </w:tc>
        <w:tc>
          <w:tcPr>
            <w:tcW w:w="1680" w:type="dxa"/>
          </w:tcPr>
          <w:p w:rsidR="00AE560A" w:rsidRDefault="00BC3F79" w:rsidP="00AE560A">
            <w:pPr>
              <w:jc w:val="center"/>
            </w:pPr>
            <w:r>
              <w:t>TECO</w:t>
            </w:r>
          </w:p>
        </w:tc>
        <w:tc>
          <w:tcPr>
            <w:tcW w:w="1482" w:type="dxa"/>
          </w:tcPr>
          <w:p w:rsidR="00AE560A" w:rsidRDefault="00BC3F79" w:rsidP="00AE560A">
            <w:pPr>
              <w:jc w:val="center"/>
            </w:pPr>
            <w:r>
              <w:t>(JCH-1)</w:t>
            </w:r>
          </w:p>
        </w:tc>
        <w:tc>
          <w:tcPr>
            <w:tcW w:w="3205" w:type="dxa"/>
          </w:tcPr>
          <w:p w:rsidR="00AE560A" w:rsidRDefault="00BC3F79" w:rsidP="00AE560A">
            <w:r>
              <w:t>Optimization Mechanism Results</w:t>
            </w:r>
          </w:p>
          <w:p w:rsidR="00BC3F79" w:rsidRDefault="00BC3F79" w:rsidP="00BC3F79">
            <w:r>
              <w:t xml:space="preserve">January – December 2023 </w:t>
            </w:r>
          </w:p>
        </w:tc>
      </w:tr>
      <w:tr w:rsidR="00BC3F79" w:rsidRPr="00701945" w:rsidTr="005204D7">
        <w:trPr>
          <w:cantSplit/>
          <w:trHeight w:val="353"/>
        </w:trPr>
        <w:tc>
          <w:tcPr>
            <w:tcW w:w="3198" w:type="dxa"/>
          </w:tcPr>
          <w:p w:rsidR="00BC3F79" w:rsidRDefault="00BC3F79" w:rsidP="00BC3F79">
            <w:pPr>
              <w:jc w:val="both"/>
            </w:pPr>
            <w:r>
              <w:t>John C. Heisey</w:t>
            </w:r>
          </w:p>
        </w:tc>
        <w:tc>
          <w:tcPr>
            <w:tcW w:w="1680" w:type="dxa"/>
          </w:tcPr>
          <w:p w:rsidR="00BC3F79" w:rsidRDefault="00BC3F79" w:rsidP="00BC3F79">
            <w:pPr>
              <w:jc w:val="center"/>
            </w:pPr>
            <w:r>
              <w:t>TECO</w:t>
            </w:r>
          </w:p>
        </w:tc>
        <w:tc>
          <w:tcPr>
            <w:tcW w:w="1482" w:type="dxa"/>
          </w:tcPr>
          <w:p w:rsidR="00BC3F79" w:rsidRDefault="00BC3F79" w:rsidP="00BC3F79">
            <w:pPr>
              <w:jc w:val="center"/>
            </w:pPr>
            <w:r>
              <w:t>(JCH-2)</w:t>
            </w:r>
          </w:p>
        </w:tc>
        <w:tc>
          <w:tcPr>
            <w:tcW w:w="3205" w:type="dxa"/>
          </w:tcPr>
          <w:p w:rsidR="00BC3F79" w:rsidRDefault="00BC3F79" w:rsidP="00BC3F79">
            <w:r>
              <w:t>Risk Management Plan</w:t>
            </w:r>
          </w:p>
          <w:p w:rsidR="00BC3F79" w:rsidRDefault="00BC3F79" w:rsidP="00BC3F79">
            <w:r>
              <w:t>January – December 2025</w:t>
            </w:r>
          </w:p>
        </w:tc>
      </w:tr>
    </w:tbl>
    <w:p w:rsidR="00B21ABE" w:rsidRPr="00701945" w:rsidRDefault="00B21ABE" w:rsidP="00B21ABE">
      <w:pPr>
        <w:jc w:val="both"/>
      </w:pPr>
    </w:p>
    <w:p w:rsidR="00805873" w:rsidRDefault="00B21ABE" w:rsidP="00B21ABE">
      <w:pPr>
        <w:jc w:val="both"/>
      </w:pPr>
      <w:r w:rsidRPr="00701945">
        <w:tab/>
      </w:r>
      <w:r w:rsidR="00805873">
        <w:t>* Adopted by Witness Brittnee Baker by letter of August 2, 2024.</w:t>
      </w:r>
    </w:p>
    <w:p w:rsidR="00B21ABE" w:rsidRDefault="00B21ABE" w:rsidP="00B21ABE">
      <w:pPr>
        <w:jc w:val="both"/>
      </w:pPr>
    </w:p>
    <w:p w:rsidR="004A3A8F" w:rsidRPr="00701945" w:rsidRDefault="004A3A8F" w:rsidP="00B21ABE">
      <w:pPr>
        <w:jc w:val="both"/>
      </w:pPr>
    </w:p>
    <w:p w:rsidR="00B21ABE" w:rsidRPr="00A32DC5" w:rsidRDefault="00B21ABE" w:rsidP="00B21ABE">
      <w:pPr>
        <w:jc w:val="both"/>
        <w:rPr>
          <w:b/>
        </w:rPr>
      </w:pPr>
      <w:r w:rsidRPr="00A32DC5">
        <w:rPr>
          <w:b/>
        </w:rPr>
        <w:t>X.</w:t>
      </w:r>
      <w:r w:rsidRPr="00A32DC5">
        <w:rPr>
          <w:b/>
        </w:rPr>
        <w:tab/>
      </w:r>
      <w:r w:rsidRPr="00A32DC5">
        <w:rPr>
          <w:b/>
          <w:u w:val="single"/>
        </w:rPr>
        <w:t>PROPOSED STIPULATIONS</w:t>
      </w:r>
    </w:p>
    <w:p w:rsidR="00B21ABE" w:rsidRDefault="00B21ABE" w:rsidP="00B21ABE">
      <w:pPr>
        <w:jc w:val="both"/>
      </w:pPr>
    </w:p>
    <w:p w:rsidR="00B21ABE" w:rsidRDefault="00E35EC2" w:rsidP="00BD4CA2">
      <w:pPr>
        <w:ind w:left="1440" w:hanging="720"/>
        <w:jc w:val="both"/>
        <w:rPr>
          <w:bCs/>
        </w:rPr>
      </w:pPr>
      <w:r>
        <w:rPr>
          <w:bCs/>
        </w:rPr>
        <w:t>The proposed stipulations are listed in Attachment A to this order.</w:t>
      </w:r>
    </w:p>
    <w:p w:rsidR="00B21ABE" w:rsidRDefault="00B21ABE" w:rsidP="00B21ABE">
      <w:pPr>
        <w:ind w:left="1440" w:hanging="1440"/>
        <w:jc w:val="both"/>
        <w:rPr>
          <w:bCs/>
        </w:rPr>
      </w:pPr>
    </w:p>
    <w:p w:rsidR="004A3A8F" w:rsidRDefault="004A3A8F" w:rsidP="00B21ABE">
      <w:pPr>
        <w:ind w:left="1440" w:hanging="1440"/>
        <w:jc w:val="both"/>
        <w:rPr>
          <w:bCs/>
        </w:rPr>
      </w:pPr>
    </w:p>
    <w:p w:rsidR="00B21ABE" w:rsidRPr="00A32DC5" w:rsidRDefault="00B21ABE" w:rsidP="00B21ABE">
      <w:pPr>
        <w:jc w:val="both"/>
        <w:rPr>
          <w:b/>
        </w:rPr>
      </w:pPr>
      <w:r w:rsidRPr="00A32DC5">
        <w:rPr>
          <w:b/>
        </w:rPr>
        <w:lastRenderedPageBreak/>
        <w:t>XI.</w:t>
      </w:r>
      <w:r w:rsidRPr="00A32DC5">
        <w:rPr>
          <w:b/>
        </w:rPr>
        <w:tab/>
      </w:r>
      <w:r w:rsidRPr="00A32DC5">
        <w:rPr>
          <w:b/>
          <w:u w:val="single"/>
        </w:rPr>
        <w:t>PENDING MOTIONS</w:t>
      </w:r>
    </w:p>
    <w:p w:rsidR="00B21ABE" w:rsidRPr="00701945" w:rsidRDefault="00B21ABE" w:rsidP="00B21ABE">
      <w:pPr>
        <w:jc w:val="both"/>
      </w:pPr>
    </w:p>
    <w:p w:rsidR="00B21ABE" w:rsidRDefault="00BD4CA2" w:rsidP="00B21ABE">
      <w:pPr>
        <w:jc w:val="both"/>
      </w:pPr>
      <w:r>
        <w:tab/>
        <w:t>There are no pending motions at this time.</w:t>
      </w:r>
    </w:p>
    <w:p w:rsidR="00BD4CA2" w:rsidRDefault="00BD4CA2" w:rsidP="00B21ABE">
      <w:pPr>
        <w:jc w:val="both"/>
      </w:pPr>
    </w:p>
    <w:p w:rsidR="004A3A8F" w:rsidRPr="00701945" w:rsidRDefault="004A3A8F" w:rsidP="00B21ABE">
      <w:pPr>
        <w:jc w:val="both"/>
      </w:pPr>
    </w:p>
    <w:p w:rsidR="00B21ABE" w:rsidRPr="00A32DC5" w:rsidRDefault="00B21ABE" w:rsidP="00B21ABE">
      <w:pPr>
        <w:jc w:val="both"/>
        <w:rPr>
          <w:b/>
        </w:rPr>
      </w:pPr>
      <w:r w:rsidRPr="00A32DC5">
        <w:rPr>
          <w:b/>
        </w:rPr>
        <w:t>XII.</w:t>
      </w:r>
      <w:r w:rsidRPr="00A32DC5">
        <w:rPr>
          <w:b/>
        </w:rPr>
        <w:tab/>
      </w:r>
      <w:r w:rsidRPr="00A32DC5">
        <w:rPr>
          <w:b/>
          <w:u w:val="single"/>
        </w:rPr>
        <w:t>PENDING CONFIDENTIALITY MATTERS</w:t>
      </w:r>
    </w:p>
    <w:p w:rsidR="00B21ABE" w:rsidRDefault="00B21ABE" w:rsidP="00B21ABE">
      <w:pPr>
        <w:jc w:val="both"/>
      </w:pPr>
    </w:p>
    <w:p w:rsidR="004A3A8F" w:rsidRPr="00E35EC2" w:rsidRDefault="00E35EC2">
      <w:r>
        <w:rPr>
          <w:b/>
        </w:rPr>
        <w:tab/>
      </w:r>
      <w:r w:rsidRPr="00E35EC2">
        <w:t>There are no pending confidentiality matters at this time.</w:t>
      </w:r>
    </w:p>
    <w:p w:rsidR="00E35EC2" w:rsidRDefault="00E35EC2">
      <w:pPr>
        <w:rPr>
          <w:b/>
        </w:rPr>
      </w:pPr>
    </w:p>
    <w:p w:rsidR="008D331F" w:rsidRDefault="008D331F">
      <w:pPr>
        <w:rPr>
          <w:b/>
        </w:rPr>
      </w:pPr>
    </w:p>
    <w:p w:rsidR="00B21ABE" w:rsidRPr="00A32DC5" w:rsidRDefault="00B21ABE" w:rsidP="00B21ABE">
      <w:pPr>
        <w:jc w:val="both"/>
        <w:rPr>
          <w:b/>
        </w:rPr>
      </w:pPr>
      <w:r w:rsidRPr="00A32DC5">
        <w:rPr>
          <w:b/>
        </w:rPr>
        <w:t>XIII.</w:t>
      </w:r>
      <w:r w:rsidRPr="00A32DC5">
        <w:rPr>
          <w:b/>
        </w:rPr>
        <w:tab/>
      </w:r>
      <w:r w:rsidRPr="00A32DC5">
        <w:rPr>
          <w:b/>
          <w:u w:val="single"/>
        </w:rPr>
        <w:t>POST-HEARING PROCEDURES</w:t>
      </w:r>
    </w:p>
    <w:p w:rsidR="00B21ABE" w:rsidRPr="00701945" w:rsidRDefault="00B21ABE" w:rsidP="00B21ABE">
      <w:pPr>
        <w:jc w:val="both"/>
      </w:pPr>
    </w:p>
    <w:p w:rsidR="00B21ABE" w:rsidRPr="00701945" w:rsidRDefault="00B21ABE" w:rsidP="00B21ABE">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w:t>
      </w:r>
      <w:r w:rsidR="004A3A8F">
        <w:t>’</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B21ABE" w:rsidRPr="00701945" w:rsidRDefault="00B21ABE" w:rsidP="00B21ABE">
      <w:pPr>
        <w:jc w:val="both"/>
      </w:pPr>
    </w:p>
    <w:p w:rsidR="00B21ABE" w:rsidRPr="00701945" w:rsidRDefault="00B21ABE" w:rsidP="00B21ABE">
      <w:pPr>
        <w:jc w:val="both"/>
      </w:pPr>
      <w:r w:rsidRPr="00701945">
        <w:tab/>
        <w:t xml:space="preserve">Pursuant to Rule 28-106.215, </w:t>
      </w:r>
      <w:r>
        <w:t>F.A.C.</w:t>
      </w:r>
      <w:r w:rsidRPr="00701945">
        <w:t>, a party</w:t>
      </w:r>
      <w:r w:rsidR="004A3A8F">
        <w:t>’</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rsidR="00B21ABE" w:rsidRDefault="00B21ABE" w:rsidP="00B21ABE">
      <w:pPr>
        <w:jc w:val="both"/>
      </w:pPr>
    </w:p>
    <w:p w:rsidR="00B21ABE" w:rsidRDefault="00B21ABE" w:rsidP="00B21ABE">
      <w:pPr>
        <w:jc w:val="both"/>
      </w:pPr>
    </w:p>
    <w:p w:rsidR="00B21ABE" w:rsidRPr="00A32DC5" w:rsidRDefault="00B21ABE" w:rsidP="00B21ABE">
      <w:pPr>
        <w:jc w:val="both"/>
        <w:rPr>
          <w:b/>
        </w:rPr>
      </w:pPr>
      <w:r w:rsidRPr="00A32DC5">
        <w:rPr>
          <w:b/>
        </w:rPr>
        <w:t>XIV.</w:t>
      </w:r>
      <w:r w:rsidRPr="00A32DC5">
        <w:rPr>
          <w:b/>
        </w:rPr>
        <w:tab/>
      </w:r>
      <w:r w:rsidRPr="00A32DC5">
        <w:rPr>
          <w:b/>
          <w:u w:val="single"/>
        </w:rPr>
        <w:t>RULINGS</w:t>
      </w:r>
    </w:p>
    <w:p w:rsidR="00B21ABE" w:rsidRPr="00701945" w:rsidRDefault="00B21ABE" w:rsidP="00B21ABE">
      <w:pPr>
        <w:jc w:val="both"/>
      </w:pPr>
    </w:p>
    <w:p w:rsidR="00B21ABE" w:rsidRPr="00701945" w:rsidRDefault="00B21ABE" w:rsidP="00B21ABE">
      <w:pPr>
        <w:ind w:firstLine="720"/>
        <w:jc w:val="both"/>
      </w:pPr>
      <w:r w:rsidRPr="00701945">
        <w:t xml:space="preserve">Opening statements, if any, shall not exceed </w:t>
      </w:r>
      <w:r w:rsidR="0024611D">
        <w:t xml:space="preserve">three </w:t>
      </w:r>
      <w:r w:rsidRPr="00701945">
        <w:t>minutes per party.</w:t>
      </w:r>
      <w:r>
        <w:t xml:space="preserve">  </w:t>
      </w:r>
    </w:p>
    <w:p w:rsidR="00B21ABE" w:rsidRDefault="00B21ABE" w:rsidP="00B21ABE">
      <w:pPr>
        <w:jc w:val="both"/>
      </w:pPr>
    </w:p>
    <w:p w:rsidR="00B21ABE" w:rsidRPr="00701945" w:rsidRDefault="00B21ABE" w:rsidP="00B21ABE">
      <w:pPr>
        <w:jc w:val="both"/>
      </w:pPr>
      <w:r w:rsidRPr="00701945">
        <w:tab/>
        <w:t>It is therefore,</w:t>
      </w:r>
    </w:p>
    <w:p w:rsidR="00B21ABE" w:rsidRPr="00701945" w:rsidRDefault="00B21ABE" w:rsidP="00B21ABE">
      <w:pPr>
        <w:jc w:val="both"/>
      </w:pPr>
    </w:p>
    <w:p w:rsidR="00B21ABE" w:rsidRPr="00701945" w:rsidRDefault="00B21ABE" w:rsidP="00B21ABE">
      <w:pPr>
        <w:jc w:val="both"/>
      </w:pPr>
      <w:r w:rsidRPr="00701945">
        <w:tab/>
        <w:t xml:space="preserve">ORDERED by Commissioner </w:t>
      </w:r>
      <w:r w:rsidR="00565CA9">
        <w:t>Gabriella Passidomo</w:t>
      </w:r>
      <w:r w:rsidRPr="00701945">
        <w:t>, as Prehearing Officer, that this Prehearing Order shall govern the conduct of these proceedings as set forth above unless modified by the Commission.</w:t>
      </w:r>
    </w:p>
    <w:p w:rsidR="00B21ABE" w:rsidRDefault="00B21ABE" w:rsidP="00B21ABE">
      <w:pPr>
        <w:jc w:val="both"/>
      </w:pPr>
    </w:p>
    <w:p w:rsidR="00DC1EA8" w:rsidRDefault="00DC1EA8" w:rsidP="00DC1EA8">
      <w:pPr>
        <w:keepNext/>
        <w:keepLines/>
        <w:jc w:val="both"/>
      </w:pPr>
      <w:r>
        <w:lastRenderedPageBreak/>
        <w:tab/>
        <w:t xml:space="preserve">By ORDER of Commissioner Gabriella Passidomo, as Prehearing Officer, this </w:t>
      </w:r>
      <w:bookmarkStart w:id="5" w:name="replaceDate"/>
      <w:bookmarkEnd w:id="5"/>
      <w:r w:rsidR="00D177E1">
        <w:rPr>
          <w:u w:val="single"/>
        </w:rPr>
        <w:t>31st</w:t>
      </w:r>
      <w:r w:rsidR="00D177E1">
        <w:t xml:space="preserve"> day of </w:t>
      </w:r>
      <w:r w:rsidR="00D177E1">
        <w:rPr>
          <w:u w:val="single"/>
        </w:rPr>
        <w:t>October</w:t>
      </w:r>
      <w:r w:rsidR="00D177E1">
        <w:t xml:space="preserve">, </w:t>
      </w:r>
      <w:r w:rsidR="00D177E1">
        <w:rPr>
          <w:u w:val="single"/>
        </w:rPr>
        <w:t>2024</w:t>
      </w:r>
      <w:r w:rsidR="00D177E1">
        <w:t>.</w:t>
      </w:r>
    </w:p>
    <w:p w:rsidR="00D177E1" w:rsidRPr="00D177E1" w:rsidRDefault="00D177E1" w:rsidP="00DC1EA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C1EA8" w:rsidTr="00D17F20">
        <w:tc>
          <w:tcPr>
            <w:tcW w:w="686" w:type="dxa"/>
            <w:shd w:val="clear" w:color="auto" w:fill="auto"/>
          </w:tcPr>
          <w:p w:rsidR="00D17F20" w:rsidRDefault="00D17F20" w:rsidP="00DC1EA8">
            <w:pPr>
              <w:keepNext/>
              <w:keepLines/>
              <w:jc w:val="both"/>
            </w:pPr>
            <w:bookmarkStart w:id="6" w:name="bkmrkSignature" w:colFirst="0" w:colLast="0"/>
            <w:bookmarkStart w:id="7" w:name="_GoBack"/>
            <w:bookmarkEnd w:id="7"/>
          </w:p>
        </w:tc>
        <w:tc>
          <w:tcPr>
            <w:tcW w:w="4034" w:type="dxa"/>
            <w:tcBorders>
              <w:bottom w:val="single" w:sz="4" w:space="0" w:color="auto"/>
            </w:tcBorders>
            <w:shd w:val="clear" w:color="auto" w:fill="auto"/>
          </w:tcPr>
          <w:p w:rsidR="00DC1EA8" w:rsidRDefault="00EB3F8B" w:rsidP="00DC1EA8">
            <w:pPr>
              <w:keepNext/>
              <w:keepLines/>
              <w:jc w:val="both"/>
            </w:pPr>
            <w:r>
              <w:t>/s/ Gabriella Passidomo</w:t>
            </w:r>
          </w:p>
        </w:tc>
      </w:tr>
      <w:bookmarkEnd w:id="6"/>
      <w:tr w:rsidR="00DC1EA8" w:rsidTr="00D17F20">
        <w:tc>
          <w:tcPr>
            <w:tcW w:w="686" w:type="dxa"/>
            <w:shd w:val="clear" w:color="auto" w:fill="auto"/>
          </w:tcPr>
          <w:p w:rsidR="00DC1EA8" w:rsidRDefault="00DC1EA8" w:rsidP="00DC1EA8">
            <w:pPr>
              <w:keepNext/>
              <w:keepLines/>
              <w:jc w:val="both"/>
            </w:pPr>
          </w:p>
        </w:tc>
        <w:tc>
          <w:tcPr>
            <w:tcW w:w="4034" w:type="dxa"/>
            <w:tcBorders>
              <w:top w:val="single" w:sz="4" w:space="0" w:color="auto"/>
            </w:tcBorders>
            <w:shd w:val="clear" w:color="auto" w:fill="auto"/>
          </w:tcPr>
          <w:p w:rsidR="00DC1EA8" w:rsidRDefault="00DC1EA8" w:rsidP="00DC1EA8">
            <w:pPr>
              <w:keepNext/>
              <w:keepLines/>
              <w:jc w:val="both"/>
            </w:pPr>
            <w:r>
              <w:t>Gabriella Passidomo</w:t>
            </w:r>
          </w:p>
          <w:p w:rsidR="00DC1EA8" w:rsidRDefault="00DC1EA8" w:rsidP="00DC1EA8">
            <w:pPr>
              <w:keepNext/>
              <w:keepLines/>
              <w:jc w:val="both"/>
            </w:pPr>
            <w:r>
              <w:t>Commissioner and Prehearing Officer</w:t>
            </w:r>
          </w:p>
        </w:tc>
      </w:tr>
    </w:tbl>
    <w:p w:rsidR="00DC1EA8" w:rsidRDefault="00DC1EA8" w:rsidP="00DC1EA8">
      <w:pPr>
        <w:pStyle w:val="OrderSigInfo"/>
        <w:keepNext/>
        <w:keepLines/>
      </w:pPr>
      <w:r>
        <w:t>Florida Public Service Commission</w:t>
      </w:r>
    </w:p>
    <w:p w:rsidR="00DC1EA8" w:rsidRDefault="00DC1EA8" w:rsidP="00DC1EA8">
      <w:pPr>
        <w:pStyle w:val="OrderSigInfo"/>
        <w:keepNext/>
        <w:keepLines/>
      </w:pPr>
      <w:r>
        <w:t>2540 Shumard Oak Boulevard</w:t>
      </w:r>
    </w:p>
    <w:p w:rsidR="00DC1EA8" w:rsidRDefault="00DC1EA8" w:rsidP="00DC1EA8">
      <w:pPr>
        <w:pStyle w:val="OrderSigInfo"/>
        <w:keepNext/>
        <w:keepLines/>
      </w:pPr>
      <w:r>
        <w:t>Tallahassee, Florida 32399</w:t>
      </w:r>
    </w:p>
    <w:p w:rsidR="00DC1EA8" w:rsidRDefault="00DC1EA8" w:rsidP="00DC1EA8">
      <w:pPr>
        <w:pStyle w:val="OrderSigInfo"/>
        <w:keepNext/>
        <w:keepLines/>
      </w:pPr>
      <w:r>
        <w:t>(850) 413</w:t>
      </w:r>
      <w:r>
        <w:noBreakHyphen/>
        <w:t>6770</w:t>
      </w:r>
    </w:p>
    <w:p w:rsidR="00DC1EA8" w:rsidRDefault="00DC1EA8" w:rsidP="00DC1EA8">
      <w:pPr>
        <w:pStyle w:val="OrderSigInfo"/>
        <w:keepNext/>
        <w:keepLines/>
      </w:pPr>
      <w:r>
        <w:t>www.floridapsc.com</w:t>
      </w:r>
    </w:p>
    <w:p w:rsidR="00DC1EA8" w:rsidRDefault="00DC1EA8" w:rsidP="00DC1EA8">
      <w:pPr>
        <w:pStyle w:val="OrderSigInfo"/>
        <w:keepNext/>
        <w:keepLines/>
      </w:pPr>
    </w:p>
    <w:p w:rsidR="00DC1EA8" w:rsidRDefault="00DC1EA8" w:rsidP="00DC1EA8">
      <w:pPr>
        <w:pStyle w:val="OrderSigInfo"/>
        <w:keepNext/>
        <w:keepLines/>
      </w:pPr>
      <w:r>
        <w:t>Copies furnished:  A copy of this document is provided to the parties of record at the time of issuance and, if applicable, interested persons.</w:t>
      </w:r>
    </w:p>
    <w:p w:rsidR="00DC1EA8" w:rsidRDefault="00DC1EA8" w:rsidP="00DC1EA8">
      <w:pPr>
        <w:pStyle w:val="OrderBody"/>
        <w:keepNext/>
        <w:keepLines/>
      </w:pPr>
    </w:p>
    <w:p w:rsidR="00DC1EA8" w:rsidRDefault="00DC1EA8" w:rsidP="00DC1EA8">
      <w:pPr>
        <w:keepNext/>
        <w:keepLines/>
        <w:jc w:val="both"/>
      </w:pPr>
      <w:r>
        <w:t>SBr</w:t>
      </w:r>
    </w:p>
    <w:p w:rsidR="00DC1EA8" w:rsidRDefault="00DC1EA8" w:rsidP="00DC1EA8">
      <w:pPr>
        <w:jc w:val="both"/>
      </w:pPr>
    </w:p>
    <w:p w:rsidR="00DC1EA8" w:rsidRDefault="00DC1EA8" w:rsidP="00DC1EA8">
      <w:pPr>
        <w:jc w:val="both"/>
      </w:pPr>
    </w:p>
    <w:p w:rsidR="00DC1EA8" w:rsidRDefault="00DC1EA8" w:rsidP="00DC1EA8">
      <w:pPr>
        <w:pStyle w:val="CenterUnderline"/>
      </w:pPr>
      <w:r>
        <w:t>NOTICE OF FURTHER PROCEEDINGS OR JUDICIAL REVIEW</w:t>
      </w:r>
    </w:p>
    <w:p w:rsidR="00DC1EA8" w:rsidRDefault="00DC1EA8" w:rsidP="00DC1EA8">
      <w:pPr>
        <w:pStyle w:val="CenterUnderline"/>
      </w:pPr>
    </w:p>
    <w:p w:rsidR="00DC1EA8" w:rsidRDefault="00DC1EA8" w:rsidP="00DC1E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1EA8" w:rsidRDefault="00DC1EA8" w:rsidP="00DC1EA8">
      <w:pPr>
        <w:pStyle w:val="OrderBody"/>
      </w:pPr>
    </w:p>
    <w:p w:rsidR="00DC1EA8" w:rsidRDefault="00DC1EA8" w:rsidP="00DC1EA8">
      <w:pPr>
        <w:pStyle w:val="OrderBody"/>
      </w:pPr>
      <w:r>
        <w:tab/>
        <w:t>Mediation may be available on a case-by-case basis.  If mediation is conducted, it does not affect a substantially interested person's right to a hearing.</w:t>
      </w:r>
    </w:p>
    <w:p w:rsidR="00DC1EA8" w:rsidRDefault="00DC1EA8" w:rsidP="00DC1EA8">
      <w:pPr>
        <w:pStyle w:val="OrderBody"/>
      </w:pPr>
    </w:p>
    <w:p w:rsidR="00DC1EA8" w:rsidRDefault="00DC1EA8" w:rsidP="00DC1E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27C0" w:rsidRDefault="000C27C0" w:rsidP="00DC1EA8">
      <w:pPr>
        <w:pStyle w:val="OrderBody"/>
        <w:sectPr w:rsidR="000C27C0">
          <w:headerReference w:type="default" r:id="rId7"/>
          <w:footerReference w:type="first" r:id="rId8"/>
          <w:pgSz w:w="12240" w:h="15840" w:code="1"/>
          <w:pgMar w:top="1440" w:right="1440" w:bottom="1440" w:left="1440" w:header="720" w:footer="720" w:gutter="0"/>
          <w:cols w:space="720"/>
          <w:titlePg/>
          <w:docGrid w:linePitch="360"/>
        </w:sectPr>
      </w:pPr>
    </w:p>
    <w:p w:rsidR="00406E90" w:rsidRDefault="00406E90" w:rsidP="00406E90">
      <w:pPr>
        <w:pStyle w:val="OrderHeading"/>
      </w:pPr>
      <w:r>
        <w:lastRenderedPageBreak/>
        <w:t>BEFORE THE FLORIDA PUBLIC SERVICE COMMISSION</w:t>
      </w:r>
    </w:p>
    <w:p w:rsidR="00406E90" w:rsidRDefault="00406E90" w:rsidP="00406E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6E90" w:rsidRPr="00C63FCF" w:rsidTr="00406E90">
        <w:trPr>
          <w:trHeight w:val="828"/>
        </w:trPr>
        <w:tc>
          <w:tcPr>
            <w:tcW w:w="4788" w:type="dxa"/>
            <w:tcBorders>
              <w:bottom w:val="single" w:sz="8" w:space="0" w:color="auto"/>
              <w:right w:val="double" w:sz="6" w:space="0" w:color="auto"/>
            </w:tcBorders>
            <w:shd w:val="clear" w:color="auto" w:fill="auto"/>
          </w:tcPr>
          <w:p w:rsidR="00406E90" w:rsidRDefault="00406E90" w:rsidP="00406E90">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406E90" w:rsidRDefault="00406E90" w:rsidP="00406E90">
            <w:pPr>
              <w:pStyle w:val="OrderBody"/>
            </w:pPr>
            <w:r>
              <w:t>DOCKET NO. 20240001-EI</w:t>
            </w:r>
          </w:p>
          <w:p w:rsidR="00406E90" w:rsidRDefault="00406E90" w:rsidP="00406E90">
            <w:pPr>
              <w:pStyle w:val="OrderBody"/>
              <w:tabs>
                <w:tab w:val="center" w:pos="4320"/>
                <w:tab w:val="right" w:pos="8640"/>
              </w:tabs>
              <w:jc w:val="left"/>
            </w:pPr>
            <w:r>
              <w:t xml:space="preserve">ORDER NO. </w:t>
            </w:r>
          </w:p>
          <w:p w:rsidR="00406E90" w:rsidRDefault="00406E90" w:rsidP="00406E90">
            <w:pPr>
              <w:pStyle w:val="OrderBody"/>
              <w:tabs>
                <w:tab w:val="center" w:pos="4320"/>
                <w:tab w:val="right" w:pos="8640"/>
              </w:tabs>
              <w:jc w:val="left"/>
            </w:pPr>
            <w:r>
              <w:t xml:space="preserve">ISSUED: </w:t>
            </w:r>
          </w:p>
        </w:tc>
      </w:tr>
    </w:tbl>
    <w:p w:rsidR="00406E90" w:rsidRDefault="00406E90" w:rsidP="00406E90"/>
    <w:p w:rsidR="00406E90" w:rsidRDefault="00406E90" w:rsidP="00406E90">
      <w:pPr>
        <w:pStyle w:val="OrderBody"/>
        <w:jc w:val="center"/>
        <w:rPr>
          <w:u w:val="single"/>
        </w:rPr>
      </w:pPr>
      <w:r w:rsidRPr="008A177E">
        <w:rPr>
          <w:u w:val="single"/>
        </w:rPr>
        <w:t>PROPOSED STIPULATIONS</w:t>
      </w:r>
    </w:p>
    <w:p w:rsidR="00406E90" w:rsidRDefault="00406E90" w:rsidP="00406E90">
      <w:pPr>
        <w:pStyle w:val="OrderBody"/>
        <w:jc w:val="center"/>
        <w:rPr>
          <w:u w:val="single"/>
        </w:rPr>
      </w:pPr>
    </w:p>
    <w:p w:rsidR="00406E90" w:rsidRDefault="00406E90" w:rsidP="00406E90">
      <w:pPr>
        <w:pStyle w:val="OrderBody"/>
      </w:pPr>
      <w:r>
        <w:tab/>
        <w:t>The following issues are proposed as Type 2</w:t>
      </w:r>
      <w:r>
        <w:rPr>
          <w:rStyle w:val="FootnoteReference"/>
        </w:rPr>
        <w:footnoteReference w:id="2"/>
      </w:r>
      <w:r>
        <w:t xml:space="preserve"> stipulations in this proceeding:</w:t>
      </w:r>
      <w:r>
        <w:rPr>
          <w:rStyle w:val="FootnoteReference"/>
        </w:rPr>
        <w:footnoteReference w:id="3"/>
      </w:r>
    </w:p>
    <w:p w:rsidR="00406E90" w:rsidRDefault="00406E90" w:rsidP="00406E90"/>
    <w:p w:rsidR="00406E90" w:rsidRPr="005B76E5" w:rsidRDefault="00406E90" w:rsidP="00406E90">
      <w:pPr>
        <w:jc w:val="both"/>
        <w:rPr>
          <w:b/>
          <w:u w:val="single"/>
        </w:rPr>
      </w:pPr>
      <w:r w:rsidRPr="00910005">
        <w:rPr>
          <w:b/>
        </w:rPr>
        <w:t>I.</w:t>
      </w:r>
      <w:r w:rsidRPr="005B76E5">
        <w:rPr>
          <w:b/>
        </w:rPr>
        <w:tab/>
      </w:r>
      <w:r w:rsidRPr="00046B0B">
        <w:rPr>
          <w:b/>
          <w:u w:val="single"/>
        </w:rPr>
        <w:t>COMPANY-SPECIFIC FUEL ISSUES</w:t>
      </w:r>
    </w:p>
    <w:p w:rsidR="00406E90" w:rsidRPr="00BF6EBB" w:rsidRDefault="00406E90" w:rsidP="00406E90">
      <w:pPr>
        <w:autoSpaceDE w:val="0"/>
        <w:autoSpaceDN w:val="0"/>
        <w:adjustRightInd w:val="0"/>
        <w:ind w:left="1440" w:hanging="1440"/>
        <w:jc w:val="both"/>
        <w:rPr>
          <w:b/>
        </w:rPr>
      </w:pPr>
    </w:p>
    <w:p w:rsidR="00406E90" w:rsidRPr="00BF6EBB" w:rsidRDefault="00406E90" w:rsidP="00406E90">
      <w:pPr>
        <w:autoSpaceDE w:val="0"/>
        <w:autoSpaceDN w:val="0"/>
        <w:adjustRightInd w:val="0"/>
        <w:ind w:left="1440" w:hanging="1440"/>
        <w:jc w:val="both"/>
        <w:rPr>
          <w:b/>
        </w:rPr>
      </w:pPr>
      <w:r w:rsidRPr="00BF6EBB">
        <w:rPr>
          <w:b/>
        </w:rPr>
        <w:t>Duke Energy Florida, LLC.</w:t>
      </w:r>
    </w:p>
    <w:p w:rsidR="00406E90" w:rsidRPr="00BF6EBB" w:rsidRDefault="00406E90" w:rsidP="00406E90">
      <w:pPr>
        <w:tabs>
          <w:tab w:val="left" w:pos="8571"/>
        </w:tabs>
        <w:autoSpaceDE w:val="0"/>
        <w:autoSpaceDN w:val="0"/>
        <w:adjustRightInd w:val="0"/>
        <w:ind w:left="1440" w:hanging="1440"/>
        <w:jc w:val="both"/>
      </w:pPr>
    </w:p>
    <w:p w:rsidR="00406E90" w:rsidRPr="000F595C" w:rsidRDefault="00406E90" w:rsidP="00406E90">
      <w:pPr>
        <w:autoSpaceDE w:val="0"/>
        <w:autoSpaceDN w:val="0"/>
        <w:adjustRightInd w:val="0"/>
        <w:ind w:left="1440" w:hanging="1440"/>
        <w:jc w:val="both"/>
      </w:pPr>
      <w:r w:rsidRPr="00925D58">
        <w:rPr>
          <w:b/>
          <w:u w:val="single"/>
        </w:rPr>
        <w:t>ISSUE 1A</w:t>
      </w:r>
      <w:r w:rsidRPr="00925D58">
        <w:rPr>
          <w:b/>
        </w:rPr>
        <w:t>:</w:t>
      </w:r>
      <w:r>
        <w:rPr>
          <w:b/>
        </w:rPr>
        <w:tab/>
      </w:r>
      <w:r w:rsidRPr="000F595C">
        <w:t>Should the Commission approve DEF’s 2025 Risk Management Plan?</w:t>
      </w:r>
    </w:p>
    <w:p w:rsidR="00406E90" w:rsidRPr="000F595C" w:rsidRDefault="00406E90" w:rsidP="00406E90">
      <w:pPr>
        <w:autoSpaceDE w:val="0"/>
        <w:autoSpaceDN w:val="0"/>
        <w:adjustRightInd w:val="0"/>
        <w:ind w:left="1440" w:hanging="1440"/>
        <w:jc w:val="both"/>
      </w:pPr>
    </w:p>
    <w:p w:rsidR="00406E90" w:rsidRDefault="00406E90" w:rsidP="00406E90">
      <w:pPr>
        <w:ind w:hanging="720"/>
      </w:pPr>
      <w:r w:rsidRPr="00753845">
        <w:tab/>
      </w:r>
      <w:r w:rsidRPr="00436A2F">
        <w:rPr>
          <w:b/>
        </w:rPr>
        <w:t>Stipulation:</w:t>
      </w:r>
      <w:r>
        <w:t xml:space="preserve"> </w:t>
      </w:r>
      <w:r>
        <w:tab/>
        <w:t>Yes. A</w:t>
      </w:r>
      <w:r w:rsidRPr="00753845">
        <w:t xml:space="preserve">pprove </w:t>
      </w:r>
      <w:r>
        <w:t>DEF’s 2025 Risk Management Plan</w:t>
      </w:r>
      <w:r w:rsidRPr="00753845">
        <w:t xml:space="preserve"> without </w:t>
      </w:r>
      <w:r>
        <w:t xml:space="preserve">financial </w:t>
      </w:r>
      <w:r w:rsidRPr="00753845">
        <w:t>hedging</w:t>
      </w:r>
      <w:r>
        <w:t>.</w:t>
      </w:r>
    </w:p>
    <w:p w:rsidR="00406E90" w:rsidRDefault="00406E90" w:rsidP="00406E90">
      <w:pPr>
        <w:autoSpaceDE w:val="0"/>
        <w:autoSpaceDN w:val="0"/>
        <w:adjustRightInd w:val="0"/>
        <w:ind w:left="1440" w:hanging="1440"/>
        <w:jc w:val="both"/>
        <w:rPr>
          <w:b/>
          <w:u w:val="single"/>
        </w:rPr>
      </w:pPr>
    </w:p>
    <w:p w:rsidR="00406E90" w:rsidRPr="000F595C" w:rsidRDefault="00406E90" w:rsidP="00406E90">
      <w:pPr>
        <w:autoSpaceDE w:val="0"/>
        <w:autoSpaceDN w:val="0"/>
        <w:adjustRightInd w:val="0"/>
        <w:ind w:left="1440" w:hanging="1440"/>
        <w:jc w:val="both"/>
        <w:rPr>
          <w:b/>
        </w:rPr>
      </w:pPr>
      <w:r>
        <w:rPr>
          <w:b/>
          <w:u w:val="single"/>
        </w:rPr>
        <w:t>ISSUE 1B</w:t>
      </w:r>
      <w:r>
        <w:rPr>
          <w:b/>
        </w:rPr>
        <w:t>:</w:t>
      </w:r>
      <w:r>
        <w:rPr>
          <w:b/>
        </w:rPr>
        <w:tab/>
      </w:r>
      <w:r w:rsidRPr="000F595C">
        <w:t>What is the appropriate subscription bill credit associated with DEF’s Clean Energy Connection Program, approved by Order No. PSC-2021-0059-S-EI, to be included for recovery in 2025?</w:t>
      </w:r>
    </w:p>
    <w:p w:rsidR="00406E90" w:rsidRDefault="00406E90" w:rsidP="00406E90">
      <w:pPr>
        <w:autoSpaceDE w:val="0"/>
        <w:autoSpaceDN w:val="0"/>
        <w:adjustRightInd w:val="0"/>
        <w:ind w:left="1440" w:hanging="1440"/>
        <w:jc w:val="both"/>
      </w:pPr>
    </w:p>
    <w:p w:rsidR="00406E90" w:rsidRDefault="00406E90" w:rsidP="00406E90">
      <w:r w:rsidRPr="00436A2F">
        <w:rPr>
          <w:b/>
        </w:rPr>
        <w:t>Stipulation:</w:t>
      </w:r>
      <w:r>
        <w:tab/>
      </w:r>
      <w:r w:rsidRPr="00DA5329">
        <w:t>$70,932,763.</w:t>
      </w:r>
    </w:p>
    <w:p w:rsidR="00406E90" w:rsidRDefault="00406E90" w:rsidP="00406E90">
      <w:pPr>
        <w:autoSpaceDE w:val="0"/>
        <w:autoSpaceDN w:val="0"/>
        <w:adjustRightInd w:val="0"/>
        <w:ind w:left="1440" w:hanging="1440"/>
        <w:jc w:val="both"/>
      </w:pPr>
    </w:p>
    <w:p w:rsidR="00406E90" w:rsidRPr="000F595C" w:rsidRDefault="00406E90" w:rsidP="00406E90">
      <w:pPr>
        <w:autoSpaceDE w:val="0"/>
        <w:autoSpaceDN w:val="0"/>
        <w:adjustRightInd w:val="0"/>
        <w:ind w:left="1440" w:hanging="1440"/>
        <w:jc w:val="both"/>
      </w:pPr>
      <w:r w:rsidRPr="00CD1389">
        <w:rPr>
          <w:b/>
          <w:bCs/>
          <w:u w:val="single"/>
        </w:rPr>
        <w:t>ISSUE 1C</w:t>
      </w:r>
      <w:r w:rsidR="00BA384C">
        <w:rPr>
          <w:b/>
          <w:bCs/>
        </w:rPr>
        <w:t>:</w:t>
      </w:r>
      <w:r w:rsidRPr="00531973">
        <w:t>     </w:t>
      </w:r>
      <w:r w:rsidRPr="000F595C">
        <w:t>What is the appropriate Clean Energy Impact (CEI) credit, approved by Order No. PSC-2023-0191-TRF-EI, to be included in the fuel clause in 2025?</w:t>
      </w:r>
    </w:p>
    <w:p w:rsidR="00406E90" w:rsidRPr="000F595C" w:rsidRDefault="00406E90" w:rsidP="00406E90"/>
    <w:p w:rsidR="00406E90" w:rsidRPr="00531973" w:rsidRDefault="00406E90" w:rsidP="00406E90">
      <w:r w:rsidRPr="00436A2F">
        <w:rPr>
          <w:b/>
        </w:rPr>
        <w:t>Stipulation:</w:t>
      </w:r>
      <w:r w:rsidRPr="00DA5329">
        <w:t xml:space="preserve"> </w:t>
      </w:r>
      <w:r>
        <w:tab/>
      </w:r>
      <w:r w:rsidRPr="00DA5329">
        <w:t>(</w:t>
      </w:r>
      <w:r>
        <w:t>$248,3</w:t>
      </w:r>
      <w:r w:rsidRPr="00DA5329">
        <w:t>00).</w:t>
      </w:r>
    </w:p>
    <w:p w:rsidR="00406E90" w:rsidRDefault="00406E90" w:rsidP="00406E90">
      <w:pPr>
        <w:autoSpaceDE w:val="0"/>
        <w:autoSpaceDN w:val="0"/>
        <w:adjustRightInd w:val="0"/>
        <w:ind w:left="1440" w:hanging="1440"/>
        <w:jc w:val="both"/>
      </w:pPr>
    </w:p>
    <w:p w:rsidR="00406E90" w:rsidRPr="00BF6EBB" w:rsidRDefault="00406E90" w:rsidP="00406E90">
      <w:pPr>
        <w:autoSpaceDE w:val="0"/>
        <w:autoSpaceDN w:val="0"/>
        <w:adjustRightInd w:val="0"/>
        <w:ind w:left="1440" w:hanging="1440"/>
        <w:jc w:val="both"/>
        <w:rPr>
          <w:b/>
          <w:u w:val="single"/>
        </w:rPr>
      </w:pPr>
      <w:r w:rsidRPr="00BF6EBB">
        <w:rPr>
          <w:b/>
        </w:rPr>
        <w:t>Florida Power &amp; Light</w:t>
      </w:r>
      <w:r>
        <w:rPr>
          <w:b/>
        </w:rPr>
        <w:t xml:space="preserve"> Company</w:t>
      </w:r>
    </w:p>
    <w:p w:rsidR="00406E90" w:rsidRPr="00BF6EBB" w:rsidRDefault="00406E90" w:rsidP="00406E90">
      <w:pPr>
        <w:autoSpaceDE w:val="0"/>
        <w:autoSpaceDN w:val="0"/>
        <w:adjustRightInd w:val="0"/>
        <w:ind w:left="1440" w:hanging="1440"/>
        <w:jc w:val="both"/>
        <w:rPr>
          <w:b/>
          <w:u w:val="single"/>
        </w:rPr>
      </w:pPr>
    </w:p>
    <w:p w:rsidR="00406E90" w:rsidRPr="000F595C" w:rsidRDefault="00406E90" w:rsidP="00406E90">
      <w:pPr>
        <w:autoSpaceDE w:val="0"/>
        <w:autoSpaceDN w:val="0"/>
        <w:adjustRightInd w:val="0"/>
        <w:ind w:left="1440" w:hanging="1440"/>
        <w:jc w:val="both"/>
        <w:rPr>
          <w:b/>
        </w:rPr>
      </w:pPr>
      <w:r w:rsidRPr="00EE443B">
        <w:rPr>
          <w:b/>
          <w:u w:val="single"/>
        </w:rPr>
        <w:t>ISSUE 2A</w:t>
      </w:r>
      <w:r w:rsidR="00BA384C">
        <w:rPr>
          <w:b/>
        </w:rPr>
        <w:t>:</w:t>
      </w:r>
      <w:r w:rsidRPr="00DF2F14">
        <w:t xml:space="preserve"> </w:t>
      </w:r>
      <w:r w:rsidRPr="00DF2F14">
        <w:tab/>
      </w:r>
      <w:r w:rsidRPr="000F595C">
        <w:t>What was the total gain under FPL’s Incentive Mechanism approved by Order No. PSC-2021-0446A-S-EI that FPL may recover for the period January 2023 through December 2023, and how should that gain to be shared between FPL and its customers?</w:t>
      </w:r>
    </w:p>
    <w:p w:rsidR="00406E90" w:rsidRPr="000F595C" w:rsidRDefault="00406E90" w:rsidP="00406E90">
      <w:pPr>
        <w:pStyle w:val="ListParagraph"/>
        <w:autoSpaceDE w:val="0"/>
        <w:autoSpaceDN w:val="0"/>
        <w:adjustRightInd w:val="0"/>
        <w:jc w:val="both"/>
        <w:rPr>
          <w:b/>
        </w:rPr>
      </w:pPr>
    </w:p>
    <w:p w:rsidR="00406E90" w:rsidRPr="00DF2F14" w:rsidRDefault="00406E90" w:rsidP="00046B0B">
      <w:pPr>
        <w:pStyle w:val="ListParagraph"/>
        <w:autoSpaceDE w:val="0"/>
        <w:autoSpaceDN w:val="0"/>
        <w:adjustRightInd w:val="0"/>
        <w:ind w:left="1440" w:hanging="1440"/>
        <w:jc w:val="both"/>
      </w:pPr>
      <w:r w:rsidRPr="00436A2F">
        <w:rPr>
          <w:b/>
        </w:rPr>
        <w:t>Stipulation:</w:t>
      </w:r>
      <w:r w:rsidRPr="00DF2F14">
        <w:t xml:space="preserve"> Total gain was </w:t>
      </w:r>
      <w:r>
        <w:t>$123,207,265</w:t>
      </w:r>
      <w:r w:rsidRPr="00DF2F14">
        <w:t>. Customer distribution</w:t>
      </w:r>
      <w:r>
        <w:t xml:space="preserve"> </w:t>
      </w:r>
      <w:r w:rsidRPr="00DF2F14">
        <w:t>-</w:t>
      </w:r>
      <w:r>
        <w:t xml:space="preserve"> $77,103,632</w:t>
      </w:r>
      <w:r w:rsidRPr="00DF2F14">
        <w:t xml:space="preserve">, FPL distribution - </w:t>
      </w:r>
      <w:r>
        <w:t>$46,103,632</w:t>
      </w:r>
      <w:r w:rsidRPr="00DF2F14">
        <w:t>.</w:t>
      </w:r>
    </w:p>
    <w:p w:rsidR="00406E90" w:rsidRPr="002B2714" w:rsidRDefault="00406E90" w:rsidP="00406E90"/>
    <w:p w:rsidR="00406E90" w:rsidRPr="000F595C" w:rsidRDefault="00406E90" w:rsidP="00406E90">
      <w:pPr>
        <w:autoSpaceDE w:val="0"/>
        <w:autoSpaceDN w:val="0"/>
        <w:adjustRightInd w:val="0"/>
        <w:ind w:left="1440" w:hanging="1440"/>
        <w:jc w:val="both"/>
      </w:pPr>
      <w:r w:rsidRPr="00EE443B">
        <w:rPr>
          <w:b/>
          <w:u w:val="single"/>
        </w:rPr>
        <w:t>ISSUE 2B</w:t>
      </w:r>
      <w:r w:rsidR="00BA384C">
        <w:rPr>
          <w:b/>
        </w:rPr>
        <w:t>:</w:t>
      </w:r>
      <w:r w:rsidRPr="00BF6EBB">
        <w:tab/>
      </w:r>
      <w:r w:rsidRPr="000F595C">
        <w:t>What is the appropriate amount of Incremental Optimization Costs under FPL’s Incentive Mechanism approved by Order No. PSC-2021-0446A-S-EI that FPL should be allowed to recover through the fuel clause for Personnel, Software, and Hardware costs for the period January 2023 through December 2023?</w:t>
      </w:r>
    </w:p>
    <w:p w:rsidR="00406E90" w:rsidRPr="00DF2F14" w:rsidRDefault="00406E90" w:rsidP="00406E90">
      <w:pPr>
        <w:autoSpaceDE w:val="0"/>
        <w:autoSpaceDN w:val="0"/>
        <w:adjustRightInd w:val="0"/>
      </w:pPr>
    </w:p>
    <w:p w:rsidR="00406E90" w:rsidRPr="00DF2F14" w:rsidRDefault="00406E90" w:rsidP="00406E90">
      <w:pPr>
        <w:autoSpaceDE w:val="0"/>
        <w:autoSpaceDN w:val="0"/>
        <w:adjustRightInd w:val="0"/>
        <w:ind w:left="720" w:hanging="720"/>
      </w:pPr>
      <w:r w:rsidRPr="00436A2F">
        <w:rPr>
          <w:b/>
        </w:rPr>
        <w:t>Stipulation:</w:t>
      </w:r>
      <w:r>
        <w:t xml:space="preserve"> </w:t>
      </w:r>
      <w:r>
        <w:tab/>
        <w:t>$517,530.</w:t>
      </w:r>
      <w:r w:rsidRPr="00DF2F14">
        <w:t xml:space="preserve">                                                        </w:t>
      </w:r>
    </w:p>
    <w:p w:rsidR="00406E90" w:rsidRPr="00DF2F14" w:rsidRDefault="00406E90" w:rsidP="00406E90"/>
    <w:p w:rsidR="00406E90" w:rsidRPr="007E72B8" w:rsidRDefault="00406E90" w:rsidP="00406E90">
      <w:pPr>
        <w:autoSpaceDE w:val="0"/>
        <w:autoSpaceDN w:val="0"/>
        <w:adjustRightInd w:val="0"/>
        <w:ind w:left="1440" w:hanging="1440"/>
        <w:jc w:val="both"/>
      </w:pPr>
      <w:r w:rsidRPr="00EE443B">
        <w:rPr>
          <w:b/>
          <w:u w:val="single"/>
        </w:rPr>
        <w:t>ISSUE 2C</w:t>
      </w:r>
      <w:r w:rsidR="00BA384C">
        <w:rPr>
          <w:b/>
        </w:rPr>
        <w:t>:</w:t>
      </w:r>
      <w:r w:rsidRPr="00DF2F14">
        <w:tab/>
      </w:r>
      <w:r w:rsidRPr="007E72B8">
        <w:t>What is the appropriate amount of Variable Power Plant O&amp;M Attributable to Off-System Sales under FPL’s Incentive Mechanism approved by Order No. PSC-2021-0446A-S-EI that FPL should be allowed to recover through the fuel clause for the period January 2023 through December 2023?</w:t>
      </w:r>
    </w:p>
    <w:p w:rsidR="00406E90" w:rsidRPr="007E72B8" w:rsidRDefault="00406E90" w:rsidP="00406E90">
      <w:pPr>
        <w:autoSpaceDE w:val="0"/>
        <w:autoSpaceDN w:val="0"/>
        <w:adjustRightInd w:val="0"/>
        <w:jc w:val="both"/>
      </w:pPr>
    </w:p>
    <w:p w:rsidR="00406E90" w:rsidRPr="00DF2F14" w:rsidRDefault="00406E90" w:rsidP="00406E90">
      <w:r w:rsidRPr="00436A2F">
        <w:rPr>
          <w:b/>
        </w:rPr>
        <w:t xml:space="preserve">Stipulation: </w:t>
      </w:r>
      <w:r>
        <w:tab/>
        <w:t>$1,603,947.</w:t>
      </w:r>
    </w:p>
    <w:p w:rsidR="00406E90" w:rsidRPr="00DF2F14" w:rsidRDefault="00406E90" w:rsidP="00406E90"/>
    <w:p w:rsidR="00406E90" w:rsidRPr="000F595C" w:rsidRDefault="00406E90" w:rsidP="00406E90">
      <w:pPr>
        <w:autoSpaceDE w:val="0"/>
        <w:autoSpaceDN w:val="0"/>
        <w:adjustRightInd w:val="0"/>
        <w:ind w:left="1440" w:hanging="1440"/>
        <w:jc w:val="both"/>
      </w:pPr>
      <w:r w:rsidRPr="00EE443B">
        <w:rPr>
          <w:b/>
          <w:u w:val="single"/>
        </w:rPr>
        <w:t>ISSUE 2D</w:t>
      </w:r>
      <w:r w:rsidR="00BA384C">
        <w:rPr>
          <w:b/>
        </w:rPr>
        <w:t>:</w:t>
      </w:r>
      <w:r w:rsidRPr="00DF2F14">
        <w:tab/>
      </w:r>
      <w:r w:rsidRPr="000F595C">
        <w:t xml:space="preserve">What is the appropriate amount of Variable Power Plant O&amp;M Avoided due to Economy Purchases under FPL’s Incentive Mechanism approved by Order No. PSC-2021-0446A-S-EI that FPL should be allowed to recover through the fuel clause for the period January 2023 through December 2023? </w:t>
      </w:r>
    </w:p>
    <w:p w:rsidR="00406E90" w:rsidRPr="000F595C" w:rsidRDefault="00406E90" w:rsidP="00406E90">
      <w:pPr>
        <w:autoSpaceDE w:val="0"/>
        <w:autoSpaceDN w:val="0"/>
        <w:adjustRightInd w:val="0"/>
        <w:ind w:left="1440" w:hanging="1440"/>
        <w:jc w:val="both"/>
      </w:pPr>
    </w:p>
    <w:p w:rsidR="00406E90" w:rsidRDefault="00406E90" w:rsidP="00406E90">
      <w:r w:rsidRPr="00436A2F">
        <w:rPr>
          <w:b/>
        </w:rPr>
        <w:t xml:space="preserve">Stipulation: </w:t>
      </w:r>
      <w:r>
        <w:tab/>
      </w:r>
      <w:r w:rsidRPr="00D11285">
        <w:t>($76,763).</w:t>
      </w:r>
    </w:p>
    <w:p w:rsidR="00406E90" w:rsidRDefault="00406E90" w:rsidP="00406E90">
      <w:pPr>
        <w:autoSpaceDE w:val="0"/>
        <w:autoSpaceDN w:val="0"/>
        <w:adjustRightInd w:val="0"/>
        <w:ind w:left="1440" w:hanging="1440"/>
        <w:jc w:val="both"/>
      </w:pPr>
    </w:p>
    <w:p w:rsidR="00406E90" w:rsidRPr="003B73E8" w:rsidRDefault="00406E90" w:rsidP="00406E90">
      <w:pPr>
        <w:autoSpaceDE w:val="0"/>
        <w:autoSpaceDN w:val="0"/>
        <w:adjustRightInd w:val="0"/>
        <w:ind w:left="1440" w:hanging="1440"/>
        <w:jc w:val="both"/>
      </w:pPr>
      <w:r>
        <w:rPr>
          <w:b/>
          <w:u w:val="single"/>
        </w:rPr>
        <w:t>ISSUE 2E</w:t>
      </w:r>
      <w:r>
        <w:rPr>
          <w:b/>
        </w:rPr>
        <w:t>:</w:t>
      </w:r>
      <w:r>
        <w:rPr>
          <w:b/>
        </w:rPr>
        <w:tab/>
      </w:r>
      <w:r w:rsidRPr="003B73E8">
        <w:t>What is the appropriate subscription credit associated with FPL’s SolarTogether Program approved by Order No. PSC-2020-0084-S-EI, to be included for recovery in 2025?</w:t>
      </w:r>
    </w:p>
    <w:p w:rsidR="00406E90" w:rsidRPr="003B73E8" w:rsidRDefault="00406E90" w:rsidP="00406E90">
      <w:pPr>
        <w:autoSpaceDE w:val="0"/>
        <w:autoSpaceDN w:val="0"/>
        <w:adjustRightInd w:val="0"/>
        <w:ind w:left="1440" w:hanging="1440"/>
        <w:jc w:val="both"/>
      </w:pPr>
    </w:p>
    <w:p w:rsidR="00406E90" w:rsidRDefault="00406E90" w:rsidP="00406E90">
      <w:pPr>
        <w:autoSpaceDE w:val="0"/>
        <w:autoSpaceDN w:val="0"/>
        <w:adjustRightInd w:val="0"/>
        <w:ind w:left="1440" w:hanging="1440"/>
        <w:jc w:val="both"/>
      </w:pPr>
      <w:r w:rsidRPr="00436A2F">
        <w:rPr>
          <w:b/>
        </w:rPr>
        <w:t>Stipulation:</w:t>
      </w:r>
      <w:r w:rsidRPr="00D11285">
        <w:t xml:space="preserve"> </w:t>
      </w:r>
      <w:r>
        <w:tab/>
      </w:r>
      <w:r w:rsidRPr="00D11285">
        <w:t>$245,377,980.</w:t>
      </w:r>
    </w:p>
    <w:p w:rsidR="00406E90" w:rsidRDefault="00406E90" w:rsidP="00406E90">
      <w:pPr>
        <w:autoSpaceDE w:val="0"/>
        <w:autoSpaceDN w:val="0"/>
        <w:adjustRightInd w:val="0"/>
        <w:ind w:left="1440" w:hanging="1440"/>
        <w:jc w:val="both"/>
      </w:pPr>
    </w:p>
    <w:p w:rsidR="00406E90" w:rsidRDefault="00406E90" w:rsidP="00406E90">
      <w:pPr>
        <w:autoSpaceDE w:val="0"/>
        <w:autoSpaceDN w:val="0"/>
        <w:adjustRightInd w:val="0"/>
        <w:ind w:left="1440" w:hanging="1440"/>
        <w:jc w:val="both"/>
      </w:pPr>
      <w:r>
        <w:rPr>
          <w:b/>
          <w:u w:val="single"/>
        </w:rPr>
        <w:t>ISSUE 2F</w:t>
      </w:r>
      <w:r>
        <w:rPr>
          <w:b/>
        </w:rPr>
        <w:t>:</w:t>
      </w:r>
      <w:r>
        <w:tab/>
      </w:r>
      <w:r w:rsidRPr="003B73E8">
        <w:t>Should the Commission approve FPL’s 2025 Risk Management Plan?</w:t>
      </w:r>
    </w:p>
    <w:p w:rsidR="00406E90" w:rsidRPr="00280A09" w:rsidRDefault="00406E90" w:rsidP="00406E90"/>
    <w:p w:rsidR="00406E90" w:rsidRPr="00EE08F9" w:rsidRDefault="00406E90" w:rsidP="00406E90">
      <w:pPr>
        <w:autoSpaceDE w:val="0"/>
        <w:autoSpaceDN w:val="0"/>
        <w:adjustRightInd w:val="0"/>
        <w:jc w:val="both"/>
      </w:pPr>
      <w:r w:rsidRPr="00436A2F">
        <w:rPr>
          <w:b/>
        </w:rPr>
        <w:t>Stipulation:</w:t>
      </w:r>
      <w:r>
        <w:t xml:space="preserve"> </w:t>
      </w:r>
      <w:r>
        <w:tab/>
        <w:t>Yes. A</w:t>
      </w:r>
      <w:r w:rsidRPr="00753845">
        <w:t xml:space="preserve">pprove </w:t>
      </w:r>
      <w:r>
        <w:t>FPL’s 2025 Risk Management Plan</w:t>
      </w:r>
      <w:r w:rsidRPr="00753845">
        <w:t xml:space="preserve"> without </w:t>
      </w:r>
      <w:r>
        <w:t xml:space="preserve">financial </w:t>
      </w:r>
      <w:r w:rsidRPr="00753845">
        <w:t>hedging</w:t>
      </w:r>
      <w:r>
        <w:t>.</w:t>
      </w:r>
    </w:p>
    <w:p w:rsidR="00406E90" w:rsidRDefault="00406E90" w:rsidP="00406E90">
      <w:pPr>
        <w:autoSpaceDE w:val="0"/>
        <w:autoSpaceDN w:val="0"/>
        <w:adjustRightInd w:val="0"/>
        <w:ind w:left="1440"/>
        <w:jc w:val="both"/>
      </w:pPr>
    </w:p>
    <w:p w:rsidR="00406E90" w:rsidRDefault="00406E90" w:rsidP="00406E90">
      <w:pPr>
        <w:ind w:left="1440" w:hanging="1440"/>
        <w:jc w:val="both"/>
      </w:pPr>
      <w:r>
        <w:rPr>
          <w:b/>
          <w:u w:val="single"/>
        </w:rPr>
        <w:t>ISSUE 2G</w:t>
      </w:r>
      <w:r w:rsidR="00BA384C">
        <w:rPr>
          <w:b/>
        </w:rPr>
        <w:t>:</w:t>
      </w:r>
      <w:r w:rsidRPr="005E6F70">
        <w:rPr>
          <w:b/>
        </w:rPr>
        <w:tab/>
      </w:r>
      <w:r w:rsidRPr="003B73E8">
        <w:t>Are the 2025 SoBRA units proposed by FPL cost effective?</w:t>
      </w:r>
    </w:p>
    <w:p w:rsidR="00406E90" w:rsidRDefault="00406E90" w:rsidP="00406E90">
      <w:pPr>
        <w:ind w:left="1440" w:hanging="1440"/>
        <w:jc w:val="both"/>
      </w:pPr>
    </w:p>
    <w:p w:rsidR="00406E90" w:rsidRPr="005E6F70" w:rsidRDefault="00406E90" w:rsidP="00406E90">
      <w:pPr>
        <w:ind w:hanging="1440"/>
        <w:jc w:val="both"/>
      </w:pPr>
      <w:r>
        <w:tab/>
      </w:r>
      <w:r w:rsidRPr="00436A2F">
        <w:rPr>
          <w:b/>
        </w:rPr>
        <w:t>Stipulation:</w:t>
      </w:r>
      <w:r>
        <w:t xml:space="preserve"> </w:t>
      </w:r>
      <w:r>
        <w:tab/>
        <w:t>Yes.</w:t>
      </w:r>
    </w:p>
    <w:p w:rsidR="00406E90" w:rsidRPr="005E6F70" w:rsidRDefault="00406E90" w:rsidP="00406E90">
      <w:pPr>
        <w:ind w:left="1440" w:hanging="1440"/>
        <w:jc w:val="both"/>
        <w:rPr>
          <w:b/>
        </w:rPr>
      </w:pPr>
    </w:p>
    <w:p w:rsidR="00406E90" w:rsidRPr="003B73E8" w:rsidRDefault="00406E90" w:rsidP="00406E90">
      <w:pPr>
        <w:ind w:left="1440" w:hanging="1440"/>
        <w:jc w:val="both"/>
      </w:pPr>
      <w:r>
        <w:rPr>
          <w:b/>
          <w:u w:val="single"/>
        </w:rPr>
        <w:t>ISSUE 2H</w:t>
      </w:r>
      <w:r w:rsidR="00BA384C">
        <w:rPr>
          <w:b/>
        </w:rPr>
        <w:t>:</w:t>
      </w:r>
      <w:r w:rsidRPr="005E6F70">
        <w:rPr>
          <w:b/>
        </w:rPr>
        <w:tab/>
      </w:r>
      <w:r w:rsidRPr="003B73E8">
        <w:t>What are the revenue requirements associated with the 2025 SoBRA Project?</w:t>
      </w:r>
    </w:p>
    <w:p w:rsidR="00406E90" w:rsidRPr="003B73E8" w:rsidRDefault="00406E90" w:rsidP="00406E90">
      <w:pPr>
        <w:ind w:left="1440" w:hanging="1440"/>
        <w:jc w:val="both"/>
      </w:pPr>
    </w:p>
    <w:p w:rsidR="00406E90" w:rsidRDefault="00406E90" w:rsidP="00406E90">
      <w:pPr>
        <w:ind w:left="1440" w:hanging="1440"/>
        <w:jc w:val="both"/>
      </w:pPr>
      <w:r w:rsidRPr="00436A2F">
        <w:rPr>
          <w:b/>
        </w:rPr>
        <w:t>Stipulation:</w:t>
      </w:r>
      <w:r>
        <w:t xml:space="preserve"> </w:t>
      </w:r>
      <w:r>
        <w:tab/>
      </w:r>
      <w:r w:rsidRPr="003F79E4">
        <w:t>$61,087,293</w:t>
      </w:r>
    </w:p>
    <w:p w:rsidR="00406E90" w:rsidRPr="005E6F70" w:rsidRDefault="00406E90" w:rsidP="00406E90">
      <w:r>
        <w:tab/>
      </w:r>
    </w:p>
    <w:p w:rsidR="000C27C0" w:rsidRDefault="00406E90" w:rsidP="00406E90">
      <w:pPr>
        <w:ind w:left="1440" w:hanging="1440"/>
        <w:jc w:val="both"/>
      </w:pPr>
      <w:r>
        <w:rPr>
          <w:b/>
          <w:u w:val="single"/>
        </w:rPr>
        <w:t>ISSUE 2I</w:t>
      </w:r>
      <w:r w:rsidR="00BA384C">
        <w:rPr>
          <w:b/>
        </w:rPr>
        <w:t>:</w:t>
      </w:r>
      <w:r w:rsidRPr="005E6F70">
        <w:tab/>
      </w:r>
      <w:r w:rsidRPr="003B73E8">
        <w:t>What is the appropriate base rate percentage increase for the 2025 SoBRA Project, to be effective when all 2025 units are in service?</w:t>
      </w:r>
    </w:p>
    <w:p w:rsidR="000C27C0" w:rsidRDefault="000C27C0" w:rsidP="00406E90">
      <w:pPr>
        <w:ind w:left="1440" w:hanging="1440"/>
        <w:jc w:val="both"/>
        <w:sectPr w:rsidR="000C27C0">
          <w:headerReference w:type="default" r:id="rId9"/>
          <w:headerReference w:type="first" r:id="rId10"/>
          <w:pgSz w:w="12240" w:h="15840" w:code="1"/>
          <w:pgMar w:top="1440" w:right="1440" w:bottom="1440" w:left="1440" w:header="720" w:footer="720" w:gutter="0"/>
          <w:cols w:space="720"/>
          <w:titlePg/>
          <w:docGrid w:linePitch="360"/>
        </w:sectPr>
      </w:pPr>
    </w:p>
    <w:p w:rsidR="00406E90" w:rsidRPr="003B73E8" w:rsidRDefault="00406E90" w:rsidP="00406E90">
      <w:pPr>
        <w:ind w:left="720" w:hanging="720"/>
      </w:pPr>
    </w:p>
    <w:p w:rsidR="00406E90" w:rsidRPr="005E6F70" w:rsidRDefault="00406E90" w:rsidP="00406E90">
      <w:r w:rsidRPr="00280A09">
        <w:rPr>
          <w:b/>
        </w:rPr>
        <w:t>Stipulation:</w:t>
      </w:r>
      <w:r w:rsidRPr="00AC6F2F">
        <w:t xml:space="preserve"> </w:t>
      </w:r>
      <w:r>
        <w:tab/>
      </w:r>
      <w:r w:rsidRPr="00AC6F2F">
        <w:t>0.667%</w:t>
      </w:r>
      <w:r>
        <w:t>.</w:t>
      </w:r>
    </w:p>
    <w:p w:rsidR="00406E90" w:rsidRPr="005E6F70" w:rsidRDefault="00406E90" w:rsidP="00406E90">
      <w:pPr>
        <w:ind w:left="1440" w:hanging="1440"/>
        <w:jc w:val="both"/>
      </w:pPr>
    </w:p>
    <w:p w:rsidR="00406E90" w:rsidRPr="003B73E8" w:rsidRDefault="00406E90" w:rsidP="00406E90">
      <w:pPr>
        <w:ind w:left="1440" w:hanging="1440"/>
        <w:jc w:val="both"/>
      </w:pPr>
      <w:r>
        <w:rPr>
          <w:b/>
          <w:u w:val="single"/>
        </w:rPr>
        <w:t>ISSUE 2J</w:t>
      </w:r>
      <w:r w:rsidR="00BA384C">
        <w:rPr>
          <w:b/>
        </w:rPr>
        <w:t>:</w:t>
      </w:r>
      <w:r w:rsidRPr="005E6F70">
        <w:tab/>
      </w:r>
      <w:r w:rsidRPr="003B73E8">
        <w:t>Should the Commission approve revised tariffs for FPL reflecting the base rate percentage increases for the 2025 SoBRA project determined to be appropriate in this proceeding?</w:t>
      </w:r>
    </w:p>
    <w:p w:rsidR="00406E90" w:rsidRDefault="00406E90" w:rsidP="00406E90">
      <w:pPr>
        <w:ind w:left="1440" w:hanging="1440"/>
        <w:jc w:val="both"/>
      </w:pPr>
      <w:r>
        <w:tab/>
      </w:r>
    </w:p>
    <w:p w:rsidR="00406E90" w:rsidRDefault="00406E90" w:rsidP="00406E90">
      <w:r w:rsidRPr="00280A09">
        <w:rPr>
          <w:b/>
        </w:rPr>
        <w:t>Stipulation:</w:t>
      </w:r>
      <w:r w:rsidRPr="00AC6F2F">
        <w:t xml:space="preserve"> </w:t>
      </w:r>
      <w:r>
        <w:tab/>
        <w:t>Yes.</w:t>
      </w:r>
    </w:p>
    <w:p w:rsidR="00406E90" w:rsidRDefault="00406E90" w:rsidP="00406E90">
      <w:pPr>
        <w:jc w:val="both"/>
      </w:pPr>
    </w:p>
    <w:p w:rsidR="00406E90" w:rsidRPr="0034081C" w:rsidRDefault="00406E90" w:rsidP="00406E90">
      <w:pPr>
        <w:jc w:val="both"/>
        <w:rPr>
          <w:b/>
          <w:bCs/>
        </w:rPr>
      </w:pPr>
      <w:r w:rsidRPr="0034081C">
        <w:rPr>
          <w:b/>
        </w:rPr>
        <w:t>F</w:t>
      </w:r>
      <w:r w:rsidRPr="0034081C">
        <w:rPr>
          <w:b/>
          <w:bCs/>
        </w:rPr>
        <w:t>lorida Public Utilities Company</w:t>
      </w:r>
    </w:p>
    <w:p w:rsidR="00406E90" w:rsidRPr="00BF6EBB" w:rsidRDefault="00406E90" w:rsidP="00406E90">
      <w:pPr>
        <w:autoSpaceDE w:val="0"/>
        <w:autoSpaceDN w:val="0"/>
        <w:adjustRightInd w:val="0"/>
        <w:jc w:val="both"/>
      </w:pPr>
    </w:p>
    <w:p w:rsidR="00406E90" w:rsidRDefault="00406E90" w:rsidP="00406E90">
      <w:pPr>
        <w:autoSpaceDE w:val="0"/>
        <w:autoSpaceDN w:val="0"/>
        <w:adjustRightInd w:val="0"/>
        <w:jc w:val="both"/>
        <w:rPr>
          <w:b/>
          <w:bCs/>
        </w:rPr>
      </w:pPr>
      <w:r>
        <w:rPr>
          <w:bCs/>
        </w:rPr>
        <w:t>No company-specific fuel issues for Florida Public Utilities Company have been identified at this time.  If such issues are identified, they shall be numbered 3A, 3B, 3C, and so forth, as appropriate.</w:t>
      </w:r>
    </w:p>
    <w:p w:rsidR="00406E90" w:rsidRDefault="00406E90" w:rsidP="00406E90">
      <w:pPr>
        <w:autoSpaceDE w:val="0"/>
        <w:autoSpaceDN w:val="0"/>
        <w:adjustRightInd w:val="0"/>
        <w:jc w:val="both"/>
        <w:rPr>
          <w:b/>
          <w:bCs/>
        </w:rPr>
      </w:pPr>
    </w:p>
    <w:p w:rsidR="00406E90" w:rsidRPr="006549A3" w:rsidRDefault="00406E90" w:rsidP="00406E90">
      <w:pPr>
        <w:autoSpaceDE w:val="0"/>
        <w:autoSpaceDN w:val="0"/>
        <w:adjustRightInd w:val="0"/>
        <w:jc w:val="both"/>
        <w:rPr>
          <w:bCs/>
        </w:rPr>
      </w:pPr>
      <w:r w:rsidRPr="00BF6EBB">
        <w:rPr>
          <w:b/>
          <w:bCs/>
        </w:rPr>
        <w:t xml:space="preserve">Tampa Electric Company </w:t>
      </w:r>
    </w:p>
    <w:p w:rsidR="00406E90" w:rsidRPr="00BF6EBB" w:rsidRDefault="00406E90" w:rsidP="00406E90">
      <w:pPr>
        <w:autoSpaceDE w:val="0"/>
        <w:autoSpaceDN w:val="0"/>
        <w:adjustRightInd w:val="0"/>
        <w:jc w:val="both"/>
        <w:rPr>
          <w:bCs/>
        </w:rPr>
      </w:pPr>
    </w:p>
    <w:p w:rsidR="00406E90" w:rsidRPr="000F595C" w:rsidRDefault="00406E90" w:rsidP="00406E90">
      <w:pPr>
        <w:autoSpaceDE w:val="0"/>
        <w:autoSpaceDN w:val="0"/>
        <w:adjustRightInd w:val="0"/>
        <w:ind w:left="1440" w:hanging="1440"/>
        <w:jc w:val="both"/>
        <w:rPr>
          <w:b/>
        </w:rPr>
      </w:pPr>
      <w:r w:rsidRPr="00EE443B">
        <w:rPr>
          <w:b/>
          <w:u w:val="single"/>
        </w:rPr>
        <w:t>ISSUE 4A</w:t>
      </w:r>
      <w:r w:rsidRPr="00EE443B">
        <w:rPr>
          <w:b/>
        </w:rPr>
        <w:t>:</w:t>
      </w:r>
      <w:r w:rsidRPr="00BF6EBB">
        <w:t xml:space="preserve"> </w:t>
      </w:r>
      <w:r w:rsidRPr="00BF6EBB">
        <w:tab/>
      </w:r>
      <w:r w:rsidRPr="003B73E8">
        <w:t>What was the total gain under TECO’s Optimization Mechanism approved by Order No. PSC-2021-0423-S-EI that TECO may recover for the period January 2023 through December 2023, and how should that gain to be shared between TECO and its customers?</w:t>
      </w:r>
    </w:p>
    <w:p w:rsidR="00406E90" w:rsidRPr="00AB1493" w:rsidRDefault="00406E90" w:rsidP="00406E90">
      <w:pPr>
        <w:autoSpaceDE w:val="0"/>
        <w:autoSpaceDN w:val="0"/>
        <w:adjustRightInd w:val="0"/>
        <w:ind w:left="1440" w:hanging="1440"/>
        <w:jc w:val="both"/>
      </w:pPr>
      <w:r w:rsidRPr="00AB1493">
        <w:t xml:space="preserve"> </w:t>
      </w:r>
    </w:p>
    <w:p w:rsidR="00406E90" w:rsidRPr="00AB1493" w:rsidRDefault="00406E90" w:rsidP="00406E90">
      <w:pPr>
        <w:pStyle w:val="ListParagraph"/>
        <w:autoSpaceDE w:val="0"/>
        <w:autoSpaceDN w:val="0"/>
        <w:adjustRightInd w:val="0"/>
        <w:ind w:left="1440" w:hanging="1530"/>
        <w:jc w:val="both"/>
      </w:pPr>
      <w:r w:rsidRPr="00280A09">
        <w:rPr>
          <w:b/>
        </w:rPr>
        <w:t>Stipulation:</w:t>
      </w:r>
      <w:r w:rsidRPr="00AB1493">
        <w:t xml:space="preserve"> </w:t>
      </w:r>
      <w:r>
        <w:tab/>
      </w:r>
      <w:r w:rsidRPr="00AB1493">
        <w:t xml:space="preserve">Total gain was </w:t>
      </w:r>
      <w:r>
        <w:t>$10,045,377</w:t>
      </w:r>
      <w:r w:rsidRPr="00AB1493">
        <w:t xml:space="preserve">. Customer distribution </w:t>
      </w:r>
      <w:r>
        <w:t>- $6,922,689</w:t>
      </w:r>
      <w:r w:rsidRPr="00AB1493">
        <w:t xml:space="preserve">, TECO distribution - </w:t>
      </w:r>
      <w:r>
        <w:t>$3,122,688.</w:t>
      </w:r>
    </w:p>
    <w:p w:rsidR="00406E90" w:rsidRDefault="00406E90" w:rsidP="00406E90">
      <w:pPr>
        <w:tabs>
          <w:tab w:val="left" w:pos="8571"/>
        </w:tabs>
        <w:autoSpaceDE w:val="0"/>
        <w:autoSpaceDN w:val="0"/>
        <w:adjustRightInd w:val="0"/>
        <w:ind w:left="1440" w:hanging="1440"/>
        <w:jc w:val="both"/>
        <w:rPr>
          <w:b/>
        </w:rPr>
      </w:pPr>
    </w:p>
    <w:p w:rsidR="00406E90" w:rsidRDefault="00406E90" w:rsidP="00406E90">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3B73E8">
        <w:t>Should the Commission approve TECO’s 2025 Risk Management Plan?</w:t>
      </w:r>
      <w:r w:rsidRPr="000F595C">
        <w:rPr>
          <w:b/>
        </w:rPr>
        <w:t xml:space="preserve"> </w:t>
      </w:r>
    </w:p>
    <w:p w:rsidR="00406E90" w:rsidRDefault="00406E90" w:rsidP="00406E90">
      <w:pPr>
        <w:tabs>
          <w:tab w:val="left" w:pos="8571"/>
        </w:tabs>
        <w:autoSpaceDE w:val="0"/>
        <w:autoSpaceDN w:val="0"/>
        <w:adjustRightInd w:val="0"/>
        <w:ind w:left="1440" w:hanging="1440"/>
        <w:jc w:val="both"/>
      </w:pPr>
    </w:p>
    <w:p w:rsidR="00406E90" w:rsidRDefault="00406E90" w:rsidP="00406E90">
      <w:pPr>
        <w:autoSpaceDE w:val="0"/>
        <w:autoSpaceDN w:val="0"/>
        <w:adjustRightInd w:val="0"/>
        <w:ind w:left="1440" w:hanging="1440"/>
        <w:jc w:val="both"/>
      </w:pPr>
      <w:r w:rsidRPr="00280A09">
        <w:rPr>
          <w:b/>
        </w:rPr>
        <w:t>Stipulation:</w:t>
      </w:r>
      <w:r>
        <w:t xml:space="preserve"> </w:t>
      </w:r>
      <w:r>
        <w:tab/>
        <w:t>A</w:t>
      </w:r>
      <w:r w:rsidRPr="00753845">
        <w:t xml:space="preserve">pprove </w:t>
      </w:r>
      <w:r>
        <w:t>TECO’s 2025 Risk Management Plan</w:t>
      </w:r>
      <w:r w:rsidRPr="00753845">
        <w:t xml:space="preserve"> without </w:t>
      </w:r>
      <w:r>
        <w:t xml:space="preserve">financial </w:t>
      </w:r>
      <w:r w:rsidRPr="00753845">
        <w:t>hedging</w:t>
      </w:r>
      <w:r>
        <w:t>.</w:t>
      </w:r>
    </w:p>
    <w:p w:rsidR="00406E90" w:rsidRDefault="00406E90" w:rsidP="00406E90">
      <w:pPr>
        <w:tabs>
          <w:tab w:val="left" w:pos="8571"/>
        </w:tabs>
        <w:autoSpaceDE w:val="0"/>
        <w:autoSpaceDN w:val="0"/>
        <w:adjustRightInd w:val="0"/>
        <w:jc w:val="both"/>
        <w:rPr>
          <w:b/>
        </w:rPr>
      </w:pPr>
    </w:p>
    <w:p w:rsidR="00406E90" w:rsidRPr="004B2031" w:rsidRDefault="00406E90" w:rsidP="00406E90">
      <w:pPr>
        <w:tabs>
          <w:tab w:val="left" w:pos="8571"/>
        </w:tabs>
        <w:autoSpaceDE w:val="0"/>
        <w:autoSpaceDN w:val="0"/>
        <w:adjustRightInd w:val="0"/>
        <w:ind w:left="1440" w:hanging="1440"/>
        <w:jc w:val="both"/>
        <w:rPr>
          <w:b/>
          <w:u w:val="single"/>
        </w:rPr>
      </w:pPr>
      <w:r w:rsidRPr="004B2031">
        <w:rPr>
          <w:b/>
          <w:u w:val="single"/>
        </w:rPr>
        <w:t>GENERIC FUEL ADJUSTMENT ISSUES</w:t>
      </w:r>
    </w:p>
    <w:p w:rsidR="00406E90" w:rsidRPr="00BF6EBB" w:rsidRDefault="00406E90" w:rsidP="00406E90">
      <w:pPr>
        <w:tabs>
          <w:tab w:val="left" w:pos="8571"/>
        </w:tabs>
        <w:autoSpaceDE w:val="0"/>
        <w:autoSpaceDN w:val="0"/>
        <w:adjustRightInd w:val="0"/>
        <w:ind w:left="1440" w:hanging="1440"/>
        <w:jc w:val="both"/>
      </w:pPr>
    </w:p>
    <w:p w:rsidR="00406E90" w:rsidRPr="003B73E8" w:rsidRDefault="00406E90" w:rsidP="00406E90">
      <w:pPr>
        <w:autoSpaceDE w:val="0"/>
        <w:autoSpaceDN w:val="0"/>
        <w:adjustRightInd w:val="0"/>
        <w:ind w:left="1440" w:hanging="1440"/>
        <w:jc w:val="both"/>
      </w:pPr>
      <w:r w:rsidRPr="00F80059">
        <w:rPr>
          <w:b/>
          <w:bCs/>
          <w:u w:val="single"/>
        </w:rPr>
        <w:t>ISSUE 5</w:t>
      </w:r>
      <w:r w:rsidRPr="00BA384C">
        <w:rPr>
          <w:b/>
        </w:rPr>
        <w:t>:</w:t>
      </w:r>
      <w:r w:rsidRPr="00BF6EBB">
        <w:tab/>
      </w:r>
      <w:r w:rsidRPr="003B73E8">
        <w:t xml:space="preserve">What are the appropriate actual benchmark levels for calendar year 2024 for gains on non-separated wholesale energy sales eligible for a shareholder incentive? </w:t>
      </w:r>
    </w:p>
    <w:p w:rsidR="00406E90" w:rsidRPr="003B73E8" w:rsidRDefault="00406E90" w:rsidP="00406E90">
      <w:pPr>
        <w:pStyle w:val="ListParagraph"/>
        <w:autoSpaceDE w:val="0"/>
        <w:autoSpaceDN w:val="0"/>
        <w:adjustRightInd w:val="0"/>
        <w:jc w:val="both"/>
      </w:pPr>
    </w:p>
    <w:p w:rsidR="00406E90" w:rsidRDefault="00406E90" w:rsidP="00406E90">
      <w:pPr>
        <w:pStyle w:val="ListParagraph"/>
        <w:autoSpaceDE w:val="0"/>
        <w:autoSpaceDN w:val="0"/>
        <w:adjustRightInd w:val="0"/>
        <w:ind w:hanging="720"/>
        <w:jc w:val="both"/>
      </w:pPr>
      <w:r w:rsidRPr="00280A09">
        <w:rPr>
          <w:b/>
        </w:rPr>
        <w:t xml:space="preserve">Stipulation: </w:t>
      </w:r>
      <w:r>
        <w:rPr>
          <w:b/>
        </w:rPr>
        <w:tab/>
      </w:r>
      <w:r>
        <w:t>DEF: $3,806,475.</w:t>
      </w:r>
    </w:p>
    <w:p w:rsidR="00406E90" w:rsidRPr="005A75A1" w:rsidRDefault="00406E90" w:rsidP="00406E90">
      <w:pPr>
        <w:pStyle w:val="ListParagraph"/>
        <w:autoSpaceDE w:val="0"/>
        <w:autoSpaceDN w:val="0"/>
        <w:adjustRightInd w:val="0"/>
        <w:ind w:hanging="720"/>
        <w:jc w:val="both"/>
      </w:pPr>
    </w:p>
    <w:p w:rsidR="00406E90" w:rsidRPr="003B73E8" w:rsidRDefault="00406E90" w:rsidP="00406E90">
      <w:pPr>
        <w:ind w:left="1440" w:hanging="1440"/>
        <w:jc w:val="both"/>
        <w:rPr>
          <w:bCs/>
          <w:u w:val="single"/>
        </w:rPr>
      </w:pPr>
      <w:r w:rsidRPr="005A75A1">
        <w:rPr>
          <w:b/>
          <w:bCs/>
          <w:u w:val="single"/>
        </w:rPr>
        <w:t>ISSUE 6</w:t>
      </w:r>
      <w:r w:rsidRPr="00BA384C">
        <w:rPr>
          <w:b/>
        </w:rPr>
        <w:t>:</w:t>
      </w:r>
      <w:r w:rsidRPr="005A75A1">
        <w:tab/>
      </w:r>
      <w:r w:rsidRPr="003B73E8">
        <w:t>What are the appropriate estimated benchmark levels for calendar year 2025 for gains on non-separated wholesale energy sales eligible for a shareholder incentive?</w:t>
      </w:r>
    </w:p>
    <w:p w:rsidR="00406E90" w:rsidRPr="003B73E8" w:rsidRDefault="00406E90" w:rsidP="00406E90">
      <w:pPr>
        <w:autoSpaceDE w:val="0"/>
        <w:autoSpaceDN w:val="0"/>
        <w:adjustRightInd w:val="0"/>
        <w:ind w:left="1440" w:hanging="1440"/>
        <w:jc w:val="both"/>
        <w:rPr>
          <w:bCs/>
          <w:u w:val="single"/>
        </w:rPr>
      </w:pPr>
    </w:p>
    <w:p w:rsidR="00406E90" w:rsidRPr="000F595C" w:rsidRDefault="00406E90" w:rsidP="00406E90">
      <w:pPr>
        <w:ind w:left="1440" w:hanging="1440"/>
        <w:jc w:val="both"/>
        <w:rPr>
          <w:i/>
        </w:rPr>
      </w:pPr>
      <w:r w:rsidRPr="00280A09">
        <w:rPr>
          <w:b/>
        </w:rPr>
        <w:t>Stipulation:</w:t>
      </w:r>
      <w:r>
        <w:rPr>
          <w:b/>
        </w:rPr>
        <w:tab/>
      </w:r>
      <w:r w:rsidRPr="00280A09">
        <w:rPr>
          <w:b/>
        </w:rPr>
        <w:t xml:space="preserve"> </w:t>
      </w:r>
      <w:r w:rsidRPr="000F595C">
        <w:rPr>
          <w:i/>
        </w:rPr>
        <w:t xml:space="preserve">Drop Issue. There are no participating utilities operating under this incentive methodology in 2025.  </w:t>
      </w:r>
    </w:p>
    <w:p w:rsidR="00406E90" w:rsidRPr="00DC1F1E" w:rsidRDefault="00406E90" w:rsidP="00406E90">
      <w:pPr>
        <w:autoSpaceDE w:val="0"/>
        <w:autoSpaceDN w:val="0"/>
        <w:adjustRightInd w:val="0"/>
        <w:ind w:left="1440" w:hanging="1440"/>
        <w:jc w:val="both"/>
        <w:rPr>
          <w:bCs/>
        </w:rPr>
      </w:pPr>
    </w:p>
    <w:p w:rsidR="00406E90" w:rsidRPr="000F595C" w:rsidRDefault="00406E90" w:rsidP="00406E90">
      <w:pPr>
        <w:autoSpaceDE w:val="0"/>
        <w:autoSpaceDN w:val="0"/>
        <w:adjustRightInd w:val="0"/>
        <w:ind w:left="1440" w:hanging="1440"/>
        <w:jc w:val="both"/>
        <w:rPr>
          <w:b/>
        </w:rPr>
      </w:pPr>
      <w:r w:rsidRPr="00095150">
        <w:rPr>
          <w:b/>
          <w:bCs/>
          <w:u w:val="single"/>
        </w:rPr>
        <w:t>ISSUE 7</w:t>
      </w:r>
      <w:r w:rsidRPr="00095150">
        <w:rPr>
          <w:b/>
          <w:bCs/>
        </w:rPr>
        <w:t>:</w:t>
      </w:r>
      <w:r w:rsidRPr="00BF6EBB">
        <w:tab/>
      </w:r>
      <w:r w:rsidRPr="003B73E8">
        <w:t>What are the appropriate final fuel adjustment true-up amounts for the period January 2023 through December 2023?</w:t>
      </w:r>
    </w:p>
    <w:p w:rsidR="00406E90" w:rsidRPr="000F595C" w:rsidRDefault="00406E90" w:rsidP="00406E90">
      <w:pPr>
        <w:autoSpaceDE w:val="0"/>
        <w:autoSpaceDN w:val="0"/>
        <w:adjustRightInd w:val="0"/>
        <w:ind w:left="1440" w:hanging="1440"/>
        <w:jc w:val="both"/>
        <w:rPr>
          <w:b/>
        </w:rPr>
      </w:pPr>
    </w:p>
    <w:p w:rsidR="00406E90" w:rsidRPr="00280A09" w:rsidRDefault="00406E90" w:rsidP="00406E90">
      <w:pPr>
        <w:autoSpaceDE w:val="0"/>
        <w:autoSpaceDN w:val="0"/>
        <w:adjustRightInd w:val="0"/>
        <w:ind w:left="1440" w:hanging="1440"/>
        <w:jc w:val="both"/>
        <w:rPr>
          <w:b/>
        </w:rPr>
      </w:pPr>
      <w:r w:rsidRPr="00280A09">
        <w:rPr>
          <w:b/>
        </w:rPr>
        <w:t xml:space="preserve">Stipulations:  </w:t>
      </w:r>
    </w:p>
    <w:p w:rsidR="00406E90" w:rsidRPr="00BF6EBB" w:rsidRDefault="00406E90" w:rsidP="00406E90">
      <w:pPr>
        <w:autoSpaceDE w:val="0"/>
        <w:autoSpaceDN w:val="0"/>
        <w:adjustRightInd w:val="0"/>
        <w:ind w:left="1440" w:hanging="1440"/>
        <w:jc w:val="both"/>
      </w:pPr>
    </w:p>
    <w:p w:rsidR="00406E90" w:rsidRPr="005A75A1" w:rsidRDefault="00406E90" w:rsidP="00406E90">
      <w:pPr>
        <w:ind w:left="1440" w:hanging="1440"/>
        <w:jc w:val="both"/>
      </w:pPr>
      <w:r w:rsidRPr="009D1593">
        <w:rPr>
          <w:b/>
        </w:rPr>
        <w:t xml:space="preserve">DEF: </w:t>
      </w:r>
      <w:r>
        <w:tab/>
      </w:r>
      <w:r w:rsidRPr="00F80059">
        <w:t>U</w:t>
      </w:r>
      <w:r w:rsidRPr="00B22865">
        <w:t>nder-recovery of $19,202,150 (collect</w:t>
      </w:r>
      <w:r>
        <w:t>ed through its</w:t>
      </w:r>
      <w:r w:rsidRPr="0019635A">
        <w:t xml:space="preserve"> 2024 Mid-Course </w:t>
      </w:r>
      <w:r w:rsidRPr="007607E4">
        <w:t>Correction as per Order No. PSC-2024-0171-PCO-EI</w:t>
      </w:r>
      <w:r w:rsidRPr="0019635A">
        <w:t>)</w:t>
      </w:r>
      <w:r w:rsidRPr="006374F3">
        <w:t>.</w:t>
      </w:r>
      <w:r>
        <w:rPr>
          <w:rStyle w:val="FootnoteReference"/>
        </w:rPr>
        <w:footnoteReference w:id="4"/>
      </w:r>
    </w:p>
    <w:p w:rsidR="00406E90" w:rsidRPr="005A75A1" w:rsidRDefault="00406E90" w:rsidP="00406E90">
      <w:pPr>
        <w:autoSpaceDE w:val="0"/>
        <w:autoSpaceDN w:val="0"/>
        <w:adjustRightInd w:val="0"/>
        <w:ind w:left="1440" w:hanging="1440"/>
        <w:jc w:val="both"/>
      </w:pPr>
    </w:p>
    <w:p w:rsidR="00406E90" w:rsidRPr="00E539F9" w:rsidRDefault="00406E90" w:rsidP="00406E90">
      <w:pPr>
        <w:ind w:left="1440" w:hanging="1440"/>
        <w:jc w:val="both"/>
      </w:pPr>
      <w:r w:rsidRPr="009D1593">
        <w:rPr>
          <w:b/>
        </w:rPr>
        <w:t>FPL:</w:t>
      </w:r>
      <w:r>
        <w:tab/>
        <w:t>$0 (actual 2023 fuel cost true-up over-recovery of $</w:t>
      </w:r>
      <w:r w:rsidRPr="002822EE">
        <w:t>37,290,272</w:t>
      </w:r>
      <w:r>
        <w:t xml:space="preserve"> was returned through its</w:t>
      </w:r>
      <w:r w:rsidRPr="0019635A">
        <w:t xml:space="preserve"> 2024 Mid-Course Correction</w:t>
      </w:r>
      <w:r>
        <w:t xml:space="preserve"> as per </w:t>
      </w:r>
      <w:r w:rsidRPr="00F746C9">
        <w:t>Order No. PSC-2024-0091-PCO-EI</w:t>
      </w:r>
      <w:r>
        <w:t>).</w:t>
      </w:r>
      <w:r>
        <w:rPr>
          <w:rStyle w:val="FootnoteReference"/>
        </w:rPr>
        <w:footnoteReference w:id="5"/>
      </w:r>
    </w:p>
    <w:p w:rsidR="00406E90" w:rsidRPr="006374F3" w:rsidRDefault="00406E90" w:rsidP="00406E90">
      <w:pPr>
        <w:autoSpaceDE w:val="0"/>
        <w:autoSpaceDN w:val="0"/>
        <w:adjustRightInd w:val="0"/>
        <w:ind w:left="1440" w:hanging="1440"/>
        <w:jc w:val="both"/>
        <w:rPr>
          <w:highlight w:val="yellow"/>
        </w:rPr>
      </w:pPr>
    </w:p>
    <w:p w:rsidR="00406E90" w:rsidRPr="00DA4C3B" w:rsidRDefault="00406E90" w:rsidP="00406E90">
      <w:pPr>
        <w:autoSpaceDE w:val="0"/>
        <w:autoSpaceDN w:val="0"/>
        <w:adjustRightInd w:val="0"/>
        <w:ind w:left="1440" w:hanging="1440"/>
        <w:jc w:val="both"/>
      </w:pPr>
      <w:r w:rsidRPr="009D1593">
        <w:rPr>
          <w:b/>
        </w:rPr>
        <w:t>FPUC:</w:t>
      </w:r>
      <w:r w:rsidRPr="00DA4C3B">
        <w:tab/>
        <w:t>Over-recovery of $1,633,921</w:t>
      </w:r>
      <w:r>
        <w:t>.</w:t>
      </w:r>
    </w:p>
    <w:p w:rsidR="00406E90" w:rsidRPr="006374F3" w:rsidRDefault="00406E90" w:rsidP="00406E90">
      <w:pPr>
        <w:autoSpaceDE w:val="0"/>
        <w:autoSpaceDN w:val="0"/>
        <w:adjustRightInd w:val="0"/>
        <w:jc w:val="both"/>
        <w:rPr>
          <w:highlight w:val="yellow"/>
        </w:rPr>
      </w:pPr>
    </w:p>
    <w:p w:rsidR="00406E90" w:rsidRPr="005A75A1" w:rsidRDefault="00406E90" w:rsidP="00406E90">
      <w:pPr>
        <w:autoSpaceDE w:val="0"/>
        <w:autoSpaceDN w:val="0"/>
        <w:adjustRightInd w:val="0"/>
        <w:ind w:left="1440" w:hanging="1440"/>
        <w:jc w:val="both"/>
      </w:pPr>
      <w:r w:rsidRPr="009D1593">
        <w:rPr>
          <w:b/>
        </w:rPr>
        <w:t>TECO:</w:t>
      </w:r>
      <w:r w:rsidRPr="0019635A">
        <w:tab/>
        <w:t>Over-recovery of $30,397,837</w:t>
      </w:r>
      <w:r>
        <w:t xml:space="preserve"> </w:t>
      </w:r>
      <w:r w:rsidRPr="0019635A">
        <w:t>(</w:t>
      </w:r>
      <w:r>
        <w:t>returned through its</w:t>
      </w:r>
      <w:r w:rsidRPr="0019635A">
        <w:t xml:space="preserve"> 2024 Mid-Course Correction</w:t>
      </w:r>
      <w:r>
        <w:t xml:space="preserve"> as per </w:t>
      </w:r>
      <w:r w:rsidRPr="00BA4C16">
        <w:t>O</w:t>
      </w:r>
      <w:r>
        <w:t>rder No</w:t>
      </w:r>
      <w:r w:rsidRPr="00BA4C16">
        <w:t>. PSC-2024-0172-PCO-EI</w:t>
      </w:r>
      <w:r w:rsidRPr="0019635A">
        <w:t>)</w:t>
      </w:r>
      <w:r>
        <w:t>.</w:t>
      </w:r>
      <w:r>
        <w:rPr>
          <w:rStyle w:val="FootnoteReference"/>
        </w:rPr>
        <w:footnoteReference w:id="6"/>
      </w:r>
    </w:p>
    <w:p w:rsidR="00406E90" w:rsidRPr="008944D0" w:rsidRDefault="00406E90" w:rsidP="00406E90">
      <w:pPr>
        <w:autoSpaceDE w:val="0"/>
        <w:autoSpaceDN w:val="0"/>
        <w:adjustRightInd w:val="0"/>
        <w:ind w:left="1440" w:hanging="1440"/>
        <w:jc w:val="both"/>
        <w:rPr>
          <w:highlight w:val="yellow"/>
        </w:rPr>
      </w:pPr>
    </w:p>
    <w:p w:rsidR="00406E90" w:rsidRPr="00BF6EBB" w:rsidRDefault="00406E90" w:rsidP="00406E90">
      <w:pPr>
        <w:ind w:left="720" w:hanging="720"/>
        <w:jc w:val="both"/>
      </w:pPr>
      <w:r w:rsidRPr="00545296">
        <w:rPr>
          <w:b/>
          <w:bCs/>
          <w:u w:val="single"/>
        </w:rPr>
        <w:t>ISSUE 8</w:t>
      </w:r>
      <w:r w:rsidRPr="00545296">
        <w:rPr>
          <w:b/>
          <w:bCs/>
        </w:rPr>
        <w:t>:</w:t>
      </w:r>
      <w:r w:rsidRPr="00BF6EBB">
        <w:rPr>
          <w:b/>
          <w:bCs/>
        </w:rPr>
        <w:tab/>
      </w:r>
      <w:r w:rsidRPr="00BF6EBB">
        <w:t xml:space="preserve">What are the appropriate fuel adjustment actual/estimated true-up amounts for the   </w:t>
      </w:r>
    </w:p>
    <w:p w:rsidR="00406E90" w:rsidRDefault="00406E90" w:rsidP="00406E90">
      <w:pPr>
        <w:ind w:left="720" w:firstLine="720"/>
        <w:jc w:val="both"/>
      </w:pPr>
      <w:r w:rsidRPr="00BF6EBB">
        <w:t>period January 202</w:t>
      </w:r>
      <w:r>
        <w:t>4</w:t>
      </w:r>
      <w:r w:rsidRPr="00BF6EBB">
        <w:t xml:space="preserve"> through December 202</w:t>
      </w:r>
      <w:r>
        <w:t>4</w:t>
      </w:r>
      <w:r w:rsidRPr="00BF6EBB">
        <w:t>?</w:t>
      </w:r>
    </w:p>
    <w:p w:rsidR="00406E90" w:rsidRDefault="00406E90" w:rsidP="00406E90">
      <w:pPr>
        <w:spacing w:after="200" w:line="276" w:lineRule="auto"/>
        <w:rPr>
          <w:b/>
        </w:rPr>
      </w:pPr>
    </w:p>
    <w:p w:rsidR="00406E90" w:rsidRPr="009D1593" w:rsidRDefault="00406E90" w:rsidP="00406E90">
      <w:pPr>
        <w:spacing w:after="200" w:line="276" w:lineRule="auto"/>
        <w:rPr>
          <w:b/>
        </w:rPr>
      </w:pPr>
      <w:r w:rsidRPr="009D1593">
        <w:rPr>
          <w:b/>
        </w:rPr>
        <w:t xml:space="preserve">Stipulations:   </w:t>
      </w:r>
    </w:p>
    <w:p w:rsidR="00406E90" w:rsidRPr="005A75A1" w:rsidRDefault="00406E90" w:rsidP="00406E90">
      <w:pPr>
        <w:autoSpaceDE w:val="0"/>
        <w:autoSpaceDN w:val="0"/>
        <w:adjustRightInd w:val="0"/>
        <w:jc w:val="both"/>
      </w:pPr>
      <w:r w:rsidRPr="009D1593">
        <w:rPr>
          <w:b/>
        </w:rPr>
        <w:t>DEF:</w:t>
      </w:r>
      <w:r w:rsidRPr="009D1593">
        <w:rPr>
          <w:b/>
        </w:rPr>
        <w:tab/>
      </w:r>
      <w:r>
        <w:tab/>
      </w:r>
      <w:r w:rsidRPr="00E96468">
        <w:t>Over-recovery of $</w:t>
      </w:r>
      <w:r>
        <w:t>163,946,191</w:t>
      </w:r>
      <w:r w:rsidRPr="00E96468">
        <w:t>.</w:t>
      </w:r>
    </w:p>
    <w:p w:rsidR="00406E90" w:rsidRPr="005E6F70" w:rsidRDefault="00406E90" w:rsidP="00406E90">
      <w:pPr>
        <w:autoSpaceDE w:val="0"/>
        <w:autoSpaceDN w:val="0"/>
        <w:adjustRightInd w:val="0"/>
        <w:jc w:val="both"/>
      </w:pPr>
    </w:p>
    <w:p w:rsidR="00406E90" w:rsidRPr="006374F3" w:rsidRDefault="00406E90" w:rsidP="00406E90">
      <w:pPr>
        <w:autoSpaceDE w:val="0"/>
        <w:autoSpaceDN w:val="0"/>
        <w:adjustRightInd w:val="0"/>
        <w:jc w:val="both"/>
        <w:rPr>
          <w:highlight w:val="yellow"/>
        </w:rPr>
      </w:pPr>
      <w:r w:rsidRPr="009D1593">
        <w:rPr>
          <w:b/>
        </w:rPr>
        <w:t>FPL:</w:t>
      </w:r>
      <w:r w:rsidRPr="00E539F9">
        <w:tab/>
      </w:r>
      <w:r>
        <w:tab/>
      </w:r>
      <w:r w:rsidRPr="00E539F9">
        <w:t>Under-recovery of $19,030,441.</w:t>
      </w:r>
    </w:p>
    <w:p w:rsidR="00406E90" w:rsidRPr="006374F3" w:rsidRDefault="00406E90" w:rsidP="00406E90">
      <w:pPr>
        <w:autoSpaceDE w:val="0"/>
        <w:autoSpaceDN w:val="0"/>
        <w:adjustRightInd w:val="0"/>
        <w:ind w:hanging="1440"/>
        <w:jc w:val="both"/>
        <w:rPr>
          <w:highlight w:val="yellow"/>
        </w:rPr>
      </w:pPr>
    </w:p>
    <w:p w:rsidR="00406E90" w:rsidRPr="001F47F8" w:rsidRDefault="00406E90" w:rsidP="00406E90">
      <w:r w:rsidRPr="009D1593">
        <w:rPr>
          <w:b/>
        </w:rPr>
        <w:t>FPUC:</w:t>
      </w:r>
      <w:r>
        <w:tab/>
      </w:r>
      <w:r w:rsidRPr="001F47F8">
        <w:tab/>
        <w:t>Over-recovery of $3,060,756.</w:t>
      </w:r>
    </w:p>
    <w:p w:rsidR="00406E90" w:rsidRPr="001F47F8"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1593">
        <w:rPr>
          <w:b/>
        </w:rPr>
        <w:t>TECO:</w:t>
      </w:r>
      <w:r w:rsidRPr="009D1593">
        <w:rPr>
          <w:b/>
        </w:rPr>
        <w:tab/>
      </w:r>
      <w:r w:rsidRPr="001F47F8">
        <w:t xml:space="preserve"> Over-recovery of $</w:t>
      </w:r>
      <w:r>
        <w:t>63,853,334</w:t>
      </w:r>
      <w:r w:rsidRPr="001F47F8">
        <w:t>.</w:t>
      </w:r>
    </w:p>
    <w:p w:rsidR="00406E90" w:rsidRPr="005E6F70" w:rsidRDefault="00406E90" w:rsidP="00406E90">
      <w:pPr>
        <w:autoSpaceDE w:val="0"/>
        <w:autoSpaceDN w:val="0"/>
        <w:adjustRightInd w:val="0"/>
        <w:ind w:left="1440" w:hanging="1440"/>
        <w:jc w:val="both"/>
      </w:pPr>
    </w:p>
    <w:p w:rsidR="00406E90" w:rsidRPr="00AB1493" w:rsidRDefault="00406E90" w:rsidP="00406E90">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t xml:space="preserve">What are the appropriate total fuel adjustment true-up amounts to be </w:t>
      </w:r>
      <w:r w:rsidRPr="00AB1493">
        <w:t>collected/refunded from January 202</w:t>
      </w:r>
      <w:r>
        <w:t>5</w:t>
      </w:r>
      <w:r w:rsidRPr="00AB1493">
        <w:t xml:space="preserve"> through December 202</w:t>
      </w:r>
      <w:r>
        <w:t>5</w:t>
      </w:r>
      <w:r w:rsidRPr="00AB1493">
        <w:t>?</w:t>
      </w:r>
    </w:p>
    <w:p w:rsidR="00406E90" w:rsidRPr="00AB1493" w:rsidRDefault="00406E90" w:rsidP="00406E90">
      <w:pPr>
        <w:autoSpaceDE w:val="0"/>
        <w:autoSpaceDN w:val="0"/>
        <w:adjustRightInd w:val="0"/>
        <w:ind w:left="1440" w:hanging="1440"/>
        <w:jc w:val="both"/>
      </w:pPr>
    </w:p>
    <w:p w:rsidR="00406E90" w:rsidRPr="009D1593" w:rsidRDefault="00406E90" w:rsidP="00406E90">
      <w:pPr>
        <w:rPr>
          <w:b/>
        </w:rPr>
      </w:pPr>
      <w:r w:rsidRPr="009D1593">
        <w:rPr>
          <w:b/>
        </w:rPr>
        <w:t>Stipulations:</w:t>
      </w:r>
    </w:p>
    <w:p w:rsidR="00406E90" w:rsidRPr="00AB1493" w:rsidRDefault="00406E90" w:rsidP="00406E90">
      <w:pPr>
        <w:autoSpaceDE w:val="0"/>
        <w:autoSpaceDN w:val="0"/>
        <w:adjustRightInd w:val="0"/>
        <w:ind w:left="1440" w:hanging="1440"/>
        <w:jc w:val="both"/>
      </w:pPr>
    </w:p>
    <w:p w:rsidR="00406E90" w:rsidRPr="00AB1493" w:rsidRDefault="00406E90" w:rsidP="00406E90">
      <w:pPr>
        <w:autoSpaceDE w:val="0"/>
        <w:autoSpaceDN w:val="0"/>
        <w:adjustRightInd w:val="0"/>
        <w:ind w:left="-90" w:firstLine="90"/>
        <w:jc w:val="both"/>
      </w:pPr>
      <w:r w:rsidRPr="009D1593">
        <w:rPr>
          <w:b/>
        </w:rPr>
        <w:t>DEF:</w:t>
      </w:r>
      <w:r w:rsidRPr="006374F3">
        <w:tab/>
      </w:r>
      <w:r>
        <w:tab/>
      </w:r>
      <w:r w:rsidRPr="006374F3">
        <w:t>Over-recovery of $8,537,789.</w:t>
      </w:r>
    </w:p>
    <w:p w:rsidR="00406E90" w:rsidRPr="00AB1493" w:rsidRDefault="00406E90" w:rsidP="00406E90">
      <w:pPr>
        <w:autoSpaceDE w:val="0"/>
        <w:autoSpaceDN w:val="0"/>
        <w:adjustRightInd w:val="0"/>
        <w:ind w:left="-90" w:firstLine="90"/>
        <w:jc w:val="both"/>
      </w:pPr>
    </w:p>
    <w:p w:rsidR="00406E90" w:rsidRPr="00AB1493" w:rsidRDefault="00406E90" w:rsidP="00406E90">
      <w:pPr>
        <w:autoSpaceDE w:val="0"/>
        <w:autoSpaceDN w:val="0"/>
        <w:adjustRightInd w:val="0"/>
        <w:ind w:left="-90" w:firstLine="90"/>
        <w:jc w:val="both"/>
      </w:pPr>
      <w:r w:rsidRPr="009D1593">
        <w:rPr>
          <w:b/>
        </w:rPr>
        <w:t>FPL:</w:t>
      </w:r>
      <w:r w:rsidRPr="000801BD">
        <w:tab/>
      </w:r>
      <w:r>
        <w:tab/>
      </w:r>
      <w:r w:rsidRPr="000801BD">
        <w:t>Under-recovery of $19,030,441.</w:t>
      </w:r>
    </w:p>
    <w:p w:rsidR="00406E90" w:rsidRPr="00AB1493" w:rsidRDefault="00406E90" w:rsidP="00406E90">
      <w:pPr>
        <w:autoSpaceDE w:val="0"/>
        <w:autoSpaceDN w:val="0"/>
        <w:adjustRightInd w:val="0"/>
        <w:ind w:left="-90" w:firstLine="90"/>
        <w:jc w:val="both"/>
      </w:pPr>
    </w:p>
    <w:p w:rsidR="000C27C0" w:rsidRDefault="00406E90" w:rsidP="00406E90">
      <w:pPr>
        <w:autoSpaceDE w:val="0"/>
        <w:autoSpaceDN w:val="0"/>
        <w:adjustRightInd w:val="0"/>
        <w:ind w:left="-90" w:firstLine="90"/>
        <w:jc w:val="both"/>
      </w:pPr>
      <w:r w:rsidRPr="009D1593">
        <w:rPr>
          <w:b/>
        </w:rPr>
        <w:t>FPUC:</w:t>
      </w:r>
      <w:r w:rsidRPr="00DA4C3B">
        <w:tab/>
      </w:r>
      <w:r>
        <w:tab/>
      </w:r>
      <w:r w:rsidRPr="00DA4C3B">
        <w:t>Over-recovery of $4,694,677.</w:t>
      </w:r>
    </w:p>
    <w:p w:rsidR="000C27C0" w:rsidRDefault="000C27C0" w:rsidP="00406E90">
      <w:pPr>
        <w:autoSpaceDE w:val="0"/>
        <w:autoSpaceDN w:val="0"/>
        <w:adjustRightInd w:val="0"/>
        <w:ind w:left="-90" w:firstLine="90"/>
        <w:jc w:val="both"/>
        <w:sectPr w:rsidR="000C27C0">
          <w:headerReference w:type="default" r:id="rId11"/>
          <w:headerReference w:type="first" r:id="rId12"/>
          <w:pgSz w:w="12240" w:h="15840" w:code="1"/>
          <w:pgMar w:top="1440" w:right="1440" w:bottom="1440" w:left="1440" w:header="720" w:footer="720" w:gutter="0"/>
          <w:cols w:space="720"/>
          <w:titlePg/>
          <w:docGrid w:linePitch="360"/>
        </w:sectPr>
      </w:pPr>
    </w:p>
    <w:p w:rsidR="00406E90" w:rsidRPr="005E6F70" w:rsidRDefault="00406E90" w:rsidP="00406E90">
      <w:pPr>
        <w:autoSpaceDE w:val="0"/>
        <w:autoSpaceDN w:val="0"/>
        <w:adjustRightInd w:val="0"/>
        <w:ind w:left="-90" w:firstLine="90"/>
        <w:jc w:val="both"/>
      </w:pPr>
    </w:p>
    <w:p w:rsidR="00406E90" w:rsidRPr="005E6F70" w:rsidRDefault="00406E90" w:rsidP="00406E90">
      <w:pPr>
        <w:autoSpaceDE w:val="0"/>
        <w:autoSpaceDN w:val="0"/>
        <w:adjustRightInd w:val="0"/>
        <w:ind w:left="-90" w:firstLine="90"/>
        <w:jc w:val="both"/>
      </w:pPr>
      <w:r w:rsidRPr="009D1593">
        <w:rPr>
          <w:b/>
        </w:rPr>
        <w:t>TECO:</w:t>
      </w:r>
      <w:r w:rsidRPr="00992237">
        <w:tab/>
      </w:r>
      <w:r>
        <w:t>Ov</w:t>
      </w:r>
      <w:r w:rsidRPr="00992237">
        <w:t>er-recovery of $28,431,329.</w:t>
      </w:r>
    </w:p>
    <w:p w:rsidR="00406E90" w:rsidRPr="00BF6EBB" w:rsidRDefault="00406E90" w:rsidP="00406E90">
      <w:pPr>
        <w:autoSpaceDE w:val="0"/>
        <w:autoSpaceDN w:val="0"/>
        <w:adjustRightInd w:val="0"/>
        <w:ind w:left="-90" w:firstLine="90"/>
        <w:jc w:val="both"/>
      </w:pPr>
    </w:p>
    <w:p w:rsidR="00406E90" w:rsidRPr="0038035E" w:rsidRDefault="00406E90" w:rsidP="00406E90">
      <w:pPr>
        <w:ind w:left="1440" w:hanging="1440"/>
        <w:jc w:val="both"/>
        <w:rPr>
          <w:rStyle w:val="Strong"/>
          <w:b w:val="0"/>
          <w:bCs w:val="0"/>
        </w:rPr>
      </w:pPr>
      <w:r w:rsidRPr="00E33995">
        <w:rPr>
          <w:rStyle w:val="Strong"/>
          <w:u w:val="single"/>
        </w:rPr>
        <w:t>ISSUE 1</w:t>
      </w:r>
      <w:r>
        <w:rPr>
          <w:rStyle w:val="Strong"/>
          <w:u w:val="single"/>
        </w:rPr>
        <w:t>0</w:t>
      </w:r>
      <w:r w:rsidRPr="00E33995">
        <w:rPr>
          <w:rStyle w:val="Strong"/>
        </w:rPr>
        <w:t>:</w:t>
      </w:r>
      <w:r w:rsidRPr="00E33995">
        <w:rPr>
          <w:rStyle w:val="Strong"/>
        </w:rPr>
        <w:tab/>
      </w:r>
      <w:r w:rsidRPr="0038035E">
        <w:rPr>
          <w:rStyle w:val="Strong"/>
        </w:rPr>
        <w:t>What are the appropriate projected total fuel and purchased power cost recovery amounts for the period January 2025 through December 2025?</w:t>
      </w:r>
    </w:p>
    <w:p w:rsidR="00406E90" w:rsidRPr="0038035E" w:rsidRDefault="00406E90" w:rsidP="00406E90">
      <w:pPr>
        <w:ind w:left="1440" w:hanging="1440"/>
        <w:jc w:val="both"/>
        <w:rPr>
          <w:rStyle w:val="Strong"/>
          <w:b w:val="0"/>
          <w:bCs w:val="0"/>
        </w:rPr>
      </w:pPr>
    </w:p>
    <w:p w:rsidR="00406E90" w:rsidRPr="009D1593" w:rsidRDefault="00406E90" w:rsidP="00406E90">
      <w:pPr>
        <w:ind w:left="1440" w:hanging="1440"/>
        <w:jc w:val="both"/>
        <w:rPr>
          <w:rStyle w:val="Strong"/>
          <w:b w:val="0"/>
          <w:bCs w:val="0"/>
        </w:rPr>
      </w:pPr>
      <w:r w:rsidRPr="009D1593">
        <w:rPr>
          <w:b/>
        </w:rPr>
        <w:t>Stipulations:</w:t>
      </w:r>
    </w:p>
    <w:p w:rsidR="00406E90" w:rsidRPr="00AB1493" w:rsidRDefault="00406E90" w:rsidP="00406E90">
      <w:pPr>
        <w:ind w:left="1440" w:hanging="1440"/>
        <w:jc w:val="both"/>
        <w:rPr>
          <w:rStyle w:val="Strong"/>
          <w:b w:val="0"/>
          <w:bCs w:val="0"/>
        </w:rPr>
      </w:pPr>
    </w:p>
    <w:p w:rsidR="00406E90" w:rsidRPr="005E6F70" w:rsidRDefault="00406E90" w:rsidP="00406E90">
      <w:pPr>
        <w:autoSpaceDE w:val="0"/>
        <w:autoSpaceDN w:val="0"/>
        <w:adjustRightInd w:val="0"/>
        <w:jc w:val="both"/>
      </w:pPr>
      <w:r w:rsidRPr="009D1593">
        <w:rPr>
          <w:b/>
        </w:rPr>
        <w:t>DEF:</w:t>
      </w:r>
      <w:r w:rsidRPr="006374F3">
        <w:t xml:space="preserve"> </w:t>
      </w:r>
      <w:r>
        <w:tab/>
      </w:r>
      <w:r>
        <w:tab/>
      </w:r>
      <w:r w:rsidRPr="006374F3">
        <w:t>$1,535,664,540.</w:t>
      </w:r>
    </w:p>
    <w:p w:rsidR="00406E90" w:rsidRPr="005E6F7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1593">
        <w:rPr>
          <w:b/>
        </w:rPr>
        <w:t>FPL:</w:t>
      </w:r>
      <w:r w:rsidRPr="00E15FBB">
        <w:t xml:space="preserve"> </w:t>
      </w:r>
      <w:r>
        <w:tab/>
      </w:r>
      <w:r>
        <w:tab/>
      </w:r>
      <w:r w:rsidRPr="00E15FBB">
        <w:t>$3,112,084,981.</w:t>
      </w:r>
    </w:p>
    <w:p w:rsidR="00406E90" w:rsidRPr="005E6F7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1593">
        <w:rPr>
          <w:b/>
        </w:rPr>
        <w:t>FPUC:</w:t>
      </w:r>
      <w:r>
        <w:tab/>
      </w:r>
      <w:r>
        <w:tab/>
      </w:r>
      <w:r w:rsidRPr="00713178">
        <w:t xml:space="preserve"> $52,050,622.</w:t>
      </w:r>
    </w:p>
    <w:p w:rsidR="00406E9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1593">
        <w:rPr>
          <w:b/>
        </w:rPr>
        <w:t>TECO:</w:t>
      </w:r>
      <w:r w:rsidRPr="00B22865">
        <w:t xml:space="preserve"> </w:t>
      </w:r>
      <w:r>
        <w:tab/>
      </w:r>
      <w:r w:rsidRPr="00B22865">
        <w:t>$694,330,891.</w:t>
      </w:r>
    </w:p>
    <w:p w:rsidR="00406E90" w:rsidRDefault="00406E90" w:rsidP="00406E90">
      <w:pPr>
        <w:jc w:val="both"/>
        <w:rPr>
          <w:b/>
          <w:bCs/>
          <w:u w:val="single"/>
        </w:rPr>
      </w:pPr>
    </w:p>
    <w:p w:rsidR="00406E90" w:rsidRPr="004B2031" w:rsidRDefault="00406E90" w:rsidP="00406E90">
      <w:pPr>
        <w:jc w:val="both"/>
        <w:rPr>
          <w:b/>
          <w:bCs/>
          <w:u w:val="single"/>
        </w:rPr>
      </w:pPr>
      <w:r w:rsidRPr="004B2031">
        <w:rPr>
          <w:b/>
          <w:bCs/>
          <w:u w:val="single"/>
        </w:rPr>
        <w:t>COMPANY-SPECIFIC GENERATING PERFORMANCE INCENTIVE FACTOR ISSUES</w:t>
      </w:r>
    </w:p>
    <w:p w:rsidR="00406E90" w:rsidRDefault="00406E90" w:rsidP="00406E90">
      <w:pPr>
        <w:jc w:val="both"/>
        <w:rPr>
          <w:b/>
          <w:bCs/>
        </w:rPr>
      </w:pPr>
    </w:p>
    <w:p w:rsidR="00406E90" w:rsidRPr="00BF6EBB" w:rsidRDefault="00406E90" w:rsidP="00406E90">
      <w:pPr>
        <w:jc w:val="both"/>
        <w:rPr>
          <w:b/>
          <w:bCs/>
        </w:rPr>
      </w:pPr>
      <w:r w:rsidRPr="00BF6EBB">
        <w:rPr>
          <w:b/>
          <w:bCs/>
        </w:rPr>
        <w:t>Duke Energy Florida, LLC.</w:t>
      </w:r>
    </w:p>
    <w:p w:rsidR="00406E90" w:rsidRPr="00BF6EBB" w:rsidRDefault="00406E90" w:rsidP="00406E90">
      <w:pPr>
        <w:autoSpaceDE w:val="0"/>
        <w:autoSpaceDN w:val="0"/>
        <w:adjustRightInd w:val="0"/>
      </w:pPr>
    </w:p>
    <w:p w:rsidR="00406E90" w:rsidRPr="00BF6EBB" w:rsidRDefault="00406E90" w:rsidP="00406E90">
      <w:pPr>
        <w:autoSpaceDE w:val="0"/>
        <w:autoSpaceDN w:val="0"/>
        <w:adjustRightInd w:val="0"/>
        <w:jc w:val="both"/>
      </w:pPr>
      <w:r w:rsidRPr="00BF6EBB">
        <w:t>No company-specific GPIF issues for Duke Energy Florida, Inc. have been identified at this time. If such issues are identified, they shall be numbered 1</w:t>
      </w:r>
      <w:r>
        <w:t>1</w:t>
      </w:r>
      <w:r w:rsidRPr="00BF6EBB">
        <w:t>A, 1</w:t>
      </w:r>
      <w:r>
        <w:t>1</w:t>
      </w:r>
      <w:r w:rsidRPr="00BF6EBB">
        <w:t>B, 1</w:t>
      </w:r>
      <w:r>
        <w:t>1</w:t>
      </w:r>
      <w:r w:rsidRPr="00BF6EBB">
        <w:t>C, and so forth, as appropriate.</w:t>
      </w:r>
    </w:p>
    <w:p w:rsidR="00406E90" w:rsidRPr="00BF6EBB" w:rsidRDefault="00406E90" w:rsidP="00406E90">
      <w:pPr>
        <w:autoSpaceDE w:val="0"/>
        <w:autoSpaceDN w:val="0"/>
        <w:adjustRightInd w:val="0"/>
        <w:jc w:val="both"/>
        <w:rPr>
          <w:b/>
          <w:bCs/>
        </w:rPr>
      </w:pPr>
    </w:p>
    <w:p w:rsidR="00406E90" w:rsidRPr="00BF6EBB" w:rsidRDefault="00406E90" w:rsidP="00406E90">
      <w:pPr>
        <w:jc w:val="both"/>
        <w:rPr>
          <w:b/>
          <w:bCs/>
        </w:rPr>
      </w:pPr>
      <w:r w:rsidRPr="00BF6EBB">
        <w:rPr>
          <w:b/>
          <w:bCs/>
        </w:rPr>
        <w:t>Florida Power &amp; Light Company</w:t>
      </w:r>
    </w:p>
    <w:p w:rsidR="00406E90" w:rsidRPr="00BF6EBB" w:rsidRDefault="00406E90" w:rsidP="00406E90">
      <w:pPr>
        <w:autoSpaceDE w:val="0"/>
        <w:autoSpaceDN w:val="0"/>
        <w:adjustRightInd w:val="0"/>
        <w:jc w:val="both"/>
      </w:pPr>
    </w:p>
    <w:p w:rsidR="00406E90" w:rsidRPr="00BF6EBB" w:rsidRDefault="00406E90" w:rsidP="00406E90">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406E90" w:rsidRPr="00BF6EBB" w:rsidRDefault="00406E90" w:rsidP="00406E90">
      <w:pPr>
        <w:autoSpaceDE w:val="0"/>
        <w:autoSpaceDN w:val="0"/>
        <w:adjustRightInd w:val="0"/>
        <w:jc w:val="both"/>
      </w:pPr>
    </w:p>
    <w:p w:rsidR="00406E90" w:rsidRPr="00BF6EBB" w:rsidRDefault="00406E90" w:rsidP="00406E90">
      <w:pPr>
        <w:rPr>
          <w:b/>
          <w:bCs/>
        </w:rPr>
      </w:pPr>
      <w:r w:rsidRPr="00BF6EBB">
        <w:rPr>
          <w:b/>
          <w:bCs/>
        </w:rPr>
        <w:t>Tampa Electric Company</w:t>
      </w:r>
    </w:p>
    <w:p w:rsidR="00406E90" w:rsidRPr="00BF6EBB" w:rsidRDefault="00406E90" w:rsidP="00406E90">
      <w:pPr>
        <w:autoSpaceDE w:val="0"/>
        <w:autoSpaceDN w:val="0"/>
        <w:adjustRightInd w:val="0"/>
        <w:jc w:val="both"/>
      </w:pPr>
    </w:p>
    <w:p w:rsidR="00406E90" w:rsidRPr="00BF6EBB" w:rsidRDefault="00406E90" w:rsidP="00406E90">
      <w:pPr>
        <w:autoSpaceDE w:val="0"/>
        <w:autoSpaceDN w:val="0"/>
        <w:adjustRightInd w:val="0"/>
        <w:jc w:val="both"/>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406E90" w:rsidRDefault="00406E90" w:rsidP="00406E90">
      <w:pPr>
        <w:rPr>
          <w:b/>
          <w:bCs/>
        </w:rPr>
      </w:pPr>
    </w:p>
    <w:p w:rsidR="00406E90" w:rsidRPr="004B2031" w:rsidRDefault="00406E90" w:rsidP="00406E90">
      <w:pPr>
        <w:rPr>
          <w:b/>
          <w:bCs/>
          <w:u w:val="single"/>
        </w:rPr>
      </w:pPr>
      <w:r w:rsidRPr="004B2031">
        <w:rPr>
          <w:b/>
          <w:bCs/>
          <w:u w:val="single"/>
        </w:rPr>
        <w:t>GENERIC GPIF ISSUES</w:t>
      </w:r>
    </w:p>
    <w:p w:rsidR="00406E90" w:rsidRPr="00BF6EBB" w:rsidRDefault="00406E90" w:rsidP="00406E90">
      <w:pPr>
        <w:autoSpaceDE w:val="0"/>
        <w:autoSpaceDN w:val="0"/>
        <w:adjustRightInd w:val="0"/>
        <w:jc w:val="both"/>
      </w:pPr>
    </w:p>
    <w:p w:rsidR="00406E90" w:rsidRDefault="00406E90" w:rsidP="00406E90">
      <w:pPr>
        <w:autoSpaceDE w:val="0"/>
        <w:autoSpaceDN w:val="0"/>
        <w:adjustRightInd w:val="0"/>
        <w:ind w:left="1440" w:hanging="1440"/>
        <w:jc w:val="both"/>
      </w:pPr>
      <w:r w:rsidRPr="00E97FD9">
        <w:rPr>
          <w:b/>
          <w:bCs/>
          <w:u w:val="single"/>
        </w:rPr>
        <w:t xml:space="preserve">ISSUE </w:t>
      </w:r>
      <w:r w:rsidRPr="00BA384C">
        <w:rPr>
          <w:b/>
          <w:bCs/>
          <w:u w:val="single"/>
        </w:rPr>
        <w:t>14</w:t>
      </w:r>
      <w:r w:rsidRPr="00BA384C">
        <w:rPr>
          <w:b/>
        </w:rPr>
        <w:t>:</w:t>
      </w:r>
      <w:r w:rsidRPr="00BA384C">
        <w:tab/>
      </w:r>
      <w:r w:rsidRPr="007A6E06">
        <w:t>What is the appropriate GPIF reward or penalty for performance achieved during the period January 2023 through December 2023 for each investor-owned electric utility subject to the GPIF?</w:t>
      </w:r>
      <w:r w:rsidRPr="00BF6EBB">
        <w:t xml:space="preserve"> </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0C27C0" w:rsidRDefault="00406E90" w:rsidP="00406E90">
      <w:pPr>
        <w:autoSpaceDE w:val="0"/>
        <w:autoSpaceDN w:val="0"/>
        <w:adjustRightInd w:val="0"/>
        <w:ind w:left="1440" w:hanging="1440"/>
        <w:jc w:val="both"/>
      </w:pPr>
      <w:r w:rsidRPr="009D2B1E">
        <w:rPr>
          <w:b/>
        </w:rPr>
        <w:t>DEF:</w:t>
      </w:r>
      <w:r>
        <w:tab/>
        <w:t xml:space="preserve">A reward of </w:t>
      </w:r>
      <w:r w:rsidRPr="00E97FD9">
        <w:t>$1,603,057</w:t>
      </w:r>
      <w:r>
        <w:t>.</w:t>
      </w:r>
    </w:p>
    <w:p w:rsidR="000C27C0" w:rsidRDefault="000C27C0" w:rsidP="00406E90">
      <w:pPr>
        <w:autoSpaceDE w:val="0"/>
        <w:autoSpaceDN w:val="0"/>
        <w:adjustRightInd w:val="0"/>
        <w:ind w:left="1440" w:hanging="1440"/>
        <w:jc w:val="both"/>
        <w:sectPr w:rsidR="000C27C0">
          <w:headerReference w:type="first" r:id="rId13"/>
          <w:pgSz w:w="12240" w:h="15840" w:code="1"/>
          <w:pgMar w:top="1440" w:right="1440" w:bottom="1440" w:left="1440" w:header="720" w:footer="720" w:gutter="0"/>
          <w:cols w:space="720"/>
          <w:titlePg/>
          <w:docGrid w:linePitch="360"/>
        </w:sectPr>
      </w:pPr>
    </w:p>
    <w:p w:rsidR="00406E90" w:rsidRPr="001B4329" w:rsidRDefault="00406E90" w:rsidP="00406E90">
      <w:pPr>
        <w:autoSpaceDE w:val="0"/>
        <w:autoSpaceDN w:val="0"/>
        <w:adjustRightInd w:val="0"/>
        <w:ind w:left="1440" w:hanging="1440"/>
        <w:jc w:val="both"/>
      </w:pPr>
      <w:r w:rsidRPr="009D2B1E">
        <w:rPr>
          <w:b/>
        </w:rPr>
        <w:lastRenderedPageBreak/>
        <w:t>FPL:</w:t>
      </w:r>
      <w:r w:rsidRPr="001B4329">
        <w:tab/>
        <w:t>A reward of $11,145,919.</w:t>
      </w:r>
    </w:p>
    <w:p w:rsidR="00406E90" w:rsidRPr="001743BF" w:rsidRDefault="00406E90" w:rsidP="00406E90">
      <w:pPr>
        <w:autoSpaceDE w:val="0"/>
        <w:autoSpaceDN w:val="0"/>
        <w:adjustRightInd w:val="0"/>
        <w:ind w:left="1440" w:hanging="1440"/>
        <w:jc w:val="both"/>
        <w:rPr>
          <w:highlight w:val="yellow"/>
        </w:rPr>
      </w:pPr>
    </w:p>
    <w:p w:rsidR="00406E90" w:rsidRPr="00BF6EBB" w:rsidRDefault="00406E90" w:rsidP="00406E90">
      <w:pPr>
        <w:autoSpaceDE w:val="0"/>
        <w:autoSpaceDN w:val="0"/>
        <w:adjustRightInd w:val="0"/>
        <w:ind w:left="1440" w:hanging="1440"/>
        <w:jc w:val="both"/>
      </w:pPr>
      <w:r w:rsidRPr="009D2B1E">
        <w:rPr>
          <w:b/>
        </w:rPr>
        <w:t>TECO:</w:t>
      </w:r>
      <w:r w:rsidRPr="001F7C56">
        <w:tab/>
        <w:t>A reward of $1,830,750.</w:t>
      </w:r>
    </w:p>
    <w:p w:rsidR="00406E90" w:rsidRPr="00520C62" w:rsidRDefault="00406E90" w:rsidP="00406E90"/>
    <w:p w:rsidR="00406E90" w:rsidRDefault="00406E90" w:rsidP="00406E90">
      <w:pPr>
        <w:autoSpaceDE w:val="0"/>
        <w:autoSpaceDN w:val="0"/>
        <w:adjustRightInd w:val="0"/>
        <w:ind w:left="1440" w:hanging="1440"/>
        <w:jc w:val="both"/>
      </w:pPr>
      <w:r w:rsidRPr="00BF6EBB">
        <w:rPr>
          <w:b/>
          <w:bCs/>
          <w:u w:val="single"/>
        </w:rPr>
        <w:t>ISSUE 1</w:t>
      </w:r>
      <w:r>
        <w:rPr>
          <w:b/>
          <w:bCs/>
          <w:u w:val="single"/>
        </w:rPr>
        <w:t>5</w:t>
      </w:r>
      <w:r w:rsidRPr="00BF6EBB">
        <w:t>:</w:t>
      </w:r>
      <w:r w:rsidRPr="00BF6EBB">
        <w:tab/>
        <w:t>What should the GPIF targets/ranges be for the period January 202</w:t>
      </w:r>
      <w:r>
        <w:t>5</w:t>
      </w:r>
      <w:r w:rsidRPr="00BF6EBB">
        <w:t xml:space="preserve"> through December 202</w:t>
      </w:r>
      <w:r>
        <w:t xml:space="preserve">5 </w:t>
      </w:r>
      <w:r w:rsidRPr="00BF6EBB">
        <w:t>for each investor-owned electric utility subject to the GPIF?</w:t>
      </w:r>
    </w:p>
    <w:p w:rsidR="00406E90" w:rsidRDefault="00406E90" w:rsidP="00406E90">
      <w:pPr>
        <w:autoSpaceDE w:val="0"/>
        <w:autoSpaceDN w:val="0"/>
        <w:adjustRightInd w:val="0"/>
        <w:ind w:left="1440" w:hanging="1440"/>
        <w:jc w:val="both"/>
        <w:rPr>
          <w:b/>
        </w:rPr>
      </w:pPr>
    </w:p>
    <w:p w:rsidR="00406E90" w:rsidRDefault="00406E90" w:rsidP="00406E90">
      <w:pPr>
        <w:autoSpaceDE w:val="0"/>
        <w:autoSpaceDN w:val="0"/>
        <w:adjustRightInd w:val="0"/>
        <w:ind w:left="1440" w:hanging="1440"/>
        <w:jc w:val="both"/>
        <w:rPr>
          <w:b/>
        </w:rPr>
      </w:pPr>
      <w:r>
        <w:rPr>
          <w:b/>
        </w:rPr>
        <w:t>Stipulations:</w:t>
      </w:r>
    </w:p>
    <w:p w:rsidR="00406E90" w:rsidRPr="009D2B1E" w:rsidRDefault="00406E90" w:rsidP="00406E90">
      <w:pPr>
        <w:autoSpaceDE w:val="0"/>
        <w:autoSpaceDN w:val="0"/>
        <w:adjustRightInd w:val="0"/>
        <w:ind w:left="1440" w:hanging="1440"/>
        <w:jc w:val="both"/>
        <w:rPr>
          <w:b/>
        </w:rPr>
      </w:pPr>
    </w:p>
    <w:p w:rsidR="00406E90" w:rsidRPr="009D2B1E" w:rsidRDefault="00406E90" w:rsidP="00406E90">
      <w:pPr>
        <w:rPr>
          <w:b/>
        </w:rPr>
      </w:pPr>
      <w:r w:rsidRPr="009D2B1E">
        <w:rPr>
          <w:b/>
        </w:rPr>
        <w:t>DEF:</w:t>
      </w:r>
      <w:r w:rsidRPr="009D2B1E">
        <w:rPr>
          <w:b/>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00"/>
        <w:gridCol w:w="1710"/>
        <w:gridCol w:w="900"/>
        <w:gridCol w:w="900"/>
        <w:gridCol w:w="1080"/>
        <w:gridCol w:w="1260"/>
        <w:gridCol w:w="1260"/>
        <w:gridCol w:w="1350"/>
      </w:tblGrid>
      <w:tr w:rsidR="00406E90" w:rsidRPr="005D302F" w:rsidTr="00406E90">
        <w:trPr>
          <w:trHeight w:val="300"/>
          <w:tblHeader/>
        </w:trPr>
        <w:tc>
          <w:tcPr>
            <w:tcW w:w="9360" w:type="dxa"/>
            <w:gridSpan w:val="8"/>
            <w:tcBorders>
              <w:top w:val="nil"/>
              <w:left w:val="nil"/>
              <w:bottom w:val="nil"/>
              <w:right w:val="nil"/>
            </w:tcBorders>
            <w:shd w:val="clear" w:color="auto" w:fill="FFFFFF" w:themeFill="background1"/>
            <w:noWrap/>
            <w:vAlign w:val="center"/>
          </w:tcPr>
          <w:p w:rsidR="00406E90" w:rsidRPr="00A83F86" w:rsidRDefault="00406E90" w:rsidP="00406E90">
            <w:pPr>
              <w:jc w:val="center"/>
              <w:rPr>
                <w:rFonts w:ascii="Arial" w:hAnsi="Arial" w:cs="Arial"/>
                <w:b/>
              </w:rPr>
            </w:pPr>
            <w:bookmarkStart w:id="9" w:name="_Hlk40104337"/>
            <w:r w:rsidRPr="00A83F86">
              <w:rPr>
                <w:rFonts w:ascii="Arial" w:hAnsi="Arial" w:cs="Arial"/>
                <w:b/>
              </w:rPr>
              <w:t>Table 15-1</w:t>
            </w:r>
          </w:p>
        </w:tc>
      </w:tr>
      <w:tr w:rsidR="00406E90" w:rsidRPr="005D302F" w:rsidTr="00406E90">
        <w:trPr>
          <w:trHeight w:val="300"/>
          <w:tblHeader/>
        </w:trPr>
        <w:tc>
          <w:tcPr>
            <w:tcW w:w="9360" w:type="dxa"/>
            <w:gridSpan w:val="8"/>
            <w:tcBorders>
              <w:top w:val="nil"/>
              <w:left w:val="nil"/>
              <w:right w:val="nil"/>
            </w:tcBorders>
            <w:shd w:val="clear" w:color="auto" w:fill="FFFFFF" w:themeFill="background1"/>
            <w:noWrap/>
            <w:vAlign w:val="center"/>
          </w:tcPr>
          <w:p w:rsidR="00406E90" w:rsidRPr="00A83F86" w:rsidRDefault="00406E90" w:rsidP="00406E90">
            <w:pPr>
              <w:jc w:val="center"/>
            </w:pPr>
            <w:r w:rsidRPr="00A83F86">
              <w:rPr>
                <w:rFonts w:ascii="Arial" w:hAnsi="Arial" w:cs="Arial"/>
                <w:b/>
              </w:rPr>
              <w:t>GPIF Targets/Ranges for t</w:t>
            </w:r>
            <w:r>
              <w:rPr>
                <w:rFonts w:ascii="Arial" w:hAnsi="Arial" w:cs="Arial"/>
                <w:b/>
              </w:rPr>
              <w:t>he period January-December, 2025</w:t>
            </w:r>
          </w:p>
        </w:tc>
      </w:tr>
      <w:bookmarkEnd w:id="9"/>
      <w:tr w:rsidR="00406E90" w:rsidRPr="005D302F" w:rsidTr="00406E90">
        <w:trPr>
          <w:trHeight w:val="300"/>
          <w:tblHeader/>
        </w:trPr>
        <w:tc>
          <w:tcPr>
            <w:tcW w:w="900"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b/>
                <w:bCs/>
                <w:sz w:val="22"/>
                <w:szCs w:val="22"/>
              </w:rPr>
            </w:pPr>
            <w:r w:rsidRPr="005D302F">
              <w:rPr>
                <w:rFonts w:cstheme="minorHAnsi"/>
                <w:b/>
                <w:bCs/>
                <w:sz w:val="22"/>
                <w:szCs w:val="22"/>
              </w:rPr>
              <w:t>DEF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06E90" w:rsidRPr="005D302F" w:rsidRDefault="00406E90" w:rsidP="00406E90">
            <w:pPr>
              <w:jc w:val="center"/>
              <w:rPr>
                <w:rFonts w:cstheme="minorHAnsi"/>
                <w:sz w:val="22"/>
                <w:szCs w:val="22"/>
              </w:rPr>
            </w:pPr>
            <w:r w:rsidRPr="005D302F">
              <w:rPr>
                <w:rFonts w:cstheme="minorHAnsi"/>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ANOHR</w:t>
            </w:r>
          </w:p>
        </w:tc>
      </w:tr>
      <w:tr w:rsidR="00406E90" w:rsidRPr="005D302F" w:rsidTr="00406E90">
        <w:trPr>
          <w:trHeight w:val="300"/>
          <w:tblHeader/>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Maximum</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Maximum</w:t>
            </w:r>
          </w:p>
        </w:tc>
      </w:tr>
      <w:tr w:rsidR="00406E90" w:rsidRPr="005D302F" w:rsidTr="00406E90">
        <w:trPr>
          <w:trHeight w:val="610"/>
          <w:tblHeader/>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jc w:val="center"/>
              <w:rPr>
                <w:rFonts w:cstheme="minorHAnsi"/>
                <w:sz w:val="22"/>
                <w:szCs w:val="22"/>
              </w:rPr>
            </w:pPr>
          </w:p>
        </w:tc>
        <w:tc>
          <w:tcPr>
            <w:tcW w:w="1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EAF</w:t>
            </w:r>
          </w:p>
          <w:p w:rsidR="00406E90" w:rsidRPr="005D302F" w:rsidRDefault="00406E90" w:rsidP="00406E90">
            <w:pPr>
              <w:jc w:val="center"/>
              <w:rPr>
                <w:rFonts w:cstheme="minorHAnsi"/>
                <w:sz w:val="22"/>
                <w:szCs w:val="22"/>
              </w:rPr>
            </w:pPr>
            <w:r w:rsidRPr="005D302F">
              <w:rPr>
                <w:rFonts w:cstheme="minorHAnsi"/>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EAF</w:t>
            </w:r>
          </w:p>
          <w:p w:rsidR="00406E90" w:rsidRPr="005D302F" w:rsidRDefault="00406E90" w:rsidP="00406E90">
            <w:pPr>
              <w:jc w:val="center"/>
              <w:rPr>
                <w:rFonts w:cstheme="minorHAnsi"/>
                <w:sz w:val="22"/>
                <w:szCs w:val="22"/>
              </w:rPr>
            </w:pPr>
            <w:r w:rsidRPr="005D302F">
              <w:rPr>
                <w:rFonts w:cstheme="minorHAnsi"/>
                <w:sz w:val="22"/>
                <w:szCs w:val="22"/>
              </w:rPr>
              <w:t>( %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06E90" w:rsidRPr="005D302F" w:rsidRDefault="00406E90" w:rsidP="00406E90">
            <w:pPr>
              <w:jc w:val="center"/>
              <w:rPr>
                <w:rFonts w:cstheme="minorHAnsi"/>
                <w:sz w:val="22"/>
                <w:szCs w:val="22"/>
              </w:rPr>
            </w:pPr>
            <w:r w:rsidRPr="005D302F">
              <w:rPr>
                <w:rFonts w:cstheme="minorHAnsi"/>
                <w:sz w:val="22"/>
                <w:szCs w:val="22"/>
              </w:rPr>
              <w:t>Savings</w:t>
            </w:r>
          </w:p>
          <w:p w:rsidR="00406E90" w:rsidRPr="005D302F" w:rsidRDefault="00406E90" w:rsidP="00406E90">
            <w:pPr>
              <w:rPr>
                <w:rFonts w:cstheme="minorHAnsi"/>
                <w:sz w:val="22"/>
                <w:szCs w:val="22"/>
              </w:rPr>
            </w:pPr>
            <w:r w:rsidRPr="005D302F">
              <w:rPr>
                <w:rFonts w:cstheme="minorHAnsi"/>
                <w:sz w:val="22"/>
                <w:szCs w:val="22"/>
              </w:rPr>
              <w:t xml:space="preserve"> ($000's)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ANOHR</w:t>
            </w:r>
          </w:p>
          <w:p w:rsidR="00406E90" w:rsidRPr="005D302F" w:rsidRDefault="00406E90" w:rsidP="00406E90">
            <w:pPr>
              <w:jc w:val="center"/>
              <w:rPr>
                <w:rFonts w:cstheme="minorHAnsi"/>
                <w:sz w:val="22"/>
                <w:szCs w:val="22"/>
              </w:rPr>
            </w:pPr>
            <w:r w:rsidRPr="005D302F">
              <w:rPr>
                <w:rFonts w:cstheme="minorHAnsi"/>
                <w:sz w:val="22"/>
                <w:szCs w:val="22"/>
              </w:rPr>
              <w:t>Btu/kWh</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ANOHR</w:t>
            </w:r>
          </w:p>
          <w:p w:rsidR="00406E90" w:rsidRPr="005D302F" w:rsidRDefault="00406E90" w:rsidP="00406E90">
            <w:pPr>
              <w:jc w:val="center"/>
              <w:rPr>
                <w:rFonts w:cstheme="minorHAnsi"/>
                <w:sz w:val="22"/>
                <w:szCs w:val="22"/>
              </w:rPr>
            </w:pPr>
            <w:r w:rsidRPr="005D302F">
              <w:rPr>
                <w:rFonts w:cstheme="minorHAnsi"/>
                <w:sz w:val="22"/>
                <w:szCs w:val="22"/>
              </w:rPr>
              <w:t>Btu/kWh</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r w:rsidRPr="005D302F">
              <w:rPr>
                <w:rFonts w:cstheme="minorHAnsi"/>
                <w:sz w:val="22"/>
                <w:szCs w:val="22"/>
              </w:rPr>
              <w:t>Savings</w:t>
            </w:r>
          </w:p>
          <w:p w:rsidR="00406E90" w:rsidRPr="005D302F" w:rsidRDefault="00406E90" w:rsidP="00406E90">
            <w:pPr>
              <w:jc w:val="center"/>
              <w:rPr>
                <w:rFonts w:cstheme="minorHAnsi"/>
                <w:sz w:val="22"/>
                <w:szCs w:val="22"/>
              </w:rPr>
            </w:pPr>
            <w:r w:rsidRPr="005D302F">
              <w:rPr>
                <w:rFonts w:cstheme="minorHAnsi"/>
                <w:sz w:val="22"/>
                <w:szCs w:val="22"/>
              </w:rPr>
              <w:t>($000's)</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noWrap/>
            <w:vAlign w:val="center"/>
            <w:hideMark/>
          </w:tcPr>
          <w:p w:rsidR="00406E90" w:rsidRPr="005D302F" w:rsidRDefault="00406E90" w:rsidP="00406E90">
            <w:pPr>
              <w:jc w:val="cente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06E90" w:rsidRPr="00984C1C" w:rsidRDefault="00406E90" w:rsidP="00406E90">
            <w:pPr>
              <w:rPr>
                <w:rFonts w:cstheme="minorHAnsi"/>
                <w:sz w:val="22"/>
                <w:szCs w:val="22"/>
              </w:rPr>
            </w:pPr>
            <w:r w:rsidRPr="00984C1C">
              <w:rPr>
                <w:rFonts w:cstheme="minorHAnsi"/>
                <w:sz w:val="22"/>
                <w:szCs w:val="22"/>
              </w:rPr>
              <w:t>Bartow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90.43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93.25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1,532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7,557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7,758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5,227</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sidRPr="00984C1C">
              <w:rPr>
                <w:rFonts w:cstheme="minorHAnsi"/>
                <w:sz w:val="22"/>
                <w:szCs w:val="22"/>
              </w:rPr>
              <w:t>Citrus County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78.33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79.37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6,866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6,967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2,083</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sidRPr="00984C1C">
              <w:rPr>
                <w:rFonts w:cstheme="minorHAnsi"/>
                <w:sz w:val="22"/>
                <w:szCs w:val="22"/>
              </w:rPr>
              <w:t>Citrus County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91.14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91.70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6,783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6,870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2,096</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Pr>
                <w:rFonts w:cstheme="minorHAnsi"/>
                <w:sz w:val="22"/>
                <w:szCs w:val="22"/>
              </w:rPr>
              <w:t>Crystal River 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82.52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88.81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4,193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10,328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10,927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5,908</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Pr>
                <w:rFonts w:cstheme="minorHAnsi"/>
                <w:sz w:val="22"/>
                <w:szCs w:val="22"/>
              </w:rPr>
              <w:t>Hines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96.14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97.95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436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7,449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7,578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1,231</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Pr>
                <w:rFonts w:cstheme="minorHAnsi"/>
                <w:sz w:val="22"/>
                <w:szCs w:val="22"/>
              </w:rPr>
              <w:t>Hines 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82.06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83.79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109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7,831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8,111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2,412</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sidRPr="00984C1C">
              <w:rPr>
                <w:rFonts w:cstheme="minorHAnsi"/>
                <w:sz w:val="22"/>
                <w:szCs w:val="22"/>
              </w:rPr>
              <w:t>Hines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95.21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97.45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350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7,177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7,283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1,016</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sidRPr="00984C1C">
              <w:rPr>
                <w:rFonts w:cstheme="minorHAnsi"/>
                <w:sz w:val="22"/>
                <w:szCs w:val="22"/>
              </w:rPr>
              <w:t>Hines 4</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77.29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80.59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473019" w:rsidRDefault="00406E90" w:rsidP="00406E90">
            <w:pPr>
              <w:jc w:val="right"/>
              <w:rPr>
                <w:rFonts w:cstheme="minorHAnsi"/>
                <w:sz w:val="22"/>
                <w:szCs w:val="22"/>
              </w:rPr>
            </w:pPr>
            <w:r>
              <w:rPr>
                <w:rFonts w:cstheme="minorHAnsi"/>
                <w:sz w:val="22"/>
                <w:szCs w:val="22"/>
              </w:rPr>
              <w:t>424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7,158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7,287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1B2DC2" w:rsidRDefault="00406E90" w:rsidP="00406E90">
            <w:pPr>
              <w:jc w:val="right"/>
              <w:rPr>
                <w:rFonts w:cstheme="minorHAnsi"/>
                <w:sz w:val="22"/>
                <w:szCs w:val="22"/>
              </w:rPr>
            </w:pPr>
            <w:r>
              <w:rPr>
                <w:rFonts w:cstheme="minorHAnsi"/>
                <w:sz w:val="22"/>
                <w:szCs w:val="22"/>
              </w:rPr>
              <w:t>1,326</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both"/>
              <w:rPr>
                <w:rFonts w:cstheme="minorHAnsi"/>
                <w:sz w:val="22"/>
                <w:szCs w:val="22"/>
              </w:rPr>
            </w:pPr>
            <w:r>
              <w:rPr>
                <w:rFonts w:cstheme="minorHAnsi"/>
                <w:sz w:val="22"/>
                <w:szCs w:val="22"/>
              </w:rPr>
              <w:t>Osprey 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85.26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87.16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Default="00406E90" w:rsidP="00406E90">
            <w:pPr>
              <w:jc w:val="right"/>
              <w:rPr>
                <w:rFonts w:cstheme="minorHAnsi"/>
                <w:sz w:val="22"/>
                <w:szCs w:val="22"/>
                <w:u w:val="single"/>
              </w:rPr>
            </w:pPr>
            <w:r>
              <w:rPr>
                <w:rFonts w:cstheme="minorHAnsi"/>
                <w:sz w:val="22"/>
                <w:szCs w:val="22"/>
                <w:u w:val="single"/>
              </w:rPr>
              <w:t>203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r>
              <w:rPr>
                <w:rFonts w:cstheme="minorHAnsi"/>
                <w:sz w:val="22"/>
                <w:szCs w:val="22"/>
              </w:rPr>
              <w:t>7,223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Default="00406E90" w:rsidP="00406E90">
            <w:pPr>
              <w:jc w:val="right"/>
              <w:rPr>
                <w:rFonts w:cstheme="minorHAnsi"/>
                <w:sz w:val="22"/>
                <w:szCs w:val="22"/>
              </w:rPr>
            </w:pPr>
            <w:r>
              <w:rPr>
                <w:rFonts w:cstheme="minorHAnsi"/>
                <w:sz w:val="22"/>
                <w:szCs w:val="22"/>
              </w:rPr>
              <w:t>7,508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Default="00406E90" w:rsidP="00406E90">
            <w:pPr>
              <w:jc w:val="right"/>
              <w:rPr>
                <w:rFonts w:cstheme="minorHAnsi"/>
                <w:sz w:val="22"/>
                <w:szCs w:val="22"/>
                <w:u w:val="single"/>
              </w:rPr>
            </w:pPr>
            <w:r>
              <w:rPr>
                <w:rFonts w:cstheme="minorHAnsi"/>
                <w:sz w:val="22"/>
                <w:szCs w:val="22"/>
                <w:u w:val="single"/>
              </w:rPr>
              <w:t>2,631</w:t>
            </w:r>
          </w:p>
        </w:tc>
      </w:tr>
      <w:tr w:rsidR="00406E90" w:rsidRPr="005D302F" w:rsidTr="00406E90">
        <w:trPr>
          <w:trHeight w:val="300"/>
        </w:trPr>
        <w:tc>
          <w:tcPr>
            <w:tcW w:w="900" w:type="dxa"/>
            <w:vMerge/>
            <w:tcBorders>
              <w:left w:val="single" w:sz="4" w:space="0" w:color="auto"/>
              <w:right w:val="single" w:sz="4" w:space="0" w:color="auto"/>
            </w:tcBorders>
            <w:shd w:val="clear" w:color="auto" w:fill="FFFFFF" w:themeFill="background1"/>
            <w:vAlign w:val="center"/>
            <w:hideMark/>
          </w:tcPr>
          <w:p w:rsidR="00406E90" w:rsidRPr="005D302F" w:rsidRDefault="00406E90" w:rsidP="00406E90">
            <w:pPr>
              <w:rPr>
                <w:rFont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rPr>
                <w:rFonts w:cstheme="minorHAnsi"/>
                <w:sz w:val="22"/>
                <w:szCs w:val="22"/>
              </w:rPr>
            </w:pPr>
            <w:r w:rsidRPr="005D302F">
              <w:rPr>
                <w:rFonts w:cstheme="minorHAnsi"/>
                <w:sz w:val="22"/>
                <w:szCs w:val="22"/>
              </w:rPr>
              <w:t>Totals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4A44BF" w:rsidRDefault="00406E90" w:rsidP="00406E90">
            <w:pPr>
              <w:jc w:val="right"/>
              <w:rPr>
                <w:rFonts w:cstheme="minorHAnsi"/>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984C1C" w:rsidRDefault="00406E90" w:rsidP="00406E90">
            <w:pPr>
              <w:jc w:val="right"/>
              <w:rPr>
                <w:rFonts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771BF8" w:rsidRDefault="00406E90" w:rsidP="00406E90">
            <w:pPr>
              <w:jc w:val="right"/>
              <w:rPr>
                <w:rFonts w:cstheme="minorHAnsi"/>
                <w:sz w:val="22"/>
                <w:szCs w:val="22"/>
                <w:u w:val="double"/>
              </w:rPr>
            </w:pPr>
            <w:r w:rsidRPr="00771BF8">
              <w:rPr>
                <w:rFonts w:cstheme="minorHAnsi"/>
                <w:sz w:val="22"/>
                <w:szCs w:val="22"/>
                <w:u w:val="double"/>
              </w:rPr>
              <w:t>8,111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771BF8" w:rsidRDefault="00406E90" w:rsidP="00406E90">
            <w:pPr>
              <w:jc w:val="right"/>
              <w:rPr>
                <w:rFont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771BF8" w:rsidRDefault="00406E90" w:rsidP="00406E90">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06E90" w:rsidRPr="00771BF8" w:rsidRDefault="00406E90" w:rsidP="00406E90">
            <w:pPr>
              <w:jc w:val="right"/>
              <w:rPr>
                <w:rFonts w:cstheme="minorHAnsi"/>
                <w:sz w:val="22"/>
                <w:szCs w:val="22"/>
                <w:u w:val="double"/>
              </w:rPr>
            </w:pPr>
            <w:r w:rsidRPr="00771BF8">
              <w:rPr>
                <w:rFonts w:cstheme="minorHAnsi"/>
                <w:sz w:val="22"/>
                <w:szCs w:val="22"/>
                <w:u w:val="double"/>
              </w:rPr>
              <w:t>23,931</w:t>
            </w:r>
          </w:p>
        </w:tc>
      </w:tr>
    </w:tbl>
    <w:p w:rsidR="00406E90" w:rsidRPr="005E6F70" w:rsidRDefault="00406E90" w:rsidP="00406E90">
      <w:pPr>
        <w:autoSpaceDE w:val="0"/>
        <w:autoSpaceDN w:val="0"/>
        <w:adjustRightInd w:val="0"/>
        <w:ind w:left="1440" w:hanging="1440"/>
        <w:jc w:val="both"/>
      </w:pPr>
      <w:r w:rsidRPr="00154132">
        <w:rPr>
          <w:sz w:val="22"/>
          <w:szCs w:val="22"/>
        </w:rPr>
        <w:t>Source: GPIF Target and Range Summary (Exhibit ARB-1P, Page 4 of 94).</w:t>
      </w:r>
    </w:p>
    <w:p w:rsidR="00406E90" w:rsidRPr="005E6F70" w:rsidRDefault="00406E90" w:rsidP="00406E90">
      <w:pPr>
        <w:autoSpaceDE w:val="0"/>
        <w:autoSpaceDN w:val="0"/>
        <w:adjustRightInd w:val="0"/>
        <w:ind w:left="1440" w:hanging="1440"/>
        <w:jc w:val="both"/>
      </w:pPr>
    </w:p>
    <w:p w:rsidR="00406E90" w:rsidRPr="009D2B1E" w:rsidRDefault="00406E90" w:rsidP="00406E90">
      <w:pPr>
        <w:rPr>
          <w:b/>
        </w:rPr>
      </w:pPr>
      <w:r w:rsidRPr="009D2B1E">
        <w:rPr>
          <w:b/>
        </w:rPr>
        <w:t>FPL:</w:t>
      </w:r>
      <w:r w:rsidRPr="009D2B1E">
        <w:rPr>
          <w:b/>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406E90" w:rsidRPr="006C4419" w:rsidTr="00406E90">
        <w:trPr>
          <w:cantSplit/>
          <w:tblHeader/>
        </w:trPr>
        <w:tc>
          <w:tcPr>
            <w:tcW w:w="9360" w:type="dxa"/>
            <w:gridSpan w:val="8"/>
            <w:tcBorders>
              <w:top w:val="nil"/>
              <w:left w:val="nil"/>
              <w:bottom w:val="nil"/>
              <w:right w:val="nil"/>
            </w:tcBorders>
            <w:shd w:val="clear" w:color="auto" w:fill="auto"/>
            <w:vAlign w:val="center"/>
          </w:tcPr>
          <w:p w:rsidR="00406E90" w:rsidRPr="006C4419" w:rsidRDefault="00406E90" w:rsidP="00406E90">
            <w:pPr>
              <w:jc w:val="center"/>
            </w:pPr>
            <w:r w:rsidRPr="006C4419">
              <w:rPr>
                <w:rFonts w:ascii="Arial" w:hAnsi="Arial" w:cs="Arial"/>
                <w:b/>
              </w:rPr>
              <w:t>Table 15-2</w:t>
            </w:r>
          </w:p>
        </w:tc>
      </w:tr>
      <w:tr w:rsidR="00406E90" w:rsidRPr="006C4419" w:rsidTr="00406E90">
        <w:trPr>
          <w:cantSplit/>
          <w:tblHeader/>
        </w:trPr>
        <w:tc>
          <w:tcPr>
            <w:tcW w:w="9360" w:type="dxa"/>
            <w:gridSpan w:val="8"/>
            <w:tcBorders>
              <w:top w:val="nil"/>
              <w:left w:val="nil"/>
              <w:right w:val="nil"/>
            </w:tcBorders>
            <w:shd w:val="clear" w:color="auto" w:fill="auto"/>
            <w:vAlign w:val="center"/>
          </w:tcPr>
          <w:p w:rsidR="00406E90" w:rsidRPr="006C4419" w:rsidRDefault="00406E90" w:rsidP="00406E90">
            <w:pPr>
              <w:jc w:val="center"/>
            </w:pPr>
            <w:r w:rsidRPr="006C4419">
              <w:rPr>
                <w:rFonts w:ascii="Arial" w:hAnsi="Arial" w:cs="Arial"/>
                <w:b/>
              </w:rPr>
              <w:t>GPIF Targets/Ranges for the peri</w:t>
            </w:r>
            <w:r>
              <w:rPr>
                <w:rFonts w:ascii="Arial" w:hAnsi="Arial" w:cs="Arial"/>
                <w:b/>
              </w:rPr>
              <w:t>od January-December, 2025</w:t>
            </w:r>
          </w:p>
        </w:tc>
      </w:tr>
      <w:tr w:rsidR="00406E90" w:rsidRPr="006C4419" w:rsidTr="00406E90">
        <w:trPr>
          <w:cantSplit/>
          <w:tblHeader/>
        </w:trPr>
        <w:tc>
          <w:tcPr>
            <w:tcW w:w="900" w:type="dxa"/>
            <w:vMerge w:val="restart"/>
            <w:tcBorders>
              <w:top w:val="single" w:sz="4" w:space="0" w:color="auto"/>
              <w:left w:val="single" w:sz="4" w:space="0" w:color="auto"/>
              <w:right w:val="single" w:sz="4" w:space="0" w:color="auto"/>
            </w:tcBorders>
            <w:vAlign w:val="center"/>
            <w:hideMark/>
          </w:tcPr>
          <w:p w:rsidR="00406E90" w:rsidRPr="006C4419" w:rsidRDefault="00406E90" w:rsidP="00406E90">
            <w:pPr>
              <w:rPr>
                <w:sz w:val="22"/>
                <w:szCs w:val="22"/>
              </w:rPr>
            </w:pPr>
          </w:p>
          <w:p w:rsidR="00406E90" w:rsidRPr="006C4419" w:rsidRDefault="00406E90" w:rsidP="00406E90">
            <w:pPr>
              <w:jc w:val="center"/>
              <w:rPr>
                <w:b/>
                <w:bCs/>
                <w:sz w:val="22"/>
                <w:szCs w:val="22"/>
              </w:rPr>
            </w:pPr>
            <w:r w:rsidRPr="006C4419">
              <w:rPr>
                <w:b/>
                <w:bCs/>
                <w:sz w:val="22"/>
                <w:szCs w:val="22"/>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406E90" w:rsidRPr="006C4419" w:rsidRDefault="00406E90" w:rsidP="00406E90">
            <w:pPr>
              <w:jc w:val="center"/>
              <w:rPr>
                <w:sz w:val="22"/>
                <w:szCs w:val="22"/>
              </w:rPr>
            </w:pPr>
            <w:r w:rsidRPr="006C4419">
              <w:rPr>
                <w:sz w:val="22"/>
                <w:szCs w:val="22"/>
              </w:rP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ANOHR</w:t>
            </w:r>
          </w:p>
        </w:tc>
      </w:tr>
      <w:tr w:rsidR="00406E90" w:rsidRPr="006C4419" w:rsidTr="00406E90">
        <w:trPr>
          <w:cantSplit/>
          <w:tblHeader/>
        </w:trPr>
        <w:tc>
          <w:tcPr>
            <w:tcW w:w="900" w:type="dxa"/>
            <w:vMerge/>
            <w:tcBorders>
              <w:left w:val="single" w:sz="4" w:space="0" w:color="auto"/>
              <w:right w:val="single" w:sz="4" w:space="0" w:color="auto"/>
            </w:tcBorders>
            <w:vAlign w:val="center"/>
            <w:hideMark/>
          </w:tcPr>
          <w:p w:rsidR="00406E90" w:rsidRPr="006C4419" w:rsidRDefault="00406E90" w:rsidP="00406E90">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Maximum</w:t>
            </w:r>
          </w:p>
        </w:tc>
      </w:tr>
      <w:tr w:rsidR="00406E90" w:rsidRPr="006C4419" w:rsidTr="00406E90">
        <w:trPr>
          <w:cantSplit/>
          <w:trHeight w:val="665"/>
          <w:tblHeader/>
        </w:trPr>
        <w:tc>
          <w:tcPr>
            <w:tcW w:w="900" w:type="dxa"/>
            <w:vMerge/>
            <w:tcBorders>
              <w:left w:val="single" w:sz="4" w:space="0" w:color="auto"/>
              <w:right w:val="single" w:sz="4" w:space="0" w:color="auto"/>
            </w:tcBorders>
            <w:vAlign w:val="center"/>
            <w:hideMark/>
          </w:tcPr>
          <w:p w:rsidR="00406E90" w:rsidRPr="006C4419" w:rsidRDefault="00406E90" w:rsidP="00406E90">
            <w:pPr>
              <w:jc w:val="center"/>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EAF</w:t>
            </w:r>
          </w:p>
          <w:p w:rsidR="00406E90" w:rsidRPr="006C4419" w:rsidRDefault="00406E90" w:rsidP="00406E90">
            <w:pPr>
              <w:jc w:val="center"/>
              <w:rPr>
                <w:sz w:val="22"/>
                <w:szCs w:val="22"/>
              </w:rPr>
            </w:pPr>
            <w:r w:rsidRPr="006C4419">
              <w:rPr>
                <w:sz w:val="22"/>
                <w:szCs w:val="22"/>
              </w:rP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EAF</w:t>
            </w:r>
          </w:p>
          <w:p w:rsidR="00406E90" w:rsidRPr="006C4419" w:rsidRDefault="00406E90" w:rsidP="00406E90">
            <w:pPr>
              <w:jc w:val="center"/>
              <w:rPr>
                <w:sz w:val="22"/>
                <w:szCs w:val="22"/>
              </w:rPr>
            </w:pPr>
            <w:r w:rsidRPr="006C4419">
              <w:rPr>
                <w:sz w:val="22"/>
                <w:szCs w:val="22"/>
              </w:rP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Savings</w:t>
            </w:r>
          </w:p>
          <w:p w:rsidR="00406E90" w:rsidRPr="006C4419" w:rsidRDefault="00406E90" w:rsidP="00406E90">
            <w:pPr>
              <w:jc w:val="center"/>
              <w:rPr>
                <w:sz w:val="22"/>
                <w:szCs w:val="22"/>
              </w:rPr>
            </w:pPr>
            <w:r>
              <w:rPr>
                <w:sz w:val="22"/>
                <w:szCs w:val="22"/>
              </w:rPr>
              <w:t>($000’</w:t>
            </w:r>
            <w:r w:rsidRPr="006C4419">
              <w:rPr>
                <w:sz w:val="22"/>
                <w:szCs w:val="22"/>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ANOHR</w:t>
            </w:r>
          </w:p>
          <w:p w:rsidR="00406E90" w:rsidRPr="006C4419" w:rsidRDefault="00406E90" w:rsidP="00406E90">
            <w:pPr>
              <w:jc w:val="center"/>
              <w:rPr>
                <w:sz w:val="22"/>
                <w:szCs w:val="22"/>
              </w:rPr>
            </w:pPr>
            <w:r w:rsidRPr="006C4419">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ANOHR</w:t>
            </w:r>
          </w:p>
          <w:p w:rsidR="00406E90" w:rsidRPr="006C4419" w:rsidRDefault="00406E90" w:rsidP="00406E90">
            <w:pPr>
              <w:jc w:val="center"/>
              <w:rPr>
                <w:sz w:val="22"/>
                <w:szCs w:val="22"/>
              </w:rPr>
            </w:pPr>
            <w:r w:rsidRPr="006C4419">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406E90" w:rsidRPr="006C4419" w:rsidRDefault="00406E90" w:rsidP="00406E90">
            <w:pPr>
              <w:jc w:val="center"/>
              <w:rPr>
                <w:sz w:val="22"/>
                <w:szCs w:val="22"/>
              </w:rPr>
            </w:pPr>
            <w:r w:rsidRPr="006C4419">
              <w:rPr>
                <w:sz w:val="22"/>
                <w:szCs w:val="22"/>
              </w:rPr>
              <w:t>Savings</w:t>
            </w:r>
          </w:p>
          <w:p w:rsidR="00406E90" w:rsidRPr="006C4419" w:rsidRDefault="00406E90" w:rsidP="00406E90">
            <w:pPr>
              <w:jc w:val="center"/>
              <w:rPr>
                <w:sz w:val="22"/>
                <w:szCs w:val="22"/>
              </w:rPr>
            </w:pPr>
            <w:r w:rsidRPr="006C4419">
              <w:rPr>
                <w:sz w:val="22"/>
                <w:szCs w:val="22"/>
              </w:rPr>
              <w:t>($000</w:t>
            </w:r>
            <w:r>
              <w:rPr>
                <w:sz w:val="22"/>
                <w:szCs w:val="22"/>
              </w:rPr>
              <w:t>’</w:t>
            </w:r>
            <w:r w:rsidRPr="006C4419">
              <w:rPr>
                <w:sz w:val="22"/>
                <w:szCs w:val="22"/>
              </w:rPr>
              <w:t>s)</w:t>
            </w:r>
          </w:p>
        </w:tc>
      </w:tr>
      <w:tr w:rsidR="00406E90" w:rsidRPr="006C4419" w:rsidTr="00406E90">
        <w:trPr>
          <w:trHeight w:val="300"/>
        </w:trPr>
        <w:tc>
          <w:tcPr>
            <w:tcW w:w="900" w:type="dxa"/>
            <w:vMerge/>
            <w:tcBorders>
              <w:left w:val="single" w:sz="4" w:space="0" w:color="auto"/>
              <w:right w:val="single" w:sz="4" w:space="0" w:color="auto"/>
            </w:tcBorders>
            <w:noWrap/>
            <w:vAlign w:val="center"/>
            <w:hideMark/>
          </w:tcPr>
          <w:p w:rsidR="00406E90" w:rsidRPr="006C4419" w:rsidRDefault="00406E90" w:rsidP="00406E90">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Canaveral 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sidRPr="00CD1389">
              <w:rPr>
                <w:sz w:val="22"/>
                <w:szCs w:val="22"/>
              </w:rPr>
              <w:t>92.3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94.8</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858</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6,750</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6,837</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1,473</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Ft. Myers 2</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91.2</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93.7</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163</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7,394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7,612</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3,269</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rPr>
                <w:sz w:val="22"/>
                <w:szCs w:val="22"/>
              </w:rPr>
            </w:pPr>
            <w:r w:rsidRPr="006C4419">
              <w:rPr>
                <w:sz w:val="22"/>
                <w:szCs w:val="22"/>
              </w:rPr>
              <w:t>Manatee 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90.3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92.8</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670</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6,899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7,057</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3,503</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rPr>
                <w:sz w:val="22"/>
                <w:szCs w:val="22"/>
              </w:rPr>
            </w:pPr>
            <w:r w:rsidRPr="006C4419">
              <w:rPr>
                <w:sz w:val="22"/>
                <w:szCs w:val="22"/>
              </w:rPr>
              <w:t>Martin 8</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91.4</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94.4</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539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6,954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7,176</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5,098</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rPr>
                <w:sz w:val="22"/>
                <w:szCs w:val="22"/>
              </w:rPr>
            </w:pPr>
            <w:r w:rsidRPr="006C4419">
              <w:rPr>
                <w:sz w:val="22"/>
                <w:szCs w:val="22"/>
              </w:rPr>
              <w:t>Okeechobee</w:t>
            </w:r>
            <w:r>
              <w:rPr>
                <w:sz w:val="22"/>
                <w:szCs w:val="22"/>
              </w:rPr>
              <w:t xml:space="preserve"> 1</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90.9</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93.9</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803</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6,425</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6,510</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2,869</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Port Everglades 5</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76.3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78.8</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1,357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6,677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6,834</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3,028</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Riviera 5</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94.3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96.8</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640</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6,631</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6,706</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1,946</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406E90" w:rsidRPr="006C4419" w:rsidRDefault="00406E90" w:rsidP="00406E90">
            <w:pPr>
              <w:rPr>
                <w:sz w:val="22"/>
                <w:szCs w:val="22"/>
              </w:rPr>
            </w:pPr>
            <w:r>
              <w:rPr>
                <w:sz w:val="22"/>
                <w:szCs w:val="22"/>
              </w:rPr>
              <w:t>Sanford 4</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95.8</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116</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7,312</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7,414</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1,454</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406E90" w:rsidRPr="006C4419" w:rsidRDefault="00406E90" w:rsidP="00406E90">
            <w:pPr>
              <w:rPr>
                <w:sz w:val="22"/>
                <w:szCs w:val="22"/>
              </w:rPr>
            </w:pPr>
            <w:r w:rsidRPr="006C4419">
              <w:rPr>
                <w:sz w:val="22"/>
                <w:szCs w:val="22"/>
              </w:rPr>
              <w:t>Sanford 5</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83.1</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85.6</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149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7,293</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7,397</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1,400</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406E90" w:rsidRPr="006C4419" w:rsidRDefault="00406E90" w:rsidP="00406E90">
            <w:pPr>
              <w:rPr>
                <w:sz w:val="22"/>
                <w:szCs w:val="22"/>
              </w:rPr>
            </w:pPr>
            <w:r w:rsidRPr="006C4419">
              <w:rPr>
                <w:sz w:val="22"/>
                <w:szCs w:val="22"/>
              </w:rPr>
              <w:t>St. Lucie 1</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82.6</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85.6</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4,404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10,387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10,486</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368</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St. Lucie 2</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4,375</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10,341</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10,438</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306</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Turkey Point 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93.6</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96.6</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4,184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10,524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10,679</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561</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Turkey Point 4</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84.3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87.3</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4,011</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10,418</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10,548</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399</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Turkey Point 5</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83.6</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86.1</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809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7,157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7,257</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1,051</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West County 1</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91.0</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94.0</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874</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7,028</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7,152</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2,621</w:t>
            </w:r>
          </w:p>
        </w:tc>
      </w:tr>
      <w:tr w:rsidR="00406E90" w:rsidRPr="006C4419" w:rsidTr="00406E90">
        <w:trPr>
          <w:trHeight w:val="300"/>
        </w:trPr>
        <w:tc>
          <w:tcPr>
            <w:tcW w:w="900" w:type="dxa"/>
            <w:vMerge/>
            <w:tcBorders>
              <w:left w:val="single" w:sz="4" w:space="0" w:color="auto"/>
              <w:right w:val="single" w:sz="4" w:space="0" w:color="auto"/>
            </w:tcBorders>
            <w:vAlign w:val="center"/>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rPr>
                <w:sz w:val="22"/>
                <w:szCs w:val="22"/>
              </w:rPr>
            </w:pPr>
            <w:r w:rsidRPr="006C4419">
              <w:rPr>
                <w:sz w:val="22"/>
                <w:szCs w:val="22"/>
              </w:rPr>
              <w:t>West County 2</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93.5</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96.0</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935</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6,893</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7,001</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2,780</w:t>
            </w:r>
          </w:p>
        </w:tc>
      </w:tr>
      <w:tr w:rsidR="00406E90" w:rsidRPr="006C4419" w:rsidTr="00406E90">
        <w:trPr>
          <w:trHeight w:val="300"/>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406E90" w:rsidRPr="006C4419" w:rsidRDefault="00406E90" w:rsidP="00406E90">
            <w:pPr>
              <w:rPr>
                <w:sz w:val="22"/>
                <w:szCs w:val="22"/>
              </w:rPr>
            </w:pPr>
            <w:r w:rsidRPr="006C4419">
              <w:rPr>
                <w:sz w:val="22"/>
                <w:szCs w:val="22"/>
              </w:rPr>
              <w:t>West County 3</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88.0</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90.5</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u w:val="single"/>
              </w:rPr>
            </w:pPr>
            <w:r>
              <w:rPr>
                <w:sz w:val="22"/>
                <w:szCs w:val="22"/>
                <w:u w:val="single"/>
              </w:rPr>
              <w:t>772</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7,068</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r>
              <w:rPr>
                <w:sz w:val="22"/>
                <w:szCs w:val="22"/>
              </w:rPr>
              <w:t>7,173</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u w:val="single"/>
              </w:rPr>
            </w:pPr>
            <w:r>
              <w:rPr>
                <w:sz w:val="22"/>
                <w:szCs w:val="22"/>
                <w:u w:val="single"/>
              </w:rPr>
              <w:t>2,244</w:t>
            </w:r>
          </w:p>
        </w:tc>
      </w:tr>
      <w:tr w:rsidR="00406E90" w:rsidRPr="006C4419" w:rsidTr="00406E90">
        <w:trPr>
          <w:trHeight w:val="341"/>
        </w:trPr>
        <w:tc>
          <w:tcPr>
            <w:tcW w:w="900" w:type="dxa"/>
            <w:vMerge/>
            <w:tcBorders>
              <w:left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406E90" w:rsidRPr="006C4419" w:rsidRDefault="00406E90" w:rsidP="00406E90">
            <w:pPr>
              <w:rPr>
                <w:sz w:val="22"/>
                <w:szCs w:val="22"/>
              </w:rPr>
            </w:pPr>
            <w:r w:rsidRPr="006C4419">
              <w:rPr>
                <w:sz w:val="22"/>
                <w:szCs w:val="22"/>
              </w:rPr>
              <w:t>Totals*</w:t>
            </w: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double"/>
              </w:rPr>
            </w:pPr>
            <w:r w:rsidRPr="00B1557B">
              <w:rPr>
                <w:sz w:val="22"/>
                <w:szCs w:val="22"/>
                <w:u w:val="double"/>
              </w:rPr>
              <w:t>$25,659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double"/>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double"/>
              </w:rPr>
            </w:pPr>
            <w:r w:rsidRPr="00B1557B">
              <w:rPr>
                <w:sz w:val="22"/>
                <w:szCs w:val="22"/>
                <w:u w:val="double"/>
              </w:rPr>
              <w:t>$34,370</w:t>
            </w:r>
          </w:p>
        </w:tc>
      </w:tr>
      <w:tr w:rsidR="00406E90" w:rsidRPr="006C4419" w:rsidTr="00406E90">
        <w:trPr>
          <w:trHeight w:val="260"/>
        </w:trPr>
        <w:tc>
          <w:tcPr>
            <w:tcW w:w="900" w:type="dxa"/>
            <w:vMerge/>
            <w:tcBorders>
              <w:left w:val="single" w:sz="4" w:space="0" w:color="auto"/>
              <w:bottom w:val="single" w:sz="4" w:space="0" w:color="auto"/>
              <w:right w:val="single" w:sz="4" w:space="0" w:color="auto"/>
            </w:tcBorders>
            <w:vAlign w:val="center"/>
            <w:hideMark/>
          </w:tcPr>
          <w:p w:rsidR="00406E90" w:rsidRPr="006C4419" w:rsidRDefault="00406E90" w:rsidP="00406E90">
            <w:pPr>
              <w:rPr>
                <w:sz w:val="22"/>
                <w:szCs w:val="22"/>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406E90" w:rsidRPr="006C4419" w:rsidRDefault="00406E90" w:rsidP="00406E90">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u w:val="double"/>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6C4419" w:rsidRDefault="00406E90" w:rsidP="00406E90">
            <w:pPr>
              <w:jc w:val="right"/>
              <w:rPr>
                <w:sz w:val="22"/>
                <w:szCs w:val="22"/>
                <w:highlight w:val="yellow"/>
                <w:u w:val="double"/>
              </w:rPr>
            </w:pPr>
          </w:p>
        </w:tc>
      </w:tr>
    </w:tbl>
    <w:p w:rsidR="00406E90" w:rsidRPr="006C4419" w:rsidRDefault="00406E90" w:rsidP="00406E90">
      <w:pPr>
        <w:rPr>
          <w:sz w:val="22"/>
          <w:szCs w:val="22"/>
        </w:rPr>
      </w:pPr>
      <w:r w:rsidRPr="006C4419">
        <w:rPr>
          <w:sz w:val="22"/>
          <w:szCs w:val="22"/>
        </w:rPr>
        <w:t xml:space="preserve">    </w:t>
      </w:r>
      <w:r w:rsidRPr="00B1557B">
        <w:rPr>
          <w:sz w:val="22"/>
          <w:szCs w:val="22"/>
        </w:rPr>
        <w:t>Source: GPIF Target and Range Summary, including Errata (Exhibit CRR-2, Pages 8-9 of 46)</w:t>
      </w:r>
    </w:p>
    <w:p w:rsidR="00406E90" w:rsidRDefault="00406E90" w:rsidP="00406E90">
      <w:pPr>
        <w:spacing w:after="200" w:line="276" w:lineRule="auto"/>
        <w:rPr>
          <w:b/>
        </w:rPr>
      </w:pPr>
    </w:p>
    <w:p w:rsidR="00406E90" w:rsidRPr="009D2B1E" w:rsidRDefault="00406E90" w:rsidP="00406E90">
      <w:pPr>
        <w:spacing w:after="200" w:line="276" w:lineRule="auto"/>
        <w:rPr>
          <w:b/>
        </w:rPr>
      </w:pPr>
      <w:r w:rsidRPr="009D2B1E">
        <w:rPr>
          <w:b/>
        </w:rPr>
        <w:t>TECO:</w:t>
      </w:r>
      <w:r w:rsidRPr="009D2B1E">
        <w:rPr>
          <w:b/>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20"/>
        <w:gridCol w:w="810"/>
        <w:gridCol w:w="810"/>
        <w:gridCol w:w="1080"/>
        <w:gridCol w:w="1260"/>
        <w:gridCol w:w="1260"/>
        <w:gridCol w:w="1350"/>
      </w:tblGrid>
      <w:tr w:rsidR="00406E90" w:rsidRPr="00B1557B" w:rsidTr="00406E90">
        <w:trPr>
          <w:trHeight w:val="300"/>
        </w:trPr>
        <w:tc>
          <w:tcPr>
            <w:tcW w:w="9360" w:type="dxa"/>
            <w:gridSpan w:val="8"/>
            <w:tcBorders>
              <w:top w:val="nil"/>
              <w:left w:val="nil"/>
              <w:bottom w:val="nil"/>
              <w:right w:val="nil"/>
            </w:tcBorders>
            <w:noWrap/>
            <w:vAlign w:val="center"/>
          </w:tcPr>
          <w:p w:rsidR="00406E90" w:rsidRPr="00B1557B" w:rsidRDefault="00406E90" w:rsidP="00406E90">
            <w:pPr>
              <w:jc w:val="center"/>
              <w:rPr>
                <w:rFonts w:ascii="Arial" w:hAnsi="Arial" w:cs="Arial"/>
                <w:b/>
              </w:rPr>
            </w:pPr>
            <w:r w:rsidRPr="00B1557B">
              <w:rPr>
                <w:rFonts w:ascii="Arial" w:hAnsi="Arial" w:cs="Arial"/>
                <w:b/>
              </w:rPr>
              <w:t>Table 15-3</w:t>
            </w:r>
          </w:p>
        </w:tc>
      </w:tr>
      <w:tr w:rsidR="00406E90" w:rsidRPr="00B1557B" w:rsidTr="00406E90">
        <w:trPr>
          <w:trHeight w:val="300"/>
        </w:trPr>
        <w:tc>
          <w:tcPr>
            <w:tcW w:w="9360" w:type="dxa"/>
            <w:gridSpan w:val="8"/>
            <w:tcBorders>
              <w:top w:val="nil"/>
              <w:left w:val="nil"/>
              <w:right w:val="nil"/>
            </w:tcBorders>
            <w:noWrap/>
            <w:vAlign w:val="center"/>
          </w:tcPr>
          <w:p w:rsidR="00406E90" w:rsidRPr="00B1557B" w:rsidRDefault="00406E90" w:rsidP="00406E90">
            <w:pPr>
              <w:jc w:val="center"/>
            </w:pPr>
            <w:r w:rsidRPr="00B1557B">
              <w:rPr>
                <w:rFonts w:ascii="Arial" w:hAnsi="Arial" w:cs="Arial"/>
                <w:b/>
              </w:rPr>
              <w:t>GPIF Targets/Ranges for the period January-December, 2025</w:t>
            </w:r>
          </w:p>
        </w:tc>
      </w:tr>
      <w:tr w:rsidR="00406E90" w:rsidRPr="00B1557B" w:rsidTr="00406E90">
        <w:trPr>
          <w:trHeight w:val="300"/>
        </w:trPr>
        <w:tc>
          <w:tcPr>
            <w:tcW w:w="1170" w:type="dxa"/>
            <w:vMerge w:val="restart"/>
            <w:tcBorders>
              <w:top w:val="single" w:sz="4" w:space="0" w:color="auto"/>
              <w:left w:val="single" w:sz="4" w:space="0" w:color="auto"/>
              <w:right w:val="single" w:sz="4" w:space="0" w:color="auto"/>
            </w:tcBorders>
            <w:noWrap/>
            <w:vAlign w:val="center"/>
          </w:tcPr>
          <w:p w:rsidR="00406E90" w:rsidRPr="00B1557B" w:rsidRDefault="00406E90" w:rsidP="00406E90">
            <w:pPr>
              <w:jc w:val="center"/>
              <w:rPr>
                <w:b/>
                <w:bCs/>
                <w:sz w:val="22"/>
                <w:szCs w:val="22"/>
              </w:rPr>
            </w:pPr>
            <w:r w:rsidRPr="00B1557B">
              <w:rPr>
                <w:b/>
                <w:bCs/>
                <w:sz w:val="22"/>
                <w:szCs w:val="22"/>
              </w:rPr>
              <w:t>TECO</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rsidR="00406E90" w:rsidRPr="00B1557B" w:rsidRDefault="00406E90" w:rsidP="00406E90">
            <w:pPr>
              <w:jc w:val="center"/>
              <w:rPr>
                <w:sz w:val="22"/>
                <w:szCs w:val="22"/>
              </w:rPr>
            </w:pPr>
            <w:r w:rsidRPr="00B1557B">
              <w:rPr>
                <w:sz w:val="22"/>
                <w:szCs w:val="22"/>
              </w:rPr>
              <w:t>Plant/Unit</w:t>
            </w: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Maximum</w:t>
            </w:r>
          </w:p>
        </w:tc>
      </w:tr>
      <w:tr w:rsidR="00406E90" w:rsidRPr="00B1557B" w:rsidTr="00406E90">
        <w:trPr>
          <w:trHeight w:val="610"/>
        </w:trPr>
        <w:tc>
          <w:tcPr>
            <w:tcW w:w="1170" w:type="dxa"/>
            <w:vMerge/>
            <w:tcBorders>
              <w:left w:val="single" w:sz="4" w:space="0" w:color="auto"/>
              <w:right w:val="single" w:sz="4" w:space="0" w:color="auto"/>
            </w:tcBorders>
            <w:vAlign w:val="center"/>
            <w:hideMark/>
          </w:tcPr>
          <w:p w:rsidR="00406E90" w:rsidRPr="00B1557B" w:rsidRDefault="00406E90" w:rsidP="00406E90">
            <w:pPr>
              <w:jc w:val="cente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06E90" w:rsidRPr="00B1557B" w:rsidRDefault="00406E90" w:rsidP="00406E90">
            <w:pPr>
              <w:rPr>
                <w:sz w:val="22"/>
                <w:szCs w:val="22"/>
              </w:rPr>
            </w:pP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EAF</w:t>
            </w:r>
          </w:p>
          <w:p w:rsidR="00406E90" w:rsidRPr="00B1557B" w:rsidRDefault="00406E90" w:rsidP="00406E90">
            <w:pPr>
              <w:jc w:val="center"/>
              <w:rPr>
                <w:sz w:val="22"/>
                <w:szCs w:val="22"/>
              </w:rPr>
            </w:pPr>
            <w:r w:rsidRPr="00B1557B">
              <w:rPr>
                <w:sz w:val="22"/>
                <w:szCs w:val="22"/>
              </w:rPr>
              <w:t>( % )</w:t>
            </w:r>
          </w:p>
        </w:tc>
        <w:tc>
          <w:tcPr>
            <w:tcW w:w="81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EAF</w:t>
            </w:r>
          </w:p>
          <w:p w:rsidR="00406E90" w:rsidRPr="00B1557B" w:rsidRDefault="00406E90" w:rsidP="00406E90">
            <w:pPr>
              <w:jc w:val="center"/>
              <w:rPr>
                <w:sz w:val="22"/>
                <w:szCs w:val="22"/>
              </w:rPr>
            </w:pPr>
            <w:r w:rsidRPr="00B1557B">
              <w:rPr>
                <w:sz w:val="22"/>
                <w:szCs w:val="22"/>
              </w:rPr>
              <w:t>( % )</w:t>
            </w:r>
          </w:p>
        </w:tc>
        <w:tc>
          <w:tcPr>
            <w:tcW w:w="1080" w:type="dxa"/>
            <w:tcBorders>
              <w:top w:val="single" w:sz="4" w:space="0" w:color="auto"/>
              <w:left w:val="single" w:sz="4" w:space="0" w:color="auto"/>
              <w:bottom w:val="single" w:sz="4" w:space="0" w:color="auto"/>
              <w:right w:val="single" w:sz="4" w:space="0" w:color="auto"/>
            </w:tcBorders>
            <w:noWrap/>
            <w:hideMark/>
          </w:tcPr>
          <w:p w:rsidR="00406E90" w:rsidRPr="00B1557B" w:rsidRDefault="00406E90" w:rsidP="00406E90">
            <w:pPr>
              <w:jc w:val="center"/>
              <w:rPr>
                <w:sz w:val="22"/>
                <w:szCs w:val="22"/>
              </w:rPr>
            </w:pPr>
            <w:r w:rsidRPr="00B1557B">
              <w:rPr>
                <w:sz w:val="22"/>
                <w:szCs w:val="22"/>
              </w:rPr>
              <w:t>Savings</w:t>
            </w:r>
          </w:p>
          <w:p w:rsidR="00406E90" w:rsidRPr="00B1557B" w:rsidRDefault="00406E90" w:rsidP="00406E90">
            <w:pPr>
              <w:rPr>
                <w:sz w:val="22"/>
                <w:szCs w:val="22"/>
              </w:rPr>
            </w:pPr>
            <w:r w:rsidRPr="00B1557B">
              <w:rPr>
                <w:sz w:val="22"/>
                <w:szCs w:val="22"/>
              </w:rP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ANOHR</w:t>
            </w:r>
          </w:p>
          <w:p w:rsidR="00406E90" w:rsidRPr="00B1557B" w:rsidRDefault="00406E90" w:rsidP="00406E90">
            <w:pPr>
              <w:jc w:val="center"/>
              <w:rPr>
                <w:sz w:val="22"/>
                <w:szCs w:val="22"/>
              </w:rPr>
            </w:pPr>
            <w:r w:rsidRPr="00B1557B">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ANOHR</w:t>
            </w:r>
          </w:p>
          <w:p w:rsidR="00406E90" w:rsidRPr="00B1557B" w:rsidRDefault="00406E90" w:rsidP="00406E90">
            <w:pPr>
              <w:jc w:val="center"/>
              <w:rPr>
                <w:sz w:val="22"/>
                <w:szCs w:val="22"/>
              </w:rPr>
            </w:pPr>
            <w:r w:rsidRPr="00B1557B">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406E90" w:rsidRPr="00B1557B" w:rsidRDefault="00406E90" w:rsidP="00406E90">
            <w:pPr>
              <w:jc w:val="center"/>
              <w:rPr>
                <w:sz w:val="22"/>
                <w:szCs w:val="22"/>
              </w:rPr>
            </w:pPr>
            <w:r w:rsidRPr="00B1557B">
              <w:rPr>
                <w:sz w:val="22"/>
                <w:szCs w:val="22"/>
              </w:rPr>
              <w:t>Savings</w:t>
            </w:r>
          </w:p>
          <w:p w:rsidR="00406E90" w:rsidRPr="00B1557B" w:rsidRDefault="00406E90" w:rsidP="00406E90">
            <w:pPr>
              <w:jc w:val="center"/>
              <w:rPr>
                <w:sz w:val="22"/>
                <w:szCs w:val="22"/>
              </w:rPr>
            </w:pPr>
            <w:r w:rsidRPr="00B1557B">
              <w:rPr>
                <w:sz w:val="22"/>
                <w:szCs w:val="22"/>
              </w:rPr>
              <w:t>($000's)</w:t>
            </w:r>
          </w:p>
        </w:tc>
      </w:tr>
      <w:tr w:rsidR="00406E90" w:rsidRPr="00B1557B" w:rsidTr="00406E90">
        <w:trPr>
          <w:trHeight w:val="300"/>
        </w:trPr>
        <w:tc>
          <w:tcPr>
            <w:tcW w:w="1170" w:type="dxa"/>
            <w:vMerge/>
            <w:tcBorders>
              <w:left w:val="single" w:sz="4" w:space="0" w:color="auto"/>
              <w:right w:val="single" w:sz="4" w:space="0" w:color="auto"/>
            </w:tcBorders>
            <w:vAlign w:val="center"/>
            <w:hideMark/>
          </w:tcPr>
          <w:p w:rsidR="00406E90" w:rsidRPr="00B1557B" w:rsidRDefault="00406E90" w:rsidP="00406E90">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06E90" w:rsidRPr="00B1557B" w:rsidRDefault="00406E90" w:rsidP="00406E90">
            <w:pPr>
              <w:rPr>
                <w:sz w:val="22"/>
                <w:szCs w:val="22"/>
              </w:rPr>
            </w:pPr>
            <w:r w:rsidRPr="00B1557B">
              <w:rPr>
                <w:sz w:val="22"/>
                <w:szCs w:val="22"/>
              </w:rPr>
              <w:t>Big Bend CC 1</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93.4</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94.2</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2,497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6,262</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6,288</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843</w:t>
            </w:r>
          </w:p>
        </w:tc>
      </w:tr>
      <w:tr w:rsidR="00406E90" w:rsidRPr="00B1557B" w:rsidTr="00406E90">
        <w:trPr>
          <w:trHeight w:val="300"/>
        </w:trPr>
        <w:tc>
          <w:tcPr>
            <w:tcW w:w="1170" w:type="dxa"/>
            <w:vMerge/>
            <w:tcBorders>
              <w:left w:val="single" w:sz="4" w:space="0" w:color="auto"/>
              <w:right w:val="single" w:sz="4" w:space="0" w:color="auto"/>
            </w:tcBorders>
            <w:vAlign w:val="center"/>
            <w:hideMark/>
          </w:tcPr>
          <w:p w:rsidR="00406E90" w:rsidRPr="00B1557B" w:rsidRDefault="00406E90" w:rsidP="00406E90">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06E90" w:rsidRPr="00B1557B" w:rsidRDefault="00406E90" w:rsidP="00406E90">
            <w:pPr>
              <w:rPr>
                <w:sz w:val="22"/>
                <w:szCs w:val="22"/>
              </w:rPr>
            </w:pPr>
            <w:r w:rsidRPr="00B1557B">
              <w:rPr>
                <w:sz w:val="22"/>
                <w:szCs w:val="22"/>
              </w:rPr>
              <w:t>Polk 2</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71.9</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74.3</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4,818</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7,456</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7,871</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4,747</w:t>
            </w:r>
          </w:p>
        </w:tc>
      </w:tr>
      <w:tr w:rsidR="00406E90" w:rsidRPr="00B1557B" w:rsidTr="00406E90">
        <w:trPr>
          <w:trHeight w:val="300"/>
        </w:trPr>
        <w:tc>
          <w:tcPr>
            <w:tcW w:w="1170" w:type="dxa"/>
            <w:vMerge/>
            <w:tcBorders>
              <w:left w:val="single" w:sz="4" w:space="0" w:color="auto"/>
              <w:right w:val="single" w:sz="4" w:space="0" w:color="auto"/>
            </w:tcBorders>
            <w:vAlign w:val="center"/>
            <w:hideMark/>
          </w:tcPr>
          <w:p w:rsidR="00406E90" w:rsidRPr="00B1557B" w:rsidRDefault="00406E90" w:rsidP="00406E90">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06E90" w:rsidRPr="00B1557B" w:rsidRDefault="00406E90" w:rsidP="00406E90">
            <w:pPr>
              <w:rPr>
                <w:sz w:val="22"/>
                <w:szCs w:val="22"/>
              </w:rPr>
            </w:pPr>
            <w:r w:rsidRPr="00B1557B">
              <w:rPr>
                <w:sz w:val="22"/>
                <w:szCs w:val="22"/>
              </w:rPr>
              <w:t>Bayside 1</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70.6</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72.3</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2,256</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7,349</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7,617</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9,646</w:t>
            </w:r>
          </w:p>
        </w:tc>
      </w:tr>
      <w:tr w:rsidR="00406E90" w:rsidRPr="00B1557B" w:rsidTr="00406E90">
        <w:trPr>
          <w:trHeight w:val="300"/>
        </w:trPr>
        <w:tc>
          <w:tcPr>
            <w:tcW w:w="1170" w:type="dxa"/>
            <w:vMerge/>
            <w:tcBorders>
              <w:left w:val="single" w:sz="4" w:space="0" w:color="auto"/>
              <w:right w:val="single" w:sz="4" w:space="0" w:color="auto"/>
            </w:tcBorders>
            <w:vAlign w:val="center"/>
            <w:hideMark/>
          </w:tcPr>
          <w:p w:rsidR="00406E90" w:rsidRPr="00B1557B" w:rsidRDefault="00406E90" w:rsidP="00406E90">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406E90" w:rsidRPr="00B1557B" w:rsidRDefault="00406E90" w:rsidP="00406E90">
            <w:pPr>
              <w:rPr>
                <w:sz w:val="22"/>
                <w:szCs w:val="22"/>
              </w:rPr>
            </w:pPr>
            <w:r w:rsidRPr="00B1557B">
              <w:rPr>
                <w:sz w:val="22"/>
                <w:szCs w:val="22"/>
              </w:rPr>
              <w:t>Bayside 2</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93.3</w:t>
            </w:r>
          </w:p>
        </w:tc>
        <w:tc>
          <w:tcPr>
            <w:tcW w:w="81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94.1</w:t>
            </w:r>
          </w:p>
        </w:tc>
        <w:tc>
          <w:tcPr>
            <w:tcW w:w="108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single"/>
              </w:rPr>
            </w:pPr>
            <w:r w:rsidRPr="00B1557B">
              <w:rPr>
                <w:sz w:val="22"/>
                <w:szCs w:val="22"/>
                <w:u w:val="single"/>
              </w:rPr>
              <w:t>247</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7,723</w:t>
            </w:r>
          </w:p>
        </w:tc>
        <w:tc>
          <w:tcPr>
            <w:tcW w:w="126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rPr>
            </w:pPr>
            <w:r w:rsidRPr="00B1557B">
              <w:rPr>
                <w:sz w:val="22"/>
                <w:szCs w:val="22"/>
              </w:rPr>
              <w:t>8,638</w:t>
            </w:r>
          </w:p>
        </w:tc>
        <w:tc>
          <w:tcPr>
            <w:tcW w:w="1350" w:type="dxa"/>
            <w:tcBorders>
              <w:top w:val="single" w:sz="4" w:space="0" w:color="auto"/>
              <w:left w:val="single" w:sz="4" w:space="0" w:color="auto"/>
              <w:bottom w:val="single" w:sz="4" w:space="0" w:color="auto"/>
              <w:right w:val="single" w:sz="4" w:space="0" w:color="auto"/>
            </w:tcBorders>
            <w:noWrap/>
            <w:vAlign w:val="bottom"/>
          </w:tcPr>
          <w:p w:rsidR="00406E90" w:rsidRPr="00B1557B" w:rsidRDefault="00406E90" w:rsidP="00406E90">
            <w:pPr>
              <w:jc w:val="right"/>
              <w:rPr>
                <w:sz w:val="22"/>
                <w:szCs w:val="22"/>
                <w:u w:val="single"/>
              </w:rPr>
            </w:pPr>
            <w:r w:rsidRPr="00B1557B">
              <w:rPr>
                <w:sz w:val="22"/>
                <w:szCs w:val="22"/>
                <w:u w:val="single"/>
              </w:rPr>
              <w:t>6,317</w:t>
            </w:r>
          </w:p>
        </w:tc>
      </w:tr>
      <w:tr w:rsidR="00406E90" w:rsidRPr="00B1557B" w:rsidTr="00406E90">
        <w:trPr>
          <w:trHeight w:val="300"/>
        </w:trPr>
        <w:tc>
          <w:tcPr>
            <w:tcW w:w="1170" w:type="dxa"/>
            <w:vMerge/>
            <w:tcBorders>
              <w:left w:val="single" w:sz="4" w:space="0" w:color="auto"/>
              <w:bottom w:val="single" w:sz="4" w:space="0" w:color="auto"/>
              <w:right w:val="single" w:sz="4" w:space="0" w:color="auto"/>
            </w:tcBorders>
            <w:vAlign w:val="center"/>
            <w:hideMark/>
          </w:tcPr>
          <w:p w:rsidR="00406E90" w:rsidRPr="00B1557B" w:rsidRDefault="00406E90" w:rsidP="00406E90">
            <w:pPr>
              <w:rPr>
                <w:sz w:val="22"/>
                <w:szCs w:val="22"/>
              </w:rPr>
            </w:pPr>
          </w:p>
        </w:tc>
        <w:tc>
          <w:tcPr>
            <w:tcW w:w="1620" w:type="dxa"/>
            <w:tcBorders>
              <w:top w:val="single" w:sz="4" w:space="0" w:color="auto"/>
              <w:left w:val="single" w:sz="4" w:space="0" w:color="auto"/>
              <w:bottom w:val="single" w:sz="4" w:space="0" w:color="auto"/>
              <w:right w:val="single" w:sz="4" w:space="0" w:color="auto"/>
            </w:tcBorders>
            <w:noWrap/>
            <w:hideMark/>
          </w:tcPr>
          <w:p w:rsidR="00406E90" w:rsidRPr="00B1557B" w:rsidRDefault="00406E90" w:rsidP="00406E90">
            <w:pPr>
              <w:jc w:val="right"/>
              <w:rPr>
                <w:sz w:val="22"/>
                <w:szCs w:val="22"/>
              </w:rPr>
            </w:pPr>
            <w:r w:rsidRPr="00B1557B">
              <w:rPr>
                <w:sz w:val="22"/>
                <w:szCs w:val="22"/>
              </w:rPr>
              <w:t>Totals</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06E90" w:rsidRPr="00B1557B" w:rsidRDefault="00406E90" w:rsidP="00406E90">
            <w:pPr>
              <w:jc w:val="right"/>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406E90" w:rsidRPr="00B1557B" w:rsidRDefault="00406E90" w:rsidP="00406E90">
            <w:pPr>
              <w:jc w:val="right"/>
              <w:rPr>
                <w:sz w:val="22"/>
                <w:szCs w:val="22"/>
                <w:u w:val="double"/>
              </w:rPr>
            </w:pPr>
            <w:r w:rsidRPr="00B1557B">
              <w:rPr>
                <w:sz w:val="22"/>
                <w:szCs w:val="22"/>
                <w:u w:val="double"/>
              </w:rPr>
              <w:t>$9,818</w:t>
            </w:r>
          </w:p>
        </w:tc>
        <w:tc>
          <w:tcPr>
            <w:tcW w:w="2520" w:type="dxa"/>
            <w:gridSpan w:val="2"/>
            <w:tcBorders>
              <w:top w:val="single" w:sz="4" w:space="0" w:color="auto"/>
              <w:left w:val="single" w:sz="4" w:space="0" w:color="auto"/>
              <w:bottom w:val="single" w:sz="4" w:space="0" w:color="auto"/>
              <w:right w:val="single" w:sz="4" w:space="0" w:color="auto"/>
            </w:tcBorders>
            <w:noWrap/>
            <w:vAlign w:val="center"/>
          </w:tcPr>
          <w:p w:rsidR="00406E90" w:rsidRPr="00B1557B" w:rsidRDefault="00406E90" w:rsidP="00406E90">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406E90" w:rsidRPr="00B1557B" w:rsidRDefault="00406E90" w:rsidP="00406E90">
            <w:pPr>
              <w:jc w:val="right"/>
              <w:rPr>
                <w:sz w:val="22"/>
                <w:szCs w:val="22"/>
                <w:u w:val="double"/>
              </w:rPr>
            </w:pPr>
            <w:r w:rsidRPr="00B1557B">
              <w:rPr>
                <w:sz w:val="22"/>
                <w:szCs w:val="22"/>
                <w:u w:val="double"/>
              </w:rPr>
              <w:t>$21,553</w:t>
            </w:r>
          </w:p>
        </w:tc>
      </w:tr>
    </w:tbl>
    <w:p w:rsidR="00406E90" w:rsidRPr="005E6F70" w:rsidRDefault="00406E90" w:rsidP="00406E90">
      <w:pPr>
        <w:autoSpaceDE w:val="0"/>
        <w:autoSpaceDN w:val="0"/>
        <w:adjustRightInd w:val="0"/>
        <w:jc w:val="both"/>
      </w:pPr>
      <w:r w:rsidRPr="00B1557B">
        <w:rPr>
          <w:sz w:val="22"/>
          <w:szCs w:val="22"/>
        </w:rPr>
        <w:t>Source: GPIF Target and Range Summary (Exhibit EBV-2, Document 1, Page 4 of 28).</w:t>
      </w:r>
    </w:p>
    <w:p w:rsidR="00406E90" w:rsidRDefault="00406E90" w:rsidP="00406E90">
      <w:pPr>
        <w:autoSpaceDE w:val="0"/>
        <w:autoSpaceDN w:val="0"/>
        <w:adjustRightInd w:val="0"/>
        <w:rPr>
          <w:b/>
          <w:bCs/>
          <w:caps/>
        </w:rPr>
      </w:pPr>
    </w:p>
    <w:p w:rsidR="00910005" w:rsidRDefault="00910005">
      <w:pPr>
        <w:rPr>
          <w:b/>
          <w:bCs/>
          <w:caps/>
          <w:u w:val="single"/>
        </w:rPr>
      </w:pPr>
      <w:r>
        <w:rPr>
          <w:b/>
          <w:bCs/>
          <w:caps/>
          <w:u w:val="single"/>
        </w:rPr>
        <w:br w:type="page"/>
      </w:r>
    </w:p>
    <w:p w:rsidR="00406E90" w:rsidRPr="004B2031" w:rsidRDefault="00406E90" w:rsidP="00406E90">
      <w:pPr>
        <w:autoSpaceDE w:val="0"/>
        <w:autoSpaceDN w:val="0"/>
        <w:adjustRightInd w:val="0"/>
        <w:rPr>
          <w:b/>
          <w:bCs/>
          <w:u w:val="single"/>
        </w:rPr>
      </w:pPr>
      <w:r w:rsidRPr="004B2031">
        <w:rPr>
          <w:b/>
          <w:bCs/>
          <w:caps/>
          <w:u w:val="single"/>
        </w:rPr>
        <w:lastRenderedPageBreak/>
        <w:t xml:space="preserve">Fuel Factor Calculation ISSUES </w:t>
      </w:r>
    </w:p>
    <w:p w:rsidR="00406E90" w:rsidRPr="00BF6EBB" w:rsidRDefault="00406E90" w:rsidP="00406E90">
      <w:pPr>
        <w:autoSpaceDE w:val="0"/>
        <w:autoSpaceDN w:val="0"/>
        <w:adjustRightInd w:val="0"/>
        <w:jc w:val="both"/>
        <w:rPr>
          <w:b/>
          <w:bCs/>
          <w:u w:val="single"/>
        </w:rPr>
      </w:pPr>
    </w:p>
    <w:p w:rsidR="00406E90" w:rsidRDefault="00406E90" w:rsidP="00910005">
      <w:pPr>
        <w:autoSpaceDE w:val="0"/>
        <w:autoSpaceDN w:val="0"/>
        <w:adjustRightInd w:val="0"/>
        <w:ind w:left="1440" w:hanging="1440"/>
        <w:jc w:val="both"/>
      </w:pPr>
      <w:r w:rsidRPr="00BF6EBB">
        <w:rPr>
          <w:b/>
          <w:bCs/>
          <w:u w:val="single"/>
        </w:rPr>
        <w:t xml:space="preserve">ISSUE </w:t>
      </w:r>
      <w:r w:rsidRPr="00EC2A28">
        <w:rPr>
          <w:b/>
          <w:bCs/>
          <w:u w:val="single"/>
        </w:rPr>
        <w:t>16</w:t>
      </w:r>
      <w:r w:rsidRPr="00EC2A28">
        <w:rPr>
          <w:b/>
        </w:rPr>
        <w:t>:</w:t>
      </w:r>
      <w:r w:rsidRPr="00BF6EBB">
        <w:tab/>
        <w:t>What are the appropriate projected net fuel and purchased power cost recovery and Generating Performance Incentive amounts to be included in the recovery factor for the period January 202</w:t>
      </w:r>
      <w:r>
        <w:t>5</w:t>
      </w:r>
      <w:r w:rsidRPr="00BF6EBB">
        <w:t xml:space="preserve"> through December 202</w:t>
      </w:r>
      <w:r>
        <w:t>5</w:t>
      </w:r>
      <w:r w:rsidRPr="00BF6EBB">
        <w:t>?</w:t>
      </w:r>
    </w:p>
    <w:p w:rsidR="00910005" w:rsidRDefault="00910005" w:rsidP="00406E90">
      <w:pPr>
        <w:ind w:left="1440" w:hanging="1440"/>
        <w:jc w:val="both"/>
        <w:rPr>
          <w:b/>
        </w:rPr>
      </w:pPr>
    </w:p>
    <w:p w:rsidR="00406E90" w:rsidRPr="009D1593" w:rsidRDefault="00406E90" w:rsidP="00406E90">
      <w:pPr>
        <w:ind w:left="1440" w:hanging="1440"/>
        <w:jc w:val="both"/>
        <w:rPr>
          <w:rStyle w:val="Strong"/>
          <w:b w:val="0"/>
          <w:bCs w:val="0"/>
        </w:rPr>
      </w:pPr>
      <w:r w:rsidRPr="009D1593">
        <w:rPr>
          <w:b/>
        </w:rPr>
        <w:t>Stipulations:</w:t>
      </w:r>
    </w:p>
    <w:p w:rsidR="00406E90" w:rsidRPr="009D2B1E" w:rsidRDefault="00406E90" w:rsidP="00406E90"/>
    <w:p w:rsidR="00406E90" w:rsidRPr="009D2B1E" w:rsidRDefault="00406E90" w:rsidP="00406E90">
      <w:r w:rsidRPr="009D2B1E">
        <w:rPr>
          <w:b/>
        </w:rPr>
        <w:t xml:space="preserve">DEF: </w:t>
      </w:r>
      <w:r w:rsidRPr="009D2B1E">
        <w:rPr>
          <w:b/>
        </w:rPr>
        <w:tab/>
      </w:r>
      <w:r>
        <w:tab/>
      </w:r>
      <w:r w:rsidRPr="009D2B1E">
        <w:t>$1,599,414,275.</w:t>
      </w:r>
    </w:p>
    <w:p w:rsidR="00406E90" w:rsidRPr="009D2B1E" w:rsidRDefault="00406E90" w:rsidP="00406E90"/>
    <w:p w:rsidR="00406E90" w:rsidRPr="009D2B1E" w:rsidRDefault="00406E90" w:rsidP="00406E90">
      <w:r w:rsidRPr="009D2B1E">
        <w:rPr>
          <w:b/>
        </w:rPr>
        <w:t>FPL:</w:t>
      </w:r>
      <w:r w:rsidRPr="009D2B1E">
        <w:t xml:space="preserve"> </w:t>
      </w:r>
      <w:r>
        <w:tab/>
      </w:r>
      <w:r>
        <w:tab/>
      </w:r>
      <w:r w:rsidRPr="009D2B1E">
        <w:t>$3,431,589,874.</w:t>
      </w:r>
    </w:p>
    <w:p w:rsidR="00406E90" w:rsidRPr="009D2B1E" w:rsidRDefault="00406E90" w:rsidP="00406E90"/>
    <w:p w:rsidR="00406E90" w:rsidRPr="009D2B1E" w:rsidRDefault="00406E90" w:rsidP="00406E90">
      <w:r w:rsidRPr="009D2B1E">
        <w:rPr>
          <w:b/>
        </w:rPr>
        <w:t>FPUC:</w:t>
      </w:r>
      <w:r w:rsidRPr="009D2B1E">
        <w:t xml:space="preserve"> </w:t>
      </w:r>
      <w:r>
        <w:tab/>
      </w:r>
      <w:r w:rsidRPr="009D2B1E">
        <w:t>$47,355,945.</w:t>
      </w:r>
    </w:p>
    <w:p w:rsidR="00406E90" w:rsidRPr="00BF6EBB" w:rsidRDefault="00406E90" w:rsidP="00406E90">
      <w:r w:rsidRPr="009D2B1E">
        <w:t xml:space="preserve"> </w:t>
      </w:r>
      <w:r w:rsidRPr="009D2B1E">
        <w:rPr>
          <w:b/>
        </w:rPr>
        <w:t>TECO:</w:t>
      </w:r>
      <w:r w:rsidRPr="009D2B1E">
        <w:tab/>
        <w:t xml:space="preserve">$671,420,329.       </w:t>
      </w:r>
      <w:r w:rsidRPr="00BF6EBB">
        <w:t xml:space="preserve">  </w:t>
      </w:r>
    </w:p>
    <w:p w:rsidR="00406E90" w:rsidRPr="00520C62" w:rsidRDefault="00406E90" w:rsidP="00406E90"/>
    <w:p w:rsidR="00406E90" w:rsidRPr="0038035E" w:rsidRDefault="00406E90" w:rsidP="00406E90">
      <w:pPr>
        <w:ind w:left="1440" w:hanging="1440"/>
        <w:jc w:val="both"/>
        <w:rPr>
          <w:rStyle w:val="Strong"/>
          <w:b w:val="0"/>
          <w:bCs w:val="0"/>
        </w:rPr>
      </w:pPr>
      <w:r w:rsidRPr="00BF6EBB">
        <w:rPr>
          <w:rStyle w:val="Strong"/>
          <w:u w:val="single"/>
        </w:rPr>
        <w:t>ISSUE 1</w:t>
      </w:r>
      <w:r>
        <w:rPr>
          <w:rStyle w:val="Strong"/>
          <w:u w:val="single"/>
        </w:rPr>
        <w:t>7</w:t>
      </w:r>
      <w:r w:rsidRPr="00BF6EBB">
        <w:rPr>
          <w:rStyle w:val="Strong"/>
        </w:rPr>
        <w:t>:</w:t>
      </w:r>
      <w:r w:rsidRPr="00BF6EBB">
        <w:rPr>
          <w:rStyle w:val="Strong"/>
        </w:rPr>
        <w:tab/>
      </w:r>
      <w:r w:rsidRPr="0038035E">
        <w:rPr>
          <w:rStyle w:val="Strong"/>
        </w:rPr>
        <w:t>What is the appropriate revenue tax factor to be applied in calculating each investor-owned electric utility’s levelized fuel factor for the projection period January 2025 through December 2025?</w:t>
      </w:r>
    </w:p>
    <w:p w:rsidR="00406E90" w:rsidRDefault="00406E90" w:rsidP="00406E90">
      <w:pPr>
        <w:ind w:left="1440" w:hanging="1440"/>
        <w:jc w:val="both"/>
        <w:rPr>
          <w:b/>
        </w:rPr>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ind w:left="1440" w:hanging="1440"/>
        <w:jc w:val="both"/>
        <w:rPr>
          <w:b/>
          <w:bCs/>
        </w:rPr>
      </w:pPr>
    </w:p>
    <w:p w:rsidR="00406E90" w:rsidRPr="005E6F70" w:rsidRDefault="00406E90" w:rsidP="00406E90">
      <w:pPr>
        <w:autoSpaceDE w:val="0"/>
        <w:autoSpaceDN w:val="0"/>
        <w:adjustRightInd w:val="0"/>
        <w:jc w:val="both"/>
      </w:pPr>
      <w:r w:rsidRPr="009D2B1E">
        <w:rPr>
          <w:b/>
        </w:rPr>
        <w:t>DEF:</w:t>
      </w:r>
      <w:r>
        <w:tab/>
      </w:r>
      <w:r>
        <w:tab/>
        <w:t xml:space="preserve"> </w:t>
      </w:r>
      <w:r w:rsidRPr="006374F3">
        <w:t>N/A</w:t>
      </w:r>
      <w:r>
        <w:t>.</w:t>
      </w:r>
    </w:p>
    <w:p w:rsidR="00406E90" w:rsidRPr="005E6F7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2B1E">
        <w:rPr>
          <w:b/>
        </w:rPr>
        <w:t xml:space="preserve">FPL: </w:t>
      </w:r>
      <w:r>
        <w:tab/>
      </w:r>
      <w:r>
        <w:tab/>
      </w:r>
      <w:r w:rsidRPr="001743BF">
        <w:t>N/A.</w:t>
      </w:r>
    </w:p>
    <w:p w:rsidR="00406E90" w:rsidRPr="005E6F7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2B1E">
        <w:rPr>
          <w:b/>
        </w:rPr>
        <w:t>FPUC:</w:t>
      </w:r>
      <w:r w:rsidRPr="00713178">
        <w:tab/>
      </w:r>
      <w:r>
        <w:tab/>
      </w:r>
      <w:r w:rsidRPr="00713178">
        <w:t>1.000848</w:t>
      </w:r>
    </w:p>
    <w:p w:rsidR="00406E90" w:rsidRDefault="00406E90" w:rsidP="00406E90">
      <w:pPr>
        <w:autoSpaceDE w:val="0"/>
        <w:autoSpaceDN w:val="0"/>
        <w:adjustRightInd w:val="0"/>
        <w:jc w:val="both"/>
      </w:pPr>
    </w:p>
    <w:p w:rsidR="00406E90" w:rsidRPr="005E6F70" w:rsidRDefault="00406E90" w:rsidP="00406E90">
      <w:pPr>
        <w:autoSpaceDE w:val="0"/>
        <w:autoSpaceDN w:val="0"/>
        <w:adjustRightInd w:val="0"/>
        <w:jc w:val="both"/>
      </w:pPr>
      <w:r w:rsidRPr="009D2B1E">
        <w:rPr>
          <w:b/>
        </w:rPr>
        <w:t>TECO:</w:t>
      </w:r>
      <w:r w:rsidRPr="005E6F70">
        <w:tab/>
      </w:r>
      <w:r w:rsidRPr="00B22865">
        <w:t>1.000848</w:t>
      </w:r>
    </w:p>
    <w:p w:rsidR="00406E90" w:rsidRPr="00520C62" w:rsidRDefault="00406E90" w:rsidP="00406E90">
      <w:r w:rsidRPr="00520C62">
        <w:t xml:space="preserve">                                                       </w:t>
      </w:r>
    </w:p>
    <w:p w:rsidR="00406E90" w:rsidRDefault="00406E90" w:rsidP="00406E90">
      <w:pPr>
        <w:autoSpaceDE w:val="0"/>
        <w:autoSpaceDN w:val="0"/>
        <w:adjustRightInd w:val="0"/>
        <w:ind w:left="1440" w:hanging="1440"/>
        <w:jc w:val="both"/>
      </w:pPr>
      <w:r w:rsidRPr="00BF6EBB">
        <w:rPr>
          <w:b/>
          <w:bCs/>
          <w:u w:val="single"/>
        </w:rPr>
        <w:t xml:space="preserve">ISSUE </w:t>
      </w:r>
      <w:r>
        <w:rPr>
          <w:b/>
          <w:bCs/>
          <w:u w:val="single"/>
        </w:rPr>
        <w:t>1</w:t>
      </w:r>
      <w:r w:rsidRPr="00EC2A28">
        <w:rPr>
          <w:b/>
          <w:bCs/>
          <w:u w:val="single"/>
        </w:rPr>
        <w:t>8</w:t>
      </w:r>
      <w:r w:rsidRPr="00EC2A28">
        <w:rPr>
          <w:b/>
        </w:rPr>
        <w:t>:</w:t>
      </w:r>
      <w:r w:rsidRPr="00BF6EBB">
        <w:tab/>
        <w:t>What are the appropriate levelized fuel cost recovery factors for the period January 202</w:t>
      </w:r>
      <w:r>
        <w:t>5</w:t>
      </w:r>
      <w:r w:rsidRPr="00BF6EBB">
        <w:t xml:space="preserve"> through December 202</w:t>
      </w:r>
      <w:r>
        <w:t>5?</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406E90" w:rsidRPr="006359C8" w:rsidRDefault="00406E90" w:rsidP="00406E90">
      <w:pPr>
        <w:autoSpaceDE w:val="0"/>
        <w:autoSpaceDN w:val="0"/>
        <w:adjustRightInd w:val="0"/>
        <w:jc w:val="both"/>
      </w:pPr>
      <w:r w:rsidRPr="0038035E">
        <w:rPr>
          <w:b/>
        </w:rPr>
        <w:t>DEF:</w:t>
      </w:r>
      <w:r w:rsidRPr="001743BF">
        <w:t xml:space="preserve"> </w:t>
      </w:r>
      <w:r>
        <w:tab/>
      </w:r>
      <w:r>
        <w:tab/>
        <w:t>3.918</w:t>
      </w:r>
      <w:r w:rsidRPr="001743BF">
        <w:t xml:space="preserve"> cents per kWh.</w:t>
      </w:r>
    </w:p>
    <w:p w:rsidR="00406E90" w:rsidRPr="006359C8" w:rsidRDefault="00406E90" w:rsidP="00406E90">
      <w:pPr>
        <w:autoSpaceDE w:val="0"/>
        <w:autoSpaceDN w:val="0"/>
        <w:adjustRightInd w:val="0"/>
        <w:ind w:hanging="1440"/>
        <w:jc w:val="both"/>
      </w:pPr>
    </w:p>
    <w:p w:rsidR="00406E90" w:rsidRPr="008A2B58" w:rsidRDefault="00406E90" w:rsidP="00406E90">
      <w:pPr>
        <w:autoSpaceDE w:val="0"/>
        <w:autoSpaceDN w:val="0"/>
        <w:adjustRightInd w:val="0"/>
        <w:jc w:val="both"/>
      </w:pPr>
      <w:r w:rsidRPr="0038035E">
        <w:rPr>
          <w:b/>
        </w:rPr>
        <w:t>FPL:</w:t>
      </w:r>
      <w:r>
        <w:tab/>
      </w:r>
      <w:r>
        <w:tab/>
      </w:r>
      <w:r w:rsidRPr="008A2B58">
        <w:t>January 202</w:t>
      </w:r>
      <w:r>
        <w:t>5</w:t>
      </w:r>
      <w:r w:rsidRPr="008A2B58">
        <w:t>, 2.748 cents per kWh.</w:t>
      </w:r>
    </w:p>
    <w:p w:rsidR="00406E90" w:rsidRPr="008A2B58" w:rsidRDefault="00406E90" w:rsidP="00406E90">
      <w:pPr>
        <w:autoSpaceDE w:val="0"/>
        <w:autoSpaceDN w:val="0"/>
        <w:adjustRightInd w:val="0"/>
        <w:jc w:val="both"/>
      </w:pPr>
      <w:r>
        <w:t xml:space="preserve">         </w:t>
      </w:r>
      <w:r>
        <w:tab/>
      </w:r>
      <w:r>
        <w:tab/>
      </w:r>
      <w:r w:rsidRPr="008A2B58">
        <w:t>February - December 202</w:t>
      </w:r>
      <w:r>
        <w:t>5</w:t>
      </w:r>
      <w:r w:rsidRPr="008A2B58">
        <w:t xml:space="preserve">, 2.710 cents per kWh. </w:t>
      </w:r>
    </w:p>
    <w:p w:rsidR="00406E90" w:rsidRPr="006359C8" w:rsidRDefault="00406E90" w:rsidP="00406E90">
      <w:pPr>
        <w:autoSpaceDE w:val="0"/>
        <w:autoSpaceDN w:val="0"/>
        <w:adjustRightInd w:val="0"/>
        <w:ind w:hanging="1440"/>
        <w:jc w:val="both"/>
      </w:pPr>
    </w:p>
    <w:p w:rsidR="00406E90" w:rsidRPr="001F47F8" w:rsidRDefault="00406E90" w:rsidP="00406E90">
      <w:pPr>
        <w:autoSpaceDE w:val="0"/>
        <w:autoSpaceDN w:val="0"/>
        <w:adjustRightInd w:val="0"/>
        <w:jc w:val="both"/>
      </w:pPr>
      <w:r w:rsidRPr="0038035E">
        <w:rPr>
          <w:b/>
        </w:rPr>
        <w:t>FPUC:</w:t>
      </w:r>
      <w:r w:rsidRPr="001F47F8">
        <w:t xml:space="preserve"> </w:t>
      </w:r>
      <w:r>
        <w:tab/>
      </w:r>
      <w:r w:rsidRPr="001F47F8">
        <w:t>5.550 cents per kWh.</w:t>
      </w:r>
    </w:p>
    <w:p w:rsidR="00406E90" w:rsidRPr="001F47F8" w:rsidRDefault="00406E90" w:rsidP="00406E90">
      <w:pPr>
        <w:autoSpaceDE w:val="0"/>
        <w:autoSpaceDN w:val="0"/>
        <w:adjustRightInd w:val="0"/>
        <w:jc w:val="both"/>
      </w:pPr>
    </w:p>
    <w:p w:rsidR="00406E90" w:rsidRPr="00CD1389" w:rsidRDefault="00406E90" w:rsidP="00406E90">
      <w:pPr>
        <w:autoSpaceDE w:val="0"/>
        <w:autoSpaceDN w:val="0"/>
        <w:adjustRightInd w:val="0"/>
        <w:jc w:val="both"/>
      </w:pPr>
      <w:r w:rsidRPr="0038035E">
        <w:rPr>
          <w:b/>
        </w:rPr>
        <w:t>TECO:</w:t>
      </w:r>
      <w:r w:rsidRPr="00CD1389">
        <w:t xml:space="preserve"> </w:t>
      </w:r>
      <w:r>
        <w:tab/>
      </w:r>
      <w:r w:rsidRPr="00CD1389">
        <w:t>January – May 202</w:t>
      </w:r>
      <w:r>
        <w:t>5</w:t>
      </w:r>
      <w:r w:rsidRPr="00CD1389">
        <w:t>, 3.078 cents per kWh.</w:t>
      </w:r>
    </w:p>
    <w:p w:rsidR="00406E90" w:rsidRPr="00BF6EBB" w:rsidRDefault="00406E90" w:rsidP="00406E90">
      <w:pPr>
        <w:autoSpaceDE w:val="0"/>
        <w:autoSpaceDN w:val="0"/>
        <w:adjustRightInd w:val="0"/>
        <w:jc w:val="both"/>
      </w:pPr>
      <w:r w:rsidRPr="00CD1389">
        <w:t xml:space="preserve">           </w:t>
      </w:r>
      <w:r>
        <w:tab/>
      </w:r>
      <w:r>
        <w:tab/>
      </w:r>
      <w:r w:rsidRPr="00CD1389">
        <w:t>June – December 202</w:t>
      </w:r>
      <w:r>
        <w:t>5</w:t>
      </w:r>
      <w:r w:rsidRPr="00CD1389">
        <w:t>, 3.386 cents per kWh.</w:t>
      </w:r>
      <w:r w:rsidRPr="00BF6EBB">
        <w:t xml:space="preserve">                                          </w:t>
      </w:r>
    </w:p>
    <w:p w:rsidR="00406E90" w:rsidRPr="00520C62" w:rsidRDefault="00406E90" w:rsidP="00406E90"/>
    <w:p w:rsidR="00406E90" w:rsidRDefault="00406E90" w:rsidP="00406E90">
      <w:pPr>
        <w:autoSpaceDE w:val="0"/>
        <w:autoSpaceDN w:val="0"/>
        <w:adjustRightInd w:val="0"/>
        <w:ind w:left="1440" w:hanging="1440"/>
        <w:jc w:val="both"/>
      </w:pPr>
      <w:r w:rsidRPr="00BF6EBB">
        <w:rPr>
          <w:b/>
          <w:bCs/>
          <w:u w:val="single"/>
        </w:rPr>
        <w:lastRenderedPageBreak/>
        <w:t xml:space="preserve">ISSUE </w:t>
      </w:r>
      <w:r w:rsidRPr="00EC2A28">
        <w:rPr>
          <w:b/>
          <w:bCs/>
          <w:u w:val="single"/>
        </w:rPr>
        <w:t>19</w:t>
      </w:r>
      <w:r w:rsidRPr="00EC2A28">
        <w:rPr>
          <w:b/>
        </w:rPr>
        <w:t>:</w:t>
      </w:r>
      <w:r w:rsidRPr="00BF6EBB">
        <w:tab/>
        <w:t>What are the appropriate fuel recovery line loss multipliers to be used in calculating the fuel cost recovery factors charged to each rate class</w:t>
      </w:r>
      <w:r>
        <w:t>/delivery voltage level class?</w:t>
      </w:r>
    </w:p>
    <w:p w:rsidR="00406E90" w:rsidRDefault="00406E90" w:rsidP="00406E90">
      <w:pPr>
        <w:autoSpaceDE w:val="0"/>
        <w:autoSpaceDN w:val="0"/>
        <w:adjustRightInd w:val="0"/>
        <w:ind w:left="1440" w:hanging="1440"/>
        <w:jc w:val="both"/>
      </w:pPr>
    </w:p>
    <w:p w:rsidR="00406E90" w:rsidRDefault="00406E90" w:rsidP="00910005">
      <w:pPr>
        <w:ind w:left="1440" w:hanging="1440"/>
        <w:jc w:val="both"/>
        <w:rPr>
          <w:b/>
        </w:rPr>
      </w:pPr>
      <w:r w:rsidRPr="009D1593">
        <w:rPr>
          <w:b/>
        </w:rPr>
        <w:t>Stipulations:</w:t>
      </w:r>
    </w:p>
    <w:p w:rsidR="00910005" w:rsidRDefault="00910005" w:rsidP="00910005">
      <w:pPr>
        <w:ind w:left="1440" w:hanging="1440"/>
        <w:jc w:val="both"/>
      </w:pPr>
    </w:p>
    <w:p w:rsidR="00406E90" w:rsidRPr="0038035E" w:rsidRDefault="00406E90" w:rsidP="00406E90">
      <w:pPr>
        <w:rPr>
          <w:b/>
        </w:rPr>
      </w:pPr>
      <w:r w:rsidRPr="0038035E">
        <w:rPr>
          <w:b/>
        </w:rPr>
        <w:t>DEF:</w:t>
      </w:r>
    </w:p>
    <w:tbl>
      <w:tblPr>
        <w:tblStyle w:val="TableGrid"/>
        <w:tblW w:w="4846" w:type="pct"/>
        <w:jc w:val="center"/>
        <w:tblLook w:val="04A0" w:firstRow="1" w:lastRow="0" w:firstColumn="1" w:lastColumn="0" w:noHBand="0" w:noVBand="1"/>
      </w:tblPr>
      <w:tblGrid>
        <w:gridCol w:w="5745"/>
        <w:gridCol w:w="3536"/>
      </w:tblGrid>
      <w:tr w:rsidR="00406E90" w:rsidRPr="00365493" w:rsidTr="00406E90">
        <w:trPr>
          <w:tblHeader/>
          <w:jc w:val="center"/>
        </w:trPr>
        <w:tc>
          <w:tcPr>
            <w:tcW w:w="5000" w:type="pct"/>
            <w:gridSpan w:val="2"/>
            <w:tcBorders>
              <w:top w:val="nil"/>
              <w:left w:val="nil"/>
              <w:bottom w:val="nil"/>
              <w:right w:val="nil"/>
            </w:tcBorders>
          </w:tcPr>
          <w:p w:rsidR="00406E90" w:rsidRPr="00365493" w:rsidRDefault="00406E90" w:rsidP="00406E90">
            <w:pPr>
              <w:jc w:val="center"/>
              <w:rPr>
                <w:rFonts w:ascii="Arial" w:hAnsi="Arial" w:cs="Arial"/>
                <w:b/>
              </w:rPr>
            </w:pPr>
            <w:r w:rsidRPr="00365493">
              <w:rPr>
                <w:rFonts w:ascii="Arial" w:hAnsi="Arial" w:cs="Arial"/>
                <w:b/>
              </w:rPr>
              <w:t>Table 19-1</w:t>
            </w:r>
          </w:p>
        </w:tc>
      </w:tr>
      <w:tr w:rsidR="00406E90" w:rsidRPr="00365493" w:rsidTr="00406E90">
        <w:trPr>
          <w:tblHeader/>
          <w:jc w:val="center"/>
        </w:trPr>
        <w:tc>
          <w:tcPr>
            <w:tcW w:w="5000" w:type="pct"/>
            <w:gridSpan w:val="2"/>
            <w:tcBorders>
              <w:top w:val="nil"/>
              <w:left w:val="nil"/>
              <w:bottom w:val="nil"/>
              <w:right w:val="nil"/>
            </w:tcBorders>
          </w:tcPr>
          <w:p w:rsidR="00406E90" w:rsidRPr="00365493" w:rsidRDefault="00406E90" w:rsidP="00406E90">
            <w:pPr>
              <w:jc w:val="center"/>
              <w:rPr>
                <w:rFonts w:ascii="Arial" w:hAnsi="Arial" w:cs="Arial"/>
                <w:b/>
              </w:rPr>
            </w:pPr>
            <w:r w:rsidRPr="00365493">
              <w:rPr>
                <w:rFonts w:ascii="Arial" w:hAnsi="Arial" w:cs="Arial"/>
                <w:b/>
              </w:rPr>
              <w:t>DEF Fuel Recovery Line Loss Multipliers</w:t>
            </w:r>
          </w:p>
        </w:tc>
      </w:tr>
      <w:tr w:rsidR="00406E90" w:rsidRPr="00365493" w:rsidTr="00406E90">
        <w:trPr>
          <w:tblHeader/>
          <w:jc w:val="center"/>
        </w:trPr>
        <w:tc>
          <w:tcPr>
            <w:tcW w:w="5000" w:type="pct"/>
            <w:gridSpan w:val="2"/>
            <w:tcBorders>
              <w:top w:val="nil"/>
              <w:left w:val="nil"/>
              <w:bottom w:val="single" w:sz="4" w:space="0" w:color="auto"/>
              <w:right w:val="nil"/>
            </w:tcBorders>
          </w:tcPr>
          <w:p w:rsidR="00406E90" w:rsidRPr="00365493" w:rsidRDefault="00406E90" w:rsidP="00406E90">
            <w:pPr>
              <w:jc w:val="center"/>
              <w:rPr>
                <w:rFonts w:ascii="Arial" w:hAnsi="Arial" w:cs="Arial"/>
                <w:b/>
              </w:rPr>
            </w:pPr>
            <w:r w:rsidRPr="00365493">
              <w:rPr>
                <w:rFonts w:ascii="Arial" w:hAnsi="Arial" w:cs="Arial"/>
                <w:b/>
              </w:rPr>
              <w:t>for t</w:t>
            </w:r>
            <w:r>
              <w:rPr>
                <w:rFonts w:ascii="Arial" w:hAnsi="Arial" w:cs="Arial"/>
                <w:b/>
              </w:rPr>
              <w:t>he period January-December, 2025</w:t>
            </w:r>
          </w:p>
        </w:tc>
      </w:tr>
      <w:tr w:rsidR="00406E90" w:rsidRPr="00365493" w:rsidTr="00406E90">
        <w:trPr>
          <w:tblHeader/>
          <w:jc w:val="center"/>
        </w:trPr>
        <w:tc>
          <w:tcPr>
            <w:tcW w:w="3095" w:type="pct"/>
            <w:tcBorders>
              <w:top w:val="single" w:sz="4" w:space="0" w:color="auto"/>
              <w:left w:val="single" w:sz="4" w:space="0" w:color="auto"/>
              <w:bottom w:val="single" w:sz="4" w:space="0" w:color="auto"/>
              <w:right w:val="single" w:sz="4" w:space="0" w:color="auto"/>
            </w:tcBorders>
          </w:tcPr>
          <w:p w:rsidR="00406E90" w:rsidRPr="00670CB1" w:rsidRDefault="00406E90" w:rsidP="00406E90">
            <w:pPr>
              <w:jc w:val="center"/>
            </w:pPr>
            <w:r w:rsidRPr="00670CB1">
              <w:t>Delivery Voltage Level</w:t>
            </w:r>
          </w:p>
        </w:tc>
        <w:tc>
          <w:tcPr>
            <w:tcW w:w="1905" w:type="pct"/>
            <w:tcBorders>
              <w:top w:val="single" w:sz="4" w:space="0" w:color="auto"/>
              <w:left w:val="single" w:sz="4" w:space="0" w:color="auto"/>
              <w:bottom w:val="single" w:sz="4" w:space="0" w:color="auto"/>
              <w:right w:val="single" w:sz="4" w:space="0" w:color="auto"/>
            </w:tcBorders>
            <w:hideMark/>
          </w:tcPr>
          <w:p w:rsidR="00406E90" w:rsidRPr="00670CB1" w:rsidRDefault="00406E90" w:rsidP="00406E90">
            <w:pPr>
              <w:jc w:val="center"/>
            </w:pPr>
            <w:r w:rsidRPr="00670CB1">
              <w:t>Line Loss Multiplier</w:t>
            </w:r>
          </w:p>
        </w:tc>
      </w:tr>
      <w:tr w:rsidR="00406E90" w:rsidRPr="00365493" w:rsidTr="00406E90">
        <w:trPr>
          <w:jc w:val="center"/>
        </w:trPr>
        <w:tc>
          <w:tcPr>
            <w:tcW w:w="3095" w:type="pct"/>
            <w:tcBorders>
              <w:top w:val="single" w:sz="4" w:space="0" w:color="auto"/>
              <w:left w:val="single" w:sz="4" w:space="0" w:color="auto"/>
              <w:bottom w:val="single" w:sz="4" w:space="0" w:color="auto"/>
              <w:right w:val="single" w:sz="4" w:space="0" w:color="auto"/>
            </w:tcBorders>
          </w:tcPr>
          <w:p w:rsidR="00406E90" w:rsidRPr="00670CB1" w:rsidRDefault="00406E90" w:rsidP="00406E90">
            <w:r w:rsidRPr="00670CB1">
              <w:t>Transmission</w:t>
            </w:r>
          </w:p>
        </w:tc>
        <w:tc>
          <w:tcPr>
            <w:tcW w:w="1905" w:type="pct"/>
            <w:tcBorders>
              <w:top w:val="single" w:sz="4" w:space="0" w:color="auto"/>
              <w:left w:val="single" w:sz="4" w:space="0" w:color="auto"/>
              <w:bottom w:val="single" w:sz="4" w:space="0" w:color="auto"/>
              <w:right w:val="single" w:sz="4" w:space="0" w:color="auto"/>
            </w:tcBorders>
            <w:hideMark/>
          </w:tcPr>
          <w:p w:rsidR="00406E90" w:rsidRPr="001B25B9" w:rsidRDefault="00406E90" w:rsidP="00406E90">
            <w:pPr>
              <w:jc w:val="right"/>
            </w:pPr>
            <w:r w:rsidRPr="001B25B9">
              <w:t>0.9800</w:t>
            </w:r>
          </w:p>
        </w:tc>
      </w:tr>
      <w:tr w:rsidR="00406E90" w:rsidRPr="00CD1389" w:rsidTr="00406E90">
        <w:trPr>
          <w:jc w:val="center"/>
        </w:trPr>
        <w:tc>
          <w:tcPr>
            <w:tcW w:w="3095" w:type="pct"/>
            <w:tcBorders>
              <w:top w:val="single" w:sz="4" w:space="0" w:color="auto"/>
              <w:left w:val="single" w:sz="4" w:space="0" w:color="auto"/>
              <w:bottom w:val="single" w:sz="4" w:space="0" w:color="auto"/>
              <w:right w:val="single" w:sz="4" w:space="0" w:color="auto"/>
            </w:tcBorders>
          </w:tcPr>
          <w:p w:rsidR="00406E90" w:rsidRPr="00CD1389" w:rsidRDefault="00406E90" w:rsidP="00406E90">
            <w:r w:rsidRPr="00CD1389">
              <w:t>Distribution Primary</w:t>
            </w:r>
          </w:p>
        </w:tc>
        <w:tc>
          <w:tcPr>
            <w:tcW w:w="1905" w:type="pct"/>
            <w:tcBorders>
              <w:top w:val="single" w:sz="4" w:space="0" w:color="auto"/>
              <w:left w:val="single" w:sz="4" w:space="0" w:color="auto"/>
              <w:bottom w:val="single" w:sz="4" w:space="0" w:color="auto"/>
              <w:right w:val="single" w:sz="4" w:space="0" w:color="auto"/>
            </w:tcBorders>
          </w:tcPr>
          <w:p w:rsidR="00406E90" w:rsidRPr="00CD1389" w:rsidRDefault="00406E90" w:rsidP="00406E90">
            <w:pPr>
              <w:jc w:val="right"/>
            </w:pPr>
            <w:r w:rsidRPr="00CD1389">
              <w:t>0.9900</w:t>
            </w:r>
          </w:p>
        </w:tc>
      </w:tr>
      <w:tr w:rsidR="00406E90" w:rsidRPr="00365493" w:rsidTr="00406E90">
        <w:trPr>
          <w:jc w:val="center"/>
        </w:trPr>
        <w:tc>
          <w:tcPr>
            <w:tcW w:w="3095" w:type="pct"/>
            <w:tcBorders>
              <w:top w:val="single" w:sz="4" w:space="0" w:color="auto"/>
              <w:left w:val="single" w:sz="4" w:space="0" w:color="auto"/>
              <w:bottom w:val="single" w:sz="4" w:space="0" w:color="auto"/>
              <w:right w:val="single" w:sz="4" w:space="0" w:color="auto"/>
            </w:tcBorders>
          </w:tcPr>
          <w:p w:rsidR="00406E90" w:rsidRPr="00670CB1" w:rsidRDefault="00406E90" w:rsidP="00406E90">
            <w:r w:rsidRPr="00670CB1">
              <w:t>Distribution Secondary</w:t>
            </w:r>
          </w:p>
        </w:tc>
        <w:tc>
          <w:tcPr>
            <w:tcW w:w="1905" w:type="pct"/>
            <w:tcBorders>
              <w:top w:val="single" w:sz="4" w:space="0" w:color="auto"/>
              <w:left w:val="single" w:sz="4" w:space="0" w:color="auto"/>
              <w:bottom w:val="single" w:sz="4" w:space="0" w:color="auto"/>
              <w:right w:val="single" w:sz="4" w:space="0" w:color="auto"/>
            </w:tcBorders>
          </w:tcPr>
          <w:p w:rsidR="00406E90" w:rsidRPr="001B25B9" w:rsidRDefault="00406E90" w:rsidP="00406E90">
            <w:pPr>
              <w:jc w:val="right"/>
            </w:pPr>
            <w:r w:rsidRPr="001B25B9">
              <w:t>1.0000</w:t>
            </w:r>
          </w:p>
        </w:tc>
      </w:tr>
      <w:tr w:rsidR="00406E90" w:rsidRPr="00365493" w:rsidTr="00406E90">
        <w:trPr>
          <w:jc w:val="center"/>
        </w:trPr>
        <w:tc>
          <w:tcPr>
            <w:tcW w:w="3095" w:type="pct"/>
            <w:tcBorders>
              <w:top w:val="single" w:sz="4" w:space="0" w:color="auto"/>
              <w:left w:val="single" w:sz="4" w:space="0" w:color="auto"/>
              <w:bottom w:val="single" w:sz="4" w:space="0" w:color="auto"/>
              <w:right w:val="single" w:sz="4" w:space="0" w:color="auto"/>
            </w:tcBorders>
          </w:tcPr>
          <w:p w:rsidR="00406E90" w:rsidRPr="00670CB1" w:rsidRDefault="00406E90" w:rsidP="00406E90">
            <w:r w:rsidRPr="00670CB1">
              <w:t>Lighting Service</w:t>
            </w:r>
          </w:p>
        </w:tc>
        <w:tc>
          <w:tcPr>
            <w:tcW w:w="1905" w:type="pct"/>
            <w:tcBorders>
              <w:top w:val="single" w:sz="4" w:space="0" w:color="auto"/>
              <w:left w:val="single" w:sz="4" w:space="0" w:color="auto"/>
              <w:bottom w:val="single" w:sz="4" w:space="0" w:color="auto"/>
              <w:right w:val="single" w:sz="4" w:space="0" w:color="auto"/>
            </w:tcBorders>
            <w:hideMark/>
          </w:tcPr>
          <w:p w:rsidR="00406E90" w:rsidRPr="001B25B9" w:rsidRDefault="00406E90" w:rsidP="00406E90">
            <w:pPr>
              <w:jc w:val="right"/>
            </w:pPr>
            <w:r w:rsidRPr="001B25B9">
              <w:t>1.0000</w:t>
            </w:r>
          </w:p>
        </w:tc>
      </w:tr>
    </w:tbl>
    <w:p w:rsidR="00406E90" w:rsidRPr="00406DCA" w:rsidRDefault="00406E90" w:rsidP="00406E90">
      <w:pPr>
        <w:autoSpaceDE w:val="0"/>
        <w:autoSpaceDN w:val="0"/>
        <w:adjustRightInd w:val="0"/>
        <w:jc w:val="both"/>
        <w:rPr>
          <w:sz w:val="22"/>
        </w:rPr>
      </w:pPr>
      <w:r w:rsidRPr="001B25B9">
        <w:rPr>
          <w:sz w:val="22"/>
        </w:rPr>
        <w:t>Source: Exhibit GPD-3, Part 2, Page 1 of 1.</w:t>
      </w:r>
    </w:p>
    <w:p w:rsidR="00406E90" w:rsidRDefault="00406E90" w:rsidP="00406E90">
      <w:pPr>
        <w:autoSpaceDE w:val="0"/>
        <w:autoSpaceDN w:val="0"/>
        <w:adjustRightInd w:val="0"/>
        <w:ind w:left="1440" w:hanging="1440"/>
        <w:jc w:val="both"/>
      </w:pPr>
    </w:p>
    <w:p w:rsidR="00406E90" w:rsidRPr="00556391" w:rsidRDefault="00406E90" w:rsidP="00406E90">
      <w:pPr>
        <w:ind w:left="1440" w:hanging="1350"/>
      </w:pPr>
      <w:r w:rsidRPr="0038035E">
        <w:rPr>
          <w:b/>
        </w:rPr>
        <w:t>FPL:</w:t>
      </w:r>
      <w:r>
        <w:tab/>
      </w:r>
      <w:r w:rsidRPr="00556391">
        <w:t xml:space="preserve">The appropriate fuel recovery line loss multipliers to be used in calculating the fuel cost recovery factors charged to each rate class/delivery voltage level class </w:t>
      </w:r>
      <w:r w:rsidRPr="008A2B58">
        <w:t>are shown in Issue No. 20.</w:t>
      </w:r>
    </w:p>
    <w:p w:rsidR="00406E90" w:rsidRPr="005E6F70" w:rsidRDefault="00406E90" w:rsidP="00406E90">
      <w:pPr>
        <w:autoSpaceDE w:val="0"/>
        <w:autoSpaceDN w:val="0"/>
        <w:adjustRightInd w:val="0"/>
        <w:ind w:left="1440" w:hanging="1440"/>
        <w:jc w:val="both"/>
      </w:pPr>
    </w:p>
    <w:p w:rsidR="00406E90" w:rsidRPr="005E6F70" w:rsidRDefault="00406E90" w:rsidP="00406E90">
      <w:pPr>
        <w:ind w:left="1440" w:hanging="1440"/>
      </w:pPr>
      <w:r w:rsidRPr="0038035E">
        <w:rPr>
          <w:b/>
        </w:rPr>
        <w:t>FPUC:</w:t>
      </w:r>
      <w:r w:rsidRPr="005E6F70">
        <w:tab/>
      </w:r>
      <w:r w:rsidRPr="00B573BF">
        <w:t>The appropriate fuel recovery line loss multiplier to be used in calculating the fuel cost recovery factors charged to each rate class/delivery voltage level c</w:t>
      </w:r>
      <w:r>
        <w:t>lass is 1.00000</w:t>
      </w:r>
    </w:p>
    <w:p w:rsidR="00406E90" w:rsidRDefault="00406E90" w:rsidP="00406E90">
      <w:pPr>
        <w:autoSpaceDE w:val="0"/>
        <w:autoSpaceDN w:val="0"/>
        <w:adjustRightInd w:val="0"/>
        <w:ind w:left="1440"/>
        <w:jc w:val="both"/>
      </w:pPr>
    </w:p>
    <w:p w:rsidR="00406E90" w:rsidRPr="0038035E" w:rsidRDefault="00406E90" w:rsidP="00406E90">
      <w:pPr>
        <w:spacing w:after="200" w:line="276" w:lineRule="auto"/>
        <w:rPr>
          <w:b/>
        </w:rPr>
      </w:pPr>
      <w:r w:rsidRPr="0038035E">
        <w:rPr>
          <w:b/>
        </w:rPr>
        <w:t>TECO:</w:t>
      </w:r>
      <w:r w:rsidRPr="0038035E">
        <w:rPr>
          <w:b/>
        </w:rPr>
        <w:tab/>
        <w:t xml:space="preserve">  </w:t>
      </w:r>
    </w:p>
    <w:tbl>
      <w:tblPr>
        <w:tblStyle w:val="TableGrid"/>
        <w:tblW w:w="5000" w:type="pct"/>
        <w:jc w:val="center"/>
        <w:tblLook w:val="04A0" w:firstRow="1" w:lastRow="0" w:firstColumn="1" w:lastColumn="0" w:noHBand="0" w:noVBand="1"/>
      </w:tblPr>
      <w:tblGrid>
        <w:gridCol w:w="4786"/>
        <w:gridCol w:w="4790"/>
      </w:tblGrid>
      <w:tr w:rsidR="00406E90" w:rsidRPr="00210A7D" w:rsidTr="00406E90">
        <w:trPr>
          <w:jc w:val="center"/>
        </w:trPr>
        <w:tc>
          <w:tcPr>
            <w:tcW w:w="5000" w:type="pct"/>
            <w:gridSpan w:val="2"/>
            <w:tcBorders>
              <w:top w:val="nil"/>
              <w:left w:val="nil"/>
              <w:bottom w:val="nil"/>
              <w:right w:val="nil"/>
            </w:tcBorders>
          </w:tcPr>
          <w:p w:rsidR="00406E90" w:rsidRPr="00094914" w:rsidRDefault="00406E90" w:rsidP="00406E90">
            <w:pPr>
              <w:ind w:left="1440" w:hanging="1440"/>
              <w:jc w:val="center"/>
              <w:rPr>
                <w:rFonts w:ascii="Arial" w:hAnsi="Arial" w:cs="Arial"/>
                <w:b/>
              </w:rPr>
            </w:pPr>
            <w:r>
              <w:rPr>
                <w:rFonts w:ascii="Arial" w:hAnsi="Arial" w:cs="Arial"/>
                <w:b/>
              </w:rPr>
              <w:t xml:space="preserve">Table </w:t>
            </w:r>
            <w:r w:rsidRPr="00094914">
              <w:rPr>
                <w:rFonts w:ascii="Arial" w:hAnsi="Arial" w:cs="Arial"/>
                <w:b/>
              </w:rPr>
              <w:t>1</w:t>
            </w:r>
            <w:r>
              <w:rPr>
                <w:rFonts w:ascii="Arial" w:hAnsi="Arial" w:cs="Arial"/>
                <w:b/>
              </w:rPr>
              <w:t>9-4</w:t>
            </w:r>
          </w:p>
        </w:tc>
      </w:tr>
      <w:tr w:rsidR="00406E90" w:rsidRPr="00210A7D" w:rsidTr="00406E90">
        <w:trPr>
          <w:jc w:val="center"/>
        </w:trPr>
        <w:tc>
          <w:tcPr>
            <w:tcW w:w="5000" w:type="pct"/>
            <w:gridSpan w:val="2"/>
            <w:tcBorders>
              <w:top w:val="nil"/>
              <w:left w:val="nil"/>
              <w:bottom w:val="nil"/>
              <w:right w:val="nil"/>
            </w:tcBorders>
          </w:tcPr>
          <w:p w:rsidR="00406E90" w:rsidRPr="00094914" w:rsidRDefault="00406E90" w:rsidP="00406E90">
            <w:pPr>
              <w:jc w:val="center"/>
            </w:pPr>
            <w:r w:rsidRPr="00094914">
              <w:rPr>
                <w:rFonts w:ascii="Arial" w:hAnsi="Arial" w:cs="Arial"/>
                <w:b/>
              </w:rPr>
              <w:t>TECO Fuel Recovery Line Loss Multipliers</w:t>
            </w:r>
          </w:p>
        </w:tc>
      </w:tr>
      <w:tr w:rsidR="00406E90" w:rsidRPr="00210A7D" w:rsidTr="00406E90">
        <w:trPr>
          <w:jc w:val="center"/>
        </w:trPr>
        <w:tc>
          <w:tcPr>
            <w:tcW w:w="5000" w:type="pct"/>
            <w:gridSpan w:val="2"/>
            <w:tcBorders>
              <w:top w:val="nil"/>
              <w:left w:val="nil"/>
              <w:bottom w:val="single" w:sz="4" w:space="0" w:color="auto"/>
              <w:right w:val="nil"/>
            </w:tcBorders>
          </w:tcPr>
          <w:p w:rsidR="00406E90" w:rsidRPr="00094914" w:rsidRDefault="00406E90" w:rsidP="00406E90">
            <w:pPr>
              <w:jc w:val="center"/>
            </w:pPr>
            <w:r w:rsidRPr="00094914">
              <w:rPr>
                <w:rFonts w:ascii="Arial" w:hAnsi="Arial" w:cs="Arial"/>
                <w:b/>
              </w:rPr>
              <w:t>for t</w:t>
            </w:r>
            <w:r>
              <w:rPr>
                <w:rFonts w:ascii="Arial" w:hAnsi="Arial" w:cs="Arial"/>
                <w:b/>
              </w:rPr>
              <w:t>he period January-December, 2025</w:t>
            </w:r>
          </w:p>
        </w:tc>
      </w:tr>
      <w:tr w:rsidR="00406E90" w:rsidRPr="00670CB1" w:rsidTr="00406E90">
        <w:trPr>
          <w:jc w:val="center"/>
        </w:trPr>
        <w:tc>
          <w:tcPr>
            <w:tcW w:w="2499" w:type="pct"/>
            <w:tcBorders>
              <w:top w:val="single" w:sz="4" w:space="0" w:color="auto"/>
              <w:left w:val="single" w:sz="4" w:space="0" w:color="auto"/>
              <w:bottom w:val="single" w:sz="4" w:space="0" w:color="auto"/>
              <w:right w:val="single" w:sz="4" w:space="0" w:color="auto"/>
            </w:tcBorders>
          </w:tcPr>
          <w:p w:rsidR="00406E90" w:rsidRPr="00670CB1" w:rsidRDefault="00406E90" w:rsidP="00406E90">
            <w:pPr>
              <w:jc w:val="center"/>
            </w:pPr>
            <w:r w:rsidRPr="00670CB1">
              <w:t>Delivery Voltage Level</w:t>
            </w:r>
          </w:p>
        </w:tc>
        <w:tc>
          <w:tcPr>
            <w:tcW w:w="2501" w:type="pct"/>
            <w:tcBorders>
              <w:top w:val="single" w:sz="4" w:space="0" w:color="auto"/>
              <w:left w:val="single" w:sz="4" w:space="0" w:color="auto"/>
              <w:bottom w:val="single" w:sz="4" w:space="0" w:color="auto"/>
              <w:right w:val="single" w:sz="4" w:space="0" w:color="auto"/>
            </w:tcBorders>
            <w:hideMark/>
          </w:tcPr>
          <w:p w:rsidR="00406E90" w:rsidRPr="00670CB1" w:rsidRDefault="00406E90" w:rsidP="00406E90">
            <w:pPr>
              <w:jc w:val="center"/>
            </w:pPr>
            <w:r w:rsidRPr="00670CB1">
              <w:t>Line Loss Multiplier</w:t>
            </w:r>
          </w:p>
        </w:tc>
      </w:tr>
      <w:tr w:rsidR="00406E90" w:rsidRPr="00A929CA" w:rsidTr="00406E90">
        <w:trPr>
          <w:jc w:val="center"/>
        </w:trPr>
        <w:tc>
          <w:tcPr>
            <w:tcW w:w="2499" w:type="pct"/>
            <w:tcBorders>
              <w:top w:val="single" w:sz="4" w:space="0" w:color="auto"/>
              <w:left w:val="single" w:sz="4" w:space="0" w:color="auto"/>
              <w:bottom w:val="single" w:sz="4" w:space="0" w:color="auto"/>
              <w:right w:val="single" w:sz="4" w:space="0" w:color="auto"/>
            </w:tcBorders>
          </w:tcPr>
          <w:p w:rsidR="00406E90" w:rsidRPr="00A929CA" w:rsidRDefault="00406E90" w:rsidP="00406E90">
            <w:r w:rsidRPr="00A929CA">
              <w:t>Transmission</w:t>
            </w:r>
          </w:p>
        </w:tc>
        <w:tc>
          <w:tcPr>
            <w:tcW w:w="2501" w:type="pct"/>
            <w:tcBorders>
              <w:top w:val="single" w:sz="4" w:space="0" w:color="auto"/>
              <w:left w:val="single" w:sz="4" w:space="0" w:color="auto"/>
              <w:bottom w:val="single" w:sz="4" w:space="0" w:color="auto"/>
              <w:right w:val="single" w:sz="4" w:space="0" w:color="auto"/>
            </w:tcBorders>
            <w:hideMark/>
          </w:tcPr>
          <w:p w:rsidR="00406E90" w:rsidRPr="00A929CA" w:rsidRDefault="00406E90" w:rsidP="00406E90">
            <w:pPr>
              <w:jc w:val="right"/>
            </w:pPr>
            <w:r w:rsidRPr="00A929CA">
              <w:t>0.98</w:t>
            </w:r>
          </w:p>
        </w:tc>
      </w:tr>
      <w:tr w:rsidR="00406E90" w:rsidRPr="00A929CA" w:rsidTr="00406E90">
        <w:trPr>
          <w:jc w:val="center"/>
        </w:trPr>
        <w:tc>
          <w:tcPr>
            <w:tcW w:w="2499" w:type="pct"/>
            <w:tcBorders>
              <w:top w:val="single" w:sz="4" w:space="0" w:color="auto"/>
              <w:left w:val="single" w:sz="4" w:space="0" w:color="auto"/>
              <w:bottom w:val="single" w:sz="4" w:space="0" w:color="auto"/>
              <w:right w:val="single" w:sz="4" w:space="0" w:color="auto"/>
            </w:tcBorders>
          </w:tcPr>
          <w:p w:rsidR="00406E90" w:rsidRPr="00A929CA" w:rsidRDefault="00406E90" w:rsidP="00406E90">
            <w:r w:rsidRPr="00A929CA">
              <w:t>Distribution Primary</w:t>
            </w:r>
          </w:p>
        </w:tc>
        <w:tc>
          <w:tcPr>
            <w:tcW w:w="2501" w:type="pct"/>
            <w:tcBorders>
              <w:top w:val="single" w:sz="4" w:space="0" w:color="auto"/>
              <w:left w:val="single" w:sz="4" w:space="0" w:color="auto"/>
              <w:bottom w:val="single" w:sz="4" w:space="0" w:color="auto"/>
              <w:right w:val="single" w:sz="4" w:space="0" w:color="auto"/>
            </w:tcBorders>
          </w:tcPr>
          <w:p w:rsidR="00406E90" w:rsidRPr="00A929CA" w:rsidRDefault="00406E90" w:rsidP="00406E90">
            <w:pPr>
              <w:jc w:val="right"/>
            </w:pPr>
            <w:r w:rsidRPr="00A929CA">
              <w:t>0.99</w:t>
            </w:r>
          </w:p>
        </w:tc>
      </w:tr>
      <w:tr w:rsidR="00406E90" w:rsidRPr="00A929CA" w:rsidTr="00406E90">
        <w:trPr>
          <w:jc w:val="center"/>
        </w:trPr>
        <w:tc>
          <w:tcPr>
            <w:tcW w:w="2499" w:type="pct"/>
            <w:tcBorders>
              <w:top w:val="single" w:sz="4" w:space="0" w:color="auto"/>
              <w:left w:val="single" w:sz="4" w:space="0" w:color="auto"/>
              <w:bottom w:val="single" w:sz="4" w:space="0" w:color="auto"/>
              <w:right w:val="single" w:sz="4" w:space="0" w:color="auto"/>
            </w:tcBorders>
          </w:tcPr>
          <w:p w:rsidR="00406E90" w:rsidRPr="00A929CA" w:rsidRDefault="00406E90" w:rsidP="00406E90">
            <w:r w:rsidRPr="00A929CA">
              <w:t>Distribution Secondary</w:t>
            </w:r>
          </w:p>
        </w:tc>
        <w:tc>
          <w:tcPr>
            <w:tcW w:w="2501" w:type="pct"/>
            <w:tcBorders>
              <w:top w:val="single" w:sz="4" w:space="0" w:color="auto"/>
              <w:left w:val="single" w:sz="4" w:space="0" w:color="auto"/>
              <w:bottom w:val="single" w:sz="4" w:space="0" w:color="auto"/>
              <w:right w:val="single" w:sz="4" w:space="0" w:color="auto"/>
            </w:tcBorders>
          </w:tcPr>
          <w:p w:rsidR="00406E90" w:rsidRPr="00A929CA" w:rsidRDefault="00406E90" w:rsidP="00406E90">
            <w:pPr>
              <w:jc w:val="right"/>
            </w:pPr>
            <w:r w:rsidRPr="00A929CA">
              <w:t>1.00</w:t>
            </w:r>
          </w:p>
        </w:tc>
      </w:tr>
      <w:tr w:rsidR="00406E90" w:rsidRPr="00A929CA" w:rsidTr="00406E90">
        <w:trPr>
          <w:jc w:val="center"/>
        </w:trPr>
        <w:tc>
          <w:tcPr>
            <w:tcW w:w="2499" w:type="pct"/>
            <w:tcBorders>
              <w:top w:val="single" w:sz="4" w:space="0" w:color="auto"/>
              <w:left w:val="single" w:sz="4" w:space="0" w:color="auto"/>
              <w:bottom w:val="single" w:sz="4" w:space="0" w:color="auto"/>
              <w:right w:val="single" w:sz="4" w:space="0" w:color="auto"/>
            </w:tcBorders>
          </w:tcPr>
          <w:p w:rsidR="00406E90" w:rsidRPr="00A929CA" w:rsidRDefault="00406E90" w:rsidP="00406E90">
            <w:r w:rsidRPr="00A929CA">
              <w:t>Lighting Service</w:t>
            </w:r>
          </w:p>
        </w:tc>
        <w:tc>
          <w:tcPr>
            <w:tcW w:w="2501" w:type="pct"/>
            <w:tcBorders>
              <w:top w:val="single" w:sz="4" w:space="0" w:color="auto"/>
              <w:left w:val="single" w:sz="4" w:space="0" w:color="auto"/>
              <w:bottom w:val="single" w:sz="4" w:space="0" w:color="auto"/>
              <w:right w:val="single" w:sz="4" w:space="0" w:color="auto"/>
            </w:tcBorders>
          </w:tcPr>
          <w:p w:rsidR="00406E90" w:rsidRPr="00A929CA" w:rsidRDefault="00406E90" w:rsidP="00406E90">
            <w:pPr>
              <w:jc w:val="right"/>
            </w:pPr>
            <w:r w:rsidRPr="00A929CA">
              <w:t>1.00</w:t>
            </w:r>
          </w:p>
        </w:tc>
      </w:tr>
    </w:tbl>
    <w:p w:rsidR="00406E90" w:rsidRPr="005E6F70" w:rsidRDefault="00406E90" w:rsidP="00406E90">
      <w:pPr>
        <w:autoSpaceDE w:val="0"/>
        <w:autoSpaceDN w:val="0"/>
        <w:adjustRightInd w:val="0"/>
        <w:jc w:val="both"/>
      </w:pPr>
      <w:r w:rsidRPr="00A929CA">
        <w:rPr>
          <w:sz w:val="22"/>
          <w:szCs w:val="22"/>
        </w:rPr>
        <w:t xml:space="preserve">   Source: Exhibit ZDJ-3, Document No. 2, Pages 7-8 of 46.</w:t>
      </w:r>
    </w:p>
    <w:p w:rsidR="00406E90" w:rsidRDefault="00406E90" w:rsidP="00406E90">
      <w:pPr>
        <w:ind w:left="1440" w:hanging="1440"/>
        <w:jc w:val="both"/>
        <w:rPr>
          <w:b/>
          <w:bCs/>
          <w:u w:val="single"/>
        </w:rPr>
      </w:pPr>
    </w:p>
    <w:p w:rsidR="00910005" w:rsidRDefault="00910005">
      <w:pPr>
        <w:rPr>
          <w:b/>
          <w:bCs/>
          <w:u w:val="single"/>
        </w:rPr>
      </w:pPr>
      <w:r>
        <w:rPr>
          <w:b/>
          <w:bCs/>
          <w:u w:val="single"/>
        </w:rPr>
        <w:br w:type="page"/>
      </w:r>
    </w:p>
    <w:p w:rsidR="00406E90" w:rsidRPr="00BF6EBB" w:rsidRDefault="00406E90" w:rsidP="00406E90">
      <w:pPr>
        <w:ind w:left="1440" w:hanging="1440"/>
        <w:jc w:val="both"/>
        <w:rPr>
          <w:b/>
          <w:bCs/>
          <w:caps/>
          <w:u w:val="single"/>
        </w:rPr>
      </w:pPr>
      <w:r w:rsidRPr="00BF6EBB">
        <w:rPr>
          <w:b/>
          <w:bCs/>
          <w:u w:val="single"/>
        </w:rPr>
        <w:lastRenderedPageBreak/>
        <w:t xml:space="preserve">ISSUE </w:t>
      </w:r>
      <w:r w:rsidRPr="00EC2A28">
        <w:rPr>
          <w:b/>
          <w:bCs/>
          <w:u w:val="single"/>
        </w:rPr>
        <w:t>20</w:t>
      </w:r>
      <w:r w:rsidRPr="00EC2A28">
        <w:rPr>
          <w:b/>
        </w:rPr>
        <w:t>:</w:t>
      </w:r>
      <w:r w:rsidRPr="00BF6EBB">
        <w:tab/>
        <w:t xml:space="preserve">What are the appropriate fuel cost recovery factors for each rate class/delivery voltage level class adjusted for line losses? </w:t>
      </w:r>
    </w:p>
    <w:p w:rsidR="00406E90" w:rsidRDefault="00406E90" w:rsidP="00406E90">
      <w:pPr>
        <w:rPr>
          <w:b/>
          <w:bCs/>
          <w:caps/>
          <w:u w:val="single"/>
        </w:rPr>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 w:rsidR="00406E90" w:rsidRPr="007709B8" w:rsidRDefault="00406E90" w:rsidP="00406E90">
      <w:pPr>
        <w:rPr>
          <w:b/>
        </w:rPr>
      </w:pPr>
      <w:r w:rsidRPr="007709B8">
        <w:rPr>
          <w:b/>
        </w:rPr>
        <w:t>DEF:</w:t>
      </w:r>
      <w:r w:rsidRPr="007709B8">
        <w:rPr>
          <w:b/>
        </w:rPr>
        <w:tab/>
      </w:r>
    </w:p>
    <w:tbl>
      <w:tblPr>
        <w:tblStyle w:val="TableGrid1"/>
        <w:tblW w:w="0" w:type="auto"/>
        <w:jc w:val="center"/>
        <w:tblLook w:val="04A0" w:firstRow="1" w:lastRow="0" w:firstColumn="1" w:lastColumn="0" w:noHBand="0" w:noVBand="1"/>
      </w:tblPr>
      <w:tblGrid>
        <w:gridCol w:w="2249"/>
        <w:gridCol w:w="1077"/>
        <w:gridCol w:w="1107"/>
        <w:gridCol w:w="1150"/>
        <w:gridCol w:w="1177"/>
        <w:gridCol w:w="1177"/>
        <w:gridCol w:w="1581"/>
      </w:tblGrid>
      <w:tr w:rsidR="00406E90" w:rsidRPr="009F0F49" w:rsidTr="00406E90">
        <w:trPr>
          <w:trHeight w:val="288"/>
          <w:tblHeader/>
          <w:jc w:val="center"/>
        </w:trPr>
        <w:tc>
          <w:tcPr>
            <w:tcW w:w="9518" w:type="dxa"/>
            <w:gridSpan w:val="7"/>
            <w:tcBorders>
              <w:top w:val="nil"/>
              <w:left w:val="nil"/>
              <w:bottom w:val="nil"/>
              <w:right w:val="nil"/>
            </w:tcBorders>
            <w:vAlign w:val="center"/>
          </w:tcPr>
          <w:p w:rsidR="00406E90" w:rsidRPr="00C60F2D" w:rsidRDefault="00406E90" w:rsidP="00406E90">
            <w:pPr>
              <w:keepNext/>
              <w:keepLines/>
              <w:jc w:val="center"/>
              <w:rPr>
                <w:sz w:val="22"/>
                <w:szCs w:val="22"/>
              </w:rPr>
            </w:pPr>
            <w:r w:rsidRPr="00C60F2D">
              <w:rPr>
                <w:rFonts w:ascii="Arial" w:hAnsi="Arial" w:cs="Arial"/>
                <w:b/>
                <w:sz w:val="22"/>
              </w:rPr>
              <w:t>Table 20-1</w:t>
            </w:r>
          </w:p>
        </w:tc>
      </w:tr>
      <w:tr w:rsidR="00406E90" w:rsidRPr="00057731" w:rsidTr="00406E90">
        <w:trPr>
          <w:trHeight w:val="288"/>
          <w:tblHeader/>
          <w:jc w:val="center"/>
        </w:trPr>
        <w:tc>
          <w:tcPr>
            <w:tcW w:w="9518" w:type="dxa"/>
            <w:gridSpan w:val="7"/>
            <w:tcBorders>
              <w:top w:val="nil"/>
              <w:left w:val="nil"/>
              <w:bottom w:val="single" w:sz="4" w:space="0" w:color="auto"/>
              <w:right w:val="nil"/>
            </w:tcBorders>
            <w:vAlign w:val="center"/>
          </w:tcPr>
          <w:p w:rsidR="00406E90" w:rsidRPr="00C60F2D" w:rsidRDefault="00406E90" w:rsidP="00406E90">
            <w:pPr>
              <w:keepNext/>
              <w:keepLines/>
              <w:jc w:val="center"/>
              <w:rPr>
                <w:rFonts w:ascii="Arial" w:hAnsi="Arial" w:cs="Arial"/>
                <w:b/>
                <w:sz w:val="22"/>
              </w:rPr>
            </w:pPr>
            <w:r w:rsidRPr="00C60F2D">
              <w:rPr>
                <w:rFonts w:ascii="Arial" w:hAnsi="Arial" w:cs="Arial"/>
                <w:b/>
                <w:sz w:val="22"/>
              </w:rPr>
              <w:t>DEF Fuel Cost Recovery Factors for the period January-December</w:t>
            </w:r>
            <w:r>
              <w:rPr>
                <w:rFonts w:ascii="Arial" w:hAnsi="Arial" w:cs="Arial"/>
                <w:b/>
                <w:sz w:val="22"/>
              </w:rPr>
              <w:t>, 2025</w:t>
            </w:r>
          </w:p>
        </w:tc>
      </w:tr>
      <w:tr w:rsidR="00406E90" w:rsidRPr="00057731" w:rsidTr="00406E90">
        <w:trPr>
          <w:trHeight w:val="422"/>
          <w:tblHeader/>
          <w:jc w:val="center"/>
        </w:trPr>
        <w:tc>
          <w:tcPr>
            <w:tcW w:w="2249" w:type="dxa"/>
            <w:vMerge w:val="restart"/>
            <w:tcBorders>
              <w:top w:val="single" w:sz="4" w:space="0" w:color="auto"/>
            </w:tcBorders>
            <w:vAlign w:val="center"/>
          </w:tcPr>
          <w:p w:rsidR="00406E90" w:rsidRPr="00057731" w:rsidRDefault="00406E90" w:rsidP="00406E90">
            <w:pPr>
              <w:keepNext/>
              <w:keepLines/>
              <w:jc w:val="center"/>
              <w:rPr>
                <w:sz w:val="22"/>
                <w:szCs w:val="22"/>
              </w:rPr>
            </w:pPr>
            <w:r w:rsidRPr="00057731">
              <w:rPr>
                <w:sz w:val="22"/>
                <w:szCs w:val="22"/>
              </w:rPr>
              <w:t>Delivery</w:t>
            </w:r>
          </w:p>
          <w:p w:rsidR="00406E90" w:rsidRPr="00057731" w:rsidRDefault="00406E90" w:rsidP="00406E90">
            <w:pPr>
              <w:keepNext/>
              <w:keepLines/>
              <w:jc w:val="center"/>
              <w:rPr>
                <w:sz w:val="22"/>
                <w:szCs w:val="22"/>
              </w:rPr>
            </w:pPr>
            <w:r w:rsidRPr="00057731">
              <w:rPr>
                <w:sz w:val="22"/>
                <w:szCs w:val="22"/>
              </w:rPr>
              <w:t>Voltage Level</w:t>
            </w:r>
          </w:p>
        </w:tc>
        <w:tc>
          <w:tcPr>
            <w:tcW w:w="3334" w:type="dxa"/>
            <w:gridSpan w:val="3"/>
            <w:tcBorders>
              <w:top w:val="single" w:sz="4" w:space="0" w:color="auto"/>
            </w:tcBorders>
            <w:vAlign w:val="center"/>
          </w:tcPr>
          <w:p w:rsidR="00406E90" w:rsidRPr="00057731" w:rsidRDefault="00406E90" w:rsidP="00406E90">
            <w:pPr>
              <w:keepNext/>
              <w:keepLines/>
              <w:jc w:val="center"/>
              <w:rPr>
                <w:sz w:val="22"/>
                <w:szCs w:val="22"/>
              </w:rPr>
            </w:pPr>
            <w:r w:rsidRPr="00057731">
              <w:rPr>
                <w:sz w:val="22"/>
                <w:szCs w:val="22"/>
              </w:rPr>
              <w:t>Fuel Cost Recovery Factors (cents/kWh)</w:t>
            </w:r>
          </w:p>
        </w:tc>
        <w:tc>
          <w:tcPr>
            <w:tcW w:w="3935" w:type="dxa"/>
            <w:gridSpan w:val="3"/>
            <w:tcBorders>
              <w:top w:val="single" w:sz="4" w:space="0" w:color="auto"/>
            </w:tcBorders>
            <w:vAlign w:val="center"/>
          </w:tcPr>
          <w:p w:rsidR="00406E90" w:rsidRPr="00057731" w:rsidRDefault="00406E90" w:rsidP="00406E90">
            <w:pPr>
              <w:keepNext/>
              <w:keepLines/>
              <w:jc w:val="center"/>
              <w:rPr>
                <w:sz w:val="22"/>
                <w:szCs w:val="22"/>
              </w:rPr>
            </w:pPr>
            <w:r w:rsidRPr="00057731">
              <w:rPr>
                <w:sz w:val="22"/>
                <w:szCs w:val="22"/>
              </w:rPr>
              <w:t>Time of Use</w:t>
            </w:r>
          </w:p>
          <w:p w:rsidR="00406E90" w:rsidRPr="00057731" w:rsidRDefault="00406E90" w:rsidP="00406E90">
            <w:pPr>
              <w:keepNext/>
              <w:keepLines/>
              <w:jc w:val="center"/>
              <w:rPr>
                <w:sz w:val="22"/>
                <w:szCs w:val="22"/>
              </w:rPr>
            </w:pPr>
            <w:r w:rsidRPr="00057731">
              <w:rPr>
                <w:sz w:val="22"/>
                <w:szCs w:val="22"/>
              </w:rPr>
              <w:t>(cents/kWh)</w:t>
            </w:r>
          </w:p>
        </w:tc>
      </w:tr>
      <w:tr w:rsidR="00406E90" w:rsidRPr="00057731" w:rsidTr="00406E90">
        <w:trPr>
          <w:tblHeader/>
          <w:jc w:val="center"/>
        </w:trPr>
        <w:tc>
          <w:tcPr>
            <w:tcW w:w="2249" w:type="dxa"/>
            <w:vMerge/>
            <w:vAlign w:val="center"/>
          </w:tcPr>
          <w:p w:rsidR="00406E90" w:rsidRPr="00057731" w:rsidRDefault="00406E90" w:rsidP="00406E90">
            <w:pPr>
              <w:jc w:val="center"/>
              <w:rPr>
                <w:sz w:val="22"/>
                <w:szCs w:val="22"/>
              </w:rPr>
            </w:pPr>
          </w:p>
        </w:tc>
        <w:tc>
          <w:tcPr>
            <w:tcW w:w="1077" w:type="dxa"/>
            <w:vAlign w:val="center"/>
          </w:tcPr>
          <w:p w:rsidR="00406E90" w:rsidRPr="00057731" w:rsidRDefault="00406E90" w:rsidP="00406E90">
            <w:pPr>
              <w:keepNext/>
              <w:keepLines/>
              <w:jc w:val="center"/>
              <w:rPr>
                <w:sz w:val="22"/>
                <w:szCs w:val="22"/>
              </w:rPr>
            </w:pPr>
            <w:r w:rsidRPr="00057731">
              <w:rPr>
                <w:sz w:val="22"/>
                <w:szCs w:val="22"/>
              </w:rPr>
              <w:t>First Tier</w:t>
            </w:r>
          </w:p>
          <w:p w:rsidR="00406E90" w:rsidRPr="00057731" w:rsidRDefault="00406E90" w:rsidP="00406E90">
            <w:pPr>
              <w:keepNext/>
              <w:keepLines/>
              <w:jc w:val="center"/>
              <w:rPr>
                <w:sz w:val="22"/>
                <w:szCs w:val="22"/>
              </w:rPr>
            </w:pPr>
          </w:p>
        </w:tc>
        <w:tc>
          <w:tcPr>
            <w:tcW w:w="1107" w:type="dxa"/>
            <w:vAlign w:val="center"/>
          </w:tcPr>
          <w:p w:rsidR="00406E90" w:rsidRPr="00057731" w:rsidRDefault="00406E90" w:rsidP="00406E90">
            <w:pPr>
              <w:keepNext/>
              <w:keepLines/>
              <w:jc w:val="center"/>
              <w:rPr>
                <w:sz w:val="22"/>
                <w:szCs w:val="22"/>
              </w:rPr>
            </w:pPr>
            <w:r w:rsidRPr="00057731">
              <w:rPr>
                <w:sz w:val="22"/>
                <w:szCs w:val="22"/>
              </w:rPr>
              <w:t>Second Tier</w:t>
            </w:r>
          </w:p>
          <w:p w:rsidR="00406E90" w:rsidRPr="00057731" w:rsidRDefault="00406E90" w:rsidP="00406E90">
            <w:pPr>
              <w:keepNext/>
              <w:keepLines/>
              <w:jc w:val="center"/>
              <w:rPr>
                <w:sz w:val="22"/>
                <w:szCs w:val="22"/>
              </w:rPr>
            </w:pPr>
          </w:p>
        </w:tc>
        <w:tc>
          <w:tcPr>
            <w:tcW w:w="1150" w:type="dxa"/>
            <w:vAlign w:val="center"/>
          </w:tcPr>
          <w:p w:rsidR="00406E90" w:rsidRPr="00057731" w:rsidRDefault="00406E90" w:rsidP="00406E90">
            <w:pPr>
              <w:keepNext/>
              <w:keepLines/>
              <w:jc w:val="center"/>
              <w:rPr>
                <w:sz w:val="22"/>
                <w:szCs w:val="22"/>
              </w:rPr>
            </w:pPr>
            <w:r w:rsidRPr="00057731">
              <w:rPr>
                <w:sz w:val="22"/>
                <w:szCs w:val="22"/>
              </w:rPr>
              <w:t>Levelized</w:t>
            </w:r>
          </w:p>
          <w:p w:rsidR="00406E90" w:rsidRPr="00057731" w:rsidRDefault="00406E90" w:rsidP="00406E90">
            <w:pPr>
              <w:keepNext/>
              <w:keepLines/>
              <w:jc w:val="center"/>
              <w:rPr>
                <w:sz w:val="22"/>
                <w:szCs w:val="22"/>
              </w:rPr>
            </w:pPr>
          </w:p>
        </w:tc>
        <w:tc>
          <w:tcPr>
            <w:tcW w:w="1177" w:type="dxa"/>
            <w:vAlign w:val="center"/>
          </w:tcPr>
          <w:p w:rsidR="00406E90" w:rsidRPr="00057731" w:rsidRDefault="00406E90" w:rsidP="00406E90">
            <w:pPr>
              <w:keepNext/>
              <w:keepLines/>
              <w:jc w:val="center"/>
              <w:rPr>
                <w:sz w:val="22"/>
                <w:szCs w:val="22"/>
              </w:rPr>
            </w:pPr>
            <w:r w:rsidRPr="00057731">
              <w:rPr>
                <w:sz w:val="22"/>
                <w:szCs w:val="22"/>
              </w:rPr>
              <w:t>On-Peak</w:t>
            </w:r>
          </w:p>
          <w:p w:rsidR="00406E90" w:rsidRPr="00057731" w:rsidRDefault="00406E90" w:rsidP="00406E90">
            <w:pPr>
              <w:keepNext/>
              <w:keepLines/>
              <w:jc w:val="center"/>
              <w:rPr>
                <w:sz w:val="22"/>
                <w:szCs w:val="22"/>
              </w:rPr>
            </w:pPr>
            <w:r w:rsidRPr="00057731">
              <w:rPr>
                <w:sz w:val="22"/>
                <w:szCs w:val="22"/>
              </w:rPr>
              <w:t>Multiplier</w:t>
            </w:r>
          </w:p>
          <w:p w:rsidR="00406E90" w:rsidRPr="00057731" w:rsidRDefault="00406E90" w:rsidP="00406E90">
            <w:pPr>
              <w:keepNext/>
              <w:keepLines/>
              <w:jc w:val="center"/>
              <w:rPr>
                <w:sz w:val="22"/>
                <w:szCs w:val="22"/>
              </w:rPr>
            </w:pPr>
            <w:r>
              <w:rPr>
                <w:sz w:val="22"/>
                <w:szCs w:val="22"/>
              </w:rPr>
              <w:t>1.137</w:t>
            </w:r>
          </w:p>
        </w:tc>
        <w:tc>
          <w:tcPr>
            <w:tcW w:w="1177" w:type="dxa"/>
            <w:vAlign w:val="center"/>
          </w:tcPr>
          <w:p w:rsidR="00406E90" w:rsidRPr="0030263B" w:rsidRDefault="00406E90" w:rsidP="00406E90">
            <w:pPr>
              <w:keepNext/>
              <w:keepLines/>
              <w:jc w:val="center"/>
              <w:rPr>
                <w:sz w:val="22"/>
                <w:szCs w:val="22"/>
              </w:rPr>
            </w:pPr>
            <w:r w:rsidRPr="0030263B">
              <w:rPr>
                <w:sz w:val="22"/>
                <w:szCs w:val="22"/>
              </w:rPr>
              <w:t>Off-Peak Multiplier</w:t>
            </w:r>
          </w:p>
          <w:p w:rsidR="00406E90" w:rsidRPr="0030263B" w:rsidRDefault="00406E90" w:rsidP="00406E90">
            <w:pPr>
              <w:keepNext/>
              <w:keepLines/>
              <w:jc w:val="center"/>
              <w:rPr>
                <w:sz w:val="22"/>
                <w:szCs w:val="22"/>
              </w:rPr>
            </w:pPr>
            <w:r w:rsidRPr="0030263B">
              <w:rPr>
                <w:sz w:val="22"/>
                <w:szCs w:val="22"/>
              </w:rPr>
              <w:t>0.995</w:t>
            </w:r>
          </w:p>
        </w:tc>
        <w:tc>
          <w:tcPr>
            <w:tcW w:w="1581" w:type="dxa"/>
            <w:vAlign w:val="center"/>
          </w:tcPr>
          <w:p w:rsidR="00406E90" w:rsidRPr="0030263B" w:rsidRDefault="00406E90" w:rsidP="00406E90">
            <w:pPr>
              <w:keepNext/>
              <w:keepLines/>
              <w:jc w:val="center"/>
              <w:rPr>
                <w:sz w:val="22"/>
                <w:szCs w:val="22"/>
              </w:rPr>
            </w:pPr>
            <w:r w:rsidRPr="0030263B">
              <w:rPr>
                <w:sz w:val="22"/>
                <w:szCs w:val="22"/>
              </w:rPr>
              <w:t>Discount Multiplier</w:t>
            </w:r>
          </w:p>
          <w:p w:rsidR="00406E90" w:rsidRPr="0030263B" w:rsidRDefault="00406E90" w:rsidP="00406E90">
            <w:pPr>
              <w:keepNext/>
              <w:keepLines/>
              <w:jc w:val="center"/>
              <w:rPr>
                <w:sz w:val="22"/>
                <w:szCs w:val="22"/>
              </w:rPr>
            </w:pPr>
            <w:r w:rsidRPr="0030263B">
              <w:rPr>
                <w:sz w:val="22"/>
                <w:szCs w:val="22"/>
              </w:rPr>
              <w:t>0.909</w:t>
            </w:r>
          </w:p>
        </w:tc>
      </w:tr>
      <w:tr w:rsidR="00406E90" w:rsidRPr="009F0F49" w:rsidTr="00406E90">
        <w:trPr>
          <w:jc w:val="center"/>
        </w:trPr>
        <w:tc>
          <w:tcPr>
            <w:tcW w:w="2249" w:type="dxa"/>
            <w:vAlign w:val="bottom"/>
          </w:tcPr>
          <w:p w:rsidR="00406E90" w:rsidRPr="00057731" w:rsidRDefault="00406E90" w:rsidP="00406E90">
            <w:pPr>
              <w:keepNext/>
              <w:keepLines/>
              <w:rPr>
                <w:sz w:val="22"/>
                <w:szCs w:val="22"/>
              </w:rPr>
            </w:pPr>
            <w:r w:rsidRPr="00057731">
              <w:rPr>
                <w:sz w:val="22"/>
                <w:szCs w:val="22"/>
              </w:rPr>
              <w:t>Transmission</w:t>
            </w:r>
          </w:p>
        </w:tc>
        <w:tc>
          <w:tcPr>
            <w:tcW w:w="1077" w:type="dxa"/>
            <w:vAlign w:val="bottom"/>
          </w:tcPr>
          <w:p w:rsidR="00406E90" w:rsidRPr="00057731" w:rsidRDefault="00406E90" w:rsidP="00406E90">
            <w:pPr>
              <w:keepNext/>
              <w:keepLines/>
              <w:jc w:val="right"/>
              <w:rPr>
                <w:sz w:val="22"/>
                <w:szCs w:val="22"/>
              </w:rPr>
            </w:pPr>
            <w:r w:rsidRPr="00057731">
              <w:rPr>
                <w:sz w:val="22"/>
                <w:szCs w:val="22"/>
              </w:rPr>
              <w:t>--</w:t>
            </w:r>
          </w:p>
        </w:tc>
        <w:tc>
          <w:tcPr>
            <w:tcW w:w="1107" w:type="dxa"/>
            <w:vAlign w:val="bottom"/>
          </w:tcPr>
          <w:p w:rsidR="00406E90" w:rsidRPr="00057731" w:rsidRDefault="00406E90" w:rsidP="00406E90">
            <w:pPr>
              <w:keepNext/>
              <w:keepLines/>
              <w:jc w:val="right"/>
              <w:rPr>
                <w:sz w:val="22"/>
                <w:szCs w:val="22"/>
              </w:rPr>
            </w:pPr>
            <w:r w:rsidRPr="00057731">
              <w:rPr>
                <w:sz w:val="22"/>
                <w:szCs w:val="22"/>
              </w:rPr>
              <w:t>--</w:t>
            </w:r>
          </w:p>
        </w:tc>
        <w:tc>
          <w:tcPr>
            <w:tcW w:w="1150" w:type="dxa"/>
            <w:vAlign w:val="bottom"/>
          </w:tcPr>
          <w:p w:rsidR="00406E90" w:rsidRPr="00057731" w:rsidRDefault="00406E90" w:rsidP="00406E90">
            <w:pPr>
              <w:keepNext/>
              <w:keepLines/>
              <w:jc w:val="right"/>
              <w:rPr>
                <w:sz w:val="22"/>
                <w:szCs w:val="22"/>
              </w:rPr>
            </w:pPr>
            <w:r>
              <w:rPr>
                <w:sz w:val="22"/>
                <w:szCs w:val="22"/>
              </w:rPr>
              <w:t>3.847</w:t>
            </w:r>
          </w:p>
        </w:tc>
        <w:tc>
          <w:tcPr>
            <w:tcW w:w="1177" w:type="dxa"/>
            <w:vAlign w:val="bottom"/>
          </w:tcPr>
          <w:p w:rsidR="00406E90" w:rsidRPr="00057731" w:rsidRDefault="00406E90" w:rsidP="00406E90">
            <w:pPr>
              <w:keepNext/>
              <w:keepLines/>
              <w:jc w:val="right"/>
              <w:rPr>
                <w:sz w:val="22"/>
                <w:szCs w:val="22"/>
              </w:rPr>
            </w:pPr>
            <w:r>
              <w:rPr>
                <w:sz w:val="22"/>
                <w:szCs w:val="22"/>
              </w:rPr>
              <w:t>4.374</w:t>
            </w:r>
          </w:p>
        </w:tc>
        <w:tc>
          <w:tcPr>
            <w:tcW w:w="1177" w:type="dxa"/>
            <w:vAlign w:val="bottom"/>
          </w:tcPr>
          <w:p w:rsidR="00406E90" w:rsidRPr="00057731" w:rsidRDefault="00406E90" w:rsidP="00406E90">
            <w:pPr>
              <w:keepNext/>
              <w:keepLines/>
              <w:jc w:val="right"/>
              <w:rPr>
                <w:sz w:val="22"/>
                <w:szCs w:val="22"/>
              </w:rPr>
            </w:pPr>
            <w:r>
              <w:rPr>
                <w:sz w:val="22"/>
                <w:szCs w:val="22"/>
              </w:rPr>
              <w:t>3.828</w:t>
            </w:r>
          </w:p>
        </w:tc>
        <w:tc>
          <w:tcPr>
            <w:tcW w:w="1581" w:type="dxa"/>
            <w:vAlign w:val="bottom"/>
          </w:tcPr>
          <w:p w:rsidR="00406E90" w:rsidRPr="00057731" w:rsidRDefault="00406E90" w:rsidP="00406E90">
            <w:pPr>
              <w:jc w:val="right"/>
              <w:rPr>
                <w:sz w:val="22"/>
                <w:szCs w:val="22"/>
              </w:rPr>
            </w:pPr>
            <w:r>
              <w:rPr>
                <w:sz w:val="22"/>
                <w:szCs w:val="22"/>
              </w:rPr>
              <w:t>3.497</w:t>
            </w:r>
          </w:p>
        </w:tc>
      </w:tr>
      <w:tr w:rsidR="00406E90" w:rsidRPr="009F0F49" w:rsidTr="00406E90">
        <w:trPr>
          <w:jc w:val="center"/>
        </w:trPr>
        <w:tc>
          <w:tcPr>
            <w:tcW w:w="2249" w:type="dxa"/>
            <w:vAlign w:val="bottom"/>
          </w:tcPr>
          <w:p w:rsidR="00406E90" w:rsidRPr="00057731" w:rsidRDefault="00406E90" w:rsidP="00406E90">
            <w:pPr>
              <w:keepNext/>
              <w:keepLines/>
              <w:rPr>
                <w:sz w:val="22"/>
                <w:szCs w:val="22"/>
              </w:rPr>
            </w:pPr>
            <w:r w:rsidRPr="00057731">
              <w:rPr>
                <w:sz w:val="22"/>
                <w:szCs w:val="22"/>
              </w:rPr>
              <w:t>Distribution Primary</w:t>
            </w:r>
          </w:p>
        </w:tc>
        <w:tc>
          <w:tcPr>
            <w:tcW w:w="1077" w:type="dxa"/>
            <w:vAlign w:val="bottom"/>
          </w:tcPr>
          <w:p w:rsidR="00406E90" w:rsidRPr="00057731" w:rsidRDefault="00406E90" w:rsidP="00406E90">
            <w:pPr>
              <w:keepNext/>
              <w:keepLines/>
              <w:jc w:val="right"/>
              <w:rPr>
                <w:sz w:val="22"/>
                <w:szCs w:val="22"/>
              </w:rPr>
            </w:pPr>
            <w:r w:rsidRPr="00057731">
              <w:rPr>
                <w:sz w:val="22"/>
                <w:szCs w:val="22"/>
              </w:rPr>
              <w:t>--</w:t>
            </w:r>
          </w:p>
        </w:tc>
        <w:tc>
          <w:tcPr>
            <w:tcW w:w="1107" w:type="dxa"/>
            <w:vAlign w:val="bottom"/>
          </w:tcPr>
          <w:p w:rsidR="00406E90" w:rsidRPr="00057731" w:rsidRDefault="00406E90" w:rsidP="00406E90">
            <w:pPr>
              <w:keepNext/>
              <w:keepLines/>
              <w:jc w:val="right"/>
              <w:rPr>
                <w:sz w:val="22"/>
                <w:szCs w:val="22"/>
              </w:rPr>
            </w:pPr>
            <w:r w:rsidRPr="00057731">
              <w:rPr>
                <w:sz w:val="22"/>
                <w:szCs w:val="22"/>
              </w:rPr>
              <w:t>--</w:t>
            </w:r>
          </w:p>
        </w:tc>
        <w:tc>
          <w:tcPr>
            <w:tcW w:w="1150" w:type="dxa"/>
            <w:vAlign w:val="bottom"/>
          </w:tcPr>
          <w:p w:rsidR="00406E90" w:rsidRPr="00057731" w:rsidRDefault="00406E90" w:rsidP="00406E90">
            <w:pPr>
              <w:keepNext/>
              <w:keepLines/>
              <w:jc w:val="right"/>
              <w:rPr>
                <w:sz w:val="22"/>
                <w:szCs w:val="22"/>
              </w:rPr>
            </w:pPr>
            <w:r>
              <w:rPr>
                <w:sz w:val="22"/>
                <w:szCs w:val="22"/>
              </w:rPr>
              <w:t>3.886</w:t>
            </w:r>
          </w:p>
        </w:tc>
        <w:tc>
          <w:tcPr>
            <w:tcW w:w="1177" w:type="dxa"/>
            <w:vAlign w:val="bottom"/>
          </w:tcPr>
          <w:p w:rsidR="00406E90" w:rsidRPr="00057731" w:rsidRDefault="00406E90" w:rsidP="00406E90">
            <w:pPr>
              <w:keepNext/>
              <w:keepLines/>
              <w:jc w:val="right"/>
              <w:rPr>
                <w:sz w:val="22"/>
                <w:szCs w:val="22"/>
              </w:rPr>
            </w:pPr>
            <w:r>
              <w:rPr>
                <w:sz w:val="22"/>
                <w:szCs w:val="22"/>
              </w:rPr>
              <w:t>4.418</w:t>
            </w:r>
          </w:p>
        </w:tc>
        <w:tc>
          <w:tcPr>
            <w:tcW w:w="1177" w:type="dxa"/>
            <w:vAlign w:val="bottom"/>
          </w:tcPr>
          <w:p w:rsidR="00406E90" w:rsidRPr="00057731" w:rsidRDefault="00406E90" w:rsidP="00406E90">
            <w:pPr>
              <w:keepNext/>
              <w:keepLines/>
              <w:jc w:val="right"/>
              <w:rPr>
                <w:sz w:val="22"/>
                <w:szCs w:val="22"/>
              </w:rPr>
            </w:pPr>
            <w:r>
              <w:rPr>
                <w:sz w:val="22"/>
                <w:szCs w:val="22"/>
              </w:rPr>
              <w:t>3.867</w:t>
            </w:r>
          </w:p>
        </w:tc>
        <w:tc>
          <w:tcPr>
            <w:tcW w:w="1581" w:type="dxa"/>
            <w:vAlign w:val="bottom"/>
          </w:tcPr>
          <w:p w:rsidR="00406E90" w:rsidRPr="00057731" w:rsidRDefault="00406E90" w:rsidP="00406E90">
            <w:pPr>
              <w:jc w:val="right"/>
              <w:rPr>
                <w:sz w:val="22"/>
                <w:szCs w:val="22"/>
              </w:rPr>
            </w:pPr>
            <w:r>
              <w:rPr>
                <w:sz w:val="22"/>
                <w:szCs w:val="22"/>
              </w:rPr>
              <w:t>3.532</w:t>
            </w:r>
          </w:p>
        </w:tc>
      </w:tr>
      <w:tr w:rsidR="00406E90" w:rsidRPr="009F0F49" w:rsidTr="00406E90">
        <w:trPr>
          <w:jc w:val="center"/>
        </w:trPr>
        <w:tc>
          <w:tcPr>
            <w:tcW w:w="2249" w:type="dxa"/>
            <w:vAlign w:val="bottom"/>
          </w:tcPr>
          <w:p w:rsidR="00406E90" w:rsidRPr="00057731" w:rsidRDefault="00406E90" w:rsidP="00406E90">
            <w:pPr>
              <w:keepNext/>
              <w:keepLines/>
              <w:rPr>
                <w:sz w:val="22"/>
                <w:szCs w:val="22"/>
              </w:rPr>
            </w:pPr>
            <w:r w:rsidRPr="00057731">
              <w:rPr>
                <w:sz w:val="22"/>
                <w:szCs w:val="22"/>
              </w:rPr>
              <w:t>Distribution Secondary</w:t>
            </w:r>
          </w:p>
        </w:tc>
        <w:tc>
          <w:tcPr>
            <w:tcW w:w="1077" w:type="dxa"/>
            <w:vAlign w:val="bottom"/>
          </w:tcPr>
          <w:p w:rsidR="00406E90" w:rsidRPr="00057731" w:rsidRDefault="00406E90" w:rsidP="00406E90">
            <w:pPr>
              <w:keepNext/>
              <w:keepLines/>
              <w:jc w:val="right"/>
              <w:rPr>
                <w:sz w:val="22"/>
                <w:szCs w:val="22"/>
              </w:rPr>
            </w:pPr>
            <w:r>
              <w:rPr>
                <w:sz w:val="22"/>
                <w:szCs w:val="22"/>
              </w:rPr>
              <w:t>3.630</w:t>
            </w:r>
          </w:p>
        </w:tc>
        <w:tc>
          <w:tcPr>
            <w:tcW w:w="1107" w:type="dxa"/>
            <w:vAlign w:val="bottom"/>
          </w:tcPr>
          <w:p w:rsidR="00406E90" w:rsidRPr="00057731" w:rsidRDefault="00406E90" w:rsidP="00406E90">
            <w:pPr>
              <w:keepNext/>
              <w:keepLines/>
              <w:jc w:val="right"/>
              <w:rPr>
                <w:sz w:val="22"/>
                <w:szCs w:val="22"/>
              </w:rPr>
            </w:pPr>
            <w:r>
              <w:rPr>
                <w:sz w:val="22"/>
                <w:szCs w:val="22"/>
              </w:rPr>
              <w:t>4.700</w:t>
            </w:r>
          </w:p>
        </w:tc>
        <w:tc>
          <w:tcPr>
            <w:tcW w:w="1150" w:type="dxa"/>
            <w:vAlign w:val="bottom"/>
          </w:tcPr>
          <w:p w:rsidR="00406E90" w:rsidRPr="00057731" w:rsidRDefault="00406E90" w:rsidP="00406E90">
            <w:pPr>
              <w:keepNext/>
              <w:keepLines/>
              <w:jc w:val="right"/>
              <w:rPr>
                <w:sz w:val="22"/>
                <w:szCs w:val="22"/>
              </w:rPr>
            </w:pPr>
            <w:r>
              <w:rPr>
                <w:sz w:val="22"/>
                <w:szCs w:val="22"/>
              </w:rPr>
              <w:t>3.925</w:t>
            </w:r>
          </w:p>
        </w:tc>
        <w:tc>
          <w:tcPr>
            <w:tcW w:w="1177" w:type="dxa"/>
            <w:vAlign w:val="bottom"/>
          </w:tcPr>
          <w:p w:rsidR="00406E90" w:rsidRPr="00057731" w:rsidRDefault="00406E90" w:rsidP="00406E90">
            <w:pPr>
              <w:keepNext/>
              <w:keepLines/>
              <w:jc w:val="right"/>
              <w:rPr>
                <w:sz w:val="22"/>
                <w:szCs w:val="22"/>
              </w:rPr>
            </w:pPr>
            <w:r>
              <w:rPr>
                <w:sz w:val="22"/>
                <w:szCs w:val="22"/>
              </w:rPr>
              <w:t>4.463</w:t>
            </w:r>
          </w:p>
        </w:tc>
        <w:tc>
          <w:tcPr>
            <w:tcW w:w="1177" w:type="dxa"/>
            <w:vAlign w:val="bottom"/>
          </w:tcPr>
          <w:p w:rsidR="00406E90" w:rsidRPr="00057731" w:rsidRDefault="00406E90" w:rsidP="00406E90">
            <w:pPr>
              <w:keepNext/>
              <w:keepLines/>
              <w:jc w:val="right"/>
              <w:rPr>
                <w:sz w:val="22"/>
                <w:szCs w:val="22"/>
              </w:rPr>
            </w:pPr>
            <w:r>
              <w:rPr>
                <w:sz w:val="22"/>
                <w:szCs w:val="22"/>
              </w:rPr>
              <w:t>3.905</w:t>
            </w:r>
          </w:p>
        </w:tc>
        <w:tc>
          <w:tcPr>
            <w:tcW w:w="1581" w:type="dxa"/>
            <w:vAlign w:val="bottom"/>
          </w:tcPr>
          <w:p w:rsidR="00406E90" w:rsidRPr="00057731" w:rsidRDefault="00406E90" w:rsidP="00406E90">
            <w:pPr>
              <w:jc w:val="right"/>
              <w:rPr>
                <w:sz w:val="22"/>
                <w:szCs w:val="22"/>
              </w:rPr>
            </w:pPr>
            <w:r>
              <w:rPr>
                <w:sz w:val="22"/>
                <w:szCs w:val="22"/>
              </w:rPr>
              <w:t>3.568</w:t>
            </w:r>
          </w:p>
        </w:tc>
      </w:tr>
      <w:tr w:rsidR="00406E90" w:rsidRPr="009F0F49" w:rsidTr="00406E90">
        <w:trPr>
          <w:jc w:val="center"/>
        </w:trPr>
        <w:tc>
          <w:tcPr>
            <w:tcW w:w="2249" w:type="dxa"/>
            <w:vAlign w:val="bottom"/>
          </w:tcPr>
          <w:p w:rsidR="00406E90" w:rsidRPr="00057731" w:rsidRDefault="00406E90" w:rsidP="00406E90">
            <w:pPr>
              <w:keepNext/>
              <w:keepLines/>
              <w:rPr>
                <w:sz w:val="22"/>
                <w:szCs w:val="22"/>
              </w:rPr>
            </w:pPr>
            <w:r w:rsidRPr="00057731">
              <w:rPr>
                <w:sz w:val="22"/>
                <w:szCs w:val="22"/>
              </w:rPr>
              <w:t>Lighting Service</w:t>
            </w:r>
          </w:p>
        </w:tc>
        <w:tc>
          <w:tcPr>
            <w:tcW w:w="1077" w:type="dxa"/>
            <w:vAlign w:val="bottom"/>
          </w:tcPr>
          <w:p w:rsidR="00406E90" w:rsidRPr="00057731" w:rsidRDefault="00406E90" w:rsidP="00406E90">
            <w:pPr>
              <w:keepNext/>
              <w:keepLines/>
              <w:jc w:val="right"/>
              <w:rPr>
                <w:sz w:val="22"/>
                <w:szCs w:val="22"/>
              </w:rPr>
            </w:pPr>
            <w:r w:rsidRPr="00057731">
              <w:rPr>
                <w:sz w:val="22"/>
                <w:szCs w:val="22"/>
              </w:rPr>
              <w:t>--</w:t>
            </w:r>
          </w:p>
        </w:tc>
        <w:tc>
          <w:tcPr>
            <w:tcW w:w="1107" w:type="dxa"/>
            <w:vAlign w:val="bottom"/>
          </w:tcPr>
          <w:p w:rsidR="00406E90" w:rsidRPr="00057731" w:rsidRDefault="00406E90" w:rsidP="00406E90">
            <w:pPr>
              <w:keepNext/>
              <w:keepLines/>
              <w:jc w:val="right"/>
              <w:rPr>
                <w:sz w:val="22"/>
                <w:szCs w:val="22"/>
              </w:rPr>
            </w:pPr>
            <w:r w:rsidRPr="00057731">
              <w:rPr>
                <w:sz w:val="22"/>
                <w:szCs w:val="22"/>
              </w:rPr>
              <w:t>--</w:t>
            </w:r>
          </w:p>
        </w:tc>
        <w:tc>
          <w:tcPr>
            <w:tcW w:w="1150" w:type="dxa"/>
            <w:vAlign w:val="bottom"/>
          </w:tcPr>
          <w:p w:rsidR="00406E90" w:rsidRPr="00057731" w:rsidRDefault="00406E90" w:rsidP="00406E90">
            <w:pPr>
              <w:keepNext/>
              <w:keepLines/>
              <w:jc w:val="right"/>
              <w:rPr>
                <w:sz w:val="22"/>
                <w:szCs w:val="22"/>
              </w:rPr>
            </w:pPr>
            <w:r>
              <w:rPr>
                <w:sz w:val="22"/>
                <w:szCs w:val="22"/>
              </w:rPr>
              <w:t>3.829</w:t>
            </w:r>
          </w:p>
        </w:tc>
        <w:tc>
          <w:tcPr>
            <w:tcW w:w="1177" w:type="dxa"/>
            <w:vAlign w:val="bottom"/>
          </w:tcPr>
          <w:p w:rsidR="00406E90" w:rsidRPr="00057731" w:rsidRDefault="00406E90" w:rsidP="00406E90">
            <w:pPr>
              <w:keepNext/>
              <w:keepLines/>
              <w:jc w:val="right"/>
              <w:rPr>
                <w:sz w:val="22"/>
                <w:szCs w:val="22"/>
              </w:rPr>
            </w:pPr>
            <w:r w:rsidRPr="00057731">
              <w:rPr>
                <w:sz w:val="22"/>
                <w:szCs w:val="22"/>
              </w:rPr>
              <w:t>--</w:t>
            </w:r>
          </w:p>
        </w:tc>
        <w:tc>
          <w:tcPr>
            <w:tcW w:w="1177" w:type="dxa"/>
            <w:vAlign w:val="bottom"/>
          </w:tcPr>
          <w:p w:rsidR="00406E90" w:rsidRPr="00057731" w:rsidRDefault="00406E90" w:rsidP="00406E90">
            <w:pPr>
              <w:keepNext/>
              <w:keepLines/>
              <w:jc w:val="right"/>
              <w:rPr>
                <w:sz w:val="22"/>
                <w:szCs w:val="22"/>
              </w:rPr>
            </w:pPr>
            <w:r w:rsidRPr="00057731">
              <w:rPr>
                <w:sz w:val="22"/>
                <w:szCs w:val="22"/>
              </w:rPr>
              <w:t>--</w:t>
            </w:r>
          </w:p>
        </w:tc>
        <w:tc>
          <w:tcPr>
            <w:tcW w:w="1581" w:type="dxa"/>
            <w:vAlign w:val="bottom"/>
          </w:tcPr>
          <w:p w:rsidR="00406E90" w:rsidRPr="00057731" w:rsidRDefault="00406E90" w:rsidP="00406E90">
            <w:pPr>
              <w:jc w:val="right"/>
              <w:rPr>
                <w:sz w:val="22"/>
                <w:szCs w:val="22"/>
              </w:rPr>
            </w:pPr>
            <w:r w:rsidRPr="00057731">
              <w:rPr>
                <w:sz w:val="22"/>
                <w:szCs w:val="22"/>
              </w:rPr>
              <w:t>--</w:t>
            </w:r>
          </w:p>
        </w:tc>
      </w:tr>
    </w:tbl>
    <w:p w:rsidR="00406E90" w:rsidRPr="005E6F70" w:rsidRDefault="00406E90" w:rsidP="00406E90">
      <w:pPr>
        <w:autoSpaceDE w:val="0"/>
        <w:autoSpaceDN w:val="0"/>
        <w:adjustRightInd w:val="0"/>
        <w:jc w:val="both"/>
      </w:pPr>
      <w:r w:rsidRPr="00057731">
        <w:rPr>
          <w:sz w:val="22"/>
          <w:szCs w:val="22"/>
        </w:rPr>
        <w:t>So</w:t>
      </w:r>
      <w:r w:rsidRPr="0030263B">
        <w:rPr>
          <w:sz w:val="22"/>
          <w:szCs w:val="22"/>
        </w:rPr>
        <w:t>urce: Schedule E1-E (Exhibit GPD-3, Part 2, Page 1 of 1).</w:t>
      </w:r>
    </w:p>
    <w:p w:rsidR="00910005" w:rsidRDefault="00910005">
      <w:r>
        <w:br w:type="page"/>
      </w:r>
    </w:p>
    <w:p w:rsidR="00406E90" w:rsidRPr="007709B8" w:rsidRDefault="00406E90" w:rsidP="00406E90">
      <w:pPr>
        <w:rPr>
          <w:b/>
        </w:rPr>
      </w:pPr>
      <w:r w:rsidRPr="007709B8">
        <w:rPr>
          <w:b/>
        </w:rPr>
        <w:lastRenderedPageBreak/>
        <w:t>FPL:</w:t>
      </w:r>
      <w:r w:rsidRPr="007709B8">
        <w:rPr>
          <w:b/>
        </w:rPr>
        <w:tab/>
      </w:r>
    </w:p>
    <w:tbl>
      <w:tblPr>
        <w:tblStyle w:val="TableGrid"/>
        <w:tblpPr w:leftFromText="180" w:rightFromText="180" w:vertAnchor="text" w:tblpX="108" w:tblpY="1"/>
        <w:tblOverlap w:val="never"/>
        <w:tblW w:w="9540" w:type="dxa"/>
        <w:tblLayout w:type="fixed"/>
        <w:tblLook w:val="04A0" w:firstRow="1" w:lastRow="0" w:firstColumn="1" w:lastColumn="0" w:noHBand="0" w:noVBand="1"/>
      </w:tblPr>
      <w:tblGrid>
        <w:gridCol w:w="918"/>
        <w:gridCol w:w="4549"/>
        <w:gridCol w:w="1440"/>
        <w:gridCol w:w="1193"/>
        <w:gridCol w:w="1440"/>
      </w:tblGrid>
      <w:tr w:rsidR="00406E90" w:rsidRPr="00DF34E7" w:rsidTr="00910005">
        <w:trPr>
          <w:tblHeader/>
        </w:trPr>
        <w:tc>
          <w:tcPr>
            <w:tcW w:w="9540" w:type="dxa"/>
            <w:gridSpan w:val="5"/>
            <w:tcBorders>
              <w:top w:val="nil"/>
              <w:left w:val="nil"/>
              <w:bottom w:val="nil"/>
              <w:right w:val="nil"/>
            </w:tcBorders>
          </w:tcPr>
          <w:p w:rsidR="00406E90" w:rsidRPr="00DF34E7" w:rsidRDefault="00406E90" w:rsidP="00910005">
            <w:pPr>
              <w:jc w:val="center"/>
            </w:pPr>
            <w:r w:rsidRPr="00DF34E7">
              <w:rPr>
                <w:rFonts w:ascii="Arial" w:hAnsi="Arial" w:cs="Arial"/>
                <w:b/>
              </w:rPr>
              <w:t>Table 20-2</w:t>
            </w:r>
          </w:p>
        </w:tc>
      </w:tr>
      <w:tr w:rsidR="00406E90" w:rsidRPr="00DF34E7" w:rsidTr="00910005">
        <w:trPr>
          <w:tblHeader/>
        </w:trPr>
        <w:tc>
          <w:tcPr>
            <w:tcW w:w="9540" w:type="dxa"/>
            <w:gridSpan w:val="5"/>
            <w:tcBorders>
              <w:top w:val="nil"/>
              <w:left w:val="nil"/>
              <w:right w:val="nil"/>
            </w:tcBorders>
          </w:tcPr>
          <w:p w:rsidR="00406E90" w:rsidRPr="00DF34E7" w:rsidRDefault="00406E90" w:rsidP="00910005">
            <w:pPr>
              <w:jc w:val="center"/>
            </w:pPr>
            <w:r w:rsidRPr="00DF34E7">
              <w:rPr>
                <w:rFonts w:ascii="Arial" w:hAnsi="Arial" w:cs="Arial"/>
                <w:b/>
              </w:rPr>
              <w:t>FPL Fuel Cost Recovery Factors for the period January</w:t>
            </w:r>
            <w:r>
              <w:rPr>
                <w:rFonts w:ascii="Arial" w:hAnsi="Arial" w:cs="Arial"/>
                <w:b/>
              </w:rPr>
              <w:t>, 2025</w:t>
            </w:r>
          </w:p>
        </w:tc>
      </w:tr>
      <w:tr w:rsidR="00406E90" w:rsidRPr="00DF34E7" w:rsidTr="00910005">
        <w:trPr>
          <w:tblHeader/>
        </w:trPr>
        <w:tc>
          <w:tcPr>
            <w:tcW w:w="9540" w:type="dxa"/>
            <w:gridSpan w:val="5"/>
          </w:tcPr>
          <w:p w:rsidR="00406E90" w:rsidRPr="00E176B4" w:rsidRDefault="00406E90" w:rsidP="00910005">
            <w:pPr>
              <w:jc w:val="center"/>
            </w:pPr>
            <w:r w:rsidRPr="00E176B4">
              <w:t>Fuel Recovery Factors – By Rate Group (Adjusted for Line Losses)</w:t>
            </w:r>
          </w:p>
        </w:tc>
      </w:tr>
      <w:tr w:rsidR="00406E90" w:rsidRPr="00DF34E7" w:rsidTr="00910005">
        <w:trPr>
          <w:tblHeader/>
        </w:trPr>
        <w:tc>
          <w:tcPr>
            <w:tcW w:w="918" w:type="dxa"/>
            <w:vAlign w:val="center"/>
          </w:tcPr>
          <w:p w:rsidR="00406E90" w:rsidRPr="00E176B4" w:rsidRDefault="00406E90" w:rsidP="00910005">
            <w:r w:rsidRPr="00E176B4">
              <w:t>Group</w:t>
            </w:r>
          </w:p>
        </w:tc>
        <w:tc>
          <w:tcPr>
            <w:tcW w:w="4549" w:type="dxa"/>
            <w:vAlign w:val="center"/>
          </w:tcPr>
          <w:p w:rsidR="00406E90" w:rsidRPr="00E176B4" w:rsidRDefault="00406E90" w:rsidP="00910005">
            <w:pPr>
              <w:jc w:val="center"/>
            </w:pPr>
            <w:r w:rsidRPr="00E176B4">
              <w:t>Rate Schedule</w:t>
            </w:r>
          </w:p>
        </w:tc>
        <w:tc>
          <w:tcPr>
            <w:tcW w:w="1440" w:type="dxa"/>
            <w:vAlign w:val="center"/>
          </w:tcPr>
          <w:p w:rsidR="00406E90" w:rsidRPr="00E176B4" w:rsidRDefault="00406E90" w:rsidP="00910005">
            <w:pPr>
              <w:jc w:val="center"/>
            </w:pPr>
            <w:r w:rsidRPr="00E176B4">
              <w:t>Avg. Factor</w:t>
            </w:r>
          </w:p>
          <w:p w:rsidR="00406E90" w:rsidRPr="00E176B4" w:rsidRDefault="00406E90" w:rsidP="00910005">
            <w:pPr>
              <w:jc w:val="center"/>
            </w:pPr>
            <w:r w:rsidRPr="00E176B4">
              <w:t>(cents/kWh)</w:t>
            </w:r>
          </w:p>
        </w:tc>
        <w:tc>
          <w:tcPr>
            <w:tcW w:w="1193" w:type="dxa"/>
            <w:vAlign w:val="center"/>
          </w:tcPr>
          <w:p w:rsidR="00406E90" w:rsidRPr="00E176B4" w:rsidRDefault="00406E90" w:rsidP="00910005">
            <w:pPr>
              <w:jc w:val="center"/>
            </w:pPr>
            <w:r w:rsidRPr="00E176B4">
              <w:t>Fuel Recovery Loss Multiplier</w:t>
            </w:r>
          </w:p>
        </w:tc>
        <w:tc>
          <w:tcPr>
            <w:tcW w:w="1440" w:type="dxa"/>
            <w:vAlign w:val="center"/>
          </w:tcPr>
          <w:p w:rsidR="00406E90" w:rsidRPr="00E176B4" w:rsidRDefault="00406E90" w:rsidP="00910005">
            <w:pPr>
              <w:jc w:val="center"/>
            </w:pPr>
            <w:r w:rsidRPr="00E176B4">
              <w:t>Fuel Recovery Factor</w:t>
            </w:r>
          </w:p>
          <w:p w:rsidR="00406E90" w:rsidRPr="00E176B4" w:rsidRDefault="00406E90" w:rsidP="00910005">
            <w:pPr>
              <w:jc w:val="center"/>
            </w:pPr>
            <w:r w:rsidRPr="00E176B4">
              <w:t>(cents/kWh)</w:t>
            </w:r>
          </w:p>
        </w:tc>
      </w:tr>
      <w:tr w:rsidR="00406E90" w:rsidRPr="00DF34E7" w:rsidTr="00910005">
        <w:tc>
          <w:tcPr>
            <w:tcW w:w="918" w:type="dxa"/>
            <w:vMerge w:val="restart"/>
            <w:vAlign w:val="center"/>
          </w:tcPr>
          <w:p w:rsidR="00406E90" w:rsidRPr="00E176B4" w:rsidRDefault="00406E90" w:rsidP="00910005">
            <w:pPr>
              <w:jc w:val="center"/>
            </w:pPr>
            <w:r w:rsidRPr="00E176B4">
              <w:t>A</w:t>
            </w:r>
          </w:p>
        </w:tc>
        <w:tc>
          <w:tcPr>
            <w:tcW w:w="4549" w:type="dxa"/>
          </w:tcPr>
          <w:p w:rsidR="00406E90" w:rsidRPr="00E176B4" w:rsidRDefault="00406E90" w:rsidP="00910005">
            <w:r w:rsidRPr="00E176B4">
              <w:t>RS-1, first 1,000 kWh</w:t>
            </w:r>
          </w:p>
        </w:tc>
        <w:tc>
          <w:tcPr>
            <w:tcW w:w="1440" w:type="dxa"/>
            <w:shd w:val="clear" w:color="auto" w:fill="auto"/>
            <w:vAlign w:val="bottom"/>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2.446</w:t>
            </w:r>
          </w:p>
        </w:tc>
      </w:tr>
      <w:tr w:rsidR="00406E90" w:rsidRPr="00DF34E7" w:rsidTr="00910005">
        <w:tc>
          <w:tcPr>
            <w:tcW w:w="918" w:type="dxa"/>
            <w:vMerge/>
          </w:tcPr>
          <w:p w:rsidR="00406E90" w:rsidRPr="00E176B4" w:rsidRDefault="00406E90" w:rsidP="00910005">
            <w:pPr>
              <w:jc w:val="center"/>
            </w:pPr>
          </w:p>
        </w:tc>
        <w:tc>
          <w:tcPr>
            <w:tcW w:w="4549" w:type="dxa"/>
          </w:tcPr>
          <w:p w:rsidR="00406E90" w:rsidRPr="00E176B4" w:rsidRDefault="00406E90" w:rsidP="00910005">
            <w:r w:rsidRPr="00E176B4">
              <w:t>RS-1, all additional kWh</w:t>
            </w:r>
          </w:p>
        </w:tc>
        <w:tc>
          <w:tcPr>
            <w:tcW w:w="1440" w:type="dxa"/>
            <w:shd w:val="clear" w:color="auto" w:fill="auto"/>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3.446</w:t>
            </w:r>
          </w:p>
        </w:tc>
      </w:tr>
      <w:tr w:rsidR="00406E90" w:rsidRPr="00DF34E7" w:rsidTr="00910005">
        <w:tc>
          <w:tcPr>
            <w:tcW w:w="918" w:type="dxa"/>
            <w:vMerge/>
          </w:tcPr>
          <w:p w:rsidR="00406E90" w:rsidRPr="00E176B4" w:rsidRDefault="00406E90" w:rsidP="00910005">
            <w:pPr>
              <w:jc w:val="center"/>
            </w:pPr>
          </w:p>
        </w:tc>
        <w:tc>
          <w:tcPr>
            <w:tcW w:w="4549" w:type="dxa"/>
          </w:tcPr>
          <w:p w:rsidR="00406E90" w:rsidRPr="00E176B4" w:rsidRDefault="00406E90" w:rsidP="00910005">
            <w:r w:rsidRPr="00E176B4">
              <w:t>GS-1, SL-2, SL-2M, GSCU-1</w:t>
            </w:r>
          </w:p>
        </w:tc>
        <w:tc>
          <w:tcPr>
            <w:tcW w:w="1440" w:type="dxa"/>
            <w:shd w:val="clear" w:color="auto" w:fill="auto"/>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2.756</w:t>
            </w:r>
          </w:p>
        </w:tc>
      </w:tr>
      <w:tr w:rsidR="00406E90" w:rsidRPr="00DF34E7" w:rsidTr="00910005">
        <w:tc>
          <w:tcPr>
            <w:tcW w:w="918" w:type="dxa"/>
          </w:tcPr>
          <w:p w:rsidR="00406E90" w:rsidRPr="00E176B4" w:rsidRDefault="00406E90" w:rsidP="00910005">
            <w:pPr>
              <w:jc w:val="center"/>
            </w:pPr>
            <w:r w:rsidRPr="00E176B4">
              <w:t>A-1</w:t>
            </w:r>
          </w:p>
        </w:tc>
        <w:tc>
          <w:tcPr>
            <w:tcW w:w="4549" w:type="dxa"/>
          </w:tcPr>
          <w:p w:rsidR="00406E90" w:rsidRPr="00E176B4" w:rsidRDefault="00406E90" w:rsidP="00910005">
            <w:r w:rsidRPr="00E176B4">
              <w:t>SL-1, SL-1M, OL-1, PL-1 (1), LT-1, OS I/II</w:t>
            </w:r>
          </w:p>
        </w:tc>
        <w:tc>
          <w:tcPr>
            <w:tcW w:w="1440" w:type="dxa"/>
            <w:shd w:val="clear" w:color="auto" w:fill="auto"/>
            <w:vAlign w:val="bottom"/>
          </w:tcPr>
          <w:p w:rsidR="00406E90" w:rsidRPr="00E176B4" w:rsidRDefault="00406E90" w:rsidP="00910005">
            <w:pPr>
              <w:jc w:val="right"/>
            </w:pPr>
            <w:r>
              <w:t>2.676</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2.684</w:t>
            </w:r>
          </w:p>
        </w:tc>
      </w:tr>
      <w:tr w:rsidR="00406E90" w:rsidRPr="00DF34E7" w:rsidTr="00910005">
        <w:tc>
          <w:tcPr>
            <w:tcW w:w="918" w:type="dxa"/>
          </w:tcPr>
          <w:p w:rsidR="00406E90" w:rsidRPr="00E176B4" w:rsidRDefault="00406E90" w:rsidP="00910005">
            <w:pPr>
              <w:jc w:val="center"/>
            </w:pPr>
            <w:r w:rsidRPr="00E176B4">
              <w:t>B</w:t>
            </w:r>
          </w:p>
        </w:tc>
        <w:tc>
          <w:tcPr>
            <w:tcW w:w="4549" w:type="dxa"/>
          </w:tcPr>
          <w:p w:rsidR="00406E90" w:rsidRPr="00E176B4" w:rsidRDefault="00406E90" w:rsidP="00910005">
            <w:r w:rsidRPr="00E176B4">
              <w:t>GSD-1, GSD-1EV</w:t>
            </w:r>
          </w:p>
        </w:tc>
        <w:tc>
          <w:tcPr>
            <w:tcW w:w="1440" w:type="dxa"/>
            <w:shd w:val="clear" w:color="auto" w:fill="auto"/>
            <w:vAlign w:val="bottom"/>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1.00290</w:t>
            </w:r>
          </w:p>
        </w:tc>
        <w:tc>
          <w:tcPr>
            <w:tcW w:w="1440" w:type="dxa"/>
            <w:shd w:val="clear" w:color="auto" w:fill="auto"/>
            <w:vAlign w:val="bottom"/>
          </w:tcPr>
          <w:p w:rsidR="00406E90" w:rsidRPr="00E176B4" w:rsidRDefault="00406E90" w:rsidP="00910005">
            <w:pPr>
              <w:jc w:val="right"/>
            </w:pPr>
            <w:r>
              <w:t>2.756</w:t>
            </w:r>
          </w:p>
        </w:tc>
      </w:tr>
      <w:tr w:rsidR="00406E90" w:rsidRPr="00DF34E7" w:rsidTr="00910005">
        <w:tc>
          <w:tcPr>
            <w:tcW w:w="918" w:type="dxa"/>
          </w:tcPr>
          <w:p w:rsidR="00406E90" w:rsidRPr="00E176B4" w:rsidRDefault="00406E90" w:rsidP="00910005">
            <w:pPr>
              <w:jc w:val="center"/>
            </w:pPr>
            <w:r w:rsidRPr="00E176B4">
              <w:t>C</w:t>
            </w:r>
          </w:p>
        </w:tc>
        <w:tc>
          <w:tcPr>
            <w:tcW w:w="4549" w:type="dxa"/>
          </w:tcPr>
          <w:p w:rsidR="00406E90" w:rsidRPr="00E176B4" w:rsidRDefault="00406E90" w:rsidP="00910005">
            <w:r w:rsidRPr="00E176B4">
              <w:t>GSLD-1, GSLD-1EV, CS-1</w:t>
            </w:r>
          </w:p>
        </w:tc>
        <w:tc>
          <w:tcPr>
            <w:tcW w:w="1440" w:type="dxa"/>
            <w:shd w:val="clear" w:color="auto" w:fill="auto"/>
            <w:vAlign w:val="bottom"/>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1.00181</w:t>
            </w:r>
          </w:p>
        </w:tc>
        <w:tc>
          <w:tcPr>
            <w:tcW w:w="1440" w:type="dxa"/>
            <w:shd w:val="clear" w:color="auto" w:fill="auto"/>
            <w:vAlign w:val="bottom"/>
          </w:tcPr>
          <w:p w:rsidR="00406E90" w:rsidRPr="00E176B4" w:rsidRDefault="00406E90" w:rsidP="00910005">
            <w:pPr>
              <w:jc w:val="right"/>
            </w:pPr>
            <w:r>
              <w:t>2.753</w:t>
            </w:r>
          </w:p>
        </w:tc>
      </w:tr>
      <w:tr w:rsidR="00406E90" w:rsidRPr="00DF34E7" w:rsidTr="00910005">
        <w:tc>
          <w:tcPr>
            <w:tcW w:w="918" w:type="dxa"/>
          </w:tcPr>
          <w:p w:rsidR="00406E90" w:rsidRPr="00E176B4" w:rsidRDefault="00406E90" w:rsidP="00910005">
            <w:pPr>
              <w:jc w:val="center"/>
            </w:pPr>
            <w:r w:rsidRPr="00E176B4">
              <w:t>D</w:t>
            </w:r>
          </w:p>
        </w:tc>
        <w:tc>
          <w:tcPr>
            <w:tcW w:w="4549" w:type="dxa"/>
          </w:tcPr>
          <w:p w:rsidR="00406E90" w:rsidRPr="00E176B4" w:rsidRDefault="00406E90" w:rsidP="00910005">
            <w:r w:rsidRPr="00E176B4">
              <w:t>GSLD-2, CS-2, OS-2, MET</w:t>
            </w:r>
          </w:p>
        </w:tc>
        <w:tc>
          <w:tcPr>
            <w:tcW w:w="1440" w:type="dxa"/>
            <w:shd w:val="clear" w:color="auto" w:fill="auto"/>
            <w:vAlign w:val="bottom"/>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0.99415</w:t>
            </w:r>
          </w:p>
        </w:tc>
        <w:tc>
          <w:tcPr>
            <w:tcW w:w="1440" w:type="dxa"/>
            <w:shd w:val="clear" w:color="auto" w:fill="auto"/>
            <w:vAlign w:val="bottom"/>
          </w:tcPr>
          <w:p w:rsidR="00406E90" w:rsidRPr="00E176B4" w:rsidRDefault="00406E90" w:rsidP="00910005">
            <w:pPr>
              <w:jc w:val="right"/>
            </w:pPr>
            <w:r>
              <w:t>2.732</w:t>
            </w:r>
          </w:p>
        </w:tc>
      </w:tr>
      <w:tr w:rsidR="00406E90" w:rsidRPr="00DF34E7" w:rsidTr="00910005">
        <w:tc>
          <w:tcPr>
            <w:tcW w:w="918" w:type="dxa"/>
          </w:tcPr>
          <w:p w:rsidR="00406E90" w:rsidRPr="00E176B4" w:rsidRDefault="00406E90" w:rsidP="00910005">
            <w:pPr>
              <w:jc w:val="center"/>
            </w:pPr>
            <w:r w:rsidRPr="00E176B4">
              <w:t>E</w:t>
            </w:r>
          </w:p>
        </w:tc>
        <w:tc>
          <w:tcPr>
            <w:tcW w:w="4549" w:type="dxa"/>
          </w:tcPr>
          <w:p w:rsidR="00406E90" w:rsidRPr="00E176B4" w:rsidRDefault="00406E90" w:rsidP="00910005">
            <w:r w:rsidRPr="00E176B4">
              <w:t>GSLD-3, CS-3</w:t>
            </w:r>
          </w:p>
        </w:tc>
        <w:tc>
          <w:tcPr>
            <w:tcW w:w="1440" w:type="dxa"/>
            <w:shd w:val="clear" w:color="auto" w:fill="auto"/>
            <w:vAlign w:val="bottom"/>
          </w:tcPr>
          <w:p w:rsidR="00406E90" w:rsidRPr="00E176B4" w:rsidRDefault="00406E90" w:rsidP="00910005">
            <w:pPr>
              <w:jc w:val="right"/>
            </w:pPr>
            <w:r>
              <w:t>2.748</w:t>
            </w:r>
          </w:p>
        </w:tc>
        <w:tc>
          <w:tcPr>
            <w:tcW w:w="1193" w:type="dxa"/>
            <w:shd w:val="clear" w:color="auto" w:fill="auto"/>
            <w:vAlign w:val="bottom"/>
          </w:tcPr>
          <w:p w:rsidR="00406E90" w:rsidRPr="00E176B4" w:rsidRDefault="00406E90" w:rsidP="00910005">
            <w:pPr>
              <w:jc w:val="right"/>
            </w:pPr>
            <w:r>
              <w:t>0.97310</w:t>
            </w:r>
          </w:p>
        </w:tc>
        <w:tc>
          <w:tcPr>
            <w:tcW w:w="1440" w:type="dxa"/>
            <w:shd w:val="clear" w:color="auto" w:fill="auto"/>
            <w:vAlign w:val="bottom"/>
          </w:tcPr>
          <w:p w:rsidR="00406E90" w:rsidRPr="00E176B4" w:rsidRDefault="00406E90" w:rsidP="00910005">
            <w:pPr>
              <w:jc w:val="right"/>
            </w:pPr>
            <w:r>
              <w:t>2.674</w:t>
            </w:r>
          </w:p>
        </w:tc>
      </w:tr>
      <w:tr w:rsidR="00406E90" w:rsidRPr="00DF34E7" w:rsidTr="00910005">
        <w:tc>
          <w:tcPr>
            <w:tcW w:w="918" w:type="dxa"/>
            <w:vMerge w:val="restart"/>
            <w:vAlign w:val="center"/>
          </w:tcPr>
          <w:p w:rsidR="00406E90" w:rsidRPr="00E176B4" w:rsidRDefault="00406E90" w:rsidP="00910005">
            <w:pPr>
              <w:jc w:val="center"/>
            </w:pPr>
            <w:r w:rsidRPr="00E176B4">
              <w:t>A</w:t>
            </w:r>
          </w:p>
        </w:tc>
        <w:tc>
          <w:tcPr>
            <w:tcW w:w="4549" w:type="dxa"/>
          </w:tcPr>
          <w:p w:rsidR="00406E90" w:rsidRPr="00E176B4" w:rsidRDefault="00406E90" w:rsidP="00910005">
            <w:r w:rsidRPr="00E176B4">
              <w:t>GST-1 On-Peak</w:t>
            </w:r>
          </w:p>
        </w:tc>
        <w:tc>
          <w:tcPr>
            <w:tcW w:w="1440" w:type="dxa"/>
            <w:shd w:val="clear" w:color="auto" w:fill="auto"/>
            <w:vAlign w:val="bottom"/>
          </w:tcPr>
          <w:p w:rsidR="00406E90" w:rsidRPr="00E176B4" w:rsidRDefault="00406E90" w:rsidP="00910005">
            <w:pPr>
              <w:jc w:val="right"/>
            </w:pPr>
            <w:r>
              <w:t>3.108</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3.117</w:t>
            </w:r>
          </w:p>
        </w:tc>
      </w:tr>
      <w:tr w:rsidR="00406E90" w:rsidRPr="00DF34E7" w:rsidTr="00910005">
        <w:tc>
          <w:tcPr>
            <w:tcW w:w="918" w:type="dxa"/>
            <w:vMerge/>
          </w:tcPr>
          <w:p w:rsidR="00406E90" w:rsidRPr="00E176B4" w:rsidRDefault="00406E90" w:rsidP="00910005">
            <w:pPr>
              <w:jc w:val="center"/>
            </w:pPr>
          </w:p>
        </w:tc>
        <w:tc>
          <w:tcPr>
            <w:tcW w:w="4549" w:type="dxa"/>
          </w:tcPr>
          <w:p w:rsidR="00406E90" w:rsidRPr="00E176B4" w:rsidRDefault="00406E90" w:rsidP="00910005">
            <w:r w:rsidRPr="00E176B4">
              <w:t>GST-1 Off Peak</w:t>
            </w:r>
          </w:p>
        </w:tc>
        <w:tc>
          <w:tcPr>
            <w:tcW w:w="1440" w:type="dxa"/>
            <w:shd w:val="clear" w:color="auto" w:fill="auto"/>
            <w:vAlign w:val="bottom"/>
          </w:tcPr>
          <w:p w:rsidR="00406E90" w:rsidRPr="00E176B4" w:rsidRDefault="00406E90" w:rsidP="00910005">
            <w:pPr>
              <w:jc w:val="right"/>
            </w:pPr>
            <w:r>
              <w:t>2.593</w:t>
            </w:r>
          </w:p>
        </w:tc>
        <w:tc>
          <w:tcPr>
            <w:tcW w:w="1193" w:type="dxa"/>
            <w:shd w:val="clear" w:color="auto" w:fill="auto"/>
            <w:vAlign w:val="bottom"/>
          </w:tcPr>
          <w:p w:rsidR="00406E90" w:rsidRPr="00E176B4" w:rsidRDefault="00406E90" w:rsidP="00910005">
            <w:pPr>
              <w:jc w:val="right"/>
            </w:pPr>
            <w:r>
              <w:t>1.00297</w:t>
            </w:r>
          </w:p>
        </w:tc>
        <w:tc>
          <w:tcPr>
            <w:tcW w:w="1440" w:type="dxa"/>
            <w:shd w:val="clear" w:color="auto" w:fill="auto"/>
            <w:vAlign w:val="bottom"/>
          </w:tcPr>
          <w:p w:rsidR="00406E90" w:rsidRPr="00E176B4" w:rsidRDefault="00406E90" w:rsidP="00910005">
            <w:pPr>
              <w:jc w:val="right"/>
            </w:pPr>
            <w:r>
              <w:t>2.601</w:t>
            </w:r>
          </w:p>
        </w:tc>
      </w:tr>
      <w:tr w:rsidR="00406E90" w:rsidRPr="00DF34E7" w:rsidTr="00910005">
        <w:tc>
          <w:tcPr>
            <w:tcW w:w="918" w:type="dxa"/>
            <w:vMerge/>
          </w:tcPr>
          <w:p w:rsidR="00406E90" w:rsidRPr="00E176B4" w:rsidRDefault="00406E90" w:rsidP="00910005">
            <w:pPr>
              <w:jc w:val="center"/>
            </w:pPr>
          </w:p>
        </w:tc>
        <w:tc>
          <w:tcPr>
            <w:tcW w:w="4549" w:type="dxa"/>
          </w:tcPr>
          <w:p w:rsidR="00406E90" w:rsidRPr="00E176B4" w:rsidRDefault="00406E90" w:rsidP="00910005">
            <w:r w:rsidRPr="00E176B4">
              <w:t>RTR-1 On-Peak</w:t>
            </w:r>
          </w:p>
        </w:tc>
        <w:tc>
          <w:tcPr>
            <w:tcW w:w="1440" w:type="dxa"/>
            <w:shd w:val="clear" w:color="auto" w:fill="auto"/>
            <w:vAlign w:val="bottom"/>
          </w:tcPr>
          <w:p w:rsidR="00406E90" w:rsidRPr="00E176B4" w:rsidRDefault="00406E90" w:rsidP="00910005">
            <w:pPr>
              <w:jc w:val="right"/>
            </w:pPr>
          </w:p>
        </w:tc>
        <w:tc>
          <w:tcPr>
            <w:tcW w:w="1193" w:type="dxa"/>
            <w:shd w:val="clear" w:color="auto" w:fill="auto"/>
            <w:vAlign w:val="bottom"/>
          </w:tcPr>
          <w:p w:rsidR="00406E90" w:rsidRPr="00E176B4" w:rsidRDefault="00406E90" w:rsidP="00910005">
            <w:pPr>
              <w:jc w:val="right"/>
            </w:pPr>
          </w:p>
        </w:tc>
        <w:tc>
          <w:tcPr>
            <w:tcW w:w="1440" w:type="dxa"/>
            <w:shd w:val="clear" w:color="auto" w:fill="auto"/>
            <w:vAlign w:val="bottom"/>
          </w:tcPr>
          <w:p w:rsidR="00406E90" w:rsidRPr="00E176B4" w:rsidRDefault="00406E90" w:rsidP="00910005">
            <w:pPr>
              <w:jc w:val="right"/>
            </w:pPr>
            <w:r>
              <w:t>0.361</w:t>
            </w:r>
          </w:p>
        </w:tc>
      </w:tr>
      <w:tr w:rsidR="00406E90" w:rsidRPr="00DF34E7" w:rsidTr="00910005">
        <w:tc>
          <w:tcPr>
            <w:tcW w:w="918" w:type="dxa"/>
            <w:vMerge/>
          </w:tcPr>
          <w:p w:rsidR="00406E90" w:rsidRPr="00E176B4" w:rsidRDefault="00406E90" w:rsidP="00910005">
            <w:pPr>
              <w:jc w:val="center"/>
            </w:pPr>
          </w:p>
        </w:tc>
        <w:tc>
          <w:tcPr>
            <w:tcW w:w="4549" w:type="dxa"/>
          </w:tcPr>
          <w:p w:rsidR="00406E90" w:rsidRPr="00E176B4" w:rsidRDefault="00406E90" w:rsidP="00910005">
            <w:r w:rsidRPr="00E176B4">
              <w:t>RTR-1 Off-Peak</w:t>
            </w:r>
          </w:p>
        </w:tc>
        <w:tc>
          <w:tcPr>
            <w:tcW w:w="1440" w:type="dxa"/>
            <w:shd w:val="clear" w:color="auto" w:fill="auto"/>
            <w:vAlign w:val="bottom"/>
          </w:tcPr>
          <w:p w:rsidR="00406E90" w:rsidRPr="00E176B4" w:rsidRDefault="00406E90" w:rsidP="00910005">
            <w:pPr>
              <w:jc w:val="right"/>
            </w:pPr>
          </w:p>
        </w:tc>
        <w:tc>
          <w:tcPr>
            <w:tcW w:w="1193" w:type="dxa"/>
            <w:shd w:val="clear" w:color="auto" w:fill="auto"/>
            <w:vAlign w:val="bottom"/>
          </w:tcPr>
          <w:p w:rsidR="00406E90" w:rsidRPr="00E176B4" w:rsidRDefault="00406E90" w:rsidP="00910005">
            <w:pPr>
              <w:jc w:val="right"/>
            </w:pPr>
          </w:p>
        </w:tc>
        <w:tc>
          <w:tcPr>
            <w:tcW w:w="1440" w:type="dxa"/>
            <w:shd w:val="clear" w:color="auto" w:fill="auto"/>
            <w:vAlign w:val="bottom"/>
          </w:tcPr>
          <w:p w:rsidR="00406E90" w:rsidRPr="00E176B4" w:rsidRDefault="00406E90" w:rsidP="00910005">
            <w:pPr>
              <w:jc w:val="right"/>
            </w:pPr>
            <w:r>
              <w:t>(0.155)</w:t>
            </w:r>
          </w:p>
        </w:tc>
      </w:tr>
      <w:tr w:rsidR="00406E90" w:rsidRPr="00DF34E7" w:rsidTr="00910005">
        <w:tc>
          <w:tcPr>
            <w:tcW w:w="918" w:type="dxa"/>
            <w:vMerge w:val="restart"/>
            <w:vAlign w:val="center"/>
          </w:tcPr>
          <w:p w:rsidR="00406E90" w:rsidRPr="00E176B4" w:rsidRDefault="00406E90" w:rsidP="00910005">
            <w:pPr>
              <w:jc w:val="center"/>
            </w:pPr>
            <w:r w:rsidRPr="00E176B4">
              <w:t>B</w:t>
            </w:r>
          </w:p>
        </w:tc>
        <w:tc>
          <w:tcPr>
            <w:tcW w:w="4549" w:type="dxa"/>
          </w:tcPr>
          <w:p w:rsidR="00406E90" w:rsidRPr="00E176B4" w:rsidRDefault="00406E90" w:rsidP="00910005">
            <w:r w:rsidRPr="00E176B4">
              <w:t>GSDT-1, CILC-1(G), SST-1D(1), HLFT-1 On-Peak</w:t>
            </w:r>
          </w:p>
        </w:tc>
        <w:tc>
          <w:tcPr>
            <w:tcW w:w="1440" w:type="dxa"/>
            <w:shd w:val="clear" w:color="auto" w:fill="auto"/>
            <w:vAlign w:val="bottom"/>
          </w:tcPr>
          <w:p w:rsidR="00406E90" w:rsidRPr="00E176B4" w:rsidRDefault="00406E90" w:rsidP="00910005">
            <w:pPr>
              <w:jc w:val="right"/>
            </w:pPr>
            <w:r>
              <w:t>3.108</w:t>
            </w:r>
          </w:p>
        </w:tc>
        <w:tc>
          <w:tcPr>
            <w:tcW w:w="1193" w:type="dxa"/>
            <w:shd w:val="clear" w:color="auto" w:fill="auto"/>
            <w:vAlign w:val="bottom"/>
          </w:tcPr>
          <w:p w:rsidR="00406E90" w:rsidRPr="00E176B4" w:rsidRDefault="00406E90" w:rsidP="00910005">
            <w:pPr>
              <w:jc w:val="right"/>
            </w:pPr>
            <w:r>
              <w:t>1.00289</w:t>
            </w:r>
          </w:p>
        </w:tc>
        <w:tc>
          <w:tcPr>
            <w:tcW w:w="1440" w:type="dxa"/>
            <w:shd w:val="clear" w:color="auto" w:fill="auto"/>
            <w:vAlign w:val="bottom"/>
          </w:tcPr>
          <w:p w:rsidR="00406E90" w:rsidRPr="00E176B4" w:rsidRDefault="00406E90" w:rsidP="00910005">
            <w:pPr>
              <w:jc w:val="right"/>
            </w:pPr>
            <w:r>
              <w:t>3.117</w:t>
            </w:r>
          </w:p>
        </w:tc>
      </w:tr>
      <w:tr w:rsidR="00406E90" w:rsidRPr="00DF34E7" w:rsidTr="00910005">
        <w:tc>
          <w:tcPr>
            <w:tcW w:w="918" w:type="dxa"/>
            <w:vMerge/>
            <w:vAlign w:val="center"/>
          </w:tcPr>
          <w:p w:rsidR="00406E90" w:rsidRPr="00E176B4" w:rsidRDefault="00406E90" w:rsidP="00910005">
            <w:pPr>
              <w:jc w:val="center"/>
            </w:pPr>
          </w:p>
        </w:tc>
        <w:tc>
          <w:tcPr>
            <w:tcW w:w="4549" w:type="dxa"/>
          </w:tcPr>
          <w:p w:rsidR="00406E90" w:rsidRPr="00E176B4" w:rsidRDefault="00406E90" w:rsidP="00910005">
            <w:r w:rsidRPr="00E176B4">
              <w:t>GSDT-1, CILC-1(G), SST-1D(1), HLFT-1  Off-Peak</w:t>
            </w:r>
          </w:p>
        </w:tc>
        <w:tc>
          <w:tcPr>
            <w:tcW w:w="1440" w:type="dxa"/>
            <w:shd w:val="clear" w:color="auto" w:fill="auto"/>
            <w:vAlign w:val="bottom"/>
          </w:tcPr>
          <w:p w:rsidR="00406E90" w:rsidRPr="00E176B4" w:rsidRDefault="00406E90" w:rsidP="00910005">
            <w:pPr>
              <w:jc w:val="right"/>
            </w:pPr>
            <w:r>
              <w:t>2.593</w:t>
            </w:r>
          </w:p>
        </w:tc>
        <w:tc>
          <w:tcPr>
            <w:tcW w:w="1193" w:type="dxa"/>
            <w:shd w:val="clear" w:color="auto" w:fill="auto"/>
            <w:vAlign w:val="bottom"/>
          </w:tcPr>
          <w:p w:rsidR="00406E90" w:rsidRPr="00E176B4" w:rsidRDefault="00406E90" w:rsidP="00910005">
            <w:pPr>
              <w:jc w:val="right"/>
            </w:pPr>
            <w:r>
              <w:t>1.00289</w:t>
            </w:r>
          </w:p>
        </w:tc>
        <w:tc>
          <w:tcPr>
            <w:tcW w:w="1440" w:type="dxa"/>
            <w:shd w:val="clear" w:color="auto" w:fill="auto"/>
            <w:vAlign w:val="bottom"/>
          </w:tcPr>
          <w:p w:rsidR="00406E90" w:rsidRPr="00E176B4" w:rsidRDefault="00406E90" w:rsidP="00910005">
            <w:pPr>
              <w:jc w:val="right"/>
            </w:pPr>
            <w:r>
              <w:t>2.601</w:t>
            </w:r>
          </w:p>
        </w:tc>
      </w:tr>
      <w:tr w:rsidR="00406E90" w:rsidRPr="00DF34E7" w:rsidTr="00910005">
        <w:tc>
          <w:tcPr>
            <w:tcW w:w="918" w:type="dxa"/>
            <w:vMerge w:val="restart"/>
            <w:vAlign w:val="center"/>
          </w:tcPr>
          <w:p w:rsidR="00406E90" w:rsidRPr="00E176B4" w:rsidRDefault="00406E90" w:rsidP="00910005">
            <w:pPr>
              <w:jc w:val="center"/>
            </w:pPr>
            <w:r w:rsidRPr="00E176B4">
              <w:t>C</w:t>
            </w:r>
          </w:p>
        </w:tc>
        <w:tc>
          <w:tcPr>
            <w:tcW w:w="4549" w:type="dxa"/>
          </w:tcPr>
          <w:p w:rsidR="00406E90" w:rsidRPr="00E176B4" w:rsidRDefault="00406E90" w:rsidP="00910005">
            <w:r w:rsidRPr="00E176B4">
              <w:t>GSLDT-1, CST-1, SST-1D(2), HLFT-2 On-Peak</w:t>
            </w:r>
          </w:p>
        </w:tc>
        <w:tc>
          <w:tcPr>
            <w:tcW w:w="1440" w:type="dxa"/>
            <w:shd w:val="clear" w:color="auto" w:fill="auto"/>
            <w:vAlign w:val="bottom"/>
          </w:tcPr>
          <w:p w:rsidR="00406E90" w:rsidRPr="00E176B4" w:rsidRDefault="00406E90" w:rsidP="00910005">
            <w:pPr>
              <w:jc w:val="right"/>
            </w:pPr>
            <w:r>
              <w:t>3.108</w:t>
            </w:r>
          </w:p>
        </w:tc>
        <w:tc>
          <w:tcPr>
            <w:tcW w:w="1193" w:type="dxa"/>
            <w:shd w:val="clear" w:color="auto" w:fill="auto"/>
            <w:vAlign w:val="bottom"/>
          </w:tcPr>
          <w:p w:rsidR="00406E90" w:rsidRPr="00E176B4" w:rsidRDefault="00406E90" w:rsidP="00910005">
            <w:pPr>
              <w:jc w:val="right"/>
            </w:pPr>
            <w:r>
              <w:t>1.00181</w:t>
            </w:r>
          </w:p>
        </w:tc>
        <w:tc>
          <w:tcPr>
            <w:tcW w:w="1440" w:type="dxa"/>
            <w:shd w:val="clear" w:color="auto" w:fill="auto"/>
            <w:vAlign w:val="bottom"/>
          </w:tcPr>
          <w:p w:rsidR="00406E90" w:rsidRPr="00E176B4" w:rsidRDefault="00406E90" w:rsidP="00910005">
            <w:pPr>
              <w:jc w:val="right"/>
            </w:pPr>
            <w:r>
              <w:t>3.114</w:t>
            </w:r>
          </w:p>
        </w:tc>
      </w:tr>
      <w:tr w:rsidR="00406E90" w:rsidRPr="00DF34E7" w:rsidTr="00910005">
        <w:tc>
          <w:tcPr>
            <w:tcW w:w="918" w:type="dxa"/>
            <w:vMerge/>
            <w:vAlign w:val="center"/>
          </w:tcPr>
          <w:p w:rsidR="00406E90" w:rsidRPr="00E176B4" w:rsidRDefault="00406E90" w:rsidP="00910005">
            <w:pPr>
              <w:jc w:val="center"/>
            </w:pPr>
          </w:p>
        </w:tc>
        <w:tc>
          <w:tcPr>
            <w:tcW w:w="4549" w:type="dxa"/>
          </w:tcPr>
          <w:p w:rsidR="00406E90" w:rsidRPr="00E176B4" w:rsidRDefault="00406E90" w:rsidP="00910005">
            <w:r w:rsidRPr="00E176B4">
              <w:t>GSLDT-1, CST-1, SST-1D(2), HLFT-2 Off-Peak</w:t>
            </w:r>
          </w:p>
        </w:tc>
        <w:tc>
          <w:tcPr>
            <w:tcW w:w="1440" w:type="dxa"/>
            <w:shd w:val="clear" w:color="auto" w:fill="auto"/>
            <w:vAlign w:val="bottom"/>
          </w:tcPr>
          <w:p w:rsidR="00406E90" w:rsidRPr="00E176B4" w:rsidRDefault="00406E90" w:rsidP="00910005">
            <w:pPr>
              <w:jc w:val="right"/>
            </w:pPr>
            <w:r>
              <w:t>2.593</w:t>
            </w:r>
          </w:p>
        </w:tc>
        <w:tc>
          <w:tcPr>
            <w:tcW w:w="1193" w:type="dxa"/>
            <w:shd w:val="clear" w:color="auto" w:fill="auto"/>
            <w:vAlign w:val="bottom"/>
          </w:tcPr>
          <w:p w:rsidR="00406E90" w:rsidRPr="00E176B4" w:rsidRDefault="00406E90" w:rsidP="00910005">
            <w:pPr>
              <w:jc w:val="right"/>
            </w:pPr>
            <w:r>
              <w:t>1.00181</w:t>
            </w:r>
          </w:p>
        </w:tc>
        <w:tc>
          <w:tcPr>
            <w:tcW w:w="1440" w:type="dxa"/>
            <w:shd w:val="clear" w:color="auto" w:fill="auto"/>
            <w:vAlign w:val="bottom"/>
          </w:tcPr>
          <w:p w:rsidR="00406E90" w:rsidRPr="00E176B4" w:rsidRDefault="00406E90" w:rsidP="00910005">
            <w:pPr>
              <w:jc w:val="right"/>
            </w:pPr>
            <w:r>
              <w:t>2.598</w:t>
            </w:r>
          </w:p>
        </w:tc>
      </w:tr>
      <w:tr w:rsidR="00406E90" w:rsidRPr="00700F6C" w:rsidTr="00910005">
        <w:tc>
          <w:tcPr>
            <w:tcW w:w="918" w:type="dxa"/>
            <w:vMerge w:val="restart"/>
            <w:vAlign w:val="center"/>
          </w:tcPr>
          <w:p w:rsidR="00406E90" w:rsidRPr="00700F6C" w:rsidRDefault="00406E90" w:rsidP="00910005">
            <w:pPr>
              <w:jc w:val="center"/>
            </w:pPr>
            <w:r w:rsidRPr="00700F6C">
              <w:t>D</w:t>
            </w:r>
          </w:p>
        </w:tc>
        <w:tc>
          <w:tcPr>
            <w:tcW w:w="4549" w:type="dxa"/>
          </w:tcPr>
          <w:p w:rsidR="00406E90" w:rsidRPr="00700F6C" w:rsidRDefault="00406E90" w:rsidP="00910005">
            <w:r w:rsidRPr="00700F6C">
              <w:t>GSLDT-2, CST-2, SST-1D(3), HLFT-3 On-Peak</w:t>
            </w:r>
          </w:p>
        </w:tc>
        <w:tc>
          <w:tcPr>
            <w:tcW w:w="1440" w:type="dxa"/>
            <w:shd w:val="clear" w:color="auto" w:fill="auto"/>
            <w:vAlign w:val="bottom"/>
          </w:tcPr>
          <w:p w:rsidR="00406E90" w:rsidRPr="00700F6C" w:rsidRDefault="00406E90" w:rsidP="00910005">
            <w:pPr>
              <w:jc w:val="right"/>
            </w:pPr>
            <w:r w:rsidRPr="00700F6C">
              <w:t>3.108</w:t>
            </w:r>
          </w:p>
        </w:tc>
        <w:tc>
          <w:tcPr>
            <w:tcW w:w="1193" w:type="dxa"/>
            <w:shd w:val="clear" w:color="auto" w:fill="auto"/>
            <w:vAlign w:val="bottom"/>
          </w:tcPr>
          <w:p w:rsidR="00406E90" w:rsidRPr="00700F6C" w:rsidRDefault="00406E90" w:rsidP="00910005">
            <w:pPr>
              <w:jc w:val="right"/>
            </w:pPr>
            <w:r w:rsidRPr="00700F6C">
              <w:t>0.99439</w:t>
            </w:r>
          </w:p>
        </w:tc>
        <w:tc>
          <w:tcPr>
            <w:tcW w:w="1440" w:type="dxa"/>
            <w:shd w:val="clear" w:color="auto" w:fill="auto"/>
            <w:vAlign w:val="bottom"/>
          </w:tcPr>
          <w:p w:rsidR="00406E90" w:rsidRPr="00700F6C" w:rsidRDefault="00406E90" w:rsidP="00910005">
            <w:pPr>
              <w:jc w:val="right"/>
            </w:pPr>
            <w:r w:rsidRPr="00700F6C">
              <w:t>3.091</w:t>
            </w:r>
          </w:p>
        </w:tc>
      </w:tr>
      <w:tr w:rsidR="00406E90" w:rsidRPr="00700F6C" w:rsidTr="00910005">
        <w:tc>
          <w:tcPr>
            <w:tcW w:w="918" w:type="dxa"/>
            <w:vMerge/>
            <w:vAlign w:val="center"/>
          </w:tcPr>
          <w:p w:rsidR="00406E90" w:rsidRPr="00700F6C" w:rsidRDefault="00406E90" w:rsidP="00910005">
            <w:pPr>
              <w:jc w:val="center"/>
            </w:pPr>
          </w:p>
        </w:tc>
        <w:tc>
          <w:tcPr>
            <w:tcW w:w="4549" w:type="dxa"/>
          </w:tcPr>
          <w:p w:rsidR="00406E90" w:rsidRPr="00700F6C" w:rsidRDefault="00406E90" w:rsidP="00910005">
            <w:r w:rsidRPr="00700F6C">
              <w:t>GSLDT-2, CST-2, SST-1D(3), HLFT-3 Off-Peak</w:t>
            </w:r>
          </w:p>
        </w:tc>
        <w:tc>
          <w:tcPr>
            <w:tcW w:w="1440" w:type="dxa"/>
            <w:shd w:val="clear" w:color="auto" w:fill="auto"/>
            <w:vAlign w:val="bottom"/>
          </w:tcPr>
          <w:p w:rsidR="00406E90" w:rsidRPr="00700F6C" w:rsidRDefault="00406E90" w:rsidP="00910005">
            <w:pPr>
              <w:jc w:val="right"/>
            </w:pPr>
            <w:r w:rsidRPr="00700F6C">
              <w:t>2.593</w:t>
            </w:r>
          </w:p>
        </w:tc>
        <w:tc>
          <w:tcPr>
            <w:tcW w:w="1193" w:type="dxa"/>
            <w:shd w:val="clear" w:color="auto" w:fill="auto"/>
            <w:vAlign w:val="bottom"/>
          </w:tcPr>
          <w:p w:rsidR="00406E90" w:rsidRPr="00700F6C" w:rsidRDefault="00406E90" w:rsidP="00910005">
            <w:pPr>
              <w:jc w:val="right"/>
            </w:pPr>
            <w:r w:rsidRPr="00700F6C">
              <w:t>0.99439</w:t>
            </w:r>
          </w:p>
        </w:tc>
        <w:tc>
          <w:tcPr>
            <w:tcW w:w="1440" w:type="dxa"/>
            <w:shd w:val="clear" w:color="auto" w:fill="auto"/>
            <w:vAlign w:val="bottom"/>
          </w:tcPr>
          <w:p w:rsidR="00406E90" w:rsidRPr="00700F6C" w:rsidRDefault="00406E90" w:rsidP="00910005">
            <w:pPr>
              <w:jc w:val="right"/>
            </w:pPr>
            <w:r w:rsidRPr="00700F6C">
              <w:t>2.579</w:t>
            </w:r>
          </w:p>
        </w:tc>
      </w:tr>
      <w:tr w:rsidR="00406E90" w:rsidRPr="00700F6C" w:rsidTr="00910005">
        <w:tc>
          <w:tcPr>
            <w:tcW w:w="918" w:type="dxa"/>
            <w:vMerge w:val="restart"/>
            <w:vAlign w:val="center"/>
          </w:tcPr>
          <w:p w:rsidR="00406E90" w:rsidRPr="00700F6C" w:rsidRDefault="00406E90" w:rsidP="00910005">
            <w:pPr>
              <w:jc w:val="center"/>
            </w:pPr>
            <w:r w:rsidRPr="00700F6C">
              <w:t>E</w:t>
            </w:r>
          </w:p>
        </w:tc>
        <w:tc>
          <w:tcPr>
            <w:tcW w:w="4549" w:type="dxa"/>
          </w:tcPr>
          <w:p w:rsidR="00406E90" w:rsidRPr="00700F6C" w:rsidRDefault="00406E90" w:rsidP="00910005">
            <w:r w:rsidRPr="00700F6C">
              <w:t>GSLDT-3, CST-3, CILC-1(T), SST-1(T), ISST-1(T) On-Peak</w:t>
            </w:r>
          </w:p>
        </w:tc>
        <w:tc>
          <w:tcPr>
            <w:tcW w:w="1440" w:type="dxa"/>
            <w:shd w:val="clear" w:color="auto" w:fill="auto"/>
            <w:vAlign w:val="bottom"/>
          </w:tcPr>
          <w:p w:rsidR="00406E90" w:rsidRPr="00700F6C" w:rsidRDefault="00406E90" w:rsidP="00910005">
            <w:pPr>
              <w:jc w:val="right"/>
            </w:pPr>
            <w:r w:rsidRPr="00700F6C">
              <w:t>3.108</w:t>
            </w:r>
          </w:p>
        </w:tc>
        <w:tc>
          <w:tcPr>
            <w:tcW w:w="1193" w:type="dxa"/>
            <w:shd w:val="clear" w:color="auto" w:fill="auto"/>
            <w:vAlign w:val="bottom"/>
          </w:tcPr>
          <w:p w:rsidR="00406E90" w:rsidRPr="00700F6C" w:rsidRDefault="00406E90" w:rsidP="00910005">
            <w:pPr>
              <w:jc w:val="right"/>
            </w:pPr>
            <w:r w:rsidRPr="00700F6C">
              <w:t>0.97310</w:t>
            </w:r>
          </w:p>
        </w:tc>
        <w:tc>
          <w:tcPr>
            <w:tcW w:w="1440" w:type="dxa"/>
            <w:shd w:val="clear" w:color="auto" w:fill="auto"/>
            <w:vAlign w:val="bottom"/>
          </w:tcPr>
          <w:p w:rsidR="00406E90" w:rsidRPr="00700F6C" w:rsidRDefault="00406E90" w:rsidP="00910005">
            <w:pPr>
              <w:jc w:val="right"/>
            </w:pPr>
            <w:r w:rsidRPr="00700F6C">
              <w:t>3.024</w:t>
            </w:r>
          </w:p>
        </w:tc>
      </w:tr>
      <w:tr w:rsidR="00406E90" w:rsidRPr="00700F6C" w:rsidTr="00910005">
        <w:tc>
          <w:tcPr>
            <w:tcW w:w="918" w:type="dxa"/>
            <w:vMerge/>
            <w:vAlign w:val="center"/>
          </w:tcPr>
          <w:p w:rsidR="00406E90" w:rsidRPr="00700F6C" w:rsidRDefault="00406E90" w:rsidP="00910005">
            <w:pPr>
              <w:jc w:val="center"/>
            </w:pPr>
          </w:p>
        </w:tc>
        <w:tc>
          <w:tcPr>
            <w:tcW w:w="4549" w:type="dxa"/>
          </w:tcPr>
          <w:p w:rsidR="00406E90" w:rsidRPr="00700F6C" w:rsidRDefault="00406E90" w:rsidP="00910005">
            <w:r w:rsidRPr="00700F6C">
              <w:t>GSLDT-3, CST-3, CILC-1(T), SST-1(T) ISST-1(T) Off-Peak</w:t>
            </w:r>
          </w:p>
        </w:tc>
        <w:tc>
          <w:tcPr>
            <w:tcW w:w="1440" w:type="dxa"/>
            <w:shd w:val="clear" w:color="auto" w:fill="auto"/>
            <w:vAlign w:val="bottom"/>
          </w:tcPr>
          <w:p w:rsidR="00406E90" w:rsidRPr="00700F6C" w:rsidRDefault="00406E90" w:rsidP="00910005">
            <w:pPr>
              <w:jc w:val="right"/>
            </w:pPr>
            <w:r w:rsidRPr="00700F6C">
              <w:t>2.593</w:t>
            </w:r>
          </w:p>
        </w:tc>
        <w:tc>
          <w:tcPr>
            <w:tcW w:w="1193" w:type="dxa"/>
            <w:shd w:val="clear" w:color="auto" w:fill="auto"/>
            <w:vAlign w:val="bottom"/>
          </w:tcPr>
          <w:p w:rsidR="00406E90" w:rsidRPr="00700F6C" w:rsidRDefault="00406E90" w:rsidP="00910005">
            <w:pPr>
              <w:jc w:val="right"/>
            </w:pPr>
            <w:r w:rsidRPr="00700F6C">
              <w:t>0.97310</w:t>
            </w:r>
          </w:p>
        </w:tc>
        <w:tc>
          <w:tcPr>
            <w:tcW w:w="1440" w:type="dxa"/>
            <w:shd w:val="clear" w:color="auto" w:fill="auto"/>
            <w:vAlign w:val="bottom"/>
          </w:tcPr>
          <w:p w:rsidR="00406E90" w:rsidRPr="00700F6C" w:rsidRDefault="00406E90" w:rsidP="00910005">
            <w:pPr>
              <w:jc w:val="right"/>
            </w:pPr>
            <w:r w:rsidRPr="00700F6C">
              <w:t>2.524</w:t>
            </w:r>
          </w:p>
        </w:tc>
      </w:tr>
      <w:tr w:rsidR="00406E90" w:rsidRPr="00700F6C" w:rsidTr="00910005">
        <w:tc>
          <w:tcPr>
            <w:tcW w:w="918" w:type="dxa"/>
            <w:vMerge w:val="restart"/>
            <w:vAlign w:val="center"/>
          </w:tcPr>
          <w:p w:rsidR="00406E90" w:rsidRPr="00700F6C" w:rsidRDefault="00406E90" w:rsidP="00910005">
            <w:pPr>
              <w:jc w:val="center"/>
            </w:pPr>
            <w:r w:rsidRPr="00700F6C">
              <w:t>F</w:t>
            </w:r>
          </w:p>
        </w:tc>
        <w:tc>
          <w:tcPr>
            <w:tcW w:w="4549" w:type="dxa"/>
          </w:tcPr>
          <w:p w:rsidR="00406E90" w:rsidRPr="00700F6C" w:rsidRDefault="00406E90" w:rsidP="00910005">
            <w:r w:rsidRPr="00700F6C">
              <w:t>CILC-1(D), ISST-1(D) On-Peak</w:t>
            </w:r>
          </w:p>
        </w:tc>
        <w:tc>
          <w:tcPr>
            <w:tcW w:w="1440" w:type="dxa"/>
            <w:shd w:val="clear" w:color="auto" w:fill="auto"/>
            <w:vAlign w:val="bottom"/>
          </w:tcPr>
          <w:p w:rsidR="00406E90" w:rsidRPr="00700F6C" w:rsidRDefault="00406E90" w:rsidP="00910005">
            <w:pPr>
              <w:jc w:val="right"/>
            </w:pPr>
            <w:r w:rsidRPr="00700F6C">
              <w:t>3.108</w:t>
            </w:r>
          </w:p>
        </w:tc>
        <w:tc>
          <w:tcPr>
            <w:tcW w:w="1193" w:type="dxa"/>
            <w:shd w:val="clear" w:color="auto" w:fill="auto"/>
            <w:vAlign w:val="bottom"/>
          </w:tcPr>
          <w:p w:rsidR="00406E90" w:rsidRPr="00700F6C" w:rsidRDefault="00406E90" w:rsidP="00910005">
            <w:pPr>
              <w:jc w:val="right"/>
            </w:pPr>
            <w:r w:rsidRPr="00700F6C">
              <w:t>0.99459</w:t>
            </w:r>
          </w:p>
        </w:tc>
        <w:tc>
          <w:tcPr>
            <w:tcW w:w="1440" w:type="dxa"/>
            <w:shd w:val="clear" w:color="auto" w:fill="auto"/>
            <w:vAlign w:val="bottom"/>
          </w:tcPr>
          <w:p w:rsidR="00406E90" w:rsidRPr="00700F6C" w:rsidRDefault="00406E90" w:rsidP="00910005">
            <w:pPr>
              <w:jc w:val="right"/>
            </w:pPr>
            <w:r w:rsidRPr="00700F6C">
              <w:t>3.091</w:t>
            </w:r>
          </w:p>
        </w:tc>
      </w:tr>
      <w:tr w:rsidR="00406E90" w:rsidRPr="00700F6C" w:rsidTr="00910005">
        <w:tc>
          <w:tcPr>
            <w:tcW w:w="918" w:type="dxa"/>
            <w:vMerge/>
          </w:tcPr>
          <w:p w:rsidR="00406E90" w:rsidRPr="00700F6C" w:rsidRDefault="00406E90" w:rsidP="00910005">
            <w:pPr>
              <w:jc w:val="center"/>
            </w:pPr>
          </w:p>
        </w:tc>
        <w:tc>
          <w:tcPr>
            <w:tcW w:w="4549" w:type="dxa"/>
          </w:tcPr>
          <w:p w:rsidR="00406E90" w:rsidRPr="00700F6C" w:rsidRDefault="00406E90" w:rsidP="00910005">
            <w:r w:rsidRPr="00700F6C">
              <w:t>CILC-1(D), ISST-1(D) Off-Peak</w:t>
            </w:r>
          </w:p>
        </w:tc>
        <w:tc>
          <w:tcPr>
            <w:tcW w:w="1440" w:type="dxa"/>
            <w:shd w:val="clear" w:color="auto" w:fill="auto"/>
            <w:vAlign w:val="bottom"/>
          </w:tcPr>
          <w:p w:rsidR="00406E90" w:rsidRPr="00700F6C" w:rsidRDefault="00406E90" w:rsidP="00910005">
            <w:pPr>
              <w:jc w:val="right"/>
            </w:pPr>
            <w:r w:rsidRPr="00700F6C">
              <w:t>2.593</w:t>
            </w:r>
          </w:p>
        </w:tc>
        <w:tc>
          <w:tcPr>
            <w:tcW w:w="1193" w:type="dxa"/>
            <w:shd w:val="clear" w:color="auto" w:fill="auto"/>
            <w:vAlign w:val="bottom"/>
          </w:tcPr>
          <w:p w:rsidR="00406E90" w:rsidRPr="00700F6C" w:rsidRDefault="00406E90" w:rsidP="00910005">
            <w:pPr>
              <w:jc w:val="right"/>
            </w:pPr>
            <w:r w:rsidRPr="00700F6C">
              <w:t>0.99459</w:t>
            </w:r>
          </w:p>
        </w:tc>
        <w:tc>
          <w:tcPr>
            <w:tcW w:w="1440" w:type="dxa"/>
            <w:shd w:val="clear" w:color="auto" w:fill="auto"/>
            <w:vAlign w:val="bottom"/>
          </w:tcPr>
          <w:p w:rsidR="00406E90" w:rsidRPr="00700F6C" w:rsidRDefault="00406E90" w:rsidP="00910005">
            <w:pPr>
              <w:jc w:val="right"/>
            </w:pPr>
            <w:r w:rsidRPr="00700F6C">
              <w:t>2.579</w:t>
            </w:r>
          </w:p>
        </w:tc>
      </w:tr>
    </w:tbl>
    <w:p w:rsidR="00406E90" w:rsidRPr="00700F6C" w:rsidRDefault="00910005" w:rsidP="00406E90">
      <w:pPr>
        <w:rPr>
          <w:sz w:val="22"/>
          <w:szCs w:val="22"/>
        </w:rPr>
      </w:pPr>
      <w:r>
        <w:rPr>
          <w:sz w:val="22"/>
          <w:szCs w:val="22"/>
        </w:rPr>
        <w:br w:type="textWrapping" w:clear="all"/>
      </w:r>
      <w:r w:rsidR="00406E90" w:rsidRPr="00700F6C">
        <w:rPr>
          <w:sz w:val="22"/>
          <w:szCs w:val="22"/>
        </w:rPr>
        <w:t xml:space="preserve">   Source: Schedule E1-E, (Exhibit AM-5, 2024 FCR Projections, Pages 7 of 174)</w:t>
      </w:r>
      <w:r w:rsidR="00406E90">
        <w:rPr>
          <w:sz w:val="22"/>
          <w:szCs w:val="22"/>
        </w:rPr>
        <w:t>.</w:t>
      </w:r>
    </w:p>
    <w:p w:rsidR="00406E90" w:rsidRPr="00700F6C" w:rsidRDefault="00406E90" w:rsidP="00406E90">
      <w:pPr>
        <w:rPr>
          <w:sz w:val="22"/>
          <w:szCs w:val="22"/>
        </w:rPr>
      </w:pPr>
    </w:p>
    <w:p w:rsidR="005A65DC" w:rsidRDefault="005A65DC" w:rsidP="00406E90">
      <w:pPr>
        <w:sectPr w:rsidR="005A65DC">
          <w:headerReference w:type="first" r:id="rId14"/>
          <w:pgSz w:w="12240" w:h="15840" w:code="1"/>
          <w:pgMar w:top="1440" w:right="1440" w:bottom="1440" w:left="1440" w:header="720" w:footer="720" w:gutter="0"/>
          <w:cols w:space="720"/>
          <w:titlePg/>
          <w:docGrid w:linePitch="360"/>
        </w:sectPr>
      </w:pPr>
    </w:p>
    <w:tbl>
      <w:tblPr>
        <w:tblStyle w:val="TableGrid"/>
        <w:tblW w:w="9468" w:type="dxa"/>
        <w:tblInd w:w="108" w:type="dxa"/>
        <w:tblLayout w:type="fixed"/>
        <w:tblLook w:val="04A0" w:firstRow="1" w:lastRow="0" w:firstColumn="1" w:lastColumn="0" w:noHBand="0" w:noVBand="1"/>
      </w:tblPr>
      <w:tblGrid>
        <w:gridCol w:w="900"/>
        <w:gridCol w:w="4320"/>
        <w:gridCol w:w="1440"/>
        <w:gridCol w:w="1260"/>
        <w:gridCol w:w="1548"/>
      </w:tblGrid>
      <w:tr w:rsidR="00406E90" w:rsidRPr="00700F6C" w:rsidTr="00406E90">
        <w:trPr>
          <w:tblHeader/>
        </w:trPr>
        <w:tc>
          <w:tcPr>
            <w:tcW w:w="9468" w:type="dxa"/>
            <w:gridSpan w:val="5"/>
            <w:tcBorders>
              <w:top w:val="nil"/>
              <w:left w:val="nil"/>
              <w:bottom w:val="nil"/>
              <w:right w:val="nil"/>
            </w:tcBorders>
          </w:tcPr>
          <w:p w:rsidR="00406E90" w:rsidRPr="00700F6C" w:rsidRDefault="00406E90" w:rsidP="00406E90">
            <w:pPr>
              <w:jc w:val="center"/>
            </w:pPr>
            <w:r w:rsidRPr="00700F6C">
              <w:rPr>
                <w:rFonts w:ascii="Arial" w:hAnsi="Arial" w:cs="Arial"/>
                <w:b/>
              </w:rPr>
              <w:lastRenderedPageBreak/>
              <w:t>Table 20-3</w:t>
            </w:r>
          </w:p>
        </w:tc>
      </w:tr>
      <w:tr w:rsidR="00406E90" w:rsidRPr="00700F6C" w:rsidTr="00406E90">
        <w:trPr>
          <w:tblHeader/>
        </w:trPr>
        <w:tc>
          <w:tcPr>
            <w:tcW w:w="9468" w:type="dxa"/>
            <w:gridSpan w:val="5"/>
            <w:tcBorders>
              <w:top w:val="nil"/>
              <w:left w:val="nil"/>
              <w:right w:val="nil"/>
            </w:tcBorders>
          </w:tcPr>
          <w:p w:rsidR="00406E90" w:rsidRPr="00700F6C" w:rsidRDefault="00406E90" w:rsidP="00406E90">
            <w:pPr>
              <w:jc w:val="center"/>
            </w:pPr>
            <w:r w:rsidRPr="00700F6C">
              <w:rPr>
                <w:rFonts w:ascii="Arial" w:hAnsi="Arial" w:cs="Arial"/>
                <w:b/>
              </w:rPr>
              <w:t>FPL Fuel Cost Recovery Factors for the period January, 2025</w:t>
            </w:r>
          </w:p>
        </w:tc>
      </w:tr>
      <w:tr w:rsidR="00406E90" w:rsidRPr="00700F6C" w:rsidTr="00406E90">
        <w:trPr>
          <w:tblHeader/>
        </w:trPr>
        <w:tc>
          <w:tcPr>
            <w:tcW w:w="9468" w:type="dxa"/>
            <w:gridSpan w:val="5"/>
          </w:tcPr>
          <w:p w:rsidR="00406E90" w:rsidRPr="00700F6C" w:rsidRDefault="00406E90" w:rsidP="00406E90">
            <w:pPr>
              <w:jc w:val="center"/>
            </w:pPr>
            <w:r w:rsidRPr="00700F6C">
              <w:t>Seasonal Demand Time of Use Rider (SDTR) Fuel Recovery Factors</w:t>
            </w:r>
          </w:p>
        </w:tc>
      </w:tr>
      <w:tr w:rsidR="00406E90" w:rsidRPr="00700F6C" w:rsidTr="00406E90">
        <w:trPr>
          <w:tblHeader/>
        </w:trPr>
        <w:tc>
          <w:tcPr>
            <w:tcW w:w="900" w:type="dxa"/>
            <w:vAlign w:val="center"/>
          </w:tcPr>
          <w:p w:rsidR="00406E90" w:rsidRPr="00700F6C" w:rsidRDefault="00406E90" w:rsidP="00406E90">
            <w:pPr>
              <w:jc w:val="center"/>
            </w:pPr>
            <w:r w:rsidRPr="00700F6C">
              <w:t>Group</w:t>
            </w:r>
          </w:p>
        </w:tc>
        <w:tc>
          <w:tcPr>
            <w:tcW w:w="4320" w:type="dxa"/>
            <w:vAlign w:val="center"/>
          </w:tcPr>
          <w:p w:rsidR="00406E90" w:rsidRPr="00700F6C" w:rsidRDefault="00406E90" w:rsidP="00406E90">
            <w:pPr>
              <w:jc w:val="center"/>
            </w:pPr>
            <w:r w:rsidRPr="00700F6C">
              <w:t>Rate Schedule</w:t>
            </w:r>
          </w:p>
        </w:tc>
        <w:tc>
          <w:tcPr>
            <w:tcW w:w="1440" w:type="dxa"/>
            <w:vAlign w:val="center"/>
          </w:tcPr>
          <w:p w:rsidR="00406E90" w:rsidRPr="00700F6C" w:rsidRDefault="00406E90" w:rsidP="00406E90">
            <w:pPr>
              <w:jc w:val="center"/>
            </w:pPr>
            <w:r w:rsidRPr="00700F6C">
              <w:t>Average Factor</w:t>
            </w:r>
          </w:p>
          <w:p w:rsidR="00406E90" w:rsidRPr="00700F6C" w:rsidRDefault="00406E90" w:rsidP="00406E90">
            <w:pPr>
              <w:jc w:val="center"/>
            </w:pPr>
            <w:r w:rsidRPr="00700F6C">
              <w:t>(cents/kWh)</w:t>
            </w:r>
          </w:p>
        </w:tc>
        <w:tc>
          <w:tcPr>
            <w:tcW w:w="1260" w:type="dxa"/>
            <w:vAlign w:val="center"/>
          </w:tcPr>
          <w:p w:rsidR="00406E90" w:rsidRPr="00700F6C" w:rsidRDefault="00406E90" w:rsidP="00406E90">
            <w:pPr>
              <w:jc w:val="center"/>
            </w:pPr>
            <w:r w:rsidRPr="00700F6C">
              <w:t>Fuel Recovery Loss Multiplier</w:t>
            </w:r>
          </w:p>
        </w:tc>
        <w:tc>
          <w:tcPr>
            <w:tcW w:w="1548" w:type="dxa"/>
            <w:vAlign w:val="center"/>
          </w:tcPr>
          <w:p w:rsidR="00406E90" w:rsidRPr="00700F6C" w:rsidRDefault="00406E90" w:rsidP="00406E90">
            <w:pPr>
              <w:jc w:val="center"/>
            </w:pPr>
            <w:r w:rsidRPr="00700F6C">
              <w:t>Fuel Recovery Factor</w:t>
            </w:r>
          </w:p>
          <w:p w:rsidR="00406E90" w:rsidRPr="00700F6C" w:rsidRDefault="00406E90" w:rsidP="00406E90">
            <w:pPr>
              <w:jc w:val="center"/>
            </w:pPr>
            <w:r w:rsidRPr="00700F6C">
              <w:t>(cents/kWh)</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B</w:t>
            </w:r>
          </w:p>
        </w:tc>
        <w:tc>
          <w:tcPr>
            <w:tcW w:w="4320" w:type="dxa"/>
            <w:shd w:val="clear" w:color="auto" w:fill="auto"/>
          </w:tcPr>
          <w:p w:rsidR="00406E90" w:rsidRPr="00700F6C" w:rsidRDefault="00406E90" w:rsidP="00406E90">
            <w:r w:rsidRPr="00700F6C">
              <w:t>GSD(T)-1 On-Peak</w:t>
            </w:r>
          </w:p>
        </w:tc>
        <w:tc>
          <w:tcPr>
            <w:tcW w:w="1440" w:type="dxa"/>
            <w:shd w:val="clear" w:color="auto" w:fill="auto"/>
            <w:vAlign w:val="bottom"/>
          </w:tcPr>
          <w:p w:rsidR="00406E90" w:rsidRPr="00700F6C" w:rsidRDefault="00406E90" w:rsidP="00406E90">
            <w:pPr>
              <w:jc w:val="right"/>
            </w:pPr>
            <w:r w:rsidRPr="00700F6C">
              <w:t>3.135</w:t>
            </w:r>
          </w:p>
        </w:tc>
        <w:tc>
          <w:tcPr>
            <w:tcW w:w="1260" w:type="dxa"/>
            <w:shd w:val="clear" w:color="auto" w:fill="auto"/>
            <w:vAlign w:val="bottom"/>
          </w:tcPr>
          <w:p w:rsidR="00406E90" w:rsidRPr="00700F6C" w:rsidRDefault="00406E90" w:rsidP="00406E90">
            <w:pPr>
              <w:jc w:val="right"/>
            </w:pPr>
            <w:r w:rsidRPr="00700F6C">
              <w:t>1.00290</w:t>
            </w:r>
          </w:p>
        </w:tc>
        <w:tc>
          <w:tcPr>
            <w:tcW w:w="1548" w:type="dxa"/>
            <w:shd w:val="clear" w:color="auto" w:fill="auto"/>
            <w:vAlign w:val="bottom"/>
          </w:tcPr>
          <w:p w:rsidR="00406E90" w:rsidRPr="00700F6C" w:rsidRDefault="00406E90" w:rsidP="00406E90">
            <w:pPr>
              <w:jc w:val="right"/>
            </w:pPr>
            <w:r w:rsidRPr="00700F6C">
              <w:t>3.144</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GSD(T)-1 Off-Peak</w:t>
            </w:r>
          </w:p>
        </w:tc>
        <w:tc>
          <w:tcPr>
            <w:tcW w:w="1440" w:type="dxa"/>
            <w:shd w:val="clear" w:color="auto" w:fill="auto"/>
            <w:vAlign w:val="bottom"/>
          </w:tcPr>
          <w:p w:rsidR="00406E90" w:rsidRPr="00700F6C" w:rsidRDefault="00406E90" w:rsidP="00406E90">
            <w:pPr>
              <w:jc w:val="right"/>
            </w:pPr>
            <w:r w:rsidRPr="00700F6C">
              <w:t>2.698</w:t>
            </w:r>
          </w:p>
        </w:tc>
        <w:tc>
          <w:tcPr>
            <w:tcW w:w="1260" w:type="dxa"/>
            <w:shd w:val="clear" w:color="auto" w:fill="auto"/>
            <w:vAlign w:val="bottom"/>
          </w:tcPr>
          <w:p w:rsidR="00406E90" w:rsidRPr="00700F6C" w:rsidRDefault="00406E90" w:rsidP="00406E90">
            <w:pPr>
              <w:jc w:val="right"/>
            </w:pPr>
            <w:r w:rsidRPr="00700F6C">
              <w:t>1.00290</w:t>
            </w:r>
          </w:p>
        </w:tc>
        <w:tc>
          <w:tcPr>
            <w:tcW w:w="1548" w:type="dxa"/>
            <w:shd w:val="clear" w:color="auto" w:fill="auto"/>
            <w:vAlign w:val="bottom"/>
          </w:tcPr>
          <w:p w:rsidR="00406E90" w:rsidRPr="00700F6C" w:rsidRDefault="00406E90" w:rsidP="00406E90">
            <w:pPr>
              <w:jc w:val="right"/>
            </w:pPr>
            <w:r w:rsidRPr="00700F6C">
              <w:t>2.706</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C</w:t>
            </w:r>
          </w:p>
        </w:tc>
        <w:tc>
          <w:tcPr>
            <w:tcW w:w="4320" w:type="dxa"/>
            <w:shd w:val="clear" w:color="auto" w:fill="auto"/>
          </w:tcPr>
          <w:p w:rsidR="00406E90" w:rsidRPr="00700F6C" w:rsidRDefault="00406E90" w:rsidP="00406E90">
            <w:r w:rsidRPr="00700F6C">
              <w:t>GSLD(T)-1 On-Peak</w:t>
            </w:r>
          </w:p>
        </w:tc>
        <w:tc>
          <w:tcPr>
            <w:tcW w:w="1440" w:type="dxa"/>
            <w:shd w:val="clear" w:color="auto" w:fill="auto"/>
            <w:vAlign w:val="bottom"/>
          </w:tcPr>
          <w:p w:rsidR="00406E90" w:rsidRPr="00700F6C" w:rsidRDefault="00406E90" w:rsidP="00406E90">
            <w:pPr>
              <w:jc w:val="right"/>
            </w:pPr>
            <w:r w:rsidRPr="00700F6C">
              <w:t>3.135</w:t>
            </w:r>
          </w:p>
        </w:tc>
        <w:tc>
          <w:tcPr>
            <w:tcW w:w="1260" w:type="dxa"/>
            <w:shd w:val="clear" w:color="auto" w:fill="auto"/>
            <w:vAlign w:val="bottom"/>
          </w:tcPr>
          <w:p w:rsidR="00406E90" w:rsidRPr="00700F6C" w:rsidRDefault="00406E90" w:rsidP="00406E90">
            <w:pPr>
              <w:jc w:val="right"/>
            </w:pPr>
            <w:r w:rsidRPr="00700F6C">
              <w:t>1.00181</w:t>
            </w:r>
          </w:p>
        </w:tc>
        <w:tc>
          <w:tcPr>
            <w:tcW w:w="1548" w:type="dxa"/>
            <w:shd w:val="clear" w:color="auto" w:fill="auto"/>
            <w:vAlign w:val="bottom"/>
          </w:tcPr>
          <w:p w:rsidR="00406E90" w:rsidRPr="00700F6C" w:rsidRDefault="00406E90" w:rsidP="00406E90">
            <w:pPr>
              <w:jc w:val="right"/>
            </w:pPr>
            <w:r w:rsidRPr="00700F6C">
              <w:t>3.141</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GSLD(T)-1 Off-Peak</w:t>
            </w:r>
          </w:p>
        </w:tc>
        <w:tc>
          <w:tcPr>
            <w:tcW w:w="1440" w:type="dxa"/>
            <w:shd w:val="clear" w:color="auto" w:fill="auto"/>
            <w:vAlign w:val="bottom"/>
          </w:tcPr>
          <w:p w:rsidR="00406E90" w:rsidRPr="00700F6C" w:rsidRDefault="00406E90" w:rsidP="00406E90">
            <w:pPr>
              <w:jc w:val="right"/>
            </w:pPr>
            <w:r w:rsidRPr="00700F6C">
              <w:t>2.698</w:t>
            </w:r>
          </w:p>
        </w:tc>
        <w:tc>
          <w:tcPr>
            <w:tcW w:w="1260" w:type="dxa"/>
            <w:shd w:val="clear" w:color="auto" w:fill="auto"/>
            <w:vAlign w:val="bottom"/>
          </w:tcPr>
          <w:p w:rsidR="00406E90" w:rsidRPr="00700F6C" w:rsidRDefault="00406E90" w:rsidP="00406E90">
            <w:pPr>
              <w:jc w:val="right"/>
            </w:pPr>
            <w:r w:rsidRPr="00700F6C">
              <w:t>1.00181</w:t>
            </w:r>
          </w:p>
        </w:tc>
        <w:tc>
          <w:tcPr>
            <w:tcW w:w="1548" w:type="dxa"/>
            <w:shd w:val="clear" w:color="auto" w:fill="auto"/>
            <w:vAlign w:val="bottom"/>
          </w:tcPr>
          <w:p w:rsidR="00406E90" w:rsidRPr="00700F6C" w:rsidRDefault="00406E90" w:rsidP="00406E90">
            <w:pPr>
              <w:jc w:val="right"/>
            </w:pPr>
            <w:r w:rsidRPr="00700F6C">
              <w:t>2.703</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D</w:t>
            </w:r>
          </w:p>
        </w:tc>
        <w:tc>
          <w:tcPr>
            <w:tcW w:w="4320" w:type="dxa"/>
            <w:shd w:val="clear" w:color="auto" w:fill="auto"/>
          </w:tcPr>
          <w:p w:rsidR="00406E90" w:rsidRPr="00700F6C" w:rsidRDefault="00406E90" w:rsidP="00406E90">
            <w:r w:rsidRPr="00700F6C">
              <w:t>GSLD(T)-2 On-Peak</w:t>
            </w:r>
          </w:p>
        </w:tc>
        <w:tc>
          <w:tcPr>
            <w:tcW w:w="1440" w:type="dxa"/>
            <w:shd w:val="clear" w:color="auto" w:fill="auto"/>
            <w:vAlign w:val="bottom"/>
          </w:tcPr>
          <w:p w:rsidR="00406E90" w:rsidRPr="00700F6C" w:rsidRDefault="00406E90" w:rsidP="00406E90">
            <w:pPr>
              <w:jc w:val="right"/>
            </w:pPr>
            <w:r w:rsidRPr="00700F6C">
              <w:t>3.135</w:t>
            </w:r>
          </w:p>
        </w:tc>
        <w:tc>
          <w:tcPr>
            <w:tcW w:w="1260" w:type="dxa"/>
            <w:shd w:val="clear" w:color="auto" w:fill="auto"/>
            <w:vAlign w:val="bottom"/>
          </w:tcPr>
          <w:p w:rsidR="00406E90" w:rsidRPr="00700F6C" w:rsidRDefault="00406E90" w:rsidP="00406E90">
            <w:pPr>
              <w:jc w:val="right"/>
            </w:pPr>
            <w:r w:rsidRPr="00700F6C">
              <w:t>0.99439</w:t>
            </w:r>
          </w:p>
        </w:tc>
        <w:tc>
          <w:tcPr>
            <w:tcW w:w="1548" w:type="dxa"/>
            <w:shd w:val="clear" w:color="auto" w:fill="auto"/>
            <w:vAlign w:val="bottom"/>
          </w:tcPr>
          <w:p w:rsidR="00406E90" w:rsidRPr="00700F6C" w:rsidRDefault="00406E90" w:rsidP="00406E90">
            <w:pPr>
              <w:jc w:val="right"/>
            </w:pPr>
            <w:r w:rsidRPr="00700F6C">
              <w:t>3.117</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GSLD(T)-2 Off-Peak</w:t>
            </w:r>
          </w:p>
        </w:tc>
        <w:tc>
          <w:tcPr>
            <w:tcW w:w="1440" w:type="dxa"/>
            <w:shd w:val="clear" w:color="auto" w:fill="auto"/>
            <w:vAlign w:val="bottom"/>
          </w:tcPr>
          <w:p w:rsidR="00406E90" w:rsidRPr="00700F6C" w:rsidRDefault="00406E90" w:rsidP="00406E90">
            <w:pPr>
              <w:jc w:val="right"/>
            </w:pPr>
            <w:r w:rsidRPr="00700F6C">
              <w:t>2.698</w:t>
            </w:r>
          </w:p>
        </w:tc>
        <w:tc>
          <w:tcPr>
            <w:tcW w:w="1260" w:type="dxa"/>
            <w:shd w:val="clear" w:color="auto" w:fill="auto"/>
            <w:vAlign w:val="bottom"/>
          </w:tcPr>
          <w:p w:rsidR="00406E90" w:rsidRPr="00700F6C" w:rsidRDefault="00406E90" w:rsidP="00406E90">
            <w:pPr>
              <w:jc w:val="right"/>
            </w:pPr>
            <w:r w:rsidRPr="00700F6C">
              <w:t>0.99439</w:t>
            </w:r>
          </w:p>
        </w:tc>
        <w:tc>
          <w:tcPr>
            <w:tcW w:w="1548" w:type="dxa"/>
            <w:shd w:val="clear" w:color="auto" w:fill="auto"/>
            <w:vAlign w:val="bottom"/>
          </w:tcPr>
          <w:p w:rsidR="00406E90" w:rsidRPr="00700F6C" w:rsidRDefault="00406E90" w:rsidP="00406E90">
            <w:pPr>
              <w:jc w:val="right"/>
            </w:pPr>
            <w:r w:rsidRPr="00700F6C">
              <w:t>2.683</w:t>
            </w:r>
          </w:p>
        </w:tc>
      </w:tr>
    </w:tbl>
    <w:p w:rsidR="00406E90" w:rsidRDefault="00406E90" w:rsidP="00406E90">
      <w:pPr>
        <w:rPr>
          <w:sz w:val="22"/>
          <w:szCs w:val="22"/>
        </w:rPr>
      </w:pPr>
      <w:r w:rsidRPr="00700F6C">
        <w:rPr>
          <w:sz w:val="22"/>
          <w:szCs w:val="22"/>
        </w:rPr>
        <w:t>Source: Schedule E1-E, (Exhibit AM-5, 2024 FCR Projections, Pages 8 of 174)</w:t>
      </w:r>
      <w:r>
        <w:rPr>
          <w:sz w:val="22"/>
          <w:szCs w:val="22"/>
        </w:rPr>
        <w:t>.</w:t>
      </w:r>
    </w:p>
    <w:p w:rsidR="00406E90" w:rsidRPr="00700F6C" w:rsidRDefault="00406E90" w:rsidP="00406E90"/>
    <w:tbl>
      <w:tblPr>
        <w:tblStyle w:val="TableGrid"/>
        <w:tblW w:w="9540" w:type="dxa"/>
        <w:tblInd w:w="108" w:type="dxa"/>
        <w:tblLayout w:type="fixed"/>
        <w:tblLook w:val="04A0" w:firstRow="1" w:lastRow="0" w:firstColumn="1" w:lastColumn="0" w:noHBand="0" w:noVBand="1"/>
      </w:tblPr>
      <w:tblGrid>
        <w:gridCol w:w="900"/>
        <w:gridCol w:w="4567"/>
        <w:gridCol w:w="1440"/>
        <w:gridCol w:w="1193"/>
        <w:gridCol w:w="1440"/>
      </w:tblGrid>
      <w:tr w:rsidR="00406E90" w:rsidRPr="00700F6C" w:rsidTr="00406E90">
        <w:trPr>
          <w:tblHeader/>
        </w:trPr>
        <w:tc>
          <w:tcPr>
            <w:tcW w:w="9540" w:type="dxa"/>
            <w:gridSpan w:val="5"/>
            <w:tcBorders>
              <w:top w:val="nil"/>
              <w:left w:val="nil"/>
              <w:bottom w:val="nil"/>
              <w:right w:val="nil"/>
            </w:tcBorders>
          </w:tcPr>
          <w:p w:rsidR="00406E90" w:rsidRPr="00700F6C" w:rsidRDefault="00406E90" w:rsidP="00406E90">
            <w:pPr>
              <w:jc w:val="center"/>
            </w:pPr>
            <w:r w:rsidRPr="00700F6C">
              <w:rPr>
                <w:rFonts w:ascii="Arial" w:hAnsi="Arial" w:cs="Arial"/>
                <w:b/>
              </w:rPr>
              <w:t>Table 20-4</w:t>
            </w:r>
          </w:p>
        </w:tc>
      </w:tr>
      <w:tr w:rsidR="00406E90" w:rsidRPr="00700F6C" w:rsidTr="00406E90">
        <w:trPr>
          <w:tblHeader/>
        </w:trPr>
        <w:tc>
          <w:tcPr>
            <w:tcW w:w="9540" w:type="dxa"/>
            <w:gridSpan w:val="5"/>
            <w:tcBorders>
              <w:top w:val="nil"/>
              <w:left w:val="nil"/>
              <w:right w:val="nil"/>
            </w:tcBorders>
          </w:tcPr>
          <w:p w:rsidR="00406E90" w:rsidRPr="00700F6C" w:rsidRDefault="00406E90" w:rsidP="00406E90">
            <w:pPr>
              <w:jc w:val="center"/>
            </w:pPr>
            <w:r w:rsidRPr="00700F6C">
              <w:rPr>
                <w:rFonts w:ascii="Arial" w:hAnsi="Arial" w:cs="Arial"/>
                <w:b/>
              </w:rPr>
              <w:t>FPL Fuel Cost Recovery Factors for the period February-December, 2025</w:t>
            </w:r>
          </w:p>
        </w:tc>
      </w:tr>
      <w:tr w:rsidR="00406E90" w:rsidRPr="00700F6C" w:rsidTr="00406E90">
        <w:trPr>
          <w:tblHeader/>
        </w:trPr>
        <w:tc>
          <w:tcPr>
            <w:tcW w:w="9540" w:type="dxa"/>
            <w:gridSpan w:val="5"/>
          </w:tcPr>
          <w:p w:rsidR="00406E90" w:rsidRPr="00700F6C" w:rsidRDefault="00406E90" w:rsidP="00406E90">
            <w:pPr>
              <w:jc w:val="center"/>
            </w:pPr>
            <w:r w:rsidRPr="00700F6C">
              <w:t>Fuel Recovery Factors – By Rate Group (Adjusted for Line Losses)</w:t>
            </w:r>
          </w:p>
        </w:tc>
      </w:tr>
      <w:tr w:rsidR="00406E90" w:rsidRPr="00700F6C" w:rsidTr="00910005">
        <w:trPr>
          <w:tblHeader/>
        </w:trPr>
        <w:tc>
          <w:tcPr>
            <w:tcW w:w="900" w:type="dxa"/>
            <w:vAlign w:val="center"/>
          </w:tcPr>
          <w:p w:rsidR="00406E90" w:rsidRPr="00700F6C" w:rsidRDefault="00406E90" w:rsidP="00406E90">
            <w:pPr>
              <w:jc w:val="center"/>
            </w:pPr>
            <w:r w:rsidRPr="00700F6C">
              <w:t>Group</w:t>
            </w:r>
          </w:p>
        </w:tc>
        <w:tc>
          <w:tcPr>
            <w:tcW w:w="4567" w:type="dxa"/>
            <w:vAlign w:val="center"/>
          </w:tcPr>
          <w:p w:rsidR="00406E90" w:rsidRPr="00700F6C" w:rsidRDefault="00406E90" w:rsidP="00406E90">
            <w:pPr>
              <w:jc w:val="center"/>
            </w:pPr>
            <w:r w:rsidRPr="00700F6C">
              <w:t>Rate Schedule</w:t>
            </w:r>
          </w:p>
        </w:tc>
        <w:tc>
          <w:tcPr>
            <w:tcW w:w="1440" w:type="dxa"/>
            <w:vAlign w:val="center"/>
          </w:tcPr>
          <w:p w:rsidR="00406E90" w:rsidRPr="00700F6C" w:rsidRDefault="00406E90" w:rsidP="00406E90">
            <w:pPr>
              <w:jc w:val="center"/>
            </w:pPr>
            <w:r w:rsidRPr="00700F6C">
              <w:t>Avg. Factor</w:t>
            </w:r>
          </w:p>
          <w:p w:rsidR="00406E90" w:rsidRPr="00700F6C" w:rsidRDefault="00406E90" w:rsidP="00406E90">
            <w:pPr>
              <w:jc w:val="center"/>
            </w:pPr>
            <w:r w:rsidRPr="00700F6C">
              <w:t>(cents/kWh)</w:t>
            </w:r>
          </w:p>
        </w:tc>
        <w:tc>
          <w:tcPr>
            <w:tcW w:w="1193" w:type="dxa"/>
            <w:vAlign w:val="center"/>
          </w:tcPr>
          <w:p w:rsidR="00406E90" w:rsidRPr="00700F6C" w:rsidRDefault="00406E90" w:rsidP="00406E90">
            <w:pPr>
              <w:jc w:val="center"/>
            </w:pPr>
            <w:r w:rsidRPr="00700F6C">
              <w:t>Fuel Recovery Loss Multiplier</w:t>
            </w:r>
          </w:p>
        </w:tc>
        <w:tc>
          <w:tcPr>
            <w:tcW w:w="1440" w:type="dxa"/>
            <w:vAlign w:val="center"/>
          </w:tcPr>
          <w:p w:rsidR="00406E90" w:rsidRPr="00700F6C" w:rsidRDefault="00406E90" w:rsidP="00406E90">
            <w:pPr>
              <w:jc w:val="center"/>
            </w:pPr>
            <w:r w:rsidRPr="00700F6C">
              <w:t>Fuel Recovery Factor</w:t>
            </w:r>
          </w:p>
          <w:p w:rsidR="00406E90" w:rsidRPr="00700F6C" w:rsidRDefault="00406E90" w:rsidP="00406E90">
            <w:pPr>
              <w:jc w:val="center"/>
            </w:pPr>
            <w:r w:rsidRPr="00700F6C">
              <w:t>(cents/kWh)</w:t>
            </w:r>
          </w:p>
        </w:tc>
      </w:tr>
      <w:tr w:rsidR="00406E90" w:rsidRPr="00700F6C" w:rsidTr="00910005">
        <w:tc>
          <w:tcPr>
            <w:tcW w:w="900" w:type="dxa"/>
            <w:vMerge w:val="restart"/>
            <w:vAlign w:val="center"/>
          </w:tcPr>
          <w:p w:rsidR="00406E90" w:rsidRPr="00700F6C" w:rsidRDefault="00406E90" w:rsidP="00406E90">
            <w:pPr>
              <w:jc w:val="center"/>
            </w:pPr>
            <w:r w:rsidRPr="00700F6C">
              <w:t>A</w:t>
            </w:r>
          </w:p>
        </w:tc>
        <w:tc>
          <w:tcPr>
            <w:tcW w:w="4567" w:type="dxa"/>
          </w:tcPr>
          <w:p w:rsidR="00406E90" w:rsidRPr="00700F6C" w:rsidRDefault="00406E90" w:rsidP="00406E90">
            <w:r w:rsidRPr="00700F6C">
              <w:t>RS-1, first 1,000 kWh</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2.408</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RS-1, all additional kWh</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3.408</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GS-1, SL-2, SL-2M, GSCU-1</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2.718</w:t>
            </w:r>
          </w:p>
        </w:tc>
      </w:tr>
      <w:tr w:rsidR="00406E90" w:rsidRPr="00700F6C" w:rsidTr="00910005">
        <w:tc>
          <w:tcPr>
            <w:tcW w:w="900" w:type="dxa"/>
          </w:tcPr>
          <w:p w:rsidR="00406E90" w:rsidRPr="00700F6C" w:rsidRDefault="00406E90" w:rsidP="00406E90">
            <w:pPr>
              <w:jc w:val="center"/>
            </w:pPr>
            <w:r w:rsidRPr="00700F6C">
              <w:t>A-1</w:t>
            </w:r>
          </w:p>
        </w:tc>
        <w:tc>
          <w:tcPr>
            <w:tcW w:w="4567" w:type="dxa"/>
          </w:tcPr>
          <w:p w:rsidR="00406E90" w:rsidRPr="00700F6C" w:rsidRDefault="00406E90" w:rsidP="00406E90">
            <w:r w:rsidRPr="00700F6C">
              <w:t>SL-1, SL-1M, OL-1, PL-1 (1), LT-1, OS I/II</w:t>
            </w:r>
          </w:p>
        </w:tc>
        <w:tc>
          <w:tcPr>
            <w:tcW w:w="1440" w:type="dxa"/>
            <w:shd w:val="clear" w:color="auto" w:fill="auto"/>
            <w:vAlign w:val="bottom"/>
          </w:tcPr>
          <w:p w:rsidR="00406E90" w:rsidRPr="00700F6C" w:rsidRDefault="00406E90" w:rsidP="00406E90">
            <w:pPr>
              <w:jc w:val="right"/>
            </w:pPr>
            <w:r w:rsidRPr="00700F6C">
              <w:t>2.639</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2.647</w:t>
            </w:r>
          </w:p>
        </w:tc>
      </w:tr>
      <w:tr w:rsidR="00406E90" w:rsidRPr="00700F6C" w:rsidTr="00910005">
        <w:tc>
          <w:tcPr>
            <w:tcW w:w="900" w:type="dxa"/>
          </w:tcPr>
          <w:p w:rsidR="00406E90" w:rsidRPr="00700F6C" w:rsidRDefault="00406E90" w:rsidP="00406E90">
            <w:pPr>
              <w:jc w:val="center"/>
            </w:pPr>
            <w:r w:rsidRPr="00700F6C">
              <w:t>B</w:t>
            </w:r>
          </w:p>
        </w:tc>
        <w:tc>
          <w:tcPr>
            <w:tcW w:w="4567" w:type="dxa"/>
          </w:tcPr>
          <w:p w:rsidR="00406E90" w:rsidRPr="00700F6C" w:rsidRDefault="00406E90" w:rsidP="00406E90">
            <w:r w:rsidRPr="00700F6C">
              <w:t>GSD-1, GSD-1EV</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1.00290</w:t>
            </w:r>
          </w:p>
        </w:tc>
        <w:tc>
          <w:tcPr>
            <w:tcW w:w="1440" w:type="dxa"/>
            <w:shd w:val="clear" w:color="auto" w:fill="auto"/>
            <w:vAlign w:val="bottom"/>
          </w:tcPr>
          <w:p w:rsidR="00406E90" w:rsidRPr="00700F6C" w:rsidRDefault="00406E90" w:rsidP="00406E90">
            <w:pPr>
              <w:jc w:val="right"/>
            </w:pPr>
            <w:r w:rsidRPr="00700F6C">
              <w:t>2.718</w:t>
            </w:r>
          </w:p>
        </w:tc>
      </w:tr>
      <w:tr w:rsidR="00406E90" w:rsidRPr="00700F6C" w:rsidTr="00910005">
        <w:tc>
          <w:tcPr>
            <w:tcW w:w="900" w:type="dxa"/>
          </w:tcPr>
          <w:p w:rsidR="00406E90" w:rsidRPr="00700F6C" w:rsidRDefault="00406E90" w:rsidP="00406E90">
            <w:pPr>
              <w:jc w:val="center"/>
            </w:pPr>
            <w:r w:rsidRPr="00700F6C">
              <w:t>C</w:t>
            </w:r>
          </w:p>
        </w:tc>
        <w:tc>
          <w:tcPr>
            <w:tcW w:w="4567" w:type="dxa"/>
          </w:tcPr>
          <w:p w:rsidR="00406E90" w:rsidRPr="00700F6C" w:rsidRDefault="00406E90" w:rsidP="00406E90">
            <w:r w:rsidRPr="00700F6C">
              <w:t>GSLD-1, GSLD-1EV, CS-1</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1.00181</w:t>
            </w:r>
          </w:p>
        </w:tc>
        <w:tc>
          <w:tcPr>
            <w:tcW w:w="1440" w:type="dxa"/>
            <w:shd w:val="clear" w:color="auto" w:fill="auto"/>
            <w:vAlign w:val="bottom"/>
          </w:tcPr>
          <w:p w:rsidR="00406E90" w:rsidRPr="00700F6C" w:rsidRDefault="00406E90" w:rsidP="00406E90">
            <w:pPr>
              <w:jc w:val="right"/>
            </w:pPr>
            <w:r w:rsidRPr="00700F6C">
              <w:t>2.715</w:t>
            </w:r>
          </w:p>
        </w:tc>
      </w:tr>
      <w:tr w:rsidR="00406E90" w:rsidRPr="00700F6C" w:rsidTr="00910005">
        <w:tc>
          <w:tcPr>
            <w:tcW w:w="900" w:type="dxa"/>
          </w:tcPr>
          <w:p w:rsidR="00406E90" w:rsidRPr="00700F6C" w:rsidRDefault="00406E90" w:rsidP="00406E90">
            <w:pPr>
              <w:jc w:val="center"/>
            </w:pPr>
            <w:r w:rsidRPr="00700F6C">
              <w:t>D</w:t>
            </w:r>
          </w:p>
        </w:tc>
        <w:tc>
          <w:tcPr>
            <w:tcW w:w="4567" w:type="dxa"/>
          </w:tcPr>
          <w:p w:rsidR="00406E90" w:rsidRPr="00700F6C" w:rsidRDefault="00406E90" w:rsidP="00406E90">
            <w:r w:rsidRPr="00700F6C">
              <w:t>GSLD-2, CS-2, OS-2, MET</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0.99415</w:t>
            </w:r>
          </w:p>
        </w:tc>
        <w:tc>
          <w:tcPr>
            <w:tcW w:w="1440" w:type="dxa"/>
            <w:shd w:val="clear" w:color="auto" w:fill="auto"/>
            <w:vAlign w:val="bottom"/>
          </w:tcPr>
          <w:p w:rsidR="00406E90" w:rsidRPr="00700F6C" w:rsidRDefault="00406E90" w:rsidP="00406E90">
            <w:pPr>
              <w:jc w:val="right"/>
            </w:pPr>
            <w:r w:rsidRPr="00700F6C">
              <w:t>2.694</w:t>
            </w:r>
          </w:p>
        </w:tc>
      </w:tr>
      <w:tr w:rsidR="00406E90" w:rsidRPr="00700F6C" w:rsidTr="00910005">
        <w:tc>
          <w:tcPr>
            <w:tcW w:w="900" w:type="dxa"/>
          </w:tcPr>
          <w:p w:rsidR="00406E90" w:rsidRPr="00700F6C" w:rsidRDefault="00406E90" w:rsidP="00406E90">
            <w:pPr>
              <w:jc w:val="center"/>
            </w:pPr>
            <w:r w:rsidRPr="00700F6C">
              <w:t>E</w:t>
            </w:r>
          </w:p>
        </w:tc>
        <w:tc>
          <w:tcPr>
            <w:tcW w:w="4567" w:type="dxa"/>
          </w:tcPr>
          <w:p w:rsidR="00406E90" w:rsidRPr="00700F6C" w:rsidRDefault="00406E90" w:rsidP="00406E90">
            <w:r w:rsidRPr="00700F6C">
              <w:t>GSLD-3, CS-3</w:t>
            </w:r>
          </w:p>
        </w:tc>
        <w:tc>
          <w:tcPr>
            <w:tcW w:w="1440" w:type="dxa"/>
            <w:shd w:val="clear" w:color="auto" w:fill="auto"/>
            <w:vAlign w:val="bottom"/>
          </w:tcPr>
          <w:p w:rsidR="00406E90" w:rsidRPr="00700F6C" w:rsidRDefault="00406E90" w:rsidP="00406E90">
            <w:pPr>
              <w:jc w:val="right"/>
            </w:pPr>
            <w:r w:rsidRPr="00700F6C">
              <w:t>2.710</w:t>
            </w:r>
          </w:p>
        </w:tc>
        <w:tc>
          <w:tcPr>
            <w:tcW w:w="1193" w:type="dxa"/>
            <w:shd w:val="clear" w:color="auto" w:fill="auto"/>
            <w:vAlign w:val="bottom"/>
          </w:tcPr>
          <w:p w:rsidR="00406E90" w:rsidRPr="00700F6C" w:rsidRDefault="00406E90" w:rsidP="00406E90">
            <w:pPr>
              <w:jc w:val="right"/>
            </w:pPr>
            <w:r w:rsidRPr="00700F6C">
              <w:t>0.97310</w:t>
            </w:r>
          </w:p>
        </w:tc>
        <w:tc>
          <w:tcPr>
            <w:tcW w:w="1440" w:type="dxa"/>
            <w:shd w:val="clear" w:color="auto" w:fill="auto"/>
            <w:vAlign w:val="bottom"/>
          </w:tcPr>
          <w:p w:rsidR="00406E90" w:rsidRPr="00700F6C" w:rsidRDefault="00406E90" w:rsidP="00406E90">
            <w:pPr>
              <w:jc w:val="right"/>
            </w:pPr>
            <w:r w:rsidRPr="00700F6C">
              <w:t>2.637</w:t>
            </w:r>
          </w:p>
        </w:tc>
      </w:tr>
      <w:tr w:rsidR="00406E90" w:rsidRPr="00700F6C" w:rsidTr="00910005">
        <w:tc>
          <w:tcPr>
            <w:tcW w:w="900" w:type="dxa"/>
            <w:vMerge w:val="restart"/>
            <w:vAlign w:val="center"/>
          </w:tcPr>
          <w:p w:rsidR="00406E90" w:rsidRPr="00700F6C" w:rsidRDefault="00406E90" w:rsidP="00406E90">
            <w:pPr>
              <w:jc w:val="center"/>
            </w:pPr>
            <w:r w:rsidRPr="00700F6C">
              <w:t>A</w:t>
            </w:r>
          </w:p>
        </w:tc>
        <w:tc>
          <w:tcPr>
            <w:tcW w:w="4567" w:type="dxa"/>
          </w:tcPr>
          <w:p w:rsidR="00406E90" w:rsidRPr="00700F6C" w:rsidRDefault="00406E90" w:rsidP="00406E90">
            <w:r w:rsidRPr="00700F6C">
              <w:t>GST-1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3.074</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GST-1 Off 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1.00297</w:t>
            </w:r>
          </w:p>
        </w:tc>
        <w:tc>
          <w:tcPr>
            <w:tcW w:w="1440" w:type="dxa"/>
            <w:shd w:val="clear" w:color="auto" w:fill="auto"/>
            <w:vAlign w:val="bottom"/>
          </w:tcPr>
          <w:p w:rsidR="00406E90" w:rsidRPr="00700F6C" w:rsidRDefault="00406E90" w:rsidP="00406E90">
            <w:pPr>
              <w:jc w:val="right"/>
            </w:pPr>
            <w:r w:rsidRPr="00700F6C">
              <w:t>2.565</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RTR-1 On-Peak</w:t>
            </w:r>
          </w:p>
        </w:tc>
        <w:tc>
          <w:tcPr>
            <w:tcW w:w="1440" w:type="dxa"/>
            <w:shd w:val="clear" w:color="auto" w:fill="auto"/>
            <w:vAlign w:val="bottom"/>
          </w:tcPr>
          <w:p w:rsidR="00406E90" w:rsidRPr="00700F6C" w:rsidRDefault="00406E90" w:rsidP="00406E90">
            <w:pPr>
              <w:jc w:val="right"/>
            </w:pPr>
          </w:p>
        </w:tc>
        <w:tc>
          <w:tcPr>
            <w:tcW w:w="1193" w:type="dxa"/>
            <w:shd w:val="clear" w:color="auto" w:fill="auto"/>
            <w:vAlign w:val="bottom"/>
          </w:tcPr>
          <w:p w:rsidR="00406E90" w:rsidRPr="00700F6C" w:rsidRDefault="00406E90" w:rsidP="00406E90">
            <w:pPr>
              <w:jc w:val="right"/>
            </w:pPr>
          </w:p>
        </w:tc>
        <w:tc>
          <w:tcPr>
            <w:tcW w:w="1440" w:type="dxa"/>
            <w:shd w:val="clear" w:color="auto" w:fill="auto"/>
            <w:vAlign w:val="bottom"/>
          </w:tcPr>
          <w:p w:rsidR="00406E90" w:rsidRPr="00700F6C" w:rsidRDefault="00406E90" w:rsidP="00406E90">
            <w:pPr>
              <w:jc w:val="right"/>
            </w:pPr>
            <w:r w:rsidRPr="00700F6C">
              <w:t>0.356</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RTR-1 Off-Peak</w:t>
            </w:r>
          </w:p>
        </w:tc>
        <w:tc>
          <w:tcPr>
            <w:tcW w:w="1440" w:type="dxa"/>
            <w:shd w:val="clear" w:color="auto" w:fill="auto"/>
            <w:vAlign w:val="bottom"/>
          </w:tcPr>
          <w:p w:rsidR="00406E90" w:rsidRPr="00700F6C" w:rsidRDefault="00406E90" w:rsidP="00406E90">
            <w:pPr>
              <w:jc w:val="right"/>
            </w:pPr>
          </w:p>
        </w:tc>
        <w:tc>
          <w:tcPr>
            <w:tcW w:w="1193" w:type="dxa"/>
            <w:shd w:val="clear" w:color="auto" w:fill="auto"/>
            <w:vAlign w:val="bottom"/>
          </w:tcPr>
          <w:p w:rsidR="00406E90" w:rsidRPr="00700F6C" w:rsidRDefault="00406E90" w:rsidP="00406E90">
            <w:pPr>
              <w:jc w:val="right"/>
            </w:pPr>
          </w:p>
        </w:tc>
        <w:tc>
          <w:tcPr>
            <w:tcW w:w="1440" w:type="dxa"/>
            <w:shd w:val="clear" w:color="auto" w:fill="auto"/>
            <w:vAlign w:val="bottom"/>
          </w:tcPr>
          <w:p w:rsidR="00406E90" w:rsidRPr="00700F6C" w:rsidRDefault="00406E90" w:rsidP="00406E90">
            <w:pPr>
              <w:jc w:val="right"/>
            </w:pPr>
            <w:r w:rsidRPr="00700F6C">
              <w:t>(0.153)</w:t>
            </w:r>
          </w:p>
        </w:tc>
      </w:tr>
      <w:tr w:rsidR="00406E90" w:rsidRPr="00700F6C" w:rsidTr="00910005">
        <w:tc>
          <w:tcPr>
            <w:tcW w:w="900" w:type="dxa"/>
            <w:vMerge w:val="restart"/>
            <w:vAlign w:val="center"/>
          </w:tcPr>
          <w:p w:rsidR="00406E90" w:rsidRPr="00700F6C" w:rsidRDefault="00406E90" w:rsidP="00406E90">
            <w:pPr>
              <w:jc w:val="center"/>
            </w:pPr>
            <w:r w:rsidRPr="00700F6C">
              <w:t>B</w:t>
            </w:r>
          </w:p>
        </w:tc>
        <w:tc>
          <w:tcPr>
            <w:tcW w:w="4567" w:type="dxa"/>
          </w:tcPr>
          <w:p w:rsidR="00406E90" w:rsidRPr="00700F6C" w:rsidRDefault="00406E90" w:rsidP="00406E90">
            <w:r w:rsidRPr="00700F6C">
              <w:t>GSDT-1, CILC-1(G), SST-1D(1), HLFT-1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1.00289</w:t>
            </w:r>
          </w:p>
        </w:tc>
        <w:tc>
          <w:tcPr>
            <w:tcW w:w="1440" w:type="dxa"/>
            <w:shd w:val="clear" w:color="auto" w:fill="auto"/>
            <w:vAlign w:val="bottom"/>
          </w:tcPr>
          <w:p w:rsidR="00406E90" w:rsidRPr="00700F6C" w:rsidRDefault="00406E90" w:rsidP="00406E90">
            <w:pPr>
              <w:jc w:val="right"/>
            </w:pPr>
            <w:r w:rsidRPr="00700F6C">
              <w:t>3.074</w:t>
            </w:r>
          </w:p>
        </w:tc>
      </w:tr>
      <w:tr w:rsidR="00406E90" w:rsidRPr="00700F6C" w:rsidTr="00910005">
        <w:tc>
          <w:tcPr>
            <w:tcW w:w="900" w:type="dxa"/>
            <w:vMerge/>
            <w:vAlign w:val="center"/>
          </w:tcPr>
          <w:p w:rsidR="00406E90" w:rsidRPr="00700F6C" w:rsidRDefault="00406E90" w:rsidP="00406E90">
            <w:pPr>
              <w:jc w:val="center"/>
            </w:pPr>
          </w:p>
        </w:tc>
        <w:tc>
          <w:tcPr>
            <w:tcW w:w="4567" w:type="dxa"/>
          </w:tcPr>
          <w:p w:rsidR="00406E90" w:rsidRPr="00700F6C" w:rsidRDefault="00406E90" w:rsidP="00406E90">
            <w:r w:rsidRPr="00700F6C">
              <w:t>GSDT-1, CILC-1(G), SST-1D(1), HLFT-1  Off-Peak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1.00289</w:t>
            </w:r>
          </w:p>
        </w:tc>
        <w:tc>
          <w:tcPr>
            <w:tcW w:w="1440" w:type="dxa"/>
            <w:shd w:val="clear" w:color="auto" w:fill="auto"/>
            <w:vAlign w:val="bottom"/>
          </w:tcPr>
          <w:p w:rsidR="00406E90" w:rsidRPr="00700F6C" w:rsidRDefault="00406E90" w:rsidP="00406E90">
            <w:pPr>
              <w:jc w:val="right"/>
            </w:pPr>
            <w:r w:rsidRPr="00700F6C">
              <w:t>2.565</w:t>
            </w:r>
          </w:p>
        </w:tc>
      </w:tr>
      <w:tr w:rsidR="00406E90" w:rsidRPr="00700F6C" w:rsidTr="00910005">
        <w:tc>
          <w:tcPr>
            <w:tcW w:w="900" w:type="dxa"/>
            <w:vMerge w:val="restart"/>
            <w:vAlign w:val="center"/>
          </w:tcPr>
          <w:p w:rsidR="00406E90" w:rsidRPr="00700F6C" w:rsidRDefault="00406E90" w:rsidP="00406E90">
            <w:pPr>
              <w:jc w:val="center"/>
            </w:pPr>
            <w:r w:rsidRPr="00700F6C">
              <w:t>C</w:t>
            </w:r>
          </w:p>
        </w:tc>
        <w:tc>
          <w:tcPr>
            <w:tcW w:w="4567" w:type="dxa"/>
          </w:tcPr>
          <w:p w:rsidR="00406E90" w:rsidRPr="00700F6C" w:rsidRDefault="00406E90" w:rsidP="00406E90">
            <w:r w:rsidRPr="00700F6C">
              <w:t>GSLDT-1, CST-1, SST-1D(2), HLFT-2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1.00181</w:t>
            </w:r>
          </w:p>
        </w:tc>
        <w:tc>
          <w:tcPr>
            <w:tcW w:w="1440" w:type="dxa"/>
            <w:shd w:val="clear" w:color="auto" w:fill="auto"/>
            <w:vAlign w:val="bottom"/>
          </w:tcPr>
          <w:p w:rsidR="00406E90" w:rsidRPr="00700F6C" w:rsidRDefault="00406E90" w:rsidP="00406E90">
            <w:pPr>
              <w:jc w:val="right"/>
            </w:pPr>
            <w:r w:rsidRPr="00700F6C">
              <w:t>3.071</w:t>
            </w:r>
          </w:p>
        </w:tc>
      </w:tr>
      <w:tr w:rsidR="00406E90" w:rsidRPr="00700F6C" w:rsidTr="00910005">
        <w:tc>
          <w:tcPr>
            <w:tcW w:w="900" w:type="dxa"/>
            <w:vMerge/>
            <w:vAlign w:val="center"/>
          </w:tcPr>
          <w:p w:rsidR="00406E90" w:rsidRPr="00700F6C" w:rsidRDefault="00406E90" w:rsidP="00406E90">
            <w:pPr>
              <w:jc w:val="center"/>
            </w:pPr>
          </w:p>
        </w:tc>
        <w:tc>
          <w:tcPr>
            <w:tcW w:w="4567" w:type="dxa"/>
          </w:tcPr>
          <w:p w:rsidR="00406E90" w:rsidRPr="00700F6C" w:rsidRDefault="00406E90" w:rsidP="00406E90">
            <w:r w:rsidRPr="00700F6C">
              <w:t>GSLDT-1, CST-1, SST-1D(2), HLFT-2 Off-Peak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1.00181</w:t>
            </w:r>
          </w:p>
        </w:tc>
        <w:tc>
          <w:tcPr>
            <w:tcW w:w="1440" w:type="dxa"/>
            <w:shd w:val="clear" w:color="auto" w:fill="auto"/>
            <w:vAlign w:val="bottom"/>
          </w:tcPr>
          <w:p w:rsidR="00406E90" w:rsidRPr="00700F6C" w:rsidRDefault="00406E90" w:rsidP="00406E90">
            <w:pPr>
              <w:jc w:val="right"/>
            </w:pPr>
            <w:r w:rsidRPr="00700F6C">
              <w:t>2.562</w:t>
            </w:r>
          </w:p>
        </w:tc>
      </w:tr>
      <w:tr w:rsidR="00406E90" w:rsidRPr="00700F6C" w:rsidTr="00910005">
        <w:tc>
          <w:tcPr>
            <w:tcW w:w="900" w:type="dxa"/>
            <w:vMerge w:val="restart"/>
            <w:vAlign w:val="center"/>
          </w:tcPr>
          <w:p w:rsidR="00406E90" w:rsidRPr="00700F6C" w:rsidRDefault="00406E90" w:rsidP="00406E90">
            <w:pPr>
              <w:jc w:val="center"/>
            </w:pPr>
            <w:r w:rsidRPr="00700F6C">
              <w:t>D</w:t>
            </w:r>
          </w:p>
        </w:tc>
        <w:tc>
          <w:tcPr>
            <w:tcW w:w="4567" w:type="dxa"/>
          </w:tcPr>
          <w:p w:rsidR="00406E90" w:rsidRPr="00700F6C" w:rsidRDefault="00406E90" w:rsidP="00406E90">
            <w:r w:rsidRPr="00700F6C">
              <w:t>GSLDT-2, CST-2, SST-1D(3), HLFT-3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0.99439</w:t>
            </w:r>
          </w:p>
        </w:tc>
        <w:tc>
          <w:tcPr>
            <w:tcW w:w="1440" w:type="dxa"/>
            <w:shd w:val="clear" w:color="auto" w:fill="auto"/>
            <w:vAlign w:val="bottom"/>
          </w:tcPr>
          <w:p w:rsidR="00406E90" w:rsidRPr="00700F6C" w:rsidRDefault="00406E90" w:rsidP="00406E90">
            <w:pPr>
              <w:jc w:val="right"/>
            </w:pPr>
            <w:r w:rsidRPr="00700F6C">
              <w:t>3.048</w:t>
            </w:r>
          </w:p>
        </w:tc>
      </w:tr>
      <w:tr w:rsidR="00406E90" w:rsidRPr="00700F6C" w:rsidTr="00910005">
        <w:tc>
          <w:tcPr>
            <w:tcW w:w="900" w:type="dxa"/>
            <w:vMerge/>
            <w:vAlign w:val="center"/>
          </w:tcPr>
          <w:p w:rsidR="00406E90" w:rsidRPr="00700F6C" w:rsidRDefault="00406E90" w:rsidP="00406E90">
            <w:pPr>
              <w:jc w:val="center"/>
            </w:pPr>
          </w:p>
        </w:tc>
        <w:tc>
          <w:tcPr>
            <w:tcW w:w="4567" w:type="dxa"/>
          </w:tcPr>
          <w:p w:rsidR="00406E90" w:rsidRPr="00700F6C" w:rsidRDefault="00406E90" w:rsidP="00406E90">
            <w:r w:rsidRPr="00700F6C">
              <w:t>GSLDT-2, CST-2, SST-1D(3), HLFT-3 Off-Peak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0.99439</w:t>
            </w:r>
          </w:p>
        </w:tc>
        <w:tc>
          <w:tcPr>
            <w:tcW w:w="1440" w:type="dxa"/>
            <w:shd w:val="clear" w:color="auto" w:fill="auto"/>
            <w:vAlign w:val="bottom"/>
          </w:tcPr>
          <w:p w:rsidR="00406E90" w:rsidRPr="00700F6C" w:rsidRDefault="00406E90" w:rsidP="00406E90">
            <w:pPr>
              <w:jc w:val="right"/>
            </w:pPr>
            <w:r w:rsidRPr="00700F6C">
              <w:t>2.543</w:t>
            </w:r>
          </w:p>
        </w:tc>
      </w:tr>
      <w:tr w:rsidR="00406E90" w:rsidRPr="00700F6C" w:rsidTr="00910005">
        <w:tc>
          <w:tcPr>
            <w:tcW w:w="900" w:type="dxa"/>
            <w:vMerge w:val="restart"/>
            <w:vAlign w:val="center"/>
          </w:tcPr>
          <w:p w:rsidR="00406E90" w:rsidRPr="00700F6C" w:rsidRDefault="00406E90" w:rsidP="00406E90">
            <w:pPr>
              <w:jc w:val="center"/>
            </w:pPr>
            <w:r w:rsidRPr="00700F6C">
              <w:t>E</w:t>
            </w:r>
          </w:p>
        </w:tc>
        <w:tc>
          <w:tcPr>
            <w:tcW w:w="4567" w:type="dxa"/>
          </w:tcPr>
          <w:p w:rsidR="00406E90" w:rsidRPr="00700F6C" w:rsidRDefault="00406E90" w:rsidP="00406E90">
            <w:r w:rsidRPr="00700F6C">
              <w:t>GSLDT-3, CST-3, CILC-1(T), SST-1(T), ISST-1(T)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0.97310</w:t>
            </w:r>
          </w:p>
        </w:tc>
        <w:tc>
          <w:tcPr>
            <w:tcW w:w="1440" w:type="dxa"/>
            <w:shd w:val="clear" w:color="auto" w:fill="auto"/>
            <w:vAlign w:val="bottom"/>
          </w:tcPr>
          <w:p w:rsidR="00406E90" w:rsidRPr="00700F6C" w:rsidRDefault="00406E90" w:rsidP="00406E90">
            <w:pPr>
              <w:jc w:val="right"/>
            </w:pPr>
            <w:r w:rsidRPr="00700F6C">
              <w:t>2.983</w:t>
            </w:r>
          </w:p>
        </w:tc>
      </w:tr>
      <w:tr w:rsidR="00406E90" w:rsidRPr="00700F6C" w:rsidTr="00910005">
        <w:tc>
          <w:tcPr>
            <w:tcW w:w="900" w:type="dxa"/>
            <w:vMerge/>
            <w:vAlign w:val="center"/>
          </w:tcPr>
          <w:p w:rsidR="00406E90" w:rsidRPr="00700F6C" w:rsidRDefault="00406E90" w:rsidP="00406E90">
            <w:pPr>
              <w:jc w:val="center"/>
            </w:pPr>
          </w:p>
        </w:tc>
        <w:tc>
          <w:tcPr>
            <w:tcW w:w="4567" w:type="dxa"/>
          </w:tcPr>
          <w:p w:rsidR="00406E90" w:rsidRPr="00700F6C" w:rsidRDefault="00406E90" w:rsidP="00406E90">
            <w:r w:rsidRPr="00700F6C">
              <w:t>GSLDT-3, CST-3, CILC-1(T), SST-1(T) ISST-1(T) Off-Peak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0.97310</w:t>
            </w:r>
          </w:p>
        </w:tc>
        <w:tc>
          <w:tcPr>
            <w:tcW w:w="1440" w:type="dxa"/>
            <w:shd w:val="clear" w:color="auto" w:fill="auto"/>
            <w:vAlign w:val="bottom"/>
          </w:tcPr>
          <w:p w:rsidR="00406E90" w:rsidRPr="00700F6C" w:rsidRDefault="00406E90" w:rsidP="00406E90">
            <w:pPr>
              <w:jc w:val="right"/>
            </w:pPr>
            <w:r w:rsidRPr="00700F6C">
              <w:t>2.489</w:t>
            </w:r>
          </w:p>
        </w:tc>
      </w:tr>
      <w:tr w:rsidR="00406E90" w:rsidRPr="00700F6C" w:rsidTr="00910005">
        <w:tc>
          <w:tcPr>
            <w:tcW w:w="900" w:type="dxa"/>
            <w:vMerge w:val="restart"/>
            <w:vAlign w:val="center"/>
          </w:tcPr>
          <w:p w:rsidR="00406E90" w:rsidRPr="00700F6C" w:rsidRDefault="00406E90" w:rsidP="00406E90">
            <w:pPr>
              <w:jc w:val="center"/>
            </w:pPr>
            <w:r w:rsidRPr="00700F6C">
              <w:t>F</w:t>
            </w:r>
          </w:p>
        </w:tc>
        <w:tc>
          <w:tcPr>
            <w:tcW w:w="4567" w:type="dxa"/>
          </w:tcPr>
          <w:p w:rsidR="00406E90" w:rsidRPr="00700F6C" w:rsidRDefault="00406E90" w:rsidP="00406E90">
            <w:r w:rsidRPr="00700F6C">
              <w:t>CILC-1(D), ISST-1(D) On-Peak</w:t>
            </w:r>
          </w:p>
        </w:tc>
        <w:tc>
          <w:tcPr>
            <w:tcW w:w="1440" w:type="dxa"/>
            <w:shd w:val="clear" w:color="auto" w:fill="auto"/>
            <w:vAlign w:val="bottom"/>
          </w:tcPr>
          <w:p w:rsidR="00406E90" w:rsidRPr="00700F6C" w:rsidRDefault="00406E90" w:rsidP="00406E90">
            <w:pPr>
              <w:jc w:val="right"/>
            </w:pPr>
            <w:r w:rsidRPr="00700F6C">
              <w:t>3.065</w:t>
            </w:r>
          </w:p>
        </w:tc>
        <w:tc>
          <w:tcPr>
            <w:tcW w:w="1193" w:type="dxa"/>
            <w:shd w:val="clear" w:color="auto" w:fill="auto"/>
            <w:vAlign w:val="bottom"/>
          </w:tcPr>
          <w:p w:rsidR="00406E90" w:rsidRPr="00700F6C" w:rsidRDefault="00406E90" w:rsidP="00406E90">
            <w:pPr>
              <w:jc w:val="right"/>
            </w:pPr>
            <w:r w:rsidRPr="00700F6C">
              <w:t>0.99459</w:t>
            </w:r>
          </w:p>
        </w:tc>
        <w:tc>
          <w:tcPr>
            <w:tcW w:w="1440" w:type="dxa"/>
            <w:shd w:val="clear" w:color="auto" w:fill="auto"/>
            <w:vAlign w:val="bottom"/>
          </w:tcPr>
          <w:p w:rsidR="00406E90" w:rsidRPr="00700F6C" w:rsidRDefault="00406E90" w:rsidP="00406E90">
            <w:pPr>
              <w:jc w:val="right"/>
            </w:pPr>
            <w:r w:rsidRPr="00700F6C">
              <w:t>3.049</w:t>
            </w:r>
          </w:p>
        </w:tc>
      </w:tr>
      <w:tr w:rsidR="00406E90" w:rsidRPr="00700F6C" w:rsidTr="00910005">
        <w:tc>
          <w:tcPr>
            <w:tcW w:w="900" w:type="dxa"/>
            <w:vMerge/>
          </w:tcPr>
          <w:p w:rsidR="00406E90" w:rsidRPr="00700F6C" w:rsidRDefault="00406E90" w:rsidP="00406E90">
            <w:pPr>
              <w:jc w:val="center"/>
            </w:pPr>
          </w:p>
        </w:tc>
        <w:tc>
          <w:tcPr>
            <w:tcW w:w="4567" w:type="dxa"/>
          </w:tcPr>
          <w:p w:rsidR="00406E90" w:rsidRPr="00700F6C" w:rsidRDefault="00406E90" w:rsidP="00406E90">
            <w:r w:rsidRPr="00700F6C">
              <w:t>CILC-1(D), ISST-1(D) Off-Peak</w:t>
            </w:r>
          </w:p>
        </w:tc>
        <w:tc>
          <w:tcPr>
            <w:tcW w:w="1440" w:type="dxa"/>
            <w:shd w:val="clear" w:color="auto" w:fill="auto"/>
            <w:vAlign w:val="bottom"/>
          </w:tcPr>
          <w:p w:rsidR="00406E90" w:rsidRPr="00700F6C" w:rsidRDefault="00406E90" w:rsidP="00406E90">
            <w:pPr>
              <w:jc w:val="right"/>
            </w:pPr>
            <w:r w:rsidRPr="00700F6C">
              <w:t>2.558</w:t>
            </w:r>
          </w:p>
        </w:tc>
        <w:tc>
          <w:tcPr>
            <w:tcW w:w="1193" w:type="dxa"/>
            <w:shd w:val="clear" w:color="auto" w:fill="auto"/>
            <w:vAlign w:val="bottom"/>
          </w:tcPr>
          <w:p w:rsidR="00406E90" w:rsidRPr="00700F6C" w:rsidRDefault="00406E90" w:rsidP="00406E90">
            <w:pPr>
              <w:jc w:val="right"/>
            </w:pPr>
            <w:r w:rsidRPr="00700F6C">
              <w:t>0.99459</w:t>
            </w:r>
          </w:p>
        </w:tc>
        <w:tc>
          <w:tcPr>
            <w:tcW w:w="1440" w:type="dxa"/>
            <w:shd w:val="clear" w:color="auto" w:fill="auto"/>
            <w:vAlign w:val="bottom"/>
          </w:tcPr>
          <w:p w:rsidR="00406E90" w:rsidRPr="00700F6C" w:rsidRDefault="00406E90" w:rsidP="00406E90">
            <w:pPr>
              <w:jc w:val="right"/>
            </w:pPr>
            <w:r w:rsidRPr="00700F6C">
              <w:t>2.544</w:t>
            </w:r>
          </w:p>
        </w:tc>
      </w:tr>
    </w:tbl>
    <w:p w:rsidR="00406E90" w:rsidRPr="00700F6C" w:rsidRDefault="00406E90" w:rsidP="00406E90">
      <w:pPr>
        <w:rPr>
          <w:sz w:val="22"/>
          <w:szCs w:val="22"/>
        </w:rPr>
      </w:pPr>
      <w:r w:rsidRPr="00700F6C">
        <w:rPr>
          <w:sz w:val="22"/>
          <w:szCs w:val="22"/>
        </w:rPr>
        <w:t xml:space="preserve">   Source: Schedule E1-E, (Exhibit AM-6, 2024 FCR Projections, Page 4 of 8)</w:t>
      </w:r>
      <w:r>
        <w:rPr>
          <w:sz w:val="22"/>
          <w:szCs w:val="22"/>
        </w:rPr>
        <w:t>.</w:t>
      </w:r>
    </w:p>
    <w:p w:rsidR="00406E90" w:rsidRPr="00700F6C" w:rsidRDefault="00406E90" w:rsidP="00406E90">
      <w:pPr>
        <w:rPr>
          <w:sz w:val="22"/>
          <w:szCs w:val="22"/>
        </w:rPr>
      </w:pPr>
    </w:p>
    <w:tbl>
      <w:tblPr>
        <w:tblStyle w:val="TableGrid"/>
        <w:tblW w:w="9468" w:type="dxa"/>
        <w:tblInd w:w="108" w:type="dxa"/>
        <w:tblLayout w:type="fixed"/>
        <w:tblLook w:val="04A0" w:firstRow="1" w:lastRow="0" w:firstColumn="1" w:lastColumn="0" w:noHBand="0" w:noVBand="1"/>
      </w:tblPr>
      <w:tblGrid>
        <w:gridCol w:w="900"/>
        <w:gridCol w:w="4320"/>
        <w:gridCol w:w="1440"/>
        <w:gridCol w:w="1260"/>
        <w:gridCol w:w="1548"/>
      </w:tblGrid>
      <w:tr w:rsidR="00406E90" w:rsidRPr="00700F6C" w:rsidTr="00406E90">
        <w:trPr>
          <w:tblHeader/>
        </w:trPr>
        <w:tc>
          <w:tcPr>
            <w:tcW w:w="9468" w:type="dxa"/>
            <w:gridSpan w:val="5"/>
            <w:tcBorders>
              <w:top w:val="nil"/>
              <w:left w:val="nil"/>
              <w:bottom w:val="nil"/>
              <w:right w:val="nil"/>
            </w:tcBorders>
          </w:tcPr>
          <w:p w:rsidR="00406E90" w:rsidRPr="00700F6C" w:rsidRDefault="00406E90" w:rsidP="00406E90">
            <w:pPr>
              <w:jc w:val="center"/>
            </w:pPr>
            <w:r w:rsidRPr="00700F6C">
              <w:rPr>
                <w:rFonts w:ascii="Arial" w:hAnsi="Arial" w:cs="Arial"/>
                <w:b/>
              </w:rPr>
              <w:t>Table 20-5</w:t>
            </w:r>
          </w:p>
        </w:tc>
      </w:tr>
      <w:tr w:rsidR="00406E90" w:rsidRPr="00700F6C" w:rsidTr="00406E90">
        <w:trPr>
          <w:tblHeader/>
        </w:trPr>
        <w:tc>
          <w:tcPr>
            <w:tcW w:w="9468" w:type="dxa"/>
            <w:gridSpan w:val="5"/>
            <w:tcBorders>
              <w:top w:val="nil"/>
              <w:left w:val="nil"/>
              <w:right w:val="nil"/>
            </w:tcBorders>
          </w:tcPr>
          <w:p w:rsidR="00406E90" w:rsidRPr="00700F6C" w:rsidRDefault="00406E90" w:rsidP="00406E90">
            <w:pPr>
              <w:jc w:val="center"/>
            </w:pPr>
            <w:r w:rsidRPr="00700F6C">
              <w:rPr>
                <w:rFonts w:ascii="Arial" w:hAnsi="Arial" w:cs="Arial"/>
                <w:b/>
              </w:rPr>
              <w:t>FPL Fuel Cost Recovery Factors for the period February-December, 2025</w:t>
            </w:r>
          </w:p>
        </w:tc>
      </w:tr>
      <w:tr w:rsidR="00406E90" w:rsidRPr="00700F6C" w:rsidTr="00406E90">
        <w:trPr>
          <w:tblHeader/>
        </w:trPr>
        <w:tc>
          <w:tcPr>
            <w:tcW w:w="9468" w:type="dxa"/>
            <w:gridSpan w:val="5"/>
          </w:tcPr>
          <w:p w:rsidR="00406E90" w:rsidRPr="00700F6C" w:rsidRDefault="00406E90" w:rsidP="00406E90">
            <w:pPr>
              <w:jc w:val="center"/>
            </w:pPr>
            <w:r w:rsidRPr="00700F6C">
              <w:t>Seasonal Demand Time of Use Rider (SDTR) Fuel Recovery Factors</w:t>
            </w:r>
          </w:p>
        </w:tc>
      </w:tr>
      <w:tr w:rsidR="00406E90" w:rsidRPr="00700F6C" w:rsidTr="00406E90">
        <w:trPr>
          <w:tblHeader/>
        </w:trPr>
        <w:tc>
          <w:tcPr>
            <w:tcW w:w="900" w:type="dxa"/>
            <w:vAlign w:val="center"/>
          </w:tcPr>
          <w:p w:rsidR="00406E90" w:rsidRPr="00700F6C" w:rsidRDefault="00406E90" w:rsidP="00406E90">
            <w:pPr>
              <w:jc w:val="center"/>
            </w:pPr>
            <w:r w:rsidRPr="00700F6C">
              <w:t>Group</w:t>
            </w:r>
          </w:p>
        </w:tc>
        <w:tc>
          <w:tcPr>
            <w:tcW w:w="4320" w:type="dxa"/>
            <w:vAlign w:val="center"/>
          </w:tcPr>
          <w:p w:rsidR="00406E90" w:rsidRPr="00700F6C" w:rsidRDefault="00406E90" w:rsidP="00406E90">
            <w:pPr>
              <w:jc w:val="center"/>
            </w:pPr>
            <w:r w:rsidRPr="00700F6C">
              <w:t>Rate Schedule</w:t>
            </w:r>
          </w:p>
        </w:tc>
        <w:tc>
          <w:tcPr>
            <w:tcW w:w="1440" w:type="dxa"/>
            <w:vAlign w:val="center"/>
          </w:tcPr>
          <w:p w:rsidR="00406E90" w:rsidRPr="00700F6C" w:rsidRDefault="00406E90" w:rsidP="00406E90">
            <w:pPr>
              <w:jc w:val="center"/>
            </w:pPr>
            <w:r w:rsidRPr="00700F6C">
              <w:t>Average Factor</w:t>
            </w:r>
          </w:p>
          <w:p w:rsidR="00406E90" w:rsidRPr="00700F6C" w:rsidRDefault="00406E90" w:rsidP="00406E90">
            <w:pPr>
              <w:jc w:val="center"/>
            </w:pPr>
            <w:r w:rsidRPr="00700F6C">
              <w:t>(cents/kWh)</w:t>
            </w:r>
          </w:p>
        </w:tc>
        <w:tc>
          <w:tcPr>
            <w:tcW w:w="1260" w:type="dxa"/>
            <w:vAlign w:val="center"/>
          </w:tcPr>
          <w:p w:rsidR="00406E90" w:rsidRPr="00700F6C" w:rsidRDefault="00406E90" w:rsidP="00406E90">
            <w:pPr>
              <w:jc w:val="center"/>
            </w:pPr>
            <w:r w:rsidRPr="00700F6C">
              <w:t>Fuel Recovery Loss Multiplier</w:t>
            </w:r>
          </w:p>
        </w:tc>
        <w:tc>
          <w:tcPr>
            <w:tcW w:w="1548" w:type="dxa"/>
            <w:vAlign w:val="center"/>
          </w:tcPr>
          <w:p w:rsidR="00406E90" w:rsidRPr="00700F6C" w:rsidRDefault="00406E90" w:rsidP="00406E90">
            <w:pPr>
              <w:jc w:val="center"/>
            </w:pPr>
            <w:r w:rsidRPr="00700F6C">
              <w:t>Fuel Recovery Factor</w:t>
            </w:r>
          </w:p>
          <w:p w:rsidR="00406E90" w:rsidRPr="00700F6C" w:rsidRDefault="00406E90" w:rsidP="00406E90">
            <w:pPr>
              <w:jc w:val="center"/>
            </w:pPr>
            <w:r w:rsidRPr="00700F6C">
              <w:t>(cents/kWh)</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B</w:t>
            </w:r>
          </w:p>
        </w:tc>
        <w:tc>
          <w:tcPr>
            <w:tcW w:w="4320" w:type="dxa"/>
            <w:shd w:val="clear" w:color="auto" w:fill="auto"/>
          </w:tcPr>
          <w:p w:rsidR="00406E90" w:rsidRPr="00700F6C" w:rsidRDefault="00406E90" w:rsidP="00406E90">
            <w:r w:rsidRPr="00700F6C">
              <w:t>GSD(T)-1 On-Peak</w:t>
            </w:r>
          </w:p>
        </w:tc>
        <w:tc>
          <w:tcPr>
            <w:tcW w:w="1440" w:type="dxa"/>
            <w:shd w:val="clear" w:color="auto" w:fill="auto"/>
            <w:vAlign w:val="bottom"/>
          </w:tcPr>
          <w:p w:rsidR="00406E90" w:rsidRPr="00700F6C" w:rsidRDefault="00406E90" w:rsidP="00406E90">
            <w:pPr>
              <w:jc w:val="right"/>
            </w:pPr>
            <w:r w:rsidRPr="00700F6C">
              <w:t>3.092</w:t>
            </w:r>
          </w:p>
        </w:tc>
        <w:tc>
          <w:tcPr>
            <w:tcW w:w="1260" w:type="dxa"/>
            <w:shd w:val="clear" w:color="auto" w:fill="auto"/>
            <w:vAlign w:val="bottom"/>
          </w:tcPr>
          <w:p w:rsidR="00406E90" w:rsidRPr="00700F6C" w:rsidRDefault="00406E90" w:rsidP="00406E90">
            <w:pPr>
              <w:jc w:val="right"/>
            </w:pPr>
            <w:r w:rsidRPr="00700F6C">
              <w:t>1.00290</w:t>
            </w:r>
          </w:p>
        </w:tc>
        <w:tc>
          <w:tcPr>
            <w:tcW w:w="1548" w:type="dxa"/>
            <w:shd w:val="clear" w:color="auto" w:fill="auto"/>
            <w:vAlign w:val="bottom"/>
          </w:tcPr>
          <w:p w:rsidR="00406E90" w:rsidRPr="00700F6C" w:rsidRDefault="00406E90" w:rsidP="00406E90">
            <w:pPr>
              <w:jc w:val="right"/>
            </w:pPr>
            <w:r w:rsidRPr="00700F6C">
              <w:t>3.101</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GSD(T)-1 Off-Peak</w:t>
            </w:r>
          </w:p>
        </w:tc>
        <w:tc>
          <w:tcPr>
            <w:tcW w:w="1440" w:type="dxa"/>
            <w:shd w:val="clear" w:color="auto" w:fill="auto"/>
            <w:vAlign w:val="bottom"/>
          </w:tcPr>
          <w:p w:rsidR="00406E90" w:rsidRPr="00700F6C" w:rsidRDefault="00406E90" w:rsidP="00406E90">
            <w:pPr>
              <w:jc w:val="right"/>
            </w:pPr>
            <w:r w:rsidRPr="00700F6C">
              <w:t>2.661</w:t>
            </w:r>
          </w:p>
        </w:tc>
        <w:tc>
          <w:tcPr>
            <w:tcW w:w="1260" w:type="dxa"/>
            <w:shd w:val="clear" w:color="auto" w:fill="auto"/>
            <w:vAlign w:val="bottom"/>
          </w:tcPr>
          <w:p w:rsidR="00406E90" w:rsidRPr="00700F6C" w:rsidRDefault="00406E90" w:rsidP="00406E90">
            <w:pPr>
              <w:jc w:val="right"/>
            </w:pPr>
            <w:r w:rsidRPr="00700F6C">
              <w:t>1.00290</w:t>
            </w:r>
          </w:p>
        </w:tc>
        <w:tc>
          <w:tcPr>
            <w:tcW w:w="1548" w:type="dxa"/>
            <w:shd w:val="clear" w:color="auto" w:fill="auto"/>
            <w:vAlign w:val="bottom"/>
          </w:tcPr>
          <w:p w:rsidR="00406E90" w:rsidRPr="00700F6C" w:rsidRDefault="00406E90" w:rsidP="00406E90">
            <w:pPr>
              <w:jc w:val="right"/>
            </w:pPr>
            <w:r w:rsidRPr="00700F6C">
              <w:t>2.669</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C</w:t>
            </w:r>
          </w:p>
        </w:tc>
        <w:tc>
          <w:tcPr>
            <w:tcW w:w="4320" w:type="dxa"/>
            <w:shd w:val="clear" w:color="auto" w:fill="auto"/>
          </w:tcPr>
          <w:p w:rsidR="00406E90" w:rsidRPr="00700F6C" w:rsidRDefault="00406E90" w:rsidP="00406E90">
            <w:r w:rsidRPr="00700F6C">
              <w:t>GSLD(T)-1 On-Peak</w:t>
            </w:r>
          </w:p>
        </w:tc>
        <w:tc>
          <w:tcPr>
            <w:tcW w:w="1440" w:type="dxa"/>
            <w:shd w:val="clear" w:color="auto" w:fill="auto"/>
            <w:vAlign w:val="bottom"/>
          </w:tcPr>
          <w:p w:rsidR="00406E90" w:rsidRPr="00700F6C" w:rsidRDefault="00406E90" w:rsidP="00406E90">
            <w:pPr>
              <w:jc w:val="right"/>
            </w:pPr>
            <w:r w:rsidRPr="00700F6C">
              <w:t>3.092</w:t>
            </w:r>
          </w:p>
        </w:tc>
        <w:tc>
          <w:tcPr>
            <w:tcW w:w="1260" w:type="dxa"/>
            <w:shd w:val="clear" w:color="auto" w:fill="auto"/>
            <w:vAlign w:val="bottom"/>
          </w:tcPr>
          <w:p w:rsidR="00406E90" w:rsidRPr="00700F6C" w:rsidRDefault="00406E90" w:rsidP="00406E90">
            <w:pPr>
              <w:jc w:val="right"/>
            </w:pPr>
            <w:r w:rsidRPr="00700F6C">
              <w:t>1.00181</w:t>
            </w:r>
          </w:p>
        </w:tc>
        <w:tc>
          <w:tcPr>
            <w:tcW w:w="1548" w:type="dxa"/>
            <w:shd w:val="clear" w:color="auto" w:fill="auto"/>
            <w:vAlign w:val="bottom"/>
          </w:tcPr>
          <w:p w:rsidR="00406E90" w:rsidRPr="00700F6C" w:rsidRDefault="00406E90" w:rsidP="00406E90">
            <w:pPr>
              <w:jc w:val="right"/>
            </w:pPr>
            <w:r w:rsidRPr="00700F6C">
              <w:t>3.097</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GSLD(T)-1 Off-Peak</w:t>
            </w:r>
          </w:p>
        </w:tc>
        <w:tc>
          <w:tcPr>
            <w:tcW w:w="1440" w:type="dxa"/>
            <w:shd w:val="clear" w:color="auto" w:fill="auto"/>
            <w:vAlign w:val="bottom"/>
          </w:tcPr>
          <w:p w:rsidR="00406E90" w:rsidRPr="00700F6C" w:rsidRDefault="00406E90" w:rsidP="00406E90">
            <w:pPr>
              <w:jc w:val="right"/>
            </w:pPr>
            <w:r w:rsidRPr="00700F6C">
              <w:t>2.661</w:t>
            </w:r>
          </w:p>
        </w:tc>
        <w:tc>
          <w:tcPr>
            <w:tcW w:w="1260" w:type="dxa"/>
            <w:shd w:val="clear" w:color="auto" w:fill="auto"/>
            <w:vAlign w:val="bottom"/>
          </w:tcPr>
          <w:p w:rsidR="00406E90" w:rsidRPr="00700F6C" w:rsidRDefault="00406E90" w:rsidP="00406E90">
            <w:pPr>
              <w:jc w:val="right"/>
            </w:pPr>
            <w:r w:rsidRPr="00700F6C">
              <w:t>1.00181</w:t>
            </w:r>
          </w:p>
        </w:tc>
        <w:tc>
          <w:tcPr>
            <w:tcW w:w="1548" w:type="dxa"/>
            <w:shd w:val="clear" w:color="auto" w:fill="auto"/>
            <w:vAlign w:val="bottom"/>
          </w:tcPr>
          <w:p w:rsidR="00406E90" w:rsidRPr="00700F6C" w:rsidRDefault="00406E90" w:rsidP="00406E90">
            <w:pPr>
              <w:jc w:val="right"/>
            </w:pPr>
            <w:r w:rsidRPr="00700F6C">
              <w:t>2.666</w:t>
            </w:r>
          </w:p>
        </w:tc>
      </w:tr>
      <w:tr w:rsidR="00406E90" w:rsidRPr="00700F6C" w:rsidTr="00406E90">
        <w:tc>
          <w:tcPr>
            <w:tcW w:w="900" w:type="dxa"/>
            <w:vMerge w:val="restart"/>
            <w:shd w:val="clear" w:color="auto" w:fill="auto"/>
            <w:vAlign w:val="center"/>
          </w:tcPr>
          <w:p w:rsidR="00406E90" w:rsidRPr="00700F6C" w:rsidRDefault="00406E90" w:rsidP="00406E90">
            <w:pPr>
              <w:jc w:val="center"/>
            </w:pPr>
            <w:r w:rsidRPr="00700F6C">
              <w:t>D</w:t>
            </w:r>
          </w:p>
        </w:tc>
        <w:tc>
          <w:tcPr>
            <w:tcW w:w="4320" w:type="dxa"/>
            <w:shd w:val="clear" w:color="auto" w:fill="auto"/>
          </w:tcPr>
          <w:p w:rsidR="00406E90" w:rsidRPr="00700F6C" w:rsidRDefault="00406E90" w:rsidP="00406E90">
            <w:r w:rsidRPr="00700F6C">
              <w:t>GSLD(T)-2 On-Peak</w:t>
            </w:r>
          </w:p>
        </w:tc>
        <w:tc>
          <w:tcPr>
            <w:tcW w:w="1440" w:type="dxa"/>
            <w:shd w:val="clear" w:color="auto" w:fill="auto"/>
            <w:vAlign w:val="bottom"/>
          </w:tcPr>
          <w:p w:rsidR="00406E90" w:rsidRPr="00700F6C" w:rsidRDefault="00406E90" w:rsidP="00406E90">
            <w:pPr>
              <w:jc w:val="right"/>
            </w:pPr>
            <w:r w:rsidRPr="00700F6C">
              <w:t>3.092</w:t>
            </w:r>
          </w:p>
        </w:tc>
        <w:tc>
          <w:tcPr>
            <w:tcW w:w="1260" w:type="dxa"/>
            <w:shd w:val="clear" w:color="auto" w:fill="auto"/>
            <w:vAlign w:val="bottom"/>
          </w:tcPr>
          <w:p w:rsidR="00406E90" w:rsidRPr="00700F6C" w:rsidRDefault="00406E90" w:rsidP="00406E90">
            <w:pPr>
              <w:jc w:val="right"/>
            </w:pPr>
            <w:r w:rsidRPr="00700F6C">
              <w:t>0.99439</w:t>
            </w:r>
          </w:p>
        </w:tc>
        <w:tc>
          <w:tcPr>
            <w:tcW w:w="1548" w:type="dxa"/>
            <w:shd w:val="clear" w:color="auto" w:fill="auto"/>
            <w:vAlign w:val="bottom"/>
          </w:tcPr>
          <w:p w:rsidR="00406E90" w:rsidRPr="00700F6C" w:rsidRDefault="00406E90" w:rsidP="00406E90">
            <w:pPr>
              <w:jc w:val="right"/>
            </w:pPr>
            <w:r w:rsidRPr="00700F6C">
              <w:t>3.074</w:t>
            </w:r>
          </w:p>
        </w:tc>
      </w:tr>
      <w:tr w:rsidR="00406E90" w:rsidRPr="00700F6C" w:rsidTr="00406E90">
        <w:tc>
          <w:tcPr>
            <w:tcW w:w="900" w:type="dxa"/>
            <w:vMerge/>
            <w:shd w:val="clear" w:color="auto" w:fill="auto"/>
          </w:tcPr>
          <w:p w:rsidR="00406E90" w:rsidRPr="00700F6C" w:rsidRDefault="00406E90" w:rsidP="00406E90">
            <w:pPr>
              <w:jc w:val="center"/>
            </w:pPr>
          </w:p>
        </w:tc>
        <w:tc>
          <w:tcPr>
            <w:tcW w:w="4320" w:type="dxa"/>
            <w:shd w:val="clear" w:color="auto" w:fill="auto"/>
          </w:tcPr>
          <w:p w:rsidR="00406E90" w:rsidRPr="00700F6C" w:rsidRDefault="00406E90" w:rsidP="00406E90">
            <w:r w:rsidRPr="00700F6C">
              <w:t>GSLD(T)-2 Off-Peak</w:t>
            </w:r>
          </w:p>
        </w:tc>
        <w:tc>
          <w:tcPr>
            <w:tcW w:w="1440" w:type="dxa"/>
            <w:shd w:val="clear" w:color="auto" w:fill="auto"/>
            <w:vAlign w:val="bottom"/>
          </w:tcPr>
          <w:p w:rsidR="00406E90" w:rsidRPr="00700F6C" w:rsidRDefault="00406E90" w:rsidP="00406E90">
            <w:pPr>
              <w:jc w:val="right"/>
            </w:pPr>
            <w:r w:rsidRPr="00700F6C">
              <w:t>2.661</w:t>
            </w:r>
          </w:p>
        </w:tc>
        <w:tc>
          <w:tcPr>
            <w:tcW w:w="1260" w:type="dxa"/>
            <w:shd w:val="clear" w:color="auto" w:fill="auto"/>
            <w:vAlign w:val="bottom"/>
          </w:tcPr>
          <w:p w:rsidR="00406E90" w:rsidRPr="00700F6C" w:rsidRDefault="00406E90" w:rsidP="00406E90">
            <w:pPr>
              <w:jc w:val="right"/>
            </w:pPr>
            <w:r w:rsidRPr="00700F6C">
              <w:t>0.99439</w:t>
            </w:r>
          </w:p>
        </w:tc>
        <w:tc>
          <w:tcPr>
            <w:tcW w:w="1548" w:type="dxa"/>
            <w:shd w:val="clear" w:color="auto" w:fill="auto"/>
            <w:vAlign w:val="bottom"/>
          </w:tcPr>
          <w:p w:rsidR="00406E90" w:rsidRPr="00700F6C" w:rsidRDefault="00406E90" w:rsidP="00406E90">
            <w:pPr>
              <w:jc w:val="right"/>
            </w:pPr>
            <w:r w:rsidRPr="00700F6C">
              <w:t>2.646</w:t>
            </w:r>
          </w:p>
        </w:tc>
      </w:tr>
    </w:tbl>
    <w:p w:rsidR="00406E90" w:rsidRPr="00DF34E7" w:rsidRDefault="00406E90" w:rsidP="00406E90">
      <w:pPr>
        <w:rPr>
          <w:sz w:val="22"/>
          <w:szCs w:val="22"/>
        </w:rPr>
      </w:pPr>
      <w:r w:rsidRPr="00700F6C">
        <w:rPr>
          <w:sz w:val="22"/>
          <w:szCs w:val="22"/>
        </w:rPr>
        <w:t>Source: Schedule E1-E, (Exhibit AM-6, 2024 FCR Projections, Page 5 of 8)</w:t>
      </w:r>
      <w:r>
        <w:rPr>
          <w:sz w:val="22"/>
          <w:szCs w:val="22"/>
        </w:rPr>
        <w:t>.</w:t>
      </w:r>
    </w:p>
    <w:p w:rsidR="00406E90" w:rsidRPr="005E6F70" w:rsidRDefault="00406E90" w:rsidP="00406E90">
      <w:pPr>
        <w:autoSpaceDE w:val="0"/>
        <w:autoSpaceDN w:val="0"/>
        <w:adjustRightInd w:val="0"/>
        <w:ind w:left="1440" w:hanging="1440"/>
        <w:jc w:val="both"/>
      </w:pPr>
    </w:p>
    <w:p w:rsidR="00406E90" w:rsidRPr="007709B8" w:rsidRDefault="00406E90" w:rsidP="00406E90">
      <w:pPr>
        <w:ind w:left="1440" w:hanging="1440"/>
        <w:jc w:val="both"/>
        <w:rPr>
          <w:b/>
        </w:rPr>
      </w:pPr>
      <w:r w:rsidRPr="007709B8">
        <w:rPr>
          <w:b/>
        </w:rPr>
        <w:t>FPUC:</w:t>
      </w:r>
      <w:r w:rsidRPr="007709B8">
        <w:rPr>
          <w:b/>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973"/>
      </w:tblGrid>
      <w:tr w:rsidR="00406E90" w:rsidRPr="00D84B14" w:rsidTr="00406E90">
        <w:trPr>
          <w:tblHeader/>
        </w:trPr>
        <w:tc>
          <w:tcPr>
            <w:tcW w:w="9468" w:type="dxa"/>
            <w:gridSpan w:val="2"/>
            <w:tcBorders>
              <w:top w:val="nil"/>
              <w:left w:val="nil"/>
              <w:bottom w:val="nil"/>
              <w:right w:val="nil"/>
            </w:tcBorders>
          </w:tcPr>
          <w:p w:rsidR="00406E90" w:rsidRPr="00D84B14" w:rsidRDefault="00406E90" w:rsidP="00406E90">
            <w:pPr>
              <w:jc w:val="center"/>
              <w:rPr>
                <w:sz w:val="22"/>
                <w:szCs w:val="22"/>
              </w:rPr>
            </w:pPr>
            <w:r>
              <w:rPr>
                <w:rFonts w:ascii="Arial" w:hAnsi="Arial" w:cs="Arial"/>
                <w:b/>
              </w:rPr>
              <w:t>Table 20-6</w:t>
            </w:r>
          </w:p>
        </w:tc>
      </w:tr>
      <w:tr w:rsidR="00406E90" w:rsidRPr="00D84B14" w:rsidTr="00406E90">
        <w:trPr>
          <w:tblHeader/>
        </w:trPr>
        <w:tc>
          <w:tcPr>
            <w:tcW w:w="9468" w:type="dxa"/>
            <w:gridSpan w:val="2"/>
            <w:tcBorders>
              <w:top w:val="nil"/>
              <w:left w:val="nil"/>
              <w:right w:val="nil"/>
            </w:tcBorders>
          </w:tcPr>
          <w:p w:rsidR="00406E90" w:rsidRPr="00D84B14" w:rsidRDefault="00406E90" w:rsidP="00406E90">
            <w:pPr>
              <w:jc w:val="center"/>
              <w:rPr>
                <w:sz w:val="22"/>
                <w:szCs w:val="22"/>
              </w:rPr>
            </w:pPr>
            <w:r w:rsidRPr="00D84B14">
              <w:rPr>
                <w:rFonts w:ascii="Arial" w:hAnsi="Arial" w:cs="Arial"/>
                <w:b/>
              </w:rPr>
              <w:t>FPUC Fuel Cost Recovery Factors for the period January-December</w:t>
            </w:r>
            <w:r>
              <w:rPr>
                <w:rFonts w:ascii="Arial" w:hAnsi="Arial" w:cs="Arial"/>
                <w:b/>
              </w:rPr>
              <w:t>,</w:t>
            </w:r>
            <w:r w:rsidRPr="00D84B14">
              <w:rPr>
                <w:rFonts w:ascii="Arial" w:hAnsi="Arial" w:cs="Arial"/>
                <w:b/>
              </w:rPr>
              <w:t xml:space="preserve"> </w:t>
            </w:r>
            <w:r>
              <w:rPr>
                <w:rFonts w:ascii="Arial" w:hAnsi="Arial" w:cs="Arial"/>
                <w:b/>
              </w:rPr>
              <w:t>2025</w:t>
            </w:r>
          </w:p>
        </w:tc>
      </w:tr>
      <w:tr w:rsidR="00406E90" w:rsidRPr="00D84B14" w:rsidTr="00406E90">
        <w:trPr>
          <w:tblHeader/>
        </w:trPr>
        <w:tc>
          <w:tcPr>
            <w:tcW w:w="9468" w:type="dxa"/>
            <w:gridSpan w:val="2"/>
          </w:tcPr>
          <w:p w:rsidR="00406E90" w:rsidRPr="00D84B14" w:rsidRDefault="00406E90" w:rsidP="00406E90">
            <w:pPr>
              <w:jc w:val="center"/>
              <w:rPr>
                <w:sz w:val="22"/>
                <w:szCs w:val="22"/>
              </w:rPr>
            </w:pPr>
            <w:r w:rsidRPr="00D84B14">
              <w:rPr>
                <w:sz w:val="22"/>
                <w:szCs w:val="22"/>
              </w:rPr>
              <w:t>Fuel Recovery Factors – By Rate Schedule Fuel Recovery Factors – By Rate Schedule</w:t>
            </w:r>
          </w:p>
        </w:tc>
      </w:tr>
      <w:tr w:rsidR="00406E90" w:rsidRPr="00D84B14" w:rsidTr="00406E90">
        <w:trPr>
          <w:tblHeader/>
        </w:trPr>
        <w:tc>
          <w:tcPr>
            <w:tcW w:w="4495" w:type="dxa"/>
            <w:vAlign w:val="center"/>
          </w:tcPr>
          <w:p w:rsidR="00406E90" w:rsidRPr="00D84B14" w:rsidRDefault="00406E90" w:rsidP="00406E90">
            <w:pPr>
              <w:keepNext/>
              <w:keepLines/>
              <w:jc w:val="center"/>
              <w:rPr>
                <w:sz w:val="22"/>
                <w:szCs w:val="22"/>
              </w:rPr>
            </w:pPr>
            <w:r w:rsidRPr="00D84B14">
              <w:rPr>
                <w:sz w:val="22"/>
                <w:szCs w:val="22"/>
              </w:rPr>
              <w:t>Rate Schedule</w:t>
            </w:r>
          </w:p>
        </w:tc>
        <w:tc>
          <w:tcPr>
            <w:tcW w:w="4973" w:type="dxa"/>
          </w:tcPr>
          <w:p w:rsidR="00406E90" w:rsidRPr="00D84B14" w:rsidRDefault="00406E90" w:rsidP="00406E90">
            <w:pPr>
              <w:keepNext/>
              <w:keepLines/>
              <w:jc w:val="center"/>
              <w:rPr>
                <w:sz w:val="22"/>
                <w:szCs w:val="22"/>
              </w:rPr>
            </w:pPr>
            <w:r w:rsidRPr="00D84B14">
              <w:rPr>
                <w:sz w:val="22"/>
                <w:szCs w:val="22"/>
              </w:rPr>
              <w:t>Levelized Adjustment (cents/kWh)</w:t>
            </w:r>
          </w:p>
        </w:tc>
      </w:tr>
      <w:tr w:rsidR="00406E90" w:rsidRPr="00713178" w:rsidTr="00406E90">
        <w:tc>
          <w:tcPr>
            <w:tcW w:w="4495" w:type="dxa"/>
          </w:tcPr>
          <w:p w:rsidR="00406E90" w:rsidRPr="00713178" w:rsidRDefault="00406E90" w:rsidP="00406E90">
            <w:pPr>
              <w:keepNext/>
              <w:keepLines/>
              <w:rPr>
                <w:sz w:val="22"/>
                <w:szCs w:val="22"/>
              </w:rPr>
            </w:pPr>
            <w:r w:rsidRPr="00713178">
              <w:rPr>
                <w:sz w:val="22"/>
                <w:szCs w:val="22"/>
              </w:rPr>
              <w:t>RS</w:t>
            </w:r>
          </w:p>
        </w:tc>
        <w:tc>
          <w:tcPr>
            <w:tcW w:w="4973" w:type="dxa"/>
          </w:tcPr>
          <w:p w:rsidR="00406E90" w:rsidRPr="00713178" w:rsidRDefault="00406E90" w:rsidP="00406E90">
            <w:pPr>
              <w:keepNext/>
              <w:keepLines/>
              <w:jc w:val="right"/>
              <w:rPr>
                <w:sz w:val="22"/>
                <w:szCs w:val="22"/>
              </w:rPr>
            </w:pPr>
            <w:r w:rsidRPr="00713178">
              <w:rPr>
                <w:sz w:val="22"/>
                <w:szCs w:val="22"/>
              </w:rPr>
              <w:t>7.849</w:t>
            </w:r>
          </w:p>
        </w:tc>
      </w:tr>
      <w:tr w:rsidR="00406E90" w:rsidRPr="00713178" w:rsidTr="00406E90">
        <w:tc>
          <w:tcPr>
            <w:tcW w:w="4495" w:type="dxa"/>
          </w:tcPr>
          <w:p w:rsidR="00406E90" w:rsidRPr="00713178" w:rsidRDefault="00406E90" w:rsidP="00406E90">
            <w:pPr>
              <w:keepNext/>
              <w:keepLines/>
              <w:rPr>
                <w:sz w:val="22"/>
                <w:szCs w:val="22"/>
              </w:rPr>
            </w:pPr>
            <w:r w:rsidRPr="00713178">
              <w:rPr>
                <w:sz w:val="22"/>
                <w:szCs w:val="22"/>
              </w:rPr>
              <w:t>GS</w:t>
            </w:r>
          </w:p>
        </w:tc>
        <w:tc>
          <w:tcPr>
            <w:tcW w:w="4973" w:type="dxa"/>
          </w:tcPr>
          <w:p w:rsidR="00406E90" w:rsidRPr="00713178" w:rsidRDefault="00406E90" w:rsidP="00406E90">
            <w:pPr>
              <w:keepNext/>
              <w:keepLines/>
              <w:jc w:val="right"/>
              <w:rPr>
                <w:sz w:val="22"/>
                <w:szCs w:val="22"/>
              </w:rPr>
            </w:pPr>
            <w:r w:rsidRPr="00713178">
              <w:rPr>
                <w:sz w:val="22"/>
                <w:szCs w:val="22"/>
              </w:rPr>
              <w:t>7.890</w:t>
            </w:r>
          </w:p>
        </w:tc>
      </w:tr>
      <w:tr w:rsidR="00406E90" w:rsidRPr="00713178" w:rsidTr="00406E90">
        <w:tc>
          <w:tcPr>
            <w:tcW w:w="4495" w:type="dxa"/>
          </w:tcPr>
          <w:p w:rsidR="00406E90" w:rsidRPr="00713178" w:rsidRDefault="00406E90" w:rsidP="00406E90">
            <w:pPr>
              <w:keepNext/>
              <w:keepLines/>
              <w:rPr>
                <w:sz w:val="22"/>
                <w:szCs w:val="22"/>
              </w:rPr>
            </w:pPr>
            <w:r w:rsidRPr="00713178">
              <w:rPr>
                <w:sz w:val="22"/>
                <w:szCs w:val="22"/>
              </w:rPr>
              <w:t>GSD</w:t>
            </w:r>
          </w:p>
        </w:tc>
        <w:tc>
          <w:tcPr>
            <w:tcW w:w="4973" w:type="dxa"/>
          </w:tcPr>
          <w:p w:rsidR="00406E90" w:rsidRPr="00713178" w:rsidRDefault="00406E90" w:rsidP="00406E90">
            <w:pPr>
              <w:keepNext/>
              <w:keepLines/>
              <w:jc w:val="right"/>
              <w:rPr>
                <w:sz w:val="22"/>
                <w:szCs w:val="22"/>
              </w:rPr>
            </w:pPr>
            <w:r w:rsidRPr="00713178">
              <w:rPr>
                <w:sz w:val="22"/>
                <w:szCs w:val="22"/>
              </w:rPr>
              <w:t>7.392</w:t>
            </w:r>
          </w:p>
        </w:tc>
      </w:tr>
      <w:tr w:rsidR="00406E90" w:rsidRPr="00713178" w:rsidTr="00406E90">
        <w:tc>
          <w:tcPr>
            <w:tcW w:w="4495" w:type="dxa"/>
          </w:tcPr>
          <w:p w:rsidR="00406E90" w:rsidRPr="00713178" w:rsidRDefault="00406E90" w:rsidP="00406E90">
            <w:pPr>
              <w:keepNext/>
              <w:keepLines/>
              <w:rPr>
                <w:sz w:val="22"/>
                <w:szCs w:val="22"/>
              </w:rPr>
            </w:pPr>
            <w:r w:rsidRPr="00713178">
              <w:rPr>
                <w:sz w:val="22"/>
                <w:szCs w:val="22"/>
              </w:rPr>
              <w:t>GSLD</w:t>
            </w:r>
          </w:p>
        </w:tc>
        <w:tc>
          <w:tcPr>
            <w:tcW w:w="4973" w:type="dxa"/>
          </w:tcPr>
          <w:p w:rsidR="00406E90" w:rsidRPr="00713178" w:rsidRDefault="00406E90" w:rsidP="00406E90">
            <w:pPr>
              <w:keepNext/>
              <w:keepLines/>
              <w:jc w:val="right"/>
              <w:rPr>
                <w:sz w:val="22"/>
                <w:szCs w:val="22"/>
              </w:rPr>
            </w:pPr>
            <w:r w:rsidRPr="00713178">
              <w:rPr>
                <w:sz w:val="22"/>
                <w:szCs w:val="22"/>
              </w:rPr>
              <w:t>7.176</w:t>
            </w:r>
          </w:p>
        </w:tc>
      </w:tr>
      <w:tr w:rsidR="00406E90" w:rsidRPr="00713178" w:rsidTr="00406E90">
        <w:tc>
          <w:tcPr>
            <w:tcW w:w="4495" w:type="dxa"/>
          </w:tcPr>
          <w:p w:rsidR="00406E90" w:rsidRPr="00713178" w:rsidRDefault="00406E90" w:rsidP="00406E90">
            <w:pPr>
              <w:keepNext/>
              <w:keepLines/>
              <w:rPr>
                <w:sz w:val="22"/>
                <w:szCs w:val="22"/>
              </w:rPr>
            </w:pPr>
            <w:r w:rsidRPr="00713178">
              <w:rPr>
                <w:sz w:val="22"/>
                <w:szCs w:val="22"/>
              </w:rPr>
              <w:t>LS</w:t>
            </w:r>
          </w:p>
        </w:tc>
        <w:tc>
          <w:tcPr>
            <w:tcW w:w="4973" w:type="dxa"/>
          </w:tcPr>
          <w:p w:rsidR="00406E90" w:rsidRPr="00713178" w:rsidRDefault="00406E90" w:rsidP="00406E90">
            <w:pPr>
              <w:keepNext/>
              <w:keepLines/>
              <w:jc w:val="right"/>
              <w:rPr>
                <w:sz w:val="22"/>
                <w:szCs w:val="22"/>
              </w:rPr>
            </w:pPr>
            <w:r w:rsidRPr="00713178">
              <w:rPr>
                <w:sz w:val="22"/>
                <w:szCs w:val="22"/>
              </w:rPr>
              <w:t>5.872</w:t>
            </w:r>
          </w:p>
        </w:tc>
      </w:tr>
    </w:tbl>
    <w:p w:rsidR="00406E90" w:rsidRDefault="00406E90" w:rsidP="00406E90">
      <w:pPr>
        <w:rPr>
          <w:sz w:val="22"/>
          <w:szCs w:val="22"/>
        </w:rPr>
      </w:pPr>
      <w:r w:rsidRPr="00713178">
        <w:rPr>
          <w:sz w:val="22"/>
          <w:szCs w:val="22"/>
        </w:rPr>
        <w:t>Source: Schedule E1, Page 3 of 3 (Exhibit BB-2, Page 3 of 8).</w:t>
      </w:r>
    </w:p>
    <w:p w:rsidR="005A65DC" w:rsidRDefault="005A65DC" w:rsidP="00406E90">
      <w:pPr>
        <w:spacing w:after="200" w:line="276" w:lineRule="auto"/>
        <w:rPr>
          <w:sz w:val="22"/>
          <w:szCs w:val="22"/>
        </w:rPr>
        <w:sectPr w:rsidR="005A65DC">
          <w:headerReference w:type="default" r:id="rId15"/>
          <w:headerReference w:type="first" r:id="rId16"/>
          <w:pgSz w:w="12240" w:h="15840" w:code="1"/>
          <w:pgMar w:top="1440" w:right="1440" w:bottom="1440" w:left="1440" w:header="720" w:footer="720" w:gutter="0"/>
          <w:cols w:space="720"/>
          <w:titlePg/>
          <w:docGrid w:linePitch="360"/>
        </w:sectPr>
      </w:pPr>
    </w:p>
    <w:p w:rsidR="00406E90" w:rsidRPr="00713178" w:rsidRDefault="00406E90" w:rsidP="00406E90">
      <w:pPr>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083"/>
      </w:tblGrid>
      <w:tr w:rsidR="00406E90" w:rsidRPr="00713178" w:rsidTr="00406E90">
        <w:trPr>
          <w:tblHeader/>
        </w:trPr>
        <w:tc>
          <w:tcPr>
            <w:tcW w:w="9468" w:type="dxa"/>
            <w:gridSpan w:val="2"/>
            <w:tcBorders>
              <w:top w:val="nil"/>
              <w:left w:val="nil"/>
              <w:bottom w:val="nil"/>
              <w:right w:val="nil"/>
            </w:tcBorders>
          </w:tcPr>
          <w:p w:rsidR="00406E90" w:rsidRPr="00713178" w:rsidRDefault="00406E90" w:rsidP="00406E90">
            <w:pPr>
              <w:jc w:val="center"/>
              <w:rPr>
                <w:rFonts w:ascii="Arial" w:hAnsi="Arial" w:cs="Arial"/>
                <w:b/>
              </w:rPr>
            </w:pPr>
            <w:r w:rsidRPr="00713178">
              <w:rPr>
                <w:rFonts w:ascii="Arial" w:hAnsi="Arial" w:cs="Arial"/>
                <w:b/>
              </w:rPr>
              <w:t>Table 20-7</w:t>
            </w:r>
          </w:p>
        </w:tc>
      </w:tr>
      <w:tr w:rsidR="00406E90" w:rsidRPr="00713178" w:rsidTr="00406E90">
        <w:trPr>
          <w:tblHeader/>
        </w:trPr>
        <w:tc>
          <w:tcPr>
            <w:tcW w:w="9468" w:type="dxa"/>
            <w:gridSpan w:val="2"/>
            <w:tcBorders>
              <w:top w:val="nil"/>
              <w:left w:val="nil"/>
              <w:bottom w:val="single" w:sz="4" w:space="0" w:color="auto"/>
              <w:right w:val="nil"/>
            </w:tcBorders>
          </w:tcPr>
          <w:p w:rsidR="00406E90" w:rsidRPr="00713178" w:rsidRDefault="00406E90" w:rsidP="00406E90">
            <w:pPr>
              <w:jc w:val="center"/>
              <w:rPr>
                <w:rFonts w:ascii="Arial" w:hAnsi="Arial" w:cs="Arial"/>
                <w:b/>
              </w:rPr>
            </w:pPr>
            <w:r w:rsidRPr="00713178">
              <w:rPr>
                <w:rFonts w:ascii="Arial" w:hAnsi="Arial" w:cs="Arial"/>
                <w:b/>
              </w:rPr>
              <w:t>FPUC Fuel Cost Recovery Factors for the period January-December, 2025</w:t>
            </w:r>
          </w:p>
        </w:tc>
      </w:tr>
      <w:tr w:rsidR="00406E90" w:rsidRPr="00713178" w:rsidTr="00406E90">
        <w:trPr>
          <w:tblHeader/>
        </w:trPr>
        <w:tc>
          <w:tcPr>
            <w:tcW w:w="9468" w:type="dxa"/>
            <w:gridSpan w:val="2"/>
          </w:tcPr>
          <w:p w:rsidR="00406E90" w:rsidRPr="00713178" w:rsidRDefault="00406E90" w:rsidP="00406E90">
            <w:pPr>
              <w:jc w:val="center"/>
              <w:rPr>
                <w:sz w:val="22"/>
                <w:szCs w:val="22"/>
              </w:rPr>
            </w:pPr>
            <w:r w:rsidRPr="00713178">
              <w:rPr>
                <w:sz w:val="22"/>
                <w:szCs w:val="22"/>
              </w:rPr>
              <w:t>Step Rate Allocation For Residential Customers (RS Rate Schedule)</w:t>
            </w:r>
          </w:p>
        </w:tc>
      </w:tr>
      <w:tr w:rsidR="00406E90" w:rsidRPr="00713178" w:rsidTr="00406E90">
        <w:trPr>
          <w:tblHeader/>
        </w:trPr>
        <w:tc>
          <w:tcPr>
            <w:tcW w:w="6385" w:type="dxa"/>
            <w:vAlign w:val="center"/>
          </w:tcPr>
          <w:p w:rsidR="00406E90" w:rsidRPr="00713178" w:rsidRDefault="00406E90" w:rsidP="00406E90">
            <w:pPr>
              <w:keepNext/>
              <w:keepLines/>
              <w:jc w:val="center"/>
              <w:rPr>
                <w:sz w:val="22"/>
                <w:szCs w:val="22"/>
              </w:rPr>
            </w:pPr>
            <w:r w:rsidRPr="00713178">
              <w:rPr>
                <w:sz w:val="22"/>
                <w:szCs w:val="22"/>
              </w:rPr>
              <w:t>Rate Schedule and Allocation</w:t>
            </w:r>
          </w:p>
        </w:tc>
        <w:tc>
          <w:tcPr>
            <w:tcW w:w="3083" w:type="dxa"/>
          </w:tcPr>
          <w:p w:rsidR="00406E90" w:rsidRPr="00713178" w:rsidRDefault="00406E90" w:rsidP="00406E90">
            <w:pPr>
              <w:keepNext/>
              <w:keepLines/>
              <w:jc w:val="center"/>
              <w:rPr>
                <w:sz w:val="22"/>
                <w:szCs w:val="22"/>
              </w:rPr>
            </w:pPr>
            <w:r w:rsidRPr="00713178">
              <w:rPr>
                <w:sz w:val="22"/>
                <w:szCs w:val="22"/>
              </w:rPr>
              <w:t>Levelized Adjustment (cents/kWh)</w:t>
            </w:r>
          </w:p>
        </w:tc>
      </w:tr>
      <w:tr w:rsidR="00406E90" w:rsidRPr="00713178" w:rsidTr="00406E90">
        <w:tc>
          <w:tcPr>
            <w:tcW w:w="6385" w:type="dxa"/>
          </w:tcPr>
          <w:p w:rsidR="00406E90" w:rsidRPr="00713178" w:rsidRDefault="00406E90" w:rsidP="00406E90">
            <w:pPr>
              <w:keepNext/>
              <w:keepLines/>
              <w:rPr>
                <w:sz w:val="22"/>
                <w:szCs w:val="22"/>
              </w:rPr>
            </w:pPr>
            <w:r w:rsidRPr="00713178">
              <w:rPr>
                <w:sz w:val="22"/>
                <w:szCs w:val="22"/>
              </w:rPr>
              <w:t>RS Rate Schedule – Sales Allocation</w:t>
            </w:r>
          </w:p>
        </w:tc>
        <w:tc>
          <w:tcPr>
            <w:tcW w:w="3083" w:type="dxa"/>
          </w:tcPr>
          <w:p w:rsidR="00406E90" w:rsidRPr="00713178" w:rsidRDefault="00406E90" w:rsidP="00406E90">
            <w:pPr>
              <w:keepNext/>
              <w:keepLines/>
              <w:jc w:val="right"/>
              <w:rPr>
                <w:sz w:val="22"/>
                <w:szCs w:val="22"/>
              </w:rPr>
            </w:pPr>
            <w:r w:rsidRPr="00713178">
              <w:rPr>
                <w:sz w:val="22"/>
                <w:szCs w:val="22"/>
              </w:rPr>
              <w:t>7.849</w:t>
            </w:r>
          </w:p>
        </w:tc>
      </w:tr>
      <w:tr w:rsidR="00406E90" w:rsidRPr="00713178" w:rsidTr="00406E90">
        <w:tc>
          <w:tcPr>
            <w:tcW w:w="6385" w:type="dxa"/>
          </w:tcPr>
          <w:p w:rsidR="00406E90" w:rsidRPr="00713178" w:rsidRDefault="00406E90" w:rsidP="00406E90">
            <w:pPr>
              <w:keepNext/>
              <w:keepLines/>
              <w:rPr>
                <w:sz w:val="22"/>
                <w:szCs w:val="22"/>
              </w:rPr>
            </w:pPr>
            <w:r w:rsidRPr="00713178">
              <w:rPr>
                <w:sz w:val="22"/>
                <w:szCs w:val="22"/>
              </w:rPr>
              <w:t>RS Rate Schedule with less than or equal to 1,000 kWh/month</w:t>
            </w:r>
          </w:p>
        </w:tc>
        <w:tc>
          <w:tcPr>
            <w:tcW w:w="3083" w:type="dxa"/>
          </w:tcPr>
          <w:p w:rsidR="00406E90" w:rsidRPr="00713178" w:rsidRDefault="00406E90" w:rsidP="00406E90">
            <w:pPr>
              <w:keepNext/>
              <w:keepLines/>
              <w:jc w:val="right"/>
              <w:rPr>
                <w:sz w:val="22"/>
                <w:szCs w:val="22"/>
              </w:rPr>
            </w:pPr>
            <w:r w:rsidRPr="00713178">
              <w:rPr>
                <w:sz w:val="22"/>
                <w:szCs w:val="22"/>
              </w:rPr>
              <w:t>7.505</w:t>
            </w:r>
          </w:p>
        </w:tc>
      </w:tr>
      <w:tr w:rsidR="00406E90" w:rsidRPr="00713178" w:rsidTr="00406E90">
        <w:tc>
          <w:tcPr>
            <w:tcW w:w="6385" w:type="dxa"/>
          </w:tcPr>
          <w:p w:rsidR="00406E90" w:rsidRPr="00713178" w:rsidRDefault="00406E90" w:rsidP="00406E90">
            <w:pPr>
              <w:keepNext/>
              <w:keepLines/>
              <w:rPr>
                <w:sz w:val="22"/>
                <w:szCs w:val="22"/>
              </w:rPr>
            </w:pPr>
            <w:r w:rsidRPr="00713178">
              <w:rPr>
                <w:sz w:val="22"/>
                <w:szCs w:val="22"/>
              </w:rPr>
              <w:t>RS Rate Schedule with greater than 1,000 kWh/month</w:t>
            </w:r>
          </w:p>
        </w:tc>
        <w:tc>
          <w:tcPr>
            <w:tcW w:w="3083" w:type="dxa"/>
          </w:tcPr>
          <w:p w:rsidR="00406E90" w:rsidRPr="00713178" w:rsidRDefault="00406E90" w:rsidP="00406E90">
            <w:pPr>
              <w:keepNext/>
              <w:keepLines/>
              <w:jc w:val="right"/>
              <w:rPr>
                <w:sz w:val="22"/>
                <w:szCs w:val="22"/>
              </w:rPr>
            </w:pPr>
            <w:r w:rsidRPr="00713178">
              <w:rPr>
                <w:sz w:val="22"/>
                <w:szCs w:val="22"/>
              </w:rPr>
              <w:t>8.755</w:t>
            </w:r>
          </w:p>
        </w:tc>
      </w:tr>
    </w:tbl>
    <w:p w:rsidR="00406E90" w:rsidRPr="00713178" w:rsidRDefault="00406E90" w:rsidP="00406E90">
      <w:r w:rsidRPr="00713178">
        <w:rPr>
          <w:sz w:val="22"/>
          <w:szCs w:val="22"/>
        </w:rPr>
        <w:fldChar w:fldCharType="begin"/>
      </w:r>
      <w:r w:rsidRPr="00713178">
        <w:rPr>
          <w:sz w:val="22"/>
          <w:szCs w:val="22"/>
        </w:rPr>
        <w:instrText>ADVANCE \u3</w:instrText>
      </w:r>
      <w:r w:rsidRPr="00713178">
        <w:rPr>
          <w:sz w:val="22"/>
          <w:szCs w:val="22"/>
        </w:rPr>
        <w:fldChar w:fldCharType="end"/>
      </w:r>
      <w:r w:rsidRPr="00713178">
        <w:rPr>
          <w:sz w:val="22"/>
          <w:szCs w:val="22"/>
        </w:rPr>
        <w:t xml:space="preserve"> Source: Schedule E1, Page 3 of 3 (Exhibit BB-2, Page 3 of 8).</w:t>
      </w:r>
    </w:p>
    <w:p w:rsidR="00406E90" w:rsidRPr="00713178" w:rsidRDefault="00406E90" w:rsidP="00406E90">
      <w:pPr>
        <w:jc w:val="both"/>
      </w:pPr>
    </w:p>
    <w:p w:rsidR="00406E90" w:rsidRPr="007709B8" w:rsidRDefault="00406E90" w:rsidP="00406E90">
      <w:pPr>
        <w:rPr>
          <w:b/>
        </w:rPr>
      </w:pPr>
      <w:r w:rsidRPr="007709B8">
        <w:rPr>
          <w:b/>
        </w:rPr>
        <w:t>TECO:</w:t>
      </w:r>
    </w:p>
    <w:p w:rsidR="00406E90" w:rsidRDefault="00406E90" w:rsidP="00406E90">
      <w:pPr>
        <w:autoSpaceDE w:val="0"/>
        <w:autoSpaceDN w:val="0"/>
        <w:adjustRightInd w:val="0"/>
        <w:ind w:left="1440"/>
        <w:jc w:val="both"/>
        <w:rPr>
          <w:bCs/>
          <w:caps/>
        </w:rPr>
      </w:pPr>
    </w:p>
    <w:p w:rsidR="00406E90" w:rsidRDefault="00406E90" w:rsidP="00406E90">
      <w:pPr>
        <w:autoSpaceDE w:val="0"/>
        <w:autoSpaceDN w:val="0"/>
        <w:adjustRightInd w:val="0"/>
        <w:ind w:left="1440"/>
        <w:jc w:val="both"/>
        <w:rPr>
          <w:bCs/>
        </w:rPr>
      </w:pPr>
      <w:r w:rsidRPr="00C24F1D">
        <w:rPr>
          <w:bCs/>
          <w:caps/>
        </w:rPr>
        <w:t>*</w:t>
      </w:r>
      <w:r w:rsidRPr="00514F28">
        <w:rPr>
          <w:bCs/>
        </w:rPr>
        <w:t xml:space="preserve">The rates shown in Tables 20-8 and 20-9 were calculated using the modified time-of-day periods proposed by TECO in Docket No. 20240026-EI, </w:t>
      </w:r>
      <w:r w:rsidRPr="00514F28">
        <w:rPr>
          <w:bCs/>
          <w:i/>
        </w:rPr>
        <w:t>Petition for rate increase by Tampa Electric Company</w:t>
      </w:r>
      <w:r w:rsidRPr="00514F28">
        <w:rPr>
          <w:bCs/>
        </w:rPr>
        <w:t>.  If the Commission were to deny the proposed time-of-day periods in Docket No. 20240026-EI, then T</w:t>
      </w:r>
      <w:r>
        <w:rPr>
          <w:bCs/>
        </w:rPr>
        <w:t>ECO</w:t>
      </w:r>
      <w:r w:rsidRPr="00514F28">
        <w:rPr>
          <w:bCs/>
        </w:rPr>
        <w:t xml:space="preserve"> should be required to implement the rates shown in Tables 20-10 and 20-11.</w:t>
      </w:r>
    </w:p>
    <w:p w:rsidR="00406E90" w:rsidRPr="005E6F70" w:rsidRDefault="00406E90" w:rsidP="00406E90">
      <w:pPr>
        <w:autoSpaceDE w:val="0"/>
        <w:autoSpaceDN w:val="0"/>
        <w:adjustRightInd w:val="0"/>
        <w:ind w:left="1440"/>
        <w:jc w:val="both"/>
      </w:pPr>
    </w:p>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406E90" w:rsidRPr="007E1BAE" w:rsidTr="00406E90">
        <w:trPr>
          <w:cantSplit/>
          <w:tblHeader/>
        </w:trPr>
        <w:tc>
          <w:tcPr>
            <w:tcW w:w="9360" w:type="dxa"/>
            <w:gridSpan w:val="5"/>
            <w:tcBorders>
              <w:top w:val="nil"/>
              <w:left w:val="nil"/>
              <w:bottom w:val="nil"/>
              <w:right w:val="nil"/>
            </w:tcBorders>
            <w:vAlign w:val="center"/>
          </w:tcPr>
          <w:p w:rsidR="00406E90" w:rsidRPr="005E100D" w:rsidRDefault="00406E90" w:rsidP="00406E90">
            <w:pPr>
              <w:keepNext/>
              <w:keepLines/>
              <w:ind w:left="720" w:hanging="720"/>
              <w:jc w:val="center"/>
              <w:rPr>
                <w:rFonts w:ascii="Arial" w:hAnsi="Arial" w:cs="Arial"/>
                <w:b/>
              </w:rPr>
            </w:pPr>
            <w:r>
              <w:rPr>
                <w:rFonts w:ascii="Arial" w:hAnsi="Arial" w:cs="Arial"/>
                <w:b/>
              </w:rPr>
              <w:t>Table 20-8</w:t>
            </w:r>
          </w:p>
        </w:tc>
      </w:tr>
      <w:tr w:rsidR="00406E90" w:rsidRPr="007E1BAE" w:rsidTr="00406E90">
        <w:trPr>
          <w:cantSplit/>
          <w:tblHeader/>
        </w:trPr>
        <w:tc>
          <w:tcPr>
            <w:tcW w:w="9360" w:type="dxa"/>
            <w:gridSpan w:val="5"/>
            <w:tcBorders>
              <w:top w:val="nil"/>
              <w:left w:val="nil"/>
              <w:right w:val="nil"/>
            </w:tcBorders>
            <w:vAlign w:val="center"/>
          </w:tcPr>
          <w:p w:rsidR="00406E90" w:rsidRDefault="00406E90" w:rsidP="00406E90">
            <w:pPr>
              <w:keepNext/>
              <w:keepLines/>
              <w:ind w:left="720" w:hanging="720"/>
              <w:jc w:val="center"/>
              <w:rPr>
                <w:rFonts w:ascii="Arial" w:hAnsi="Arial" w:cs="Arial"/>
                <w:b/>
              </w:rPr>
            </w:pPr>
            <w:r>
              <w:rPr>
                <w:rFonts w:ascii="Arial" w:hAnsi="Arial" w:cs="Arial"/>
                <w:b/>
              </w:rPr>
              <w:t>*</w:t>
            </w:r>
            <w:r w:rsidRPr="007E1BAE">
              <w:rPr>
                <w:rFonts w:ascii="Arial" w:hAnsi="Arial" w:cs="Arial"/>
                <w:b/>
              </w:rPr>
              <w:t xml:space="preserve">TECO Fuel Cost Recovery Factors </w:t>
            </w:r>
            <w:r>
              <w:rPr>
                <w:rFonts w:ascii="Arial" w:hAnsi="Arial" w:cs="Arial"/>
                <w:b/>
              </w:rPr>
              <w:t>for the period January-May, 2025</w:t>
            </w:r>
          </w:p>
          <w:p w:rsidR="00406E90" w:rsidRPr="007E1BAE" w:rsidRDefault="00406E90" w:rsidP="00406E90">
            <w:pPr>
              <w:keepNext/>
              <w:keepLines/>
              <w:ind w:left="720" w:hanging="720"/>
              <w:jc w:val="center"/>
              <w:rPr>
                <w:rFonts w:ascii="Arial" w:hAnsi="Arial" w:cs="Arial"/>
                <w:b/>
              </w:rPr>
            </w:pPr>
            <w:r>
              <w:rPr>
                <w:rFonts w:ascii="Arial" w:hAnsi="Arial" w:cs="Arial"/>
                <w:b/>
              </w:rPr>
              <w:t>Under Methodology Proposed in Docket No. 20240026-EI</w:t>
            </w:r>
          </w:p>
        </w:tc>
      </w:tr>
      <w:tr w:rsidR="00406E90" w:rsidRPr="00CE1C67" w:rsidTr="00406E90">
        <w:trPr>
          <w:cantSplit/>
          <w:tblHeader/>
        </w:trPr>
        <w:tc>
          <w:tcPr>
            <w:tcW w:w="3780" w:type="dxa"/>
            <w:gridSpan w:val="2"/>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pPr>
            <w:r w:rsidRPr="00CE1C67">
              <w:t>Metering Voltage Level</w:t>
            </w:r>
          </w:p>
        </w:tc>
        <w:tc>
          <w:tcPr>
            <w:tcW w:w="5580" w:type="dxa"/>
            <w:gridSpan w:val="3"/>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Fuel Cost Recovery Factors (cents per kWh)</w:t>
            </w:r>
          </w:p>
        </w:tc>
      </w:tr>
      <w:tr w:rsidR="00406E90" w:rsidRPr="00CE1C67" w:rsidTr="00406E90">
        <w:trPr>
          <w:cantSplit/>
          <w:tblHeader/>
        </w:trPr>
        <w:tc>
          <w:tcPr>
            <w:tcW w:w="378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Levelized Fuel Recovery Factor</w:t>
            </w: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1,000 kWh)</w:t>
            </w:r>
          </w:p>
        </w:tc>
        <w:tc>
          <w:tcPr>
            <w:tcW w:w="180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Second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(Over 1,000 kWh)</w:t>
            </w:r>
          </w:p>
        </w:tc>
      </w:tr>
      <w:tr w:rsidR="00406E90" w:rsidRPr="00CE1C67" w:rsidTr="00406E90">
        <w:tc>
          <w:tcPr>
            <w:tcW w:w="9360" w:type="dxa"/>
            <w:gridSpan w:val="5"/>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STANDARD</w:t>
            </w:r>
          </w:p>
        </w:tc>
      </w:tr>
      <w:tr w:rsidR="00406E90" w:rsidRPr="00CE1C67" w:rsidTr="00406E90">
        <w:tc>
          <w:tcPr>
            <w:tcW w:w="270" w:type="dxa"/>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Secondary (RS only)</w:t>
            </w:r>
          </w:p>
        </w:tc>
        <w:tc>
          <w:tcPr>
            <w:tcW w:w="189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w:t>
            </w:r>
          </w:p>
        </w:tc>
        <w:tc>
          <w:tcPr>
            <w:tcW w:w="189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2.852</w:t>
            </w:r>
          </w:p>
        </w:tc>
        <w:tc>
          <w:tcPr>
            <w:tcW w:w="180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3.852</w:t>
            </w: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Secondary</w:t>
            </w:r>
          </w:p>
        </w:tc>
        <w:tc>
          <w:tcPr>
            <w:tcW w:w="189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3.083</w:t>
            </w:r>
          </w:p>
        </w:tc>
        <w:tc>
          <w:tcPr>
            <w:tcW w:w="3690" w:type="dxa"/>
            <w:gridSpan w:val="2"/>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Primary</w:t>
            </w:r>
          </w:p>
        </w:tc>
        <w:tc>
          <w:tcPr>
            <w:tcW w:w="189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3.052</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Transmission</w:t>
            </w:r>
          </w:p>
        </w:tc>
        <w:tc>
          <w:tcPr>
            <w:tcW w:w="1890" w:type="dxa"/>
          </w:tcPr>
          <w:p w:rsidR="00406E90" w:rsidRPr="00A8284F" w:rsidRDefault="00406E90" w:rsidP="00406E90">
            <w:pPr>
              <w:pStyle w:val="Footer"/>
              <w:keepNext/>
              <w:keepLines/>
              <w:widowControl w:val="0"/>
              <w:tabs>
                <w:tab w:val="center" w:pos="5940"/>
                <w:tab w:val="center" w:pos="7380"/>
              </w:tabs>
              <w:suppressAutoHyphens/>
              <w:jc w:val="right"/>
              <w:rPr>
                <w:bCs/>
              </w:rPr>
            </w:pPr>
            <w:r w:rsidRPr="00A8284F">
              <w:rPr>
                <w:bCs/>
              </w:rPr>
              <w:t>3.021</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Lighting Service</w:t>
            </w:r>
          </w:p>
        </w:tc>
        <w:tc>
          <w:tcPr>
            <w:tcW w:w="1890" w:type="dxa"/>
          </w:tcPr>
          <w:p w:rsidR="00406E90" w:rsidRPr="00462B80" w:rsidRDefault="00406E90" w:rsidP="00406E90">
            <w:pPr>
              <w:pStyle w:val="Footer"/>
              <w:keepNext/>
              <w:keepLines/>
              <w:widowControl w:val="0"/>
              <w:tabs>
                <w:tab w:val="center" w:pos="5940"/>
                <w:tab w:val="center" w:pos="7380"/>
              </w:tabs>
              <w:suppressAutoHyphens/>
              <w:jc w:val="right"/>
              <w:rPr>
                <w:bCs/>
                <w:highlight w:val="yellow"/>
              </w:rPr>
            </w:pPr>
            <w:r w:rsidRPr="00A8284F">
              <w:rPr>
                <w:bCs/>
              </w:rPr>
              <w:t>3.068</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9360" w:type="dxa"/>
            <w:gridSpan w:val="5"/>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TIME OF USE</w:t>
            </w:r>
          </w:p>
        </w:tc>
      </w:tr>
      <w:tr w:rsidR="00406E90" w:rsidRPr="00A8284F" w:rsidTr="00406E90">
        <w:tc>
          <w:tcPr>
            <w:tcW w:w="270" w:type="dxa"/>
            <w:vMerge w:val="restart"/>
            <w:vAlign w:val="center"/>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On-Peak</w:t>
            </w:r>
          </w:p>
        </w:tc>
        <w:tc>
          <w:tcPr>
            <w:tcW w:w="1890" w:type="dxa"/>
          </w:tcPr>
          <w:p w:rsidR="00406E90" w:rsidRPr="00D447FD" w:rsidRDefault="00406E90" w:rsidP="00406E90">
            <w:pPr>
              <w:jc w:val="right"/>
            </w:pPr>
            <w:r w:rsidRPr="00D447FD">
              <w:t>3.238</w:t>
            </w:r>
          </w:p>
        </w:tc>
        <w:tc>
          <w:tcPr>
            <w:tcW w:w="3690" w:type="dxa"/>
            <w:gridSpan w:val="2"/>
            <w:vMerge w:val="restart"/>
            <w:tcBorders>
              <w:bottom w:val="nil"/>
            </w:tcBorders>
            <w:vAlign w:val="center"/>
          </w:tcPr>
          <w:p w:rsidR="00406E90" w:rsidRPr="00A8284F" w:rsidRDefault="00406E90" w:rsidP="00406E90">
            <w:pPr>
              <w:jc w:val="center"/>
              <w:rPr>
                <w:bCs/>
              </w:rPr>
            </w:pPr>
          </w:p>
        </w:tc>
      </w:tr>
      <w:tr w:rsidR="00406E90" w:rsidRPr="00A8284F" w:rsidTr="00406E90">
        <w:tc>
          <w:tcPr>
            <w:tcW w:w="270" w:type="dxa"/>
            <w:vMerge/>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Off-Peak</w:t>
            </w:r>
          </w:p>
        </w:tc>
        <w:tc>
          <w:tcPr>
            <w:tcW w:w="1890" w:type="dxa"/>
          </w:tcPr>
          <w:p w:rsidR="00406E90" w:rsidRPr="00D447FD" w:rsidRDefault="00406E90" w:rsidP="00406E90">
            <w:pPr>
              <w:jc w:val="right"/>
            </w:pPr>
            <w:r w:rsidRPr="00D447FD">
              <w:t>3.034</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Super Off-Peak</w:t>
            </w:r>
          </w:p>
        </w:tc>
        <w:tc>
          <w:tcPr>
            <w:tcW w:w="1890" w:type="dxa"/>
          </w:tcPr>
          <w:p w:rsidR="00406E90" w:rsidRPr="00D447FD" w:rsidRDefault="00406E90" w:rsidP="00406E90">
            <w:pPr>
              <w:jc w:val="right"/>
            </w:pPr>
            <w:r w:rsidRPr="00D447FD">
              <w:t>3.001</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vAlign w:val="center"/>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On-Peak</w:t>
            </w:r>
          </w:p>
        </w:tc>
        <w:tc>
          <w:tcPr>
            <w:tcW w:w="1890" w:type="dxa"/>
          </w:tcPr>
          <w:p w:rsidR="00406E90" w:rsidRPr="00D447FD" w:rsidRDefault="00406E90" w:rsidP="00406E90">
            <w:pPr>
              <w:jc w:val="right"/>
            </w:pPr>
            <w:r w:rsidRPr="00D447FD">
              <w:t>3.206</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Off-Peak</w:t>
            </w:r>
          </w:p>
        </w:tc>
        <w:tc>
          <w:tcPr>
            <w:tcW w:w="1890" w:type="dxa"/>
          </w:tcPr>
          <w:p w:rsidR="00406E90" w:rsidRPr="00D447FD" w:rsidRDefault="00406E90" w:rsidP="00406E90">
            <w:pPr>
              <w:jc w:val="right"/>
            </w:pPr>
            <w:r w:rsidRPr="00D447FD">
              <w:t>3.004</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Super Off-Peak</w:t>
            </w:r>
          </w:p>
        </w:tc>
        <w:tc>
          <w:tcPr>
            <w:tcW w:w="1890" w:type="dxa"/>
          </w:tcPr>
          <w:p w:rsidR="00406E90" w:rsidRPr="00D447FD" w:rsidRDefault="00406E90" w:rsidP="00406E90">
            <w:pPr>
              <w:jc w:val="right"/>
            </w:pPr>
            <w:r w:rsidRPr="00D447FD">
              <w:t>2.971</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vAlign w:val="center"/>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On-Peak</w:t>
            </w:r>
          </w:p>
        </w:tc>
        <w:tc>
          <w:tcPr>
            <w:tcW w:w="1890" w:type="dxa"/>
          </w:tcPr>
          <w:p w:rsidR="00406E90" w:rsidRPr="00D447FD" w:rsidRDefault="00406E90" w:rsidP="00406E90">
            <w:pPr>
              <w:jc w:val="right"/>
            </w:pPr>
            <w:r w:rsidRPr="00D447FD">
              <w:t>3.173</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vMerge/>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Off-Peak</w:t>
            </w:r>
          </w:p>
        </w:tc>
        <w:tc>
          <w:tcPr>
            <w:tcW w:w="1890" w:type="dxa"/>
          </w:tcPr>
          <w:p w:rsidR="00406E90" w:rsidRPr="00D447FD" w:rsidRDefault="00406E90" w:rsidP="00406E90">
            <w:pPr>
              <w:jc w:val="right"/>
            </w:pPr>
            <w:r w:rsidRPr="00D447FD">
              <w:t>2.973</w:t>
            </w:r>
          </w:p>
        </w:tc>
        <w:tc>
          <w:tcPr>
            <w:tcW w:w="3690" w:type="dxa"/>
            <w:gridSpan w:val="2"/>
            <w:vMerge/>
            <w:tcBorders>
              <w:bottom w:val="nil"/>
            </w:tcBorders>
          </w:tcPr>
          <w:p w:rsidR="00406E90" w:rsidRPr="00A8284F" w:rsidRDefault="00406E90" w:rsidP="00406E90">
            <w:pPr>
              <w:jc w:val="center"/>
              <w:rPr>
                <w:bCs/>
              </w:rPr>
            </w:pPr>
          </w:p>
        </w:tc>
      </w:tr>
      <w:tr w:rsidR="00406E90" w:rsidRPr="00A8284F" w:rsidTr="00406E90">
        <w:tc>
          <w:tcPr>
            <w:tcW w:w="270" w:type="dxa"/>
          </w:tcPr>
          <w:p w:rsidR="00406E90" w:rsidRPr="00A8284F"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Super Off-Peak</w:t>
            </w:r>
          </w:p>
        </w:tc>
        <w:tc>
          <w:tcPr>
            <w:tcW w:w="1890" w:type="dxa"/>
          </w:tcPr>
          <w:p w:rsidR="00406E90" w:rsidRPr="00D447FD" w:rsidRDefault="00406E90" w:rsidP="00406E90">
            <w:pPr>
              <w:jc w:val="right"/>
            </w:pPr>
            <w:r w:rsidRPr="00D447FD">
              <w:t>2.941</w:t>
            </w:r>
          </w:p>
        </w:tc>
        <w:tc>
          <w:tcPr>
            <w:tcW w:w="3690" w:type="dxa"/>
            <w:gridSpan w:val="2"/>
            <w:tcBorders>
              <w:top w:val="nil"/>
            </w:tcBorders>
          </w:tcPr>
          <w:p w:rsidR="00406E90" w:rsidRPr="00A8284F" w:rsidRDefault="00406E90" w:rsidP="00406E90">
            <w:pPr>
              <w:jc w:val="center"/>
              <w:rPr>
                <w:bCs/>
              </w:rPr>
            </w:pPr>
          </w:p>
        </w:tc>
      </w:tr>
    </w:tbl>
    <w:p w:rsidR="005A65DC" w:rsidRDefault="00406E90" w:rsidP="00406E90">
      <w:pPr>
        <w:rPr>
          <w:sz w:val="22"/>
          <w:szCs w:val="22"/>
        </w:rPr>
        <w:sectPr w:rsidR="005A65DC">
          <w:headerReference w:type="first" r:id="rId17"/>
          <w:pgSz w:w="12240" w:h="15840" w:code="1"/>
          <w:pgMar w:top="1440" w:right="1440" w:bottom="1440" w:left="1440" w:header="720" w:footer="720" w:gutter="0"/>
          <w:cols w:space="720"/>
          <w:titlePg/>
          <w:docGrid w:linePitch="360"/>
        </w:sectPr>
      </w:pPr>
      <w:r w:rsidRPr="00D447FD">
        <w:rPr>
          <w:sz w:val="22"/>
          <w:szCs w:val="22"/>
        </w:rPr>
        <w:t>Source: Exhibit ZDJ-3, Document No. 4, Page 2 of 5.</w:t>
      </w:r>
    </w:p>
    <w:p w:rsidR="00406E90" w:rsidRPr="00A8284F" w:rsidRDefault="00406E90" w:rsidP="00406E90">
      <w:pPr>
        <w:jc w:val="both"/>
        <w:rPr>
          <w:b/>
          <w:bCs/>
          <w:caps/>
          <w:u w:val="single"/>
        </w:rPr>
      </w:pPr>
    </w:p>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406E90" w:rsidRPr="007E1BAE" w:rsidTr="00406E90">
        <w:trPr>
          <w:cantSplit/>
          <w:tblHeader/>
        </w:trPr>
        <w:tc>
          <w:tcPr>
            <w:tcW w:w="9360" w:type="dxa"/>
            <w:gridSpan w:val="5"/>
            <w:tcBorders>
              <w:top w:val="nil"/>
              <w:left w:val="nil"/>
              <w:bottom w:val="nil"/>
              <w:right w:val="nil"/>
            </w:tcBorders>
            <w:vAlign w:val="center"/>
          </w:tcPr>
          <w:p w:rsidR="00406E90" w:rsidRPr="005E100D" w:rsidRDefault="00406E90" w:rsidP="00406E90">
            <w:pPr>
              <w:keepNext/>
              <w:keepLines/>
              <w:ind w:left="720" w:hanging="720"/>
              <w:jc w:val="center"/>
              <w:rPr>
                <w:rFonts w:ascii="Arial" w:hAnsi="Arial" w:cs="Arial"/>
                <w:b/>
              </w:rPr>
            </w:pPr>
            <w:r>
              <w:rPr>
                <w:rFonts w:ascii="Arial" w:hAnsi="Arial" w:cs="Arial"/>
                <w:b/>
              </w:rPr>
              <w:t>Table 20-9</w:t>
            </w:r>
          </w:p>
        </w:tc>
      </w:tr>
      <w:tr w:rsidR="00406E90" w:rsidRPr="007E1BAE" w:rsidTr="00406E90">
        <w:trPr>
          <w:cantSplit/>
          <w:tblHeader/>
        </w:trPr>
        <w:tc>
          <w:tcPr>
            <w:tcW w:w="9360" w:type="dxa"/>
            <w:gridSpan w:val="5"/>
            <w:tcBorders>
              <w:top w:val="nil"/>
              <w:left w:val="nil"/>
              <w:right w:val="nil"/>
            </w:tcBorders>
            <w:vAlign w:val="center"/>
          </w:tcPr>
          <w:p w:rsidR="00406E90" w:rsidRDefault="00406E90" w:rsidP="00406E90">
            <w:pPr>
              <w:keepNext/>
              <w:keepLines/>
              <w:ind w:left="720" w:hanging="720"/>
              <w:jc w:val="center"/>
              <w:rPr>
                <w:rFonts w:ascii="Arial" w:hAnsi="Arial" w:cs="Arial"/>
                <w:b/>
              </w:rPr>
            </w:pPr>
            <w:r>
              <w:rPr>
                <w:rFonts w:ascii="Arial" w:hAnsi="Arial" w:cs="Arial"/>
                <w:b/>
              </w:rPr>
              <w:t>*</w:t>
            </w:r>
            <w:r w:rsidRPr="007E1BAE">
              <w:rPr>
                <w:rFonts w:ascii="Arial" w:hAnsi="Arial" w:cs="Arial"/>
                <w:b/>
              </w:rPr>
              <w:t xml:space="preserve">TECO Fuel Cost Recovery Factors </w:t>
            </w:r>
            <w:r>
              <w:rPr>
                <w:rFonts w:ascii="Arial" w:hAnsi="Arial" w:cs="Arial"/>
                <w:b/>
              </w:rPr>
              <w:t>for the period June-December, 2025</w:t>
            </w:r>
          </w:p>
          <w:p w:rsidR="00406E90" w:rsidRPr="007E1BAE" w:rsidRDefault="00406E90" w:rsidP="00406E90">
            <w:pPr>
              <w:keepNext/>
              <w:keepLines/>
              <w:ind w:left="720" w:hanging="720"/>
              <w:jc w:val="center"/>
              <w:rPr>
                <w:rFonts w:ascii="Arial" w:hAnsi="Arial" w:cs="Arial"/>
                <w:b/>
              </w:rPr>
            </w:pPr>
            <w:r>
              <w:rPr>
                <w:rFonts w:ascii="Arial" w:hAnsi="Arial" w:cs="Arial"/>
                <w:b/>
              </w:rPr>
              <w:t>Under Methodology Proposed in Docket No. 20240026-EI</w:t>
            </w:r>
          </w:p>
        </w:tc>
      </w:tr>
      <w:tr w:rsidR="00406E90" w:rsidRPr="00CE1C67" w:rsidTr="00406E90">
        <w:trPr>
          <w:cantSplit/>
          <w:tblHeader/>
        </w:trPr>
        <w:tc>
          <w:tcPr>
            <w:tcW w:w="3780" w:type="dxa"/>
            <w:gridSpan w:val="2"/>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pPr>
            <w:r w:rsidRPr="00CE1C67">
              <w:t>Metering Voltage Level</w:t>
            </w:r>
          </w:p>
        </w:tc>
        <w:tc>
          <w:tcPr>
            <w:tcW w:w="5580" w:type="dxa"/>
            <w:gridSpan w:val="3"/>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Fuel Cost Recovery Factors (cents per kWh)</w:t>
            </w:r>
          </w:p>
        </w:tc>
      </w:tr>
      <w:tr w:rsidR="00406E90" w:rsidRPr="00CE1C67" w:rsidTr="00406E90">
        <w:trPr>
          <w:cantSplit/>
          <w:tblHeader/>
        </w:trPr>
        <w:tc>
          <w:tcPr>
            <w:tcW w:w="378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Levelized Fuel Recovery Factor</w:t>
            </w: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1,000 kWh)</w:t>
            </w:r>
          </w:p>
        </w:tc>
        <w:tc>
          <w:tcPr>
            <w:tcW w:w="180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Second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(Over 1,000 kWh)</w:t>
            </w:r>
          </w:p>
        </w:tc>
      </w:tr>
      <w:tr w:rsidR="00406E90" w:rsidRPr="00CE1C67" w:rsidTr="00406E90">
        <w:tc>
          <w:tcPr>
            <w:tcW w:w="9360" w:type="dxa"/>
            <w:gridSpan w:val="5"/>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STANDARD</w:t>
            </w:r>
          </w:p>
        </w:tc>
      </w:tr>
      <w:tr w:rsidR="00406E90" w:rsidRPr="00CE1C67" w:rsidTr="00406E90">
        <w:tc>
          <w:tcPr>
            <w:tcW w:w="270" w:type="dxa"/>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Secondary (RS only)</w:t>
            </w:r>
          </w:p>
        </w:tc>
        <w:tc>
          <w:tcPr>
            <w:tcW w:w="189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w:t>
            </w:r>
          </w:p>
        </w:tc>
        <w:tc>
          <w:tcPr>
            <w:tcW w:w="189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3.044</w:t>
            </w:r>
          </w:p>
        </w:tc>
        <w:tc>
          <w:tcPr>
            <w:tcW w:w="180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4.044</w:t>
            </w: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Secondary</w:t>
            </w:r>
          </w:p>
        </w:tc>
        <w:tc>
          <w:tcPr>
            <w:tcW w:w="189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3.391</w:t>
            </w:r>
          </w:p>
        </w:tc>
        <w:tc>
          <w:tcPr>
            <w:tcW w:w="3690" w:type="dxa"/>
            <w:gridSpan w:val="2"/>
            <w:vMerge w:val="restart"/>
            <w:vAlign w:val="center"/>
          </w:tcPr>
          <w:p w:rsidR="00406E90" w:rsidRPr="00D447FD"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Distribution Primary</w:t>
            </w:r>
          </w:p>
        </w:tc>
        <w:tc>
          <w:tcPr>
            <w:tcW w:w="189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3.357</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Transmission</w:t>
            </w:r>
          </w:p>
        </w:tc>
        <w:tc>
          <w:tcPr>
            <w:tcW w:w="1890" w:type="dxa"/>
          </w:tcPr>
          <w:p w:rsidR="00406E90" w:rsidRPr="00D447FD" w:rsidRDefault="00406E90" w:rsidP="00406E90">
            <w:pPr>
              <w:pStyle w:val="Footer"/>
              <w:keepNext/>
              <w:keepLines/>
              <w:widowControl w:val="0"/>
              <w:tabs>
                <w:tab w:val="center" w:pos="5940"/>
                <w:tab w:val="center" w:pos="7380"/>
              </w:tabs>
              <w:suppressAutoHyphens/>
              <w:jc w:val="right"/>
              <w:rPr>
                <w:bCs/>
              </w:rPr>
            </w:pPr>
            <w:r w:rsidRPr="00D447FD">
              <w:rPr>
                <w:bCs/>
              </w:rPr>
              <w:t>3.323</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Lighting Service</w:t>
            </w:r>
          </w:p>
        </w:tc>
        <w:tc>
          <w:tcPr>
            <w:tcW w:w="1890" w:type="dxa"/>
          </w:tcPr>
          <w:p w:rsidR="00406E90" w:rsidRPr="00462B80" w:rsidRDefault="00406E90" w:rsidP="00406E90">
            <w:pPr>
              <w:pStyle w:val="Footer"/>
              <w:keepNext/>
              <w:keepLines/>
              <w:widowControl w:val="0"/>
              <w:tabs>
                <w:tab w:val="center" w:pos="5940"/>
                <w:tab w:val="center" w:pos="7380"/>
              </w:tabs>
              <w:suppressAutoHyphens/>
              <w:jc w:val="right"/>
              <w:rPr>
                <w:bCs/>
                <w:highlight w:val="yellow"/>
              </w:rPr>
            </w:pPr>
            <w:r w:rsidRPr="00D447FD">
              <w:rPr>
                <w:bCs/>
              </w:rPr>
              <w:t>3.374</w:t>
            </w:r>
          </w:p>
        </w:tc>
        <w:tc>
          <w:tcPr>
            <w:tcW w:w="369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9360" w:type="dxa"/>
            <w:gridSpan w:val="5"/>
          </w:tcPr>
          <w:p w:rsidR="00406E90" w:rsidRPr="00D447FD" w:rsidRDefault="00406E90" w:rsidP="00406E90">
            <w:pPr>
              <w:pStyle w:val="Footer"/>
              <w:keepNext/>
              <w:keepLines/>
              <w:widowControl w:val="0"/>
              <w:tabs>
                <w:tab w:val="center" w:pos="5940"/>
                <w:tab w:val="center" w:pos="7380"/>
              </w:tabs>
              <w:suppressAutoHyphens/>
              <w:rPr>
                <w:bCs/>
              </w:rPr>
            </w:pPr>
            <w:r w:rsidRPr="00D447FD">
              <w:rPr>
                <w:bCs/>
              </w:rPr>
              <w:t>TIME OF USE</w:t>
            </w:r>
          </w:p>
        </w:tc>
      </w:tr>
      <w:tr w:rsidR="00406E90" w:rsidRPr="00CE1C67" w:rsidTr="00406E90">
        <w:tc>
          <w:tcPr>
            <w:tcW w:w="270" w:type="dxa"/>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On-Peak</w:t>
            </w:r>
          </w:p>
        </w:tc>
        <w:tc>
          <w:tcPr>
            <w:tcW w:w="1890" w:type="dxa"/>
            <w:vAlign w:val="bottom"/>
          </w:tcPr>
          <w:p w:rsidR="00406E90" w:rsidRPr="00D447FD" w:rsidRDefault="00406E90" w:rsidP="00406E90">
            <w:pPr>
              <w:jc w:val="right"/>
            </w:pPr>
            <w:r w:rsidRPr="00D447FD">
              <w:t>3.561</w:t>
            </w:r>
          </w:p>
        </w:tc>
        <w:tc>
          <w:tcPr>
            <w:tcW w:w="3690" w:type="dxa"/>
            <w:gridSpan w:val="2"/>
            <w:vMerge w:val="restart"/>
            <w:tcBorders>
              <w:bottom w:val="nil"/>
            </w:tcBorders>
            <w:vAlign w:val="center"/>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Off-Peak</w:t>
            </w:r>
          </w:p>
        </w:tc>
        <w:tc>
          <w:tcPr>
            <w:tcW w:w="1890" w:type="dxa"/>
            <w:vAlign w:val="bottom"/>
          </w:tcPr>
          <w:p w:rsidR="00406E90" w:rsidRPr="00D447FD" w:rsidRDefault="00406E90" w:rsidP="00406E90">
            <w:pPr>
              <w:jc w:val="right"/>
            </w:pPr>
            <w:r w:rsidRPr="00D447FD">
              <w:t>3.336</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Secondary- Super Off-Peak</w:t>
            </w:r>
          </w:p>
        </w:tc>
        <w:tc>
          <w:tcPr>
            <w:tcW w:w="1890" w:type="dxa"/>
            <w:vAlign w:val="bottom"/>
          </w:tcPr>
          <w:p w:rsidR="00406E90" w:rsidRPr="00D447FD" w:rsidRDefault="00406E90" w:rsidP="00406E90">
            <w:pPr>
              <w:jc w:val="right"/>
            </w:pPr>
            <w:r w:rsidRPr="00D447FD">
              <w:t>3.301</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On-Peak</w:t>
            </w:r>
          </w:p>
        </w:tc>
        <w:tc>
          <w:tcPr>
            <w:tcW w:w="1890" w:type="dxa"/>
          </w:tcPr>
          <w:p w:rsidR="00406E90" w:rsidRPr="00D447FD" w:rsidRDefault="00406E90" w:rsidP="00406E90">
            <w:pPr>
              <w:jc w:val="right"/>
            </w:pPr>
            <w:r w:rsidRPr="00D447FD">
              <w:t>3.525</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Off-Peak</w:t>
            </w:r>
          </w:p>
        </w:tc>
        <w:tc>
          <w:tcPr>
            <w:tcW w:w="1890" w:type="dxa"/>
          </w:tcPr>
          <w:p w:rsidR="00406E90" w:rsidRPr="00D447FD" w:rsidRDefault="00406E90" w:rsidP="00406E90">
            <w:pPr>
              <w:jc w:val="right"/>
            </w:pPr>
            <w:r w:rsidRPr="00D447FD">
              <w:t>3.303</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Distribution Primary- Super Off-Peak</w:t>
            </w:r>
          </w:p>
        </w:tc>
        <w:tc>
          <w:tcPr>
            <w:tcW w:w="1890" w:type="dxa"/>
          </w:tcPr>
          <w:p w:rsidR="00406E90" w:rsidRPr="00D447FD" w:rsidRDefault="00406E90" w:rsidP="00406E90">
            <w:pPr>
              <w:jc w:val="right"/>
            </w:pPr>
            <w:r w:rsidRPr="00D447FD">
              <w:t>3.268</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On-Peak</w:t>
            </w:r>
          </w:p>
        </w:tc>
        <w:tc>
          <w:tcPr>
            <w:tcW w:w="1890" w:type="dxa"/>
          </w:tcPr>
          <w:p w:rsidR="00406E90" w:rsidRPr="00D447FD" w:rsidRDefault="00406E90" w:rsidP="00406E90">
            <w:pPr>
              <w:jc w:val="right"/>
            </w:pPr>
            <w:r w:rsidRPr="00D447FD">
              <w:t>3.490</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Off-Peak</w:t>
            </w:r>
          </w:p>
        </w:tc>
        <w:tc>
          <w:tcPr>
            <w:tcW w:w="1890" w:type="dxa"/>
          </w:tcPr>
          <w:p w:rsidR="00406E90" w:rsidRPr="00D447FD" w:rsidRDefault="00406E90" w:rsidP="00406E90">
            <w:pPr>
              <w:jc w:val="right"/>
            </w:pPr>
            <w:r w:rsidRPr="00D447FD">
              <w:t>3.269</w:t>
            </w:r>
          </w:p>
        </w:tc>
        <w:tc>
          <w:tcPr>
            <w:tcW w:w="3690" w:type="dxa"/>
            <w:gridSpan w:val="2"/>
            <w:vMerge/>
            <w:tcBorders>
              <w:bottom w:val="nil"/>
            </w:tcBorders>
          </w:tcPr>
          <w:p w:rsidR="00406E90" w:rsidRPr="00CE1C67" w:rsidRDefault="00406E90" w:rsidP="00406E90">
            <w:pPr>
              <w:jc w:val="center"/>
              <w:rPr>
                <w:bCs/>
              </w:rPr>
            </w:pPr>
          </w:p>
        </w:tc>
      </w:tr>
      <w:tr w:rsidR="00406E90" w:rsidRPr="00CE1C67" w:rsidTr="00406E90">
        <w:tc>
          <w:tcPr>
            <w:tcW w:w="270" w:type="dxa"/>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A8284F" w:rsidRDefault="00406E90" w:rsidP="00406E90">
            <w:r w:rsidRPr="00A8284F">
              <w:t>Transmission- Super Off-Peak</w:t>
            </w:r>
          </w:p>
        </w:tc>
        <w:tc>
          <w:tcPr>
            <w:tcW w:w="1890" w:type="dxa"/>
          </w:tcPr>
          <w:p w:rsidR="00406E90" w:rsidRPr="00D447FD" w:rsidRDefault="00406E90" w:rsidP="00406E90">
            <w:pPr>
              <w:jc w:val="right"/>
            </w:pPr>
            <w:r w:rsidRPr="00D447FD">
              <w:t>3.235</w:t>
            </w:r>
          </w:p>
        </w:tc>
        <w:tc>
          <w:tcPr>
            <w:tcW w:w="3690" w:type="dxa"/>
            <w:gridSpan w:val="2"/>
            <w:tcBorders>
              <w:top w:val="nil"/>
            </w:tcBorders>
          </w:tcPr>
          <w:p w:rsidR="00406E90" w:rsidRPr="00CE1C67" w:rsidRDefault="00406E90" w:rsidP="00406E90">
            <w:pPr>
              <w:jc w:val="center"/>
              <w:rPr>
                <w:bCs/>
              </w:rPr>
            </w:pPr>
          </w:p>
        </w:tc>
      </w:tr>
    </w:tbl>
    <w:p w:rsidR="00406E90" w:rsidRPr="00CE1C67" w:rsidRDefault="00406E90" w:rsidP="00406E90">
      <w:pPr>
        <w:rPr>
          <w:sz w:val="22"/>
          <w:szCs w:val="22"/>
        </w:rPr>
      </w:pPr>
      <w:r w:rsidRPr="00D447FD">
        <w:rPr>
          <w:sz w:val="22"/>
          <w:szCs w:val="22"/>
        </w:rPr>
        <w:t>Source: Exhibit ZD</w:t>
      </w:r>
      <w:r>
        <w:rPr>
          <w:sz w:val="22"/>
          <w:szCs w:val="22"/>
        </w:rPr>
        <w:t>J</w:t>
      </w:r>
      <w:r w:rsidRPr="00D447FD">
        <w:rPr>
          <w:sz w:val="22"/>
          <w:szCs w:val="22"/>
        </w:rPr>
        <w:t>-3, Document No. 4, Page 3 of 5.</w:t>
      </w:r>
    </w:p>
    <w:p w:rsidR="005A65DC" w:rsidRDefault="005A65DC" w:rsidP="00406E90">
      <w:pPr>
        <w:autoSpaceDE w:val="0"/>
        <w:autoSpaceDN w:val="0"/>
        <w:adjustRightInd w:val="0"/>
        <w:jc w:val="both"/>
        <w:sectPr w:rsidR="005A65DC">
          <w:headerReference w:type="first" r:id="rId18"/>
          <w:pgSz w:w="12240" w:h="15840" w:code="1"/>
          <w:pgMar w:top="1440" w:right="1440" w:bottom="1440" w:left="1440" w:header="720" w:footer="720" w:gutter="0"/>
          <w:cols w:space="720"/>
          <w:titlePg/>
          <w:docGrid w:linePitch="360"/>
        </w:sectPr>
      </w:pPr>
    </w:p>
    <w:p w:rsidR="00406E90" w:rsidRPr="005E6F70" w:rsidRDefault="00406E90" w:rsidP="00406E90">
      <w:pPr>
        <w:autoSpaceDE w:val="0"/>
        <w:autoSpaceDN w:val="0"/>
        <w:adjustRightInd w:val="0"/>
        <w:jc w:val="both"/>
      </w:pPr>
    </w:p>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406E90" w:rsidRPr="007E1BAE" w:rsidTr="00406E90">
        <w:trPr>
          <w:cantSplit/>
          <w:tblHeader/>
        </w:trPr>
        <w:tc>
          <w:tcPr>
            <w:tcW w:w="9360" w:type="dxa"/>
            <w:gridSpan w:val="5"/>
            <w:tcBorders>
              <w:top w:val="nil"/>
              <w:left w:val="nil"/>
              <w:bottom w:val="nil"/>
              <w:right w:val="nil"/>
            </w:tcBorders>
            <w:vAlign w:val="center"/>
          </w:tcPr>
          <w:p w:rsidR="00406E90" w:rsidRPr="005E100D" w:rsidRDefault="00406E90" w:rsidP="00406E90">
            <w:pPr>
              <w:keepNext/>
              <w:keepLines/>
              <w:ind w:left="720" w:hanging="720"/>
              <w:jc w:val="center"/>
              <w:rPr>
                <w:rFonts w:ascii="Arial" w:hAnsi="Arial" w:cs="Arial"/>
                <w:b/>
              </w:rPr>
            </w:pPr>
            <w:r>
              <w:rPr>
                <w:rFonts w:ascii="Arial" w:hAnsi="Arial" w:cs="Arial"/>
                <w:b/>
              </w:rPr>
              <w:t>Table 20-10</w:t>
            </w:r>
          </w:p>
        </w:tc>
      </w:tr>
      <w:tr w:rsidR="00406E90" w:rsidRPr="007E1BAE" w:rsidTr="00406E90">
        <w:trPr>
          <w:cantSplit/>
          <w:tblHeader/>
        </w:trPr>
        <w:tc>
          <w:tcPr>
            <w:tcW w:w="9360" w:type="dxa"/>
            <w:gridSpan w:val="5"/>
            <w:tcBorders>
              <w:top w:val="nil"/>
              <w:left w:val="nil"/>
              <w:right w:val="nil"/>
            </w:tcBorders>
            <w:vAlign w:val="center"/>
          </w:tcPr>
          <w:p w:rsidR="00406E90" w:rsidRPr="007E1BAE" w:rsidRDefault="00406E90" w:rsidP="00406E90">
            <w:pPr>
              <w:keepNext/>
              <w:keepLines/>
              <w:ind w:left="720" w:hanging="720"/>
              <w:jc w:val="center"/>
              <w:rPr>
                <w:rFonts w:ascii="Arial" w:hAnsi="Arial" w:cs="Arial"/>
                <w:b/>
              </w:rPr>
            </w:pPr>
            <w:r w:rsidRPr="007E1BAE">
              <w:rPr>
                <w:rFonts w:ascii="Arial" w:hAnsi="Arial" w:cs="Arial"/>
                <w:b/>
              </w:rPr>
              <w:t xml:space="preserve">TECO Fuel Cost Recovery Factors </w:t>
            </w:r>
            <w:r>
              <w:rPr>
                <w:rFonts w:ascii="Arial" w:hAnsi="Arial" w:cs="Arial"/>
                <w:b/>
              </w:rPr>
              <w:t>for the period January-May, 2025</w:t>
            </w:r>
          </w:p>
        </w:tc>
      </w:tr>
      <w:tr w:rsidR="00406E90" w:rsidRPr="00CE1C67" w:rsidTr="00406E90">
        <w:trPr>
          <w:cantSplit/>
          <w:tblHeader/>
        </w:trPr>
        <w:tc>
          <w:tcPr>
            <w:tcW w:w="3780" w:type="dxa"/>
            <w:gridSpan w:val="2"/>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pPr>
            <w:r w:rsidRPr="00CE1C67">
              <w:t>Metering Voltage Level</w:t>
            </w:r>
          </w:p>
        </w:tc>
        <w:tc>
          <w:tcPr>
            <w:tcW w:w="5580" w:type="dxa"/>
            <w:gridSpan w:val="3"/>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Fuel Cost Recovery Factors (cents per kWh)</w:t>
            </w:r>
          </w:p>
        </w:tc>
      </w:tr>
      <w:tr w:rsidR="00406E90" w:rsidRPr="00CE1C67" w:rsidTr="00406E90">
        <w:trPr>
          <w:cantSplit/>
          <w:tblHeader/>
        </w:trPr>
        <w:tc>
          <w:tcPr>
            <w:tcW w:w="378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Levelized Fuel Recovery Factor</w:t>
            </w: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1,000 kWh)</w:t>
            </w:r>
          </w:p>
        </w:tc>
        <w:tc>
          <w:tcPr>
            <w:tcW w:w="180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Second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(Over 1,000 kWh)</w:t>
            </w:r>
          </w:p>
        </w:tc>
      </w:tr>
      <w:tr w:rsidR="00406E90" w:rsidRPr="00CE1C67" w:rsidTr="00406E90">
        <w:tc>
          <w:tcPr>
            <w:tcW w:w="9360" w:type="dxa"/>
            <w:gridSpan w:val="5"/>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STANDARD</w:t>
            </w:r>
          </w:p>
        </w:tc>
      </w:tr>
      <w:tr w:rsidR="00406E90" w:rsidRPr="00CE1C67" w:rsidTr="00406E90">
        <w:tc>
          <w:tcPr>
            <w:tcW w:w="270" w:type="dxa"/>
            <w:vMerge w:val="restart"/>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Secondary (RS only)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2.852</w:t>
            </w:r>
          </w:p>
        </w:tc>
        <w:tc>
          <w:tcPr>
            <w:tcW w:w="180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3.852</w:t>
            </w:r>
          </w:p>
        </w:tc>
      </w:tr>
      <w:tr w:rsidR="00406E90" w:rsidRPr="00CE1C67"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Secondary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3.083</w:t>
            </w:r>
          </w:p>
        </w:tc>
        <w:tc>
          <w:tcPr>
            <w:tcW w:w="3690" w:type="dxa"/>
            <w:gridSpan w:val="2"/>
            <w:vMerge w:val="restart"/>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Primary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3.052</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Transmission</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3.021</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Lighting Service</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3.059</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CE1C67" w:rsidTr="00406E90">
        <w:tc>
          <w:tcPr>
            <w:tcW w:w="9360" w:type="dxa"/>
            <w:gridSpan w:val="5"/>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TIME OF USE</w:t>
            </w:r>
          </w:p>
        </w:tc>
      </w:tr>
      <w:tr w:rsidR="00406E90" w:rsidRPr="00CE1C67" w:rsidTr="00406E90">
        <w:tc>
          <w:tcPr>
            <w:tcW w:w="270" w:type="dxa"/>
            <w:vMerge w:val="restart"/>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rsidRPr="00765C2A">
              <w:t>Distribution Secondary- On-Peak</w:t>
            </w:r>
          </w:p>
        </w:tc>
        <w:tc>
          <w:tcPr>
            <w:tcW w:w="1890" w:type="dxa"/>
          </w:tcPr>
          <w:p w:rsidR="00406E90" w:rsidRPr="00765C2A" w:rsidRDefault="00406E90" w:rsidP="00406E90">
            <w:pPr>
              <w:jc w:val="right"/>
            </w:pPr>
            <w:r w:rsidRPr="00765C2A">
              <w:t>3.227</w:t>
            </w:r>
          </w:p>
        </w:tc>
        <w:tc>
          <w:tcPr>
            <w:tcW w:w="3690" w:type="dxa"/>
            <w:gridSpan w:val="2"/>
            <w:vMerge w:val="restart"/>
            <w:vAlign w:val="center"/>
          </w:tcPr>
          <w:p w:rsidR="00406E90" w:rsidRPr="00765C2A"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r w:rsidRPr="00CE1C67">
              <w:t>Distribution Secondary- Off-Peak</w:t>
            </w:r>
          </w:p>
        </w:tc>
        <w:tc>
          <w:tcPr>
            <w:tcW w:w="1890" w:type="dxa"/>
          </w:tcPr>
          <w:p w:rsidR="00406E90" w:rsidRPr="00765C2A" w:rsidRDefault="00406E90" w:rsidP="00406E90">
            <w:pPr>
              <w:jc w:val="right"/>
            </w:pPr>
            <w:r w:rsidRPr="00765C2A">
              <w:t>3.024</w:t>
            </w:r>
          </w:p>
        </w:tc>
        <w:tc>
          <w:tcPr>
            <w:tcW w:w="3690" w:type="dxa"/>
            <w:gridSpan w:val="2"/>
            <w:vMerge/>
          </w:tcPr>
          <w:p w:rsidR="00406E90" w:rsidRPr="00CE1C67" w:rsidRDefault="00406E90" w:rsidP="00406E90">
            <w:pPr>
              <w:jc w:val="center"/>
              <w:rPr>
                <w:bCs/>
              </w:rPr>
            </w:pPr>
          </w:p>
        </w:tc>
      </w:tr>
      <w:tr w:rsidR="00406E90" w:rsidRPr="00CE1C67" w:rsidTr="00406E90">
        <w:tc>
          <w:tcPr>
            <w:tcW w:w="270" w:type="dxa"/>
            <w:vMerge/>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r w:rsidRPr="00CE1C67">
              <w:t>Distribution Primary- On-Peak</w:t>
            </w:r>
          </w:p>
        </w:tc>
        <w:tc>
          <w:tcPr>
            <w:tcW w:w="1890" w:type="dxa"/>
          </w:tcPr>
          <w:p w:rsidR="00406E90" w:rsidRPr="00765C2A" w:rsidRDefault="00406E90" w:rsidP="00406E90">
            <w:pPr>
              <w:jc w:val="right"/>
            </w:pPr>
            <w:r w:rsidRPr="00765C2A">
              <w:t>3.195</w:t>
            </w:r>
          </w:p>
        </w:tc>
        <w:tc>
          <w:tcPr>
            <w:tcW w:w="3690" w:type="dxa"/>
            <w:gridSpan w:val="2"/>
            <w:vMerge/>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r w:rsidRPr="00CE1C67">
              <w:t>Distribution Primary- Off-Peak</w:t>
            </w:r>
          </w:p>
        </w:tc>
        <w:tc>
          <w:tcPr>
            <w:tcW w:w="1890" w:type="dxa"/>
          </w:tcPr>
          <w:p w:rsidR="00406E90" w:rsidRPr="00765C2A" w:rsidRDefault="00406E90" w:rsidP="00406E90">
            <w:pPr>
              <w:jc w:val="right"/>
            </w:pPr>
            <w:r w:rsidRPr="00765C2A">
              <w:t>2.994</w:t>
            </w:r>
          </w:p>
        </w:tc>
        <w:tc>
          <w:tcPr>
            <w:tcW w:w="3690" w:type="dxa"/>
            <w:gridSpan w:val="2"/>
            <w:vMerge/>
          </w:tcPr>
          <w:p w:rsidR="00406E90" w:rsidRPr="00CE1C67" w:rsidRDefault="00406E90" w:rsidP="00406E90">
            <w:pPr>
              <w:jc w:val="center"/>
              <w:rPr>
                <w:bCs/>
              </w:rPr>
            </w:pPr>
          </w:p>
        </w:tc>
      </w:tr>
      <w:tr w:rsidR="00406E90" w:rsidRPr="00CE1C67" w:rsidTr="00406E90">
        <w:tc>
          <w:tcPr>
            <w:tcW w:w="270" w:type="dxa"/>
            <w:vMerge/>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r>
              <w:t>Transmission-</w:t>
            </w:r>
            <w:r w:rsidRPr="00CE1C67">
              <w:t xml:space="preserve"> On-Peak</w:t>
            </w:r>
          </w:p>
        </w:tc>
        <w:tc>
          <w:tcPr>
            <w:tcW w:w="1890" w:type="dxa"/>
          </w:tcPr>
          <w:p w:rsidR="00406E90" w:rsidRPr="00765C2A" w:rsidRDefault="00406E90" w:rsidP="00406E90">
            <w:pPr>
              <w:jc w:val="right"/>
            </w:pPr>
            <w:r w:rsidRPr="00765C2A">
              <w:t>3.162</w:t>
            </w:r>
          </w:p>
        </w:tc>
        <w:tc>
          <w:tcPr>
            <w:tcW w:w="3690" w:type="dxa"/>
            <w:gridSpan w:val="2"/>
            <w:vMerge/>
          </w:tcPr>
          <w:p w:rsidR="00406E90" w:rsidRPr="00CE1C67" w:rsidRDefault="00406E90" w:rsidP="00406E90">
            <w:pPr>
              <w:jc w:val="center"/>
              <w:rPr>
                <w:bCs/>
              </w:rPr>
            </w:pPr>
          </w:p>
        </w:tc>
      </w:tr>
      <w:tr w:rsidR="00406E90" w:rsidRPr="00CE1C67" w:rsidTr="00406E90">
        <w:tc>
          <w:tcPr>
            <w:tcW w:w="270" w:type="dxa"/>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CE1C67" w:rsidRDefault="00406E90" w:rsidP="00406E90">
            <w:r>
              <w:t>Transmission-</w:t>
            </w:r>
            <w:r w:rsidRPr="00CE1C67">
              <w:t xml:space="preserve"> Off-Peak</w:t>
            </w:r>
          </w:p>
        </w:tc>
        <w:tc>
          <w:tcPr>
            <w:tcW w:w="1890" w:type="dxa"/>
          </w:tcPr>
          <w:p w:rsidR="00406E90" w:rsidRPr="00765C2A" w:rsidRDefault="00406E90" w:rsidP="00406E90">
            <w:pPr>
              <w:jc w:val="right"/>
            </w:pPr>
            <w:r w:rsidRPr="00765C2A">
              <w:t>2.964</w:t>
            </w:r>
          </w:p>
        </w:tc>
        <w:tc>
          <w:tcPr>
            <w:tcW w:w="3690" w:type="dxa"/>
            <w:gridSpan w:val="2"/>
            <w:vMerge/>
          </w:tcPr>
          <w:p w:rsidR="00406E90" w:rsidRPr="00CE1C67" w:rsidRDefault="00406E90" w:rsidP="00406E90">
            <w:pPr>
              <w:jc w:val="center"/>
              <w:rPr>
                <w:bCs/>
              </w:rPr>
            </w:pPr>
          </w:p>
        </w:tc>
      </w:tr>
    </w:tbl>
    <w:p w:rsidR="00406E90" w:rsidRPr="00CE1C67" w:rsidRDefault="00406E90" w:rsidP="00406E90">
      <w:pPr>
        <w:rPr>
          <w:sz w:val="22"/>
          <w:szCs w:val="22"/>
        </w:rPr>
      </w:pPr>
      <w:r w:rsidRPr="00765C2A">
        <w:rPr>
          <w:sz w:val="22"/>
          <w:szCs w:val="22"/>
        </w:rPr>
        <w:t>Source: Exhibit ZDJ-3, Document No. 2, Page 9 of 46.</w:t>
      </w:r>
    </w:p>
    <w:p w:rsidR="00406E90" w:rsidRDefault="00406E90" w:rsidP="00406E90">
      <w:pPr>
        <w:jc w:val="both"/>
        <w:rPr>
          <w:b/>
          <w:bCs/>
          <w:caps/>
          <w:u w:val="single"/>
        </w:rPr>
      </w:pPr>
    </w:p>
    <w:tbl>
      <w:tblPr>
        <w:tblStyle w:val="TableGrid"/>
        <w:tblW w:w="9360" w:type="dxa"/>
        <w:tblInd w:w="108" w:type="dxa"/>
        <w:tblLayout w:type="fixed"/>
        <w:tblLook w:val="04A0" w:firstRow="1" w:lastRow="0" w:firstColumn="1" w:lastColumn="0" w:noHBand="0" w:noVBand="1"/>
      </w:tblPr>
      <w:tblGrid>
        <w:gridCol w:w="270"/>
        <w:gridCol w:w="3510"/>
        <w:gridCol w:w="1890"/>
        <w:gridCol w:w="1890"/>
        <w:gridCol w:w="1800"/>
      </w:tblGrid>
      <w:tr w:rsidR="00406E90" w:rsidRPr="007E1BAE" w:rsidTr="00406E90">
        <w:trPr>
          <w:cantSplit/>
          <w:tblHeader/>
        </w:trPr>
        <w:tc>
          <w:tcPr>
            <w:tcW w:w="9360" w:type="dxa"/>
            <w:gridSpan w:val="5"/>
            <w:tcBorders>
              <w:top w:val="nil"/>
              <w:left w:val="nil"/>
              <w:bottom w:val="nil"/>
              <w:right w:val="nil"/>
            </w:tcBorders>
            <w:vAlign w:val="center"/>
          </w:tcPr>
          <w:p w:rsidR="00406E90" w:rsidRPr="005E100D" w:rsidRDefault="00406E90" w:rsidP="00406E90">
            <w:pPr>
              <w:keepNext/>
              <w:keepLines/>
              <w:ind w:left="720" w:hanging="720"/>
              <w:jc w:val="center"/>
              <w:rPr>
                <w:rFonts w:ascii="Arial" w:hAnsi="Arial" w:cs="Arial"/>
                <w:b/>
              </w:rPr>
            </w:pPr>
            <w:r>
              <w:rPr>
                <w:rFonts w:ascii="Arial" w:hAnsi="Arial" w:cs="Arial"/>
                <w:b/>
              </w:rPr>
              <w:t>Table 20-11</w:t>
            </w:r>
          </w:p>
        </w:tc>
      </w:tr>
      <w:tr w:rsidR="00406E90" w:rsidRPr="007E1BAE" w:rsidTr="00406E90">
        <w:trPr>
          <w:cantSplit/>
          <w:tblHeader/>
        </w:trPr>
        <w:tc>
          <w:tcPr>
            <w:tcW w:w="9360" w:type="dxa"/>
            <w:gridSpan w:val="5"/>
            <w:tcBorders>
              <w:top w:val="nil"/>
              <w:left w:val="nil"/>
              <w:right w:val="nil"/>
            </w:tcBorders>
            <w:vAlign w:val="center"/>
          </w:tcPr>
          <w:p w:rsidR="00406E90" w:rsidRPr="007E1BAE" w:rsidRDefault="00406E90" w:rsidP="00406E90">
            <w:pPr>
              <w:keepNext/>
              <w:keepLines/>
              <w:ind w:left="720" w:hanging="720"/>
              <w:jc w:val="center"/>
              <w:rPr>
                <w:rFonts w:ascii="Arial" w:hAnsi="Arial" w:cs="Arial"/>
                <w:b/>
              </w:rPr>
            </w:pPr>
            <w:r w:rsidRPr="007E1BAE">
              <w:rPr>
                <w:rFonts w:ascii="Arial" w:hAnsi="Arial" w:cs="Arial"/>
                <w:b/>
              </w:rPr>
              <w:t xml:space="preserve">TECO Fuel Cost Recovery Factors </w:t>
            </w:r>
            <w:r>
              <w:rPr>
                <w:rFonts w:ascii="Arial" w:hAnsi="Arial" w:cs="Arial"/>
                <w:b/>
              </w:rPr>
              <w:t>for the period June-December, 2025</w:t>
            </w:r>
          </w:p>
        </w:tc>
      </w:tr>
      <w:tr w:rsidR="00406E90" w:rsidRPr="00CE1C67" w:rsidTr="00406E90">
        <w:trPr>
          <w:cantSplit/>
          <w:tblHeader/>
        </w:trPr>
        <w:tc>
          <w:tcPr>
            <w:tcW w:w="3780" w:type="dxa"/>
            <w:gridSpan w:val="2"/>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pPr>
            <w:r w:rsidRPr="00CE1C67">
              <w:t>Metering Voltage Level</w:t>
            </w:r>
          </w:p>
        </w:tc>
        <w:tc>
          <w:tcPr>
            <w:tcW w:w="5580" w:type="dxa"/>
            <w:gridSpan w:val="3"/>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Fuel Cost Recovery Factors (cents per kWh)</w:t>
            </w:r>
          </w:p>
        </w:tc>
      </w:tr>
      <w:tr w:rsidR="00406E90" w:rsidRPr="00CE1C67" w:rsidTr="00406E90">
        <w:trPr>
          <w:cantSplit/>
          <w:tblHeader/>
        </w:trPr>
        <w:tc>
          <w:tcPr>
            <w:tcW w:w="3780" w:type="dxa"/>
            <w:gridSpan w:val="2"/>
            <w:vMerge/>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Levelized Fuel Recovery Factor</w:t>
            </w:r>
          </w:p>
        </w:tc>
        <w:tc>
          <w:tcPr>
            <w:tcW w:w="189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(First 1,000 kWh)</w:t>
            </w:r>
          </w:p>
        </w:tc>
        <w:tc>
          <w:tcPr>
            <w:tcW w:w="1800" w:type="dxa"/>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Second Tier</w:t>
            </w:r>
          </w:p>
          <w:p w:rsidR="00406E90" w:rsidRPr="00CE1C67" w:rsidRDefault="00406E90" w:rsidP="00406E90">
            <w:pPr>
              <w:pStyle w:val="Footer"/>
              <w:keepNext/>
              <w:keepLines/>
              <w:widowControl w:val="0"/>
              <w:tabs>
                <w:tab w:val="center" w:pos="5940"/>
                <w:tab w:val="center" w:pos="7380"/>
              </w:tabs>
              <w:suppressAutoHyphens/>
              <w:jc w:val="center"/>
              <w:rPr>
                <w:bCs/>
              </w:rPr>
            </w:pPr>
            <w:r w:rsidRPr="00CE1C67">
              <w:rPr>
                <w:bCs/>
              </w:rPr>
              <w:t>(Over 1,000 kWh)</w:t>
            </w:r>
          </w:p>
        </w:tc>
      </w:tr>
      <w:tr w:rsidR="00406E90" w:rsidRPr="00CE1C67" w:rsidTr="00406E90">
        <w:tc>
          <w:tcPr>
            <w:tcW w:w="9360" w:type="dxa"/>
            <w:gridSpan w:val="5"/>
          </w:tcPr>
          <w:p w:rsidR="00406E90" w:rsidRPr="00CE1C67" w:rsidRDefault="00406E90" w:rsidP="00406E90">
            <w:pPr>
              <w:pStyle w:val="Footer"/>
              <w:keepNext/>
              <w:keepLines/>
              <w:widowControl w:val="0"/>
              <w:tabs>
                <w:tab w:val="center" w:pos="5940"/>
                <w:tab w:val="center" w:pos="7380"/>
              </w:tabs>
              <w:suppressAutoHyphens/>
              <w:rPr>
                <w:bCs/>
              </w:rPr>
            </w:pPr>
            <w:r w:rsidRPr="00CE1C67">
              <w:rPr>
                <w:bCs/>
              </w:rPr>
              <w:t>STANDARD</w:t>
            </w:r>
          </w:p>
        </w:tc>
      </w:tr>
      <w:tr w:rsidR="00406E90" w:rsidRPr="00765C2A" w:rsidTr="00406E90">
        <w:tc>
          <w:tcPr>
            <w:tcW w:w="270" w:type="dxa"/>
            <w:vMerge w:val="restart"/>
            <w:vAlign w:val="center"/>
          </w:tcPr>
          <w:p w:rsidR="00406E90" w:rsidRPr="00CE1C67"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Secondary (RS only)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3.044</w:t>
            </w:r>
          </w:p>
        </w:tc>
        <w:tc>
          <w:tcPr>
            <w:tcW w:w="180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4.044</w:t>
            </w: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Secondary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3.391</w:t>
            </w:r>
          </w:p>
        </w:tc>
        <w:tc>
          <w:tcPr>
            <w:tcW w:w="3690" w:type="dxa"/>
            <w:gridSpan w:val="2"/>
            <w:vMerge w:val="restart"/>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Distribution Primary</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3.357</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Transmission</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3.323</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Lighting Service</w:t>
            </w:r>
          </w:p>
        </w:tc>
        <w:tc>
          <w:tcPr>
            <w:tcW w:w="1890" w:type="dxa"/>
          </w:tcPr>
          <w:p w:rsidR="00406E90" w:rsidRPr="00765C2A" w:rsidRDefault="00406E90" w:rsidP="00406E90">
            <w:pPr>
              <w:pStyle w:val="Footer"/>
              <w:keepNext/>
              <w:keepLines/>
              <w:widowControl w:val="0"/>
              <w:tabs>
                <w:tab w:val="center" w:pos="5940"/>
                <w:tab w:val="center" w:pos="7380"/>
              </w:tabs>
              <w:suppressAutoHyphens/>
              <w:jc w:val="right"/>
              <w:rPr>
                <w:bCs/>
              </w:rPr>
            </w:pPr>
            <w:r w:rsidRPr="00765C2A">
              <w:rPr>
                <w:bCs/>
              </w:rPr>
              <w:t>3.363</w:t>
            </w:r>
          </w:p>
        </w:tc>
        <w:tc>
          <w:tcPr>
            <w:tcW w:w="3690" w:type="dxa"/>
            <w:gridSpan w:val="2"/>
            <w:vMerge/>
          </w:tcPr>
          <w:p w:rsidR="00406E90" w:rsidRPr="00765C2A" w:rsidRDefault="00406E90" w:rsidP="00406E90">
            <w:pPr>
              <w:pStyle w:val="Footer"/>
              <w:keepNext/>
              <w:keepLines/>
              <w:widowControl w:val="0"/>
              <w:tabs>
                <w:tab w:val="center" w:pos="5940"/>
                <w:tab w:val="center" w:pos="7380"/>
              </w:tabs>
              <w:suppressAutoHyphens/>
              <w:jc w:val="center"/>
              <w:rPr>
                <w:bCs/>
              </w:rPr>
            </w:pPr>
          </w:p>
        </w:tc>
      </w:tr>
      <w:tr w:rsidR="00406E90" w:rsidRPr="00765C2A" w:rsidTr="00406E90">
        <w:tc>
          <w:tcPr>
            <w:tcW w:w="9360" w:type="dxa"/>
            <w:gridSpan w:val="5"/>
          </w:tcPr>
          <w:p w:rsidR="00406E90" w:rsidRPr="00765C2A" w:rsidRDefault="00406E90" w:rsidP="00406E90">
            <w:pPr>
              <w:pStyle w:val="Footer"/>
              <w:keepNext/>
              <w:keepLines/>
              <w:widowControl w:val="0"/>
              <w:tabs>
                <w:tab w:val="center" w:pos="5940"/>
                <w:tab w:val="center" w:pos="7380"/>
              </w:tabs>
              <w:suppressAutoHyphens/>
              <w:rPr>
                <w:bCs/>
              </w:rPr>
            </w:pPr>
            <w:r w:rsidRPr="00765C2A">
              <w:rPr>
                <w:bCs/>
              </w:rPr>
              <w:t>TIME OF USE</w:t>
            </w:r>
          </w:p>
        </w:tc>
      </w:tr>
      <w:tr w:rsidR="00406E90" w:rsidRPr="00765C2A" w:rsidTr="00406E90">
        <w:tc>
          <w:tcPr>
            <w:tcW w:w="270" w:type="dxa"/>
            <w:vMerge w:val="restart"/>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rsidRPr="00765C2A">
              <w:t>Distribution Secondary- On-Peak</w:t>
            </w:r>
          </w:p>
        </w:tc>
        <w:tc>
          <w:tcPr>
            <w:tcW w:w="1890" w:type="dxa"/>
          </w:tcPr>
          <w:p w:rsidR="00406E90" w:rsidRPr="00765C2A" w:rsidRDefault="00406E90" w:rsidP="00406E90">
            <w:pPr>
              <w:jc w:val="right"/>
            </w:pPr>
            <w:r w:rsidRPr="00765C2A">
              <w:t>3.549</w:t>
            </w:r>
          </w:p>
        </w:tc>
        <w:tc>
          <w:tcPr>
            <w:tcW w:w="3690" w:type="dxa"/>
            <w:gridSpan w:val="2"/>
            <w:vMerge w:val="restart"/>
            <w:vAlign w:val="center"/>
          </w:tcPr>
          <w:p w:rsidR="00406E90" w:rsidRPr="00765C2A" w:rsidRDefault="00406E90" w:rsidP="00406E90">
            <w:pPr>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rsidRPr="00765C2A">
              <w:t>Distribution Secondary- Off-Peak</w:t>
            </w:r>
          </w:p>
        </w:tc>
        <w:tc>
          <w:tcPr>
            <w:tcW w:w="1890" w:type="dxa"/>
          </w:tcPr>
          <w:p w:rsidR="00406E90" w:rsidRPr="00765C2A" w:rsidRDefault="00406E90" w:rsidP="00406E90">
            <w:pPr>
              <w:jc w:val="right"/>
            </w:pPr>
            <w:r w:rsidRPr="00765C2A">
              <w:t>3.325</w:t>
            </w:r>
          </w:p>
        </w:tc>
        <w:tc>
          <w:tcPr>
            <w:tcW w:w="3690" w:type="dxa"/>
            <w:gridSpan w:val="2"/>
            <w:vMerge/>
          </w:tcPr>
          <w:p w:rsidR="00406E90" w:rsidRPr="00765C2A" w:rsidRDefault="00406E90" w:rsidP="00406E90">
            <w:pPr>
              <w:jc w:val="center"/>
              <w:rPr>
                <w:bCs/>
              </w:rPr>
            </w:pPr>
          </w:p>
        </w:tc>
      </w:tr>
      <w:tr w:rsidR="00406E90" w:rsidRPr="00765C2A" w:rsidTr="00406E90">
        <w:tc>
          <w:tcPr>
            <w:tcW w:w="270" w:type="dxa"/>
            <w:vMerge/>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rsidRPr="00765C2A">
              <w:t>Distribution Primary- On-Peak</w:t>
            </w:r>
          </w:p>
        </w:tc>
        <w:tc>
          <w:tcPr>
            <w:tcW w:w="1890" w:type="dxa"/>
          </w:tcPr>
          <w:p w:rsidR="00406E90" w:rsidRPr="00765C2A" w:rsidRDefault="00406E90" w:rsidP="00406E90">
            <w:pPr>
              <w:jc w:val="right"/>
            </w:pPr>
            <w:r w:rsidRPr="00765C2A">
              <w:t>3.514</w:t>
            </w:r>
          </w:p>
        </w:tc>
        <w:tc>
          <w:tcPr>
            <w:tcW w:w="3690" w:type="dxa"/>
            <w:gridSpan w:val="2"/>
            <w:vMerge/>
          </w:tcPr>
          <w:p w:rsidR="00406E90" w:rsidRPr="00765C2A" w:rsidRDefault="00406E90" w:rsidP="00406E90">
            <w:pPr>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rsidRPr="00765C2A">
              <w:t>Distribution Primary- Off-Peak</w:t>
            </w:r>
          </w:p>
        </w:tc>
        <w:tc>
          <w:tcPr>
            <w:tcW w:w="1890" w:type="dxa"/>
          </w:tcPr>
          <w:p w:rsidR="00406E90" w:rsidRPr="00765C2A" w:rsidRDefault="00406E90" w:rsidP="00406E90">
            <w:pPr>
              <w:jc w:val="right"/>
            </w:pPr>
            <w:r w:rsidRPr="00765C2A">
              <w:t>3.292</w:t>
            </w:r>
          </w:p>
        </w:tc>
        <w:tc>
          <w:tcPr>
            <w:tcW w:w="3690" w:type="dxa"/>
            <w:gridSpan w:val="2"/>
            <w:vMerge/>
          </w:tcPr>
          <w:p w:rsidR="00406E90" w:rsidRPr="00765C2A" w:rsidRDefault="00406E90" w:rsidP="00406E90">
            <w:pPr>
              <w:jc w:val="center"/>
              <w:rPr>
                <w:bCs/>
              </w:rPr>
            </w:pPr>
          </w:p>
        </w:tc>
      </w:tr>
      <w:tr w:rsidR="00406E90" w:rsidRPr="00765C2A" w:rsidTr="00406E90">
        <w:tc>
          <w:tcPr>
            <w:tcW w:w="270" w:type="dxa"/>
            <w:vMerge/>
            <w:vAlign w:val="center"/>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t>Transmission-</w:t>
            </w:r>
            <w:r w:rsidRPr="00765C2A">
              <w:t xml:space="preserve"> On-Peak</w:t>
            </w:r>
          </w:p>
        </w:tc>
        <w:tc>
          <w:tcPr>
            <w:tcW w:w="1890" w:type="dxa"/>
          </w:tcPr>
          <w:p w:rsidR="00406E90" w:rsidRPr="00765C2A" w:rsidRDefault="00406E90" w:rsidP="00406E90">
            <w:pPr>
              <w:jc w:val="right"/>
            </w:pPr>
            <w:r w:rsidRPr="00765C2A">
              <w:t>3.478</w:t>
            </w:r>
          </w:p>
        </w:tc>
        <w:tc>
          <w:tcPr>
            <w:tcW w:w="3690" w:type="dxa"/>
            <w:gridSpan w:val="2"/>
            <w:vMerge/>
          </w:tcPr>
          <w:p w:rsidR="00406E90" w:rsidRPr="00765C2A" w:rsidRDefault="00406E90" w:rsidP="00406E90">
            <w:pPr>
              <w:jc w:val="center"/>
              <w:rPr>
                <w:bCs/>
              </w:rPr>
            </w:pPr>
          </w:p>
        </w:tc>
      </w:tr>
      <w:tr w:rsidR="00406E90" w:rsidRPr="00765C2A" w:rsidTr="00406E90">
        <w:tc>
          <w:tcPr>
            <w:tcW w:w="270" w:type="dxa"/>
            <w:vMerge/>
          </w:tcPr>
          <w:p w:rsidR="00406E90" w:rsidRPr="00765C2A" w:rsidRDefault="00406E90" w:rsidP="00406E90">
            <w:pPr>
              <w:pStyle w:val="Footer"/>
              <w:keepNext/>
              <w:keepLines/>
              <w:widowControl w:val="0"/>
              <w:tabs>
                <w:tab w:val="center" w:pos="5940"/>
                <w:tab w:val="center" w:pos="7380"/>
              </w:tabs>
              <w:suppressAutoHyphens/>
              <w:jc w:val="center"/>
              <w:rPr>
                <w:bCs/>
              </w:rPr>
            </w:pPr>
          </w:p>
        </w:tc>
        <w:tc>
          <w:tcPr>
            <w:tcW w:w="3510" w:type="dxa"/>
          </w:tcPr>
          <w:p w:rsidR="00406E90" w:rsidRPr="00765C2A" w:rsidRDefault="00406E90" w:rsidP="00406E90">
            <w:r>
              <w:t>Transmission-</w:t>
            </w:r>
            <w:r w:rsidRPr="00765C2A">
              <w:t xml:space="preserve"> Off-Peak</w:t>
            </w:r>
          </w:p>
        </w:tc>
        <w:tc>
          <w:tcPr>
            <w:tcW w:w="1890" w:type="dxa"/>
          </w:tcPr>
          <w:p w:rsidR="00406E90" w:rsidRPr="00765C2A" w:rsidRDefault="00406E90" w:rsidP="00406E90">
            <w:pPr>
              <w:jc w:val="right"/>
            </w:pPr>
            <w:r w:rsidRPr="00765C2A">
              <w:t>3.259</w:t>
            </w:r>
          </w:p>
        </w:tc>
        <w:tc>
          <w:tcPr>
            <w:tcW w:w="3690" w:type="dxa"/>
            <w:gridSpan w:val="2"/>
            <w:vMerge/>
          </w:tcPr>
          <w:p w:rsidR="00406E90" w:rsidRPr="00765C2A" w:rsidRDefault="00406E90" w:rsidP="00406E90">
            <w:pPr>
              <w:jc w:val="center"/>
              <w:rPr>
                <w:bCs/>
              </w:rPr>
            </w:pPr>
          </w:p>
        </w:tc>
      </w:tr>
    </w:tbl>
    <w:p w:rsidR="00406E90" w:rsidRPr="00CE1C67" w:rsidRDefault="00406E90" w:rsidP="00406E90">
      <w:pPr>
        <w:rPr>
          <w:sz w:val="22"/>
          <w:szCs w:val="22"/>
        </w:rPr>
      </w:pPr>
      <w:r w:rsidRPr="00765C2A">
        <w:rPr>
          <w:sz w:val="22"/>
          <w:szCs w:val="22"/>
        </w:rPr>
        <w:t>Source: Exhibit ZDJ-3, Document No. 2, Page 10 of 46.</w:t>
      </w:r>
    </w:p>
    <w:p w:rsidR="00406E90" w:rsidRDefault="00406E90" w:rsidP="00406E90">
      <w:pPr>
        <w:jc w:val="both"/>
        <w:rPr>
          <w:b/>
          <w:bCs/>
          <w:caps/>
          <w:u w:val="single"/>
        </w:rPr>
      </w:pPr>
    </w:p>
    <w:p w:rsidR="005A65DC" w:rsidRDefault="00406E90" w:rsidP="00406E90">
      <w:pPr>
        <w:jc w:val="both"/>
        <w:rPr>
          <w:bCs/>
        </w:rPr>
        <w:sectPr w:rsidR="005A65DC">
          <w:headerReference w:type="first" r:id="rId19"/>
          <w:pgSz w:w="12240" w:h="15840" w:code="1"/>
          <w:pgMar w:top="1440" w:right="1440" w:bottom="1440" w:left="1440" w:header="720" w:footer="720" w:gutter="0"/>
          <w:cols w:space="720"/>
          <w:titlePg/>
          <w:docGrid w:linePitch="360"/>
        </w:sectPr>
      </w:pPr>
      <w:r w:rsidRPr="00514F28">
        <w:rPr>
          <w:bCs/>
        </w:rPr>
        <w:t xml:space="preserve">   </w:t>
      </w:r>
      <w:r>
        <w:rPr>
          <w:bCs/>
        </w:rPr>
        <w:t xml:space="preserve">    </w:t>
      </w:r>
    </w:p>
    <w:p w:rsidR="00406E90" w:rsidRPr="00BF6EBB" w:rsidRDefault="00406E90" w:rsidP="00406E90">
      <w:pPr>
        <w:rPr>
          <w:b/>
          <w:bCs/>
          <w:caps/>
          <w:u w:val="single"/>
        </w:rPr>
      </w:pPr>
      <w:r w:rsidRPr="008420B2">
        <w:rPr>
          <w:b/>
          <w:bCs/>
          <w:caps/>
        </w:rPr>
        <w:lastRenderedPageBreak/>
        <w:t>II.</w:t>
      </w:r>
      <w:r w:rsidRPr="00BF6EBB">
        <w:rPr>
          <w:b/>
          <w:bCs/>
          <w:caps/>
        </w:rPr>
        <w:tab/>
      </w:r>
      <w:r w:rsidRPr="00BF6EBB">
        <w:rPr>
          <w:b/>
          <w:bCs/>
          <w:caps/>
          <w:u w:val="single"/>
        </w:rPr>
        <w:t>Capacity Issues</w:t>
      </w:r>
    </w:p>
    <w:p w:rsidR="00406E90" w:rsidRPr="00BF6EBB" w:rsidRDefault="00406E90" w:rsidP="00406E90">
      <w:pPr>
        <w:autoSpaceDE w:val="0"/>
        <w:autoSpaceDN w:val="0"/>
        <w:adjustRightInd w:val="0"/>
        <w:rPr>
          <w:b/>
          <w:bCs/>
        </w:rPr>
      </w:pPr>
    </w:p>
    <w:p w:rsidR="00406E90" w:rsidRPr="008420B2" w:rsidRDefault="00406E90" w:rsidP="00406E90">
      <w:pPr>
        <w:autoSpaceDE w:val="0"/>
        <w:autoSpaceDN w:val="0"/>
        <w:adjustRightInd w:val="0"/>
        <w:rPr>
          <w:b/>
          <w:bCs/>
          <w:u w:val="single"/>
        </w:rPr>
      </w:pPr>
      <w:r w:rsidRPr="008420B2">
        <w:rPr>
          <w:b/>
          <w:bCs/>
          <w:u w:val="single"/>
        </w:rPr>
        <w:t>COMPANY-SPECIFIC CAPACITY COST RECOVERY FACTOR ISSUES</w:t>
      </w:r>
    </w:p>
    <w:p w:rsidR="00406E90" w:rsidRDefault="00406E90" w:rsidP="00406E90">
      <w:pPr>
        <w:autoSpaceDE w:val="0"/>
        <w:autoSpaceDN w:val="0"/>
        <w:adjustRightInd w:val="0"/>
        <w:rPr>
          <w:b/>
          <w:bCs/>
        </w:rPr>
      </w:pPr>
    </w:p>
    <w:p w:rsidR="00406E90" w:rsidRDefault="00406E90" w:rsidP="00406E90">
      <w:pPr>
        <w:autoSpaceDE w:val="0"/>
        <w:autoSpaceDN w:val="0"/>
        <w:adjustRightInd w:val="0"/>
        <w:rPr>
          <w:b/>
          <w:bCs/>
        </w:rPr>
      </w:pPr>
      <w:r w:rsidRPr="00BF6EBB">
        <w:rPr>
          <w:b/>
          <w:bCs/>
        </w:rPr>
        <w:t>Duke Energy Florida, LLC</w:t>
      </w:r>
    </w:p>
    <w:p w:rsidR="00406E90" w:rsidRDefault="00406E90" w:rsidP="00406E90">
      <w:pPr>
        <w:autoSpaceDE w:val="0"/>
        <w:autoSpaceDN w:val="0"/>
        <w:adjustRightInd w:val="0"/>
        <w:rPr>
          <w:b/>
          <w:bCs/>
        </w:rPr>
      </w:pPr>
    </w:p>
    <w:p w:rsidR="00406E90" w:rsidRDefault="00406E90" w:rsidP="00406E90">
      <w:pPr>
        <w:autoSpaceDE w:val="0"/>
        <w:autoSpaceDN w:val="0"/>
        <w:adjustRightInd w:val="0"/>
        <w:ind w:left="1440" w:hanging="1440"/>
      </w:pPr>
      <w:r>
        <w:rPr>
          <w:b/>
          <w:u w:val="single"/>
        </w:rPr>
        <w:t>ISSUE 21A</w:t>
      </w:r>
      <w:r>
        <w:rPr>
          <w:b/>
        </w:rPr>
        <w:t>:</w:t>
      </w:r>
      <w:r>
        <w:rPr>
          <w:b/>
        </w:rPr>
        <w:tab/>
      </w:r>
      <w:r>
        <w:t>What is the appropriate amount of costs for the Independent Spent Fuel Storage Installation (ISFSI) that DEF should be allowed to recover through the capacity cost recovery clause pursuant to DEF’s 2017 Settlement for 2025?</w:t>
      </w:r>
    </w:p>
    <w:p w:rsidR="00406E90" w:rsidRDefault="00406E90" w:rsidP="00406E90">
      <w:pPr>
        <w:autoSpaceDE w:val="0"/>
        <w:autoSpaceDN w:val="0"/>
        <w:adjustRightInd w:val="0"/>
        <w:ind w:left="1440" w:hanging="1440"/>
      </w:pPr>
    </w:p>
    <w:p w:rsidR="00406E90" w:rsidRDefault="00406E90" w:rsidP="00406E90">
      <w:r w:rsidRPr="007709B8">
        <w:rPr>
          <w:b/>
        </w:rPr>
        <w:t>Stipulation:</w:t>
      </w:r>
      <w:r>
        <w:t xml:space="preserve"> </w:t>
      </w:r>
      <w:r>
        <w:tab/>
      </w:r>
      <w:r w:rsidRPr="00E837D8">
        <w:t>$11,525,180.</w:t>
      </w:r>
    </w:p>
    <w:p w:rsidR="00406E90" w:rsidRDefault="00406E90" w:rsidP="00406E90">
      <w:pPr>
        <w:autoSpaceDE w:val="0"/>
        <w:autoSpaceDN w:val="0"/>
        <w:adjustRightInd w:val="0"/>
        <w:ind w:left="1440" w:hanging="1440"/>
      </w:pPr>
    </w:p>
    <w:p w:rsidR="00406E90" w:rsidRPr="00BF6EBB" w:rsidRDefault="00406E90" w:rsidP="00406E90">
      <w:pPr>
        <w:autoSpaceDE w:val="0"/>
        <w:autoSpaceDN w:val="0"/>
        <w:adjustRightInd w:val="0"/>
        <w:jc w:val="both"/>
        <w:rPr>
          <w:b/>
          <w:bCs/>
        </w:rPr>
      </w:pPr>
      <w:r w:rsidRPr="00BF6EBB">
        <w:rPr>
          <w:b/>
          <w:bCs/>
        </w:rPr>
        <w:t>Florida Power &amp; Light Company</w:t>
      </w:r>
    </w:p>
    <w:p w:rsidR="00406E90" w:rsidRDefault="00406E90" w:rsidP="00406E90">
      <w:pPr>
        <w:autoSpaceDE w:val="0"/>
        <w:autoSpaceDN w:val="0"/>
        <w:adjustRightInd w:val="0"/>
        <w:jc w:val="both"/>
        <w:rPr>
          <w:bCs/>
        </w:rPr>
      </w:pPr>
    </w:p>
    <w:p w:rsidR="00406E90" w:rsidRDefault="00406E90" w:rsidP="00406E90">
      <w:pPr>
        <w:autoSpaceDE w:val="0"/>
        <w:autoSpaceDN w:val="0"/>
        <w:adjustRightInd w:val="0"/>
        <w:jc w:val="both"/>
        <w:rPr>
          <w:bCs/>
        </w:rPr>
      </w:pPr>
      <w:r w:rsidRPr="0002554D">
        <w:rPr>
          <w:bCs/>
        </w:rPr>
        <w:t>No company-specific capacity cost recovery factor issues for Florida Power &amp; Light Company have been identified at this time. If such issues are identified, they will be numbered 22A, 22B, 22C, and so forth, as appropriate.</w:t>
      </w:r>
    </w:p>
    <w:p w:rsidR="00406E90" w:rsidRPr="00BF6EBB" w:rsidRDefault="00406E90" w:rsidP="00406E90">
      <w:pPr>
        <w:autoSpaceDE w:val="0"/>
        <w:autoSpaceDN w:val="0"/>
        <w:adjustRightInd w:val="0"/>
        <w:jc w:val="both"/>
      </w:pPr>
    </w:p>
    <w:p w:rsidR="00406E90" w:rsidRPr="00BF6EBB" w:rsidRDefault="00406E90" w:rsidP="00406E90">
      <w:pPr>
        <w:rPr>
          <w:b/>
          <w:bCs/>
        </w:rPr>
      </w:pPr>
      <w:r w:rsidRPr="00BF6EBB">
        <w:rPr>
          <w:b/>
          <w:bCs/>
        </w:rPr>
        <w:t>Tampa Electric Company</w:t>
      </w:r>
    </w:p>
    <w:p w:rsidR="00406E90" w:rsidRPr="00BF6EBB" w:rsidRDefault="00406E90" w:rsidP="00406E90">
      <w:pPr>
        <w:autoSpaceDE w:val="0"/>
        <w:autoSpaceDN w:val="0"/>
        <w:adjustRightInd w:val="0"/>
        <w:jc w:val="both"/>
      </w:pPr>
    </w:p>
    <w:p w:rsidR="00406E90" w:rsidRPr="00BF6EBB" w:rsidRDefault="00406E90" w:rsidP="00406E90">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406E90" w:rsidRDefault="00406E90" w:rsidP="00406E90">
      <w:pPr>
        <w:jc w:val="both"/>
        <w:rPr>
          <w:b/>
          <w:bCs/>
        </w:rPr>
      </w:pPr>
    </w:p>
    <w:p w:rsidR="00406E90" w:rsidRPr="008420B2" w:rsidRDefault="00406E90" w:rsidP="00406E90">
      <w:pPr>
        <w:jc w:val="both"/>
        <w:rPr>
          <w:b/>
          <w:bCs/>
          <w:u w:val="single"/>
        </w:rPr>
      </w:pPr>
      <w:r w:rsidRPr="008420B2">
        <w:rPr>
          <w:b/>
          <w:bCs/>
          <w:u w:val="single"/>
        </w:rPr>
        <w:t>GENERIC CAPACITY COST RECOVERY FACTOR ISSUES</w:t>
      </w:r>
    </w:p>
    <w:p w:rsidR="00406E90" w:rsidRPr="00BF6EBB" w:rsidRDefault="00406E90" w:rsidP="00406E90">
      <w:pPr>
        <w:autoSpaceDE w:val="0"/>
        <w:autoSpaceDN w:val="0"/>
        <w:adjustRightInd w:val="0"/>
      </w:pPr>
    </w:p>
    <w:p w:rsidR="00406E90" w:rsidRDefault="00406E90" w:rsidP="00406E90">
      <w:pPr>
        <w:autoSpaceDE w:val="0"/>
        <w:autoSpaceDN w:val="0"/>
        <w:adjustRightInd w:val="0"/>
        <w:ind w:left="1440" w:hanging="1440"/>
        <w:jc w:val="both"/>
      </w:pPr>
      <w:r w:rsidRPr="00EA60B6">
        <w:rPr>
          <w:b/>
          <w:bCs/>
          <w:u w:val="single"/>
        </w:rPr>
        <w:t>ISSUE 24:</w:t>
      </w:r>
      <w:r w:rsidRPr="00AB1493">
        <w:tab/>
        <w:t>What are the appropriate final capacity cost recovery true-up amounts for the period January 202</w:t>
      </w:r>
      <w:r>
        <w:t>3</w:t>
      </w:r>
      <w:r w:rsidRPr="00AB1493">
        <w:t xml:space="preserve"> through December 202</w:t>
      </w:r>
      <w:r>
        <w:t>3</w:t>
      </w:r>
      <w:r w:rsidRPr="00AB1493">
        <w:t>?</w:t>
      </w:r>
    </w:p>
    <w:p w:rsidR="00406E90" w:rsidRPr="00AB1493" w:rsidRDefault="00406E90" w:rsidP="00406E90">
      <w:pPr>
        <w:autoSpaceDE w:val="0"/>
        <w:autoSpaceDN w:val="0"/>
        <w:adjustRightInd w:val="0"/>
        <w:ind w:left="1440" w:hanging="1440"/>
        <w:jc w:val="both"/>
      </w:pPr>
    </w:p>
    <w:p w:rsidR="00406E90" w:rsidRDefault="00406E90" w:rsidP="00406E90">
      <w:pPr>
        <w:autoSpaceDE w:val="0"/>
        <w:autoSpaceDN w:val="0"/>
        <w:adjustRightInd w:val="0"/>
        <w:ind w:left="1440" w:hanging="1440"/>
        <w:jc w:val="both"/>
        <w:rPr>
          <w:b/>
        </w:rPr>
      </w:pPr>
      <w:r>
        <w:rPr>
          <w:b/>
        </w:rPr>
        <w:t>Stipulations:</w:t>
      </w:r>
    </w:p>
    <w:p w:rsidR="00406E90" w:rsidRPr="00AB0A00" w:rsidRDefault="00406E90" w:rsidP="00406E90">
      <w:pPr>
        <w:autoSpaceDE w:val="0"/>
        <w:autoSpaceDN w:val="0"/>
        <w:adjustRightInd w:val="0"/>
        <w:ind w:left="1440" w:hanging="1440"/>
        <w:jc w:val="both"/>
        <w:rPr>
          <w:b/>
        </w:rPr>
      </w:pPr>
    </w:p>
    <w:p w:rsidR="00406E90" w:rsidRPr="00AB1493" w:rsidRDefault="00406E90" w:rsidP="00406E90">
      <w:pPr>
        <w:autoSpaceDE w:val="0"/>
        <w:autoSpaceDN w:val="0"/>
        <w:adjustRightInd w:val="0"/>
        <w:jc w:val="both"/>
      </w:pPr>
      <w:r w:rsidRPr="00AB0A00">
        <w:rPr>
          <w:b/>
        </w:rPr>
        <w:t>DEF:</w:t>
      </w:r>
      <w:r w:rsidRPr="00AB1493">
        <w:tab/>
      </w:r>
      <w:r>
        <w:t xml:space="preserve"> </w:t>
      </w:r>
      <w:r>
        <w:tab/>
      </w:r>
      <w:r w:rsidRPr="00EA60B6">
        <w:t>Under</w:t>
      </w:r>
      <w:r>
        <w:t>-</w:t>
      </w:r>
      <w:r w:rsidRPr="00AB1493">
        <w:t xml:space="preserve">recovery of </w:t>
      </w:r>
      <w:r w:rsidRPr="00E97FD9">
        <w:rPr>
          <w:color w:val="000000" w:themeColor="text1"/>
        </w:rPr>
        <w:t>$8,431,7</w:t>
      </w:r>
      <w:r>
        <w:rPr>
          <w:color w:val="000000" w:themeColor="text1"/>
        </w:rPr>
        <w:t>90</w:t>
      </w:r>
      <w:r w:rsidRPr="00341E2D">
        <w:t>.</w:t>
      </w:r>
    </w:p>
    <w:p w:rsidR="00406E90" w:rsidRPr="00AB1493" w:rsidRDefault="00406E90" w:rsidP="00406E90">
      <w:pPr>
        <w:autoSpaceDE w:val="0"/>
        <w:autoSpaceDN w:val="0"/>
        <w:adjustRightInd w:val="0"/>
        <w:ind w:hanging="1440"/>
        <w:jc w:val="both"/>
      </w:pPr>
    </w:p>
    <w:p w:rsidR="00406E90" w:rsidRPr="00825712" w:rsidRDefault="00406E90" w:rsidP="00406E90">
      <w:pPr>
        <w:autoSpaceDE w:val="0"/>
        <w:autoSpaceDN w:val="0"/>
        <w:adjustRightInd w:val="0"/>
        <w:jc w:val="both"/>
      </w:pPr>
      <w:r w:rsidRPr="00AB0A00">
        <w:rPr>
          <w:b/>
        </w:rPr>
        <w:t>FPL:</w:t>
      </w:r>
      <w:r w:rsidRPr="00825712">
        <w:tab/>
        <w:t xml:space="preserve"> </w:t>
      </w:r>
      <w:r>
        <w:tab/>
      </w:r>
      <w:r w:rsidRPr="00825712">
        <w:t>Over-recovery of $7,342,001</w:t>
      </w:r>
    </w:p>
    <w:p w:rsidR="00406E90" w:rsidRPr="003971CF" w:rsidRDefault="00406E90" w:rsidP="00406E90">
      <w:pPr>
        <w:autoSpaceDE w:val="0"/>
        <w:autoSpaceDN w:val="0"/>
        <w:adjustRightInd w:val="0"/>
        <w:ind w:hanging="1440"/>
        <w:jc w:val="both"/>
      </w:pPr>
    </w:p>
    <w:p w:rsidR="00406E90" w:rsidRPr="00AB1493" w:rsidRDefault="00406E90" w:rsidP="00406E90">
      <w:pPr>
        <w:autoSpaceDE w:val="0"/>
        <w:autoSpaceDN w:val="0"/>
        <w:adjustRightInd w:val="0"/>
        <w:jc w:val="both"/>
      </w:pPr>
      <w:r w:rsidRPr="00AB0A00">
        <w:rPr>
          <w:b/>
        </w:rPr>
        <w:t>TECO:</w:t>
      </w:r>
      <w:r w:rsidRPr="003971CF">
        <w:tab/>
        <w:t>Under-recovery of</w:t>
      </w:r>
      <w:r w:rsidRPr="003971CF">
        <w:rPr>
          <w:color w:val="000000" w:themeColor="text1"/>
        </w:rPr>
        <w:t xml:space="preserve"> $1,888,665</w:t>
      </w:r>
      <w:r w:rsidRPr="003971CF">
        <w:t>.</w:t>
      </w:r>
    </w:p>
    <w:p w:rsidR="00406E90" w:rsidRPr="00AB1493" w:rsidRDefault="00406E90" w:rsidP="00406E90">
      <w:pPr>
        <w:autoSpaceDE w:val="0"/>
        <w:autoSpaceDN w:val="0"/>
        <w:adjustRightInd w:val="0"/>
        <w:ind w:hanging="1440"/>
        <w:jc w:val="both"/>
      </w:pPr>
    </w:p>
    <w:p w:rsidR="00406E90" w:rsidRPr="00AB1493" w:rsidRDefault="00406E90" w:rsidP="00406E90">
      <w:pPr>
        <w:autoSpaceDE w:val="0"/>
        <w:autoSpaceDN w:val="0"/>
        <w:adjustRightInd w:val="0"/>
        <w:ind w:left="1440" w:hanging="1440"/>
        <w:jc w:val="both"/>
      </w:pPr>
      <w:r w:rsidRPr="00921D25">
        <w:rPr>
          <w:b/>
          <w:bCs/>
          <w:u w:val="single"/>
        </w:rPr>
        <w:t xml:space="preserve">ISSUE </w:t>
      </w:r>
      <w:r w:rsidRPr="00EC2A28">
        <w:rPr>
          <w:b/>
          <w:bCs/>
          <w:u w:val="single"/>
        </w:rPr>
        <w:t>25</w:t>
      </w:r>
      <w:r w:rsidRPr="00EC2A28">
        <w:rPr>
          <w:b/>
        </w:rPr>
        <w:t>:</w:t>
      </w:r>
      <w:r w:rsidRPr="00AB1493">
        <w:tab/>
        <w:t>What are the appropriate capacity cost recovery actual/estimated true-up amounts for the period January 202</w:t>
      </w:r>
      <w:r>
        <w:t>4</w:t>
      </w:r>
      <w:r w:rsidRPr="00AB1493">
        <w:t xml:space="preserve"> through December 202</w:t>
      </w:r>
      <w:r>
        <w:t>4</w:t>
      </w:r>
      <w:r w:rsidRPr="00AB1493">
        <w:t>?</w:t>
      </w:r>
    </w:p>
    <w:p w:rsidR="00406E90" w:rsidRDefault="00406E90" w:rsidP="00406E90">
      <w:pPr>
        <w:ind w:left="1440" w:hanging="1440"/>
        <w:jc w:val="both"/>
        <w:rPr>
          <w:b/>
        </w:rPr>
      </w:pPr>
    </w:p>
    <w:p w:rsidR="00406E90" w:rsidRPr="009D1593" w:rsidRDefault="00406E90" w:rsidP="00406E90">
      <w:pPr>
        <w:ind w:left="1440" w:hanging="1440"/>
        <w:jc w:val="both"/>
        <w:rPr>
          <w:rStyle w:val="Strong"/>
          <w:b w:val="0"/>
          <w:bCs w:val="0"/>
        </w:rPr>
      </w:pPr>
      <w:r w:rsidRPr="009D1593">
        <w:rPr>
          <w:b/>
        </w:rPr>
        <w:t>Stipulations:</w:t>
      </w:r>
    </w:p>
    <w:p w:rsidR="00406E90" w:rsidRPr="00AB1493" w:rsidRDefault="00406E90" w:rsidP="00406E90">
      <w:pPr>
        <w:autoSpaceDE w:val="0"/>
        <w:autoSpaceDN w:val="0"/>
        <w:adjustRightInd w:val="0"/>
        <w:ind w:left="1440" w:hanging="1440"/>
        <w:jc w:val="both"/>
      </w:pPr>
    </w:p>
    <w:p w:rsidR="00406E90" w:rsidRPr="00AB1493" w:rsidRDefault="00406E90" w:rsidP="00406E90">
      <w:pPr>
        <w:autoSpaceDE w:val="0"/>
        <w:autoSpaceDN w:val="0"/>
        <w:adjustRightInd w:val="0"/>
        <w:jc w:val="both"/>
      </w:pPr>
      <w:r w:rsidRPr="00AB0A00">
        <w:rPr>
          <w:b/>
        </w:rPr>
        <w:t>DEF:</w:t>
      </w:r>
      <w:r w:rsidRPr="00AB1493">
        <w:tab/>
      </w:r>
      <w:r>
        <w:tab/>
        <w:t xml:space="preserve"> Over</w:t>
      </w:r>
      <w:r w:rsidRPr="00921D25">
        <w:t>-recovery of $</w:t>
      </w:r>
      <w:r>
        <w:t>1,632,844</w:t>
      </w:r>
      <w:r w:rsidRPr="00921D25">
        <w:t>.</w:t>
      </w:r>
    </w:p>
    <w:p w:rsidR="00406E90" w:rsidRPr="00AB1493" w:rsidRDefault="00406E90" w:rsidP="00406E90">
      <w:pPr>
        <w:autoSpaceDE w:val="0"/>
        <w:autoSpaceDN w:val="0"/>
        <w:adjustRightInd w:val="0"/>
        <w:ind w:hanging="1440"/>
        <w:jc w:val="both"/>
      </w:pPr>
    </w:p>
    <w:p w:rsidR="004822B6" w:rsidRDefault="00406E90" w:rsidP="00406E90">
      <w:pPr>
        <w:autoSpaceDE w:val="0"/>
        <w:autoSpaceDN w:val="0"/>
        <w:adjustRightInd w:val="0"/>
        <w:jc w:val="both"/>
      </w:pPr>
      <w:r w:rsidRPr="00AB0A00">
        <w:rPr>
          <w:b/>
        </w:rPr>
        <w:t>FPL:</w:t>
      </w:r>
      <w:r w:rsidRPr="00825712">
        <w:tab/>
        <w:t xml:space="preserve"> </w:t>
      </w:r>
      <w:r>
        <w:tab/>
        <w:t>Under</w:t>
      </w:r>
      <w:r w:rsidRPr="00825712">
        <w:t>-recovery of $6,402,666.</w:t>
      </w:r>
    </w:p>
    <w:p w:rsidR="004822B6" w:rsidRDefault="004822B6" w:rsidP="00406E90">
      <w:pPr>
        <w:autoSpaceDE w:val="0"/>
        <w:autoSpaceDN w:val="0"/>
        <w:adjustRightInd w:val="0"/>
        <w:jc w:val="both"/>
        <w:sectPr w:rsidR="004822B6">
          <w:headerReference w:type="first" r:id="rId20"/>
          <w:pgSz w:w="12240" w:h="15840" w:code="1"/>
          <w:pgMar w:top="1440" w:right="1440" w:bottom="1440" w:left="1440" w:header="720" w:footer="720" w:gutter="0"/>
          <w:cols w:space="720"/>
          <w:titlePg/>
          <w:docGrid w:linePitch="360"/>
        </w:sectPr>
      </w:pPr>
    </w:p>
    <w:p w:rsidR="00406E90" w:rsidRPr="00E837D8" w:rsidRDefault="00406E90" w:rsidP="00406E90">
      <w:pPr>
        <w:autoSpaceDE w:val="0"/>
        <w:autoSpaceDN w:val="0"/>
        <w:adjustRightInd w:val="0"/>
        <w:ind w:hanging="1440"/>
        <w:jc w:val="both"/>
        <w:rPr>
          <w:highlight w:val="yellow"/>
        </w:rPr>
      </w:pPr>
    </w:p>
    <w:p w:rsidR="008420B2" w:rsidRDefault="008420B2" w:rsidP="00406E90">
      <w:pPr>
        <w:autoSpaceDE w:val="0"/>
        <w:autoSpaceDN w:val="0"/>
        <w:adjustRightInd w:val="0"/>
        <w:jc w:val="both"/>
        <w:rPr>
          <w:b/>
        </w:rPr>
      </w:pPr>
    </w:p>
    <w:p w:rsidR="00406E90" w:rsidRPr="005E6F70" w:rsidRDefault="00406E90" w:rsidP="00406E90">
      <w:pPr>
        <w:autoSpaceDE w:val="0"/>
        <w:autoSpaceDN w:val="0"/>
        <w:adjustRightInd w:val="0"/>
        <w:jc w:val="both"/>
      </w:pPr>
      <w:r w:rsidRPr="00AB0A00">
        <w:rPr>
          <w:b/>
        </w:rPr>
        <w:t>TECO:</w:t>
      </w:r>
      <w:r w:rsidRPr="00DE5F58">
        <w:tab/>
        <w:t xml:space="preserve"> Under -recovery of $9,348,304.</w:t>
      </w:r>
    </w:p>
    <w:p w:rsidR="00406E90" w:rsidRPr="00520C62" w:rsidRDefault="00406E90" w:rsidP="00406E90"/>
    <w:p w:rsidR="00406E90" w:rsidRDefault="00406E90" w:rsidP="00406E90">
      <w:pPr>
        <w:autoSpaceDE w:val="0"/>
        <w:autoSpaceDN w:val="0"/>
        <w:adjustRightInd w:val="0"/>
        <w:ind w:left="1440" w:hanging="1440"/>
        <w:jc w:val="both"/>
      </w:pPr>
      <w:r w:rsidRPr="00BF6EBB">
        <w:rPr>
          <w:b/>
          <w:bCs/>
          <w:u w:val="single"/>
        </w:rPr>
        <w:t>ISSUE</w:t>
      </w:r>
      <w:r w:rsidRPr="00EC2A28">
        <w:rPr>
          <w:b/>
          <w:bCs/>
          <w:u w:val="single"/>
        </w:rPr>
        <w:t xml:space="preserve"> 26</w:t>
      </w:r>
      <w:r w:rsidRPr="00EC2A28">
        <w:rPr>
          <w:b/>
        </w:rPr>
        <w:t>:</w:t>
      </w:r>
      <w:r w:rsidRPr="00BF6EBB">
        <w:tab/>
        <w:t>What are the appropriate total capacity cost recovery true-up amounts to be collected/refunded during the period January 202</w:t>
      </w:r>
      <w:r>
        <w:t>5</w:t>
      </w:r>
      <w:r w:rsidRPr="00BF6EBB">
        <w:t xml:space="preserve"> through December 202</w:t>
      </w:r>
      <w:r>
        <w:t>5?</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406E90" w:rsidRPr="00AB0A00" w:rsidRDefault="00406E90" w:rsidP="00406E90">
      <w:r w:rsidRPr="00AB0A00">
        <w:rPr>
          <w:b/>
        </w:rPr>
        <w:t>DEF:</w:t>
      </w:r>
      <w:r w:rsidRPr="00AB0A00">
        <w:tab/>
      </w:r>
      <w:r>
        <w:tab/>
      </w:r>
      <w:r w:rsidRPr="00AB0A00">
        <w:t>Under-recovery of $6,798,946.</w:t>
      </w:r>
    </w:p>
    <w:p w:rsidR="00406E90" w:rsidRPr="00AB0A00" w:rsidRDefault="00406E90" w:rsidP="00406E90"/>
    <w:p w:rsidR="00406E90" w:rsidRPr="00AB0A00" w:rsidRDefault="00406E90" w:rsidP="00406E90">
      <w:r w:rsidRPr="00AB0A00">
        <w:rPr>
          <w:b/>
        </w:rPr>
        <w:t>FPL:</w:t>
      </w:r>
      <w:r w:rsidRPr="00AB0A00">
        <w:rPr>
          <w:b/>
        </w:rPr>
        <w:tab/>
      </w:r>
      <w:r>
        <w:tab/>
      </w:r>
      <w:r w:rsidRPr="00AB0A00">
        <w:t>Over-recovery of $939,336.</w:t>
      </w:r>
    </w:p>
    <w:p w:rsidR="00406E90" w:rsidRPr="00AB0A00" w:rsidRDefault="00406E90" w:rsidP="00406E90"/>
    <w:p w:rsidR="00406E90" w:rsidRPr="00AB0A00" w:rsidRDefault="00406E90" w:rsidP="00406E90">
      <w:r w:rsidRPr="00AB0A00">
        <w:rPr>
          <w:b/>
        </w:rPr>
        <w:t>TECO:</w:t>
      </w:r>
      <w:r w:rsidRPr="00AB0A00">
        <w:rPr>
          <w:b/>
        </w:rPr>
        <w:tab/>
      </w:r>
      <w:r w:rsidRPr="00AB0A00">
        <w:t xml:space="preserve"> Under-recovery of $11,236,969.</w:t>
      </w:r>
    </w:p>
    <w:p w:rsidR="00406E90" w:rsidRPr="00AB0A00" w:rsidRDefault="00406E90" w:rsidP="00406E90"/>
    <w:p w:rsidR="00406E90" w:rsidRDefault="00406E90" w:rsidP="00406E90">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t>What are the appropriate projected total capacity cost recovery amounts for the period January 202</w:t>
      </w:r>
      <w:r>
        <w:t>5</w:t>
      </w:r>
      <w:r w:rsidRPr="00BF6EBB">
        <w:t xml:space="preserve"> through December 202</w:t>
      </w:r>
      <w:r>
        <w:t>5?</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406E90" w:rsidRPr="005E6F70" w:rsidRDefault="00406E90" w:rsidP="00406E90">
      <w:pPr>
        <w:autoSpaceDE w:val="0"/>
        <w:autoSpaceDN w:val="0"/>
        <w:adjustRightInd w:val="0"/>
        <w:jc w:val="both"/>
      </w:pPr>
      <w:r w:rsidRPr="00AB0A00">
        <w:rPr>
          <w:b/>
        </w:rPr>
        <w:t>DEF:</w:t>
      </w:r>
      <w:r w:rsidRPr="005E6F70">
        <w:tab/>
      </w:r>
      <w:r>
        <w:tab/>
      </w:r>
      <w:r w:rsidRPr="009E63C0">
        <w:t>$127,743,993.</w:t>
      </w:r>
    </w:p>
    <w:p w:rsidR="00406E90" w:rsidRPr="005E6F70" w:rsidRDefault="00406E90" w:rsidP="00406E90">
      <w:pPr>
        <w:autoSpaceDE w:val="0"/>
        <w:autoSpaceDN w:val="0"/>
        <w:adjustRightInd w:val="0"/>
        <w:ind w:hanging="1440"/>
        <w:jc w:val="both"/>
      </w:pPr>
    </w:p>
    <w:p w:rsidR="00406E90" w:rsidRPr="005E6F70" w:rsidRDefault="00406E90" w:rsidP="00406E90">
      <w:pPr>
        <w:autoSpaceDE w:val="0"/>
        <w:autoSpaceDN w:val="0"/>
        <w:adjustRightInd w:val="0"/>
        <w:jc w:val="both"/>
      </w:pPr>
      <w:r w:rsidRPr="00AB0A00">
        <w:rPr>
          <w:b/>
        </w:rPr>
        <w:t>FPL:</w:t>
      </w:r>
      <w:r w:rsidRPr="00825712">
        <w:tab/>
      </w:r>
      <w:r>
        <w:tab/>
      </w:r>
      <w:r w:rsidRPr="00825712">
        <w:t>$121,736,404.</w:t>
      </w:r>
    </w:p>
    <w:p w:rsidR="00406E90" w:rsidRPr="005E6F70" w:rsidRDefault="00406E90" w:rsidP="00406E90">
      <w:pPr>
        <w:autoSpaceDE w:val="0"/>
        <w:autoSpaceDN w:val="0"/>
        <w:adjustRightInd w:val="0"/>
        <w:ind w:hanging="1440"/>
        <w:jc w:val="both"/>
      </w:pPr>
    </w:p>
    <w:p w:rsidR="00406E90" w:rsidRPr="00BF6EBB" w:rsidRDefault="00406E90" w:rsidP="00406E90">
      <w:pPr>
        <w:autoSpaceDE w:val="0"/>
        <w:autoSpaceDN w:val="0"/>
        <w:adjustRightInd w:val="0"/>
        <w:jc w:val="both"/>
      </w:pPr>
      <w:r w:rsidRPr="00AB0A00">
        <w:rPr>
          <w:b/>
        </w:rPr>
        <w:t>TECO:</w:t>
      </w:r>
      <w:r w:rsidRPr="00DE5F58">
        <w:tab/>
        <w:t xml:space="preserve"> $6,019,725</w:t>
      </w:r>
      <w:r>
        <w:t>.</w:t>
      </w:r>
    </w:p>
    <w:p w:rsidR="00406E90" w:rsidRPr="00520C62" w:rsidRDefault="00406E90" w:rsidP="00406E90"/>
    <w:p w:rsidR="00406E90" w:rsidRDefault="00406E90" w:rsidP="00406E90">
      <w:pPr>
        <w:ind w:left="1440" w:hanging="1440"/>
        <w:jc w:val="both"/>
      </w:pPr>
      <w:r w:rsidRPr="00BF6EBB">
        <w:rPr>
          <w:b/>
          <w:bCs/>
          <w:u w:val="single"/>
        </w:rPr>
        <w:t xml:space="preserve">ISSUE </w:t>
      </w:r>
      <w:r w:rsidRPr="00EC2A28">
        <w:rPr>
          <w:b/>
          <w:bCs/>
          <w:u w:val="single"/>
        </w:rPr>
        <w:t>28</w:t>
      </w:r>
      <w:r w:rsidRPr="00EC2A28">
        <w:rPr>
          <w:b/>
        </w:rPr>
        <w:t>:</w:t>
      </w:r>
      <w:r w:rsidRPr="00BF6EBB">
        <w:tab/>
        <w:t>What are the appropriate projected net purchased power capacity cost recovery amounts to be included in the recovery factor for the period January 202</w:t>
      </w:r>
      <w:r>
        <w:t>5</w:t>
      </w:r>
      <w:r w:rsidRPr="00BF6EBB">
        <w:t xml:space="preserve"> through December 202</w:t>
      </w:r>
      <w:r>
        <w:t>5</w:t>
      </w:r>
      <w:r w:rsidRPr="00BF6EBB">
        <w:t>?</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406E90" w:rsidRPr="005E6F70" w:rsidRDefault="00406E90" w:rsidP="00406E90">
      <w:pPr>
        <w:autoSpaceDE w:val="0"/>
        <w:autoSpaceDN w:val="0"/>
        <w:adjustRightInd w:val="0"/>
        <w:jc w:val="both"/>
      </w:pPr>
      <w:r w:rsidRPr="00AB0A00">
        <w:rPr>
          <w:b/>
        </w:rPr>
        <w:t>DEF:</w:t>
      </w:r>
      <w:r w:rsidRPr="009E63C0">
        <w:tab/>
      </w:r>
      <w:r>
        <w:tab/>
      </w:r>
      <w:r w:rsidRPr="009E63C0">
        <w:t>$146,068,118</w:t>
      </w:r>
      <w:r>
        <w:t>.</w:t>
      </w:r>
    </w:p>
    <w:p w:rsidR="00406E90" w:rsidRPr="005E6F70" w:rsidRDefault="00406E90" w:rsidP="00406E90">
      <w:pPr>
        <w:autoSpaceDE w:val="0"/>
        <w:autoSpaceDN w:val="0"/>
        <w:adjustRightInd w:val="0"/>
        <w:ind w:hanging="1440"/>
        <w:jc w:val="both"/>
      </w:pPr>
    </w:p>
    <w:p w:rsidR="00406E90" w:rsidRPr="005E6F70" w:rsidRDefault="00406E90" w:rsidP="00406E90">
      <w:pPr>
        <w:autoSpaceDE w:val="0"/>
        <w:autoSpaceDN w:val="0"/>
        <w:adjustRightInd w:val="0"/>
        <w:jc w:val="both"/>
      </w:pPr>
      <w:r w:rsidRPr="00AB0A00">
        <w:rPr>
          <w:b/>
        </w:rPr>
        <w:t>FPL:</w:t>
      </w:r>
      <w:r w:rsidRPr="00825712">
        <w:tab/>
      </w:r>
      <w:r>
        <w:tab/>
      </w:r>
      <w:r w:rsidRPr="00825712">
        <w:t>$116,885,784.</w:t>
      </w:r>
    </w:p>
    <w:p w:rsidR="00406E90" w:rsidRPr="005E6F70" w:rsidRDefault="00406E90" w:rsidP="00406E90">
      <w:pPr>
        <w:autoSpaceDE w:val="0"/>
        <w:autoSpaceDN w:val="0"/>
        <w:adjustRightInd w:val="0"/>
        <w:ind w:hanging="1440"/>
        <w:jc w:val="both"/>
      </w:pPr>
    </w:p>
    <w:p w:rsidR="00406E90" w:rsidRDefault="00406E90" w:rsidP="00406E90">
      <w:pPr>
        <w:autoSpaceDE w:val="0"/>
        <w:autoSpaceDN w:val="0"/>
        <w:adjustRightInd w:val="0"/>
        <w:jc w:val="both"/>
      </w:pPr>
      <w:r w:rsidRPr="00AB0A00">
        <w:rPr>
          <w:b/>
        </w:rPr>
        <w:t>TECO:</w:t>
      </w:r>
      <w:r w:rsidRPr="005F6080">
        <w:tab/>
        <w:t xml:space="preserve"> $17,271,328.</w:t>
      </w:r>
      <w:r w:rsidRPr="00BF6EBB">
        <w:t xml:space="preserve">     </w:t>
      </w:r>
    </w:p>
    <w:p w:rsidR="00406E90" w:rsidRPr="00BF6EBB" w:rsidRDefault="00406E90" w:rsidP="00406E90">
      <w:pPr>
        <w:autoSpaceDE w:val="0"/>
        <w:autoSpaceDN w:val="0"/>
        <w:adjustRightInd w:val="0"/>
        <w:ind w:left="1440"/>
        <w:jc w:val="both"/>
      </w:pPr>
      <w:r w:rsidRPr="00BF6EBB">
        <w:t xml:space="preserve">                                       </w:t>
      </w:r>
    </w:p>
    <w:p w:rsidR="00406E90" w:rsidRDefault="00406E90" w:rsidP="00406E90">
      <w:pPr>
        <w:autoSpaceDE w:val="0"/>
        <w:autoSpaceDN w:val="0"/>
        <w:adjustRightInd w:val="0"/>
        <w:ind w:left="1440" w:hanging="1440"/>
        <w:jc w:val="both"/>
      </w:pPr>
      <w:r w:rsidRPr="00BF6EBB">
        <w:rPr>
          <w:b/>
          <w:bCs/>
          <w:u w:val="single"/>
        </w:rPr>
        <w:t xml:space="preserve">ISSUE </w:t>
      </w:r>
      <w:r w:rsidRPr="00EC2A28">
        <w:rPr>
          <w:b/>
          <w:bCs/>
          <w:u w:val="single"/>
        </w:rPr>
        <w:t>29</w:t>
      </w:r>
      <w:r w:rsidRPr="00EC2A28">
        <w:rPr>
          <w:b/>
        </w:rPr>
        <w:t>:</w:t>
      </w:r>
      <w:r w:rsidRPr="00BF6EBB">
        <w:tab/>
        <w:t>What are the appropriate jurisdictional separation factors for capacity revenues and costs to be included in the recovery factor for the period January 202</w:t>
      </w:r>
      <w:r>
        <w:t>5</w:t>
      </w:r>
      <w:r w:rsidRPr="00BF6EBB">
        <w:t xml:space="preserve"> through December 202</w:t>
      </w:r>
      <w:r>
        <w:t>5</w:t>
      </w:r>
      <w:r w:rsidRPr="00BF6EBB">
        <w:t>?</w:t>
      </w:r>
    </w:p>
    <w:p w:rsidR="008420B2" w:rsidRDefault="008420B2">
      <w:pPr>
        <w:rPr>
          <w:b/>
        </w:rPr>
      </w:pPr>
      <w:r>
        <w:rPr>
          <w:b/>
        </w:rPr>
        <w:br w:type="page"/>
      </w:r>
    </w:p>
    <w:p w:rsidR="008420B2" w:rsidRDefault="008420B2" w:rsidP="00406E90">
      <w:pPr>
        <w:spacing w:after="200" w:line="276" w:lineRule="auto"/>
        <w:rPr>
          <w:b/>
        </w:rPr>
      </w:pPr>
    </w:p>
    <w:p w:rsidR="00406E90" w:rsidRDefault="00406E90" w:rsidP="00406E90">
      <w:pPr>
        <w:spacing w:after="200" w:line="276" w:lineRule="auto"/>
        <w:rPr>
          <w:b/>
        </w:rPr>
      </w:pPr>
      <w:r w:rsidRPr="009D1593">
        <w:rPr>
          <w:b/>
        </w:rPr>
        <w:t>Stipulations:</w:t>
      </w:r>
    </w:p>
    <w:p w:rsidR="004822B6" w:rsidRDefault="00406E90" w:rsidP="00406E90">
      <w:pPr>
        <w:spacing w:after="200" w:line="276" w:lineRule="auto"/>
        <w:ind w:left="1440" w:hanging="1440"/>
        <w:jc w:val="both"/>
      </w:pPr>
      <w:r w:rsidRPr="00AB0A00">
        <w:rPr>
          <w:b/>
        </w:rPr>
        <w:t>DEF:</w:t>
      </w:r>
      <w:r w:rsidRPr="00AB0A00">
        <w:tab/>
        <w:t>Base: 100.000 percent, Intermediate: 95.212 percent, and Peaking: 97.632 percent.</w:t>
      </w:r>
    </w:p>
    <w:p w:rsidR="00406E90" w:rsidRPr="00AB0A00" w:rsidRDefault="00406E90" w:rsidP="00406E90">
      <w:pPr>
        <w:ind w:left="1440" w:hanging="1440"/>
        <w:jc w:val="both"/>
      </w:pPr>
      <w:r w:rsidRPr="00AB0A00">
        <w:rPr>
          <w:b/>
        </w:rPr>
        <w:t>FPL:</w:t>
      </w:r>
      <w:r w:rsidRPr="00AB0A00">
        <w:tab/>
        <w:t>Demand: Transmission 88.7807 percent, Non-Stratified/Base/Solar 96.0110 percent, Intermediate 95.4157 percent, Peaking 94.9428 percent, Distribution 100.0000 percent.</w:t>
      </w:r>
    </w:p>
    <w:p w:rsidR="00406E90" w:rsidRPr="00AB0A00" w:rsidRDefault="00406E90" w:rsidP="00406E90">
      <w:pPr>
        <w:jc w:val="both"/>
      </w:pPr>
    </w:p>
    <w:p w:rsidR="00406E90" w:rsidRPr="00AB0A00" w:rsidRDefault="00406E90" w:rsidP="00406E90">
      <w:pPr>
        <w:ind w:left="1440"/>
        <w:jc w:val="both"/>
      </w:pPr>
      <w:r w:rsidRPr="00AB0A00">
        <w:t>Energy: Non-Stratified/Base/Solar 95.7062 percent, Intermediate 93.9405 percent, Peaking 95.6020 percent.</w:t>
      </w:r>
    </w:p>
    <w:p w:rsidR="00406E90" w:rsidRPr="00AB0A00" w:rsidRDefault="00406E90" w:rsidP="00406E90">
      <w:pPr>
        <w:jc w:val="both"/>
        <w:rPr>
          <w:highlight w:val="yellow"/>
        </w:rPr>
      </w:pPr>
    </w:p>
    <w:p w:rsidR="00406E90" w:rsidRPr="00AB0A00" w:rsidRDefault="00406E90" w:rsidP="00406E90">
      <w:pPr>
        <w:ind w:left="720" w:firstLine="720"/>
        <w:jc w:val="both"/>
      </w:pPr>
      <w:r w:rsidRPr="00AB0A00">
        <w:t>General Plant: Labor 96.9425 percent.</w:t>
      </w:r>
    </w:p>
    <w:p w:rsidR="00406E90" w:rsidRPr="00AB0A00" w:rsidRDefault="00406E90" w:rsidP="00406E90">
      <w:pPr>
        <w:jc w:val="both"/>
      </w:pPr>
    </w:p>
    <w:p w:rsidR="00406E90" w:rsidRPr="00AB0A00" w:rsidRDefault="00406E90" w:rsidP="00406E90">
      <w:pPr>
        <w:jc w:val="both"/>
      </w:pPr>
      <w:r w:rsidRPr="00AB0A00">
        <w:rPr>
          <w:b/>
        </w:rPr>
        <w:t>TECO:</w:t>
      </w:r>
      <w:r w:rsidRPr="00AB0A00">
        <w:rPr>
          <w:b/>
        </w:rPr>
        <w:tab/>
      </w:r>
      <w:r w:rsidRPr="00AB0A00">
        <w:t>The appropriate jurisdictional separation factor is 1.00</w:t>
      </w:r>
    </w:p>
    <w:p w:rsidR="00406E90" w:rsidRPr="00520C62" w:rsidRDefault="00406E90" w:rsidP="00406E90">
      <w:pPr>
        <w:autoSpaceDE w:val="0"/>
        <w:autoSpaceDN w:val="0"/>
        <w:adjustRightInd w:val="0"/>
        <w:ind w:left="1440" w:hanging="1440"/>
        <w:jc w:val="both"/>
      </w:pPr>
      <w:r w:rsidRPr="00BF6EBB">
        <w:t xml:space="preserve"> </w:t>
      </w:r>
      <w:r w:rsidRPr="00520C62">
        <w:t xml:space="preserve">            </w:t>
      </w:r>
    </w:p>
    <w:p w:rsidR="00406E90" w:rsidRDefault="00406E90" w:rsidP="00406E90">
      <w:pPr>
        <w:ind w:left="1440" w:hanging="1440"/>
        <w:jc w:val="both"/>
      </w:pPr>
      <w:r w:rsidRPr="00520C62">
        <w:rPr>
          <w:b/>
          <w:bCs/>
          <w:u w:val="single"/>
        </w:rPr>
        <w:t xml:space="preserve">ISSUE </w:t>
      </w:r>
      <w:r w:rsidRPr="00EC2A28">
        <w:rPr>
          <w:b/>
          <w:bCs/>
          <w:u w:val="single"/>
        </w:rPr>
        <w:t>30</w:t>
      </w:r>
      <w:r w:rsidRPr="00EC2A28">
        <w:rPr>
          <w:b/>
        </w:rPr>
        <w:t>:</w:t>
      </w:r>
      <w:r w:rsidRPr="00520C62">
        <w:tab/>
        <w:t>What are the appropriate capacity cost recovery factors for the period January 202</w:t>
      </w:r>
      <w:r>
        <w:t>5</w:t>
      </w:r>
      <w:r w:rsidRPr="00520C62">
        <w:t xml:space="preserve"> through December 202</w:t>
      </w:r>
      <w:r>
        <w:t>5</w:t>
      </w:r>
      <w:r w:rsidRPr="00520C62">
        <w:t>?</w:t>
      </w:r>
    </w:p>
    <w:p w:rsidR="00406E90" w:rsidRDefault="00406E90" w:rsidP="00406E90">
      <w:pPr>
        <w:autoSpaceDE w:val="0"/>
        <w:autoSpaceDN w:val="0"/>
        <w:adjustRightInd w:val="0"/>
        <w:ind w:left="1440" w:hanging="1440"/>
        <w:jc w:val="both"/>
      </w:pPr>
    </w:p>
    <w:p w:rsidR="00406E90" w:rsidRPr="009D1593" w:rsidRDefault="00406E90" w:rsidP="00406E90">
      <w:pPr>
        <w:ind w:left="1440" w:hanging="1440"/>
        <w:jc w:val="both"/>
        <w:rPr>
          <w:rStyle w:val="Strong"/>
          <w:b w:val="0"/>
          <w:bCs w:val="0"/>
        </w:rPr>
      </w:pPr>
      <w:r w:rsidRPr="009D1593">
        <w:rPr>
          <w:b/>
        </w:rPr>
        <w:t>Stipulations:</w:t>
      </w:r>
    </w:p>
    <w:p w:rsidR="00406E90" w:rsidRDefault="00406E90" w:rsidP="00406E90">
      <w:pPr>
        <w:autoSpaceDE w:val="0"/>
        <w:autoSpaceDN w:val="0"/>
        <w:adjustRightInd w:val="0"/>
        <w:ind w:left="1440" w:hanging="1440"/>
        <w:jc w:val="both"/>
      </w:pPr>
    </w:p>
    <w:p w:rsidR="00406E90" w:rsidRPr="00AB0A00" w:rsidRDefault="00406E90" w:rsidP="00406E90">
      <w:pPr>
        <w:rPr>
          <w:b/>
        </w:rPr>
      </w:pPr>
      <w:r w:rsidRPr="00AB0A00">
        <w:rPr>
          <w:b/>
        </w:rPr>
        <w:t>DEF:</w:t>
      </w:r>
      <w:r w:rsidRPr="00AB0A00">
        <w:rPr>
          <w:b/>
        </w:rPr>
        <w:tab/>
      </w:r>
    </w:p>
    <w:p w:rsidR="00406E90" w:rsidRDefault="00406E90" w:rsidP="00406E90">
      <w:pPr>
        <w:autoSpaceDE w:val="0"/>
        <w:autoSpaceDN w:val="0"/>
        <w:adjustRightInd w:val="0"/>
        <w:jc w:val="both"/>
      </w:pPr>
    </w:p>
    <w:tbl>
      <w:tblPr>
        <w:tblStyle w:val="TableGrid"/>
        <w:tblW w:w="0" w:type="auto"/>
        <w:tblLook w:val="04A0" w:firstRow="1" w:lastRow="0" w:firstColumn="1" w:lastColumn="0" w:noHBand="0" w:noVBand="1"/>
      </w:tblPr>
      <w:tblGrid>
        <w:gridCol w:w="1622"/>
        <w:gridCol w:w="4443"/>
        <w:gridCol w:w="1588"/>
        <w:gridCol w:w="1697"/>
      </w:tblGrid>
      <w:tr w:rsidR="00406E90" w:rsidRPr="00E176B4" w:rsidTr="00406E90">
        <w:trPr>
          <w:tblHeader/>
        </w:trPr>
        <w:tc>
          <w:tcPr>
            <w:tcW w:w="9350" w:type="dxa"/>
            <w:gridSpan w:val="4"/>
            <w:tcBorders>
              <w:top w:val="nil"/>
              <w:left w:val="nil"/>
              <w:bottom w:val="nil"/>
              <w:right w:val="nil"/>
            </w:tcBorders>
            <w:vAlign w:val="center"/>
          </w:tcPr>
          <w:p w:rsidR="00406E90" w:rsidRPr="00E176B4" w:rsidRDefault="00406E90" w:rsidP="00406E90">
            <w:pPr>
              <w:ind w:left="1440" w:hanging="1440"/>
              <w:jc w:val="center"/>
              <w:rPr>
                <w:rFonts w:ascii="Arial" w:hAnsi="Arial" w:cs="Arial"/>
                <w:b/>
              </w:rPr>
            </w:pPr>
            <w:r w:rsidRPr="00E176B4">
              <w:rPr>
                <w:rFonts w:ascii="Arial" w:hAnsi="Arial" w:cs="Arial"/>
                <w:b/>
              </w:rPr>
              <w:t>Table 30-1</w:t>
            </w:r>
          </w:p>
        </w:tc>
      </w:tr>
      <w:tr w:rsidR="00406E90" w:rsidRPr="00E176B4" w:rsidTr="00406E90">
        <w:trPr>
          <w:tblHeader/>
        </w:trPr>
        <w:tc>
          <w:tcPr>
            <w:tcW w:w="9350" w:type="dxa"/>
            <w:gridSpan w:val="4"/>
            <w:tcBorders>
              <w:top w:val="nil"/>
              <w:left w:val="nil"/>
              <w:bottom w:val="single" w:sz="4" w:space="0" w:color="auto"/>
              <w:right w:val="nil"/>
            </w:tcBorders>
            <w:vAlign w:val="center"/>
          </w:tcPr>
          <w:p w:rsidR="00406E90" w:rsidRPr="00E176B4" w:rsidRDefault="00406E90" w:rsidP="00406E90">
            <w:pPr>
              <w:autoSpaceDE w:val="0"/>
              <w:autoSpaceDN w:val="0"/>
              <w:adjustRightInd w:val="0"/>
              <w:jc w:val="center"/>
              <w:rPr>
                <w:b/>
                <w:bCs/>
              </w:rPr>
            </w:pPr>
            <w:r w:rsidRPr="00E176B4">
              <w:rPr>
                <w:rFonts w:ascii="Arial" w:hAnsi="Arial" w:cs="Arial"/>
                <w:b/>
              </w:rPr>
              <w:t>DEF Capacity Cost Recovery Factors for t</w:t>
            </w:r>
            <w:r>
              <w:rPr>
                <w:rFonts w:ascii="Arial" w:hAnsi="Arial" w:cs="Arial"/>
                <w:b/>
              </w:rPr>
              <w:t>he period January–December, 2025</w:t>
            </w:r>
          </w:p>
        </w:tc>
      </w:tr>
      <w:tr w:rsidR="00406E90" w:rsidRPr="008161B0" w:rsidTr="00406E90">
        <w:trPr>
          <w:tblHeader/>
        </w:trPr>
        <w:tc>
          <w:tcPr>
            <w:tcW w:w="60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06E90" w:rsidRPr="008161B0" w:rsidRDefault="00406E90" w:rsidP="00406E90">
            <w:pPr>
              <w:autoSpaceDE w:val="0"/>
              <w:autoSpaceDN w:val="0"/>
              <w:adjustRightInd w:val="0"/>
              <w:jc w:val="center"/>
              <w:rPr>
                <w:b/>
                <w:bCs/>
              </w:rPr>
            </w:pPr>
            <w:r w:rsidRPr="008161B0">
              <w:rPr>
                <w:b/>
                <w:bCs/>
              </w:rPr>
              <w:t>Rate Class</w:t>
            </w:r>
          </w:p>
        </w:tc>
        <w:tc>
          <w:tcPr>
            <w:tcW w:w="3285" w:type="dxa"/>
            <w:gridSpan w:val="2"/>
            <w:tcBorders>
              <w:top w:val="single" w:sz="4" w:space="0" w:color="auto"/>
              <w:left w:val="single" w:sz="4" w:space="0" w:color="auto"/>
              <w:bottom w:val="single" w:sz="4" w:space="0" w:color="auto"/>
              <w:right w:val="single" w:sz="4" w:space="0" w:color="auto"/>
            </w:tcBorders>
            <w:hideMark/>
          </w:tcPr>
          <w:p w:rsidR="00406E90" w:rsidRPr="008161B0" w:rsidRDefault="00406E90" w:rsidP="00406E90">
            <w:pPr>
              <w:autoSpaceDE w:val="0"/>
              <w:autoSpaceDN w:val="0"/>
              <w:adjustRightInd w:val="0"/>
              <w:jc w:val="center"/>
              <w:rPr>
                <w:b/>
                <w:bCs/>
              </w:rPr>
            </w:pPr>
            <w:r w:rsidRPr="008161B0">
              <w:rPr>
                <w:b/>
                <w:bCs/>
              </w:rPr>
              <w:t>Capacity and ISFSI</w:t>
            </w:r>
          </w:p>
          <w:p w:rsidR="00406E90" w:rsidRPr="008161B0" w:rsidRDefault="00406E90" w:rsidP="00406E90">
            <w:pPr>
              <w:autoSpaceDE w:val="0"/>
              <w:autoSpaceDN w:val="0"/>
              <w:adjustRightInd w:val="0"/>
              <w:jc w:val="center"/>
              <w:rPr>
                <w:b/>
                <w:bCs/>
              </w:rPr>
            </w:pPr>
            <w:r w:rsidRPr="008161B0">
              <w:rPr>
                <w:b/>
                <w:bCs/>
              </w:rPr>
              <w:t>Cost Recovery Factors</w:t>
            </w:r>
          </w:p>
        </w:tc>
      </w:tr>
      <w:tr w:rsidR="00406E90" w:rsidRPr="008161B0" w:rsidTr="00406E90">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6E90" w:rsidRPr="008161B0" w:rsidRDefault="00406E90" w:rsidP="00406E90">
            <w:pPr>
              <w:jc w:val="center"/>
              <w:rPr>
                <w:b/>
                <w:bCs/>
              </w:rPr>
            </w:pP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406E90" w:rsidRPr="008161B0" w:rsidRDefault="00406E90" w:rsidP="00406E90">
            <w:pPr>
              <w:autoSpaceDE w:val="0"/>
              <w:autoSpaceDN w:val="0"/>
              <w:adjustRightInd w:val="0"/>
              <w:jc w:val="center"/>
              <w:rPr>
                <w:bCs/>
              </w:rPr>
            </w:pPr>
            <w:r w:rsidRPr="008161B0">
              <w:rPr>
                <w:bCs/>
              </w:rPr>
              <w:t>¢/kWh</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406E90" w:rsidRPr="008161B0" w:rsidRDefault="00406E90" w:rsidP="00406E90">
            <w:pPr>
              <w:autoSpaceDE w:val="0"/>
              <w:autoSpaceDN w:val="0"/>
              <w:adjustRightInd w:val="0"/>
              <w:jc w:val="center"/>
              <w:rPr>
                <w:bCs/>
              </w:rPr>
            </w:pPr>
            <w:r w:rsidRPr="008161B0">
              <w:rPr>
                <w:bCs/>
              </w:rPr>
              <w:t>$/kW-month</w:t>
            </w:r>
          </w:p>
        </w:tc>
      </w:tr>
      <w:tr w:rsidR="00406E90" w:rsidRPr="00526A24" w:rsidTr="00406E90">
        <w:tc>
          <w:tcPr>
            <w:tcW w:w="6065" w:type="dxa"/>
            <w:gridSpan w:val="2"/>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Residential (RS-1, RST-1, RSL-1, RSL-2)</w:t>
            </w:r>
          </w:p>
          <w:p w:rsidR="00406E90" w:rsidRPr="00526A24" w:rsidRDefault="00406E90" w:rsidP="00406E90">
            <w:pPr>
              <w:autoSpaceDE w:val="0"/>
              <w:autoSpaceDN w:val="0"/>
              <w:adjustRightInd w:val="0"/>
              <w:rPr>
                <w:bCs/>
              </w:rPr>
            </w:pPr>
            <w:r w:rsidRPr="00526A24">
              <w:rPr>
                <w:bCs/>
              </w:rPr>
              <w:t xml:space="preserve">At Secondary Voltage </w:t>
            </w:r>
          </w:p>
        </w:tc>
        <w:tc>
          <w:tcPr>
            <w:tcW w:w="1588" w:type="dxa"/>
            <w:tcBorders>
              <w:top w:val="single" w:sz="4" w:space="0" w:color="auto"/>
              <w:left w:val="single" w:sz="4" w:space="0" w:color="auto"/>
              <w:bottom w:val="single" w:sz="4" w:space="0" w:color="auto"/>
              <w:right w:val="single" w:sz="4" w:space="0" w:color="auto"/>
            </w:tcBorders>
            <w:vAlign w:val="bottom"/>
            <w:hideMark/>
          </w:tcPr>
          <w:p w:rsidR="00406E90" w:rsidRPr="00526A24" w:rsidRDefault="00406E90" w:rsidP="00406E90">
            <w:pPr>
              <w:autoSpaceDE w:val="0"/>
              <w:autoSpaceDN w:val="0"/>
              <w:adjustRightInd w:val="0"/>
              <w:jc w:val="right"/>
              <w:rPr>
                <w:bCs/>
              </w:rPr>
            </w:pPr>
            <w:r w:rsidRPr="00526A24">
              <w:rPr>
                <w:bCs/>
              </w:rPr>
              <w:t>0.410</w:t>
            </w:r>
          </w:p>
        </w:tc>
        <w:tc>
          <w:tcPr>
            <w:tcW w:w="1697" w:type="dxa"/>
            <w:vMerge w:val="restart"/>
            <w:tcBorders>
              <w:top w:val="single" w:sz="4" w:space="0" w:color="auto"/>
              <w:left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r>
      <w:tr w:rsidR="00406E90" w:rsidRPr="00526A24" w:rsidTr="00406E90">
        <w:tc>
          <w:tcPr>
            <w:tcW w:w="6065" w:type="dxa"/>
            <w:gridSpan w:val="2"/>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General Service Non-Demand (GS-1, GST-1)</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center"/>
              <w:rPr>
                <w:bCs/>
              </w:rPr>
            </w:pPr>
          </w:p>
        </w:tc>
        <w:tc>
          <w:tcPr>
            <w:tcW w:w="0" w:type="auto"/>
            <w:vMerge/>
            <w:tcBorders>
              <w:left w:val="single" w:sz="4" w:space="0" w:color="auto"/>
              <w:right w:val="single" w:sz="4" w:space="0" w:color="auto"/>
            </w:tcBorders>
            <w:vAlign w:val="center"/>
            <w:hideMark/>
          </w:tcPr>
          <w:p w:rsidR="00406E90" w:rsidRPr="00526A24" w:rsidRDefault="00406E90" w:rsidP="00406E90">
            <w:pPr>
              <w:rPr>
                <w:bCs/>
              </w:rPr>
            </w:pP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0.357</w:t>
            </w:r>
          </w:p>
        </w:tc>
        <w:tc>
          <w:tcPr>
            <w:tcW w:w="0" w:type="auto"/>
            <w:vMerge/>
            <w:tcBorders>
              <w:left w:val="single" w:sz="4" w:space="0" w:color="auto"/>
              <w:right w:val="single" w:sz="4" w:space="0" w:color="auto"/>
            </w:tcBorders>
            <w:vAlign w:val="center"/>
            <w:hideMark/>
          </w:tcPr>
          <w:p w:rsidR="00406E90" w:rsidRPr="00526A24" w:rsidRDefault="00406E90" w:rsidP="00406E90">
            <w:pPr>
              <w:rPr>
                <w:bCs/>
              </w:rPr>
            </w:pP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0.353</w:t>
            </w:r>
          </w:p>
        </w:tc>
        <w:tc>
          <w:tcPr>
            <w:tcW w:w="0" w:type="auto"/>
            <w:vMerge/>
            <w:tcBorders>
              <w:left w:val="single" w:sz="4" w:space="0" w:color="auto"/>
              <w:right w:val="single" w:sz="4" w:space="0" w:color="auto"/>
            </w:tcBorders>
            <w:vAlign w:val="center"/>
            <w:hideMark/>
          </w:tcPr>
          <w:p w:rsidR="00406E90" w:rsidRPr="00526A24" w:rsidRDefault="00406E90" w:rsidP="00406E90">
            <w:pPr>
              <w:rPr>
                <w:bCs/>
              </w:rPr>
            </w:pP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0.350</w:t>
            </w:r>
          </w:p>
        </w:tc>
        <w:tc>
          <w:tcPr>
            <w:tcW w:w="0" w:type="auto"/>
            <w:vMerge/>
            <w:tcBorders>
              <w:left w:val="single" w:sz="4" w:space="0" w:color="auto"/>
              <w:right w:val="single" w:sz="4" w:space="0" w:color="auto"/>
            </w:tcBorders>
            <w:vAlign w:val="center"/>
            <w:hideMark/>
          </w:tcPr>
          <w:p w:rsidR="00406E90" w:rsidRPr="00526A24" w:rsidRDefault="00406E90" w:rsidP="00406E90">
            <w:pPr>
              <w:rPr>
                <w:bCs/>
              </w:rPr>
            </w:pPr>
          </w:p>
        </w:tc>
      </w:tr>
      <w:tr w:rsidR="00406E90" w:rsidRPr="00526A24" w:rsidTr="00406E90">
        <w:tc>
          <w:tcPr>
            <w:tcW w:w="6065" w:type="dxa"/>
            <w:gridSpan w:val="2"/>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General Service (GS-2)</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0.252</w:t>
            </w:r>
          </w:p>
        </w:tc>
        <w:tc>
          <w:tcPr>
            <w:tcW w:w="0" w:type="auto"/>
            <w:vMerge/>
            <w:tcBorders>
              <w:left w:val="single" w:sz="4" w:space="0" w:color="auto"/>
              <w:right w:val="single" w:sz="4" w:space="0" w:color="auto"/>
            </w:tcBorders>
            <w:vAlign w:val="center"/>
            <w:hideMark/>
          </w:tcPr>
          <w:p w:rsidR="00406E90" w:rsidRPr="00526A24" w:rsidRDefault="00406E90" w:rsidP="00406E90">
            <w:pPr>
              <w:rPr>
                <w:bCs/>
              </w:rPr>
            </w:pPr>
          </w:p>
        </w:tc>
      </w:tr>
      <w:tr w:rsidR="00406E90" w:rsidRPr="00526A24" w:rsidTr="00406E90">
        <w:tc>
          <w:tcPr>
            <w:tcW w:w="6065" w:type="dxa"/>
            <w:gridSpan w:val="2"/>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rPr>
                <w:bCs/>
              </w:rPr>
            </w:pPr>
            <w:r w:rsidRPr="00526A24">
              <w:rPr>
                <w:bCs/>
              </w:rPr>
              <w:t>Lighting (LS-1)</w:t>
            </w:r>
          </w:p>
        </w:tc>
        <w:tc>
          <w:tcPr>
            <w:tcW w:w="1588"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0.107</w:t>
            </w:r>
          </w:p>
        </w:tc>
        <w:tc>
          <w:tcPr>
            <w:tcW w:w="0" w:type="auto"/>
            <w:vMerge/>
            <w:tcBorders>
              <w:left w:val="single" w:sz="4" w:space="0" w:color="auto"/>
              <w:bottom w:val="single" w:sz="4" w:space="0" w:color="auto"/>
              <w:right w:val="single" w:sz="4" w:space="0" w:color="auto"/>
            </w:tcBorders>
            <w:vAlign w:val="center"/>
          </w:tcPr>
          <w:p w:rsidR="00406E90" w:rsidRPr="00526A24" w:rsidRDefault="00406E90" w:rsidP="00406E90">
            <w:pPr>
              <w:rPr>
                <w:bCs/>
              </w:rPr>
            </w:pPr>
          </w:p>
        </w:tc>
      </w:tr>
      <w:tr w:rsidR="00406E90" w:rsidRPr="00526A24" w:rsidTr="00406E90">
        <w:tc>
          <w:tcPr>
            <w:tcW w:w="9350" w:type="dxa"/>
            <w:gridSpan w:val="4"/>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General Service Demand (GSD-1, GSDT-1, SS-1)</w:t>
            </w: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1.07</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1.06</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1.05</w:t>
            </w:r>
          </w:p>
        </w:tc>
      </w:tr>
      <w:tr w:rsidR="00406E90" w:rsidRPr="00526A24" w:rsidTr="00406E90">
        <w:tc>
          <w:tcPr>
            <w:tcW w:w="9350" w:type="dxa"/>
            <w:gridSpan w:val="4"/>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Curtailable (CS-2, CST-2, CS-3, CST-3, SS-3)</w:t>
            </w: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0.72</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0.71</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0.71</w:t>
            </w:r>
          </w:p>
        </w:tc>
      </w:tr>
      <w:tr w:rsidR="00406E90" w:rsidRPr="00526A24" w:rsidTr="00406E90">
        <w:tc>
          <w:tcPr>
            <w:tcW w:w="9350" w:type="dxa"/>
            <w:gridSpan w:val="4"/>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Interruptible (IS-2, IST-2, SS-2)</w:t>
            </w: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0.88</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0.87</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0.86</w:t>
            </w:r>
          </w:p>
        </w:tc>
      </w:tr>
      <w:tr w:rsidR="00406E90" w:rsidRPr="00526A24" w:rsidTr="00406E90">
        <w:tc>
          <w:tcPr>
            <w:tcW w:w="9350" w:type="dxa"/>
            <w:gridSpan w:val="4"/>
            <w:tcBorders>
              <w:top w:val="single" w:sz="4" w:space="0" w:color="auto"/>
              <w:left w:val="single" w:sz="4" w:space="0" w:color="auto"/>
              <w:bottom w:val="single" w:sz="4" w:space="0" w:color="auto"/>
              <w:right w:val="single" w:sz="4" w:space="0" w:color="auto"/>
            </w:tcBorders>
            <w:hideMark/>
          </w:tcPr>
          <w:p w:rsidR="00406E90" w:rsidRPr="00526A24" w:rsidRDefault="00F9342D" w:rsidP="00406E90">
            <w:pPr>
              <w:autoSpaceDE w:val="0"/>
              <w:autoSpaceDN w:val="0"/>
              <w:adjustRightInd w:val="0"/>
              <w:rPr>
                <w:bCs/>
              </w:rPr>
            </w:pPr>
            <w:r>
              <w:rPr>
                <w:bCs/>
              </w:rPr>
              <w:t>St</w:t>
            </w:r>
            <w:r w:rsidR="00406E90" w:rsidRPr="00526A24">
              <w:rPr>
                <w:bCs/>
              </w:rPr>
              <w:t>andby Monthly (SS-1, 2, 3)</w:t>
            </w: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0.103</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0.102</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0.101</w:t>
            </w:r>
          </w:p>
        </w:tc>
      </w:tr>
      <w:tr w:rsidR="00406E90" w:rsidRPr="00526A24" w:rsidTr="00406E90">
        <w:tc>
          <w:tcPr>
            <w:tcW w:w="9350" w:type="dxa"/>
            <w:gridSpan w:val="4"/>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Standby Daily (SS-1, 2, 3)</w:t>
            </w:r>
          </w:p>
        </w:tc>
      </w:tr>
      <w:tr w:rsidR="00406E90" w:rsidRPr="00526A24" w:rsidTr="00406E90">
        <w:tc>
          <w:tcPr>
            <w:tcW w:w="1622"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Secondary Voltage</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406E90" w:rsidRPr="00526A24" w:rsidRDefault="00406E90" w:rsidP="00406E90">
            <w:pPr>
              <w:autoSpaceDE w:val="0"/>
              <w:autoSpaceDN w:val="0"/>
              <w:adjustRightInd w:val="0"/>
              <w:jc w:val="cente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0.049</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0.049</w:t>
            </w:r>
          </w:p>
        </w:tc>
      </w:tr>
      <w:tr w:rsidR="00406E90" w:rsidRPr="00526A24" w:rsidTr="00406E90">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4443" w:type="dxa"/>
            <w:tcBorders>
              <w:top w:val="single" w:sz="4" w:space="0" w:color="auto"/>
              <w:left w:val="single" w:sz="4" w:space="0" w:color="auto"/>
              <w:bottom w:val="single" w:sz="4" w:space="0" w:color="auto"/>
              <w:right w:val="single" w:sz="4" w:space="0" w:color="auto"/>
            </w:tcBorders>
            <w:hideMark/>
          </w:tcPr>
          <w:p w:rsidR="00406E90" w:rsidRPr="00526A24" w:rsidRDefault="00406E90" w:rsidP="00406E90">
            <w:pPr>
              <w:autoSpaceDE w:val="0"/>
              <w:autoSpaceDN w:val="0"/>
              <w:adjustRightInd w:val="0"/>
              <w:rPr>
                <w:bCs/>
              </w:rPr>
            </w:pPr>
            <w:r w:rsidRPr="00526A24">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E90" w:rsidRPr="00526A24" w:rsidRDefault="00406E90" w:rsidP="00406E90">
            <w:pPr>
              <w:rPr>
                <w:bCs/>
              </w:rPr>
            </w:pPr>
          </w:p>
        </w:tc>
        <w:tc>
          <w:tcPr>
            <w:tcW w:w="1697" w:type="dxa"/>
            <w:tcBorders>
              <w:top w:val="single" w:sz="4" w:space="0" w:color="auto"/>
              <w:left w:val="single" w:sz="4" w:space="0" w:color="auto"/>
              <w:bottom w:val="single" w:sz="4" w:space="0" w:color="auto"/>
              <w:right w:val="single" w:sz="4" w:space="0" w:color="auto"/>
            </w:tcBorders>
          </w:tcPr>
          <w:p w:rsidR="00406E90" w:rsidRPr="00526A24" w:rsidRDefault="00406E90" w:rsidP="00406E90">
            <w:pPr>
              <w:autoSpaceDE w:val="0"/>
              <w:autoSpaceDN w:val="0"/>
              <w:adjustRightInd w:val="0"/>
              <w:jc w:val="right"/>
              <w:rPr>
                <w:bCs/>
              </w:rPr>
            </w:pPr>
            <w:r w:rsidRPr="00526A24">
              <w:rPr>
                <w:bCs/>
              </w:rPr>
              <w:t>0.048</w:t>
            </w:r>
          </w:p>
        </w:tc>
      </w:tr>
    </w:tbl>
    <w:p w:rsidR="00406E90" w:rsidRPr="001F0143" w:rsidRDefault="00406E90" w:rsidP="00406E90">
      <w:pPr>
        <w:autoSpaceDE w:val="0"/>
        <w:autoSpaceDN w:val="0"/>
        <w:adjustRightInd w:val="0"/>
        <w:jc w:val="both"/>
        <w:rPr>
          <w:sz w:val="22"/>
          <w:szCs w:val="22"/>
        </w:rPr>
      </w:pPr>
      <w:r w:rsidRPr="00526A24">
        <w:rPr>
          <w:sz w:val="22"/>
          <w:szCs w:val="22"/>
        </w:rPr>
        <w:t>Source: Schedule E12-E (Exhibit GPD-3, Part 3, Page 1 of 1</w:t>
      </w:r>
    </w:p>
    <w:p w:rsidR="008420B2" w:rsidRDefault="008420B2">
      <w:r>
        <w:br w:type="page"/>
      </w:r>
    </w:p>
    <w:tbl>
      <w:tblPr>
        <w:tblStyle w:val="TableGrid"/>
        <w:tblW w:w="0" w:type="auto"/>
        <w:tblLook w:val="04A0" w:firstRow="1" w:lastRow="0" w:firstColumn="1" w:lastColumn="0" w:noHBand="0" w:noVBand="1"/>
      </w:tblPr>
      <w:tblGrid>
        <w:gridCol w:w="4710"/>
        <w:gridCol w:w="1048"/>
        <w:gridCol w:w="1090"/>
        <w:gridCol w:w="1428"/>
        <w:gridCol w:w="1162"/>
        <w:gridCol w:w="90"/>
      </w:tblGrid>
      <w:tr w:rsidR="00406E90" w:rsidRPr="00E176B4" w:rsidTr="00FC1788">
        <w:trPr>
          <w:gridAfter w:val="1"/>
          <w:wAfter w:w="90" w:type="dxa"/>
          <w:tblHeader/>
        </w:trPr>
        <w:tc>
          <w:tcPr>
            <w:tcW w:w="9438" w:type="dxa"/>
            <w:gridSpan w:val="5"/>
            <w:tcBorders>
              <w:top w:val="nil"/>
              <w:left w:val="nil"/>
              <w:bottom w:val="single" w:sz="4" w:space="0" w:color="auto"/>
              <w:right w:val="nil"/>
            </w:tcBorders>
            <w:vAlign w:val="center"/>
          </w:tcPr>
          <w:p w:rsidR="00406E90" w:rsidRPr="00FC1788" w:rsidRDefault="00406E90" w:rsidP="00406E90">
            <w:pPr>
              <w:autoSpaceDE w:val="0"/>
              <w:autoSpaceDN w:val="0"/>
              <w:adjustRightInd w:val="0"/>
              <w:jc w:val="center"/>
              <w:rPr>
                <w:b/>
              </w:rPr>
            </w:pPr>
          </w:p>
          <w:p w:rsidR="00406E90" w:rsidRPr="00406E90" w:rsidRDefault="00406E90" w:rsidP="00406E90">
            <w:pPr>
              <w:autoSpaceDE w:val="0"/>
              <w:autoSpaceDN w:val="0"/>
              <w:adjustRightInd w:val="0"/>
              <w:jc w:val="both"/>
              <w:rPr>
                <w:b/>
              </w:rPr>
            </w:pPr>
            <w:r w:rsidRPr="00406E90">
              <w:rPr>
                <w:b/>
              </w:rPr>
              <w:t>FPL:</w:t>
            </w:r>
          </w:p>
          <w:p w:rsidR="00406E90" w:rsidRPr="00F13CB1" w:rsidRDefault="00406E90" w:rsidP="00406E90">
            <w:pPr>
              <w:autoSpaceDE w:val="0"/>
              <w:autoSpaceDN w:val="0"/>
              <w:adjustRightInd w:val="0"/>
              <w:jc w:val="center"/>
              <w:rPr>
                <w:b/>
                <w:sz w:val="28"/>
                <w:szCs w:val="28"/>
              </w:rPr>
            </w:pPr>
            <w:r w:rsidRPr="00F13CB1">
              <w:rPr>
                <w:b/>
                <w:sz w:val="28"/>
                <w:szCs w:val="28"/>
              </w:rPr>
              <w:t>Table 30-2</w:t>
            </w:r>
          </w:p>
          <w:p w:rsidR="00406E90" w:rsidRPr="00E176B4" w:rsidRDefault="00406E90" w:rsidP="00406E90">
            <w:pPr>
              <w:autoSpaceDE w:val="0"/>
              <w:autoSpaceDN w:val="0"/>
              <w:adjustRightInd w:val="0"/>
              <w:jc w:val="center"/>
              <w:rPr>
                <w:b/>
                <w:bCs/>
              </w:rPr>
            </w:pPr>
            <w:r w:rsidRPr="00E176B4">
              <w:rPr>
                <w:rFonts w:ascii="Arial" w:hAnsi="Arial" w:cs="Arial"/>
                <w:b/>
              </w:rPr>
              <w:t>F</w:t>
            </w:r>
            <w:r>
              <w:rPr>
                <w:rFonts w:ascii="Arial" w:hAnsi="Arial" w:cs="Arial"/>
                <w:b/>
              </w:rPr>
              <w:t>PL</w:t>
            </w:r>
            <w:r w:rsidRPr="00E176B4">
              <w:rPr>
                <w:rFonts w:ascii="Arial" w:hAnsi="Arial" w:cs="Arial"/>
                <w:b/>
              </w:rPr>
              <w:t xml:space="preserve"> Capacity Cost Recovery Factors</w:t>
            </w:r>
            <w:r>
              <w:rPr>
                <w:rFonts w:ascii="Arial" w:hAnsi="Arial" w:cs="Arial"/>
                <w:b/>
              </w:rPr>
              <w:t xml:space="preserve"> (with IRA Refund)</w:t>
            </w:r>
            <w:r w:rsidRPr="00E176B4">
              <w:rPr>
                <w:rFonts w:ascii="Arial" w:hAnsi="Arial" w:cs="Arial"/>
                <w:b/>
              </w:rPr>
              <w:t xml:space="preserve"> for the period January–D</w:t>
            </w:r>
            <w:r>
              <w:rPr>
                <w:rFonts w:ascii="Arial" w:hAnsi="Arial" w:cs="Arial"/>
                <w:b/>
              </w:rPr>
              <w:t>ecember, 2025</w:t>
            </w:r>
          </w:p>
        </w:tc>
      </w:tr>
      <w:tr w:rsidR="00406E90" w:rsidRPr="000B4F02" w:rsidTr="00FC1788">
        <w:trPr>
          <w:trHeight w:val="495"/>
          <w:tblHeader/>
        </w:trPr>
        <w:tc>
          <w:tcPr>
            <w:tcW w:w="4710" w:type="dxa"/>
            <w:vMerge w:val="restart"/>
            <w:vAlign w:val="center"/>
            <w:hideMark/>
          </w:tcPr>
          <w:p w:rsidR="00406E90" w:rsidRPr="000B4F02" w:rsidRDefault="00406E90" w:rsidP="00406E90">
            <w:pPr>
              <w:autoSpaceDE w:val="0"/>
              <w:autoSpaceDN w:val="0"/>
              <w:adjustRightInd w:val="0"/>
              <w:rPr>
                <w:b/>
                <w:bCs/>
              </w:rPr>
            </w:pPr>
            <w:r w:rsidRPr="000B4F02">
              <w:rPr>
                <w:b/>
                <w:bCs/>
              </w:rPr>
              <w:t>Rate Schedule</w:t>
            </w:r>
          </w:p>
        </w:tc>
        <w:tc>
          <w:tcPr>
            <w:tcW w:w="4818" w:type="dxa"/>
            <w:gridSpan w:val="5"/>
            <w:vAlign w:val="center"/>
            <w:hideMark/>
          </w:tcPr>
          <w:p w:rsidR="00406E90" w:rsidRPr="000B4F02" w:rsidRDefault="00406E90" w:rsidP="00406E90">
            <w:pPr>
              <w:autoSpaceDE w:val="0"/>
              <w:autoSpaceDN w:val="0"/>
              <w:adjustRightInd w:val="0"/>
              <w:jc w:val="center"/>
              <w:rPr>
                <w:b/>
                <w:bCs/>
              </w:rPr>
            </w:pPr>
            <w:r w:rsidRPr="000B4F02">
              <w:rPr>
                <w:b/>
                <w:bCs/>
              </w:rPr>
              <w:t>202</w:t>
            </w:r>
            <w:r>
              <w:rPr>
                <w:b/>
                <w:bCs/>
              </w:rPr>
              <w:t>5</w:t>
            </w:r>
            <w:r w:rsidRPr="000B4F02">
              <w:rPr>
                <w:b/>
                <w:bCs/>
              </w:rPr>
              <w:t xml:space="preserve"> Capacity Cost Recovery Factors</w:t>
            </w:r>
          </w:p>
        </w:tc>
      </w:tr>
      <w:tr w:rsidR="00406E90" w:rsidRPr="000B4F02" w:rsidTr="00FC1788">
        <w:trPr>
          <w:trHeight w:val="1500"/>
          <w:tblHeader/>
        </w:trPr>
        <w:tc>
          <w:tcPr>
            <w:tcW w:w="4710" w:type="dxa"/>
            <w:vMerge/>
            <w:hideMark/>
          </w:tcPr>
          <w:p w:rsidR="00406E90" w:rsidRPr="000B4F02" w:rsidRDefault="00406E90" w:rsidP="00406E90">
            <w:pPr>
              <w:autoSpaceDE w:val="0"/>
              <w:autoSpaceDN w:val="0"/>
              <w:adjustRightInd w:val="0"/>
              <w:jc w:val="both"/>
              <w:rPr>
                <w:b/>
                <w:bCs/>
              </w:rPr>
            </w:pPr>
          </w:p>
        </w:tc>
        <w:tc>
          <w:tcPr>
            <w:tcW w:w="1048" w:type="dxa"/>
            <w:vMerge w:val="restart"/>
            <w:vAlign w:val="center"/>
            <w:hideMark/>
          </w:tcPr>
          <w:p w:rsidR="00406E90" w:rsidRPr="000B4F02" w:rsidRDefault="00406E90" w:rsidP="00406E90">
            <w:pPr>
              <w:autoSpaceDE w:val="0"/>
              <w:autoSpaceDN w:val="0"/>
              <w:adjustRightInd w:val="0"/>
              <w:jc w:val="center"/>
            </w:pPr>
            <w:r w:rsidRPr="000B4F02">
              <w:rPr>
                <w:bCs/>
              </w:rPr>
              <w:t>$/kW</w:t>
            </w:r>
          </w:p>
        </w:tc>
        <w:tc>
          <w:tcPr>
            <w:tcW w:w="1090" w:type="dxa"/>
            <w:vMerge w:val="restart"/>
            <w:vAlign w:val="center"/>
            <w:hideMark/>
          </w:tcPr>
          <w:p w:rsidR="00406E90" w:rsidRPr="000B4F02" w:rsidRDefault="00406E90" w:rsidP="00406E90">
            <w:pPr>
              <w:autoSpaceDE w:val="0"/>
              <w:autoSpaceDN w:val="0"/>
              <w:adjustRightInd w:val="0"/>
              <w:jc w:val="center"/>
            </w:pPr>
            <w:r w:rsidRPr="000B4F02">
              <w:rPr>
                <w:bCs/>
              </w:rPr>
              <w:t>$/kWh</w:t>
            </w:r>
          </w:p>
        </w:tc>
        <w:tc>
          <w:tcPr>
            <w:tcW w:w="1428" w:type="dxa"/>
            <w:vMerge w:val="restart"/>
            <w:vAlign w:val="center"/>
            <w:hideMark/>
          </w:tcPr>
          <w:p w:rsidR="00406E90" w:rsidRPr="000B4F02" w:rsidRDefault="00406E90" w:rsidP="00406E90">
            <w:pPr>
              <w:autoSpaceDE w:val="0"/>
              <w:autoSpaceDN w:val="0"/>
              <w:adjustRightInd w:val="0"/>
              <w:jc w:val="center"/>
            </w:pPr>
            <w:r w:rsidRPr="000B4F02">
              <w:rPr>
                <w:bCs/>
              </w:rPr>
              <w:t>Reservation Demand Charge (RDC) $/kW</w:t>
            </w:r>
          </w:p>
        </w:tc>
        <w:tc>
          <w:tcPr>
            <w:tcW w:w="1252" w:type="dxa"/>
            <w:gridSpan w:val="2"/>
            <w:vMerge w:val="restart"/>
            <w:vAlign w:val="center"/>
            <w:hideMark/>
          </w:tcPr>
          <w:p w:rsidR="00406E90" w:rsidRPr="000B4F02" w:rsidRDefault="00406E90" w:rsidP="00406E90">
            <w:pPr>
              <w:autoSpaceDE w:val="0"/>
              <w:autoSpaceDN w:val="0"/>
              <w:adjustRightInd w:val="0"/>
              <w:jc w:val="center"/>
            </w:pPr>
            <w:r w:rsidRPr="000B4F02">
              <w:rPr>
                <w:bCs/>
              </w:rPr>
              <w:t>Sum of Daily Demand Charge (SDD) $/kW</w:t>
            </w:r>
          </w:p>
        </w:tc>
      </w:tr>
      <w:tr w:rsidR="00406E90" w:rsidRPr="000B4F02" w:rsidTr="00FC1788">
        <w:trPr>
          <w:trHeight w:val="276"/>
        </w:trPr>
        <w:tc>
          <w:tcPr>
            <w:tcW w:w="4710" w:type="dxa"/>
            <w:vMerge/>
            <w:hideMark/>
          </w:tcPr>
          <w:p w:rsidR="00406E90" w:rsidRPr="000B4F02" w:rsidRDefault="00406E90" w:rsidP="00406E90">
            <w:pPr>
              <w:autoSpaceDE w:val="0"/>
              <w:autoSpaceDN w:val="0"/>
              <w:adjustRightInd w:val="0"/>
              <w:jc w:val="both"/>
              <w:rPr>
                <w:b/>
                <w:bCs/>
              </w:rPr>
            </w:pPr>
          </w:p>
        </w:tc>
        <w:tc>
          <w:tcPr>
            <w:tcW w:w="1048" w:type="dxa"/>
            <w:vMerge/>
            <w:hideMark/>
          </w:tcPr>
          <w:p w:rsidR="00406E90" w:rsidRPr="000B4F02" w:rsidRDefault="00406E90" w:rsidP="00406E90">
            <w:pPr>
              <w:autoSpaceDE w:val="0"/>
              <w:autoSpaceDN w:val="0"/>
              <w:adjustRightInd w:val="0"/>
              <w:jc w:val="both"/>
            </w:pPr>
          </w:p>
        </w:tc>
        <w:tc>
          <w:tcPr>
            <w:tcW w:w="1090" w:type="dxa"/>
            <w:vMerge/>
            <w:hideMark/>
          </w:tcPr>
          <w:p w:rsidR="00406E90" w:rsidRPr="000B4F02" w:rsidRDefault="00406E90" w:rsidP="00406E90">
            <w:pPr>
              <w:autoSpaceDE w:val="0"/>
              <w:autoSpaceDN w:val="0"/>
              <w:adjustRightInd w:val="0"/>
              <w:jc w:val="both"/>
            </w:pPr>
          </w:p>
        </w:tc>
        <w:tc>
          <w:tcPr>
            <w:tcW w:w="1428" w:type="dxa"/>
            <w:vMerge/>
            <w:hideMark/>
          </w:tcPr>
          <w:p w:rsidR="00406E90" w:rsidRPr="000B4F02" w:rsidRDefault="00406E90" w:rsidP="00406E90">
            <w:pPr>
              <w:autoSpaceDE w:val="0"/>
              <w:autoSpaceDN w:val="0"/>
              <w:adjustRightInd w:val="0"/>
              <w:jc w:val="both"/>
            </w:pPr>
          </w:p>
        </w:tc>
        <w:tc>
          <w:tcPr>
            <w:tcW w:w="1252" w:type="dxa"/>
            <w:gridSpan w:val="2"/>
            <w:vMerge/>
            <w:hideMark/>
          </w:tcPr>
          <w:p w:rsidR="00406E90" w:rsidRPr="000B4F02" w:rsidRDefault="00406E90" w:rsidP="00406E90">
            <w:pPr>
              <w:autoSpaceDE w:val="0"/>
              <w:autoSpaceDN w:val="0"/>
              <w:adjustRightInd w:val="0"/>
              <w:jc w:val="both"/>
            </w:pP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RS1/RTR1</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noWrap/>
          </w:tcPr>
          <w:p w:rsidR="00406E90" w:rsidRPr="00D053FE" w:rsidRDefault="00406E90" w:rsidP="00406E90">
            <w:pPr>
              <w:autoSpaceDE w:val="0"/>
              <w:autoSpaceDN w:val="0"/>
              <w:adjustRightInd w:val="0"/>
              <w:jc w:val="right"/>
            </w:pPr>
            <w:r w:rsidRPr="00D053FE">
              <w:t>0.00103</w:t>
            </w:r>
          </w:p>
        </w:tc>
        <w:tc>
          <w:tcPr>
            <w:tcW w:w="1428" w:type="dxa"/>
            <w:hideMark/>
          </w:tcPr>
          <w:p w:rsidR="00406E90" w:rsidRPr="00D053FE" w:rsidRDefault="00406E90" w:rsidP="00406E90">
            <w:pPr>
              <w:autoSpaceDE w:val="0"/>
              <w:autoSpaceDN w:val="0"/>
              <w:adjustRightInd w:val="0"/>
              <w:jc w:val="right"/>
            </w:pPr>
            <w:r w:rsidRPr="00D053FE">
              <w:rPr>
                <w:bCs/>
              </w:rPr>
              <w:t>-</w:t>
            </w:r>
          </w:p>
        </w:tc>
        <w:tc>
          <w:tcPr>
            <w:tcW w:w="1252" w:type="dxa"/>
            <w:gridSpan w:val="2"/>
            <w:hideMark/>
          </w:tcPr>
          <w:p w:rsidR="00406E90" w:rsidRPr="00D053FE" w:rsidRDefault="00406E90" w:rsidP="00406E90">
            <w:pPr>
              <w:autoSpaceDE w:val="0"/>
              <w:autoSpaceDN w:val="0"/>
              <w:adjustRightInd w:val="0"/>
              <w:jc w:val="right"/>
            </w:pPr>
            <w:r w:rsidRPr="00D053FE">
              <w:rPr>
                <w:bCs/>
              </w:rPr>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GS1/GST1</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noWrap/>
          </w:tcPr>
          <w:p w:rsidR="00406E90" w:rsidRPr="00D053FE" w:rsidRDefault="00406E90" w:rsidP="00406E90">
            <w:pPr>
              <w:autoSpaceDE w:val="0"/>
              <w:autoSpaceDN w:val="0"/>
              <w:adjustRightInd w:val="0"/>
              <w:jc w:val="right"/>
            </w:pPr>
            <w:r w:rsidRPr="00D053FE">
              <w:t>0.00092</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GSD1/GSDT1/HLFT1/GSD1-EV</w:t>
            </w:r>
          </w:p>
        </w:tc>
        <w:tc>
          <w:tcPr>
            <w:tcW w:w="1048" w:type="dxa"/>
            <w:noWrap/>
            <w:hideMark/>
          </w:tcPr>
          <w:p w:rsidR="00406E90" w:rsidRPr="00D053FE" w:rsidRDefault="00406E90" w:rsidP="00406E90">
            <w:pPr>
              <w:autoSpaceDE w:val="0"/>
              <w:autoSpaceDN w:val="0"/>
              <w:adjustRightInd w:val="0"/>
              <w:jc w:val="right"/>
            </w:pPr>
            <w:r w:rsidRPr="00D053FE">
              <w:t>0.32</w:t>
            </w:r>
          </w:p>
        </w:tc>
        <w:tc>
          <w:tcPr>
            <w:tcW w:w="1090" w:type="dxa"/>
            <w:hideMark/>
          </w:tcPr>
          <w:p w:rsidR="00406E90" w:rsidRPr="00D053FE" w:rsidRDefault="00406E90" w:rsidP="00406E90">
            <w:pPr>
              <w:autoSpaceDE w:val="0"/>
              <w:autoSpaceDN w:val="0"/>
              <w:adjustRightInd w:val="0"/>
              <w:jc w:val="right"/>
            </w:pPr>
            <w:r w:rsidRPr="00D053FE">
              <w:rPr>
                <w:bCs/>
              </w:rPr>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OS2</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noWrap/>
            <w:hideMark/>
          </w:tcPr>
          <w:p w:rsidR="00406E90" w:rsidRPr="00D053FE" w:rsidRDefault="00406E90" w:rsidP="00406E90">
            <w:pPr>
              <w:autoSpaceDE w:val="0"/>
              <w:autoSpaceDN w:val="0"/>
              <w:adjustRightInd w:val="0"/>
              <w:jc w:val="right"/>
            </w:pPr>
            <w:r w:rsidRPr="00D053FE">
              <w:t>0.00041</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GSLD1/GSLDT1/CS1/CST1/HLFT2/GSLD1-EV</w:t>
            </w:r>
          </w:p>
        </w:tc>
        <w:tc>
          <w:tcPr>
            <w:tcW w:w="1048" w:type="dxa"/>
            <w:noWrap/>
          </w:tcPr>
          <w:p w:rsidR="00406E90" w:rsidRPr="00D053FE" w:rsidRDefault="00406E90" w:rsidP="00406E90">
            <w:pPr>
              <w:autoSpaceDE w:val="0"/>
              <w:autoSpaceDN w:val="0"/>
              <w:adjustRightInd w:val="0"/>
              <w:jc w:val="right"/>
            </w:pPr>
            <w:r w:rsidRPr="00D053FE">
              <w:t>0.35</w:t>
            </w:r>
          </w:p>
        </w:tc>
        <w:tc>
          <w:tcPr>
            <w:tcW w:w="1090" w:type="dxa"/>
            <w:hideMark/>
          </w:tcPr>
          <w:p w:rsidR="00406E90" w:rsidRPr="00D053FE" w:rsidRDefault="00406E90" w:rsidP="00406E90">
            <w:pPr>
              <w:autoSpaceDE w:val="0"/>
              <w:autoSpaceDN w:val="0"/>
              <w:adjustRightInd w:val="0"/>
              <w:jc w:val="right"/>
            </w:pPr>
            <w:r w:rsidRPr="00D053FE">
              <w:rPr>
                <w:bCs/>
              </w:rPr>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GSLD2/GSLDT2/CS2/CST2/HLFT3</w:t>
            </w:r>
          </w:p>
        </w:tc>
        <w:tc>
          <w:tcPr>
            <w:tcW w:w="1048" w:type="dxa"/>
            <w:noWrap/>
          </w:tcPr>
          <w:p w:rsidR="00406E90" w:rsidRPr="00D053FE" w:rsidRDefault="00406E90" w:rsidP="00406E90">
            <w:pPr>
              <w:autoSpaceDE w:val="0"/>
              <w:autoSpaceDN w:val="0"/>
              <w:adjustRightInd w:val="0"/>
              <w:jc w:val="right"/>
            </w:pPr>
            <w:r w:rsidRPr="00D053FE">
              <w:t>0.35</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GSLD3/GSLDT3/CS3/CST3</w:t>
            </w:r>
          </w:p>
        </w:tc>
        <w:tc>
          <w:tcPr>
            <w:tcW w:w="1048" w:type="dxa"/>
            <w:noWrap/>
          </w:tcPr>
          <w:p w:rsidR="00406E90" w:rsidRPr="00D053FE" w:rsidRDefault="00406E90" w:rsidP="00406E90">
            <w:pPr>
              <w:autoSpaceDE w:val="0"/>
              <w:autoSpaceDN w:val="0"/>
              <w:adjustRightInd w:val="0"/>
              <w:jc w:val="right"/>
            </w:pPr>
            <w:r w:rsidRPr="00D053FE">
              <w:t>0.35</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SST1T</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noWrap/>
          </w:tcPr>
          <w:p w:rsidR="00406E90" w:rsidRPr="00D053FE" w:rsidRDefault="00406E90" w:rsidP="00406E90">
            <w:pPr>
              <w:autoSpaceDE w:val="0"/>
              <w:autoSpaceDN w:val="0"/>
              <w:adjustRightInd w:val="0"/>
              <w:jc w:val="right"/>
            </w:pPr>
            <w:r w:rsidRPr="00D053FE">
              <w:t>0.04</w:t>
            </w:r>
          </w:p>
        </w:tc>
        <w:tc>
          <w:tcPr>
            <w:tcW w:w="1252" w:type="dxa"/>
            <w:gridSpan w:val="2"/>
            <w:noWrap/>
          </w:tcPr>
          <w:p w:rsidR="00406E90" w:rsidRPr="00D053FE" w:rsidRDefault="00406E90" w:rsidP="00406E90">
            <w:pPr>
              <w:autoSpaceDE w:val="0"/>
              <w:autoSpaceDN w:val="0"/>
              <w:adjustRightInd w:val="0"/>
              <w:jc w:val="right"/>
            </w:pPr>
            <w:r w:rsidRPr="00D053FE">
              <w:t>0.02</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SST1D1/SST1D2/SST1D3</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noWrap/>
          </w:tcPr>
          <w:p w:rsidR="00406E90" w:rsidRPr="00D053FE" w:rsidRDefault="00406E90" w:rsidP="00406E90">
            <w:pPr>
              <w:autoSpaceDE w:val="0"/>
              <w:autoSpaceDN w:val="0"/>
              <w:adjustRightInd w:val="0"/>
              <w:jc w:val="right"/>
            </w:pPr>
            <w:r w:rsidRPr="00D053FE">
              <w:t>0.05</w:t>
            </w:r>
          </w:p>
        </w:tc>
        <w:tc>
          <w:tcPr>
            <w:tcW w:w="1252" w:type="dxa"/>
            <w:gridSpan w:val="2"/>
            <w:noWrap/>
          </w:tcPr>
          <w:p w:rsidR="00406E90" w:rsidRPr="00D053FE" w:rsidRDefault="00406E90" w:rsidP="00406E90">
            <w:pPr>
              <w:autoSpaceDE w:val="0"/>
              <w:autoSpaceDN w:val="0"/>
              <w:adjustRightInd w:val="0"/>
              <w:jc w:val="right"/>
            </w:pPr>
            <w:r w:rsidRPr="00D053FE">
              <w:t>0.02</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CILC D/CILC G</w:t>
            </w:r>
          </w:p>
        </w:tc>
        <w:tc>
          <w:tcPr>
            <w:tcW w:w="1048" w:type="dxa"/>
            <w:noWrap/>
          </w:tcPr>
          <w:p w:rsidR="00406E90" w:rsidRPr="00D053FE" w:rsidRDefault="00406E90" w:rsidP="00406E90">
            <w:pPr>
              <w:autoSpaceDE w:val="0"/>
              <w:autoSpaceDN w:val="0"/>
              <w:adjustRightInd w:val="0"/>
              <w:jc w:val="right"/>
            </w:pPr>
            <w:r w:rsidRPr="00D053FE">
              <w:t>0.36</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hideMark/>
          </w:tcPr>
          <w:p w:rsidR="00406E90" w:rsidRPr="00D053FE" w:rsidRDefault="00406E90" w:rsidP="00406E90">
            <w:pPr>
              <w:autoSpaceDE w:val="0"/>
              <w:autoSpaceDN w:val="0"/>
              <w:adjustRightInd w:val="0"/>
              <w:jc w:val="right"/>
            </w:pPr>
            <w:r w:rsidRPr="00D053FE">
              <w:rPr>
                <w:bCs/>
              </w:rPr>
              <w:t>-</w:t>
            </w:r>
          </w:p>
        </w:tc>
        <w:tc>
          <w:tcPr>
            <w:tcW w:w="1252" w:type="dxa"/>
            <w:gridSpan w:val="2"/>
            <w:hideMark/>
          </w:tcPr>
          <w:p w:rsidR="00406E90" w:rsidRPr="00D053FE" w:rsidRDefault="00406E90" w:rsidP="00406E90">
            <w:pPr>
              <w:autoSpaceDE w:val="0"/>
              <w:autoSpaceDN w:val="0"/>
              <w:adjustRightInd w:val="0"/>
              <w:jc w:val="right"/>
            </w:pPr>
            <w:r w:rsidRPr="00D053FE">
              <w:rPr>
                <w:bCs/>
              </w:rPr>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CILC T</w:t>
            </w:r>
          </w:p>
        </w:tc>
        <w:tc>
          <w:tcPr>
            <w:tcW w:w="1048" w:type="dxa"/>
            <w:noWrap/>
          </w:tcPr>
          <w:p w:rsidR="00406E90" w:rsidRPr="00D053FE" w:rsidRDefault="00406E90" w:rsidP="00406E90">
            <w:pPr>
              <w:autoSpaceDE w:val="0"/>
              <w:autoSpaceDN w:val="0"/>
              <w:adjustRightInd w:val="0"/>
              <w:jc w:val="right"/>
            </w:pPr>
            <w:r w:rsidRPr="00D053FE">
              <w:t>0.36</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MET</w:t>
            </w:r>
          </w:p>
        </w:tc>
        <w:tc>
          <w:tcPr>
            <w:tcW w:w="1048" w:type="dxa"/>
            <w:noWrap/>
            <w:hideMark/>
          </w:tcPr>
          <w:p w:rsidR="00406E90" w:rsidRPr="00D053FE" w:rsidRDefault="00406E90" w:rsidP="00406E90">
            <w:pPr>
              <w:autoSpaceDE w:val="0"/>
              <w:autoSpaceDN w:val="0"/>
              <w:adjustRightInd w:val="0"/>
              <w:jc w:val="right"/>
            </w:pPr>
            <w:r w:rsidRPr="00D053FE">
              <w:t>0.30</w:t>
            </w:r>
          </w:p>
        </w:tc>
        <w:tc>
          <w:tcPr>
            <w:tcW w:w="1090" w:type="dxa"/>
            <w:hideMark/>
          </w:tcPr>
          <w:p w:rsidR="00406E90" w:rsidRPr="00D053FE" w:rsidRDefault="00406E90" w:rsidP="00406E90">
            <w:pPr>
              <w:autoSpaceDE w:val="0"/>
              <w:autoSpaceDN w:val="0"/>
              <w:adjustRightInd w:val="0"/>
              <w:jc w:val="right"/>
            </w:pPr>
            <w:r w:rsidRPr="00D053FE">
              <w:t>-</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OL1/SL1/SL1M/PL1/OSI/II/LT1</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noWrap/>
          </w:tcPr>
          <w:p w:rsidR="00406E90" w:rsidRPr="00D053FE" w:rsidRDefault="00406E90" w:rsidP="00406E90">
            <w:pPr>
              <w:autoSpaceDE w:val="0"/>
              <w:autoSpaceDN w:val="0"/>
              <w:adjustRightInd w:val="0"/>
              <w:jc w:val="right"/>
            </w:pPr>
            <w:r w:rsidRPr="00D053FE">
              <w:t>0.00007</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r w:rsidR="00406E90" w:rsidRPr="00D053FE" w:rsidTr="00FC1788">
        <w:trPr>
          <w:trHeight w:val="300"/>
        </w:trPr>
        <w:tc>
          <w:tcPr>
            <w:tcW w:w="4710" w:type="dxa"/>
            <w:noWrap/>
            <w:hideMark/>
          </w:tcPr>
          <w:p w:rsidR="00406E90" w:rsidRPr="00D053FE" w:rsidRDefault="00406E90" w:rsidP="00406E90">
            <w:pPr>
              <w:autoSpaceDE w:val="0"/>
              <w:autoSpaceDN w:val="0"/>
              <w:adjustRightInd w:val="0"/>
              <w:jc w:val="both"/>
            </w:pPr>
            <w:r w:rsidRPr="00D053FE">
              <w:t>SL2/SL2M/GSCU1</w:t>
            </w:r>
          </w:p>
        </w:tc>
        <w:tc>
          <w:tcPr>
            <w:tcW w:w="1048" w:type="dxa"/>
            <w:hideMark/>
          </w:tcPr>
          <w:p w:rsidR="00406E90" w:rsidRPr="00D053FE" w:rsidRDefault="00406E90" w:rsidP="00406E90">
            <w:pPr>
              <w:autoSpaceDE w:val="0"/>
              <w:autoSpaceDN w:val="0"/>
              <w:adjustRightInd w:val="0"/>
              <w:jc w:val="right"/>
            </w:pPr>
            <w:r w:rsidRPr="00D053FE">
              <w:rPr>
                <w:bCs/>
              </w:rPr>
              <w:t>-</w:t>
            </w:r>
          </w:p>
        </w:tc>
        <w:tc>
          <w:tcPr>
            <w:tcW w:w="1090" w:type="dxa"/>
            <w:noWrap/>
          </w:tcPr>
          <w:p w:rsidR="00406E90" w:rsidRPr="00D053FE" w:rsidRDefault="00406E90" w:rsidP="00406E90">
            <w:pPr>
              <w:autoSpaceDE w:val="0"/>
              <w:autoSpaceDN w:val="0"/>
              <w:adjustRightInd w:val="0"/>
              <w:jc w:val="right"/>
            </w:pPr>
            <w:r w:rsidRPr="00D053FE">
              <w:t>0.00065</w:t>
            </w:r>
          </w:p>
        </w:tc>
        <w:tc>
          <w:tcPr>
            <w:tcW w:w="1428" w:type="dxa"/>
            <w:hideMark/>
          </w:tcPr>
          <w:p w:rsidR="00406E90" w:rsidRPr="00D053FE" w:rsidRDefault="00406E90" w:rsidP="00406E90">
            <w:pPr>
              <w:autoSpaceDE w:val="0"/>
              <w:autoSpaceDN w:val="0"/>
              <w:adjustRightInd w:val="0"/>
              <w:jc w:val="right"/>
            </w:pPr>
            <w:r w:rsidRPr="00D053FE">
              <w:t>-</w:t>
            </w:r>
          </w:p>
        </w:tc>
        <w:tc>
          <w:tcPr>
            <w:tcW w:w="1252" w:type="dxa"/>
            <w:gridSpan w:val="2"/>
            <w:hideMark/>
          </w:tcPr>
          <w:p w:rsidR="00406E90" w:rsidRPr="00D053FE" w:rsidRDefault="00406E90" w:rsidP="00406E90">
            <w:pPr>
              <w:autoSpaceDE w:val="0"/>
              <w:autoSpaceDN w:val="0"/>
              <w:adjustRightInd w:val="0"/>
              <w:jc w:val="right"/>
            </w:pPr>
            <w:r w:rsidRPr="00D053FE">
              <w:t>-</w:t>
            </w:r>
          </w:p>
        </w:tc>
      </w:tr>
    </w:tbl>
    <w:p w:rsidR="00FC1788" w:rsidRDefault="00FC1788" w:rsidP="00406E90">
      <w:pPr>
        <w:rPr>
          <w:b/>
        </w:rPr>
        <w:sectPr w:rsidR="00FC1788">
          <w:headerReference w:type="default" r:id="rId21"/>
          <w:headerReference w:type="first" r:id="rId22"/>
          <w:pgSz w:w="12240" w:h="15840" w:code="1"/>
          <w:pgMar w:top="1440" w:right="1440" w:bottom="1440" w:left="1440" w:header="720" w:footer="720" w:gutter="0"/>
          <w:cols w:space="720"/>
          <w:titlePg/>
          <w:docGrid w:linePitch="360"/>
        </w:sectPr>
      </w:pPr>
    </w:p>
    <w:p w:rsidR="00406E90" w:rsidRPr="00AB0A00" w:rsidRDefault="00FC1788" w:rsidP="00406E90">
      <w:pPr>
        <w:rPr>
          <w:b/>
        </w:rPr>
      </w:pPr>
      <w:r>
        <w:rPr>
          <w:b/>
        </w:rPr>
        <w:lastRenderedPageBreak/>
        <w:t>TECO</w:t>
      </w:r>
      <w:r w:rsidR="00406E90" w:rsidRPr="00AB0A00">
        <w:rPr>
          <w:b/>
        </w:rPr>
        <w:t>:</w:t>
      </w:r>
      <w:r w:rsidR="00406E90" w:rsidRPr="00AB0A00">
        <w:rPr>
          <w:b/>
        </w:rPr>
        <w:tab/>
      </w:r>
    </w:p>
    <w:tbl>
      <w:tblPr>
        <w:tblStyle w:val="TableGrid"/>
        <w:tblW w:w="0" w:type="auto"/>
        <w:jc w:val="center"/>
        <w:tblLook w:val="04A0" w:firstRow="1" w:lastRow="0" w:firstColumn="1" w:lastColumn="0" w:noHBand="0" w:noVBand="1"/>
      </w:tblPr>
      <w:tblGrid>
        <w:gridCol w:w="4077"/>
        <w:gridCol w:w="2543"/>
        <w:gridCol w:w="2825"/>
      </w:tblGrid>
      <w:tr w:rsidR="00406E90" w:rsidRPr="00E176B4" w:rsidTr="00406E90">
        <w:trPr>
          <w:tblHeader/>
          <w:jc w:val="center"/>
        </w:trPr>
        <w:tc>
          <w:tcPr>
            <w:tcW w:w="9445" w:type="dxa"/>
            <w:gridSpan w:val="3"/>
            <w:tcBorders>
              <w:top w:val="nil"/>
              <w:left w:val="nil"/>
              <w:bottom w:val="nil"/>
              <w:right w:val="nil"/>
            </w:tcBorders>
            <w:vAlign w:val="center"/>
          </w:tcPr>
          <w:p w:rsidR="00406E90" w:rsidRPr="00E176B4" w:rsidRDefault="00406E90" w:rsidP="00406E90">
            <w:pPr>
              <w:ind w:left="1440" w:hanging="1440"/>
              <w:jc w:val="center"/>
              <w:rPr>
                <w:rFonts w:ascii="Arial" w:hAnsi="Arial" w:cs="Arial"/>
                <w:b/>
              </w:rPr>
            </w:pPr>
            <w:r w:rsidRPr="00E176B4">
              <w:rPr>
                <w:rFonts w:ascii="Arial" w:hAnsi="Arial" w:cs="Arial"/>
                <w:b/>
              </w:rPr>
              <w:t>Table 30</w:t>
            </w:r>
            <w:r>
              <w:rPr>
                <w:rFonts w:ascii="Arial" w:hAnsi="Arial" w:cs="Arial"/>
                <w:b/>
              </w:rPr>
              <w:t>-3</w:t>
            </w:r>
          </w:p>
        </w:tc>
      </w:tr>
      <w:tr w:rsidR="00406E90" w:rsidRPr="00E176B4" w:rsidTr="00406E90">
        <w:trPr>
          <w:tblHeader/>
          <w:jc w:val="center"/>
        </w:trPr>
        <w:tc>
          <w:tcPr>
            <w:tcW w:w="9445" w:type="dxa"/>
            <w:gridSpan w:val="3"/>
            <w:tcBorders>
              <w:top w:val="nil"/>
              <w:left w:val="nil"/>
              <w:bottom w:val="single" w:sz="4" w:space="0" w:color="auto"/>
              <w:right w:val="nil"/>
            </w:tcBorders>
            <w:vAlign w:val="center"/>
          </w:tcPr>
          <w:p w:rsidR="00406E90" w:rsidRPr="00E176B4" w:rsidRDefault="00406E90" w:rsidP="00406E90">
            <w:pPr>
              <w:autoSpaceDE w:val="0"/>
              <w:autoSpaceDN w:val="0"/>
              <w:adjustRightInd w:val="0"/>
              <w:jc w:val="center"/>
              <w:rPr>
                <w:b/>
                <w:bCs/>
              </w:rPr>
            </w:pPr>
            <w:r>
              <w:rPr>
                <w:rFonts w:ascii="Arial" w:hAnsi="Arial" w:cs="Arial"/>
                <w:b/>
              </w:rPr>
              <w:t>TECO</w:t>
            </w:r>
            <w:r w:rsidRPr="00E176B4">
              <w:rPr>
                <w:rFonts w:ascii="Arial" w:hAnsi="Arial" w:cs="Arial"/>
                <w:b/>
              </w:rPr>
              <w:t xml:space="preserve"> Capacity Cost Recovery Factors for t</w:t>
            </w:r>
            <w:r>
              <w:rPr>
                <w:rFonts w:ascii="Arial" w:hAnsi="Arial" w:cs="Arial"/>
                <w:b/>
              </w:rPr>
              <w:t>he period January–December, 2025</w:t>
            </w:r>
          </w:p>
        </w:tc>
      </w:tr>
      <w:tr w:rsidR="00406E90" w:rsidRPr="00994B44" w:rsidTr="00406E90">
        <w:trPr>
          <w:tblHeader/>
          <w:jc w:val="center"/>
        </w:trPr>
        <w:tc>
          <w:tcPr>
            <w:tcW w:w="4077" w:type="dxa"/>
            <w:vMerge w:val="restart"/>
            <w:vAlign w:val="center"/>
          </w:tcPr>
          <w:p w:rsidR="00406E90" w:rsidRPr="000B4F02" w:rsidRDefault="00406E90" w:rsidP="00406E90">
            <w:pPr>
              <w:autoSpaceDE w:val="0"/>
              <w:autoSpaceDN w:val="0"/>
              <w:adjustRightInd w:val="0"/>
              <w:jc w:val="center"/>
              <w:rPr>
                <w:b/>
                <w:bCs/>
              </w:rPr>
            </w:pPr>
            <w:r w:rsidRPr="000B4F02">
              <w:rPr>
                <w:b/>
                <w:bCs/>
              </w:rPr>
              <w:t>Rate Class and Metering Voltage</w:t>
            </w:r>
          </w:p>
        </w:tc>
        <w:tc>
          <w:tcPr>
            <w:tcW w:w="5368" w:type="dxa"/>
            <w:gridSpan w:val="2"/>
          </w:tcPr>
          <w:p w:rsidR="00406E90" w:rsidRPr="000B4F02" w:rsidRDefault="00406E90" w:rsidP="00406E90">
            <w:pPr>
              <w:autoSpaceDE w:val="0"/>
              <w:autoSpaceDN w:val="0"/>
              <w:adjustRightInd w:val="0"/>
              <w:jc w:val="center"/>
              <w:rPr>
                <w:b/>
                <w:bCs/>
              </w:rPr>
            </w:pPr>
            <w:r>
              <w:rPr>
                <w:b/>
                <w:bCs/>
              </w:rPr>
              <w:t>2025</w:t>
            </w:r>
            <w:r w:rsidRPr="000B4F02">
              <w:rPr>
                <w:b/>
                <w:bCs/>
              </w:rPr>
              <w:t xml:space="preserve"> Capacity Cost Recovery Factors </w:t>
            </w:r>
          </w:p>
        </w:tc>
      </w:tr>
      <w:tr w:rsidR="00406E90" w:rsidRPr="00994B44" w:rsidTr="00406E90">
        <w:trPr>
          <w:tblHeader/>
          <w:jc w:val="center"/>
        </w:trPr>
        <w:tc>
          <w:tcPr>
            <w:tcW w:w="4077" w:type="dxa"/>
            <w:vMerge/>
          </w:tcPr>
          <w:p w:rsidR="00406E90" w:rsidRPr="000B4F02" w:rsidRDefault="00406E90" w:rsidP="00406E90">
            <w:pPr>
              <w:autoSpaceDE w:val="0"/>
              <w:autoSpaceDN w:val="0"/>
              <w:adjustRightInd w:val="0"/>
              <w:jc w:val="center"/>
              <w:rPr>
                <w:b/>
                <w:bCs/>
                <w:u w:val="single"/>
              </w:rPr>
            </w:pPr>
          </w:p>
        </w:tc>
        <w:tc>
          <w:tcPr>
            <w:tcW w:w="2543" w:type="dxa"/>
          </w:tcPr>
          <w:p w:rsidR="00406E90" w:rsidRPr="000B4F02" w:rsidRDefault="00406E90" w:rsidP="00406E90">
            <w:pPr>
              <w:autoSpaceDE w:val="0"/>
              <w:autoSpaceDN w:val="0"/>
              <w:adjustRightInd w:val="0"/>
              <w:jc w:val="center"/>
              <w:rPr>
                <w:bCs/>
              </w:rPr>
            </w:pPr>
            <w:r w:rsidRPr="008161B0">
              <w:rPr>
                <w:bCs/>
              </w:rPr>
              <w:t>¢/kWh</w:t>
            </w:r>
          </w:p>
        </w:tc>
        <w:tc>
          <w:tcPr>
            <w:tcW w:w="2825" w:type="dxa"/>
          </w:tcPr>
          <w:p w:rsidR="00406E90" w:rsidRPr="000B4F02" w:rsidRDefault="00406E90" w:rsidP="00406E90">
            <w:pPr>
              <w:autoSpaceDE w:val="0"/>
              <w:autoSpaceDN w:val="0"/>
              <w:adjustRightInd w:val="0"/>
              <w:jc w:val="center"/>
              <w:rPr>
                <w:bCs/>
              </w:rPr>
            </w:pPr>
            <w:r w:rsidRPr="000B4F02">
              <w:rPr>
                <w:bCs/>
              </w:rPr>
              <w:t>$/kW</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RS</w:t>
            </w:r>
          </w:p>
        </w:tc>
        <w:tc>
          <w:tcPr>
            <w:tcW w:w="2543" w:type="dxa"/>
          </w:tcPr>
          <w:p w:rsidR="00406E90" w:rsidRPr="005F6080" w:rsidRDefault="00406E90" w:rsidP="00406E90">
            <w:pPr>
              <w:autoSpaceDE w:val="0"/>
              <w:autoSpaceDN w:val="0"/>
              <w:adjustRightInd w:val="0"/>
              <w:jc w:val="right"/>
              <w:rPr>
                <w:bCs/>
              </w:rPr>
            </w:pPr>
            <w:r w:rsidRPr="005F6080">
              <w:rPr>
                <w:bCs/>
              </w:rPr>
              <w:t>0.096</w:t>
            </w:r>
          </w:p>
        </w:tc>
        <w:tc>
          <w:tcPr>
            <w:tcW w:w="2825" w:type="dxa"/>
            <w:vMerge w:val="restart"/>
            <w:vAlign w:val="center"/>
          </w:tcPr>
          <w:p w:rsidR="00406E90" w:rsidRPr="005F6080" w:rsidRDefault="00406E90" w:rsidP="00406E90">
            <w:pPr>
              <w:autoSpaceDE w:val="0"/>
              <w:autoSpaceDN w:val="0"/>
              <w:adjustRightInd w:val="0"/>
              <w:jc w:val="right"/>
              <w:rPr>
                <w:bCs/>
              </w:rPr>
            </w:pPr>
            <w:r w:rsidRPr="005F6080">
              <w:rPr>
                <w:bCs/>
              </w:rPr>
              <w:t>-</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GS and CS</w:t>
            </w:r>
          </w:p>
        </w:tc>
        <w:tc>
          <w:tcPr>
            <w:tcW w:w="2543" w:type="dxa"/>
          </w:tcPr>
          <w:p w:rsidR="00406E90" w:rsidRPr="005F6080" w:rsidRDefault="00406E90" w:rsidP="00406E90">
            <w:pPr>
              <w:autoSpaceDE w:val="0"/>
              <w:autoSpaceDN w:val="0"/>
              <w:adjustRightInd w:val="0"/>
              <w:jc w:val="right"/>
              <w:rPr>
                <w:bCs/>
              </w:rPr>
            </w:pPr>
            <w:r w:rsidRPr="005F6080">
              <w:rPr>
                <w:bCs/>
              </w:rPr>
              <w:t>0.088</w:t>
            </w:r>
          </w:p>
        </w:tc>
        <w:tc>
          <w:tcPr>
            <w:tcW w:w="2825" w:type="dxa"/>
            <w:vMerge/>
          </w:tcPr>
          <w:p w:rsidR="00406E90" w:rsidRPr="005F6080" w:rsidRDefault="00406E90" w:rsidP="00406E90">
            <w:pPr>
              <w:autoSpaceDE w:val="0"/>
              <w:autoSpaceDN w:val="0"/>
              <w:adjustRightInd w:val="0"/>
              <w:jc w:val="right"/>
              <w:rPr>
                <w:bCs/>
              </w:rPr>
            </w:pPr>
          </w:p>
        </w:tc>
      </w:tr>
      <w:tr w:rsidR="00406E90" w:rsidRPr="00994B44" w:rsidTr="00406E90">
        <w:trPr>
          <w:jc w:val="center"/>
        </w:trPr>
        <w:tc>
          <w:tcPr>
            <w:tcW w:w="6620" w:type="dxa"/>
            <w:gridSpan w:val="2"/>
          </w:tcPr>
          <w:p w:rsidR="00406E90" w:rsidRPr="005F6080" w:rsidRDefault="00406E90" w:rsidP="00406E90">
            <w:pPr>
              <w:autoSpaceDE w:val="0"/>
              <w:autoSpaceDN w:val="0"/>
              <w:adjustRightInd w:val="0"/>
              <w:rPr>
                <w:bCs/>
              </w:rPr>
            </w:pPr>
            <w:r w:rsidRPr="005F6080">
              <w:rPr>
                <w:bCs/>
              </w:rPr>
              <w:t>GSD, RSD</w:t>
            </w:r>
          </w:p>
        </w:tc>
        <w:tc>
          <w:tcPr>
            <w:tcW w:w="2825" w:type="dxa"/>
          </w:tcPr>
          <w:p w:rsidR="00406E90" w:rsidRPr="005F6080" w:rsidRDefault="00406E90" w:rsidP="00406E90">
            <w:pPr>
              <w:autoSpaceDE w:val="0"/>
              <w:autoSpaceDN w:val="0"/>
              <w:adjustRightInd w:val="0"/>
              <w:jc w:val="right"/>
              <w:rPr>
                <w:bCs/>
              </w:rPr>
            </w:pP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Secondary</w:t>
            </w:r>
          </w:p>
        </w:tc>
        <w:tc>
          <w:tcPr>
            <w:tcW w:w="2543" w:type="dxa"/>
            <w:vMerge w:val="restart"/>
            <w:vAlign w:val="center"/>
          </w:tcPr>
          <w:p w:rsidR="00406E90" w:rsidRPr="005F6080" w:rsidRDefault="00406E90" w:rsidP="00406E90">
            <w:pPr>
              <w:autoSpaceDE w:val="0"/>
              <w:autoSpaceDN w:val="0"/>
              <w:adjustRightInd w:val="0"/>
              <w:jc w:val="right"/>
              <w:rPr>
                <w:bCs/>
              </w:rPr>
            </w:pPr>
            <w:r w:rsidRPr="005F6080">
              <w:rPr>
                <w:bCs/>
              </w:rPr>
              <w:t>-</w:t>
            </w:r>
          </w:p>
        </w:tc>
        <w:tc>
          <w:tcPr>
            <w:tcW w:w="2825" w:type="dxa"/>
          </w:tcPr>
          <w:p w:rsidR="00406E90" w:rsidRPr="005F6080" w:rsidRDefault="00406E90" w:rsidP="00406E90">
            <w:pPr>
              <w:autoSpaceDE w:val="0"/>
              <w:autoSpaceDN w:val="0"/>
              <w:adjustRightInd w:val="0"/>
              <w:jc w:val="right"/>
              <w:rPr>
                <w:bCs/>
              </w:rPr>
            </w:pPr>
            <w:r w:rsidRPr="005F6080">
              <w:rPr>
                <w:bCs/>
              </w:rPr>
              <w:t>0.31</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Primary</w:t>
            </w:r>
          </w:p>
        </w:tc>
        <w:tc>
          <w:tcPr>
            <w:tcW w:w="2543" w:type="dxa"/>
            <w:vMerge/>
          </w:tcPr>
          <w:p w:rsidR="00406E90" w:rsidRPr="005F6080" w:rsidRDefault="00406E90" w:rsidP="00406E90">
            <w:pPr>
              <w:autoSpaceDE w:val="0"/>
              <w:autoSpaceDN w:val="0"/>
              <w:adjustRightInd w:val="0"/>
              <w:jc w:val="center"/>
              <w:rPr>
                <w:bCs/>
              </w:rPr>
            </w:pPr>
          </w:p>
        </w:tc>
        <w:tc>
          <w:tcPr>
            <w:tcW w:w="2825" w:type="dxa"/>
          </w:tcPr>
          <w:p w:rsidR="00406E90" w:rsidRPr="005F6080" w:rsidRDefault="00406E90" w:rsidP="00406E90">
            <w:pPr>
              <w:jc w:val="right"/>
            </w:pPr>
            <w:r w:rsidRPr="005F6080">
              <w:rPr>
                <w:bCs/>
              </w:rPr>
              <w:t>0.31</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Transmission</w:t>
            </w:r>
          </w:p>
        </w:tc>
        <w:tc>
          <w:tcPr>
            <w:tcW w:w="2543" w:type="dxa"/>
            <w:vMerge/>
          </w:tcPr>
          <w:p w:rsidR="00406E90" w:rsidRPr="005F6080" w:rsidRDefault="00406E90" w:rsidP="00406E90">
            <w:pPr>
              <w:autoSpaceDE w:val="0"/>
              <w:autoSpaceDN w:val="0"/>
              <w:adjustRightInd w:val="0"/>
              <w:jc w:val="center"/>
              <w:rPr>
                <w:bCs/>
              </w:rPr>
            </w:pPr>
          </w:p>
        </w:tc>
        <w:tc>
          <w:tcPr>
            <w:tcW w:w="2825" w:type="dxa"/>
          </w:tcPr>
          <w:p w:rsidR="00406E90" w:rsidRPr="005F6080" w:rsidRDefault="00406E90" w:rsidP="00406E90">
            <w:pPr>
              <w:jc w:val="right"/>
            </w:pPr>
            <w:r w:rsidRPr="005F6080">
              <w:rPr>
                <w:bCs/>
              </w:rPr>
              <w:t>0.30</w:t>
            </w:r>
          </w:p>
        </w:tc>
      </w:tr>
      <w:tr w:rsidR="00406E90" w:rsidRPr="00994B44" w:rsidTr="00406E90">
        <w:trPr>
          <w:jc w:val="center"/>
        </w:trPr>
        <w:tc>
          <w:tcPr>
            <w:tcW w:w="6620" w:type="dxa"/>
            <w:gridSpan w:val="2"/>
          </w:tcPr>
          <w:p w:rsidR="00406E90" w:rsidRPr="005F6080" w:rsidRDefault="00406E90" w:rsidP="00406E90">
            <w:pPr>
              <w:tabs>
                <w:tab w:val="left" w:pos="312"/>
                <w:tab w:val="center" w:pos="3197"/>
              </w:tabs>
              <w:autoSpaceDE w:val="0"/>
              <w:autoSpaceDN w:val="0"/>
              <w:adjustRightInd w:val="0"/>
              <w:jc w:val="both"/>
              <w:rPr>
                <w:bCs/>
              </w:rPr>
            </w:pPr>
            <w:r w:rsidRPr="005F6080">
              <w:rPr>
                <w:bCs/>
              </w:rPr>
              <w:t>GSD Optional</w:t>
            </w:r>
          </w:p>
        </w:tc>
        <w:tc>
          <w:tcPr>
            <w:tcW w:w="2825" w:type="dxa"/>
          </w:tcPr>
          <w:p w:rsidR="00406E90" w:rsidRPr="005F6080" w:rsidRDefault="00406E90" w:rsidP="00406E90">
            <w:pPr>
              <w:autoSpaceDE w:val="0"/>
              <w:autoSpaceDN w:val="0"/>
              <w:adjustRightInd w:val="0"/>
              <w:jc w:val="right"/>
              <w:rPr>
                <w:bCs/>
              </w:rPr>
            </w:pP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Secondary</w:t>
            </w:r>
          </w:p>
        </w:tc>
        <w:tc>
          <w:tcPr>
            <w:tcW w:w="2543" w:type="dxa"/>
          </w:tcPr>
          <w:p w:rsidR="00406E90" w:rsidRPr="005F6080" w:rsidRDefault="00406E90" w:rsidP="00406E90">
            <w:pPr>
              <w:autoSpaceDE w:val="0"/>
              <w:autoSpaceDN w:val="0"/>
              <w:adjustRightInd w:val="0"/>
              <w:jc w:val="right"/>
              <w:rPr>
                <w:bCs/>
              </w:rPr>
            </w:pPr>
            <w:r w:rsidRPr="005F6080">
              <w:rPr>
                <w:bCs/>
              </w:rPr>
              <w:t>0.075</w:t>
            </w:r>
          </w:p>
        </w:tc>
        <w:tc>
          <w:tcPr>
            <w:tcW w:w="2825" w:type="dxa"/>
            <w:vMerge w:val="restart"/>
            <w:vAlign w:val="center"/>
          </w:tcPr>
          <w:p w:rsidR="00406E90" w:rsidRPr="005F6080" w:rsidRDefault="00406E90" w:rsidP="00406E90">
            <w:pPr>
              <w:autoSpaceDE w:val="0"/>
              <w:autoSpaceDN w:val="0"/>
              <w:adjustRightInd w:val="0"/>
              <w:jc w:val="right"/>
              <w:rPr>
                <w:bCs/>
              </w:rPr>
            </w:pPr>
            <w:r w:rsidRPr="005F6080">
              <w:rPr>
                <w:bCs/>
              </w:rPr>
              <w:t>-</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Primary</w:t>
            </w:r>
          </w:p>
        </w:tc>
        <w:tc>
          <w:tcPr>
            <w:tcW w:w="2543" w:type="dxa"/>
          </w:tcPr>
          <w:p w:rsidR="00406E90" w:rsidRPr="005F6080" w:rsidRDefault="00406E90" w:rsidP="00406E90">
            <w:pPr>
              <w:jc w:val="right"/>
            </w:pPr>
            <w:r w:rsidRPr="005F6080">
              <w:rPr>
                <w:bCs/>
              </w:rPr>
              <w:t>0.074</w:t>
            </w:r>
          </w:p>
        </w:tc>
        <w:tc>
          <w:tcPr>
            <w:tcW w:w="2825" w:type="dxa"/>
            <w:vMerge/>
          </w:tcPr>
          <w:p w:rsidR="00406E90" w:rsidRPr="005F6080" w:rsidRDefault="00406E90" w:rsidP="00406E90">
            <w:pPr>
              <w:autoSpaceDE w:val="0"/>
              <w:autoSpaceDN w:val="0"/>
              <w:adjustRightInd w:val="0"/>
              <w:jc w:val="right"/>
              <w:rPr>
                <w:bCs/>
              </w:rPr>
            </w:pP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Transmission</w:t>
            </w:r>
          </w:p>
        </w:tc>
        <w:tc>
          <w:tcPr>
            <w:tcW w:w="2543" w:type="dxa"/>
          </w:tcPr>
          <w:p w:rsidR="00406E90" w:rsidRPr="005F6080" w:rsidRDefault="00406E90" w:rsidP="00406E90">
            <w:pPr>
              <w:jc w:val="right"/>
            </w:pPr>
            <w:r w:rsidRPr="005F6080">
              <w:rPr>
                <w:bCs/>
              </w:rPr>
              <w:t>0.074</w:t>
            </w:r>
          </w:p>
        </w:tc>
        <w:tc>
          <w:tcPr>
            <w:tcW w:w="2825" w:type="dxa"/>
            <w:tcBorders>
              <w:bottom w:val="single" w:sz="4" w:space="0" w:color="auto"/>
            </w:tcBorders>
          </w:tcPr>
          <w:p w:rsidR="00406E90" w:rsidRPr="005F6080" w:rsidRDefault="00406E90" w:rsidP="00406E90">
            <w:pPr>
              <w:autoSpaceDE w:val="0"/>
              <w:autoSpaceDN w:val="0"/>
              <w:adjustRightInd w:val="0"/>
              <w:jc w:val="right"/>
              <w:rPr>
                <w:bCs/>
              </w:rPr>
            </w:pP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GSLDPR/GSLDTPR</w:t>
            </w:r>
          </w:p>
        </w:tc>
        <w:tc>
          <w:tcPr>
            <w:tcW w:w="2543" w:type="dxa"/>
            <w:vMerge w:val="restart"/>
            <w:vAlign w:val="center"/>
          </w:tcPr>
          <w:p w:rsidR="00406E90" w:rsidRPr="005F6080" w:rsidRDefault="00406E90" w:rsidP="00406E90">
            <w:pPr>
              <w:autoSpaceDE w:val="0"/>
              <w:autoSpaceDN w:val="0"/>
              <w:adjustRightInd w:val="0"/>
              <w:jc w:val="right"/>
              <w:rPr>
                <w:bCs/>
              </w:rPr>
            </w:pPr>
            <w:r w:rsidRPr="005F6080">
              <w:rPr>
                <w:bCs/>
              </w:rPr>
              <w:t>-</w:t>
            </w:r>
          </w:p>
        </w:tc>
        <w:tc>
          <w:tcPr>
            <w:tcW w:w="2825" w:type="dxa"/>
          </w:tcPr>
          <w:p w:rsidR="00406E90" w:rsidRPr="005F6080" w:rsidRDefault="00406E90" w:rsidP="00406E90">
            <w:pPr>
              <w:autoSpaceDE w:val="0"/>
              <w:autoSpaceDN w:val="0"/>
              <w:adjustRightInd w:val="0"/>
              <w:jc w:val="right"/>
              <w:rPr>
                <w:bCs/>
              </w:rPr>
            </w:pPr>
            <w:r w:rsidRPr="005F6080">
              <w:rPr>
                <w:bCs/>
              </w:rPr>
              <w:t>0.26</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GSLDSU/GSLDTSU</w:t>
            </w:r>
          </w:p>
        </w:tc>
        <w:tc>
          <w:tcPr>
            <w:tcW w:w="2543" w:type="dxa"/>
            <w:vMerge/>
          </w:tcPr>
          <w:p w:rsidR="00406E90" w:rsidRPr="005F6080" w:rsidRDefault="00406E90" w:rsidP="00406E90">
            <w:pPr>
              <w:autoSpaceDE w:val="0"/>
              <w:autoSpaceDN w:val="0"/>
              <w:adjustRightInd w:val="0"/>
              <w:jc w:val="center"/>
              <w:rPr>
                <w:bCs/>
              </w:rPr>
            </w:pPr>
          </w:p>
        </w:tc>
        <w:tc>
          <w:tcPr>
            <w:tcW w:w="2825" w:type="dxa"/>
          </w:tcPr>
          <w:p w:rsidR="00406E90" w:rsidRPr="005F6080" w:rsidRDefault="00406E90" w:rsidP="00406E90">
            <w:pPr>
              <w:autoSpaceDE w:val="0"/>
              <w:autoSpaceDN w:val="0"/>
              <w:adjustRightInd w:val="0"/>
              <w:jc w:val="right"/>
              <w:rPr>
                <w:bCs/>
              </w:rPr>
            </w:pPr>
            <w:r w:rsidRPr="005F6080">
              <w:rPr>
                <w:bCs/>
              </w:rPr>
              <w:t>0.30</w:t>
            </w:r>
          </w:p>
        </w:tc>
      </w:tr>
      <w:tr w:rsidR="00406E90" w:rsidRPr="00994B44" w:rsidTr="00406E90">
        <w:trPr>
          <w:jc w:val="center"/>
        </w:trPr>
        <w:tc>
          <w:tcPr>
            <w:tcW w:w="4077" w:type="dxa"/>
          </w:tcPr>
          <w:p w:rsidR="00406E90" w:rsidRPr="000B4F02" w:rsidRDefault="00406E90" w:rsidP="00406E90">
            <w:pPr>
              <w:autoSpaceDE w:val="0"/>
              <w:autoSpaceDN w:val="0"/>
              <w:adjustRightInd w:val="0"/>
              <w:rPr>
                <w:bCs/>
              </w:rPr>
            </w:pPr>
            <w:r w:rsidRPr="000B4F02">
              <w:rPr>
                <w:bCs/>
              </w:rPr>
              <w:t>LS-1, LS-2</w:t>
            </w:r>
          </w:p>
        </w:tc>
        <w:tc>
          <w:tcPr>
            <w:tcW w:w="2543" w:type="dxa"/>
          </w:tcPr>
          <w:p w:rsidR="00406E90" w:rsidRPr="005F6080" w:rsidRDefault="00406E90" w:rsidP="00406E90">
            <w:pPr>
              <w:autoSpaceDE w:val="0"/>
              <w:autoSpaceDN w:val="0"/>
              <w:adjustRightInd w:val="0"/>
              <w:jc w:val="right"/>
              <w:rPr>
                <w:bCs/>
              </w:rPr>
            </w:pPr>
            <w:r w:rsidRPr="005F6080">
              <w:rPr>
                <w:bCs/>
              </w:rPr>
              <w:t>0.018</w:t>
            </w:r>
          </w:p>
        </w:tc>
        <w:tc>
          <w:tcPr>
            <w:tcW w:w="2825" w:type="dxa"/>
          </w:tcPr>
          <w:p w:rsidR="00406E90" w:rsidRPr="005F6080" w:rsidRDefault="00406E90" w:rsidP="00406E90">
            <w:pPr>
              <w:autoSpaceDE w:val="0"/>
              <w:autoSpaceDN w:val="0"/>
              <w:adjustRightInd w:val="0"/>
              <w:jc w:val="right"/>
              <w:rPr>
                <w:bCs/>
              </w:rPr>
            </w:pPr>
            <w:r w:rsidRPr="005F6080">
              <w:rPr>
                <w:bCs/>
              </w:rPr>
              <w:t>-</w:t>
            </w:r>
          </w:p>
        </w:tc>
      </w:tr>
    </w:tbl>
    <w:p w:rsidR="00406E90" w:rsidRDefault="00406E90" w:rsidP="00406E90">
      <w:pPr>
        <w:autoSpaceDE w:val="0"/>
        <w:autoSpaceDN w:val="0"/>
        <w:adjustRightInd w:val="0"/>
        <w:jc w:val="both"/>
      </w:pPr>
      <w:r w:rsidRPr="005F6080">
        <w:rPr>
          <w:sz w:val="22"/>
          <w:szCs w:val="22"/>
        </w:rPr>
        <w:t>Source: Exhibit ZD</w:t>
      </w:r>
      <w:r>
        <w:rPr>
          <w:sz w:val="22"/>
          <w:szCs w:val="22"/>
        </w:rPr>
        <w:t>J</w:t>
      </w:r>
      <w:r w:rsidRPr="005F6080">
        <w:rPr>
          <w:sz w:val="22"/>
          <w:szCs w:val="22"/>
        </w:rPr>
        <w:t>-3, Document No. 1, Page 3 of 4.</w:t>
      </w:r>
    </w:p>
    <w:p w:rsidR="00406E90" w:rsidRPr="00520C62" w:rsidRDefault="00406E90" w:rsidP="00406E90">
      <w:pPr>
        <w:autoSpaceDE w:val="0"/>
        <w:autoSpaceDN w:val="0"/>
        <w:adjustRightInd w:val="0"/>
        <w:jc w:val="both"/>
      </w:pPr>
      <w:r w:rsidRPr="00520C62">
        <w:t xml:space="preserve">  </w:t>
      </w:r>
    </w:p>
    <w:p w:rsidR="00406E90" w:rsidRPr="00BF6EBB" w:rsidRDefault="00406E90" w:rsidP="00406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8420B2">
        <w:rPr>
          <w:b/>
          <w:bCs/>
          <w:caps/>
        </w:rPr>
        <w:t>III.</w:t>
      </w:r>
      <w:r w:rsidRPr="00BF6EBB">
        <w:rPr>
          <w:b/>
          <w:bCs/>
          <w:caps/>
        </w:rPr>
        <w:tab/>
      </w:r>
      <w:r w:rsidRPr="00BF6EBB">
        <w:rPr>
          <w:b/>
          <w:bCs/>
          <w:caps/>
          <w:u w:val="single"/>
        </w:rPr>
        <w:t>Effective Date</w:t>
      </w:r>
    </w:p>
    <w:p w:rsidR="00406E90" w:rsidRPr="00BF6EBB" w:rsidRDefault="00406E90" w:rsidP="00406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406E90" w:rsidRDefault="00406E90" w:rsidP="00406E90">
      <w:pPr>
        <w:autoSpaceDE w:val="0"/>
        <w:autoSpaceDN w:val="0"/>
        <w:adjustRightInd w:val="0"/>
        <w:ind w:left="1440" w:hanging="1440"/>
        <w:jc w:val="both"/>
      </w:pPr>
      <w:r w:rsidRPr="00BF6EBB">
        <w:rPr>
          <w:b/>
          <w:bCs/>
          <w:u w:val="single"/>
        </w:rPr>
        <w:t xml:space="preserve">ISSUE </w:t>
      </w:r>
      <w:r w:rsidRPr="00EC2A28">
        <w:rPr>
          <w:b/>
          <w:bCs/>
          <w:u w:val="single"/>
        </w:rPr>
        <w:t>31</w:t>
      </w:r>
      <w:r w:rsidRPr="00EC2A28">
        <w:rPr>
          <w:b/>
        </w:rPr>
        <w:t>:</w:t>
      </w:r>
      <w:r w:rsidRPr="00BF6EBB">
        <w:tab/>
        <w:t>What should be the effective date of the fuel adjustment factors and capacity cost recovery factors for</w:t>
      </w:r>
      <w:r>
        <w:t xml:space="preserve"> billing purposes?</w:t>
      </w:r>
    </w:p>
    <w:p w:rsidR="00406E90" w:rsidRDefault="00406E90" w:rsidP="00406E90">
      <w:pPr>
        <w:autoSpaceDE w:val="0"/>
        <w:autoSpaceDN w:val="0"/>
        <w:adjustRightInd w:val="0"/>
        <w:ind w:left="1440" w:hanging="1440"/>
        <w:jc w:val="both"/>
      </w:pPr>
    </w:p>
    <w:p w:rsidR="00406E90" w:rsidRPr="00BF6EBB" w:rsidRDefault="00406E90" w:rsidP="00406E90">
      <w:pPr>
        <w:ind w:left="1440" w:hanging="1440"/>
      </w:pPr>
      <w:r w:rsidRPr="00AB0A00">
        <w:rPr>
          <w:b/>
        </w:rPr>
        <w:t xml:space="preserve">Stipulation: </w:t>
      </w:r>
      <w:r>
        <w:tab/>
        <w:t xml:space="preserve">Revised factors should become effective with the first billing cycle of </w:t>
      </w:r>
      <w:r w:rsidRPr="00526A24">
        <w:t>January 2025.</w:t>
      </w:r>
      <w:r w:rsidRPr="00BF6EBB">
        <w:t xml:space="preserve">                                                              </w:t>
      </w:r>
    </w:p>
    <w:p w:rsidR="00406E90" w:rsidRPr="00520C62" w:rsidRDefault="00406E90" w:rsidP="00406E90">
      <w:pPr>
        <w:jc w:val="both"/>
      </w:pPr>
    </w:p>
    <w:p w:rsidR="00406E90" w:rsidRDefault="00406E90" w:rsidP="00406E90">
      <w:pPr>
        <w:autoSpaceDE w:val="0"/>
        <w:autoSpaceDN w:val="0"/>
        <w:adjustRightInd w:val="0"/>
        <w:ind w:left="1440" w:hanging="1440"/>
        <w:jc w:val="both"/>
      </w:pPr>
      <w:r w:rsidRPr="00BF6EBB">
        <w:rPr>
          <w:b/>
          <w:u w:val="single"/>
        </w:rPr>
        <w:t>ISSUE 3</w:t>
      </w:r>
      <w:r>
        <w:rPr>
          <w:b/>
          <w:u w:val="single"/>
        </w:rPr>
        <w:t>2</w:t>
      </w:r>
      <w:r w:rsidRPr="00BF6EBB">
        <w:rPr>
          <w:b/>
          <w:u w:val="single"/>
        </w:rPr>
        <w:t>:</w:t>
      </w:r>
      <w:r w:rsidRPr="00BF6EBB">
        <w:rPr>
          <w:b/>
        </w:rPr>
        <w:tab/>
      </w:r>
      <w:r w:rsidRPr="00BF6EBB">
        <w:t>Should the Commission approve revised tariffs reflecting the fuel adjustment factors and capacity cost recovery factors determined to be appropriate in this proce</w:t>
      </w:r>
      <w:r>
        <w:t>eding?</w:t>
      </w:r>
    </w:p>
    <w:p w:rsidR="00406E90" w:rsidRDefault="00406E90" w:rsidP="00406E90">
      <w:pPr>
        <w:autoSpaceDE w:val="0"/>
        <w:autoSpaceDN w:val="0"/>
        <w:adjustRightInd w:val="0"/>
        <w:rPr>
          <w:b/>
          <w:u w:val="single"/>
        </w:rPr>
      </w:pPr>
    </w:p>
    <w:p w:rsidR="00406E90" w:rsidRDefault="00406E90" w:rsidP="00406E90">
      <w:pPr>
        <w:ind w:left="1440" w:hanging="1440"/>
        <w:jc w:val="both"/>
      </w:pPr>
      <w:r w:rsidRPr="00B371C9">
        <w:rPr>
          <w:b/>
        </w:rPr>
        <w:t>Stipulation:</w:t>
      </w:r>
      <w:r>
        <w:tab/>
        <w:t xml:space="preserve"> </w:t>
      </w:r>
      <w:r w:rsidRPr="00E176B4">
        <w:t>Yes.  The Commission should approve revised tariffs reflecting the fuel adjustment factors and capacity cost recovery factors determined to be reasonable in this proceeding.  The Commission should direct staff to verify that the revised tariffs are consistent with the Commission</w:t>
      </w:r>
      <w:r>
        <w:t>’s</w:t>
      </w:r>
      <w:r w:rsidRPr="00E176B4">
        <w:t xml:space="preserve"> decisio</w:t>
      </w:r>
      <w:r>
        <w:t>ns.</w:t>
      </w:r>
    </w:p>
    <w:p w:rsidR="00406E90" w:rsidRDefault="00406E90" w:rsidP="00406E90">
      <w:pPr>
        <w:autoSpaceDE w:val="0"/>
        <w:autoSpaceDN w:val="0"/>
        <w:adjustRightInd w:val="0"/>
        <w:ind w:left="1440"/>
        <w:jc w:val="both"/>
      </w:pPr>
    </w:p>
    <w:p w:rsidR="00406E90" w:rsidRDefault="00406E90" w:rsidP="00406E90">
      <w:pPr>
        <w:autoSpaceDE w:val="0"/>
        <w:autoSpaceDN w:val="0"/>
        <w:adjustRightInd w:val="0"/>
        <w:ind w:left="1440" w:hanging="1440"/>
        <w:jc w:val="both"/>
      </w:pPr>
      <w:r>
        <w:rPr>
          <w:b/>
          <w:u w:val="single"/>
        </w:rPr>
        <w:t>ISSUE 33</w:t>
      </w:r>
      <w:r>
        <w:rPr>
          <w:b/>
        </w:rPr>
        <w:t>:</w:t>
      </w:r>
      <w:r>
        <w:rPr>
          <w:b/>
        </w:rPr>
        <w:tab/>
      </w:r>
      <w:r w:rsidRPr="00C8681D">
        <w:t>Should this docket be closed?</w:t>
      </w:r>
    </w:p>
    <w:p w:rsidR="00406E90" w:rsidRDefault="00406E90" w:rsidP="00406E90">
      <w:pPr>
        <w:autoSpaceDE w:val="0"/>
        <w:autoSpaceDN w:val="0"/>
        <w:adjustRightInd w:val="0"/>
        <w:ind w:left="1440" w:hanging="1440"/>
        <w:jc w:val="both"/>
      </w:pPr>
    </w:p>
    <w:p w:rsidR="00406E90" w:rsidRDefault="00406E90" w:rsidP="00406E90">
      <w:r w:rsidRPr="00B371C9">
        <w:rPr>
          <w:b/>
        </w:rPr>
        <w:t>Stipulation</w:t>
      </w:r>
      <w:r>
        <w:t xml:space="preserve">: </w:t>
      </w:r>
      <w:r>
        <w:tab/>
      </w:r>
      <w:r w:rsidRPr="00A939DB">
        <w:t>No, this is a continuing docket and should remain open.</w:t>
      </w:r>
      <w:r>
        <w:t xml:space="preserve">  </w:t>
      </w:r>
    </w:p>
    <w:p w:rsidR="00406E90" w:rsidRDefault="00406E90" w:rsidP="00406E90">
      <w:pPr>
        <w:autoSpaceDE w:val="0"/>
        <w:autoSpaceDN w:val="0"/>
        <w:adjustRightInd w:val="0"/>
        <w:ind w:left="1440" w:hanging="1440"/>
        <w:jc w:val="both"/>
      </w:pPr>
    </w:p>
    <w:p w:rsidR="00406E90" w:rsidRDefault="00406E90" w:rsidP="00406E90">
      <w:pPr>
        <w:autoSpaceDE w:val="0"/>
        <w:autoSpaceDN w:val="0"/>
        <w:adjustRightInd w:val="0"/>
        <w:ind w:left="1440" w:hanging="1440"/>
        <w:jc w:val="both"/>
      </w:pPr>
    </w:p>
    <w:sectPr w:rsidR="00406E90">
      <w:head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7E1" w:rsidRDefault="00D177E1">
      <w:r>
        <w:separator/>
      </w:r>
    </w:p>
  </w:endnote>
  <w:endnote w:type="continuationSeparator" w:id="0">
    <w:p w:rsidR="00D177E1" w:rsidRDefault="00D1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Footer"/>
    </w:pPr>
  </w:p>
  <w:p w:rsidR="00D177E1" w:rsidRDefault="00D1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7E1" w:rsidRDefault="00D177E1">
      <w:r>
        <w:separator/>
      </w:r>
    </w:p>
  </w:footnote>
  <w:footnote w:type="continuationSeparator" w:id="0">
    <w:p w:rsidR="00D177E1" w:rsidRDefault="00D177E1">
      <w:r>
        <w:continuationSeparator/>
      </w:r>
    </w:p>
  </w:footnote>
  <w:footnote w:id="1">
    <w:p w:rsidR="00D177E1" w:rsidRDefault="00D177E1" w:rsidP="00167A33">
      <w:pPr>
        <w:pStyle w:val="FootnoteText"/>
        <w:rPr>
          <w:sz w:val="24"/>
          <w:szCs w:val="24"/>
        </w:rPr>
      </w:pPr>
      <w:r>
        <w:rPr>
          <w:rStyle w:val="FootnoteReference"/>
        </w:rPr>
        <w:footnoteRef/>
      </w:r>
      <w:r>
        <w:t xml:space="preserve"> </w:t>
      </w:r>
      <w:r>
        <w:rPr>
          <w:sz w:val="24"/>
          <w:szCs w:val="24"/>
        </w:rPr>
        <w:t xml:space="preserve">All capacity references for the 2025 Project are measured in alternating current. </w:t>
      </w:r>
    </w:p>
  </w:footnote>
  <w:footnote w:id="2">
    <w:p w:rsidR="00D177E1" w:rsidRDefault="00D177E1" w:rsidP="00406E90">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rsidR="00D177E1" w:rsidRDefault="00D177E1" w:rsidP="00406E90">
      <w:pPr>
        <w:pStyle w:val="FootnoteText"/>
      </w:pPr>
    </w:p>
  </w:footnote>
  <w:footnote w:id="3">
    <w:p w:rsidR="00D177E1" w:rsidRPr="008D4991" w:rsidRDefault="00D177E1" w:rsidP="00406E90">
      <w:pPr>
        <w:jc w:val="both"/>
        <w:rPr>
          <w:sz w:val="20"/>
          <w:szCs w:val="20"/>
        </w:rPr>
      </w:pPr>
      <w:r>
        <w:rPr>
          <w:rStyle w:val="FootnoteReference"/>
        </w:rPr>
        <w:footnoteRef/>
      </w:r>
      <w:r>
        <w:t xml:space="preserve"> </w:t>
      </w:r>
      <w:r w:rsidRPr="008D4991">
        <w:rPr>
          <w:sz w:val="20"/>
          <w:szCs w:val="20"/>
        </w:rPr>
        <w:t>The OPC</w:t>
      </w:r>
      <w:r>
        <w:rPr>
          <w:sz w:val="20"/>
          <w:szCs w:val="20"/>
        </w:rPr>
        <w:t xml:space="preserve">, FRF, PCS Phosphate, Nucor and FIPUG position </w:t>
      </w:r>
      <w:r w:rsidRPr="008D4991">
        <w:rPr>
          <w:sz w:val="20"/>
          <w:szCs w:val="20"/>
        </w:rPr>
        <w:t xml:space="preserve">on each Type 2 stipulation stated </w:t>
      </w:r>
      <w:r>
        <w:rPr>
          <w:sz w:val="20"/>
          <w:szCs w:val="20"/>
        </w:rPr>
        <w:t xml:space="preserve">herein </w:t>
      </w:r>
      <w:r w:rsidRPr="008D4991">
        <w:rPr>
          <w:sz w:val="20"/>
          <w:szCs w:val="20"/>
        </w:rPr>
        <w:t>is as follows:</w:t>
      </w:r>
    </w:p>
    <w:p w:rsidR="00D177E1" w:rsidRDefault="00D177E1" w:rsidP="00406E90">
      <w:pPr>
        <w:pStyle w:val="FootnoteText"/>
        <w:ind w:firstLine="720"/>
      </w:pPr>
      <w:r>
        <w:t xml:space="preserve">The </w:t>
      </w:r>
      <w:r w:rsidRPr="008D4991">
        <w:t>OPC</w:t>
      </w:r>
      <w:r>
        <w:t>, FRF,</w:t>
      </w:r>
      <w:r w:rsidRPr="008D4991">
        <w:t xml:space="preserve"> </w:t>
      </w:r>
      <w:r>
        <w:t xml:space="preserve">PCS Phosphate, Nucor and FIPUG </w:t>
      </w:r>
      <w:r w:rsidRPr="008D4991">
        <w:t>take no position on these issues nor do</w:t>
      </w:r>
      <w:r>
        <w:t xml:space="preserve"> they</w:t>
      </w:r>
      <w:r w:rsidRPr="008D4991">
        <w:t xml:space="preserve"> have the burden of proof related</w:t>
      </w:r>
      <w:r>
        <w:t xml:space="preserve"> </w:t>
      </w:r>
      <w:r w:rsidRPr="008D4991">
        <w:t>to them. As such, the OPC</w:t>
      </w:r>
      <w:r>
        <w:t xml:space="preserve">, FRF, PCS Phosphate, Nucor and FIPUG </w:t>
      </w:r>
      <w:r w:rsidRPr="008D4991">
        <w:t>represent that t</w:t>
      </w:r>
      <w:r>
        <w:t>hey</w:t>
      </w:r>
      <w:r w:rsidRPr="008D4991">
        <w:t xml:space="preserve"> will not contest or oppose the</w:t>
      </w:r>
      <w:r>
        <w:t xml:space="preserve"> </w:t>
      </w:r>
      <w:r w:rsidRPr="008D4991">
        <w:t>Commission taking action approving a proposed stipulation between the</w:t>
      </w:r>
      <w:r>
        <w:t xml:space="preserve"> </w:t>
      </w:r>
      <w:r w:rsidRPr="008D4991">
        <w:t>Company and another party or staff as a final resolution of these issues. No</w:t>
      </w:r>
      <w:r>
        <w:t xml:space="preserve"> </w:t>
      </w:r>
      <w:r w:rsidRPr="008D4991">
        <w:t>person is authorized to state that the OPC</w:t>
      </w:r>
      <w:r>
        <w:t xml:space="preserve">, FRF, PCS Phosphate, Nucor or FIPUG </w:t>
      </w:r>
      <w:r w:rsidRPr="008D4991">
        <w:t>is a participant in, or party to, a</w:t>
      </w:r>
      <w:r>
        <w:t xml:space="preserve"> </w:t>
      </w:r>
      <w:r w:rsidRPr="008D4991">
        <w:t>stipulation on these issues, either in this docket, in an order of the Commission or</w:t>
      </w:r>
      <w:r>
        <w:t xml:space="preserve"> </w:t>
      </w:r>
      <w:r w:rsidRPr="008D4991">
        <w:t>in a representation to a Court.</w:t>
      </w:r>
    </w:p>
  </w:footnote>
  <w:footnote w:id="4">
    <w:p w:rsidR="00D177E1" w:rsidRDefault="00D177E1" w:rsidP="00406E90">
      <w:pPr>
        <w:pStyle w:val="FootnoteText"/>
      </w:pPr>
      <w:r>
        <w:rPr>
          <w:rStyle w:val="FootnoteReference"/>
        </w:rPr>
        <w:footnoteRef/>
      </w:r>
      <w:r w:rsidRPr="0020103D">
        <w:t xml:space="preserve">Order No. PSC-2024-0171-PCO-EI, issued May 24, 2024, in Docket No. 20240001-EI, In re: </w:t>
      </w:r>
      <w:r w:rsidRPr="0020103D">
        <w:rPr>
          <w:i/>
        </w:rPr>
        <w:t>Fuel and purchased power cost recovery clause with generating performance incentive factor</w:t>
      </w:r>
      <w:r w:rsidRPr="0020103D">
        <w:t>.</w:t>
      </w:r>
    </w:p>
  </w:footnote>
  <w:footnote w:id="5">
    <w:p w:rsidR="00D177E1" w:rsidRDefault="00D177E1" w:rsidP="00406E90">
      <w:pPr>
        <w:pStyle w:val="FootnoteText"/>
      </w:pPr>
      <w:r>
        <w:rPr>
          <w:rStyle w:val="FootnoteReference"/>
        </w:rPr>
        <w:footnoteRef/>
      </w:r>
      <w:r w:rsidRPr="0020103D">
        <w:t>Order No. PSC-2024-0091-PCO-EI</w:t>
      </w:r>
      <w:r>
        <w:t>, issued April 10, 2024,</w:t>
      </w:r>
      <w:r w:rsidRPr="0020103D">
        <w:t xml:space="preserve"> in Docket No. 20240001-EI, In re: </w:t>
      </w:r>
      <w:r w:rsidRPr="0020103D">
        <w:rPr>
          <w:i/>
        </w:rPr>
        <w:t>Fuel and purchased power cost recovery clause with generating performance incentive factor</w:t>
      </w:r>
      <w:r w:rsidRPr="0020103D">
        <w:t>.</w:t>
      </w:r>
    </w:p>
  </w:footnote>
  <w:footnote w:id="6">
    <w:p w:rsidR="00D177E1" w:rsidRDefault="00D177E1" w:rsidP="00406E90">
      <w:pPr>
        <w:pStyle w:val="FootnoteText"/>
      </w:pPr>
      <w:r>
        <w:rPr>
          <w:rStyle w:val="FootnoteReference"/>
        </w:rPr>
        <w:footnoteRef/>
      </w:r>
      <w:r w:rsidRPr="0020103D">
        <w:t>Order No. PSC-2024-017</w:t>
      </w:r>
      <w:r>
        <w:t>2</w:t>
      </w:r>
      <w:r w:rsidRPr="0020103D">
        <w:t xml:space="preserve">-PCO-EI, issued May 24, 2024, in Docket No. 20240001-EI, In re: </w:t>
      </w:r>
      <w:r w:rsidRPr="0020103D">
        <w:rPr>
          <w:i/>
        </w:rPr>
        <w:t>Fuel and purchased power cost recovery clause with generating performance incentive factor</w:t>
      </w:r>
      <w:r w:rsidRPr="0020103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OrderHeader"/>
    </w:pPr>
    <w:r>
      <w:t xml:space="preserve">ORDER NO. </w:t>
    </w:r>
    <w:r w:rsidR="00B926D5">
      <w:t>PSC-2024-0465-PHO-EI</w:t>
    </w:r>
  </w:p>
  <w:p w:rsidR="00D177E1" w:rsidRDefault="00D177E1">
    <w:pPr>
      <w:pStyle w:val="OrderHeader"/>
    </w:pPr>
    <w:bookmarkStart w:id="8" w:name="HeaderDocketNo"/>
    <w:bookmarkEnd w:id="8"/>
    <w:r>
      <w:t>DOCKET NO. 20240001-EI</w:t>
    </w:r>
  </w:p>
  <w:p w:rsidR="00D177E1" w:rsidRDefault="00D177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23</w:t>
    </w:r>
    <w:r>
      <w:rPr>
        <w:rStyle w:val="PageNumber"/>
      </w:rPr>
      <w:fldChar w:fldCharType="end"/>
    </w:r>
  </w:p>
  <w:p w:rsidR="00D177E1" w:rsidRDefault="00D177E1">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37</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38</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39</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ORDER NO.</w:t>
    </w:r>
    <w:r w:rsidR="00B926D5">
      <w:t xml:space="preserve"> 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40</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OrderHeader"/>
    </w:pPr>
    <w:r>
      <w:t xml:space="preserve">ORDER NO. </w:t>
    </w:r>
    <w:r w:rsidR="00B926D5">
      <w:t>PSC-2024-0465-PHO-EI</w:t>
    </w:r>
  </w:p>
  <w:p w:rsidR="00D177E1" w:rsidRDefault="00D177E1">
    <w:pPr>
      <w:pStyle w:val="OrderHeader"/>
    </w:pPr>
    <w:r>
      <w:t>DOCKET NO. 20240001-EI</w:t>
    </w:r>
    <w:r>
      <w:tab/>
    </w:r>
    <w:r>
      <w:tab/>
      <w:t>Attachment A</w:t>
    </w:r>
  </w:p>
  <w:p w:rsidR="00D177E1" w:rsidRDefault="00D177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44</w:t>
    </w:r>
    <w:r>
      <w:rPr>
        <w:rStyle w:val="PageNumber"/>
      </w:rPr>
      <w:fldChar w:fldCharType="end"/>
    </w:r>
    <w:r>
      <w:rPr>
        <w:rStyle w:val="PageNumber"/>
      </w:rPr>
      <w:tab/>
    </w:r>
    <w:r>
      <w:rPr>
        <w:rStyle w:val="PageNumber"/>
      </w:rPr>
      <w:tab/>
    </w:r>
  </w:p>
  <w:p w:rsidR="00D177E1" w:rsidRDefault="00D177E1">
    <w:pPr>
      <w:pStyle w:val="Order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41</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45</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OrderHeader"/>
    </w:pPr>
    <w:r>
      <w:t xml:space="preserve">ORDER NO. </w:t>
    </w:r>
    <w:r w:rsidR="00B926D5">
      <w:t>PSC-2024-0465-PHO-EI</w:t>
    </w:r>
  </w:p>
  <w:p w:rsidR="00D177E1" w:rsidRDefault="00D177E1">
    <w:pPr>
      <w:pStyle w:val="OrderHeader"/>
    </w:pPr>
    <w:r>
      <w:t>DOCKET NO. 20240001-EI</w:t>
    </w:r>
    <w:r>
      <w:tab/>
    </w:r>
    <w:r>
      <w:tab/>
      <w:t>Attachment A</w:t>
    </w:r>
  </w:p>
  <w:p w:rsidR="00D177E1" w:rsidRDefault="00D177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25</w:t>
    </w:r>
    <w:r>
      <w:rPr>
        <w:rStyle w:val="PageNumber"/>
      </w:rPr>
      <w:fldChar w:fldCharType="end"/>
    </w:r>
    <w:r>
      <w:rPr>
        <w:rStyle w:val="PageNumber"/>
      </w:rPr>
      <w:tab/>
    </w:r>
    <w:r>
      <w:rPr>
        <w:rStyle w:val="PageNumber"/>
      </w:rPr>
      <w:tab/>
    </w:r>
  </w:p>
  <w:p w:rsidR="00D177E1" w:rsidRDefault="00D177E1">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24</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OrderHeader"/>
    </w:pPr>
    <w:r>
      <w:t xml:space="preserve">ORDER NO. </w:t>
    </w:r>
    <w:r w:rsidR="00B926D5">
      <w:t>PSC-2024-0465-PHO-EI</w:t>
    </w:r>
  </w:p>
  <w:p w:rsidR="00D177E1" w:rsidRDefault="00D177E1">
    <w:pPr>
      <w:pStyle w:val="OrderHeader"/>
    </w:pPr>
    <w:r>
      <w:t>DOCKET NO. 20240001-EI</w:t>
    </w:r>
    <w:r>
      <w:tab/>
    </w:r>
    <w:r>
      <w:tab/>
      <w:t>Attachment A</w:t>
    </w:r>
  </w:p>
  <w:p w:rsidR="00D177E1" w:rsidRDefault="00D177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32</w:t>
    </w:r>
    <w:r>
      <w:rPr>
        <w:rStyle w:val="PageNumber"/>
      </w:rPr>
      <w:fldChar w:fldCharType="end"/>
    </w:r>
    <w:r>
      <w:rPr>
        <w:rStyle w:val="PageNumber"/>
      </w:rPr>
      <w:tab/>
    </w:r>
    <w:r>
      <w:rPr>
        <w:rStyle w:val="PageNumber"/>
      </w:rPr>
      <w:tab/>
    </w:r>
  </w:p>
  <w:p w:rsidR="00D177E1" w:rsidRDefault="00D177E1">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26</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28</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29</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pPr>
      <w:pStyle w:val="OrderHeader"/>
    </w:pPr>
    <w:r>
      <w:t xml:space="preserve">ORDER NO. </w:t>
    </w:r>
    <w:r w:rsidR="00B926D5">
      <w:t>PSC-2024-0465-PHO-EI</w:t>
    </w:r>
  </w:p>
  <w:p w:rsidR="00D177E1" w:rsidRDefault="00D177E1">
    <w:pPr>
      <w:pStyle w:val="OrderHeader"/>
    </w:pPr>
    <w:r>
      <w:t>DOCKET NO. 20240001-EI</w:t>
    </w:r>
    <w:r>
      <w:tab/>
    </w:r>
    <w:r>
      <w:tab/>
      <w:t>Attachment A</w:t>
    </w:r>
  </w:p>
  <w:p w:rsidR="00D177E1" w:rsidRDefault="00D177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36</w:t>
    </w:r>
    <w:r>
      <w:rPr>
        <w:rStyle w:val="PageNumber"/>
      </w:rPr>
      <w:fldChar w:fldCharType="end"/>
    </w:r>
    <w:r>
      <w:rPr>
        <w:rStyle w:val="PageNumber"/>
      </w:rPr>
      <w:tab/>
    </w:r>
    <w:r>
      <w:rPr>
        <w:rStyle w:val="PageNumber"/>
      </w:rPr>
      <w:tab/>
    </w:r>
  </w:p>
  <w:p w:rsidR="00D177E1" w:rsidRDefault="00D177E1">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1" w:rsidRDefault="00D177E1" w:rsidP="000C27C0">
    <w:pPr>
      <w:pStyle w:val="OrderHeader"/>
    </w:pPr>
    <w:r>
      <w:t xml:space="preserve">ORDER NO. </w:t>
    </w:r>
    <w:r w:rsidR="00B926D5">
      <w:t>PSC-2024-0465-PHO-EI</w:t>
    </w:r>
  </w:p>
  <w:p w:rsidR="00D177E1" w:rsidRDefault="00D177E1" w:rsidP="000C27C0">
    <w:pPr>
      <w:pStyle w:val="OrderHeader"/>
    </w:pPr>
    <w:r>
      <w:t>DOCKET NO. 20240001-EI</w:t>
    </w:r>
    <w:r>
      <w:tab/>
    </w:r>
    <w:r>
      <w:tab/>
      <w:t>Attachment A</w:t>
    </w:r>
  </w:p>
  <w:p w:rsidR="00D177E1" w:rsidRDefault="00D177E1" w:rsidP="000C27C0">
    <w:pPr>
      <w:pStyle w:val="Header"/>
      <w:tabs>
        <w:tab w:val="clear" w:pos="4320"/>
        <w:tab w:val="clear" w:pos="8640"/>
        <w:tab w:val="left" w:pos="1476"/>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F8B">
      <w:rPr>
        <w:rStyle w:val="PageNumber"/>
        <w:noProof/>
      </w:rPr>
      <w:t>35</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p w:rsidR="00D177E1" w:rsidRDefault="00D177E1" w:rsidP="000C27C0">
    <w:pPr>
      <w:pStyle w:val="Header"/>
      <w:tabs>
        <w:tab w:val="clear" w:pos="4320"/>
        <w:tab w:val="clear" w:pos="8640"/>
        <w:tab w:val="left" w:pos="14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4C44"/>
    <w:multiLevelType w:val="hybridMultilevel"/>
    <w:tmpl w:val="ED1260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664686C"/>
    <w:multiLevelType w:val="hybridMultilevel"/>
    <w:tmpl w:val="0952E41E"/>
    <w:lvl w:ilvl="0" w:tplc="3064C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327FF"/>
    <w:multiLevelType w:val="hybridMultilevel"/>
    <w:tmpl w:val="525E6A2C"/>
    <w:lvl w:ilvl="0" w:tplc="FB6A98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811ABC"/>
    <w:multiLevelType w:val="hybridMultilevel"/>
    <w:tmpl w:val="A53691A4"/>
    <w:lvl w:ilvl="0" w:tplc="C074C0E0">
      <w:start w:val="1"/>
      <w:numFmt w:val="decimal"/>
      <w:lvlText w:val="%1."/>
      <w:lvlJc w:val="left"/>
      <w:pPr>
        <w:ind w:left="1740" w:hanging="72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CF38499E">
      <w:start w:val="1"/>
      <w:numFmt w:val="upperLetter"/>
      <w:lvlText w:val="%2"/>
      <w:lvlJc w:val="left"/>
      <w:pPr>
        <w:ind w:left="3899" w:hanging="1440"/>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2" w:tplc="B58EB46E">
      <w:numFmt w:val="bullet"/>
      <w:lvlText w:val="•"/>
      <w:lvlJc w:val="left"/>
      <w:pPr>
        <w:ind w:left="4762" w:hanging="1440"/>
      </w:pPr>
      <w:rPr>
        <w:rFonts w:hint="default"/>
        <w:lang w:val="en-US" w:eastAsia="en-US" w:bidi="ar-SA"/>
      </w:rPr>
    </w:lvl>
    <w:lvl w:ilvl="3" w:tplc="73D42DC2">
      <w:numFmt w:val="bullet"/>
      <w:lvlText w:val="•"/>
      <w:lvlJc w:val="left"/>
      <w:pPr>
        <w:ind w:left="5624" w:hanging="1440"/>
      </w:pPr>
      <w:rPr>
        <w:rFonts w:hint="default"/>
        <w:lang w:val="en-US" w:eastAsia="en-US" w:bidi="ar-SA"/>
      </w:rPr>
    </w:lvl>
    <w:lvl w:ilvl="4" w:tplc="B84015B0">
      <w:numFmt w:val="bullet"/>
      <w:lvlText w:val="•"/>
      <w:lvlJc w:val="left"/>
      <w:pPr>
        <w:ind w:left="6486" w:hanging="1440"/>
      </w:pPr>
      <w:rPr>
        <w:rFonts w:hint="default"/>
        <w:lang w:val="en-US" w:eastAsia="en-US" w:bidi="ar-SA"/>
      </w:rPr>
    </w:lvl>
    <w:lvl w:ilvl="5" w:tplc="5D32A6E8">
      <w:numFmt w:val="bullet"/>
      <w:lvlText w:val="•"/>
      <w:lvlJc w:val="left"/>
      <w:pPr>
        <w:ind w:left="7348" w:hanging="1440"/>
      </w:pPr>
      <w:rPr>
        <w:rFonts w:hint="default"/>
        <w:lang w:val="en-US" w:eastAsia="en-US" w:bidi="ar-SA"/>
      </w:rPr>
    </w:lvl>
    <w:lvl w:ilvl="6" w:tplc="8E9201D4">
      <w:numFmt w:val="bullet"/>
      <w:lvlText w:val="•"/>
      <w:lvlJc w:val="left"/>
      <w:pPr>
        <w:ind w:left="8211" w:hanging="1440"/>
      </w:pPr>
      <w:rPr>
        <w:rFonts w:hint="default"/>
        <w:lang w:val="en-US" w:eastAsia="en-US" w:bidi="ar-SA"/>
      </w:rPr>
    </w:lvl>
    <w:lvl w:ilvl="7" w:tplc="6100BFB8">
      <w:numFmt w:val="bullet"/>
      <w:lvlText w:val="•"/>
      <w:lvlJc w:val="left"/>
      <w:pPr>
        <w:ind w:left="9073" w:hanging="1440"/>
      </w:pPr>
      <w:rPr>
        <w:rFonts w:hint="default"/>
        <w:lang w:val="en-US" w:eastAsia="en-US" w:bidi="ar-SA"/>
      </w:rPr>
    </w:lvl>
    <w:lvl w:ilvl="8" w:tplc="737CF8BC">
      <w:numFmt w:val="bullet"/>
      <w:lvlText w:val="•"/>
      <w:lvlJc w:val="left"/>
      <w:pPr>
        <w:ind w:left="9935" w:hanging="1440"/>
      </w:pPr>
      <w:rPr>
        <w:rFonts w:hint="default"/>
        <w:lang w:val="en-US"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B21ABE"/>
    <w:rsid w:val="000022B8"/>
    <w:rsid w:val="00003883"/>
    <w:rsid w:val="00011251"/>
    <w:rsid w:val="00017A57"/>
    <w:rsid w:val="00025C2A"/>
    <w:rsid w:val="00025C9D"/>
    <w:rsid w:val="0003433F"/>
    <w:rsid w:val="00035A8C"/>
    <w:rsid w:val="00036BDD"/>
    <w:rsid w:val="00041FFD"/>
    <w:rsid w:val="00042C99"/>
    <w:rsid w:val="00046B0B"/>
    <w:rsid w:val="00053AB9"/>
    <w:rsid w:val="00056229"/>
    <w:rsid w:val="00057AF1"/>
    <w:rsid w:val="00065FC2"/>
    <w:rsid w:val="00067685"/>
    <w:rsid w:val="00067B07"/>
    <w:rsid w:val="00067B15"/>
    <w:rsid w:val="000730D7"/>
    <w:rsid w:val="00076E6B"/>
    <w:rsid w:val="00081AE4"/>
    <w:rsid w:val="0008247D"/>
    <w:rsid w:val="00090AFC"/>
    <w:rsid w:val="00096507"/>
    <w:rsid w:val="00097603"/>
    <w:rsid w:val="000A774F"/>
    <w:rsid w:val="000B1603"/>
    <w:rsid w:val="000B783E"/>
    <w:rsid w:val="000B7D81"/>
    <w:rsid w:val="000C1994"/>
    <w:rsid w:val="000C27C0"/>
    <w:rsid w:val="000C4187"/>
    <w:rsid w:val="000C6926"/>
    <w:rsid w:val="000D02B8"/>
    <w:rsid w:val="000D06E8"/>
    <w:rsid w:val="000D52C1"/>
    <w:rsid w:val="000D6E65"/>
    <w:rsid w:val="000D78FB"/>
    <w:rsid w:val="000E050C"/>
    <w:rsid w:val="000E20F0"/>
    <w:rsid w:val="000E2593"/>
    <w:rsid w:val="000E2B3E"/>
    <w:rsid w:val="000E344D"/>
    <w:rsid w:val="000E3F6D"/>
    <w:rsid w:val="000E6EC8"/>
    <w:rsid w:val="000F11F1"/>
    <w:rsid w:val="000F359F"/>
    <w:rsid w:val="000F3B2C"/>
    <w:rsid w:val="000F3F6C"/>
    <w:rsid w:val="000F5D18"/>
    <w:rsid w:val="000F63EB"/>
    <w:rsid w:val="000F648A"/>
    <w:rsid w:val="000F7BE3"/>
    <w:rsid w:val="00103190"/>
    <w:rsid w:val="00104333"/>
    <w:rsid w:val="001052BA"/>
    <w:rsid w:val="00110286"/>
    <w:rsid w:val="001107B3"/>
    <w:rsid w:val="001114B1"/>
    <w:rsid w:val="001139D8"/>
    <w:rsid w:val="00114B2D"/>
    <w:rsid w:val="00116AD3"/>
    <w:rsid w:val="001208F9"/>
    <w:rsid w:val="00121957"/>
    <w:rsid w:val="00123591"/>
    <w:rsid w:val="0012387E"/>
    <w:rsid w:val="001259EC"/>
    <w:rsid w:val="00126593"/>
    <w:rsid w:val="00134177"/>
    <w:rsid w:val="00136087"/>
    <w:rsid w:val="00142401"/>
    <w:rsid w:val="00142A96"/>
    <w:rsid w:val="001457E5"/>
    <w:rsid w:val="001513DE"/>
    <w:rsid w:val="00154A71"/>
    <w:rsid w:val="0016038F"/>
    <w:rsid w:val="00164CC1"/>
    <w:rsid w:val="001655D4"/>
    <w:rsid w:val="00165803"/>
    <w:rsid w:val="00167A33"/>
    <w:rsid w:val="00177555"/>
    <w:rsid w:val="0018246E"/>
    <w:rsid w:val="0018422A"/>
    <w:rsid w:val="001848FC"/>
    <w:rsid w:val="00187E32"/>
    <w:rsid w:val="001918FF"/>
    <w:rsid w:val="00194A97"/>
    <w:rsid w:val="00194E81"/>
    <w:rsid w:val="001A15E7"/>
    <w:rsid w:val="001A33C9"/>
    <w:rsid w:val="001A58F3"/>
    <w:rsid w:val="001B034E"/>
    <w:rsid w:val="001B7959"/>
    <w:rsid w:val="001C2847"/>
    <w:rsid w:val="001C2EE1"/>
    <w:rsid w:val="001C3BB5"/>
    <w:rsid w:val="001C3F8C"/>
    <w:rsid w:val="001C6097"/>
    <w:rsid w:val="001C7126"/>
    <w:rsid w:val="001D008A"/>
    <w:rsid w:val="001D5872"/>
    <w:rsid w:val="001E0152"/>
    <w:rsid w:val="001E0FF5"/>
    <w:rsid w:val="001F0095"/>
    <w:rsid w:val="001F36B0"/>
    <w:rsid w:val="001F4CA3"/>
    <w:rsid w:val="001F59E0"/>
    <w:rsid w:val="002002ED"/>
    <w:rsid w:val="002044DD"/>
    <w:rsid w:val="002170E5"/>
    <w:rsid w:val="002178DE"/>
    <w:rsid w:val="00220D57"/>
    <w:rsid w:val="00223B99"/>
    <w:rsid w:val="00224F8F"/>
    <w:rsid w:val="0022721A"/>
    <w:rsid w:val="00230BB9"/>
    <w:rsid w:val="00241CEF"/>
    <w:rsid w:val="0024611D"/>
    <w:rsid w:val="00246834"/>
    <w:rsid w:val="00247F86"/>
    <w:rsid w:val="0025124E"/>
    <w:rsid w:val="00252B30"/>
    <w:rsid w:val="00255291"/>
    <w:rsid w:val="002613E4"/>
    <w:rsid w:val="00262C43"/>
    <w:rsid w:val="0026544B"/>
    <w:rsid w:val="00270F89"/>
    <w:rsid w:val="00276CDC"/>
    <w:rsid w:val="00277655"/>
    <w:rsid w:val="002824B7"/>
    <w:rsid w:val="00282AC4"/>
    <w:rsid w:val="002923DD"/>
    <w:rsid w:val="00293DC9"/>
    <w:rsid w:val="00297C37"/>
    <w:rsid w:val="002A0A72"/>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5D1F"/>
    <w:rsid w:val="002E78B6"/>
    <w:rsid w:val="002F0F1C"/>
    <w:rsid w:val="002F2A9D"/>
    <w:rsid w:val="002F31C2"/>
    <w:rsid w:val="002F77E7"/>
    <w:rsid w:val="002F7BF6"/>
    <w:rsid w:val="00303FDE"/>
    <w:rsid w:val="00306C3A"/>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285"/>
    <w:rsid w:val="00382C6A"/>
    <w:rsid w:val="003875A9"/>
    <w:rsid w:val="00387BDE"/>
    <w:rsid w:val="00390DD8"/>
    <w:rsid w:val="00394DC6"/>
    <w:rsid w:val="00397C3E"/>
    <w:rsid w:val="003A4C1C"/>
    <w:rsid w:val="003A7826"/>
    <w:rsid w:val="003B1A09"/>
    <w:rsid w:val="003B6F02"/>
    <w:rsid w:val="003C0431"/>
    <w:rsid w:val="003C29BB"/>
    <w:rsid w:val="003C36E2"/>
    <w:rsid w:val="003D3989"/>
    <w:rsid w:val="003D4CCA"/>
    <w:rsid w:val="003D52A6"/>
    <w:rsid w:val="003D6416"/>
    <w:rsid w:val="003E1D48"/>
    <w:rsid w:val="003E448B"/>
    <w:rsid w:val="003E711F"/>
    <w:rsid w:val="003F1D2B"/>
    <w:rsid w:val="003F49A6"/>
    <w:rsid w:val="003F518F"/>
    <w:rsid w:val="003F6BA7"/>
    <w:rsid w:val="003F7445"/>
    <w:rsid w:val="0040280A"/>
    <w:rsid w:val="00406E90"/>
    <w:rsid w:val="00411DF2"/>
    <w:rsid w:val="00411E8F"/>
    <w:rsid w:val="004247F5"/>
    <w:rsid w:val="0042527B"/>
    <w:rsid w:val="00427EAC"/>
    <w:rsid w:val="00431BEC"/>
    <w:rsid w:val="004431B4"/>
    <w:rsid w:val="00445604"/>
    <w:rsid w:val="00451158"/>
    <w:rsid w:val="0045192C"/>
    <w:rsid w:val="0045537F"/>
    <w:rsid w:val="00457DC7"/>
    <w:rsid w:val="004640B3"/>
    <w:rsid w:val="00472BCC"/>
    <w:rsid w:val="00477699"/>
    <w:rsid w:val="004814F5"/>
    <w:rsid w:val="004822B6"/>
    <w:rsid w:val="0048294C"/>
    <w:rsid w:val="00483F1A"/>
    <w:rsid w:val="004A25CD"/>
    <w:rsid w:val="004A26CC"/>
    <w:rsid w:val="004A3A8F"/>
    <w:rsid w:val="004B126E"/>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885"/>
    <w:rsid w:val="0050097F"/>
    <w:rsid w:val="00514B1F"/>
    <w:rsid w:val="005204D7"/>
    <w:rsid w:val="00523C5C"/>
    <w:rsid w:val="00524884"/>
    <w:rsid w:val="00525E93"/>
    <w:rsid w:val="0052671D"/>
    <w:rsid w:val="005300C0"/>
    <w:rsid w:val="00533EF6"/>
    <w:rsid w:val="00540E6B"/>
    <w:rsid w:val="0054109E"/>
    <w:rsid w:val="0055595D"/>
    <w:rsid w:val="00556A10"/>
    <w:rsid w:val="00557F50"/>
    <w:rsid w:val="00565CA9"/>
    <w:rsid w:val="00571D3D"/>
    <w:rsid w:val="0058264B"/>
    <w:rsid w:val="00586368"/>
    <w:rsid w:val="005868AA"/>
    <w:rsid w:val="00590845"/>
    <w:rsid w:val="005963C2"/>
    <w:rsid w:val="005A0D69"/>
    <w:rsid w:val="005A31F4"/>
    <w:rsid w:val="005A65DC"/>
    <w:rsid w:val="005A73EA"/>
    <w:rsid w:val="005B17AE"/>
    <w:rsid w:val="005B45F7"/>
    <w:rsid w:val="005B63EA"/>
    <w:rsid w:val="005B64AC"/>
    <w:rsid w:val="005C1A88"/>
    <w:rsid w:val="005C5033"/>
    <w:rsid w:val="005D35D0"/>
    <w:rsid w:val="005D4E1B"/>
    <w:rsid w:val="005E6568"/>
    <w:rsid w:val="005E751B"/>
    <w:rsid w:val="005F2751"/>
    <w:rsid w:val="005F3354"/>
    <w:rsid w:val="005F4AD6"/>
    <w:rsid w:val="0060005E"/>
    <w:rsid w:val="0060095B"/>
    <w:rsid w:val="00601266"/>
    <w:rsid w:val="00607987"/>
    <w:rsid w:val="00610221"/>
    <w:rsid w:val="00610E73"/>
    <w:rsid w:val="00615F9B"/>
    <w:rsid w:val="00616DF2"/>
    <w:rsid w:val="0062385D"/>
    <w:rsid w:val="0063168D"/>
    <w:rsid w:val="00632C75"/>
    <w:rsid w:val="00635C79"/>
    <w:rsid w:val="006423A7"/>
    <w:rsid w:val="006455DF"/>
    <w:rsid w:val="00645AF6"/>
    <w:rsid w:val="00647025"/>
    <w:rsid w:val="0064730A"/>
    <w:rsid w:val="006507DA"/>
    <w:rsid w:val="006531A4"/>
    <w:rsid w:val="00660774"/>
    <w:rsid w:val="0066389A"/>
    <w:rsid w:val="0066495C"/>
    <w:rsid w:val="00665CC7"/>
    <w:rsid w:val="00671592"/>
    <w:rsid w:val="00672612"/>
    <w:rsid w:val="00674ECC"/>
    <w:rsid w:val="00677F18"/>
    <w:rsid w:val="00693483"/>
    <w:rsid w:val="006A0BF3"/>
    <w:rsid w:val="006B0036"/>
    <w:rsid w:val="006B0DA6"/>
    <w:rsid w:val="006B3FA9"/>
    <w:rsid w:val="006C0BE8"/>
    <w:rsid w:val="006C547E"/>
    <w:rsid w:val="006D2B51"/>
    <w:rsid w:val="006D5575"/>
    <w:rsid w:val="006D7191"/>
    <w:rsid w:val="006E21C4"/>
    <w:rsid w:val="006E2C9C"/>
    <w:rsid w:val="006E42BE"/>
    <w:rsid w:val="006E5D4D"/>
    <w:rsid w:val="006E6D16"/>
    <w:rsid w:val="006F6BB5"/>
    <w:rsid w:val="00703F2A"/>
    <w:rsid w:val="00704B73"/>
    <w:rsid w:val="00704C5D"/>
    <w:rsid w:val="007072BC"/>
    <w:rsid w:val="00707758"/>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C7D"/>
    <w:rsid w:val="007B1C5E"/>
    <w:rsid w:val="007B350E"/>
    <w:rsid w:val="007C0FBC"/>
    <w:rsid w:val="007C29C9"/>
    <w:rsid w:val="007C35B8"/>
    <w:rsid w:val="007C36E3"/>
    <w:rsid w:val="007C3ABB"/>
    <w:rsid w:val="007C7134"/>
    <w:rsid w:val="007C7ECF"/>
    <w:rsid w:val="007D3D20"/>
    <w:rsid w:val="007D44F9"/>
    <w:rsid w:val="007D742E"/>
    <w:rsid w:val="007E3AFD"/>
    <w:rsid w:val="007F3292"/>
    <w:rsid w:val="00801DAD"/>
    <w:rsid w:val="00803189"/>
    <w:rsid w:val="00804E7A"/>
    <w:rsid w:val="00805873"/>
    <w:rsid w:val="00805FBB"/>
    <w:rsid w:val="0080691F"/>
    <w:rsid w:val="00814181"/>
    <w:rsid w:val="00814292"/>
    <w:rsid w:val="008169A4"/>
    <w:rsid w:val="008278FE"/>
    <w:rsid w:val="00832598"/>
    <w:rsid w:val="0083397E"/>
    <w:rsid w:val="0083534B"/>
    <w:rsid w:val="00836911"/>
    <w:rsid w:val="00842035"/>
    <w:rsid w:val="008420B2"/>
    <w:rsid w:val="00842602"/>
    <w:rsid w:val="008444D5"/>
    <w:rsid w:val="008449F0"/>
    <w:rsid w:val="00846F11"/>
    <w:rsid w:val="00847B45"/>
    <w:rsid w:val="00863A66"/>
    <w:rsid w:val="008703D7"/>
    <w:rsid w:val="00874429"/>
    <w:rsid w:val="00875D22"/>
    <w:rsid w:val="00876EEB"/>
    <w:rsid w:val="00883D9A"/>
    <w:rsid w:val="008919EF"/>
    <w:rsid w:val="00892B20"/>
    <w:rsid w:val="008931BC"/>
    <w:rsid w:val="0089695B"/>
    <w:rsid w:val="00897239"/>
    <w:rsid w:val="00897740"/>
    <w:rsid w:val="008A12EC"/>
    <w:rsid w:val="008A4BAC"/>
    <w:rsid w:val="008B14BE"/>
    <w:rsid w:val="008B19A6"/>
    <w:rsid w:val="008B4EFB"/>
    <w:rsid w:val="008B7615"/>
    <w:rsid w:val="008C21C8"/>
    <w:rsid w:val="008C6375"/>
    <w:rsid w:val="008C6A5B"/>
    <w:rsid w:val="008D16F8"/>
    <w:rsid w:val="008D331F"/>
    <w:rsid w:val="008D441D"/>
    <w:rsid w:val="008D498D"/>
    <w:rsid w:val="008D6D36"/>
    <w:rsid w:val="008D7312"/>
    <w:rsid w:val="008E0693"/>
    <w:rsid w:val="008E26A5"/>
    <w:rsid w:val="008E42D2"/>
    <w:rsid w:val="008E6328"/>
    <w:rsid w:val="008E6B28"/>
    <w:rsid w:val="008F3A80"/>
    <w:rsid w:val="008F578F"/>
    <w:rsid w:val="008F5D04"/>
    <w:rsid w:val="008F6B3F"/>
    <w:rsid w:val="009040EE"/>
    <w:rsid w:val="009057FD"/>
    <w:rsid w:val="009068BF"/>
    <w:rsid w:val="00906FBA"/>
    <w:rsid w:val="00910005"/>
    <w:rsid w:val="00911426"/>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1E02"/>
    <w:rsid w:val="00973781"/>
    <w:rsid w:val="00976AFF"/>
    <w:rsid w:val="00986AED"/>
    <w:rsid w:val="009924CF"/>
    <w:rsid w:val="00994100"/>
    <w:rsid w:val="009A04B7"/>
    <w:rsid w:val="009A6B17"/>
    <w:rsid w:val="009B052E"/>
    <w:rsid w:val="009B4E00"/>
    <w:rsid w:val="009C1F79"/>
    <w:rsid w:val="009D4C29"/>
    <w:rsid w:val="009E2EC0"/>
    <w:rsid w:val="009E58E9"/>
    <w:rsid w:val="009E6803"/>
    <w:rsid w:val="009F6AD2"/>
    <w:rsid w:val="009F7C1B"/>
    <w:rsid w:val="00A00B5B"/>
    <w:rsid w:val="00A00D8D"/>
    <w:rsid w:val="00A01BB6"/>
    <w:rsid w:val="00A103CB"/>
    <w:rsid w:val="00A108A7"/>
    <w:rsid w:val="00A12876"/>
    <w:rsid w:val="00A228DA"/>
    <w:rsid w:val="00A22B28"/>
    <w:rsid w:val="00A3351E"/>
    <w:rsid w:val="00A4303C"/>
    <w:rsid w:val="00A46CAF"/>
    <w:rsid w:val="00A470FD"/>
    <w:rsid w:val="00A50B5E"/>
    <w:rsid w:val="00A62DAB"/>
    <w:rsid w:val="00A6757A"/>
    <w:rsid w:val="00A715C8"/>
    <w:rsid w:val="00A726A6"/>
    <w:rsid w:val="00A74842"/>
    <w:rsid w:val="00A8269A"/>
    <w:rsid w:val="00A86A50"/>
    <w:rsid w:val="00A9178A"/>
    <w:rsid w:val="00A9515B"/>
    <w:rsid w:val="00A97535"/>
    <w:rsid w:val="00A97B31"/>
    <w:rsid w:val="00AA2BAA"/>
    <w:rsid w:val="00AA4615"/>
    <w:rsid w:val="00AA6516"/>
    <w:rsid w:val="00AA73F1"/>
    <w:rsid w:val="00AB0E1A"/>
    <w:rsid w:val="00AB1A30"/>
    <w:rsid w:val="00AB3C36"/>
    <w:rsid w:val="00AB3D30"/>
    <w:rsid w:val="00AC4B09"/>
    <w:rsid w:val="00AC5A01"/>
    <w:rsid w:val="00AD10EB"/>
    <w:rsid w:val="00AD1ED3"/>
    <w:rsid w:val="00AD3717"/>
    <w:rsid w:val="00AD74F4"/>
    <w:rsid w:val="00AE560A"/>
    <w:rsid w:val="00B019C1"/>
    <w:rsid w:val="00B02001"/>
    <w:rsid w:val="00B03C50"/>
    <w:rsid w:val="00B0777D"/>
    <w:rsid w:val="00B11576"/>
    <w:rsid w:val="00B1195F"/>
    <w:rsid w:val="00B14D10"/>
    <w:rsid w:val="00B209C7"/>
    <w:rsid w:val="00B21ABE"/>
    <w:rsid w:val="00B26480"/>
    <w:rsid w:val="00B3644F"/>
    <w:rsid w:val="00B4057A"/>
    <w:rsid w:val="00B40894"/>
    <w:rsid w:val="00B41039"/>
    <w:rsid w:val="00B41F37"/>
    <w:rsid w:val="00B42987"/>
    <w:rsid w:val="00B444AE"/>
    <w:rsid w:val="00B45E75"/>
    <w:rsid w:val="00B50876"/>
    <w:rsid w:val="00B51074"/>
    <w:rsid w:val="00B53012"/>
    <w:rsid w:val="00B54DAA"/>
    <w:rsid w:val="00B552E0"/>
    <w:rsid w:val="00B55AB0"/>
    <w:rsid w:val="00B55EE5"/>
    <w:rsid w:val="00B61D42"/>
    <w:rsid w:val="00B64616"/>
    <w:rsid w:val="00B67A43"/>
    <w:rsid w:val="00B71D1F"/>
    <w:rsid w:val="00B72B7D"/>
    <w:rsid w:val="00B72CFF"/>
    <w:rsid w:val="00B73DE6"/>
    <w:rsid w:val="00B761CD"/>
    <w:rsid w:val="00B76B66"/>
    <w:rsid w:val="00B86EF0"/>
    <w:rsid w:val="00B926D5"/>
    <w:rsid w:val="00B9400A"/>
    <w:rsid w:val="00B96969"/>
    <w:rsid w:val="00B97900"/>
    <w:rsid w:val="00BA1229"/>
    <w:rsid w:val="00BA384C"/>
    <w:rsid w:val="00BA44A8"/>
    <w:rsid w:val="00BA49C5"/>
    <w:rsid w:val="00BA6392"/>
    <w:rsid w:val="00BB0182"/>
    <w:rsid w:val="00BB2F4A"/>
    <w:rsid w:val="00BC3F79"/>
    <w:rsid w:val="00BC786E"/>
    <w:rsid w:val="00BD4CA2"/>
    <w:rsid w:val="00BD5C92"/>
    <w:rsid w:val="00BE50E6"/>
    <w:rsid w:val="00BE7A0C"/>
    <w:rsid w:val="00BF2928"/>
    <w:rsid w:val="00BF5D60"/>
    <w:rsid w:val="00BF6691"/>
    <w:rsid w:val="00C028FC"/>
    <w:rsid w:val="00C037F2"/>
    <w:rsid w:val="00C0386D"/>
    <w:rsid w:val="00C065A1"/>
    <w:rsid w:val="00C10ED5"/>
    <w:rsid w:val="00C12574"/>
    <w:rsid w:val="00C151A6"/>
    <w:rsid w:val="00C174B8"/>
    <w:rsid w:val="00C24098"/>
    <w:rsid w:val="00C307C8"/>
    <w:rsid w:val="00C30A4E"/>
    <w:rsid w:val="00C411F3"/>
    <w:rsid w:val="00C41EFE"/>
    <w:rsid w:val="00C44105"/>
    <w:rsid w:val="00C523EC"/>
    <w:rsid w:val="00C5542F"/>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5664"/>
    <w:rsid w:val="00CD7132"/>
    <w:rsid w:val="00CE0E6F"/>
    <w:rsid w:val="00CE3B21"/>
    <w:rsid w:val="00CE56FC"/>
    <w:rsid w:val="00CE7A4D"/>
    <w:rsid w:val="00CF32D2"/>
    <w:rsid w:val="00CF4CFE"/>
    <w:rsid w:val="00D00E8E"/>
    <w:rsid w:val="00D02E0F"/>
    <w:rsid w:val="00D03EE8"/>
    <w:rsid w:val="00D10250"/>
    <w:rsid w:val="00D13535"/>
    <w:rsid w:val="00D15497"/>
    <w:rsid w:val="00D177E1"/>
    <w:rsid w:val="00D17B79"/>
    <w:rsid w:val="00D17F20"/>
    <w:rsid w:val="00D205F5"/>
    <w:rsid w:val="00D23FEA"/>
    <w:rsid w:val="00D24DDE"/>
    <w:rsid w:val="00D269CA"/>
    <w:rsid w:val="00D30B48"/>
    <w:rsid w:val="00D3168A"/>
    <w:rsid w:val="00D350D1"/>
    <w:rsid w:val="00D46FAA"/>
    <w:rsid w:val="00D47A40"/>
    <w:rsid w:val="00D51D33"/>
    <w:rsid w:val="00D57BB2"/>
    <w:rsid w:val="00D57D0F"/>
    <w:rsid w:val="00D57E57"/>
    <w:rsid w:val="00D60851"/>
    <w:rsid w:val="00D644E0"/>
    <w:rsid w:val="00D70752"/>
    <w:rsid w:val="00D71517"/>
    <w:rsid w:val="00D767DE"/>
    <w:rsid w:val="00D77C09"/>
    <w:rsid w:val="00D80E2D"/>
    <w:rsid w:val="00D84D5E"/>
    <w:rsid w:val="00D8560E"/>
    <w:rsid w:val="00D85660"/>
    <w:rsid w:val="00D8758F"/>
    <w:rsid w:val="00DA4EDD"/>
    <w:rsid w:val="00DA6B78"/>
    <w:rsid w:val="00DB122B"/>
    <w:rsid w:val="00DB2037"/>
    <w:rsid w:val="00DC1D94"/>
    <w:rsid w:val="00DC1EA8"/>
    <w:rsid w:val="00DC42CF"/>
    <w:rsid w:val="00DC738A"/>
    <w:rsid w:val="00DD382A"/>
    <w:rsid w:val="00DD592E"/>
    <w:rsid w:val="00DD6588"/>
    <w:rsid w:val="00DE057F"/>
    <w:rsid w:val="00DE2082"/>
    <w:rsid w:val="00DE2289"/>
    <w:rsid w:val="00DF09A7"/>
    <w:rsid w:val="00DF2B51"/>
    <w:rsid w:val="00DF5DFE"/>
    <w:rsid w:val="00E001D6"/>
    <w:rsid w:val="00E03A76"/>
    <w:rsid w:val="00E04410"/>
    <w:rsid w:val="00E06FF8"/>
    <w:rsid w:val="00E07484"/>
    <w:rsid w:val="00E11351"/>
    <w:rsid w:val="00E33F44"/>
    <w:rsid w:val="00E35EC2"/>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4266"/>
    <w:rsid w:val="00EB18EF"/>
    <w:rsid w:val="00EB3F8B"/>
    <w:rsid w:val="00EB58F4"/>
    <w:rsid w:val="00EB7951"/>
    <w:rsid w:val="00EC2A28"/>
    <w:rsid w:val="00ED6A79"/>
    <w:rsid w:val="00EE17DF"/>
    <w:rsid w:val="00EE5AD2"/>
    <w:rsid w:val="00EF1482"/>
    <w:rsid w:val="00EF4621"/>
    <w:rsid w:val="00EF4D52"/>
    <w:rsid w:val="00EF6312"/>
    <w:rsid w:val="00F038B0"/>
    <w:rsid w:val="00F05F34"/>
    <w:rsid w:val="00F22B27"/>
    <w:rsid w:val="00F234A7"/>
    <w:rsid w:val="00F248FD"/>
    <w:rsid w:val="00F277B6"/>
    <w:rsid w:val="00F27DA5"/>
    <w:rsid w:val="00F34F80"/>
    <w:rsid w:val="00F37E07"/>
    <w:rsid w:val="00F4182A"/>
    <w:rsid w:val="00F464ED"/>
    <w:rsid w:val="00F54380"/>
    <w:rsid w:val="00F54B47"/>
    <w:rsid w:val="00F61247"/>
    <w:rsid w:val="00F61F61"/>
    <w:rsid w:val="00F63191"/>
    <w:rsid w:val="00F66BAF"/>
    <w:rsid w:val="00F6702E"/>
    <w:rsid w:val="00F70E84"/>
    <w:rsid w:val="00F80685"/>
    <w:rsid w:val="00F90F0C"/>
    <w:rsid w:val="00F9342D"/>
    <w:rsid w:val="00F94968"/>
    <w:rsid w:val="00FA092B"/>
    <w:rsid w:val="00FA4F6C"/>
    <w:rsid w:val="00FA6EFD"/>
    <w:rsid w:val="00FB3791"/>
    <w:rsid w:val="00FB6780"/>
    <w:rsid w:val="00FB74EA"/>
    <w:rsid w:val="00FC1788"/>
    <w:rsid w:val="00FC6890"/>
    <w:rsid w:val="00FD0ADB"/>
    <w:rsid w:val="00FD2C9E"/>
    <w:rsid w:val="00FD3375"/>
    <w:rsid w:val="00FD458D"/>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4577"/>
    <o:shapelayout v:ext="edit">
      <o:idmap v:ext="edit" data="1"/>
    </o:shapelayout>
  </w:shapeDefaults>
  <w:decimalSymbol w:val="."/>
  <w:listSeparator w:val=","/>
  <w14:docId w14:val="71A3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B21ABE"/>
  </w:style>
  <w:style w:type="paragraph" w:customStyle="1" w:styleId="Level2">
    <w:name w:val="Level 2"/>
    <w:rsid w:val="00B21ABE"/>
    <w:pPr>
      <w:autoSpaceDE w:val="0"/>
      <w:autoSpaceDN w:val="0"/>
      <w:adjustRightInd w:val="0"/>
      <w:ind w:left="1440"/>
    </w:pPr>
    <w:rPr>
      <w:sz w:val="24"/>
      <w:szCs w:val="24"/>
    </w:rPr>
  </w:style>
  <w:style w:type="character" w:styleId="Strong">
    <w:name w:val="Strong"/>
    <w:basedOn w:val="DefaultParagraphFont"/>
    <w:uiPriority w:val="22"/>
    <w:qFormat/>
    <w:rsid w:val="00565CA9"/>
    <w:rPr>
      <w:b/>
      <w:bCs/>
    </w:rPr>
  </w:style>
  <w:style w:type="paragraph" w:styleId="ListParagraph">
    <w:name w:val="List Paragraph"/>
    <w:basedOn w:val="Normal"/>
    <w:uiPriority w:val="34"/>
    <w:qFormat/>
    <w:rsid w:val="00565CA9"/>
    <w:pPr>
      <w:ind w:left="720"/>
      <w:contextualSpacing/>
    </w:pPr>
  </w:style>
  <w:style w:type="paragraph" w:styleId="BalloonText">
    <w:name w:val="Balloon Text"/>
    <w:basedOn w:val="Normal"/>
    <w:link w:val="BalloonTextChar"/>
    <w:uiPriority w:val="99"/>
    <w:semiHidden/>
    <w:unhideWhenUsed/>
    <w:rsid w:val="00632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75"/>
    <w:rPr>
      <w:rFonts w:ascii="Segoe UI" w:hAnsi="Segoe UI" w:cs="Segoe UI"/>
      <w:sz w:val="18"/>
      <w:szCs w:val="18"/>
    </w:rPr>
  </w:style>
  <w:style w:type="paragraph" w:customStyle="1" w:styleId="TableParagraph">
    <w:name w:val="Table Paragraph"/>
    <w:basedOn w:val="Normal"/>
    <w:uiPriority w:val="1"/>
    <w:qFormat/>
    <w:rsid w:val="00632C75"/>
    <w:pPr>
      <w:widowControl w:val="0"/>
      <w:autoSpaceDE w:val="0"/>
      <w:autoSpaceDN w:val="0"/>
      <w:spacing w:before="7"/>
      <w:ind w:left="103"/>
    </w:pPr>
    <w:rPr>
      <w:sz w:val="22"/>
      <w:szCs w:val="22"/>
    </w:rPr>
  </w:style>
  <w:style w:type="paragraph" w:styleId="BodyTextIndent">
    <w:name w:val="Body Text Indent"/>
    <w:basedOn w:val="Normal"/>
    <w:link w:val="BodyTextIndentChar"/>
    <w:semiHidden/>
    <w:unhideWhenUsed/>
    <w:rsid w:val="0018246E"/>
    <w:pPr>
      <w:spacing w:after="120"/>
      <w:ind w:left="360"/>
    </w:pPr>
  </w:style>
  <w:style w:type="character" w:customStyle="1" w:styleId="BodyTextIndentChar">
    <w:name w:val="Body Text Indent Char"/>
    <w:basedOn w:val="DefaultParagraphFont"/>
    <w:link w:val="BodyTextIndent"/>
    <w:semiHidden/>
    <w:rsid w:val="0018246E"/>
    <w:rPr>
      <w:sz w:val="24"/>
      <w:szCs w:val="24"/>
    </w:rPr>
  </w:style>
  <w:style w:type="paragraph" w:styleId="BodyText2">
    <w:name w:val="Body Text 2"/>
    <w:basedOn w:val="Normal"/>
    <w:link w:val="BodyText2Char"/>
    <w:rsid w:val="001B7959"/>
    <w:pPr>
      <w:spacing w:line="480" w:lineRule="auto"/>
      <w:ind w:firstLine="720"/>
      <w:jc w:val="both"/>
    </w:pPr>
  </w:style>
  <w:style w:type="character" w:customStyle="1" w:styleId="BodyText2Char">
    <w:name w:val="Body Text 2 Char"/>
    <w:basedOn w:val="DefaultParagraphFont"/>
    <w:link w:val="BodyText2"/>
    <w:rsid w:val="001B7959"/>
    <w:rPr>
      <w:sz w:val="24"/>
      <w:szCs w:val="24"/>
    </w:rPr>
  </w:style>
  <w:style w:type="character" w:customStyle="1" w:styleId="WitnessandExhibitTableHeader">
    <w:name w:val="Witness and Exhibit Table Header"/>
    <w:rsid w:val="001B7959"/>
    <w:rPr>
      <w:u w:val="single"/>
    </w:rPr>
  </w:style>
  <w:style w:type="character" w:styleId="PlaceholderText">
    <w:name w:val="Placeholder Text"/>
    <w:basedOn w:val="DefaultParagraphFont"/>
    <w:uiPriority w:val="99"/>
    <w:semiHidden/>
    <w:rsid w:val="004B126E"/>
    <w:rPr>
      <w:color w:val="808080"/>
    </w:rPr>
  </w:style>
  <w:style w:type="character" w:customStyle="1" w:styleId="FooterChar">
    <w:name w:val="Footer Char"/>
    <w:link w:val="Footer"/>
    <w:uiPriority w:val="99"/>
    <w:rsid w:val="00D60851"/>
    <w:rPr>
      <w:sz w:val="24"/>
      <w:szCs w:val="24"/>
    </w:rPr>
  </w:style>
  <w:style w:type="paragraph" w:styleId="NoSpacing">
    <w:name w:val="No Spacing"/>
    <w:basedOn w:val="Normal"/>
    <w:uiPriority w:val="1"/>
    <w:qFormat/>
    <w:rsid w:val="00406E90"/>
    <w:rPr>
      <w:rFonts w:asciiTheme="minorHAnsi" w:eastAsiaTheme="minorHAnsi" w:hAnsiTheme="minorHAnsi"/>
      <w:szCs w:val="32"/>
    </w:rPr>
  </w:style>
  <w:style w:type="character" w:customStyle="1" w:styleId="HeaderChar">
    <w:name w:val="Header Char"/>
    <w:basedOn w:val="DefaultParagraphFont"/>
    <w:link w:val="Header"/>
    <w:uiPriority w:val="99"/>
    <w:rsid w:val="00406E90"/>
    <w:rPr>
      <w:sz w:val="24"/>
      <w:szCs w:val="24"/>
    </w:rPr>
  </w:style>
  <w:style w:type="table" w:customStyle="1" w:styleId="TableGrid1">
    <w:name w:val="Table Grid1"/>
    <w:basedOn w:val="TableNormal"/>
    <w:next w:val="TableGrid"/>
    <w:rsid w:val="00406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45</Pages>
  <Words>9695</Words>
  <Characters>55263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2024-10-31T16:03:00Z</dcterms:created>
  <dcterms:modified xsi:type="dcterms:W3CDTF">2024-10-31T17:39:00Z</dcterms:modified>
</cp:coreProperties>
</file>