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A634DA" w:rsidRDefault="00A634DA" w:rsidP="00A634DA">
      <w:pPr>
        <w:pStyle w:val="OrderHeading"/>
      </w:pPr>
      <w:r w:rsidRPr="00A634DA">
        <w:t>BEFORE THE FLORIDA PUBLIC SERVICE COMMISSION</w:t>
      </w:r>
    </w:p>
    <w:p w:rsidR="00A634DA" w:rsidRPr="00A634DA" w:rsidRDefault="00A634DA" w:rsidP="00A634DA">
      <w:pPr>
        <w:pStyle w:val="OrderBody"/>
      </w:pPr>
    </w:p>
    <w:p w:rsidR="00A634DA" w:rsidRPr="00A634DA" w:rsidRDefault="00A634DA" w:rsidP="00A634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34DA" w:rsidRPr="00A634DA" w:rsidTr="00C63FCF">
        <w:trPr>
          <w:trHeight w:val="828"/>
        </w:trPr>
        <w:tc>
          <w:tcPr>
            <w:tcW w:w="4788" w:type="dxa"/>
            <w:tcBorders>
              <w:bottom w:val="single" w:sz="8" w:space="0" w:color="auto"/>
              <w:right w:val="double" w:sz="6" w:space="0" w:color="auto"/>
            </w:tcBorders>
            <w:shd w:val="clear" w:color="auto" w:fill="auto"/>
          </w:tcPr>
          <w:p w:rsidR="00A634DA" w:rsidRPr="00A634DA" w:rsidRDefault="00A634DA" w:rsidP="00C63FCF">
            <w:pPr>
              <w:pStyle w:val="OrderBody"/>
              <w:tabs>
                <w:tab w:val="center" w:pos="4320"/>
                <w:tab w:val="right" w:pos="8640"/>
              </w:tabs>
              <w:jc w:val="left"/>
            </w:pPr>
            <w:r w:rsidRPr="00A634DA">
              <w:t xml:space="preserve">In re: </w:t>
            </w:r>
            <w:bookmarkStart w:id="0" w:name="SSInRe"/>
            <w:bookmarkEnd w:id="0"/>
            <w:r w:rsidRPr="00A634DA">
              <w:t>Natural gas conservation cost recovery.</w:t>
            </w:r>
          </w:p>
        </w:tc>
        <w:tc>
          <w:tcPr>
            <w:tcW w:w="4788" w:type="dxa"/>
            <w:tcBorders>
              <w:left w:val="double" w:sz="6" w:space="0" w:color="auto"/>
            </w:tcBorders>
            <w:shd w:val="clear" w:color="auto" w:fill="auto"/>
          </w:tcPr>
          <w:p w:rsidR="00A634DA" w:rsidRPr="00A634DA" w:rsidRDefault="00A634DA" w:rsidP="00A634DA">
            <w:pPr>
              <w:pStyle w:val="OrderBody"/>
            </w:pPr>
            <w:r w:rsidRPr="00A634DA">
              <w:t xml:space="preserve">DOCKET NO. </w:t>
            </w:r>
            <w:bookmarkStart w:id="1" w:name="SSDocketNo"/>
            <w:bookmarkEnd w:id="1"/>
            <w:r w:rsidRPr="00A634DA">
              <w:t>20240004-GU</w:t>
            </w:r>
          </w:p>
          <w:p w:rsidR="00A634DA" w:rsidRPr="00A634DA" w:rsidRDefault="00A634DA" w:rsidP="00C63FCF">
            <w:pPr>
              <w:pStyle w:val="OrderBody"/>
              <w:tabs>
                <w:tab w:val="center" w:pos="4320"/>
                <w:tab w:val="right" w:pos="8640"/>
              </w:tabs>
              <w:jc w:val="left"/>
            </w:pPr>
            <w:r w:rsidRPr="00A634DA">
              <w:t xml:space="preserve">ORDER NO. </w:t>
            </w:r>
            <w:bookmarkStart w:id="2" w:name="OrderNo0486"/>
            <w:r w:rsidR="00447CEC">
              <w:t>PSC-2024-0486-FOF-GU</w:t>
            </w:r>
            <w:bookmarkEnd w:id="2"/>
          </w:p>
          <w:p w:rsidR="00A634DA" w:rsidRPr="00A634DA" w:rsidRDefault="00A634DA" w:rsidP="00C63FCF">
            <w:pPr>
              <w:pStyle w:val="OrderBody"/>
              <w:tabs>
                <w:tab w:val="center" w:pos="4320"/>
                <w:tab w:val="right" w:pos="8640"/>
              </w:tabs>
              <w:jc w:val="left"/>
            </w:pPr>
            <w:r w:rsidRPr="00A634DA">
              <w:t xml:space="preserve">ISSUED: </w:t>
            </w:r>
            <w:r w:rsidR="00447CEC">
              <w:t>November 25, 2024</w:t>
            </w:r>
          </w:p>
        </w:tc>
      </w:tr>
    </w:tbl>
    <w:p w:rsidR="00A634DA" w:rsidRPr="00A634DA" w:rsidRDefault="00A634DA" w:rsidP="00A634DA"/>
    <w:p w:rsidR="00A634DA" w:rsidRPr="00A634DA" w:rsidRDefault="00A634DA" w:rsidP="00A634DA"/>
    <w:p w:rsidR="00A634DA" w:rsidRPr="00A634DA" w:rsidRDefault="00A634DA" w:rsidP="00B67A43">
      <w:pPr>
        <w:ind w:firstLine="720"/>
        <w:jc w:val="both"/>
      </w:pPr>
      <w:bookmarkStart w:id="3" w:name="Commissioners"/>
      <w:bookmarkEnd w:id="3"/>
      <w:r w:rsidRPr="00A634DA">
        <w:t>The following Commissioners participated in the disposition of this matter:</w:t>
      </w:r>
    </w:p>
    <w:p w:rsidR="00A634DA" w:rsidRPr="00A634DA" w:rsidRDefault="00A634DA" w:rsidP="00B67A43"/>
    <w:p w:rsidR="00A634DA" w:rsidRPr="00A634DA" w:rsidRDefault="00A634DA" w:rsidP="00477699">
      <w:pPr>
        <w:jc w:val="center"/>
      </w:pPr>
      <w:r w:rsidRPr="00A634DA">
        <w:t>MIKE LA ROSA, Chairman</w:t>
      </w:r>
    </w:p>
    <w:p w:rsidR="00A634DA" w:rsidRPr="00A634DA" w:rsidRDefault="00A634DA" w:rsidP="00B67A43">
      <w:pPr>
        <w:jc w:val="center"/>
      </w:pPr>
      <w:r w:rsidRPr="00A634DA">
        <w:t>ART GRAHAM</w:t>
      </w:r>
    </w:p>
    <w:p w:rsidR="00A634DA" w:rsidRPr="00A634DA" w:rsidRDefault="00A634DA" w:rsidP="00B67A43">
      <w:pPr>
        <w:jc w:val="center"/>
      </w:pPr>
      <w:r w:rsidRPr="00A634DA">
        <w:t>GARY F. CLARK</w:t>
      </w:r>
    </w:p>
    <w:p w:rsidR="00A634DA" w:rsidRPr="00A634DA" w:rsidRDefault="00A634DA" w:rsidP="00B67A43">
      <w:pPr>
        <w:jc w:val="center"/>
      </w:pPr>
      <w:r w:rsidRPr="00A634DA">
        <w:t>ANDREW GILES FAY</w:t>
      </w:r>
    </w:p>
    <w:p w:rsidR="00A634DA" w:rsidRPr="00A634DA" w:rsidRDefault="00A01D7A" w:rsidP="00B67A43">
      <w:pPr>
        <w:jc w:val="center"/>
      </w:pPr>
      <w:r>
        <w:rPr>
          <w:lang w:val="en"/>
        </w:rPr>
        <w:t>GABRIELLA PASSIDOMO SMITH</w:t>
      </w:r>
    </w:p>
    <w:p w:rsidR="00A634DA" w:rsidRPr="00A634DA" w:rsidRDefault="00A634DA" w:rsidP="00B67A43"/>
    <w:p w:rsidR="00CB5276" w:rsidRPr="00A634DA" w:rsidRDefault="00CB5276">
      <w:pPr>
        <w:pStyle w:val="OrderBody"/>
      </w:pPr>
    </w:p>
    <w:p w:rsidR="00A634DA" w:rsidRPr="00A634DA" w:rsidRDefault="00F7162B" w:rsidP="00A634DA">
      <w:pPr>
        <w:pStyle w:val="CenterUnderline"/>
      </w:pPr>
      <w:r>
        <w:t xml:space="preserve">FINAL </w:t>
      </w:r>
      <w:r w:rsidR="00A634DA" w:rsidRPr="00A634DA">
        <w:t>ORDER</w:t>
      </w:r>
      <w:bookmarkStart w:id="4" w:name="OrderTitle"/>
      <w:r w:rsidR="00A634DA" w:rsidRPr="00A634DA">
        <w:t xml:space="preserve"> </w:t>
      </w:r>
      <w:r>
        <w:t>APPROVING NATURAL GAS CONSERVATION COST RECOVERY AMOUNTS AND ESTABLISHING NATURAL GAS CONSERVATION COST RECOVERY FACTORS FOR JANUARY 2025 THROUGH DECEBER 2025</w:t>
      </w:r>
      <w:r w:rsidR="00A634DA" w:rsidRPr="00A634DA">
        <w:t xml:space="preserve"> </w:t>
      </w:r>
      <w:bookmarkEnd w:id="4"/>
    </w:p>
    <w:p w:rsidR="00A634DA" w:rsidRPr="00A634DA" w:rsidRDefault="00A634DA" w:rsidP="00A634DA">
      <w:pPr>
        <w:pStyle w:val="CenterUnderline"/>
      </w:pPr>
    </w:p>
    <w:p w:rsidR="00A634DA" w:rsidRPr="00A634DA" w:rsidRDefault="00A634DA" w:rsidP="00A634DA">
      <w:pPr>
        <w:jc w:val="both"/>
      </w:pPr>
      <w:r w:rsidRPr="00A634DA">
        <w:t>APPEARANCES:</w:t>
      </w:r>
    </w:p>
    <w:p w:rsidR="00A634DA" w:rsidRPr="00A634DA" w:rsidRDefault="00A634DA" w:rsidP="00A634DA">
      <w:pPr>
        <w:jc w:val="both"/>
      </w:pPr>
    </w:p>
    <w:p w:rsidR="00A634DA" w:rsidRPr="00A634DA" w:rsidRDefault="00A634DA" w:rsidP="00A634DA">
      <w:pPr>
        <w:ind w:left="1440"/>
        <w:jc w:val="both"/>
      </w:pPr>
      <w:r w:rsidRPr="00A634DA">
        <w:t>BETH KEATING, ESQUIRE, Gunster, Yoakley &amp; Stewart, P.A., 215 South Monroe St., Suite 601, Tallahassee, Florida 32301-1804</w:t>
      </w:r>
    </w:p>
    <w:p w:rsidR="00A634DA" w:rsidRPr="00A634DA" w:rsidRDefault="00A634DA" w:rsidP="00A634DA">
      <w:pPr>
        <w:ind w:left="1440"/>
        <w:jc w:val="both"/>
      </w:pPr>
      <w:r w:rsidRPr="00A634DA">
        <w:rPr>
          <w:u w:val="single"/>
        </w:rPr>
        <w:t>On behalf of FLORIDA PUBLIC UTILITIES COMPANY (FPUC), FLORIDA CITY GAS (FCG), and SEBRING GAS SYSTEM (SEBRING)</w:t>
      </w:r>
      <w:r w:rsidRPr="00A634DA">
        <w:t xml:space="preserve">. </w:t>
      </w:r>
    </w:p>
    <w:p w:rsidR="00A634DA" w:rsidRPr="00A634DA" w:rsidRDefault="00A634DA" w:rsidP="00A634DA">
      <w:pPr>
        <w:jc w:val="both"/>
      </w:pPr>
    </w:p>
    <w:p w:rsidR="00A634DA" w:rsidRPr="00A634DA" w:rsidRDefault="00A634DA" w:rsidP="00A634DA">
      <w:pPr>
        <w:ind w:left="1440"/>
        <w:jc w:val="both"/>
      </w:pPr>
      <w:r w:rsidRPr="00A634DA">
        <w:t>J. JEFFRY WAHLEN, MALCOLM N. MEANS, and VIRGINIA PONDER, ESQUIRES, Ausley McMullen, 123 S. Calhoun St., Tallahassee, Florida 32301-1517</w:t>
      </w:r>
    </w:p>
    <w:p w:rsidR="00A634DA" w:rsidRPr="00A634DA" w:rsidRDefault="00A634DA" w:rsidP="00A634DA">
      <w:pPr>
        <w:ind w:left="720" w:firstLine="720"/>
        <w:jc w:val="both"/>
      </w:pPr>
      <w:r w:rsidRPr="00A634DA">
        <w:rPr>
          <w:u w:val="single"/>
        </w:rPr>
        <w:t>On behalf of PEOPLES GAS SYSTEM, INC. (PGS)</w:t>
      </w:r>
      <w:r w:rsidRPr="00A634DA">
        <w:t>.</w:t>
      </w:r>
    </w:p>
    <w:p w:rsidR="00A634DA" w:rsidRPr="00A634DA" w:rsidRDefault="00A634DA" w:rsidP="00A634DA">
      <w:pPr>
        <w:jc w:val="both"/>
      </w:pPr>
    </w:p>
    <w:p w:rsidR="00A634DA" w:rsidRPr="00A634DA" w:rsidRDefault="00A634DA" w:rsidP="00A634DA">
      <w:pPr>
        <w:ind w:left="1440"/>
        <w:jc w:val="both"/>
      </w:pPr>
      <w:r w:rsidRPr="00A634DA">
        <w:t>DEBBIE STITT, P.O. Box 549, Port St. Joe, Florida 32457-0549</w:t>
      </w:r>
    </w:p>
    <w:p w:rsidR="00A634DA" w:rsidRPr="00A634DA" w:rsidRDefault="00A634DA" w:rsidP="00A634DA">
      <w:pPr>
        <w:ind w:left="720" w:firstLine="720"/>
        <w:jc w:val="both"/>
      </w:pPr>
      <w:r w:rsidRPr="00A634DA">
        <w:rPr>
          <w:u w:val="single"/>
        </w:rPr>
        <w:t>On behalf of ST. JOE NATURAL GAS COMPANY, INC. (SJNG)</w:t>
      </w:r>
      <w:r w:rsidRPr="00A634DA">
        <w:t>.</w:t>
      </w:r>
    </w:p>
    <w:p w:rsidR="00A634DA" w:rsidRPr="00A634DA" w:rsidRDefault="00A634DA" w:rsidP="00A634DA">
      <w:pPr>
        <w:ind w:left="720" w:firstLine="720"/>
        <w:jc w:val="both"/>
      </w:pPr>
    </w:p>
    <w:p w:rsidR="00A634DA" w:rsidRPr="00A634DA" w:rsidRDefault="00A634DA" w:rsidP="00A634DA">
      <w:pPr>
        <w:ind w:left="1440"/>
        <w:jc w:val="both"/>
      </w:pPr>
      <w:r w:rsidRPr="00A634DA">
        <w:t>WALT TRIERWEILER, CHARLES J. REHWINKEL, PATRICIA A. CHRISTENSEN, MARY A. WESSLING, and OCTAVIO PONCE, ESQUIRES, 111 West Madison Street, Room 812, Tallahassee, Florida 32399-1400</w:t>
      </w:r>
    </w:p>
    <w:p w:rsidR="00A634DA" w:rsidRPr="00A634DA" w:rsidRDefault="00A634DA" w:rsidP="00A634DA">
      <w:pPr>
        <w:ind w:left="720" w:firstLine="720"/>
        <w:jc w:val="both"/>
      </w:pPr>
      <w:r w:rsidRPr="00A634DA">
        <w:rPr>
          <w:u w:val="single"/>
        </w:rPr>
        <w:t>On behalf of OFFICE OF PUBLIC COUNSEL (OPC)</w:t>
      </w:r>
      <w:r w:rsidRPr="00A634DA">
        <w:t>.</w:t>
      </w:r>
    </w:p>
    <w:p w:rsidR="00A634DA" w:rsidRPr="00A634DA" w:rsidRDefault="00A634DA" w:rsidP="00A634DA">
      <w:pPr>
        <w:jc w:val="both"/>
      </w:pPr>
    </w:p>
    <w:p w:rsidR="00A634DA" w:rsidRPr="00A634DA" w:rsidRDefault="00A634DA" w:rsidP="00A634DA">
      <w:pPr>
        <w:ind w:left="1440"/>
        <w:jc w:val="both"/>
      </w:pPr>
      <w:r w:rsidRPr="00A634DA">
        <w:t>TIMOTHY SPARKS, and SAAD FAROOQI, ESQUIRES, Florida Public Service Commission, 2540 Shumard Oak Boulevard, Tallahassee, Florida 32399-0850</w:t>
      </w:r>
    </w:p>
    <w:p w:rsidR="00A634DA" w:rsidRPr="00A634DA" w:rsidRDefault="00A634DA" w:rsidP="00A634DA">
      <w:pPr>
        <w:ind w:left="720" w:firstLine="720"/>
        <w:jc w:val="both"/>
      </w:pPr>
      <w:r w:rsidRPr="00A634DA">
        <w:rPr>
          <w:u w:val="single"/>
        </w:rPr>
        <w:t>On behalf of the FLORIDA PUBLIC SERVICE COMMISSION (Staff)</w:t>
      </w:r>
      <w:r w:rsidRPr="00A634DA">
        <w:t>.</w:t>
      </w:r>
    </w:p>
    <w:p w:rsidR="00A634DA" w:rsidRPr="00A634DA" w:rsidRDefault="00A634DA" w:rsidP="00A634DA">
      <w:pPr>
        <w:ind w:left="720" w:firstLine="720"/>
        <w:jc w:val="both"/>
      </w:pPr>
    </w:p>
    <w:p w:rsidR="001C539A" w:rsidRDefault="001C539A" w:rsidP="00A634DA">
      <w:pPr>
        <w:ind w:left="1440"/>
        <w:jc w:val="both"/>
      </w:pPr>
    </w:p>
    <w:p w:rsidR="00A634DA" w:rsidRPr="00A634DA" w:rsidRDefault="00A634DA" w:rsidP="00A634DA">
      <w:pPr>
        <w:ind w:left="1440"/>
        <w:jc w:val="both"/>
      </w:pPr>
      <w:r w:rsidRPr="00A634DA">
        <w:lastRenderedPageBreak/>
        <w:t>MARY ANNE HELTON, ESQUIRE, Deputy General Counsel, Florida Public Service Commission, 2540 Shumard Oak Boulevard, Tallahassee, Florida 32399-0850</w:t>
      </w:r>
    </w:p>
    <w:p w:rsidR="00A634DA" w:rsidRPr="00A634DA" w:rsidRDefault="00A634DA" w:rsidP="00A634DA">
      <w:pPr>
        <w:ind w:left="720" w:firstLine="720"/>
        <w:jc w:val="both"/>
      </w:pPr>
      <w:r w:rsidRPr="00A634DA">
        <w:rPr>
          <w:u w:val="single"/>
        </w:rPr>
        <w:t>Advisor to the Florida Public Service Commission</w:t>
      </w:r>
      <w:r w:rsidRPr="00A634DA">
        <w:t>.</w:t>
      </w:r>
    </w:p>
    <w:p w:rsidR="00A634DA" w:rsidRPr="00A634DA" w:rsidRDefault="00A634DA" w:rsidP="00A634DA">
      <w:pPr>
        <w:jc w:val="center"/>
        <w:rPr>
          <w:bCs/>
          <w:u w:val="single"/>
        </w:rPr>
      </w:pPr>
    </w:p>
    <w:p w:rsidR="00A634DA" w:rsidRPr="00A634DA" w:rsidRDefault="00A634DA" w:rsidP="00A634DA">
      <w:pPr>
        <w:ind w:left="1440"/>
        <w:jc w:val="both"/>
      </w:pPr>
      <w:r w:rsidRPr="00A634DA">
        <w:t>KEITH C. HETRICK, ESQUIRE, General Counsel, Florida Public Service Commission, 2540 Shumard Oak Boulevard, Tallahassee, Florida 32399-0850</w:t>
      </w:r>
    </w:p>
    <w:p w:rsidR="00A634DA" w:rsidRPr="00A634DA" w:rsidRDefault="00A634DA" w:rsidP="00A634DA">
      <w:pPr>
        <w:ind w:left="720" w:firstLine="720"/>
        <w:jc w:val="both"/>
      </w:pPr>
      <w:r w:rsidRPr="00A634DA">
        <w:rPr>
          <w:u w:val="single"/>
        </w:rPr>
        <w:t>Florida Public Service Commission General Counsel</w:t>
      </w:r>
      <w:r w:rsidRPr="00A634DA">
        <w:t>.</w:t>
      </w:r>
    </w:p>
    <w:p w:rsidR="00A634DA" w:rsidRPr="00A634DA" w:rsidRDefault="00A634DA" w:rsidP="00A634DA">
      <w:pPr>
        <w:pStyle w:val="OrderBody"/>
      </w:pPr>
    </w:p>
    <w:p w:rsidR="00A634DA" w:rsidRPr="00A634DA" w:rsidRDefault="00A634DA" w:rsidP="00A634DA">
      <w:pPr>
        <w:pStyle w:val="OrderBody"/>
      </w:pPr>
    </w:p>
    <w:p w:rsidR="00A634DA" w:rsidRPr="00A634DA" w:rsidRDefault="00A634DA" w:rsidP="00A634DA">
      <w:pPr>
        <w:pStyle w:val="OrderBody"/>
      </w:pPr>
      <w:r w:rsidRPr="00A634DA">
        <w:t>BY THE COMMISSION:</w:t>
      </w:r>
    </w:p>
    <w:p w:rsidR="00A634DA" w:rsidRPr="00A634DA" w:rsidRDefault="00A634DA" w:rsidP="00A634DA">
      <w:pPr>
        <w:pStyle w:val="OrderBody"/>
      </w:pPr>
    </w:p>
    <w:p w:rsidR="00A634DA" w:rsidRPr="00A634DA" w:rsidRDefault="00A634DA" w:rsidP="00A634DA">
      <w:pPr>
        <w:ind w:left="720" w:hanging="720"/>
        <w:jc w:val="center"/>
        <w:rPr>
          <w:u w:val="single"/>
        </w:rPr>
      </w:pPr>
      <w:bookmarkStart w:id="5" w:name="OrderText"/>
      <w:bookmarkEnd w:id="5"/>
      <w:r w:rsidRPr="00A634DA">
        <w:rPr>
          <w:u w:val="single"/>
        </w:rPr>
        <w:t>BACKGROUND</w:t>
      </w:r>
    </w:p>
    <w:p w:rsidR="00A634DA" w:rsidRPr="00A634DA" w:rsidRDefault="00A634DA" w:rsidP="00A634DA">
      <w:pPr>
        <w:ind w:left="720" w:hanging="720"/>
        <w:jc w:val="both"/>
      </w:pPr>
    </w:p>
    <w:p w:rsidR="00F7162B" w:rsidRDefault="00A634DA" w:rsidP="00F7162B">
      <w:pPr>
        <w:ind w:firstLine="720"/>
        <w:jc w:val="both"/>
      </w:pPr>
      <w:r w:rsidRPr="00A634DA">
        <w:t xml:space="preserve">As part of this Commission’s continuing Environmental Cost Recovery Clause proceedings, a hearing was held in this docket on November </w:t>
      </w:r>
      <w:r w:rsidR="00F7162B">
        <w:t>5</w:t>
      </w:r>
      <w:r w:rsidRPr="00A634DA">
        <w:t>, 20</w:t>
      </w:r>
      <w:r w:rsidR="00F7162B">
        <w:t>24</w:t>
      </w:r>
      <w:r w:rsidRPr="00A634DA">
        <w:t xml:space="preserve">. </w:t>
      </w:r>
      <w:r w:rsidR="00F7162B">
        <w:t>The clause proceedings allow natural gas companies to seek recovery of their costs for approved natural gas conservation programs on an annual basis, pursuant to Sections 366.80-366.83, Florida Statutes (F.S.), and Chapter 25-17, Florida Administrative Code (F.A.C.).</w:t>
      </w:r>
      <w:r w:rsidR="00F7162B" w:rsidRPr="00BD6884">
        <w:t xml:space="preserve"> </w:t>
      </w:r>
      <w:r w:rsidR="00F7162B">
        <w:t>Florida City Gas (</w:t>
      </w:r>
      <w:r w:rsidR="00F7162B" w:rsidRPr="00BD6884">
        <w:t>FCG</w:t>
      </w:r>
      <w:r w:rsidR="00F7162B">
        <w:t>)</w:t>
      </w:r>
      <w:r w:rsidR="00F7162B" w:rsidRPr="00BD6884">
        <w:t>,</w:t>
      </w:r>
      <w:r w:rsidR="00F7162B">
        <w:t xml:space="preserve"> </w:t>
      </w:r>
      <w:r w:rsidR="00F7162B" w:rsidRPr="00066D20">
        <w:t>F</w:t>
      </w:r>
      <w:r w:rsidR="00F7162B">
        <w:t xml:space="preserve">lorida </w:t>
      </w:r>
      <w:r w:rsidR="00F7162B" w:rsidRPr="00066D20">
        <w:t>P</w:t>
      </w:r>
      <w:r w:rsidR="00F7162B">
        <w:t>ublic</w:t>
      </w:r>
      <w:r w:rsidR="00F7162B" w:rsidRPr="00066D20">
        <w:t xml:space="preserve"> U</w:t>
      </w:r>
      <w:r w:rsidR="00F7162B">
        <w:t>tilities</w:t>
      </w:r>
      <w:r w:rsidR="00F7162B" w:rsidRPr="00066D20">
        <w:t xml:space="preserve"> C</w:t>
      </w:r>
      <w:r w:rsidR="00F7162B">
        <w:t>ompany</w:t>
      </w:r>
      <w:r w:rsidR="00F7162B" w:rsidRPr="00BD6884">
        <w:t xml:space="preserve"> </w:t>
      </w:r>
      <w:r w:rsidR="00F7162B">
        <w:t>(FPUC)</w:t>
      </w:r>
      <w:r w:rsidR="00F7162B" w:rsidRPr="00BD6884">
        <w:t xml:space="preserve">, </w:t>
      </w:r>
      <w:r w:rsidR="00F7162B" w:rsidRPr="00066D20">
        <w:t>P</w:t>
      </w:r>
      <w:r w:rsidR="00F7162B">
        <w:t>eoples</w:t>
      </w:r>
      <w:r w:rsidR="00F7162B" w:rsidRPr="00066D20">
        <w:t xml:space="preserve"> G</w:t>
      </w:r>
      <w:r w:rsidR="00F7162B">
        <w:t>as</w:t>
      </w:r>
      <w:r w:rsidR="00F7162B" w:rsidRPr="00066D20">
        <w:t xml:space="preserve"> S</w:t>
      </w:r>
      <w:r w:rsidR="00F7162B">
        <w:t>ystem</w:t>
      </w:r>
      <w:r w:rsidR="00F7162B" w:rsidRPr="00066D20">
        <w:t>, I</w:t>
      </w:r>
      <w:r w:rsidR="00F7162B">
        <w:t>nc.</w:t>
      </w:r>
      <w:r w:rsidR="00F7162B" w:rsidRPr="00066D20">
        <w:t xml:space="preserve"> (PGS)</w:t>
      </w:r>
      <w:r w:rsidR="00F7162B" w:rsidRPr="00BD6884">
        <w:t>, Sebring</w:t>
      </w:r>
      <w:r w:rsidR="00F7162B">
        <w:t xml:space="preserve"> Gas System (Sebring)</w:t>
      </w:r>
      <w:r w:rsidR="00F7162B" w:rsidRPr="00BD6884">
        <w:t xml:space="preserve">, and </w:t>
      </w:r>
      <w:r w:rsidR="00F7162B">
        <w:t>St. Joe Natural Gas Company, Inc. (</w:t>
      </w:r>
      <w:r w:rsidR="00F7162B" w:rsidRPr="00BD6884">
        <w:t>SJNG</w:t>
      </w:r>
      <w:r w:rsidR="00F7162B">
        <w:t>)</w:t>
      </w:r>
      <w:r w:rsidR="00F7162B" w:rsidRPr="00BD6884">
        <w:t xml:space="preserve"> submitted testimony and exhibits in support of their proposed final and estimated true-up amounts and their conservation cost recovery factors. Prior to the hearing, the parties reached an agreement concerning all issues identified for resolution at the hearing. OPC took no position.</w:t>
      </w:r>
      <w:r w:rsidR="00F7162B">
        <w:t xml:space="preserve"> SJNG was excused from participating at the hearing.</w:t>
      </w:r>
      <w:r w:rsidR="00F7162B" w:rsidRPr="00BD6884">
        <w:t xml:space="preserve"> We have jurisdiction over this subject matter by the provisions of Chapter 366, F.S., including Sections 366.04, 366.05, and 366.06, F.S.</w:t>
      </w:r>
    </w:p>
    <w:p w:rsidR="00A634DA" w:rsidRPr="00A634DA" w:rsidRDefault="00A634DA" w:rsidP="00A634DA">
      <w:pPr>
        <w:jc w:val="both"/>
      </w:pPr>
    </w:p>
    <w:p w:rsidR="00A634DA" w:rsidRPr="00A634DA" w:rsidRDefault="00A634DA" w:rsidP="00A634DA">
      <w:pPr>
        <w:jc w:val="center"/>
        <w:rPr>
          <w:u w:val="single"/>
        </w:rPr>
      </w:pPr>
      <w:r w:rsidRPr="00A634DA">
        <w:rPr>
          <w:u w:val="single"/>
        </w:rPr>
        <w:t>DECISION</w:t>
      </w:r>
    </w:p>
    <w:p w:rsidR="00A634DA" w:rsidRPr="00A634DA" w:rsidRDefault="00A634DA" w:rsidP="00A634DA">
      <w:pPr>
        <w:pStyle w:val="OrderBody"/>
      </w:pPr>
    </w:p>
    <w:p w:rsidR="00F7162B" w:rsidRPr="00DC48B2" w:rsidRDefault="00F7162B" w:rsidP="00F7162B">
      <w:pPr>
        <w:autoSpaceDE w:val="0"/>
        <w:autoSpaceDN w:val="0"/>
        <w:adjustRightInd w:val="0"/>
        <w:ind w:firstLine="720"/>
        <w:jc w:val="both"/>
      </w:pPr>
      <w:r>
        <w:t>Prior to the hearing, the utilities reached Type 2 stipulations</w:t>
      </w:r>
      <w:r>
        <w:rPr>
          <w:rStyle w:val="FootnoteReference"/>
        </w:rPr>
        <w:footnoteReference w:id="1"/>
      </w:r>
      <w:r>
        <w:t xml:space="preserve"> on all issues identified for resolution at hearing, with the utilities agreeing to proposed stipulations to the final and estimated true-up amounts and purchased gas cost recovery factors appropriate for each utility, and with OPC taking no position on these proposed stipulations. </w:t>
      </w:r>
      <w:r w:rsidRPr="00DC48B2">
        <w:t xml:space="preserve">The OPC position on each Type 2 </w:t>
      </w:r>
      <w:r>
        <w:t xml:space="preserve">stipulation is as </w:t>
      </w:r>
      <w:r w:rsidRPr="00DC48B2">
        <w:t>follows:</w:t>
      </w:r>
    </w:p>
    <w:p w:rsidR="00F7162B" w:rsidRPr="00DC48B2" w:rsidRDefault="00F7162B" w:rsidP="00F7162B"/>
    <w:p w:rsidR="00F7162B" w:rsidRDefault="00F7162B" w:rsidP="00F7162B">
      <w:pPr>
        <w:ind w:left="720" w:right="720"/>
        <w:jc w:val="both"/>
        <w:rPr>
          <w:bCs/>
        </w:rPr>
      </w:pPr>
      <w:r w:rsidRPr="00DC48B2">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w:t>
      </w:r>
      <w:r>
        <w:rPr>
          <w:bCs/>
        </w:rPr>
        <w:t xml:space="preserve"> </w:t>
      </w:r>
      <w:r w:rsidRPr="00DC48B2">
        <w:rPr>
          <w:bCs/>
        </w:rPr>
        <w:t>No person is authorized to state that the OPC is a participant in, or party to, a stipulation on these issues, either in this docket, in an order of the Commission</w:t>
      </w:r>
      <w:r>
        <w:rPr>
          <w:bCs/>
        </w:rPr>
        <w:t>,</w:t>
      </w:r>
      <w:r w:rsidRPr="00DC48B2">
        <w:rPr>
          <w:bCs/>
        </w:rPr>
        <w:t xml:space="preserve"> or in a representation to a Court.  </w:t>
      </w:r>
    </w:p>
    <w:p w:rsidR="00F7162B" w:rsidRPr="00F61CF2" w:rsidRDefault="00F7162B" w:rsidP="00F7162B">
      <w:pPr>
        <w:autoSpaceDE w:val="0"/>
        <w:autoSpaceDN w:val="0"/>
        <w:adjustRightInd w:val="0"/>
        <w:jc w:val="both"/>
        <w:rPr>
          <w:bCs/>
        </w:rPr>
      </w:pPr>
      <w:r>
        <w:rPr>
          <w:bCs/>
        </w:rPr>
        <w:lastRenderedPageBreak/>
        <w:tab/>
      </w:r>
      <w:r>
        <w:t>The proposed stipulations were presented to us for approval. We accept and approve the proposed stipulations as reasonable and supported by competent, substantial evidence of record, as set forth below.</w:t>
      </w:r>
    </w:p>
    <w:p w:rsidR="00A634DA" w:rsidRDefault="00A634DA" w:rsidP="00A634DA">
      <w:pPr>
        <w:pStyle w:val="OrderBody"/>
      </w:pPr>
    </w:p>
    <w:p w:rsidR="000B21BD" w:rsidRPr="0032586B" w:rsidRDefault="000B21BD" w:rsidP="00A634DA">
      <w:pPr>
        <w:pStyle w:val="OrderBody"/>
        <w:rPr>
          <w:u w:val="single"/>
        </w:rPr>
      </w:pPr>
      <w:r w:rsidRPr="0032586B">
        <w:rPr>
          <w:u w:val="single"/>
        </w:rPr>
        <w:t>Consolidation of Conservation Cost Recovery Amounts and Factors Between FCG and FPUC</w:t>
      </w:r>
    </w:p>
    <w:p w:rsidR="000B21BD" w:rsidRPr="0032586B" w:rsidRDefault="000B21BD" w:rsidP="00A634DA">
      <w:pPr>
        <w:pStyle w:val="OrderBody"/>
        <w:rPr>
          <w:u w:val="single"/>
        </w:rPr>
      </w:pPr>
    </w:p>
    <w:p w:rsidR="000B21BD" w:rsidRDefault="000B21BD" w:rsidP="000B21BD">
      <w:pPr>
        <w:ind w:firstLine="720"/>
        <w:jc w:val="both"/>
        <w:rPr>
          <w:rFonts w:eastAsia="Calibri"/>
        </w:rPr>
      </w:pPr>
      <w:r w:rsidRPr="0032586B">
        <w:rPr>
          <w:rFonts w:eastAsia="Calibri"/>
        </w:rPr>
        <w:t>FPUC and FCG are now owned by the same corporate parent, Chesapeake Utilities Corporation. Beginning in 2025, the corporate parent stated its desire to consolidate the natural gas conservation costs and recovery amounts of FPUC and FCG. Although the factors derived from consolidated costs are likely to result in some subsidization of costs between FPUC and FCG customers, cost efficiencies are expected to materialize as well. Therefore, FPUC and FCG should be authorized to consolidate the natural gas conservation costs and recovery amounts.</w:t>
      </w:r>
    </w:p>
    <w:p w:rsidR="000B21BD" w:rsidRPr="000B21BD" w:rsidRDefault="000B21BD" w:rsidP="00A634DA">
      <w:pPr>
        <w:pStyle w:val="OrderBody"/>
        <w:rPr>
          <w:u w:val="single"/>
        </w:rPr>
      </w:pPr>
    </w:p>
    <w:p w:rsidR="00F7162B" w:rsidRPr="001061C7" w:rsidRDefault="00F7162B" w:rsidP="00F7162B">
      <w:pPr>
        <w:pStyle w:val="OrderBody"/>
        <w:rPr>
          <w:u w:val="single"/>
        </w:rPr>
      </w:pPr>
      <w:r w:rsidRPr="001061C7">
        <w:rPr>
          <w:u w:val="single"/>
        </w:rPr>
        <w:t xml:space="preserve">Conservation Cost Recovery </w:t>
      </w:r>
      <w:r>
        <w:rPr>
          <w:u w:val="single"/>
        </w:rPr>
        <w:t xml:space="preserve">Amounts and </w:t>
      </w:r>
      <w:r w:rsidRPr="001061C7">
        <w:rPr>
          <w:u w:val="single"/>
        </w:rPr>
        <w:t>Factors</w:t>
      </w:r>
    </w:p>
    <w:p w:rsidR="00A634DA" w:rsidRPr="00A634DA" w:rsidRDefault="00A634DA" w:rsidP="00A634DA">
      <w:pPr>
        <w:pStyle w:val="OrderBody"/>
      </w:pPr>
    </w:p>
    <w:p w:rsidR="00F7162B" w:rsidRDefault="00F7162B" w:rsidP="00F7162B">
      <w:pPr>
        <w:ind w:firstLine="720"/>
        <w:contextualSpacing/>
        <w:jc w:val="both"/>
      </w:pPr>
      <w:r>
        <w:t>We find the appropriate final conservation cost recovery true-up amounts for the period January 2023 through December 2023 are as follows:</w:t>
      </w:r>
    </w:p>
    <w:p w:rsidR="00F7162B" w:rsidRDefault="00F7162B" w:rsidP="00F7162B">
      <w:pPr>
        <w:rPr>
          <w:color w:val="FF0000"/>
        </w:rPr>
      </w:pPr>
    </w:p>
    <w:p w:rsidR="00F7162B" w:rsidRDefault="00F7162B" w:rsidP="00F7162B">
      <w:pPr>
        <w:ind w:left="2160" w:hanging="720"/>
        <w:jc w:val="both"/>
      </w:pPr>
      <w:r>
        <w:t>FCG</w:t>
      </w:r>
      <w:r>
        <w:tab/>
      </w:r>
      <w:r>
        <w:tab/>
      </w:r>
      <w:r>
        <w:tab/>
      </w:r>
      <w:r>
        <w:tab/>
      </w:r>
      <w:r>
        <w:tab/>
      </w:r>
      <w:r w:rsidRPr="00623480">
        <w:rPr>
          <w:color w:val="0E101A"/>
        </w:rPr>
        <w:t>$</w:t>
      </w:r>
      <w:r>
        <w:rPr>
          <w:color w:val="0E101A"/>
        </w:rPr>
        <w:t>161,423</w:t>
      </w:r>
      <w:r>
        <w:tab/>
        <w:t>Under-recovery</w:t>
      </w:r>
    </w:p>
    <w:p w:rsidR="00F7162B" w:rsidRDefault="00F7162B" w:rsidP="00F7162B">
      <w:pPr>
        <w:ind w:left="2160" w:hanging="720"/>
        <w:jc w:val="both"/>
      </w:pPr>
      <w:r>
        <w:t>FPUC</w:t>
      </w:r>
      <w:r>
        <w:tab/>
      </w:r>
      <w:r>
        <w:tab/>
      </w:r>
      <w:r>
        <w:tab/>
      </w:r>
      <w:r>
        <w:tab/>
      </w:r>
      <w:r>
        <w:tab/>
      </w:r>
      <w:r>
        <w:rPr>
          <w:color w:val="0E101A"/>
        </w:rPr>
        <w:t>$239,390</w:t>
      </w:r>
      <w:r>
        <w:tab/>
        <w:t>Under-recovery</w:t>
      </w:r>
    </w:p>
    <w:p w:rsidR="00F7162B" w:rsidRDefault="00F7162B" w:rsidP="00F7162B">
      <w:pPr>
        <w:ind w:left="2160" w:hanging="720"/>
        <w:jc w:val="both"/>
      </w:pPr>
      <w:r>
        <w:t>PGS</w:t>
      </w:r>
      <w:r>
        <w:tab/>
      </w:r>
      <w:r>
        <w:tab/>
      </w:r>
      <w:r>
        <w:tab/>
      </w:r>
      <w:r>
        <w:tab/>
      </w:r>
      <w:r>
        <w:tab/>
      </w:r>
      <w:r>
        <w:rPr>
          <w:color w:val="0E101A"/>
        </w:rPr>
        <w:t>$840,690</w:t>
      </w:r>
      <w:r>
        <w:tab/>
        <w:t>Over-recovery</w:t>
      </w:r>
    </w:p>
    <w:p w:rsidR="00F7162B" w:rsidRDefault="00F7162B" w:rsidP="00F7162B">
      <w:pPr>
        <w:ind w:left="2160" w:hanging="720"/>
        <w:jc w:val="both"/>
      </w:pPr>
      <w:r>
        <w:t>Sebring</w:t>
      </w:r>
      <w:r>
        <w:tab/>
      </w:r>
      <w:r>
        <w:tab/>
      </w:r>
      <w:r>
        <w:tab/>
      </w:r>
      <w:r>
        <w:tab/>
      </w:r>
      <w:r>
        <w:rPr>
          <w:color w:val="0E101A"/>
        </w:rPr>
        <w:t>$5,301</w:t>
      </w:r>
      <w:r>
        <w:rPr>
          <w:color w:val="0E101A"/>
        </w:rPr>
        <w:tab/>
      </w:r>
      <w:r>
        <w:tab/>
        <w:t>Under-recovery</w:t>
      </w:r>
    </w:p>
    <w:p w:rsidR="00F7162B" w:rsidRDefault="00F7162B" w:rsidP="00F7162B">
      <w:pPr>
        <w:ind w:left="2160" w:hanging="720"/>
        <w:jc w:val="both"/>
      </w:pPr>
      <w:r>
        <w:t>SJNG</w:t>
      </w:r>
      <w:r>
        <w:tab/>
      </w:r>
      <w:r>
        <w:tab/>
      </w:r>
      <w:r>
        <w:tab/>
      </w:r>
      <w:r>
        <w:tab/>
      </w:r>
      <w:r>
        <w:tab/>
      </w:r>
      <w:r>
        <w:rPr>
          <w:color w:val="0E101A"/>
        </w:rPr>
        <w:t>$341</w:t>
      </w:r>
      <w:r>
        <w:rPr>
          <w:color w:val="0E101A"/>
        </w:rPr>
        <w:tab/>
      </w:r>
      <w:r>
        <w:tab/>
        <w:t>Under-recovery</w:t>
      </w:r>
    </w:p>
    <w:p w:rsidR="00F7162B" w:rsidRDefault="00F7162B" w:rsidP="00F7162B">
      <w:pPr>
        <w:ind w:left="2160" w:hanging="720"/>
        <w:jc w:val="both"/>
      </w:pPr>
    </w:p>
    <w:p w:rsidR="00F7162B" w:rsidRDefault="00F7162B" w:rsidP="00F7162B">
      <w:pPr>
        <w:ind w:firstLine="720"/>
        <w:contextualSpacing/>
        <w:jc w:val="both"/>
      </w:pPr>
      <w:r>
        <w:t>We find the appropriate conservation cost adjustment actual/estimated true-up amounts for the period January 202</w:t>
      </w:r>
      <w:r w:rsidR="004754D4">
        <w:t>4</w:t>
      </w:r>
      <w:r>
        <w:t xml:space="preserve"> through December 202</w:t>
      </w:r>
      <w:r w:rsidR="004754D4">
        <w:t>4</w:t>
      </w:r>
      <w:r>
        <w:t xml:space="preserve"> are as follows:</w:t>
      </w:r>
    </w:p>
    <w:p w:rsidR="00F7162B" w:rsidRDefault="00F7162B" w:rsidP="00F7162B">
      <w:pPr>
        <w:ind w:left="1440" w:hanging="1440"/>
        <w:jc w:val="both"/>
      </w:pPr>
    </w:p>
    <w:p w:rsidR="00F7162B" w:rsidRDefault="00F7162B" w:rsidP="00F7162B">
      <w:pPr>
        <w:ind w:left="1440" w:hanging="1440"/>
        <w:jc w:val="both"/>
      </w:pPr>
      <w:r>
        <w:tab/>
        <w:t>FCG</w:t>
      </w:r>
      <w:r w:rsidR="004754D4">
        <w:t>/FPUC</w:t>
      </w:r>
      <w:r>
        <w:tab/>
      </w:r>
      <w:r>
        <w:tab/>
      </w:r>
      <w:r>
        <w:tab/>
      </w:r>
      <w:r>
        <w:tab/>
      </w:r>
      <w:r w:rsidRPr="0019529A">
        <w:rPr>
          <w:color w:val="0E101A"/>
        </w:rPr>
        <w:t>$</w:t>
      </w:r>
      <w:r w:rsidR="004754D4">
        <w:rPr>
          <w:color w:val="0E101A"/>
        </w:rPr>
        <w:t>512,828</w:t>
      </w:r>
      <w:r>
        <w:tab/>
        <w:t>Over-recovery</w:t>
      </w:r>
    </w:p>
    <w:p w:rsidR="00F7162B" w:rsidRDefault="00F7162B" w:rsidP="00F7162B">
      <w:pPr>
        <w:ind w:left="1440" w:hanging="1440"/>
        <w:jc w:val="both"/>
      </w:pPr>
      <w:r>
        <w:tab/>
        <w:t>PGS</w:t>
      </w:r>
      <w:r>
        <w:tab/>
      </w:r>
      <w:r>
        <w:tab/>
      </w:r>
      <w:r>
        <w:tab/>
      </w:r>
      <w:r>
        <w:tab/>
      </w:r>
      <w:r>
        <w:tab/>
      </w:r>
      <w:r w:rsidRPr="0019529A">
        <w:rPr>
          <w:color w:val="0E101A"/>
        </w:rPr>
        <w:t>$</w:t>
      </w:r>
      <w:r w:rsidR="004754D4">
        <w:rPr>
          <w:color w:val="0E101A"/>
        </w:rPr>
        <w:t>2,324,526</w:t>
      </w:r>
      <w:r>
        <w:tab/>
        <w:t>Under-recovery</w:t>
      </w:r>
    </w:p>
    <w:p w:rsidR="00F7162B" w:rsidRDefault="00F7162B" w:rsidP="00F7162B">
      <w:pPr>
        <w:ind w:left="1440" w:hanging="1440"/>
        <w:jc w:val="both"/>
      </w:pPr>
      <w:r>
        <w:tab/>
        <w:t>Sebring</w:t>
      </w:r>
      <w:r>
        <w:tab/>
      </w:r>
      <w:r>
        <w:tab/>
      </w:r>
      <w:r>
        <w:tab/>
      </w:r>
      <w:r>
        <w:tab/>
      </w:r>
      <w:r w:rsidRPr="0019529A">
        <w:rPr>
          <w:color w:val="0E101A"/>
        </w:rPr>
        <w:t>$</w:t>
      </w:r>
      <w:r w:rsidR="004754D4">
        <w:rPr>
          <w:color w:val="0E101A"/>
        </w:rPr>
        <w:t>490</w:t>
      </w:r>
      <w:r w:rsidR="004754D4">
        <w:rPr>
          <w:color w:val="0E101A"/>
        </w:rPr>
        <w:tab/>
      </w:r>
      <w:r>
        <w:tab/>
        <w:t>Under-recovery</w:t>
      </w:r>
    </w:p>
    <w:p w:rsidR="00F7162B" w:rsidRDefault="00F7162B" w:rsidP="00F7162B">
      <w:pPr>
        <w:ind w:left="1440" w:hanging="1440"/>
        <w:jc w:val="both"/>
      </w:pPr>
      <w:r>
        <w:tab/>
        <w:t>SJNG</w:t>
      </w:r>
      <w:r>
        <w:tab/>
      </w:r>
      <w:r>
        <w:tab/>
      </w:r>
      <w:r>
        <w:tab/>
      </w:r>
      <w:r>
        <w:tab/>
      </w:r>
      <w:r>
        <w:tab/>
      </w:r>
      <w:r w:rsidRPr="0019529A">
        <w:rPr>
          <w:color w:val="0E101A"/>
        </w:rPr>
        <w:t>$</w:t>
      </w:r>
      <w:r w:rsidR="004754D4">
        <w:rPr>
          <w:color w:val="0E101A"/>
        </w:rPr>
        <w:t>21,545</w:t>
      </w:r>
      <w:r>
        <w:tab/>
      </w:r>
      <w:r w:rsidR="004754D4">
        <w:t>Unde</w:t>
      </w:r>
      <w:r>
        <w:t>r-recovery</w:t>
      </w:r>
    </w:p>
    <w:p w:rsidR="00F7162B" w:rsidRDefault="00F7162B" w:rsidP="00F7162B">
      <w:pPr>
        <w:ind w:left="1440" w:hanging="1440"/>
        <w:jc w:val="both"/>
      </w:pPr>
    </w:p>
    <w:p w:rsidR="00F7162B" w:rsidRDefault="00F7162B" w:rsidP="00F7162B">
      <w:pPr>
        <w:ind w:firstLine="720"/>
        <w:contextualSpacing/>
        <w:jc w:val="both"/>
      </w:pPr>
      <w:r>
        <w:t>We find the appropriate total conservation adjustment true-up amounts to be collected/refunded from the period January 202</w:t>
      </w:r>
      <w:r w:rsidR="004754D4">
        <w:t>4</w:t>
      </w:r>
      <w:r>
        <w:t xml:space="preserve"> through December 202</w:t>
      </w:r>
      <w:r w:rsidR="004754D4">
        <w:t>4</w:t>
      </w:r>
      <w:r>
        <w:t xml:space="preserve"> are as follows:</w:t>
      </w:r>
    </w:p>
    <w:p w:rsidR="00F7162B" w:rsidRDefault="00F7162B" w:rsidP="00F7162B">
      <w:pPr>
        <w:ind w:left="1440" w:hanging="1440"/>
        <w:jc w:val="both"/>
      </w:pPr>
    </w:p>
    <w:p w:rsidR="00F7162B" w:rsidRDefault="00F7162B" w:rsidP="00F7162B">
      <w:pPr>
        <w:ind w:left="1440" w:hanging="1440"/>
        <w:jc w:val="both"/>
      </w:pPr>
      <w:r>
        <w:tab/>
        <w:t>FCG</w:t>
      </w:r>
      <w:r w:rsidR="004754D4">
        <w:t>/FPUC</w:t>
      </w:r>
      <w:r>
        <w:tab/>
      </w:r>
      <w:r>
        <w:tab/>
      </w:r>
      <w:r>
        <w:tab/>
      </w:r>
      <w:r>
        <w:tab/>
      </w:r>
      <w:r w:rsidR="004754D4">
        <w:rPr>
          <w:color w:val="0E101A"/>
        </w:rPr>
        <w:t>$112,015</w:t>
      </w:r>
      <w:r>
        <w:tab/>
        <w:t>Over-recovery</w:t>
      </w:r>
    </w:p>
    <w:p w:rsidR="00F7162B" w:rsidRDefault="00F7162B" w:rsidP="00F7162B">
      <w:pPr>
        <w:ind w:left="1440" w:hanging="1440"/>
        <w:jc w:val="both"/>
      </w:pPr>
      <w:r>
        <w:tab/>
        <w:t>PGS</w:t>
      </w:r>
      <w:r>
        <w:tab/>
      </w:r>
      <w:r>
        <w:tab/>
      </w:r>
      <w:r>
        <w:tab/>
      </w:r>
      <w:r>
        <w:tab/>
      </w:r>
      <w:r>
        <w:tab/>
      </w:r>
      <w:r w:rsidRPr="0019529A">
        <w:rPr>
          <w:color w:val="0E101A"/>
        </w:rPr>
        <w:t>$</w:t>
      </w:r>
      <w:r>
        <w:rPr>
          <w:color w:val="0E101A"/>
        </w:rPr>
        <w:t>1,4</w:t>
      </w:r>
      <w:r w:rsidR="004754D4">
        <w:rPr>
          <w:color w:val="0E101A"/>
        </w:rPr>
        <w:t>83,836</w:t>
      </w:r>
      <w:r>
        <w:tab/>
        <w:t>Under-recovery</w:t>
      </w:r>
    </w:p>
    <w:p w:rsidR="00F7162B" w:rsidRDefault="00F7162B" w:rsidP="00F7162B">
      <w:pPr>
        <w:ind w:left="1440" w:hanging="1440"/>
        <w:jc w:val="both"/>
      </w:pPr>
      <w:r>
        <w:tab/>
        <w:t>Sebring</w:t>
      </w:r>
      <w:r>
        <w:tab/>
      </w:r>
      <w:r>
        <w:tab/>
      </w:r>
      <w:r>
        <w:tab/>
      </w:r>
      <w:r>
        <w:tab/>
      </w:r>
      <w:r w:rsidR="004754D4">
        <w:rPr>
          <w:color w:val="0E101A"/>
        </w:rPr>
        <w:t>$5</w:t>
      </w:r>
      <w:r>
        <w:rPr>
          <w:color w:val="0E101A"/>
        </w:rPr>
        <w:t>,</w:t>
      </w:r>
      <w:r w:rsidR="004754D4">
        <w:rPr>
          <w:color w:val="0E101A"/>
        </w:rPr>
        <w:t>791</w:t>
      </w:r>
      <w:r>
        <w:rPr>
          <w:color w:val="0E101A"/>
        </w:rPr>
        <w:tab/>
      </w:r>
      <w:r>
        <w:tab/>
        <w:t>Under-recovery</w:t>
      </w:r>
    </w:p>
    <w:p w:rsidR="00F7162B" w:rsidRDefault="00F7162B" w:rsidP="00F7162B">
      <w:pPr>
        <w:ind w:left="1440" w:hanging="1440"/>
        <w:jc w:val="both"/>
      </w:pPr>
      <w:r>
        <w:tab/>
        <w:t>SJNG</w:t>
      </w:r>
      <w:r>
        <w:tab/>
      </w:r>
      <w:r>
        <w:tab/>
      </w:r>
      <w:r>
        <w:tab/>
      </w:r>
      <w:r>
        <w:tab/>
      </w:r>
      <w:r>
        <w:tab/>
      </w:r>
      <w:r>
        <w:rPr>
          <w:color w:val="0E101A"/>
        </w:rPr>
        <w:t>$2</w:t>
      </w:r>
      <w:r w:rsidR="004754D4">
        <w:rPr>
          <w:color w:val="0E101A"/>
        </w:rPr>
        <w:t>1,886</w:t>
      </w:r>
      <w:r>
        <w:tab/>
      </w:r>
      <w:r w:rsidR="004754D4">
        <w:t>Under</w:t>
      </w:r>
      <w:r>
        <w:t>-recovery</w:t>
      </w:r>
    </w:p>
    <w:p w:rsidR="00F7162B" w:rsidRDefault="00F7162B" w:rsidP="00F7162B">
      <w:pPr>
        <w:jc w:val="both"/>
      </w:pPr>
    </w:p>
    <w:p w:rsidR="00F7162B" w:rsidRDefault="00F7162B" w:rsidP="00F7162B">
      <w:pPr>
        <w:jc w:val="both"/>
      </w:pPr>
    </w:p>
    <w:p w:rsidR="0082746A" w:rsidRDefault="0082746A" w:rsidP="00F7162B">
      <w:pPr>
        <w:ind w:firstLine="720"/>
        <w:contextualSpacing/>
        <w:jc w:val="both"/>
      </w:pPr>
    </w:p>
    <w:p w:rsidR="0082746A" w:rsidRDefault="0082746A" w:rsidP="00F7162B">
      <w:pPr>
        <w:ind w:firstLine="720"/>
        <w:contextualSpacing/>
        <w:jc w:val="both"/>
      </w:pPr>
    </w:p>
    <w:p w:rsidR="00F91091" w:rsidRDefault="00F91091" w:rsidP="00F7162B">
      <w:pPr>
        <w:ind w:firstLine="720"/>
        <w:contextualSpacing/>
        <w:jc w:val="both"/>
      </w:pPr>
    </w:p>
    <w:p w:rsidR="00F7162B" w:rsidRDefault="00F7162B" w:rsidP="00F7162B">
      <w:pPr>
        <w:ind w:firstLine="720"/>
        <w:contextualSpacing/>
        <w:jc w:val="both"/>
      </w:pPr>
      <w:r>
        <w:lastRenderedPageBreak/>
        <w:t>We find the total conservation cost recovery amounts to be collected during the period January 202</w:t>
      </w:r>
      <w:r w:rsidR="004754D4">
        <w:t>5</w:t>
      </w:r>
      <w:r>
        <w:t xml:space="preserve"> through December 202</w:t>
      </w:r>
      <w:r w:rsidR="004754D4">
        <w:t>5</w:t>
      </w:r>
      <w:r>
        <w:t xml:space="preserve"> are as follows:</w:t>
      </w:r>
    </w:p>
    <w:p w:rsidR="004754D4" w:rsidRDefault="004754D4" w:rsidP="00F7162B">
      <w:pPr>
        <w:ind w:firstLine="720"/>
        <w:contextualSpacing/>
        <w:jc w:val="both"/>
      </w:pPr>
    </w:p>
    <w:p w:rsidR="004754D4" w:rsidRDefault="004754D4" w:rsidP="004754D4">
      <w:pPr>
        <w:ind w:left="1440"/>
        <w:jc w:val="both"/>
      </w:pPr>
      <w:r>
        <w:t>FCG/FPUC</w:t>
      </w:r>
      <w:r>
        <w:tab/>
      </w:r>
      <w:r>
        <w:tab/>
      </w:r>
      <w:r>
        <w:tab/>
      </w:r>
      <w:r>
        <w:tab/>
      </w:r>
      <w:r w:rsidR="00755232">
        <w:tab/>
      </w:r>
      <w:r>
        <w:rPr>
          <w:color w:val="0E101A"/>
        </w:rPr>
        <w:t>$11,435,110</w:t>
      </w:r>
      <w:r>
        <w:tab/>
      </w:r>
    </w:p>
    <w:p w:rsidR="004754D4" w:rsidRDefault="004754D4" w:rsidP="004754D4">
      <w:pPr>
        <w:ind w:left="1440" w:hanging="1440"/>
        <w:jc w:val="both"/>
      </w:pPr>
      <w:r>
        <w:tab/>
        <w:t>PGS</w:t>
      </w:r>
      <w:r>
        <w:tab/>
      </w:r>
      <w:r>
        <w:tab/>
      </w:r>
      <w:r>
        <w:tab/>
      </w:r>
      <w:r>
        <w:tab/>
      </w:r>
      <w:r>
        <w:tab/>
      </w:r>
      <w:r w:rsidR="00755232">
        <w:tab/>
      </w:r>
      <w:r w:rsidRPr="0019529A">
        <w:rPr>
          <w:color w:val="0E101A"/>
        </w:rPr>
        <w:t>$</w:t>
      </w:r>
      <w:r>
        <w:rPr>
          <w:color w:val="0E101A"/>
        </w:rPr>
        <w:t>37,821,603</w:t>
      </w:r>
      <w:r>
        <w:tab/>
      </w:r>
    </w:p>
    <w:p w:rsidR="004754D4" w:rsidRDefault="004754D4" w:rsidP="004754D4">
      <w:pPr>
        <w:ind w:left="1440" w:hanging="1440"/>
        <w:jc w:val="both"/>
      </w:pPr>
      <w:r>
        <w:tab/>
        <w:t>Sebring</w:t>
      </w:r>
      <w:r>
        <w:tab/>
      </w:r>
      <w:r>
        <w:tab/>
      </w:r>
      <w:r>
        <w:tab/>
      </w:r>
      <w:r>
        <w:tab/>
      </w:r>
      <w:r w:rsidR="00755232">
        <w:tab/>
      </w:r>
      <w:r>
        <w:rPr>
          <w:color w:val="0E101A"/>
        </w:rPr>
        <w:t>$42,074</w:t>
      </w:r>
      <w:r>
        <w:rPr>
          <w:color w:val="0E101A"/>
        </w:rPr>
        <w:tab/>
      </w:r>
      <w:r>
        <w:tab/>
      </w:r>
    </w:p>
    <w:p w:rsidR="004754D4" w:rsidRDefault="004754D4" w:rsidP="004754D4">
      <w:pPr>
        <w:ind w:left="1440" w:hanging="1440"/>
        <w:jc w:val="both"/>
      </w:pPr>
      <w:r>
        <w:tab/>
        <w:t>SJNG</w:t>
      </w:r>
      <w:r>
        <w:tab/>
      </w:r>
      <w:r>
        <w:tab/>
      </w:r>
      <w:r>
        <w:tab/>
      </w:r>
      <w:r>
        <w:tab/>
      </w:r>
      <w:r>
        <w:tab/>
      </w:r>
      <w:r w:rsidR="00755232">
        <w:tab/>
      </w:r>
      <w:r>
        <w:rPr>
          <w:color w:val="0E101A"/>
        </w:rPr>
        <w:t>$140,341</w:t>
      </w:r>
      <w:r>
        <w:tab/>
      </w:r>
    </w:p>
    <w:p w:rsidR="00A634DA" w:rsidRPr="00A634DA" w:rsidRDefault="00A634DA" w:rsidP="00A634DA">
      <w:pPr>
        <w:pStyle w:val="OrderBody"/>
      </w:pPr>
    </w:p>
    <w:p w:rsidR="00A634DA" w:rsidRPr="00A634DA" w:rsidRDefault="00A634DA" w:rsidP="00A634DA">
      <w:pPr>
        <w:pStyle w:val="OrderBody"/>
      </w:pPr>
    </w:p>
    <w:p w:rsidR="004754D4" w:rsidRDefault="004754D4" w:rsidP="004754D4">
      <w:pPr>
        <w:ind w:firstLine="720"/>
      </w:pPr>
      <w:r>
        <w:t>We find the appropriate conservation cost recovery factors for the period January 2025 through December 2025 are as follows:</w:t>
      </w:r>
    </w:p>
    <w:p w:rsidR="004754D4" w:rsidRDefault="004754D4" w:rsidP="004754D4">
      <w:pPr>
        <w:ind w:firstLine="720"/>
      </w:pPr>
    </w:p>
    <w:p w:rsidR="004754D4" w:rsidRDefault="004754D4" w:rsidP="004754D4">
      <w:pPr>
        <w:ind w:firstLine="720"/>
      </w:pPr>
      <w:r>
        <w:t>FCG</w:t>
      </w:r>
    </w:p>
    <w:p w:rsidR="003D5A2F" w:rsidRDefault="003D5A2F" w:rsidP="004754D4">
      <w:pPr>
        <w:ind w:firstLine="720"/>
      </w:pPr>
    </w:p>
    <w:tbl>
      <w:tblPr>
        <w:tblpPr w:leftFromText="187" w:rightFromText="187" w:vertAnchor="text" w:horzAnchor="margin" w:tblpXSpec="center" w:tblpY="-97"/>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250"/>
        <w:gridCol w:w="5695"/>
      </w:tblGrid>
      <w:tr w:rsidR="003D5A2F" w:rsidRPr="00483219" w:rsidTr="003D5A2F">
        <w:tc>
          <w:tcPr>
            <w:tcW w:w="2250" w:type="dxa"/>
            <w:shd w:val="clear" w:color="auto" w:fill="auto"/>
            <w:vAlign w:val="center"/>
            <w:hideMark/>
          </w:tcPr>
          <w:p w:rsidR="003D5A2F" w:rsidRPr="00483219" w:rsidRDefault="003D5A2F" w:rsidP="003D5A2F">
            <w:pPr>
              <w:keepNext/>
              <w:contextualSpacing/>
              <w:jc w:val="center"/>
              <w:rPr>
                <w:b/>
                <w:bCs/>
              </w:rPr>
            </w:pPr>
            <w:r w:rsidRPr="00483219">
              <w:rPr>
                <w:b/>
                <w:bCs/>
              </w:rPr>
              <w:t>Rate Schedule</w:t>
            </w:r>
          </w:p>
        </w:tc>
        <w:tc>
          <w:tcPr>
            <w:tcW w:w="5695" w:type="dxa"/>
            <w:shd w:val="clear" w:color="auto" w:fill="auto"/>
            <w:vAlign w:val="center"/>
            <w:hideMark/>
          </w:tcPr>
          <w:p w:rsidR="003D5A2F" w:rsidRPr="00483219" w:rsidRDefault="003D5A2F" w:rsidP="003D5A2F">
            <w:pPr>
              <w:keepNext/>
              <w:contextualSpacing/>
              <w:jc w:val="center"/>
              <w:rPr>
                <w:b/>
                <w:bCs/>
              </w:rPr>
            </w:pPr>
            <w:r w:rsidRPr="00483219">
              <w:rPr>
                <w:b/>
                <w:bCs/>
              </w:rPr>
              <w:t>Conservation Recovery Factor ($/therm)</w:t>
            </w:r>
          </w:p>
        </w:tc>
      </w:tr>
      <w:tr w:rsidR="003D5A2F" w:rsidRPr="00483219" w:rsidTr="003D5A2F">
        <w:tc>
          <w:tcPr>
            <w:tcW w:w="2250" w:type="dxa"/>
            <w:shd w:val="clear" w:color="auto" w:fill="auto"/>
            <w:noWrap/>
            <w:vAlign w:val="center"/>
            <w:hideMark/>
          </w:tcPr>
          <w:p w:rsidR="003D5A2F" w:rsidRPr="00483219" w:rsidRDefault="003D5A2F" w:rsidP="003D5A2F">
            <w:pPr>
              <w:keepNext/>
              <w:contextualSpacing/>
            </w:pPr>
            <w:r w:rsidRPr="00483219">
              <w:t>RS1</w:t>
            </w:r>
          </w:p>
        </w:tc>
        <w:tc>
          <w:tcPr>
            <w:tcW w:w="5695" w:type="dxa"/>
            <w:shd w:val="clear" w:color="auto" w:fill="auto"/>
            <w:noWrap/>
            <w:vAlign w:val="bottom"/>
            <w:hideMark/>
          </w:tcPr>
          <w:p w:rsidR="003D5A2F" w:rsidRPr="00483219" w:rsidRDefault="003D5A2F" w:rsidP="003D5A2F">
            <w:pPr>
              <w:keepNext/>
              <w:ind w:right="600"/>
              <w:contextualSpacing/>
              <w:jc w:val="center"/>
            </w:pPr>
            <w:r w:rsidRPr="00483219">
              <w:rPr>
                <w:color w:val="000000"/>
              </w:rPr>
              <w:t>0.25141</w:t>
            </w:r>
          </w:p>
        </w:tc>
      </w:tr>
      <w:tr w:rsidR="003D5A2F" w:rsidRPr="00483219" w:rsidTr="003D5A2F">
        <w:tc>
          <w:tcPr>
            <w:tcW w:w="2250" w:type="dxa"/>
            <w:shd w:val="clear" w:color="auto" w:fill="auto"/>
            <w:noWrap/>
            <w:vAlign w:val="center"/>
            <w:hideMark/>
          </w:tcPr>
          <w:p w:rsidR="003D5A2F" w:rsidRPr="00483219" w:rsidRDefault="003D5A2F" w:rsidP="003D5A2F">
            <w:pPr>
              <w:keepNext/>
              <w:contextualSpacing/>
            </w:pPr>
            <w:r w:rsidRPr="00483219">
              <w:t>RS-100</w:t>
            </w:r>
          </w:p>
        </w:tc>
        <w:tc>
          <w:tcPr>
            <w:tcW w:w="5695" w:type="dxa"/>
            <w:shd w:val="clear" w:color="auto" w:fill="auto"/>
            <w:noWrap/>
            <w:vAlign w:val="bottom"/>
            <w:hideMark/>
          </w:tcPr>
          <w:p w:rsidR="003D5A2F" w:rsidRPr="00483219" w:rsidRDefault="003D5A2F" w:rsidP="003D5A2F">
            <w:pPr>
              <w:keepNext/>
              <w:ind w:right="600"/>
              <w:contextualSpacing/>
              <w:jc w:val="center"/>
            </w:pPr>
            <w:r w:rsidRPr="00483219">
              <w:rPr>
                <w:color w:val="000000"/>
              </w:rPr>
              <w:t>0.11554</w:t>
            </w:r>
          </w:p>
        </w:tc>
      </w:tr>
      <w:tr w:rsidR="003D5A2F" w:rsidRPr="00483219" w:rsidTr="003D5A2F">
        <w:tc>
          <w:tcPr>
            <w:tcW w:w="2250" w:type="dxa"/>
            <w:shd w:val="clear" w:color="auto" w:fill="auto"/>
            <w:noWrap/>
            <w:vAlign w:val="center"/>
            <w:hideMark/>
          </w:tcPr>
          <w:p w:rsidR="003D5A2F" w:rsidRPr="00483219" w:rsidRDefault="003D5A2F" w:rsidP="003D5A2F">
            <w:pPr>
              <w:keepNext/>
              <w:contextualSpacing/>
            </w:pPr>
            <w:r w:rsidRPr="00483219">
              <w:t>RS-600</w:t>
            </w:r>
          </w:p>
        </w:tc>
        <w:tc>
          <w:tcPr>
            <w:tcW w:w="5695" w:type="dxa"/>
            <w:shd w:val="clear" w:color="auto" w:fill="auto"/>
            <w:noWrap/>
            <w:vAlign w:val="bottom"/>
            <w:hideMark/>
          </w:tcPr>
          <w:p w:rsidR="003D5A2F" w:rsidRPr="00483219" w:rsidRDefault="003D5A2F" w:rsidP="003D5A2F">
            <w:pPr>
              <w:keepNext/>
              <w:ind w:right="600"/>
              <w:contextualSpacing/>
              <w:jc w:val="center"/>
            </w:pPr>
            <w:r w:rsidRPr="00483219">
              <w:rPr>
                <w:color w:val="000000"/>
              </w:rPr>
              <w:t>0.06816</w:t>
            </w:r>
          </w:p>
        </w:tc>
      </w:tr>
      <w:tr w:rsidR="003D5A2F" w:rsidRPr="00483219" w:rsidTr="003D5A2F">
        <w:tc>
          <w:tcPr>
            <w:tcW w:w="2250" w:type="dxa"/>
            <w:shd w:val="clear" w:color="auto" w:fill="auto"/>
            <w:noWrap/>
            <w:vAlign w:val="center"/>
            <w:hideMark/>
          </w:tcPr>
          <w:p w:rsidR="003D5A2F" w:rsidRPr="00483219" w:rsidRDefault="003D5A2F" w:rsidP="003D5A2F">
            <w:pPr>
              <w:keepNext/>
              <w:contextualSpacing/>
            </w:pPr>
            <w:r w:rsidRPr="00483219">
              <w:t>GS-1</w:t>
            </w:r>
          </w:p>
        </w:tc>
        <w:tc>
          <w:tcPr>
            <w:tcW w:w="5695" w:type="dxa"/>
            <w:shd w:val="clear" w:color="auto" w:fill="auto"/>
            <w:noWrap/>
            <w:vAlign w:val="bottom"/>
            <w:hideMark/>
          </w:tcPr>
          <w:p w:rsidR="003D5A2F" w:rsidRPr="00483219" w:rsidRDefault="003D5A2F" w:rsidP="003D5A2F">
            <w:pPr>
              <w:keepNext/>
              <w:ind w:right="600"/>
              <w:contextualSpacing/>
              <w:jc w:val="center"/>
            </w:pPr>
            <w:r w:rsidRPr="00483219">
              <w:rPr>
                <w:color w:val="000000"/>
              </w:rPr>
              <w:t>0.04592</w:t>
            </w:r>
          </w:p>
        </w:tc>
      </w:tr>
      <w:tr w:rsidR="003D5A2F" w:rsidRPr="00483219" w:rsidTr="003D5A2F">
        <w:tc>
          <w:tcPr>
            <w:tcW w:w="2250" w:type="dxa"/>
            <w:shd w:val="clear" w:color="auto" w:fill="auto"/>
            <w:noWrap/>
            <w:vAlign w:val="center"/>
          </w:tcPr>
          <w:p w:rsidR="003D5A2F" w:rsidRPr="00483219" w:rsidRDefault="003D5A2F" w:rsidP="003D5A2F">
            <w:pPr>
              <w:keepNext/>
              <w:contextualSpacing/>
            </w:pPr>
            <w:r w:rsidRPr="00483219">
              <w:t>GS-6K</w:t>
            </w:r>
          </w:p>
        </w:tc>
        <w:tc>
          <w:tcPr>
            <w:tcW w:w="5695" w:type="dxa"/>
            <w:shd w:val="clear" w:color="auto" w:fill="auto"/>
            <w:noWrap/>
            <w:vAlign w:val="bottom"/>
          </w:tcPr>
          <w:p w:rsidR="003D5A2F" w:rsidRPr="00483219" w:rsidRDefault="003D5A2F" w:rsidP="003D5A2F">
            <w:pPr>
              <w:keepNext/>
              <w:ind w:right="600"/>
              <w:contextualSpacing/>
              <w:jc w:val="center"/>
            </w:pPr>
            <w:r w:rsidRPr="00483219">
              <w:rPr>
                <w:color w:val="000000"/>
              </w:rPr>
              <w:t>0.03291</w:t>
            </w:r>
          </w:p>
        </w:tc>
      </w:tr>
      <w:tr w:rsidR="003D5A2F" w:rsidRPr="00483219" w:rsidTr="003D5A2F">
        <w:tc>
          <w:tcPr>
            <w:tcW w:w="2250" w:type="dxa"/>
            <w:shd w:val="clear" w:color="auto" w:fill="auto"/>
            <w:noWrap/>
            <w:vAlign w:val="center"/>
          </w:tcPr>
          <w:p w:rsidR="003D5A2F" w:rsidRPr="00483219" w:rsidRDefault="003D5A2F" w:rsidP="003D5A2F">
            <w:pPr>
              <w:keepNext/>
              <w:contextualSpacing/>
            </w:pPr>
            <w:r w:rsidRPr="00483219">
              <w:t>GS-25K</w:t>
            </w:r>
          </w:p>
        </w:tc>
        <w:tc>
          <w:tcPr>
            <w:tcW w:w="5695" w:type="dxa"/>
            <w:shd w:val="clear" w:color="auto" w:fill="auto"/>
            <w:noWrap/>
            <w:vAlign w:val="bottom"/>
          </w:tcPr>
          <w:p w:rsidR="003D5A2F" w:rsidRPr="00483219" w:rsidRDefault="003D5A2F" w:rsidP="003D5A2F">
            <w:pPr>
              <w:keepNext/>
              <w:ind w:right="600"/>
              <w:contextualSpacing/>
              <w:jc w:val="center"/>
            </w:pPr>
            <w:r w:rsidRPr="00483219">
              <w:rPr>
                <w:color w:val="000000"/>
              </w:rPr>
              <w:t>0.03059</w:t>
            </w:r>
          </w:p>
        </w:tc>
      </w:tr>
      <w:tr w:rsidR="003D5A2F" w:rsidRPr="00483219" w:rsidTr="003D5A2F">
        <w:tc>
          <w:tcPr>
            <w:tcW w:w="2250" w:type="dxa"/>
            <w:shd w:val="clear" w:color="auto" w:fill="auto"/>
            <w:noWrap/>
            <w:vAlign w:val="center"/>
          </w:tcPr>
          <w:p w:rsidR="003D5A2F" w:rsidRPr="00483219" w:rsidRDefault="003D5A2F" w:rsidP="003D5A2F">
            <w:pPr>
              <w:keepNext/>
              <w:contextualSpacing/>
            </w:pPr>
            <w:r w:rsidRPr="00483219">
              <w:t>Gas Lights</w:t>
            </w:r>
          </w:p>
        </w:tc>
        <w:tc>
          <w:tcPr>
            <w:tcW w:w="5695" w:type="dxa"/>
            <w:shd w:val="clear" w:color="auto" w:fill="auto"/>
            <w:noWrap/>
            <w:vAlign w:val="bottom"/>
          </w:tcPr>
          <w:p w:rsidR="003D5A2F" w:rsidRPr="00483219" w:rsidRDefault="003D5A2F" w:rsidP="003D5A2F">
            <w:pPr>
              <w:keepNext/>
              <w:ind w:right="600"/>
              <w:contextualSpacing/>
              <w:jc w:val="center"/>
            </w:pPr>
            <w:r w:rsidRPr="00483219">
              <w:rPr>
                <w:color w:val="000000"/>
              </w:rPr>
              <w:t>0.03615</w:t>
            </w:r>
          </w:p>
        </w:tc>
      </w:tr>
      <w:tr w:rsidR="003D5A2F" w:rsidRPr="00483219" w:rsidTr="003D5A2F">
        <w:tc>
          <w:tcPr>
            <w:tcW w:w="2250" w:type="dxa"/>
            <w:shd w:val="clear" w:color="auto" w:fill="auto"/>
            <w:noWrap/>
            <w:vAlign w:val="center"/>
          </w:tcPr>
          <w:p w:rsidR="003D5A2F" w:rsidRPr="00483219" w:rsidRDefault="003D5A2F" w:rsidP="003D5A2F">
            <w:pPr>
              <w:keepNext/>
              <w:contextualSpacing/>
            </w:pPr>
            <w:r w:rsidRPr="00483219">
              <w:t>GS-120K</w:t>
            </w:r>
          </w:p>
        </w:tc>
        <w:tc>
          <w:tcPr>
            <w:tcW w:w="5695" w:type="dxa"/>
            <w:shd w:val="clear" w:color="auto" w:fill="auto"/>
            <w:noWrap/>
            <w:vAlign w:val="bottom"/>
          </w:tcPr>
          <w:p w:rsidR="003D5A2F" w:rsidRPr="00483219" w:rsidRDefault="003D5A2F" w:rsidP="003D5A2F">
            <w:pPr>
              <w:keepNext/>
              <w:ind w:right="600"/>
              <w:contextualSpacing/>
              <w:jc w:val="center"/>
            </w:pPr>
            <w:r w:rsidRPr="00483219">
              <w:rPr>
                <w:color w:val="000000"/>
              </w:rPr>
              <w:t>0.02165</w:t>
            </w:r>
          </w:p>
        </w:tc>
      </w:tr>
      <w:tr w:rsidR="003D5A2F" w:rsidRPr="00483219" w:rsidTr="003D5A2F">
        <w:tc>
          <w:tcPr>
            <w:tcW w:w="2250" w:type="dxa"/>
            <w:shd w:val="clear" w:color="auto" w:fill="auto"/>
            <w:noWrap/>
            <w:vAlign w:val="center"/>
          </w:tcPr>
          <w:p w:rsidR="003D5A2F" w:rsidRPr="00483219" w:rsidRDefault="003D5A2F" w:rsidP="003D5A2F">
            <w:pPr>
              <w:keepNext/>
              <w:contextualSpacing/>
            </w:pPr>
            <w:r w:rsidRPr="00483219">
              <w:t>GS-1250K</w:t>
            </w:r>
          </w:p>
        </w:tc>
        <w:tc>
          <w:tcPr>
            <w:tcW w:w="5695" w:type="dxa"/>
            <w:shd w:val="clear" w:color="auto" w:fill="auto"/>
            <w:noWrap/>
            <w:vAlign w:val="bottom"/>
          </w:tcPr>
          <w:p w:rsidR="003D5A2F" w:rsidRPr="00483219" w:rsidRDefault="003D5A2F" w:rsidP="003D5A2F">
            <w:pPr>
              <w:keepNext/>
              <w:ind w:right="600"/>
              <w:contextualSpacing/>
              <w:jc w:val="center"/>
            </w:pPr>
            <w:r w:rsidRPr="00483219">
              <w:rPr>
                <w:color w:val="000000"/>
              </w:rPr>
              <w:t>0.01252</w:t>
            </w:r>
          </w:p>
        </w:tc>
      </w:tr>
      <w:tr w:rsidR="003D5A2F" w:rsidRPr="00483219" w:rsidTr="003D5A2F">
        <w:tc>
          <w:tcPr>
            <w:tcW w:w="2250" w:type="dxa"/>
            <w:shd w:val="clear" w:color="auto" w:fill="auto"/>
            <w:noWrap/>
            <w:vAlign w:val="center"/>
          </w:tcPr>
          <w:p w:rsidR="003D5A2F" w:rsidRPr="00483219" w:rsidRDefault="003D5A2F" w:rsidP="003D5A2F">
            <w:pPr>
              <w:keepNext/>
              <w:contextualSpacing/>
            </w:pPr>
            <w:r w:rsidRPr="00483219">
              <w:t>GS11M</w:t>
            </w:r>
          </w:p>
        </w:tc>
        <w:tc>
          <w:tcPr>
            <w:tcW w:w="5695" w:type="dxa"/>
            <w:shd w:val="clear" w:color="auto" w:fill="auto"/>
            <w:noWrap/>
            <w:vAlign w:val="center"/>
          </w:tcPr>
          <w:p w:rsidR="003D5A2F" w:rsidRPr="00483219" w:rsidRDefault="003D5A2F" w:rsidP="003D5A2F">
            <w:pPr>
              <w:keepNext/>
              <w:ind w:right="600"/>
              <w:contextualSpacing/>
              <w:jc w:val="center"/>
            </w:pPr>
            <w:r w:rsidRPr="00483219">
              <w:t>0.00000</w:t>
            </w:r>
          </w:p>
        </w:tc>
      </w:tr>
      <w:tr w:rsidR="003D5A2F" w:rsidRPr="00483219" w:rsidTr="003D5A2F">
        <w:tc>
          <w:tcPr>
            <w:tcW w:w="2250" w:type="dxa"/>
            <w:shd w:val="clear" w:color="auto" w:fill="auto"/>
            <w:noWrap/>
            <w:vAlign w:val="center"/>
          </w:tcPr>
          <w:p w:rsidR="003D5A2F" w:rsidRPr="00483219" w:rsidRDefault="003D5A2F" w:rsidP="003D5A2F">
            <w:pPr>
              <w:keepNext/>
              <w:contextualSpacing/>
            </w:pPr>
            <w:r w:rsidRPr="00483219">
              <w:t>GS-25M</w:t>
            </w:r>
          </w:p>
        </w:tc>
        <w:tc>
          <w:tcPr>
            <w:tcW w:w="5695" w:type="dxa"/>
            <w:shd w:val="clear" w:color="auto" w:fill="auto"/>
            <w:noWrap/>
            <w:vAlign w:val="center"/>
          </w:tcPr>
          <w:p w:rsidR="003D5A2F" w:rsidRPr="00483219" w:rsidRDefault="003D5A2F" w:rsidP="003D5A2F">
            <w:pPr>
              <w:keepNext/>
              <w:ind w:right="600"/>
              <w:contextualSpacing/>
              <w:jc w:val="center"/>
            </w:pPr>
            <w:r w:rsidRPr="00483219">
              <w:t>0.00000</w:t>
            </w:r>
          </w:p>
        </w:tc>
      </w:tr>
    </w:tbl>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3D5A2F" w:rsidRDefault="003D5A2F" w:rsidP="004754D4">
      <w:pPr>
        <w:ind w:firstLine="720"/>
      </w:pPr>
    </w:p>
    <w:p w:rsidR="004754D4" w:rsidRDefault="004754D4" w:rsidP="004754D4">
      <w:pPr>
        <w:ind w:firstLine="720"/>
      </w:pPr>
    </w:p>
    <w:p w:rsidR="003D5A2F" w:rsidRDefault="003D5A2F" w:rsidP="004754D4">
      <w:pPr>
        <w:ind w:firstLine="720"/>
      </w:pPr>
      <w:r>
        <w:t>FPUC</w:t>
      </w:r>
    </w:p>
    <w:tbl>
      <w:tblPr>
        <w:tblpPr w:leftFromText="187" w:rightFromText="187" w:vertAnchor="text" w:horzAnchor="page" w:tblpXSpec="center" w:tblpY="15"/>
        <w:tblW w:w="7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6055"/>
        <w:gridCol w:w="1800"/>
      </w:tblGrid>
      <w:tr w:rsidR="004754D4" w:rsidRPr="00A21FBE" w:rsidTr="00755232">
        <w:tc>
          <w:tcPr>
            <w:tcW w:w="6055" w:type="dxa"/>
            <w:shd w:val="clear" w:color="auto" w:fill="auto"/>
            <w:vAlign w:val="center"/>
            <w:hideMark/>
          </w:tcPr>
          <w:p w:rsidR="004754D4" w:rsidRPr="00483219" w:rsidRDefault="004754D4" w:rsidP="004754D4">
            <w:pPr>
              <w:keepNext/>
              <w:contextualSpacing/>
              <w:jc w:val="center"/>
              <w:rPr>
                <w:b/>
                <w:bCs/>
              </w:rPr>
            </w:pPr>
            <w:r w:rsidRPr="00483219">
              <w:rPr>
                <w:b/>
                <w:bCs/>
              </w:rPr>
              <w:t>Rate Schedule</w:t>
            </w:r>
          </w:p>
        </w:tc>
        <w:tc>
          <w:tcPr>
            <w:tcW w:w="1800" w:type="dxa"/>
            <w:shd w:val="clear" w:color="auto" w:fill="auto"/>
            <w:vAlign w:val="center"/>
            <w:hideMark/>
          </w:tcPr>
          <w:p w:rsidR="004754D4" w:rsidRPr="00483219" w:rsidRDefault="004754D4" w:rsidP="004754D4">
            <w:pPr>
              <w:keepNext/>
              <w:contextualSpacing/>
              <w:jc w:val="center"/>
              <w:rPr>
                <w:b/>
                <w:bCs/>
              </w:rPr>
            </w:pPr>
            <w:r w:rsidRPr="00483219">
              <w:rPr>
                <w:b/>
                <w:bCs/>
              </w:rPr>
              <w:t>Conservation Recovery Factor ($/therm)</w:t>
            </w:r>
          </w:p>
        </w:tc>
      </w:tr>
      <w:tr w:rsidR="004754D4" w:rsidRPr="00926059" w:rsidTr="00755232">
        <w:tc>
          <w:tcPr>
            <w:tcW w:w="6055" w:type="dxa"/>
            <w:shd w:val="clear" w:color="auto" w:fill="auto"/>
            <w:noWrap/>
            <w:vAlign w:val="center"/>
            <w:hideMark/>
          </w:tcPr>
          <w:p w:rsidR="004754D4" w:rsidRPr="00483219" w:rsidRDefault="004754D4" w:rsidP="004754D4">
            <w:pPr>
              <w:keepNext/>
              <w:contextualSpacing/>
            </w:pPr>
            <w:r w:rsidRPr="00483219">
              <w:t>Residential-1; Residential Transportation-1 (</w:t>
            </w:r>
            <w:r w:rsidRPr="00483219">
              <w:rPr>
                <w:u w:val="single"/>
              </w:rPr>
              <w:t>&lt;</w:t>
            </w:r>
            <w:r w:rsidRPr="00483219">
              <w:t xml:space="preserve"> 100 therms)</w:t>
            </w:r>
          </w:p>
        </w:tc>
        <w:tc>
          <w:tcPr>
            <w:tcW w:w="1800" w:type="dxa"/>
            <w:shd w:val="clear" w:color="auto" w:fill="auto"/>
            <w:noWrap/>
            <w:vAlign w:val="bottom"/>
            <w:hideMark/>
          </w:tcPr>
          <w:p w:rsidR="004754D4" w:rsidRPr="00483219" w:rsidRDefault="004754D4" w:rsidP="004754D4">
            <w:pPr>
              <w:jc w:val="right"/>
            </w:pPr>
            <w:r w:rsidRPr="00483219">
              <w:t>0.23352</w:t>
            </w:r>
          </w:p>
        </w:tc>
      </w:tr>
      <w:tr w:rsidR="004754D4" w:rsidRPr="00926059" w:rsidTr="00755232">
        <w:tc>
          <w:tcPr>
            <w:tcW w:w="6055" w:type="dxa"/>
            <w:shd w:val="clear" w:color="auto" w:fill="auto"/>
            <w:noWrap/>
            <w:vAlign w:val="center"/>
            <w:hideMark/>
          </w:tcPr>
          <w:p w:rsidR="004754D4" w:rsidRPr="00483219" w:rsidRDefault="004754D4" w:rsidP="004754D4">
            <w:pPr>
              <w:keepNext/>
              <w:contextualSpacing/>
            </w:pPr>
            <w:r w:rsidRPr="00483219">
              <w:t xml:space="preserve">Residential-2; Residential Transportation-2 (&gt;100 and </w:t>
            </w:r>
            <w:r w:rsidRPr="00483219">
              <w:rPr>
                <w:u w:val="single"/>
              </w:rPr>
              <w:t>&lt;</w:t>
            </w:r>
            <w:r w:rsidRPr="00483219">
              <w:t xml:space="preserve"> 250 therms)</w:t>
            </w:r>
          </w:p>
        </w:tc>
        <w:tc>
          <w:tcPr>
            <w:tcW w:w="1800" w:type="dxa"/>
            <w:shd w:val="clear" w:color="auto" w:fill="auto"/>
            <w:noWrap/>
            <w:vAlign w:val="bottom"/>
            <w:hideMark/>
          </w:tcPr>
          <w:p w:rsidR="004754D4" w:rsidRPr="00483219" w:rsidRDefault="004754D4" w:rsidP="004754D4">
            <w:pPr>
              <w:jc w:val="right"/>
            </w:pPr>
            <w:r w:rsidRPr="00483219">
              <w:t>0.12933</w:t>
            </w:r>
          </w:p>
        </w:tc>
      </w:tr>
      <w:tr w:rsidR="004754D4" w:rsidRPr="00926059" w:rsidTr="00755232">
        <w:tc>
          <w:tcPr>
            <w:tcW w:w="6055" w:type="dxa"/>
            <w:shd w:val="clear" w:color="auto" w:fill="auto"/>
            <w:noWrap/>
            <w:vAlign w:val="center"/>
            <w:hideMark/>
          </w:tcPr>
          <w:p w:rsidR="004754D4" w:rsidRPr="00483219" w:rsidRDefault="004754D4" w:rsidP="004754D4">
            <w:pPr>
              <w:keepNext/>
              <w:contextualSpacing/>
            </w:pPr>
            <w:r w:rsidRPr="00483219">
              <w:t>Residential-3; Residential Transportation-3 (&gt;250 therms)</w:t>
            </w:r>
          </w:p>
        </w:tc>
        <w:tc>
          <w:tcPr>
            <w:tcW w:w="1800" w:type="dxa"/>
            <w:shd w:val="clear" w:color="auto" w:fill="auto"/>
            <w:noWrap/>
            <w:vAlign w:val="bottom"/>
            <w:hideMark/>
          </w:tcPr>
          <w:p w:rsidR="004754D4" w:rsidRPr="00483219" w:rsidRDefault="004754D4" w:rsidP="004754D4">
            <w:pPr>
              <w:jc w:val="right"/>
            </w:pPr>
            <w:r w:rsidRPr="00483219">
              <w:t>0.07241</w:t>
            </w:r>
          </w:p>
        </w:tc>
      </w:tr>
      <w:tr w:rsidR="004754D4" w:rsidRPr="00926059" w:rsidTr="00755232">
        <w:tc>
          <w:tcPr>
            <w:tcW w:w="6055" w:type="dxa"/>
            <w:shd w:val="clear" w:color="auto" w:fill="auto"/>
            <w:noWrap/>
            <w:vAlign w:val="center"/>
            <w:hideMark/>
          </w:tcPr>
          <w:p w:rsidR="004754D4" w:rsidRPr="00483219" w:rsidRDefault="004754D4" w:rsidP="004754D4">
            <w:pPr>
              <w:keepNext/>
              <w:contextualSpacing/>
            </w:pPr>
            <w:r w:rsidRPr="00483219">
              <w:t>Residential Standby Generator</w:t>
            </w:r>
          </w:p>
        </w:tc>
        <w:tc>
          <w:tcPr>
            <w:tcW w:w="1800" w:type="dxa"/>
            <w:shd w:val="clear" w:color="auto" w:fill="auto"/>
            <w:noWrap/>
            <w:vAlign w:val="bottom"/>
            <w:hideMark/>
          </w:tcPr>
          <w:p w:rsidR="004754D4" w:rsidRPr="00483219" w:rsidRDefault="004754D4" w:rsidP="004754D4">
            <w:pPr>
              <w:jc w:val="right"/>
            </w:pPr>
            <w:r w:rsidRPr="00483219">
              <w:t>0.26598</w:t>
            </w:r>
          </w:p>
        </w:tc>
      </w:tr>
      <w:tr w:rsidR="004754D4" w:rsidRPr="00926059" w:rsidTr="00755232">
        <w:tc>
          <w:tcPr>
            <w:tcW w:w="6055" w:type="dxa"/>
            <w:shd w:val="clear" w:color="auto" w:fill="auto"/>
            <w:noWrap/>
            <w:vAlign w:val="center"/>
          </w:tcPr>
          <w:p w:rsidR="004754D4" w:rsidRPr="00483219" w:rsidRDefault="004754D4" w:rsidP="004754D4">
            <w:pPr>
              <w:keepNext/>
              <w:contextualSpacing/>
            </w:pPr>
            <w:r w:rsidRPr="00483219">
              <w:t>General Service-1; GS Transportation-1 (</w:t>
            </w:r>
            <w:r w:rsidRPr="00483219">
              <w:rPr>
                <w:u w:val="single"/>
              </w:rPr>
              <w:t>&lt;</w:t>
            </w:r>
            <w:r w:rsidRPr="00483219">
              <w:t xml:space="preserve"> 1,000 therms)</w:t>
            </w:r>
          </w:p>
        </w:tc>
        <w:tc>
          <w:tcPr>
            <w:tcW w:w="1800" w:type="dxa"/>
            <w:shd w:val="clear" w:color="auto" w:fill="auto"/>
            <w:noWrap/>
            <w:vAlign w:val="bottom"/>
          </w:tcPr>
          <w:p w:rsidR="004754D4" w:rsidRPr="00483219" w:rsidRDefault="004754D4" w:rsidP="004754D4">
            <w:pPr>
              <w:jc w:val="right"/>
            </w:pPr>
            <w:r w:rsidRPr="00483219">
              <w:t>0.11003</w:t>
            </w:r>
          </w:p>
        </w:tc>
      </w:tr>
      <w:tr w:rsidR="004754D4" w:rsidRPr="00926059" w:rsidTr="00755232">
        <w:tc>
          <w:tcPr>
            <w:tcW w:w="6055" w:type="dxa"/>
            <w:shd w:val="clear" w:color="auto" w:fill="auto"/>
            <w:noWrap/>
            <w:vAlign w:val="center"/>
          </w:tcPr>
          <w:p w:rsidR="004754D4" w:rsidRPr="00483219" w:rsidRDefault="004754D4" w:rsidP="004754D4">
            <w:pPr>
              <w:keepNext/>
              <w:contextualSpacing/>
            </w:pPr>
            <w:r w:rsidRPr="00483219">
              <w:t xml:space="preserve">General Service-2; GS Transportation-2 (&gt; 1,000 and </w:t>
            </w:r>
            <w:r w:rsidRPr="00483219">
              <w:rPr>
                <w:u w:val="single"/>
              </w:rPr>
              <w:t>&lt;</w:t>
            </w:r>
            <w:r w:rsidRPr="00483219">
              <w:t xml:space="preserve"> 5,000 therms)</w:t>
            </w:r>
          </w:p>
        </w:tc>
        <w:tc>
          <w:tcPr>
            <w:tcW w:w="1800" w:type="dxa"/>
            <w:shd w:val="clear" w:color="auto" w:fill="auto"/>
            <w:noWrap/>
            <w:vAlign w:val="bottom"/>
          </w:tcPr>
          <w:p w:rsidR="004754D4" w:rsidRPr="00483219" w:rsidRDefault="004754D4" w:rsidP="004754D4">
            <w:pPr>
              <w:jc w:val="right"/>
            </w:pPr>
            <w:r w:rsidRPr="00483219">
              <w:t>0.05653</w:t>
            </w:r>
          </w:p>
        </w:tc>
      </w:tr>
      <w:tr w:rsidR="004754D4" w:rsidRPr="00926059" w:rsidTr="00755232">
        <w:tc>
          <w:tcPr>
            <w:tcW w:w="6055" w:type="dxa"/>
            <w:shd w:val="clear" w:color="auto" w:fill="auto"/>
            <w:noWrap/>
            <w:vAlign w:val="center"/>
          </w:tcPr>
          <w:p w:rsidR="004754D4" w:rsidRPr="00483219" w:rsidRDefault="004754D4" w:rsidP="004754D4">
            <w:pPr>
              <w:keepNext/>
              <w:contextualSpacing/>
            </w:pPr>
            <w:r w:rsidRPr="00483219">
              <w:lastRenderedPageBreak/>
              <w:t xml:space="preserve">General Service-3; GS Transportation-3 (&gt; 5,000 and </w:t>
            </w:r>
            <w:r w:rsidRPr="00483219">
              <w:rPr>
                <w:u w:val="single"/>
              </w:rPr>
              <w:t>&lt;</w:t>
            </w:r>
            <w:r w:rsidRPr="00483219">
              <w:t xml:space="preserve"> 10,000 therms)</w:t>
            </w:r>
          </w:p>
        </w:tc>
        <w:tc>
          <w:tcPr>
            <w:tcW w:w="1800" w:type="dxa"/>
            <w:shd w:val="clear" w:color="auto" w:fill="auto"/>
            <w:noWrap/>
            <w:vAlign w:val="bottom"/>
          </w:tcPr>
          <w:p w:rsidR="004754D4" w:rsidRPr="00483219" w:rsidRDefault="004754D4" w:rsidP="004754D4">
            <w:pPr>
              <w:jc w:val="right"/>
            </w:pPr>
            <w:r w:rsidRPr="00483219">
              <w:t>0.04941</w:t>
            </w:r>
          </w:p>
        </w:tc>
      </w:tr>
      <w:tr w:rsidR="004754D4" w:rsidRPr="00926059" w:rsidTr="00755232">
        <w:tc>
          <w:tcPr>
            <w:tcW w:w="6055" w:type="dxa"/>
            <w:shd w:val="clear" w:color="auto" w:fill="auto"/>
            <w:noWrap/>
            <w:vAlign w:val="center"/>
          </w:tcPr>
          <w:p w:rsidR="004754D4" w:rsidRPr="00483219" w:rsidRDefault="004754D4" w:rsidP="004754D4">
            <w:pPr>
              <w:keepNext/>
              <w:contextualSpacing/>
            </w:pPr>
            <w:r w:rsidRPr="00483219">
              <w:t xml:space="preserve">General Service-4; GS Transportation-4 (&gt; 10,000 and </w:t>
            </w:r>
            <w:r w:rsidRPr="00483219">
              <w:rPr>
                <w:u w:val="single"/>
              </w:rPr>
              <w:t>&lt;</w:t>
            </w:r>
            <w:r w:rsidRPr="00483219">
              <w:t xml:space="preserve"> 50,000 therms)</w:t>
            </w:r>
          </w:p>
        </w:tc>
        <w:tc>
          <w:tcPr>
            <w:tcW w:w="1800" w:type="dxa"/>
            <w:shd w:val="clear" w:color="auto" w:fill="auto"/>
            <w:noWrap/>
            <w:vAlign w:val="bottom"/>
          </w:tcPr>
          <w:p w:rsidR="004754D4" w:rsidRPr="00483219" w:rsidRDefault="004754D4" w:rsidP="004754D4">
            <w:pPr>
              <w:jc w:val="right"/>
            </w:pPr>
            <w:r w:rsidRPr="00483219">
              <w:t>0.04376</w:t>
            </w:r>
          </w:p>
        </w:tc>
      </w:tr>
      <w:tr w:rsidR="004754D4" w:rsidRPr="00926059" w:rsidTr="00755232">
        <w:tc>
          <w:tcPr>
            <w:tcW w:w="6055" w:type="dxa"/>
            <w:shd w:val="clear" w:color="auto" w:fill="auto"/>
            <w:noWrap/>
            <w:vAlign w:val="center"/>
          </w:tcPr>
          <w:p w:rsidR="004754D4" w:rsidRPr="00483219" w:rsidRDefault="004754D4" w:rsidP="004754D4">
            <w:pPr>
              <w:keepNext/>
              <w:contextualSpacing/>
            </w:pPr>
            <w:r w:rsidRPr="00483219">
              <w:t xml:space="preserve">General Service-5; GS Transportation-5 (&gt; 50,000 and </w:t>
            </w:r>
            <w:r w:rsidRPr="00483219">
              <w:rPr>
                <w:u w:val="single"/>
              </w:rPr>
              <w:t>&lt;</w:t>
            </w:r>
            <w:r w:rsidRPr="00483219">
              <w:t xml:space="preserve"> 250,000 therms)</w:t>
            </w:r>
          </w:p>
        </w:tc>
        <w:tc>
          <w:tcPr>
            <w:tcW w:w="1800" w:type="dxa"/>
            <w:shd w:val="clear" w:color="auto" w:fill="auto"/>
            <w:noWrap/>
            <w:vAlign w:val="bottom"/>
          </w:tcPr>
          <w:p w:rsidR="004754D4" w:rsidRPr="00483219" w:rsidRDefault="004754D4" w:rsidP="004754D4">
            <w:pPr>
              <w:jc w:val="right"/>
            </w:pPr>
            <w:r w:rsidRPr="00483219">
              <w:t>0.03305</w:t>
            </w:r>
          </w:p>
        </w:tc>
      </w:tr>
      <w:tr w:rsidR="004754D4" w:rsidTr="00755232">
        <w:tc>
          <w:tcPr>
            <w:tcW w:w="6055" w:type="dxa"/>
            <w:shd w:val="clear" w:color="auto" w:fill="auto"/>
            <w:noWrap/>
            <w:vAlign w:val="center"/>
          </w:tcPr>
          <w:p w:rsidR="004754D4" w:rsidRPr="00483219" w:rsidRDefault="004754D4" w:rsidP="004754D4">
            <w:pPr>
              <w:keepNext/>
              <w:contextualSpacing/>
            </w:pPr>
            <w:r w:rsidRPr="00483219">
              <w:t xml:space="preserve">General Service-6; GS Transportation-6 (&gt; 250,000 and </w:t>
            </w:r>
            <w:r w:rsidRPr="00483219">
              <w:rPr>
                <w:u w:val="single"/>
              </w:rPr>
              <w:t>&lt;</w:t>
            </w:r>
            <w:r w:rsidRPr="00483219">
              <w:t xml:space="preserve"> 500,000 therms)</w:t>
            </w:r>
          </w:p>
        </w:tc>
        <w:tc>
          <w:tcPr>
            <w:tcW w:w="1800" w:type="dxa"/>
            <w:shd w:val="clear" w:color="auto" w:fill="auto"/>
            <w:noWrap/>
            <w:vAlign w:val="bottom"/>
          </w:tcPr>
          <w:p w:rsidR="004754D4" w:rsidRPr="00483219" w:rsidRDefault="004754D4" w:rsidP="004754D4">
            <w:pPr>
              <w:jc w:val="right"/>
            </w:pPr>
            <w:r w:rsidRPr="00483219">
              <w:t>0.03080</w:t>
            </w:r>
          </w:p>
        </w:tc>
      </w:tr>
      <w:tr w:rsidR="003D5A2F" w:rsidTr="00755232">
        <w:tc>
          <w:tcPr>
            <w:tcW w:w="6055" w:type="dxa"/>
            <w:shd w:val="clear" w:color="auto" w:fill="auto"/>
            <w:noWrap/>
            <w:vAlign w:val="center"/>
          </w:tcPr>
          <w:p w:rsidR="003D5A2F" w:rsidRPr="00483219" w:rsidRDefault="003D5A2F" w:rsidP="003D5A2F">
            <w:pPr>
              <w:keepNext/>
              <w:contextualSpacing/>
            </w:pPr>
            <w:r w:rsidRPr="00483219">
              <w:t xml:space="preserve">General Service-7; GS Transportation-7 (&gt; 500,000 and </w:t>
            </w:r>
            <w:r w:rsidRPr="00483219">
              <w:rPr>
                <w:u w:val="single"/>
              </w:rPr>
              <w:t>&lt;</w:t>
            </w:r>
            <w:r w:rsidRPr="00483219">
              <w:t xml:space="preserve"> 1,000,000 therms)</w:t>
            </w:r>
          </w:p>
        </w:tc>
        <w:tc>
          <w:tcPr>
            <w:tcW w:w="1800" w:type="dxa"/>
            <w:shd w:val="clear" w:color="auto" w:fill="auto"/>
            <w:noWrap/>
            <w:vAlign w:val="bottom"/>
          </w:tcPr>
          <w:p w:rsidR="003D5A2F" w:rsidRPr="00483219" w:rsidRDefault="003D5A2F" w:rsidP="003D5A2F">
            <w:pPr>
              <w:jc w:val="right"/>
            </w:pPr>
            <w:r w:rsidRPr="00483219">
              <w:t>0.02520</w:t>
            </w:r>
          </w:p>
        </w:tc>
      </w:tr>
      <w:tr w:rsidR="003D5A2F" w:rsidTr="00755232">
        <w:tc>
          <w:tcPr>
            <w:tcW w:w="6055" w:type="dxa"/>
            <w:shd w:val="clear" w:color="auto" w:fill="auto"/>
            <w:noWrap/>
            <w:vAlign w:val="center"/>
          </w:tcPr>
          <w:p w:rsidR="003D5A2F" w:rsidRPr="00483219" w:rsidRDefault="003D5A2F" w:rsidP="003D5A2F">
            <w:pPr>
              <w:keepNext/>
              <w:contextualSpacing/>
            </w:pPr>
            <w:r w:rsidRPr="00483219">
              <w:t xml:space="preserve">General Service-7; GS Transportation-7 (&gt; 500,000 and </w:t>
            </w:r>
            <w:r w:rsidRPr="00483219">
              <w:rPr>
                <w:u w:val="single"/>
              </w:rPr>
              <w:t>&lt;</w:t>
            </w:r>
            <w:r w:rsidRPr="00483219">
              <w:t xml:space="preserve"> 1,000,000 therms)</w:t>
            </w:r>
          </w:p>
        </w:tc>
        <w:tc>
          <w:tcPr>
            <w:tcW w:w="1800" w:type="dxa"/>
            <w:shd w:val="clear" w:color="auto" w:fill="auto"/>
            <w:noWrap/>
            <w:vAlign w:val="bottom"/>
          </w:tcPr>
          <w:p w:rsidR="003D5A2F" w:rsidRPr="00483219" w:rsidRDefault="003D5A2F" w:rsidP="003D5A2F">
            <w:pPr>
              <w:jc w:val="right"/>
            </w:pPr>
            <w:r w:rsidRPr="00483219">
              <w:t>0.02520</w:t>
            </w:r>
          </w:p>
        </w:tc>
      </w:tr>
      <w:tr w:rsidR="003D5A2F" w:rsidTr="00755232">
        <w:tc>
          <w:tcPr>
            <w:tcW w:w="6055" w:type="dxa"/>
            <w:shd w:val="clear" w:color="auto" w:fill="auto"/>
            <w:noWrap/>
            <w:vAlign w:val="center"/>
          </w:tcPr>
          <w:p w:rsidR="003D5A2F" w:rsidRPr="00483219" w:rsidRDefault="003D5A2F" w:rsidP="003D5A2F">
            <w:pPr>
              <w:keepNext/>
              <w:contextualSpacing/>
            </w:pPr>
            <w:r w:rsidRPr="00483219">
              <w:t xml:space="preserve">General Service-8A; GS Transportation-8A (&gt; 1,000,000 and </w:t>
            </w:r>
            <w:r w:rsidRPr="00483219">
              <w:rPr>
                <w:u w:val="single"/>
              </w:rPr>
              <w:t>&lt;</w:t>
            </w:r>
            <w:r w:rsidRPr="00483219">
              <w:t xml:space="preserve"> 1,500,000 therms)</w:t>
            </w:r>
          </w:p>
        </w:tc>
        <w:tc>
          <w:tcPr>
            <w:tcW w:w="1800" w:type="dxa"/>
            <w:shd w:val="clear" w:color="auto" w:fill="auto"/>
            <w:noWrap/>
            <w:vAlign w:val="bottom"/>
          </w:tcPr>
          <w:p w:rsidR="003D5A2F" w:rsidRPr="00483219" w:rsidRDefault="003D5A2F" w:rsidP="003D5A2F">
            <w:pPr>
              <w:jc w:val="right"/>
            </w:pPr>
            <w:r w:rsidRPr="00483219">
              <w:t>0.</w:t>
            </w:r>
            <w:r>
              <w:t>0</w:t>
            </w:r>
            <w:r w:rsidRPr="00483219">
              <w:t>2415</w:t>
            </w:r>
          </w:p>
        </w:tc>
      </w:tr>
      <w:tr w:rsidR="003D5A2F" w:rsidTr="00755232">
        <w:tc>
          <w:tcPr>
            <w:tcW w:w="6055" w:type="dxa"/>
            <w:shd w:val="clear" w:color="auto" w:fill="auto"/>
            <w:noWrap/>
            <w:vAlign w:val="center"/>
          </w:tcPr>
          <w:p w:rsidR="003D5A2F" w:rsidRPr="00483219" w:rsidRDefault="003D5A2F" w:rsidP="003D5A2F">
            <w:pPr>
              <w:keepNext/>
              <w:contextualSpacing/>
            </w:pPr>
            <w:r w:rsidRPr="00483219">
              <w:t xml:space="preserve">General Service-8B; GS Transportation-8B (&gt; 1,500,000 and </w:t>
            </w:r>
            <w:r w:rsidRPr="00483219">
              <w:rPr>
                <w:u w:val="single"/>
              </w:rPr>
              <w:t>&lt;</w:t>
            </w:r>
            <w:r w:rsidRPr="00483219">
              <w:t xml:space="preserve"> 2,000,000 therms)</w:t>
            </w:r>
          </w:p>
        </w:tc>
        <w:tc>
          <w:tcPr>
            <w:tcW w:w="1800" w:type="dxa"/>
            <w:shd w:val="clear" w:color="auto" w:fill="auto"/>
            <w:noWrap/>
            <w:vAlign w:val="bottom"/>
          </w:tcPr>
          <w:p w:rsidR="003D5A2F" w:rsidRPr="00483219" w:rsidRDefault="003D5A2F" w:rsidP="003D5A2F">
            <w:pPr>
              <w:jc w:val="right"/>
            </w:pPr>
            <w:r w:rsidRPr="00483219">
              <w:t>0.02218</w:t>
            </w:r>
          </w:p>
        </w:tc>
      </w:tr>
      <w:tr w:rsidR="003D5A2F" w:rsidTr="00755232">
        <w:tc>
          <w:tcPr>
            <w:tcW w:w="6055" w:type="dxa"/>
            <w:shd w:val="clear" w:color="auto" w:fill="auto"/>
            <w:noWrap/>
            <w:vAlign w:val="center"/>
          </w:tcPr>
          <w:p w:rsidR="003D5A2F" w:rsidRPr="00483219" w:rsidRDefault="003D5A2F" w:rsidP="003D5A2F">
            <w:pPr>
              <w:keepNext/>
              <w:contextualSpacing/>
            </w:pPr>
            <w:r w:rsidRPr="00483219">
              <w:t xml:space="preserve">General Service-8C; GS Transportation-8C (&gt; 2,000,000 and </w:t>
            </w:r>
            <w:r w:rsidRPr="00483219">
              <w:rPr>
                <w:u w:val="single"/>
              </w:rPr>
              <w:t>&lt;</w:t>
            </w:r>
            <w:r w:rsidRPr="00483219">
              <w:t xml:space="preserve"> 4,000,000 therms)</w:t>
            </w:r>
          </w:p>
        </w:tc>
        <w:tc>
          <w:tcPr>
            <w:tcW w:w="1800" w:type="dxa"/>
            <w:shd w:val="clear" w:color="auto" w:fill="auto"/>
            <w:noWrap/>
            <w:vAlign w:val="bottom"/>
          </w:tcPr>
          <w:p w:rsidR="003D5A2F" w:rsidRPr="00483219" w:rsidRDefault="003D5A2F" w:rsidP="003D5A2F">
            <w:pPr>
              <w:jc w:val="right"/>
            </w:pPr>
            <w:r w:rsidRPr="00483219">
              <w:t>0.01262</w:t>
            </w:r>
          </w:p>
        </w:tc>
      </w:tr>
      <w:tr w:rsidR="003D5A2F" w:rsidTr="00755232">
        <w:tc>
          <w:tcPr>
            <w:tcW w:w="6055" w:type="dxa"/>
            <w:shd w:val="clear" w:color="auto" w:fill="auto"/>
            <w:noWrap/>
            <w:vAlign w:val="center"/>
          </w:tcPr>
          <w:p w:rsidR="003D5A2F" w:rsidRPr="00483219" w:rsidRDefault="003D5A2F" w:rsidP="003D5A2F">
            <w:pPr>
              <w:keepNext/>
              <w:contextualSpacing/>
            </w:pPr>
            <w:r w:rsidRPr="00483219">
              <w:t>General Service-8D; GS Transportation-8D (&gt; 4,000,000 therms)</w:t>
            </w:r>
          </w:p>
        </w:tc>
        <w:tc>
          <w:tcPr>
            <w:tcW w:w="1800" w:type="dxa"/>
            <w:shd w:val="clear" w:color="auto" w:fill="auto"/>
            <w:noWrap/>
            <w:vAlign w:val="bottom"/>
          </w:tcPr>
          <w:p w:rsidR="003D5A2F" w:rsidRPr="00483219" w:rsidRDefault="003D5A2F" w:rsidP="003D5A2F">
            <w:pPr>
              <w:jc w:val="right"/>
            </w:pPr>
            <w:r w:rsidRPr="00483219">
              <w:t>0.01035</w:t>
            </w:r>
          </w:p>
        </w:tc>
      </w:tr>
      <w:tr w:rsidR="003D5A2F" w:rsidTr="00755232">
        <w:tc>
          <w:tcPr>
            <w:tcW w:w="6055" w:type="dxa"/>
            <w:shd w:val="clear" w:color="auto" w:fill="auto"/>
            <w:noWrap/>
            <w:vAlign w:val="center"/>
          </w:tcPr>
          <w:p w:rsidR="003D5A2F" w:rsidRPr="00483219" w:rsidRDefault="003D5A2F" w:rsidP="003D5A2F">
            <w:pPr>
              <w:keepNext/>
              <w:contextualSpacing/>
            </w:pPr>
            <w:r w:rsidRPr="00483219">
              <w:t>Commercial – NGV; Commercial NGV Transportation</w:t>
            </w:r>
          </w:p>
        </w:tc>
        <w:tc>
          <w:tcPr>
            <w:tcW w:w="1800" w:type="dxa"/>
            <w:shd w:val="clear" w:color="auto" w:fill="auto"/>
            <w:noWrap/>
            <w:vAlign w:val="bottom"/>
          </w:tcPr>
          <w:p w:rsidR="003D5A2F" w:rsidRPr="00483219" w:rsidRDefault="003D5A2F" w:rsidP="003D5A2F">
            <w:pPr>
              <w:jc w:val="right"/>
            </w:pPr>
            <w:r w:rsidRPr="00483219">
              <w:t>0.02907</w:t>
            </w:r>
          </w:p>
        </w:tc>
      </w:tr>
      <w:tr w:rsidR="003D5A2F" w:rsidTr="00755232">
        <w:tc>
          <w:tcPr>
            <w:tcW w:w="6055" w:type="dxa"/>
            <w:shd w:val="clear" w:color="auto" w:fill="auto"/>
            <w:noWrap/>
            <w:vAlign w:val="center"/>
          </w:tcPr>
          <w:p w:rsidR="003D5A2F" w:rsidRPr="00483219" w:rsidRDefault="003D5A2F" w:rsidP="003D5A2F">
            <w:pPr>
              <w:keepNext/>
              <w:contextualSpacing/>
            </w:pPr>
            <w:r w:rsidRPr="00483219">
              <w:t>Commercial Standby Generator</w:t>
            </w:r>
          </w:p>
        </w:tc>
        <w:tc>
          <w:tcPr>
            <w:tcW w:w="1800" w:type="dxa"/>
            <w:shd w:val="clear" w:color="auto" w:fill="auto"/>
            <w:noWrap/>
            <w:vAlign w:val="bottom"/>
          </w:tcPr>
          <w:p w:rsidR="003D5A2F" w:rsidRPr="00483219" w:rsidRDefault="003D5A2F" w:rsidP="003D5A2F">
            <w:pPr>
              <w:jc w:val="right"/>
            </w:pPr>
            <w:r w:rsidRPr="00483219">
              <w:t>0.31940</w:t>
            </w:r>
          </w:p>
        </w:tc>
      </w:tr>
    </w:tbl>
    <w:p w:rsidR="004754D4" w:rsidRDefault="004754D4" w:rsidP="004754D4">
      <w:pPr>
        <w:ind w:firstLine="720"/>
      </w:pPr>
    </w:p>
    <w:p w:rsidR="00A634DA" w:rsidRDefault="00A634DA"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755232" w:rsidRDefault="00755232" w:rsidP="00A634DA">
      <w:pPr>
        <w:pStyle w:val="OrderBody"/>
      </w:pPr>
    </w:p>
    <w:p w:rsidR="0032586B" w:rsidRDefault="0032586B" w:rsidP="00A634DA">
      <w:pPr>
        <w:pStyle w:val="OrderBody"/>
      </w:pPr>
    </w:p>
    <w:p w:rsidR="0032586B" w:rsidRDefault="0032586B" w:rsidP="00A634DA">
      <w:pPr>
        <w:pStyle w:val="OrderBody"/>
      </w:pPr>
    </w:p>
    <w:p w:rsidR="0032586B" w:rsidRDefault="0032586B" w:rsidP="00A634DA">
      <w:pPr>
        <w:pStyle w:val="OrderBody"/>
      </w:pPr>
    </w:p>
    <w:p w:rsidR="0032586B" w:rsidRDefault="0032586B" w:rsidP="00A634DA">
      <w:pPr>
        <w:pStyle w:val="OrderBody"/>
      </w:pPr>
    </w:p>
    <w:p w:rsidR="0032586B" w:rsidRDefault="0032586B" w:rsidP="00A634DA">
      <w:pPr>
        <w:pStyle w:val="OrderBody"/>
      </w:pPr>
    </w:p>
    <w:p w:rsidR="0032586B" w:rsidRDefault="0032586B" w:rsidP="00A634DA">
      <w:pPr>
        <w:pStyle w:val="OrderBody"/>
      </w:pPr>
    </w:p>
    <w:p w:rsidR="0032586B" w:rsidRDefault="0032586B" w:rsidP="00A634DA">
      <w:pPr>
        <w:pStyle w:val="OrderBody"/>
      </w:pPr>
    </w:p>
    <w:p w:rsidR="0032586B" w:rsidRDefault="0032586B" w:rsidP="00A634DA">
      <w:pPr>
        <w:pStyle w:val="OrderBody"/>
      </w:pPr>
    </w:p>
    <w:p w:rsidR="0032586B" w:rsidRDefault="0032586B" w:rsidP="00A634DA">
      <w:pPr>
        <w:pStyle w:val="OrderBody"/>
      </w:pPr>
    </w:p>
    <w:p w:rsidR="003D5A2F" w:rsidRDefault="003D5A2F" w:rsidP="00755232">
      <w:pPr>
        <w:pStyle w:val="OrderBody"/>
        <w:ind w:firstLine="720"/>
      </w:pPr>
      <w:r>
        <w:t>PGS</w:t>
      </w:r>
    </w:p>
    <w:tbl>
      <w:tblPr>
        <w:tblpPr w:leftFromText="187" w:rightFromText="187" w:vertAnchor="text" w:horzAnchor="margin" w:tblpXSpec="center" w:tblpY="26"/>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305"/>
        <w:gridCol w:w="4680"/>
      </w:tblGrid>
      <w:tr w:rsidR="00755232" w:rsidRPr="00483219" w:rsidTr="00755232">
        <w:tc>
          <w:tcPr>
            <w:tcW w:w="3305" w:type="dxa"/>
            <w:shd w:val="clear" w:color="auto" w:fill="auto"/>
            <w:vAlign w:val="center"/>
            <w:hideMark/>
          </w:tcPr>
          <w:p w:rsidR="00755232" w:rsidRPr="00483219" w:rsidRDefault="00755232" w:rsidP="00755232">
            <w:pPr>
              <w:keepNext/>
              <w:contextualSpacing/>
              <w:jc w:val="center"/>
              <w:rPr>
                <w:b/>
                <w:bCs/>
              </w:rPr>
            </w:pPr>
            <w:r w:rsidRPr="00483219">
              <w:rPr>
                <w:b/>
                <w:bCs/>
              </w:rPr>
              <w:t>Rate Schedule</w:t>
            </w:r>
          </w:p>
        </w:tc>
        <w:tc>
          <w:tcPr>
            <w:tcW w:w="4680" w:type="dxa"/>
            <w:shd w:val="clear" w:color="auto" w:fill="auto"/>
            <w:vAlign w:val="center"/>
            <w:hideMark/>
          </w:tcPr>
          <w:p w:rsidR="00755232" w:rsidRPr="00483219" w:rsidRDefault="00755232" w:rsidP="00755232">
            <w:pPr>
              <w:keepNext/>
              <w:contextualSpacing/>
              <w:jc w:val="center"/>
              <w:rPr>
                <w:b/>
                <w:bCs/>
              </w:rPr>
            </w:pPr>
            <w:r w:rsidRPr="00483219">
              <w:rPr>
                <w:b/>
                <w:bCs/>
              </w:rPr>
              <w:t>Conservation Recovery Factor ($/therm)</w:t>
            </w:r>
          </w:p>
        </w:tc>
      </w:tr>
      <w:tr w:rsidR="00755232" w:rsidRPr="00483219" w:rsidTr="00755232">
        <w:tc>
          <w:tcPr>
            <w:tcW w:w="3305" w:type="dxa"/>
            <w:shd w:val="clear" w:color="auto" w:fill="auto"/>
            <w:noWrap/>
            <w:vAlign w:val="center"/>
            <w:hideMark/>
          </w:tcPr>
          <w:p w:rsidR="00755232" w:rsidRPr="00483219" w:rsidRDefault="00755232" w:rsidP="00755232">
            <w:pPr>
              <w:keepNext/>
              <w:contextualSpacing/>
            </w:pPr>
            <w:r w:rsidRPr="00483219">
              <w:t>RS, RS-SG, and RS-GHP</w:t>
            </w:r>
          </w:p>
        </w:tc>
        <w:tc>
          <w:tcPr>
            <w:tcW w:w="4680" w:type="dxa"/>
            <w:shd w:val="clear" w:color="auto" w:fill="auto"/>
            <w:noWrap/>
            <w:vAlign w:val="center"/>
            <w:hideMark/>
          </w:tcPr>
          <w:p w:rsidR="00755232" w:rsidRPr="00483219" w:rsidRDefault="00755232" w:rsidP="00755232">
            <w:pPr>
              <w:keepNext/>
              <w:ind w:right="600"/>
              <w:contextualSpacing/>
              <w:jc w:val="center"/>
            </w:pPr>
            <w:r w:rsidRPr="00483219">
              <w:t>0.17732</w:t>
            </w:r>
          </w:p>
        </w:tc>
      </w:tr>
      <w:tr w:rsidR="00755232" w:rsidRPr="00483219" w:rsidTr="00755232">
        <w:tc>
          <w:tcPr>
            <w:tcW w:w="3305" w:type="dxa"/>
            <w:shd w:val="clear" w:color="auto" w:fill="auto"/>
            <w:noWrap/>
            <w:vAlign w:val="center"/>
            <w:hideMark/>
          </w:tcPr>
          <w:p w:rsidR="00755232" w:rsidRPr="00483219" w:rsidRDefault="00755232" w:rsidP="00755232">
            <w:pPr>
              <w:keepNext/>
              <w:contextualSpacing/>
            </w:pPr>
            <w:r w:rsidRPr="00483219">
              <w:t>SGS</w:t>
            </w:r>
          </w:p>
        </w:tc>
        <w:tc>
          <w:tcPr>
            <w:tcW w:w="4680" w:type="dxa"/>
            <w:shd w:val="clear" w:color="auto" w:fill="auto"/>
            <w:noWrap/>
            <w:vAlign w:val="center"/>
            <w:hideMark/>
          </w:tcPr>
          <w:p w:rsidR="00755232" w:rsidRPr="00483219" w:rsidRDefault="00755232" w:rsidP="00755232">
            <w:pPr>
              <w:keepNext/>
              <w:ind w:right="600"/>
              <w:contextualSpacing/>
              <w:jc w:val="center"/>
            </w:pPr>
            <w:r w:rsidRPr="00483219">
              <w:t>0.11074</w:t>
            </w:r>
          </w:p>
        </w:tc>
      </w:tr>
      <w:tr w:rsidR="00755232" w:rsidRPr="00483219" w:rsidTr="00755232">
        <w:tc>
          <w:tcPr>
            <w:tcW w:w="3305" w:type="dxa"/>
            <w:shd w:val="clear" w:color="auto" w:fill="auto"/>
            <w:noWrap/>
            <w:vAlign w:val="center"/>
            <w:hideMark/>
          </w:tcPr>
          <w:p w:rsidR="00755232" w:rsidRPr="00483219" w:rsidRDefault="00755232" w:rsidP="00755232">
            <w:pPr>
              <w:keepNext/>
              <w:contextualSpacing/>
            </w:pPr>
            <w:r w:rsidRPr="00483219">
              <w:t>GS-1, CS-SG, and CS-GHIP</w:t>
            </w:r>
          </w:p>
        </w:tc>
        <w:tc>
          <w:tcPr>
            <w:tcW w:w="4680" w:type="dxa"/>
            <w:shd w:val="clear" w:color="auto" w:fill="auto"/>
            <w:noWrap/>
            <w:vAlign w:val="center"/>
            <w:hideMark/>
          </w:tcPr>
          <w:p w:rsidR="00755232" w:rsidRPr="00483219" w:rsidRDefault="00755232" w:rsidP="00755232">
            <w:pPr>
              <w:keepNext/>
              <w:ind w:right="600"/>
              <w:contextualSpacing/>
              <w:jc w:val="center"/>
            </w:pPr>
            <w:r w:rsidRPr="00483219">
              <w:t>0.05851</w:t>
            </w:r>
          </w:p>
        </w:tc>
      </w:tr>
      <w:tr w:rsidR="00755232" w:rsidRPr="00483219" w:rsidTr="00755232">
        <w:tc>
          <w:tcPr>
            <w:tcW w:w="3305" w:type="dxa"/>
            <w:shd w:val="clear" w:color="auto" w:fill="auto"/>
            <w:noWrap/>
            <w:vAlign w:val="center"/>
            <w:hideMark/>
          </w:tcPr>
          <w:p w:rsidR="00755232" w:rsidRPr="00483219" w:rsidRDefault="00755232" w:rsidP="00755232">
            <w:pPr>
              <w:keepNext/>
              <w:contextualSpacing/>
            </w:pPr>
            <w:r w:rsidRPr="00483219">
              <w:t>GS-2</w:t>
            </w:r>
          </w:p>
        </w:tc>
        <w:tc>
          <w:tcPr>
            <w:tcW w:w="4680" w:type="dxa"/>
            <w:shd w:val="clear" w:color="auto" w:fill="auto"/>
            <w:noWrap/>
            <w:vAlign w:val="center"/>
            <w:hideMark/>
          </w:tcPr>
          <w:p w:rsidR="00755232" w:rsidRPr="00483219" w:rsidRDefault="00755232" w:rsidP="00755232">
            <w:pPr>
              <w:keepNext/>
              <w:ind w:right="600"/>
              <w:contextualSpacing/>
              <w:jc w:val="center"/>
            </w:pPr>
            <w:r w:rsidRPr="00483219">
              <w:t>0.04497</w:t>
            </w:r>
          </w:p>
        </w:tc>
      </w:tr>
      <w:tr w:rsidR="00755232" w:rsidRPr="00483219" w:rsidTr="00755232">
        <w:tc>
          <w:tcPr>
            <w:tcW w:w="3305" w:type="dxa"/>
            <w:shd w:val="clear" w:color="auto" w:fill="auto"/>
            <w:noWrap/>
            <w:vAlign w:val="center"/>
          </w:tcPr>
          <w:p w:rsidR="00755232" w:rsidRPr="00483219" w:rsidRDefault="00755232" w:rsidP="00755232">
            <w:pPr>
              <w:keepNext/>
              <w:contextualSpacing/>
            </w:pPr>
            <w:r w:rsidRPr="00483219">
              <w:t>GS-3</w:t>
            </w:r>
          </w:p>
        </w:tc>
        <w:tc>
          <w:tcPr>
            <w:tcW w:w="4680" w:type="dxa"/>
            <w:shd w:val="clear" w:color="auto" w:fill="auto"/>
            <w:noWrap/>
            <w:vAlign w:val="center"/>
          </w:tcPr>
          <w:p w:rsidR="00755232" w:rsidRPr="00483219" w:rsidRDefault="00755232" w:rsidP="00755232">
            <w:pPr>
              <w:keepNext/>
              <w:ind w:right="600"/>
              <w:contextualSpacing/>
              <w:jc w:val="center"/>
            </w:pPr>
            <w:r w:rsidRPr="00483219">
              <w:t>0.03793</w:t>
            </w:r>
          </w:p>
        </w:tc>
      </w:tr>
      <w:tr w:rsidR="00755232" w:rsidRPr="00483219" w:rsidTr="00755232">
        <w:tc>
          <w:tcPr>
            <w:tcW w:w="3305" w:type="dxa"/>
            <w:shd w:val="clear" w:color="auto" w:fill="auto"/>
            <w:noWrap/>
            <w:vAlign w:val="center"/>
          </w:tcPr>
          <w:p w:rsidR="00755232" w:rsidRPr="00483219" w:rsidRDefault="00755232" w:rsidP="00755232">
            <w:pPr>
              <w:keepNext/>
              <w:contextualSpacing/>
            </w:pPr>
            <w:r w:rsidRPr="00483219">
              <w:t>GS-4</w:t>
            </w:r>
          </w:p>
        </w:tc>
        <w:tc>
          <w:tcPr>
            <w:tcW w:w="4680" w:type="dxa"/>
            <w:shd w:val="clear" w:color="auto" w:fill="auto"/>
            <w:noWrap/>
            <w:vAlign w:val="center"/>
          </w:tcPr>
          <w:p w:rsidR="00755232" w:rsidRPr="00483219" w:rsidRDefault="00755232" w:rsidP="00755232">
            <w:pPr>
              <w:keepNext/>
              <w:ind w:right="600"/>
              <w:contextualSpacing/>
              <w:jc w:val="center"/>
            </w:pPr>
            <w:r w:rsidRPr="00483219">
              <w:t>0.02739</w:t>
            </w:r>
          </w:p>
        </w:tc>
      </w:tr>
      <w:tr w:rsidR="00755232" w:rsidRPr="00483219" w:rsidTr="00755232">
        <w:tc>
          <w:tcPr>
            <w:tcW w:w="3305" w:type="dxa"/>
            <w:shd w:val="clear" w:color="auto" w:fill="auto"/>
            <w:noWrap/>
            <w:vAlign w:val="center"/>
          </w:tcPr>
          <w:p w:rsidR="00755232" w:rsidRPr="00483219" w:rsidRDefault="00755232" w:rsidP="00755232">
            <w:pPr>
              <w:keepNext/>
              <w:contextualSpacing/>
            </w:pPr>
            <w:r w:rsidRPr="00483219">
              <w:t>GS-5</w:t>
            </w:r>
          </w:p>
        </w:tc>
        <w:tc>
          <w:tcPr>
            <w:tcW w:w="4680" w:type="dxa"/>
            <w:shd w:val="clear" w:color="auto" w:fill="auto"/>
            <w:noWrap/>
            <w:vAlign w:val="center"/>
          </w:tcPr>
          <w:p w:rsidR="00755232" w:rsidRPr="00483219" w:rsidRDefault="00755232" w:rsidP="00755232">
            <w:pPr>
              <w:keepNext/>
              <w:ind w:right="600"/>
              <w:contextualSpacing/>
              <w:jc w:val="center"/>
            </w:pPr>
            <w:r w:rsidRPr="00483219">
              <w:t>0.01918</w:t>
            </w:r>
          </w:p>
        </w:tc>
      </w:tr>
      <w:tr w:rsidR="00755232" w:rsidRPr="00483219" w:rsidTr="00755232">
        <w:tc>
          <w:tcPr>
            <w:tcW w:w="3305" w:type="dxa"/>
            <w:shd w:val="clear" w:color="auto" w:fill="auto"/>
            <w:noWrap/>
            <w:vAlign w:val="center"/>
          </w:tcPr>
          <w:p w:rsidR="00755232" w:rsidRPr="00483219" w:rsidRDefault="00755232" w:rsidP="00755232">
            <w:pPr>
              <w:keepNext/>
              <w:contextualSpacing/>
            </w:pPr>
            <w:r w:rsidRPr="00483219">
              <w:t>NGVS</w:t>
            </w:r>
          </w:p>
        </w:tc>
        <w:tc>
          <w:tcPr>
            <w:tcW w:w="4680" w:type="dxa"/>
            <w:shd w:val="clear" w:color="auto" w:fill="auto"/>
            <w:noWrap/>
            <w:vAlign w:val="center"/>
          </w:tcPr>
          <w:p w:rsidR="00755232" w:rsidRPr="00483219" w:rsidRDefault="00755232" w:rsidP="00755232">
            <w:pPr>
              <w:keepNext/>
              <w:ind w:right="600"/>
              <w:contextualSpacing/>
              <w:jc w:val="center"/>
            </w:pPr>
            <w:r w:rsidRPr="00483219">
              <w:t>0.00000</w:t>
            </w:r>
          </w:p>
        </w:tc>
      </w:tr>
      <w:tr w:rsidR="00755232" w:rsidRPr="00483219" w:rsidTr="00755232">
        <w:tc>
          <w:tcPr>
            <w:tcW w:w="3305" w:type="dxa"/>
            <w:shd w:val="clear" w:color="auto" w:fill="auto"/>
            <w:noWrap/>
            <w:vAlign w:val="center"/>
          </w:tcPr>
          <w:p w:rsidR="00755232" w:rsidRPr="00483219" w:rsidRDefault="00755232" w:rsidP="00755232">
            <w:pPr>
              <w:keepNext/>
              <w:contextualSpacing/>
            </w:pPr>
            <w:r w:rsidRPr="00483219">
              <w:t>CSLS</w:t>
            </w:r>
          </w:p>
        </w:tc>
        <w:tc>
          <w:tcPr>
            <w:tcW w:w="4680" w:type="dxa"/>
            <w:shd w:val="clear" w:color="auto" w:fill="auto"/>
            <w:noWrap/>
            <w:vAlign w:val="center"/>
          </w:tcPr>
          <w:p w:rsidR="00755232" w:rsidRPr="00483219" w:rsidRDefault="00755232" w:rsidP="00755232">
            <w:pPr>
              <w:keepNext/>
              <w:ind w:right="600"/>
              <w:contextualSpacing/>
              <w:jc w:val="center"/>
            </w:pPr>
            <w:r w:rsidRPr="00483219">
              <w:t>0.03822</w:t>
            </w:r>
          </w:p>
        </w:tc>
      </w:tr>
    </w:tbl>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2586B" w:rsidRDefault="0032586B" w:rsidP="00A634DA">
      <w:pPr>
        <w:pStyle w:val="OrderBody"/>
      </w:pPr>
    </w:p>
    <w:p w:rsidR="0032586B" w:rsidRDefault="0032586B" w:rsidP="00A634DA">
      <w:pPr>
        <w:pStyle w:val="OrderBody"/>
      </w:pPr>
    </w:p>
    <w:p w:rsidR="0032586B" w:rsidRDefault="0032586B" w:rsidP="00A634DA">
      <w:pPr>
        <w:pStyle w:val="OrderBody"/>
      </w:pPr>
    </w:p>
    <w:p w:rsidR="0032586B" w:rsidRDefault="0032586B" w:rsidP="00A634DA">
      <w:pPr>
        <w:pStyle w:val="OrderBody"/>
      </w:pPr>
    </w:p>
    <w:p w:rsidR="004754D4" w:rsidRDefault="003D5A2F" w:rsidP="00755232">
      <w:pPr>
        <w:pStyle w:val="OrderBody"/>
        <w:ind w:firstLine="720"/>
      </w:pPr>
      <w:r>
        <w:lastRenderedPageBreak/>
        <w:t>Sebring</w:t>
      </w:r>
    </w:p>
    <w:tbl>
      <w:tblPr>
        <w:tblpPr w:leftFromText="187" w:rightFromText="187" w:vertAnchor="text" w:horzAnchor="margin" w:tblpXSpec="center" w:tblpY="5"/>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70"/>
        <w:gridCol w:w="5875"/>
      </w:tblGrid>
      <w:tr w:rsidR="00755232" w:rsidRPr="001366DD" w:rsidTr="00755232">
        <w:tc>
          <w:tcPr>
            <w:tcW w:w="2070" w:type="dxa"/>
            <w:shd w:val="clear" w:color="auto" w:fill="auto"/>
            <w:vAlign w:val="center"/>
            <w:hideMark/>
          </w:tcPr>
          <w:p w:rsidR="00755232" w:rsidRPr="001366DD" w:rsidRDefault="00755232" w:rsidP="00755232">
            <w:pPr>
              <w:keepNext/>
              <w:contextualSpacing/>
              <w:jc w:val="center"/>
              <w:rPr>
                <w:b/>
                <w:bCs/>
              </w:rPr>
            </w:pPr>
            <w:r w:rsidRPr="001366DD">
              <w:rPr>
                <w:b/>
                <w:bCs/>
              </w:rPr>
              <w:t>Rate Schedule</w:t>
            </w:r>
          </w:p>
        </w:tc>
        <w:tc>
          <w:tcPr>
            <w:tcW w:w="5875" w:type="dxa"/>
            <w:shd w:val="clear" w:color="auto" w:fill="auto"/>
            <w:vAlign w:val="center"/>
            <w:hideMark/>
          </w:tcPr>
          <w:p w:rsidR="00755232" w:rsidRPr="001366DD" w:rsidRDefault="00755232" w:rsidP="00755232">
            <w:pPr>
              <w:keepNext/>
              <w:contextualSpacing/>
              <w:jc w:val="center"/>
              <w:rPr>
                <w:b/>
                <w:bCs/>
              </w:rPr>
            </w:pPr>
            <w:r w:rsidRPr="001366DD">
              <w:rPr>
                <w:b/>
                <w:bCs/>
              </w:rPr>
              <w:t>Conservation Recovery Factor ($/therm)</w:t>
            </w:r>
          </w:p>
        </w:tc>
      </w:tr>
      <w:tr w:rsidR="00755232" w:rsidRPr="001366DD" w:rsidTr="00755232">
        <w:tc>
          <w:tcPr>
            <w:tcW w:w="2070" w:type="dxa"/>
            <w:shd w:val="clear" w:color="auto" w:fill="auto"/>
            <w:noWrap/>
            <w:vAlign w:val="center"/>
            <w:hideMark/>
          </w:tcPr>
          <w:p w:rsidR="00755232" w:rsidRPr="001366DD" w:rsidRDefault="00755232" w:rsidP="00755232">
            <w:pPr>
              <w:keepNext/>
              <w:contextualSpacing/>
            </w:pPr>
            <w:r w:rsidRPr="001366DD">
              <w:t>TS-1</w:t>
            </w:r>
          </w:p>
        </w:tc>
        <w:tc>
          <w:tcPr>
            <w:tcW w:w="5875" w:type="dxa"/>
            <w:shd w:val="clear" w:color="auto" w:fill="auto"/>
            <w:noWrap/>
            <w:vAlign w:val="center"/>
            <w:hideMark/>
          </w:tcPr>
          <w:p w:rsidR="00755232" w:rsidRPr="001366DD" w:rsidRDefault="00755232" w:rsidP="00755232">
            <w:pPr>
              <w:keepNext/>
              <w:ind w:right="600"/>
              <w:contextualSpacing/>
              <w:jc w:val="center"/>
            </w:pPr>
            <w:r w:rsidRPr="001366DD">
              <w:t>0.13621</w:t>
            </w:r>
          </w:p>
        </w:tc>
      </w:tr>
      <w:tr w:rsidR="00755232" w:rsidRPr="001366DD" w:rsidTr="00755232">
        <w:tc>
          <w:tcPr>
            <w:tcW w:w="2070" w:type="dxa"/>
            <w:shd w:val="clear" w:color="auto" w:fill="auto"/>
            <w:noWrap/>
            <w:vAlign w:val="center"/>
            <w:hideMark/>
          </w:tcPr>
          <w:p w:rsidR="00755232" w:rsidRPr="001366DD" w:rsidRDefault="00755232" w:rsidP="00755232">
            <w:pPr>
              <w:keepNext/>
              <w:contextualSpacing/>
            </w:pPr>
            <w:r w:rsidRPr="001366DD">
              <w:t>TS-2</w:t>
            </w:r>
          </w:p>
        </w:tc>
        <w:tc>
          <w:tcPr>
            <w:tcW w:w="5875" w:type="dxa"/>
            <w:shd w:val="clear" w:color="auto" w:fill="auto"/>
            <w:noWrap/>
            <w:vAlign w:val="center"/>
            <w:hideMark/>
          </w:tcPr>
          <w:p w:rsidR="00755232" w:rsidRPr="001366DD" w:rsidRDefault="00755232" w:rsidP="00755232">
            <w:pPr>
              <w:keepNext/>
              <w:ind w:right="600"/>
              <w:contextualSpacing/>
              <w:jc w:val="center"/>
            </w:pPr>
            <w:r w:rsidRPr="001366DD">
              <w:t>0.05907</w:t>
            </w:r>
          </w:p>
        </w:tc>
      </w:tr>
      <w:tr w:rsidR="00755232" w:rsidRPr="001366DD" w:rsidTr="00755232">
        <w:tc>
          <w:tcPr>
            <w:tcW w:w="2070" w:type="dxa"/>
            <w:shd w:val="clear" w:color="auto" w:fill="auto"/>
            <w:noWrap/>
            <w:vAlign w:val="center"/>
            <w:hideMark/>
          </w:tcPr>
          <w:p w:rsidR="00755232" w:rsidRPr="001366DD" w:rsidRDefault="00755232" w:rsidP="00755232">
            <w:pPr>
              <w:keepNext/>
              <w:contextualSpacing/>
            </w:pPr>
            <w:r w:rsidRPr="001366DD">
              <w:t>TS-3</w:t>
            </w:r>
          </w:p>
        </w:tc>
        <w:tc>
          <w:tcPr>
            <w:tcW w:w="5875" w:type="dxa"/>
            <w:shd w:val="clear" w:color="auto" w:fill="auto"/>
            <w:noWrap/>
            <w:vAlign w:val="center"/>
            <w:hideMark/>
          </w:tcPr>
          <w:p w:rsidR="00755232" w:rsidRPr="001366DD" w:rsidRDefault="00755232" w:rsidP="00755232">
            <w:pPr>
              <w:keepNext/>
              <w:ind w:right="600"/>
              <w:contextualSpacing/>
              <w:jc w:val="center"/>
            </w:pPr>
            <w:r w:rsidRPr="001366DD">
              <w:t>0.03875</w:t>
            </w:r>
          </w:p>
        </w:tc>
      </w:tr>
      <w:tr w:rsidR="00755232" w:rsidRPr="001366DD" w:rsidTr="00755232">
        <w:tc>
          <w:tcPr>
            <w:tcW w:w="2070" w:type="dxa"/>
            <w:shd w:val="clear" w:color="auto" w:fill="auto"/>
            <w:noWrap/>
            <w:vAlign w:val="center"/>
            <w:hideMark/>
          </w:tcPr>
          <w:p w:rsidR="00755232" w:rsidRPr="001366DD" w:rsidRDefault="00755232" w:rsidP="00755232">
            <w:pPr>
              <w:keepNext/>
              <w:contextualSpacing/>
            </w:pPr>
            <w:r w:rsidRPr="001366DD">
              <w:t>TS-4</w:t>
            </w:r>
          </w:p>
        </w:tc>
        <w:tc>
          <w:tcPr>
            <w:tcW w:w="5875" w:type="dxa"/>
            <w:shd w:val="clear" w:color="auto" w:fill="auto"/>
            <w:noWrap/>
            <w:vAlign w:val="center"/>
            <w:hideMark/>
          </w:tcPr>
          <w:p w:rsidR="00755232" w:rsidRPr="001366DD" w:rsidRDefault="00755232" w:rsidP="00755232">
            <w:pPr>
              <w:keepNext/>
              <w:ind w:right="600"/>
              <w:contextualSpacing/>
              <w:jc w:val="center"/>
            </w:pPr>
            <w:r w:rsidRPr="001366DD">
              <w:t>0.03353</w:t>
            </w:r>
          </w:p>
        </w:tc>
      </w:tr>
    </w:tbl>
    <w:p w:rsidR="004754D4" w:rsidRDefault="004754D4"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755232">
      <w:pPr>
        <w:pStyle w:val="OrderBody"/>
        <w:ind w:firstLine="720"/>
      </w:pPr>
      <w:r>
        <w:t>SJNG</w:t>
      </w:r>
    </w:p>
    <w:tbl>
      <w:tblPr>
        <w:tblpPr w:leftFromText="187" w:rightFromText="187" w:vertAnchor="text" w:horzAnchor="margin" w:tblpXSpec="center" w:tblpY="8"/>
        <w:tblW w:w="7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395"/>
        <w:gridCol w:w="4460"/>
      </w:tblGrid>
      <w:tr w:rsidR="00755232" w:rsidRPr="00D50A44" w:rsidTr="00755232">
        <w:tc>
          <w:tcPr>
            <w:tcW w:w="3395" w:type="dxa"/>
            <w:shd w:val="clear" w:color="auto" w:fill="auto"/>
            <w:vAlign w:val="center"/>
            <w:hideMark/>
          </w:tcPr>
          <w:p w:rsidR="00755232" w:rsidRPr="00D50A44" w:rsidRDefault="00755232" w:rsidP="00755232">
            <w:pPr>
              <w:keepNext/>
              <w:contextualSpacing/>
              <w:jc w:val="center"/>
              <w:rPr>
                <w:b/>
                <w:bCs/>
              </w:rPr>
            </w:pPr>
            <w:r w:rsidRPr="00D50A44">
              <w:rPr>
                <w:b/>
                <w:bCs/>
              </w:rPr>
              <w:t>Rate Schedule</w:t>
            </w:r>
          </w:p>
        </w:tc>
        <w:tc>
          <w:tcPr>
            <w:tcW w:w="4460" w:type="dxa"/>
            <w:shd w:val="clear" w:color="auto" w:fill="auto"/>
            <w:vAlign w:val="center"/>
            <w:hideMark/>
          </w:tcPr>
          <w:p w:rsidR="00755232" w:rsidRPr="00D50A44" w:rsidRDefault="00755232" w:rsidP="00755232">
            <w:pPr>
              <w:keepNext/>
              <w:contextualSpacing/>
              <w:jc w:val="center"/>
              <w:rPr>
                <w:b/>
                <w:bCs/>
              </w:rPr>
            </w:pPr>
            <w:r w:rsidRPr="00D50A44">
              <w:rPr>
                <w:b/>
                <w:bCs/>
              </w:rPr>
              <w:t>Conservation Recovery Factor ($/therm)</w:t>
            </w:r>
          </w:p>
        </w:tc>
      </w:tr>
      <w:tr w:rsidR="00755232" w:rsidRPr="00D50A44" w:rsidTr="00755232">
        <w:tc>
          <w:tcPr>
            <w:tcW w:w="3395" w:type="dxa"/>
            <w:shd w:val="clear" w:color="auto" w:fill="auto"/>
            <w:noWrap/>
            <w:vAlign w:val="center"/>
            <w:hideMark/>
          </w:tcPr>
          <w:p w:rsidR="00755232" w:rsidRPr="00D50A44" w:rsidRDefault="00755232" w:rsidP="00755232">
            <w:pPr>
              <w:keepNext/>
              <w:contextualSpacing/>
            </w:pPr>
            <w:r w:rsidRPr="00D50A44">
              <w:t>RS-1</w:t>
            </w:r>
          </w:p>
        </w:tc>
        <w:tc>
          <w:tcPr>
            <w:tcW w:w="4460" w:type="dxa"/>
            <w:shd w:val="clear" w:color="auto" w:fill="auto"/>
            <w:noWrap/>
            <w:vAlign w:val="center"/>
            <w:hideMark/>
          </w:tcPr>
          <w:p w:rsidR="00755232" w:rsidRPr="00D50A44" w:rsidRDefault="00755232" w:rsidP="00755232">
            <w:pPr>
              <w:keepNext/>
              <w:ind w:right="600"/>
              <w:contextualSpacing/>
              <w:jc w:val="right"/>
            </w:pPr>
            <w:r w:rsidRPr="00D50A44">
              <w:t>0.33942</w:t>
            </w:r>
          </w:p>
        </w:tc>
      </w:tr>
      <w:tr w:rsidR="00755232" w:rsidRPr="00D50A44" w:rsidTr="00755232">
        <w:tc>
          <w:tcPr>
            <w:tcW w:w="3395" w:type="dxa"/>
            <w:shd w:val="clear" w:color="auto" w:fill="auto"/>
            <w:noWrap/>
            <w:vAlign w:val="center"/>
            <w:hideMark/>
          </w:tcPr>
          <w:p w:rsidR="00755232" w:rsidRPr="00D50A44" w:rsidRDefault="00755232" w:rsidP="00755232">
            <w:pPr>
              <w:keepNext/>
              <w:contextualSpacing/>
            </w:pPr>
            <w:r w:rsidRPr="00D50A44">
              <w:t>RS-2</w:t>
            </w:r>
          </w:p>
        </w:tc>
        <w:tc>
          <w:tcPr>
            <w:tcW w:w="4460" w:type="dxa"/>
            <w:shd w:val="clear" w:color="auto" w:fill="auto"/>
            <w:noWrap/>
            <w:vAlign w:val="center"/>
            <w:hideMark/>
          </w:tcPr>
          <w:p w:rsidR="00755232" w:rsidRPr="00D50A44" w:rsidRDefault="00755232" w:rsidP="00755232">
            <w:pPr>
              <w:keepNext/>
              <w:ind w:right="600"/>
              <w:contextualSpacing/>
              <w:jc w:val="right"/>
            </w:pPr>
            <w:r w:rsidRPr="00D50A44">
              <w:t>0.23749</w:t>
            </w:r>
          </w:p>
        </w:tc>
      </w:tr>
      <w:tr w:rsidR="00755232" w:rsidRPr="00D50A44" w:rsidTr="00755232">
        <w:tc>
          <w:tcPr>
            <w:tcW w:w="3395" w:type="dxa"/>
            <w:shd w:val="clear" w:color="auto" w:fill="auto"/>
            <w:noWrap/>
            <w:vAlign w:val="center"/>
            <w:hideMark/>
          </w:tcPr>
          <w:p w:rsidR="00755232" w:rsidRPr="00D50A44" w:rsidRDefault="00755232" w:rsidP="00755232">
            <w:pPr>
              <w:keepNext/>
              <w:contextualSpacing/>
            </w:pPr>
            <w:r w:rsidRPr="00D50A44">
              <w:t>RS-3</w:t>
            </w:r>
          </w:p>
        </w:tc>
        <w:tc>
          <w:tcPr>
            <w:tcW w:w="4460" w:type="dxa"/>
            <w:shd w:val="clear" w:color="auto" w:fill="auto"/>
            <w:noWrap/>
            <w:vAlign w:val="center"/>
            <w:hideMark/>
          </w:tcPr>
          <w:p w:rsidR="00755232" w:rsidRPr="00D50A44" w:rsidRDefault="00755232" w:rsidP="00755232">
            <w:pPr>
              <w:keepNext/>
              <w:ind w:right="600"/>
              <w:contextualSpacing/>
              <w:jc w:val="right"/>
            </w:pPr>
            <w:r w:rsidRPr="00D50A44">
              <w:t>0.18439</w:t>
            </w:r>
          </w:p>
        </w:tc>
      </w:tr>
      <w:tr w:rsidR="00755232" w:rsidRPr="00D50A44" w:rsidTr="00755232">
        <w:tc>
          <w:tcPr>
            <w:tcW w:w="3395" w:type="dxa"/>
            <w:shd w:val="clear" w:color="auto" w:fill="auto"/>
            <w:noWrap/>
            <w:vAlign w:val="center"/>
            <w:hideMark/>
          </w:tcPr>
          <w:p w:rsidR="00755232" w:rsidRPr="00D50A44" w:rsidRDefault="00755232" w:rsidP="00755232">
            <w:pPr>
              <w:keepNext/>
              <w:contextualSpacing/>
            </w:pPr>
            <w:r w:rsidRPr="00D50A44">
              <w:t>GS-1</w:t>
            </w:r>
          </w:p>
        </w:tc>
        <w:tc>
          <w:tcPr>
            <w:tcW w:w="4460" w:type="dxa"/>
            <w:shd w:val="clear" w:color="auto" w:fill="auto"/>
            <w:noWrap/>
            <w:vAlign w:val="center"/>
            <w:hideMark/>
          </w:tcPr>
          <w:p w:rsidR="00755232" w:rsidRPr="00D50A44" w:rsidRDefault="00755232" w:rsidP="00755232">
            <w:pPr>
              <w:keepNext/>
              <w:ind w:right="600"/>
              <w:contextualSpacing/>
              <w:jc w:val="right"/>
            </w:pPr>
            <w:r w:rsidRPr="00D50A44">
              <w:t>0.10405</w:t>
            </w:r>
          </w:p>
        </w:tc>
      </w:tr>
      <w:tr w:rsidR="00755232" w:rsidRPr="00D50A44" w:rsidTr="00755232">
        <w:tc>
          <w:tcPr>
            <w:tcW w:w="3395" w:type="dxa"/>
            <w:shd w:val="clear" w:color="auto" w:fill="auto"/>
            <w:noWrap/>
            <w:vAlign w:val="center"/>
          </w:tcPr>
          <w:p w:rsidR="00755232" w:rsidRPr="00D50A44" w:rsidRDefault="00755232" w:rsidP="00755232">
            <w:pPr>
              <w:keepNext/>
              <w:contextualSpacing/>
            </w:pPr>
            <w:r w:rsidRPr="00D50A44">
              <w:t>GS-2</w:t>
            </w:r>
          </w:p>
        </w:tc>
        <w:tc>
          <w:tcPr>
            <w:tcW w:w="4460" w:type="dxa"/>
            <w:shd w:val="clear" w:color="auto" w:fill="auto"/>
            <w:noWrap/>
            <w:vAlign w:val="center"/>
          </w:tcPr>
          <w:p w:rsidR="00755232" w:rsidRPr="00D50A44" w:rsidRDefault="00755232" w:rsidP="00755232">
            <w:pPr>
              <w:keepNext/>
              <w:ind w:right="600"/>
              <w:contextualSpacing/>
              <w:jc w:val="right"/>
            </w:pPr>
            <w:r w:rsidRPr="00D50A44">
              <w:t>0.06096</w:t>
            </w:r>
          </w:p>
        </w:tc>
      </w:tr>
      <w:tr w:rsidR="00755232" w:rsidTr="00755232">
        <w:tc>
          <w:tcPr>
            <w:tcW w:w="3395" w:type="dxa"/>
            <w:shd w:val="clear" w:color="auto" w:fill="auto"/>
            <w:noWrap/>
            <w:vAlign w:val="center"/>
          </w:tcPr>
          <w:p w:rsidR="00755232" w:rsidRPr="00D50A44" w:rsidRDefault="00755232" w:rsidP="00755232">
            <w:pPr>
              <w:keepNext/>
              <w:contextualSpacing/>
            </w:pPr>
            <w:r w:rsidRPr="00D50A44">
              <w:t>FTS4/GS-4</w:t>
            </w:r>
          </w:p>
        </w:tc>
        <w:tc>
          <w:tcPr>
            <w:tcW w:w="4460" w:type="dxa"/>
            <w:shd w:val="clear" w:color="auto" w:fill="auto"/>
            <w:noWrap/>
            <w:vAlign w:val="center"/>
          </w:tcPr>
          <w:p w:rsidR="00755232" w:rsidRDefault="00755232" w:rsidP="00755232">
            <w:pPr>
              <w:keepNext/>
              <w:ind w:right="600"/>
              <w:contextualSpacing/>
              <w:jc w:val="right"/>
            </w:pPr>
            <w:r w:rsidRPr="00D50A44">
              <w:t>0.03724</w:t>
            </w:r>
          </w:p>
        </w:tc>
      </w:tr>
    </w:tbl>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3D5A2F" w:rsidRDefault="003D5A2F" w:rsidP="00A634DA">
      <w:pPr>
        <w:pStyle w:val="OrderBody"/>
      </w:pPr>
    </w:p>
    <w:p w:rsidR="004754D4" w:rsidRDefault="004754D4" w:rsidP="00A634DA">
      <w:pPr>
        <w:pStyle w:val="OrderBody"/>
      </w:pPr>
    </w:p>
    <w:p w:rsidR="002058BF" w:rsidRPr="001061C7" w:rsidRDefault="002058BF" w:rsidP="002058BF">
      <w:pPr>
        <w:contextualSpacing/>
        <w:jc w:val="both"/>
      </w:pPr>
      <w:r w:rsidRPr="001061C7">
        <w:rPr>
          <w:u w:val="single"/>
        </w:rPr>
        <w:t>Tariff Revisions Reflecting Natural Gas Conservation Cost Recovery Amounts and Establishing Natural Gas Conservation Cost Recovery Factors</w:t>
      </w:r>
    </w:p>
    <w:p w:rsidR="002058BF" w:rsidRDefault="002058BF" w:rsidP="002058BF">
      <w:pPr>
        <w:ind w:firstLine="720"/>
        <w:contextualSpacing/>
        <w:jc w:val="both"/>
      </w:pPr>
    </w:p>
    <w:p w:rsidR="002058BF" w:rsidRDefault="002058BF" w:rsidP="002058BF">
      <w:pPr>
        <w:contextualSpacing/>
        <w:jc w:val="both"/>
      </w:pPr>
      <w:r>
        <w:t xml:space="preserve"> </w:t>
      </w:r>
      <w:r>
        <w:tab/>
        <w:t xml:space="preserve">The revised tariffs reflecting the new energy conservation cost charges determined to be appropriate in this proceeding are hereby approved. We direct our staff to verify that the revised tariffs are consistent with this Order. </w:t>
      </w:r>
    </w:p>
    <w:p w:rsidR="002058BF" w:rsidRDefault="002058BF" w:rsidP="002058BF">
      <w:pPr>
        <w:pStyle w:val="OrderBody"/>
      </w:pPr>
    </w:p>
    <w:p w:rsidR="002058BF" w:rsidRDefault="002058BF" w:rsidP="002058BF">
      <w:pPr>
        <w:contextualSpacing/>
        <w:jc w:val="both"/>
      </w:pPr>
      <w:r>
        <w:rPr>
          <w:u w:val="single"/>
        </w:rPr>
        <w:t>Conservation Cost Recovery Effective Date for 2023 Billing Cycle</w:t>
      </w:r>
    </w:p>
    <w:p w:rsidR="002058BF" w:rsidRDefault="002058BF" w:rsidP="00A634DA">
      <w:pPr>
        <w:pStyle w:val="OrderBody"/>
      </w:pPr>
    </w:p>
    <w:p w:rsidR="002058BF" w:rsidRDefault="002058BF" w:rsidP="002058BF">
      <w:pPr>
        <w:pStyle w:val="OrderBody"/>
        <w:ind w:firstLine="720"/>
      </w:pPr>
      <w:r>
        <w:t>The factors we approved as reflected above shall be effective beginning with the specified conservation cost recovery cycle and thereafter for the period January 2025 through December 2025. Billing cycles may start before January 1, 2025 and the last cycle may be read after December 31, 2025, so that each customer is billed for twelve months regardless of when the adjustment factor became effective.</w:t>
      </w:r>
    </w:p>
    <w:p w:rsidR="002058BF" w:rsidRPr="00A634DA" w:rsidRDefault="002058BF" w:rsidP="00A634DA">
      <w:pPr>
        <w:pStyle w:val="OrderBody"/>
      </w:pPr>
    </w:p>
    <w:p w:rsidR="00A634DA" w:rsidRPr="00A634DA" w:rsidRDefault="00A634DA" w:rsidP="00A634DA">
      <w:pPr>
        <w:pStyle w:val="OrderBody"/>
      </w:pPr>
      <w:r w:rsidRPr="00A634DA">
        <w:tab/>
        <w:t>Based on the foregoing, it is</w:t>
      </w:r>
    </w:p>
    <w:p w:rsidR="00A634DA" w:rsidRPr="00A634DA" w:rsidRDefault="00A634DA" w:rsidP="00A634DA">
      <w:pPr>
        <w:pStyle w:val="OrderBody"/>
      </w:pPr>
    </w:p>
    <w:p w:rsidR="00A634DA" w:rsidRPr="00A634DA" w:rsidRDefault="00A634DA" w:rsidP="00A634DA">
      <w:pPr>
        <w:pStyle w:val="OrderBody"/>
      </w:pPr>
      <w:r w:rsidRPr="00A634DA">
        <w:tab/>
        <w:t>ORDERED by the Florida Public Service Commission that the stipulations and findings set forth in the body of this order are hereby approved.  It is further</w:t>
      </w:r>
    </w:p>
    <w:p w:rsidR="00A634DA" w:rsidRPr="00A634DA" w:rsidRDefault="00A634DA" w:rsidP="00A634DA">
      <w:pPr>
        <w:pStyle w:val="OrderBody"/>
      </w:pPr>
    </w:p>
    <w:p w:rsidR="00A634DA" w:rsidRPr="00A634DA" w:rsidRDefault="00A634DA" w:rsidP="00A634DA">
      <w:pPr>
        <w:pStyle w:val="OrderBody"/>
      </w:pPr>
      <w:r w:rsidRPr="00A634DA">
        <w:tab/>
        <w:t>ORDERED that each utility that was a party to this docket shall abide by the stipulations and findings herein which are applicable to it.  It is further</w:t>
      </w:r>
    </w:p>
    <w:p w:rsidR="00A634DA" w:rsidRPr="00A634DA" w:rsidRDefault="00A634DA" w:rsidP="00A634DA">
      <w:pPr>
        <w:pStyle w:val="OrderBody"/>
      </w:pPr>
    </w:p>
    <w:p w:rsidR="00A634DA" w:rsidRPr="00A634DA" w:rsidRDefault="00A634DA" w:rsidP="00A634DA">
      <w:pPr>
        <w:pStyle w:val="OrderBody"/>
      </w:pPr>
      <w:r w:rsidRPr="00A634DA">
        <w:lastRenderedPageBreak/>
        <w:tab/>
      </w:r>
      <w:r w:rsidR="00755232" w:rsidRPr="00650AAC">
        <w:t xml:space="preserve">ORDERED that the utilities named herein are authorized to collect the </w:t>
      </w:r>
      <w:r w:rsidR="00755232">
        <w:t>natural gas conservation cost recovery amounts and utilize</w:t>
      </w:r>
      <w:r w:rsidR="00755232" w:rsidRPr="00650AAC">
        <w:t xml:space="preserve"> the factors approved herein</w:t>
      </w:r>
      <w:r w:rsidR="00755232">
        <w:t xml:space="preserve"> for the period beginning with the specified conservation cost recovery cycle and thereafter for the period January 2025 through December 2025. Billing cycles may start before January 1, 2025, and the last cycle may be read after December 31, 2025, so that each customer is billed for twelve months regardless of when the adjustment factor became effective. </w:t>
      </w:r>
      <w:r w:rsidR="00755232" w:rsidRPr="00650AAC">
        <w:t>It is further</w:t>
      </w:r>
    </w:p>
    <w:p w:rsidR="00A634DA" w:rsidRPr="00A634DA" w:rsidRDefault="00A634DA" w:rsidP="00A634DA">
      <w:pPr>
        <w:pStyle w:val="OrderBody"/>
      </w:pPr>
    </w:p>
    <w:p w:rsidR="00755232" w:rsidRDefault="00755232" w:rsidP="00755232">
      <w:pPr>
        <w:ind w:firstLine="720"/>
        <w:jc w:val="both"/>
      </w:pPr>
      <w:r>
        <w:t>ORDERED that the utilities’ revised tariffs, reflecting the natural gas conservation cost recovery amounts and establishing natural gas conservation cost recovery factors determined to be appropriate herein are approved. Our staff shall verify that the revised tariffs are consistent with this Order. It is further</w:t>
      </w:r>
    </w:p>
    <w:p w:rsidR="00755232" w:rsidRDefault="00755232" w:rsidP="00755232">
      <w:pPr>
        <w:ind w:firstLine="720"/>
      </w:pPr>
    </w:p>
    <w:p w:rsidR="00755232" w:rsidRDefault="00755232" w:rsidP="00755232">
      <w:pPr>
        <w:ind w:firstLine="720"/>
      </w:pPr>
      <w:r>
        <w:t xml:space="preserve">ORDERED that the </w:t>
      </w:r>
      <w:r>
        <w:rPr>
          <w:color w:val="000000"/>
        </w:rPr>
        <w:t xml:space="preserve">Natural Gas Conservation Cost Recovery Clause </w:t>
      </w:r>
      <w:r>
        <w:t>docket is on-going and the docket shall remain open.</w:t>
      </w:r>
    </w:p>
    <w:p w:rsidR="00A634DA" w:rsidRPr="00A634DA" w:rsidRDefault="00A634DA" w:rsidP="00755232">
      <w:pPr>
        <w:pStyle w:val="OrderBody"/>
      </w:pPr>
    </w:p>
    <w:p w:rsidR="00A634DA" w:rsidRDefault="00A634DA" w:rsidP="00A634DA">
      <w:pPr>
        <w:keepNext/>
        <w:keepLines/>
        <w:jc w:val="both"/>
      </w:pPr>
      <w:r w:rsidRPr="00A634DA">
        <w:tab/>
        <w:t xml:space="preserve">By ORDER of the Florida Public Service Commission this </w:t>
      </w:r>
      <w:bookmarkStart w:id="6" w:name="replaceDate"/>
      <w:bookmarkEnd w:id="6"/>
      <w:r w:rsidR="00447CEC">
        <w:rPr>
          <w:u w:val="single"/>
        </w:rPr>
        <w:t>25th</w:t>
      </w:r>
      <w:r w:rsidR="00447CEC">
        <w:t xml:space="preserve"> day of </w:t>
      </w:r>
      <w:r w:rsidR="00447CEC">
        <w:rPr>
          <w:u w:val="single"/>
        </w:rPr>
        <w:t>November</w:t>
      </w:r>
      <w:r w:rsidR="00447CEC">
        <w:t xml:space="preserve">, </w:t>
      </w:r>
      <w:r w:rsidR="00447CEC">
        <w:rPr>
          <w:u w:val="single"/>
        </w:rPr>
        <w:t>2024</w:t>
      </w:r>
      <w:r w:rsidR="00447CEC">
        <w:t>.</w:t>
      </w:r>
    </w:p>
    <w:p w:rsidR="00447CEC" w:rsidRPr="00447CEC" w:rsidRDefault="00447CEC" w:rsidP="00A634DA">
      <w:pPr>
        <w:keepNext/>
        <w:keepLines/>
        <w:jc w:val="both"/>
      </w:pPr>
    </w:p>
    <w:p w:rsidR="00A634DA" w:rsidRPr="00A634DA" w:rsidRDefault="00A634DA" w:rsidP="00A634DA">
      <w:pPr>
        <w:keepNext/>
        <w:keepLines/>
        <w:jc w:val="both"/>
      </w:pPr>
    </w:p>
    <w:p w:rsidR="00A634DA" w:rsidRPr="00A634DA" w:rsidRDefault="00A634DA" w:rsidP="00A634D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634DA" w:rsidRPr="00A634DA" w:rsidTr="00A634DA">
        <w:tc>
          <w:tcPr>
            <w:tcW w:w="720" w:type="dxa"/>
            <w:shd w:val="clear" w:color="auto" w:fill="auto"/>
          </w:tcPr>
          <w:p w:rsidR="00A634DA" w:rsidRPr="00A634DA" w:rsidRDefault="00A634DA" w:rsidP="00A634DA">
            <w:pPr>
              <w:keepNext/>
              <w:keepLines/>
              <w:jc w:val="both"/>
            </w:pPr>
            <w:bookmarkStart w:id="7" w:name="bkmrkSignature" w:colFirst="0" w:colLast="0"/>
          </w:p>
        </w:tc>
        <w:tc>
          <w:tcPr>
            <w:tcW w:w="4320" w:type="dxa"/>
            <w:tcBorders>
              <w:bottom w:val="single" w:sz="4" w:space="0" w:color="auto"/>
            </w:tcBorders>
            <w:shd w:val="clear" w:color="auto" w:fill="auto"/>
          </w:tcPr>
          <w:p w:rsidR="00A634DA" w:rsidRPr="00A634DA" w:rsidRDefault="001E2763" w:rsidP="00A634DA">
            <w:pPr>
              <w:keepNext/>
              <w:keepLines/>
              <w:jc w:val="both"/>
            </w:pPr>
            <w:r>
              <w:t>/s/ Adam J. Teitzman</w:t>
            </w:r>
            <w:bookmarkStart w:id="8" w:name="_GoBack"/>
            <w:bookmarkEnd w:id="8"/>
          </w:p>
        </w:tc>
      </w:tr>
      <w:bookmarkEnd w:id="7"/>
      <w:tr w:rsidR="00A634DA" w:rsidRPr="00A634DA" w:rsidTr="00A634DA">
        <w:tc>
          <w:tcPr>
            <w:tcW w:w="720" w:type="dxa"/>
            <w:shd w:val="clear" w:color="auto" w:fill="auto"/>
          </w:tcPr>
          <w:p w:rsidR="00A634DA" w:rsidRPr="00A634DA" w:rsidRDefault="00A634DA" w:rsidP="00A634DA">
            <w:pPr>
              <w:keepNext/>
              <w:keepLines/>
              <w:jc w:val="both"/>
            </w:pPr>
          </w:p>
        </w:tc>
        <w:tc>
          <w:tcPr>
            <w:tcW w:w="4320" w:type="dxa"/>
            <w:tcBorders>
              <w:top w:val="single" w:sz="4" w:space="0" w:color="auto"/>
            </w:tcBorders>
            <w:shd w:val="clear" w:color="auto" w:fill="auto"/>
          </w:tcPr>
          <w:p w:rsidR="00A634DA" w:rsidRPr="00A634DA" w:rsidRDefault="00A634DA" w:rsidP="00A634DA">
            <w:pPr>
              <w:keepNext/>
              <w:keepLines/>
              <w:jc w:val="both"/>
            </w:pPr>
            <w:r w:rsidRPr="00A634DA">
              <w:t>ADAM J. TEITZMAN</w:t>
            </w:r>
          </w:p>
          <w:p w:rsidR="00A634DA" w:rsidRPr="00A634DA" w:rsidRDefault="00A634DA" w:rsidP="00A634DA">
            <w:pPr>
              <w:keepNext/>
              <w:keepLines/>
              <w:jc w:val="both"/>
            </w:pPr>
            <w:r w:rsidRPr="00A634DA">
              <w:t>Commission Clerk</w:t>
            </w:r>
          </w:p>
        </w:tc>
      </w:tr>
    </w:tbl>
    <w:p w:rsidR="00A634DA" w:rsidRPr="00A634DA" w:rsidRDefault="00A634DA" w:rsidP="00A634DA">
      <w:pPr>
        <w:pStyle w:val="OrderSigInfo"/>
        <w:keepNext/>
        <w:keepLines/>
      </w:pPr>
      <w:r w:rsidRPr="00A634DA">
        <w:t>Florida Public Service Commission</w:t>
      </w:r>
    </w:p>
    <w:p w:rsidR="00A634DA" w:rsidRPr="00A634DA" w:rsidRDefault="00A634DA" w:rsidP="00A634DA">
      <w:pPr>
        <w:pStyle w:val="OrderSigInfo"/>
        <w:keepNext/>
        <w:keepLines/>
      </w:pPr>
      <w:r w:rsidRPr="00A634DA">
        <w:t>2540 Shumard Oak Boulevard</w:t>
      </w:r>
    </w:p>
    <w:p w:rsidR="00A634DA" w:rsidRPr="00A634DA" w:rsidRDefault="00A634DA" w:rsidP="00A634DA">
      <w:pPr>
        <w:pStyle w:val="OrderSigInfo"/>
        <w:keepNext/>
        <w:keepLines/>
      </w:pPr>
      <w:r w:rsidRPr="00A634DA">
        <w:t>Tallahassee, Florida 32399</w:t>
      </w:r>
    </w:p>
    <w:p w:rsidR="00A634DA" w:rsidRPr="00A634DA" w:rsidRDefault="00A634DA" w:rsidP="00A634DA">
      <w:pPr>
        <w:pStyle w:val="OrderSigInfo"/>
        <w:keepNext/>
        <w:keepLines/>
      </w:pPr>
      <w:r w:rsidRPr="00A634DA">
        <w:t>(850) 413</w:t>
      </w:r>
      <w:r w:rsidRPr="00A634DA">
        <w:noBreakHyphen/>
        <w:t>6770</w:t>
      </w:r>
    </w:p>
    <w:p w:rsidR="00A634DA" w:rsidRPr="00A634DA" w:rsidRDefault="00A634DA" w:rsidP="00A634DA">
      <w:pPr>
        <w:pStyle w:val="OrderSigInfo"/>
        <w:keepNext/>
        <w:keepLines/>
      </w:pPr>
      <w:r w:rsidRPr="00A634DA">
        <w:t>www.floridapsc.com</w:t>
      </w:r>
    </w:p>
    <w:p w:rsidR="00A634DA" w:rsidRPr="00A634DA" w:rsidRDefault="00A634DA" w:rsidP="00A634DA">
      <w:pPr>
        <w:pStyle w:val="OrderSigInfo"/>
        <w:keepNext/>
        <w:keepLines/>
      </w:pPr>
    </w:p>
    <w:p w:rsidR="00A634DA" w:rsidRPr="00A634DA" w:rsidRDefault="00A634DA" w:rsidP="00A634DA">
      <w:pPr>
        <w:pStyle w:val="OrderSigInfo"/>
        <w:keepNext/>
        <w:keepLines/>
      </w:pPr>
      <w:r w:rsidRPr="00A634DA">
        <w:t>Copies furnished:  A copy of this document is provided to the parties of record at the time of issuance and, if applicable, interested persons.</w:t>
      </w:r>
    </w:p>
    <w:p w:rsidR="00A634DA" w:rsidRPr="00A634DA" w:rsidRDefault="00A634DA" w:rsidP="00A634DA">
      <w:pPr>
        <w:pStyle w:val="OrderBody"/>
        <w:keepNext/>
        <w:keepLines/>
      </w:pPr>
    </w:p>
    <w:p w:rsidR="00A634DA" w:rsidRPr="00A634DA" w:rsidRDefault="00A634DA" w:rsidP="00A634DA">
      <w:pPr>
        <w:keepNext/>
        <w:keepLines/>
        <w:jc w:val="both"/>
      </w:pPr>
    </w:p>
    <w:p w:rsidR="00A634DA" w:rsidRPr="00A634DA" w:rsidRDefault="00A634DA" w:rsidP="00A634DA">
      <w:pPr>
        <w:keepNext/>
        <w:keepLines/>
        <w:jc w:val="both"/>
      </w:pPr>
      <w:r w:rsidRPr="00A634DA">
        <w:t>TPS</w:t>
      </w:r>
    </w:p>
    <w:p w:rsidR="00A634DA" w:rsidRPr="00A634DA" w:rsidRDefault="00A634DA" w:rsidP="00A634DA">
      <w:pPr>
        <w:jc w:val="both"/>
      </w:pPr>
    </w:p>
    <w:p w:rsidR="00A634DA" w:rsidRPr="00A634DA" w:rsidRDefault="00A634DA" w:rsidP="00A634DA">
      <w:pPr>
        <w:jc w:val="both"/>
      </w:pPr>
    </w:p>
    <w:p w:rsidR="00A634DA" w:rsidRPr="00A634DA" w:rsidRDefault="00A634DA" w:rsidP="00A634DA">
      <w:pPr>
        <w:jc w:val="both"/>
      </w:pPr>
    </w:p>
    <w:p w:rsidR="00A634DA" w:rsidRPr="00A634DA" w:rsidRDefault="00A634DA">
      <w:r w:rsidRPr="00A634DA">
        <w:br w:type="page"/>
      </w:r>
    </w:p>
    <w:p w:rsidR="00A634DA" w:rsidRPr="00A634DA" w:rsidRDefault="00A634DA" w:rsidP="00A634DA">
      <w:pPr>
        <w:pStyle w:val="CenterUnderline"/>
      </w:pPr>
      <w:r w:rsidRPr="00A634DA">
        <w:lastRenderedPageBreak/>
        <w:t>NOTICE OF FURTHER PROCEEDINGS OR JUDICIAL REVIEW</w:t>
      </w:r>
    </w:p>
    <w:p w:rsidR="005F2751" w:rsidRPr="00A634DA" w:rsidRDefault="005F2751" w:rsidP="00A634DA">
      <w:pPr>
        <w:pStyle w:val="CenterUnderline"/>
        <w:rPr>
          <w:u w:val="none"/>
        </w:rPr>
      </w:pPr>
    </w:p>
    <w:p w:rsidR="00A634DA" w:rsidRPr="00A634DA" w:rsidRDefault="00A634DA" w:rsidP="00A634DA">
      <w:pPr>
        <w:pStyle w:val="OrderBody"/>
      </w:pPr>
    </w:p>
    <w:p w:rsidR="00A634DA" w:rsidRPr="00A634DA" w:rsidRDefault="00A634DA" w:rsidP="00A634DA">
      <w:pPr>
        <w:pStyle w:val="OrderBody"/>
      </w:pPr>
      <w:r w:rsidRPr="00A634D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634DA" w:rsidRPr="00A634DA" w:rsidRDefault="00A634DA" w:rsidP="00A634DA">
      <w:pPr>
        <w:pStyle w:val="OrderBody"/>
      </w:pPr>
    </w:p>
    <w:p w:rsidR="00A634DA" w:rsidRPr="00A634DA" w:rsidRDefault="00A634DA" w:rsidP="00A634DA">
      <w:pPr>
        <w:pStyle w:val="OrderBody"/>
      </w:pPr>
      <w:r w:rsidRPr="00A634DA">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634DA" w:rsidRPr="00A634DA" w:rsidRDefault="00A634DA" w:rsidP="00A634DA">
      <w:pPr>
        <w:pStyle w:val="OrderBody"/>
      </w:pPr>
    </w:p>
    <w:p w:rsidR="00A634DA" w:rsidRPr="00A634DA" w:rsidRDefault="00A634DA" w:rsidP="00A634DA">
      <w:pPr>
        <w:pStyle w:val="OrderBody"/>
      </w:pPr>
    </w:p>
    <w:sectPr w:rsidR="00A634DA" w:rsidRPr="00A634D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4DA" w:rsidRDefault="00A634DA">
      <w:r>
        <w:separator/>
      </w:r>
    </w:p>
  </w:endnote>
  <w:endnote w:type="continuationSeparator" w:id="0">
    <w:p w:rsidR="00A634DA" w:rsidRDefault="00A6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4DA" w:rsidRDefault="00A634DA">
      <w:r>
        <w:separator/>
      </w:r>
    </w:p>
  </w:footnote>
  <w:footnote w:type="continuationSeparator" w:id="0">
    <w:p w:rsidR="00A634DA" w:rsidRDefault="00A634DA">
      <w:r>
        <w:continuationSeparator/>
      </w:r>
    </w:p>
  </w:footnote>
  <w:footnote w:id="1">
    <w:p w:rsidR="00F7162B" w:rsidRDefault="00F7162B" w:rsidP="00F7162B">
      <w:pPr>
        <w:pStyle w:val="FootnoteText"/>
      </w:pPr>
      <w:r>
        <w:rPr>
          <w:rStyle w:val="FootnoteReference"/>
        </w:rPr>
        <w:footnoteRef/>
      </w:r>
      <w:r>
        <w:t xml:space="preserve"> A Type 2 stipulation occurs on an issue when the utility and the Commission staff, or the utility and at least one party adversarial to the utility, agree on the resolution of the issue and the remaining parties (including staff if they do not join in the agreement) do not object to us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E2763">
      <w:fldChar w:fldCharType="begin"/>
    </w:r>
    <w:r w:rsidR="001E2763">
      <w:instrText xml:space="preserve"> REF OrderNo0486 </w:instrText>
    </w:r>
    <w:r w:rsidR="001E2763">
      <w:fldChar w:fldCharType="separate"/>
    </w:r>
    <w:r w:rsidR="00447CEC">
      <w:t>PSC-2024-0486-FOF-GU</w:t>
    </w:r>
    <w:r w:rsidR="001E2763">
      <w:fldChar w:fldCharType="end"/>
    </w:r>
  </w:p>
  <w:p w:rsidR="00FA6EFD" w:rsidRDefault="00A634DA">
    <w:pPr>
      <w:pStyle w:val="OrderHeader"/>
    </w:pPr>
    <w:bookmarkStart w:id="9" w:name="HeaderDocketNo"/>
    <w:bookmarkEnd w:id="9"/>
    <w:r>
      <w:t>DOCKET NO. 20240004-GU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2763">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4-GU"/>
  </w:docVars>
  <w:rsids>
    <w:rsidRoot w:val="00A634D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21BD"/>
    <w:rsid w:val="000B3402"/>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539A"/>
    <w:rsid w:val="001C6097"/>
    <w:rsid w:val="001C7126"/>
    <w:rsid w:val="001D008A"/>
    <w:rsid w:val="001E0152"/>
    <w:rsid w:val="001E0FF5"/>
    <w:rsid w:val="001E2763"/>
    <w:rsid w:val="001F0095"/>
    <w:rsid w:val="001F36B0"/>
    <w:rsid w:val="001F4CA3"/>
    <w:rsid w:val="001F59E0"/>
    <w:rsid w:val="002002ED"/>
    <w:rsid w:val="002044DD"/>
    <w:rsid w:val="002058BF"/>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586B"/>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5A2F"/>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47CEC"/>
    <w:rsid w:val="00451158"/>
    <w:rsid w:val="0045537F"/>
    <w:rsid w:val="00457DC7"/>
    <w:rsid w:val="004640B3"/>
    <w:rsid w:val="00472BCC"/>
    <w:rsid w:val="004754D4"/>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39DC"/>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7DB"/>
    <w:rsid w:val="00733B6B"/>
    <w:rsid w:val="00740808"/>
    <w:rsid w:val="00740A1B"/>
    <w:rsid w:val="007467C4"/>
    <w:rsid w:val="0075523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46A"/>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1D7A"/>
    <w:rsid w:val="00A108A7"/>
    <w:rsid w:val="00A228DA"/>
    <w:rsid w:val="00A22B28"/>
    <w:rsid w:val="00A3351E"/>
    <w:rsid w:val="00A4303C"/>
    <w:rsid w:val="00A46CAF"/>
    <w:rsid w:val="00A470FD"/>
    <w:rsid w:val="00A50B5E"/>
    <w:rsid w:val="00A62DAB"/>
    <w:rsid w:val="00A634DA"/>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16D"/>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162B"/>
    <w:rsid w:val="00F80685"/>
    <w:rsid w:val="00F91091"/>
    <w:rsid w:val="00F94968"/>
    <w:rsid w:val="00FA092B"/>
    <w:rsid w:val="00FA4F6C"/>
    <w:rsid w:val="00FA6EFD"/>
    <w:rsid w:val="00FB06E1"/>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7162B"/>
  </w:style>
  <w:style w:type="paragraph" w:styleId="BalloonText">
    <w:name w:val="Balloon Text"/>
    <w:basedOn w:val="Normal"/>
    <w:link w:val="BalloonTextChar"/>
    <w:semiHidden/>
    <w:unhideWhenUsed/>
    <w:rsid w:val="0032586B"/>
    <w:rPr>
      <w:rFonts w:ascii="Segoe UI" w:hAnsi="Segoe UI" w:cs="Segoe UI"/>
      <w:sz w:val="18"/>
      <w:szCs w:val="18"/>
    </w:rPr>
  </w:style>
  <w:style w:type="character" w:customStyle="1" w:styleId="BalloonTextChar">
    <w:name w:val="Balloon Text Char"/>
    <w:basedOn w:val="DefaultParagraphFont"/>
    <w:link w:val="BalloonText"/>
    <w:semiHidden/>
    <w:rsid w:val="00325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8</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2024-11-25T13:56:00Z</dcterms:created>
  <dcterms:modified xsi:type="dcterms:W3CDTF">2024-11-25T15:45:00Z</dcterms:modified>
</cp:coreProperties>
</file>