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50925" w:rsidP="00350925">
      <w:pPr>
        <w:pStyle w:val="OrderHeading"/>
      </w:pPr>
      <w:r>
        <w:t>BEFORE THE FLORIDA PUBLIC SERVICE COMMISSION</w:t>
      </w:r>
    </w:p>
    <w:p w:rsidR="00350925" w:rsidRDefault="00350925" w:rsidP="00350925">
      <w:pPr>
        <w:pStyle w:val="OrderBody"/>
      </w:pPr>
    </w:p>
    <w:p w:rsidR="00350925" w:rsidRDefault="00350925" w:rsidP="0035092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0925" w:rsidRPr="00C63FCF" w:rsidTr="00C63FCF">
        <w:trPr>
          <w:trHeight w:val="828"/>
        </w:trPr>
        <w:tc>
          <w:tcPr>
            <w:tcW w:w="4788" w:type="dxa"/>
            <w:tcBorders>
              <w:bottom w:val="single" w:sz="8" w:space="0" w:color="auto"/>
              <w:right w:val="double" w:sz="6" w:space="0" w:color="auto"/>
            </w:tcBorders>
            <w:shd w:val="clear" w:color="auto" w:fill="auto"/>
          </w:tcPr>
          <w:p w:rsidR="00350925" w:rsidRDefault="00350925"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Elsa, Eta, Isaias, Ian, Nicole, and Tropical Storm Fred, by Duke Energy Florida, LLC.</w:t>
            </w:r>
          </w:p>
        </w:tc>
        <w:tc>
          <w:tcPr>
            <w:tcW w:w="4788" w:type="dxa"/>
            <w:tcBorders>
              <w:left w:val="double" w:sz="6" w:space="0" w:color="auto"/>
            </w:tcBorders>
            <w:shd w:val="clear" w:color="auto" w:fill="auto"/>
          </w:tcPr>
          <w:p w:rsidR="00350925" w:rsidRDefault="00350925" w:rsidP="00350925">
            <w:pPr>
              <w:pStyle w:val="OrderBody"/>
            </w:pPr>
            <w:r>
              <w:t xml:space="preserve">DOCKET NO. </w:t>
            </w:r>
            <w:bookmarkStart w:id="1" w:name="SSDocketNo"/>
            <w:bookmarkEnd w:id="1"/>
            <w:r>
              <w:t>20230020-EI</w:t>
            </w:r>
          </w:p>
          <w:p w:rsidR="00350925" w:rsidRDefault="00350925" w:rsidP="00C63FCF">
            <w:pPr>
              <w:pStyle w:val="OrderBody"/>
              <w:tabs>
                <w:tab w:val="center" w:pos="4320"/>
                <w:tab w:val="right" w:pos="8640"/>
              </w:tabs>
              <w:jc w:val="left"/>
            </w:pPr>
            <w:r>
              <w:t xml:space="preserve">ORDER NO. </w:t>
            </w:r>
            <w:bookmarkStart w:id="2" w:name="OrderNo0034"/>
            <w:r w:rsidR="00B4701B">
              <w:t>PSC-2025-0034-CFO-EI</w:t>
            </w:r>
            <w:bookmarkEnd w:id="2"/>
          </w:p>
          <w:p w:rsidR="00350925" w:rsidRDefault="00350925" w:rsidP="00C63FCF">
            <w:pPr>
              <w:pStyle w:val="OrderBody"/>
              <w:tabs>
                <w:tab w:val="center" w:pos="4320"/>
                <w:tab w:val="right" w:pos="8640"/>
              </w:tabs>
              <w:jc w:val="left"/>
            </w:pPr>
            <w:r>
              <w:t xml:space="preserve">ISSUED: </w:t>
            </w:r>
            <w:r w:rsidR="00B4701B">
              <w:t>January 29, 2025</w:t>
            </w:r>
          </w:p>
        </w:tc>
      </w:tr>
    </w:tbl>
    <w:p w:rsidR="00350925" w:rsidRDefault="00350925" w:rsidP="00350925"/>
    <w:p w:rsidR="00350925" w:rsidRDefault="00350925" w:rsidP="00350925">
      <w:pPr>
        <w:pStyle w:val="CenterUnderline"/>
      </w:pPr>
      <w:bookmarkStart w:id="3" w:name="Commissioners"/>
      <w:bookmarkEnd w:id="3"/>
      <w:r>
        <w:t>ORDER</w:t>
      </w:r>
      <w:bookmarkStart w:id="4" w:name="OrderTitle"/>
      <w:r>
        <w:t xml:space="preserve"> GRANTING DUKE ENERGY FLORIDA, LLC’S </w:t>
      </w:r>
    </w:p>
    <w:p w:rsidR="00350925" w:rsidRDefault="00350925" w:rsidP="00350925">
      <w:pPr>
        <w:pStyle w:val="CenterUnderline"/>
      </w:pPr>
      <w:r>
        <w:t>MOTION FOR TEMPORARY PROTECTIVE ORDER</w:t>
      </w:r>
    </w:p>
    <w:bookmarkEnd w:id="4"/>
    <w:p w:rsidR="00350925" w:rsidRDefault="00350925" w:rsidP="00350925">
      <w:pPr>
        <w:pStyle w:val="CenterUnderline"/>
        <w:jc w:val="both"/>
        <w:rPr>
          <w:u w:val="none"/>
        </w:rPr>
      </w:pPr>
    </w:p>
    <w:p w:rsidR="00350925" w:rsidRPr="008E41C5" w:rsidRDefault="00350925" w:rsidP="00350925">
      <w:pPr>
        <w:autoSpaceDE w:val="0"/>
        <w:autoSpaceDN w:val="0"/>
        <w:adjustRightInd w:val="0"/>
        <w:ind w:firstLine="720"/>
        <w:jc w:val="both"/>
      </w:pPr>
      <w:r w:rsidRPr="008E41C5">
        <w:t xml:space="preserve">On </w:t>
      </w:r>
      <w:r>
        <w:t>December 5, 2023</w:t>
      </w:r>
      <w:r w:rsidRPr="008E41C5">
        <w:t>, pursuant to Section 366.093, Florida Statutes (F.S.), and Rule 25-22.006</w:t>
      </w:r>
      <w:r>
        <w:t>(6)(c)</w:t>
      </w:r>
      <w:r w:rsidRPr="008E41C5">
        <w:t xml:space="preserve"> Florida Administrative Code (F.A.C.), </w:t>
      </w:r>
      <w:r>
        <w:t xml:space="preserve">Duke Energy Florida, LLC (DEF) filed </w:t>
      </w:r>
      <w:r w:rsidRPr="008E41C5">
        <w:t>a  Motion for Temporary Protective Order (</w:t>
      </w:r>
      <w:r>
        <w:t>Motion</w:t>
      </w:r>
      <w:r w:rsidRPr="008E41C5">
        <w:t xml:space="preserve">) </w:t>
      </w:r>
      <w:r w:rsidR="00FD2601">
        <w:t>for Price</w:t>
      </w:r>
      <w:r w:rsidR="006A3D13">
        <w:t>W</w:t>
      </w:r>
      <w:r w:rsidR="00FD2601">
        <w:t xml:space="preserve">aterhouseCoopers’ audit </w:t>
      </w:r>
      <w:r w:rsidR="00FE23D2">
        <w:t>work papers</w:t>
      </w:r>
      <w:r w:rsidR="00FD2601">
        <w:t xml:space="preserve"> associated with the incremental storm restoration costs related to Hurricanes Elsa, Eta, Isaias, Ian, Nicole and Tropical Storm Fred</w:t>
      </w:r>
      <w:r w:rsidR="00841767">
        <w:t xml:space="preserve"> which were requested by the Office of Public Counsel (OPC) in their Second Request for Production of Documents No 36.  These </w:t>
      </w:r>
      <w:r w:rsidR="00FE23D2">
        <w:t>work papers</w:t>
      </w:r>
      <w:r w:rsidR="00841767">
        <w:t xml:space="preserve"> were provided directly to OPC by PriceWaterhouseCoopers and have n</w:t>
      </w:r>
      <w:r w:rsidR="00B13BAA">
        <w:t>ever</w:t>
      </w:r>
      <w:r w:rsidR="00841767">
        <w:t xml:space="preserve"> been filed with the Commission Clerk.</w:t>
      </w:r>
      <w:r w:rsidR="00FD2601">
        <w:t xml:space="preserve"> </w:t>
      </w:r>
      <w:r>
        <w:t xml:space="preserve"> </w:t>
      </w:r>
      <w:r w:rsidRPr="008E41C5">
        <w:t xml:space="preserve">  </w:t>
      </w:r>
    </w:p>
    <w:p w:rsidR="00350925" w:rsidRPr="008E41C5" w:rsidRDefault="00350925" w:rsidP="00350925">
      <w:pPr>
        <w:autoSpaceDE w:val="0"/>
        <w:autoSpaceDN w:val="0"/>
        <w:adjustRightInd w:val="0"/>
        <w:jc w:val="both"/>
      </w:pPr>
    </w:p>
    <w:p w:rsidR="00350925" w:rsidRPr="00E351A8" w:rsidRDefault="00350925" w:rsidP="00350925">
      <w:pPr>
        <w:jc w:val="both"/>
        <w:rPr>
          <w:u w:val="single"/>
        </w:rPr>
      </w:pPr>
      <w:r w:rsidRPr="00E351A8">
        <w:rPr>
          <w:u w:val="single"/>
        </w:rPr>
        <w:t>Motion for Temporary Protective Order</w:t>
      </w:r>
    </w:p>
    <w:p w:rsidR="00350925" w:rsidRPr="00E351A8" w:rsidRDefault="00350925" w:rsidP="00350925">
      <w:pPr>
        <w:jc w:val="both"/>
      </w:pPr>
    </w:p>
    <w:p w:rsidR="00350925" w:rsidRPr="00E351A8" w:rsidRDefault="00B37086" w:rsidP="00350925">
      <w:pPr>
        <w:pStyle w:val="CenterUnderline"/>
        <w:ind w:firstLine="720"/>
        <w:jc w:val="both"/>
        <w:rPr>
          <w:u w:val="none"/>
        </w:rPr>
      </w:pPr>
      <w:r>
        <w:rPr>
          <w:u w:val="none"/>
        </w:rPr>
        <w:t xml:space="preserve">DEF </w:t>
      </w:r>
      <w:r w:rsidR="00350925" w:rsidRPr="00E351A8">
        <w:rPr>
          <w:u w:val="none"/>
        </w:rPr>
        <w:t>seeks protection f</w:t>
      </w:r>
      <w:r>
        <w:rPr>
          <w:u w:val="none"/>
        </w:rPr>
        <w:t>or</w:t>
      </w:r>
      <w:r w:rsidR="00350925" w:rsidRPr="00E351A8">
        <w:rPr>
          <w:u w:val="none"/>
        </w:rPr>
        <w:t xml:space="preserve"> the documents as provided in S</w:t>
      </w:r>
      <w:r w:rsidR="00350925">
        <w:rPr>
          <w:u w:val="none"/>
        </w:rPr>
        <w:t>ubs</w:t>
      </w:r>
      <w:r w:rsidR="00350925" w:rsidRPr="00E351A8">
        <w:rPr>
          <w:u w:val="none"/>
        </w:rPr>
        <w:t>ection 366.093(2), F.S., and Rule 25-22.006(6), F.A.C. S</w:t>
      </w:r>
      <w:r w:rsidR="00350925">
        <w:rPr>
          <w:u w:val="none"/>
        </w:rPr>
        <w:t>ubs</w:t>
      </w:r>
      <w:r w:rsidR="00350925" w:rsidRPr="00E351A8">
        <w:rPr>
          <w:u w:val="none"/>
        </w:rPr>
        <w:t>ection 366.093(2), F.S., directs that all records produced pursuant to a discovery request for which proprietary confidential status is requested shall be treated by any party subject to the public records law as confidential and exempt from the</w:t>
      </w:r>
      <w:r w:rsidR="00350925" w:rsidRPr="00E351A8">
        <w:rPr>
          <w:u w:val="none"/>
          <w:lang w:val="en-CA"/>
        </w:rPr>
        <w:t xml:space="preserve"> </w:t>
      </w:r>
      <w:r w:rsidR="00350925" w:rsidRPr="00E351A8">
        <w:rPr>
          <w:u w:val="none"/>
        </w:rPr>
        <w:t>public records law. S</w:t>
      </w:r>
      <w:r w:rsidR="00350925">
        <w:rPr>
          <w:u w:val="none"/>
        </w:rPr>
        <w:t>ubs</w:t>
      </w:r>
      <w:r w:rsidR="00350925" w:rsidRPr="00E351A8">
        <w:rPr>
          <w:u w:val="none"/>
        </w:rPr>
        <w:t>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350925" w:rsidRPr="00E351A8" w:rsidRDefault="00350925" w:rsidP="00350925">
      <w:pPr>
        <w:pStyle w:val="Title"/>
        <w:ind w:left="720" w:right="720"/>
        <w:jc w:val="both"/>
        <w:rPr>
          <w:u w:val="none"/>
        </w:rPr>
      </w:pPr>
    </w:p>
    <w:p w:rsidR="00350925" w:rsidRPr="00E351A8" w:rsidRDefault="00350925" w:rsidP="00350925">
      <w:pPr>
        <w:pStyle w:val="Title"/>
        <w:ind w:left="720" w:right="720"/>
        <w:jc w:val="both"/>
        <w:rPr>
          <w:u w:val="none"/>
        </w:rPr>
      </w:pPr>
      <w:r w:rsidRPr="00E351A8">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350925" w:rsidRDefault="00350925" w:rsidP="00350925">
      <w:pPr>
        <w:pStyle w:val="Title"/>
        <w:jc w:val="both"/>
        <w:rPr>
          <w:u w:val="none"/>
          <w:lang w:val="en-CA"/>
        </w:rPr>
      </w:pPr>
    </w:p>
    <w:p w:rsidR="00305488" w:rsidRDefault="00305488" w:rsidP="00305488">
      <w:pPr>
        <w:jc w:val="both"/>
        <w:rPr>
          <w:szCs w:val="20"/>
          <w:lang w:val="en-CA"/>
        </w:rPr>
      </w:pPr>
      <w:r>
        <w:rPr>
          <w:lang w:val="en-CA"/>
        </w:rPr>
        <w:tab/>
      </w:r>
      <w:r>
        <w:rPr>
          <w:szCs w:val="20"/>
          <w:lang w:val="en-CA"/>
        </w:rPr>
        <w:t xml:space="preserve">In addition,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305488" w:rsidRDefault="00305488" w:rsidP="00305488">
      <w:pPr>
        <w:jc w:val="both"/>
        <w:rPr>
          <w:szCs w:val="20"/>
          <w:lang w:val="en-CA"/>
        </w:rPr>
      </w:pPr>
    </w:p>
    <w:p w:rsidR="00305488" w:rsidRDefault="00305488" w:rsidP="00305488">
      <w:pPr>
        <w:jc w:val="both"/>
        <w:rPr>
          <w:szCs w:val="20"/>
          <w:lang w:val="en-CA"/>
        </w:rPr>
      </w:pPr>
      <w:r>
        <w:rPr>
          <w:szCs w:val="20"/>
          <w:lang w:val="en-CA"/>
        </w:rPr>
        <w:lastRenderedPageBreak/>
        <w:tab/>
        <w:t xml:space="preserve">DEF is seeking protection of information included in portions of its responses to </w:t>
      </w:r>
      <w:r>
        <w:t xml:space="preserve">OPC’s Second Request for Production of Documents No. 36.  </w:t>
      </w:r>
      <w:r>
        <w:rPr>
          <w:szCs w:val="20"/>
          <w:lang w:val="en-CA"/>
        </w:rPr>
        <w:t>The discovery response contain</w:t>
      </w:r>
      <w:r w:rsidR="007E3F79">
        <w:rPr>
          <w:szCs w:val="20"/>
          <w:lang w:val="en-CA"/>
        </w:rPr>
        <w:t>s</w:t>
      </w:r>
      <w:r>
        <w:rPr>
          <w:szCs w:val="20"/>
          <w:lang w:val="en-CA"/>
        </w:rPr>
        <w:t xml:space="preserve"> the </w:t>
      </w:r>
      <w:r w:rsidR="00FE23D2">
        <w:rPr>
          <w:szCs w:val="20"/>
          <w:lang w:val="en-CA"/>
        </w:rPr>
        <w:t>work papers</w:t>
      </w:r>
      <w:r>
        <w:rPr>
          <w:szCs w:val="20"/>
          <w:lang w:val="en-CA"/>
        </w:rPr>
        <w:t xml:space="preserve"> associated with </w:t>
      </w:r>
      <w:r>
        <w:t>Price</w:t>
      </w:r>
      <w:r w:rsidR="00986965">
        <w:t>W</w:t>
      </w:r>
      <w:r>
        <w:t xml:space="preserve">aterhouseCoopers’ audit </w:t>
      </w:r>
      <w:r w:rsidR="007E3F79">
        <w:t xml:space="preserve">of </w:t>
      </w:r>
      <w:r>
        <w:t>the incremental storm restoration costs related to Hurricanes Elsa, Eta, Isaias, Ian, Nicole and Tropical Storm Fred</w:t>
      </w:r>
      <w:r>
        <w:rPr>
          <w:szCs w:val="20"/>
          <w:lang w:val="en-CA"/>
        </w:rPr>
        <w:t xml:space="preserve">.  </w:t>
      </w:r>
      <w:r w:rsidR="007E3F79">
        <w:rPr>
          <w:szCs w:val="20"/>
          <w:lang w:val="en-CA"/>
        </w:rPr>
        <w:t xml:space="preserve">These </w:t>
      </w:r>
      <w:r w:rsidR="00FE23D2">
        <w:rPr>
          <w:szCs w:val="20"/>
          <w:lang w:val="en-CA"/>
        </w:rPr>
        <w:t>work papers</w:t>
      </w:r>
      <w:r w:rsidR="007E3F79">
        <w:rPr>
          <w:szCs w:val="20"/>
          <w:lang w:val="en-CA"/>
        </w:rPr>
        <w:t xml:space="preserve"> contain prices paid by DEF for contractors and replacement equipment as well as information </w:t>
      </w:r>
      <w:r w:rsidR="00986965">
        <w:rPr>
          <w:szCs w:val="20"/>
          <w:lang w:val="en-CA"/>
        </w:rPr>
        <w:t xml:space="preserve">that </w:t>
      </w:r>
      <w:r w:rsidR="007E3F79">
        <w:t>Price</w:t>
      </w:r>
      <w:r w:rsidR="00986965">
        <w:t>W</w:t>
      </w:r>
      <w:r w:rsidR="007E3F79">
        <w:t>aterhouseCoopers</w:t>
      </w:r>
      <w:r w:rsidR="007E3F79">
        <w:rPr>
          <w:szCs w:val="20"/>
          <w:lang w:val="en-CA"/>
        </w:rPr>
        <w:t xml:space="preserve"> considers proprietary.</w:t>
      </w:r>
      <w:r w:rsidR="00986965">
        <w:rPr>
          <w:szCs w:val="20"/>
          <w:lang w:val="en-CA"/>
        </w:rPr>
        <w:t xml:space="preserve">  </w:t>
      </w:r>
      <w:r>
        <w:rPr>
          <w:szCs w:val="20"/>
          <w:lang w:val="en-CA"/>
        </w:rPr>
        <w:t xml:space="preserve">DEF contends that the disclosure of this information could adversely affect its ability to negotiate </w:t>
      </w:r>
      <w:r w:rsidR="00986965">
        <w:rPr>
          <w:szCs w:val="20"/>
          <w:lang w:val="en-CA"/>
        </w:rPr>
        <w:t xml:space="preserve">for similar services </w:t>
      </w:r>
      <w:r>
        <w:rPr>
          <w:szCs w:val="20"/>
          <w:lang w:val="en-CA"/>
        </w:rPr>
        <w:t xml:space="preserve"> harming the competitive business of </w:t>
      </w:r>
      <w:r w:rsidR="007E3F79">
        <w:rPr>
          <w:szCs w:val="20"/>
          <w:lang w:val="en-CA"/>
        </w:rPr>
        <w:t>DEF</w:t>
      </w:r>
      <w:r>
        <w:rPr>
          <w:szCs w:val="20"/>
          <w:lang w:val="en-CA"/>
        </w:rPr>
        <w:t xml:space="preserve">, and ultimately having a detrimental impact on </w:t>
      </w:r>
      <w:r w:rsidR="00986965">
        <w:rPr>
          <w:szCs w:val="20"/>
          <w:lang w:val="en-CA"/>
        </w:rPr>
        <w:t>DEF</w:t>
      </w:r>
      <w:r>
        <w:rPr>
          <w:szCs w:val="20"/>
          <w:lang w:val="en-CA"/>
        </w:rPr>
        <w:t xml:space="preserve">’s customers. </w:t>
      </w:r>
      <w:r w:rsidR="00986965">
        <w:rPr>
          <w:szCs w:val="20"/>
          <w:lang w:val="en-CA"/>
        </w:rPr>
        <w:t xml:space="preserve">  DEF also contends that its ability to contract for outside auditing </w:t>
      </w:r>
      <w:r w:rsidR="00FE23D2">
        <w:rPr>
          <w:szCs w:val="20"/>
          <w:lang w:val="en-CA"/>
        </w:rPr>
        <w:t>services</w:t>
      </w:r>
      <w:r w:rsidR="00986965">
        <w:rPr>
          <w:szCs w:val="20"/>
          <w:lang w:val="en-CA"/>
        </w:rPr>
        <w:t xml:space="preserve"> could be harmed if </w:t>
      </w:r>
      <w:r w:rsidR="00986965">
        <w:t>PriceWaterhouseCoopers’ proprietary information was disclosed.</w:t>
      </w:r>
    </w:p>
    <w:p w:rsidR="00305488" w:rsidRPr="006B5C3A" w:rsidRDefault="00305488" w:rsidP="00305488">
      <w:pPr>
        <w:jc w:val="both"/>
        <w:rPr>
          <w:szCs w:val="20"/>
          <w:lang w:val="en-CA"/>
        </w:rPr>
      </w:pPr>
    </w:p>
    <w:p w:rsidR="00305488" w:rsidRDefault="00305488" w:rsidP="00305488">
      <w:pPr>
        <w:jc w:val="both"/>
        <w:rPr>
          <w:szCs w:val="20"/>
          <w:u w:val="single"/>
          <w:lang w:val="en-CA"/>
        </w:rPr>
      </w:pPr>
      <w:r>
        <w:rPr>
          <w:szCs w:val="20"/>
          <w:u w:val="single"/>
          <w:lang w:val="en-CA"/>
        </w:rPr>
        <w:t>Ruling</w:t>
      </w:r>
    </w:p>
    <w:p w:rsidR="007E3F79" w:rsidRDefault="007E3F79" w:rsidP="00350925">
      <w:pPr>
        <w:jc w:val="both"/>
        <w:rPr>
          <w:lang w:val="en-CA"/>
        </w:rPr>
      </w:pPr>
    </w:p>
    <w:p w:rsidR="00350925" w:rsidRPr="008E41C5" w:rsidRDefault="00350925" w:rsidP="00350925">
      <w:pPr>
        <w:jc w:val="both"/>
        <w:rPr>
          <w:rFonts w:cs="Courier New"/>
        </w:rPr>
      </w:pPr>
      <w:r w:rsidRPr="00E351A8">
        <w:rPr>
          <w:lang w:val="en-CA"/>
        </w:rPr>
        <w:tab/>
      </w:r>
      <w:r w:rsidRPr="00E351A8">
        <w:t xml:space="preserve">Upon consideration of </w:t>
      </w:r>
      <w:r w:rsidR="00B37086">
        <w:t>DEF’</w:t>
      </w:r>
      <w:r>
        <w:t>s</w:t>
      </w:r>
      <w:r w:rsidRPr="00E351A8">
        <w:t xml:space="preserve"> assertions of the confidential nature of the information contained in </w:t>
      </w:r>
      <w:r w:rsidR="00986965">
        <w:t xml:space="preserve">PriceWaterhouseCoopers’ </w:t>
      </w:r>
      <w:r w:rsidR="00FE23D2">
        <w:t>work papers</w:t>
      </w:r>
      <w:r w:rsidR="00986965">
        <w:t xml:space="preserve">, Duke Energy Florida, LLC’s </w:t>
      </w:r>
      <w:r w:rsidRPr="00E351A8">
        <w:t>Motion for Temporary Protective Order is hereby granted.  As a result, this information shall be protected from disclosure pursuant to Rule 25-22.006(6), F.A.C.</w:t>
      </w:r>
    </w:p>
    <w:p w:rsidR="00350925" w:rsidRDefault="00350925" w:rsidP="00350925">
      <w:pPr>
        <w:jc w:val="both"/>
        <w:rPr>
          <w:rFonts w:cs="Courier New"/>
        </w:rPr>
      </w:pPr>
    </w:p>
    <w:p w:rsidR="00350925" w:rsidRPr="008E41C5" w:rsidRDefault="00350925" w:rsidP="00350925">
      <w:pPr>
        <w:jc w:val="both"/>
        <w:rPr>
          <w:u w:val="single"/>
        </w:rPr>
      </w:pPr>
      <w:r>
        <w:tab/>
      </w:r>
      <w:r w:rsidRPr="008E41C5">
        <w:t>Based on the foregoing, it is hereby</w:t>
      </w:r>
    </w:p>
    <w:p w:rsidR="00350925" w:rsidRPr="008E41C5" w:rsidRDefault="00350925" w:rsidP="00350925">
      <w:pPr>
        <w:pStyle w:val="CenterUnderline"/>
        <w:jc w:val="left"/>
      </w:pPr>
      <w:r w:rsidRPr="008E41C5">
        <w:t xml:space="preserve"> </w:t>
      </w:r>
    </w:p>
    <w:p w:rsidR="00350925" w:rsidRDefault="00350925" w:rsidP="000D0B5D">
      <w:pPr>
        <w:jc w:val="both"/>
      </w:pPr>
      <w:r w:rsidRPr="008E41C5">
        <w:tab/>
        <w:t xml:space="preserve">ORDERED by Commissioner </w:t>
      </w:r>
      <w:r w:rsidR="00E47138">
        <w:t>Art Graham</w:t>
      </w:r>
      <w:r w:rsidRPr="008E41C5">
        <w:t xml:space="preserve">, as Prehearing Officer, that </w:t>
      </w:r>
      <w:r w:rsidR="000D0B5D">
        <w:t>Duke Energy Florida, LLC’s</w:t>
      </w:r>
      <w:r>
        <w:t xml:space="preserve"> Motion for Temporary Protective Order of </w:t>
      </w:r>
      <w:r w:rsidR="000D0B5D">
        <w:t>PriceWaterhouseCoopers’</w:t>
      </w:r>
      <w:r w:rsidR="000D0B5D" w:rsidRPr="00B87D20">
        <w:t xml:space="preserve"> </w:t>
      </w:r>
      <w:r w:rsidR="000D0B5D">
        <w:t xml:space="preserve">audit </w:t>
      </w:r>
      <w:r w:rsidR="00FE23D2">
        <w:t>work papers</w:t>
      </w:r>
      <w:r w:rsidR="000D0B5D">
        <w:t xml:space="preserve"> produced in response to the Office of Public Counsel’s Second Request for Production of Documents No. 36 is granted.</w:t>
      </w:r>
    </w:p>
    <w:p w:rsidR="00183648" w:rsidRDefault="00183648" w:rsidP="00B13BAA">
      <w:pPr>
        <w:keepNext/>
        <w:keepLines/>
        <w:jc w:val="both"/>
      </w:pPr>
    </w:p>
    <w:p w:rsidR="00B13BAA" w:rsidRDefault="00B13BAA" w:rsidP="00B13BAA">
      <w:pPr>
        <w:keepNext/>
        <w:keepLines/>
        <w:jc w:val="both"/>
      </w:pPr>
      <w:r>
        <w:tab/>
        <w:t xml:space="preserve">By ORDER of Commissioner </w:t>
      </w:r>
      <w:r w:rsidR="00E47138">
        <w:t>Art Graham</w:t>
      </w:r>
      <w:r>
        <w:t xml:space="preserve">, as Prehearing Officer, this </w:t>
      </w:r>
      <w:bookmarkStart w:id="5" w:name="replaceDate"/>
      <w:bookmarkEnd w:id="5"/>
      <w:r w:rsidR="00B4701B">
        <w:rPr>
          <w:u w:val="single"/>
        </w:rPr>
        <w:t>29th</w:t>
      </w:r>
      <w:r w:rsidR="00B4701B">
        <w:t xml:space="preserve"> day of </w:t>
      </w:r>
      <w:r w:rsidR="00B4701B">
        <w:rPr>
          <w:u w:val="single"/>
        </w:rPr>
        <w:t>January</w:t>
      </w:r>
      <w:r w:rsidR="00B4701B">
        <w:t xml:space="preserve">, </w:t>
      </w:r>
      <w:r w:rsidR="00B4701B">
        <w:rPr>
          <w:u w:val="single"/>
        </w:rPr>
        <w:t>2025</w:t>
      </w:r>
      <w:r w:rsidR="00B4701B">
        <w:t>.</w:t>
      </w:r>
    </w:p>
    <w:p w:rsidR="00B4701B" w:rsidRPr="00B4701B" w:rsidRDefault="00B4701B" w:rsidP="00B13BA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13BAA" w:rsidTr="00B13BAA">
        <w:tc>
          <w:tcPr>
            <w:tcW w:w="720" w:type="dxa"/>
            <w:shd w:val="clear" w:color="auto" w:fill="auto"/>
          </w:tcPr>
          <w:p w:rsidR="00B13BAA" w:rsidRDefault="00B13BAA" w:rsidP="00B13BAA">
            <w:pPr>
              <w:keepNext/>
              <w:keepLines/>
              <w:jc w:val="both"/>
            </w:pPr>
            <w:bookmarkStart w:id="6" w:name="bkmrkSignature" w:colFirst="0" w:colLast="0"/>
          </w:p>
        </w:tc>
        <w:tc>
          <w:tcPr>
            <w:tcW w:w="4320" w:type="dxa"/>
            <w:tcBorders>
              <w:bottom w:val="single" w:sz="4" w:space="0" w:color="auto"/>
            </w:tcBorders>
            <w:shd w:val="clear" w:color="auto" w:fill="auto"/>
          </w:tcPr>
          <w:p w:rsidR="00B13BAA" w:rsidRDefault="0058648A" w:rsidP="00B13BAA">
            <w:pPr>
              <w:keepNext/>
              <w:keepLines/>
              <w:jc w:val="both"/>
            </w:pPr>
            <w:r>
              <w:t>/s/ Art Graham</w:t>
            </w:r>
            <w:bookmarkStart w:id="7" w:name="_GoBack"/>
            <w:bookmarkEnd w:id="7"/>
          </w:p>
        </w:tc>
      </w:tr>
      <w:bookmarkEnd w:id="6"/>
      <w:tr w:rsidR="00B13BAA" w:rsidTr="00B13BAA">
        <w:tc>
          <w:tcPr>
            <w:tcW w:w="720" w:type="dxa"/>
            <w:shd w:val="clear" w:color="auto" w:fill="auto"/>
          </w:tcPr>
          <w:p w:rsidR="00B13BAA" w:rsidRDefault="00B13BAA" w:rsidP="00B13BAA">
            <w:pPr>
              <w:keepNext/>
              <w:keepLines/>
              <w:jc w:val="both"/>
            </w:pPr>
          </w:p>
        </w:tc>
        <w:tc>
          <w:tcPr>
            <w:tcW w:w="4320" w:type="dxa"/>
            <w:tcBorders>
              <w:top w:val="single" w:sz="4" w:space="0" w:color="auto"/>
            </w:tcBorders>
            <w:shd w:val="clear" w:color="auto" w:fill="auto"/>
          </w:tcPr>
          <w:p w:rsidR="00E47138" w:rsidRDefault="00E47138" w:rsidP="00B13BAA">
            <w:pPr>
              <w:keepNext/>
              <w:keepLines/>
              <w:jc w:val="both"/>
            </w:pPr>
            <w:r>
              <w:t xml:space="preserve">ART GRAHAM </w:t>
            </w:r>
          </w:p>
          <w:p w:rsidR="00B13BAA" w:rsidRDefault="00B13BAA" w:rsidP="00B13BAA">
            <w:pPr>
              <w:keepNext/>
              <w:keepLines/>
              <w:jc w:val="both"/>
            </w:pPr>
            <w:r>
              <w:t>Commissioner and Prehearing Officer</w:t>
            </w:r>
          </w:p>
        </w:tc>
      </w:tr>
    </w:tbl>
    <w:p w:rsidR="00B13BAA" w:rsidRDefault="00B13BAA" w:rsidP="00B13BAA">
      <w:pPr>
        <w:pStyle w:val="OrderSigInfo"/>
        <w:keepNext/>
        <w:keepLines/>
      </w:pPr>
      <w:r>
        <w:t>Florida Public Service Commission</w:t>
      </w:r>
    </w:p>
    <w:p w:rsidR="00B13BAA" w:rsidRDefault="00B13BAA" w:rsidP="00B13BAA">
      <w:pPr>
        <w:pStyle w:val="OrderSigInfo"/>
        <w:keepNext/>
        <w:keepLines/>
      </w:pPr>
      <w:r>
        <w:t>2540 Shumard Oak Boulevard</w:t>
      </w:r>
    </w:p>
    <w:p w:rsidR="00B13BAA" w:rsidRDefault="00B13BAA" w:rsidP="00B13BAA">
      <w:pPr>
        <w:pStyle w:val="OrderSigInfo"/>
        <w:keepNext/>
        <w:keepLines/>
      </w:pPr>
      <w:r>
        <w:t>Tallahassee, Florida 32399</w:t>
      </w:r>
    </w:p>
    <w:p w:rsidR="00B13BAA" w:rsidRDefault="00B13BAA" w:rsidP="00B13BAA">
      <w:pPr>
        <w:pStyle w:val="OrderSigInfo"/>
        <w:keepNext/>
        <w:keepLines/>
      </w:pPr>
      <w:r>
        <w:t>(850) 413</w:t>
      </w:r>
      <w:r>
        <w:noBreakHyphen/>
        <w:t>6770</w:t>
      </w:r>
    </w:p>
    <w:p w:rsidR="00B13BAA" w:rsidRDefault="00B13BAA" w:rsidP="00B13BAA">
      <w:pPr>
        <w:pStyle w:val="OrderSigInfo"/>
        <w:keepNext/>
        <w:keepLines/>
      </w:pPr>
      <w:r>
        <w:t>www.floridapsc.com</w:t>
      </w:r>
    </w:p>
    <w:p w:rsidR="00B13BAA" w:rsidRDefault="00B13BAA" w:rsidP="00B13BAA">
      <w:pPr>
        <w:pStyle w:val="OrderSigInfo"/>
        <w:keepNext/>
        <w:keepLines/>
      </w:pPr>
    </w:p>
    <w:p w:rsidR="00B13BAA" w:rsidRDefault="00B13BAA" w:rsidP="00B13BAA">
      <w:pPr>
        <w:pStyle w:val="OrderSigInfo"/>
        <w:keepNext/>
        <w:keepLines/>
      </w:pPr>
      <w:r>
        <w:t>Copies furnished:  A copy of this document is provided to the parties of record at the time of issuance and, if applicable, interested persons.</w:t>
      </w:r>
    </w:p>
    <w:p w:rsidR="00B13BAA" w:rsidRDefault="00B13BAA" w:rsidP="00B13BAA">
      <w:pPr>
        <w:pStyle w:val="OrderBody"/>
        <w:keepNext/>
        <w:keepLines/>
      </w:pPr>
    </w:p>
    <w:p w:rsidR="00B13BAA" w:rsidRDefault="00183648" w:rsidP="00B13BAA">
      <w:pPr>
        <w:keepNext/>
        <w:keepLines/>
        <w:jc w:val="both"/>
      </w:pPr>
      <w:r>
        <w:t>SBr</w:t>
      </w:r>
    </w:p>
    <w:p w:rsidR="00183648" w:rsidRDefault="00183648">
      <w:r>
        <w:br w:type="page"/>
      </w:r>
    </w:p>
    <w:p w:rsidR="00183648" w:rsidRDefault="00183648" w:rsidP="00B13BAA">
      <w:pPr>
        <w:keepNext/>
        <w:keepLines/>
        <w:jc w:val="both"/>
      </w:pPr>
    </w:p>
    <w:p w:rsidR="00B13BAA" w:rsidRDefault="00B13BAA" w:rsidP="00B13BAA">
      <w:pPr>
        <w:pStyle w:val="CenterUnderline"/>
      </w:pPr>
      <w:r>
        <w:t>NOTICE OF FURTHER PROCEEDINGS OR JUDICIAL REVIEW</w:t>
      </w:r>
    </w:p>
    <w:p w:rsidR="00B13BAA" w:rsidRDefault="00B13BAA" w:rsidP="00B13BAA">
      <w:pPr>
        <w:pStyle w:val="CenterUnderline"/>
      </w:pPr>
    </w:p>
    <w:p w:rsidR="00B13BAA" w:rsidRDefault="00B13BAA" w:rsidP="00B13BA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13BAA" w:rsidRDefault="00B13BAA" w:rsidP="00B13BAA">
      <w:pPr>
        <w:pStyle w:val="OrderBody"/>
      </w:pPr>
    </w:p>
    <w:p w:rsidR="00B13BAA" w:rsidRDefault="00B13BAA" w:rsidP="00B13BAA">
      <w:pPr>
        <w:pStyle w:val="OrderBody"/>
      </w:pPr>
      <w:r>
        <w:tab/>
        <w:t>Mediation may be available on a case-by-case basis.  If mediation is conducted, it does not affect a substantially interested person's right to a hearing.</w:t>
      </w:r>
    </w:p>
    <w:p w:rsidR="00B13BAA" w:rsidRDefault="00B13BAA" w:rsidP="00B13BAA">
      <w:pPr>
        <w:pStyle w:val="OrderBody"/>
      </w:pPr>
    </w:p>
    <w:p w:rsidR="00B13BAA" w:rsidRDefault="00B13BAA" w:rsidP="00B13BA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13BAA" w:rsidRDefault="00B13BAA" w:rsidP="00B13BAA">
      <w:pPr>
        <w:pStyle w:val="OrderBody"/>
      </w:pPr>
    </w:p>
    <w:p w:rsidR="00B13BAA" w:rsidRDefault="00B13BAA" w:rsidP="00B13BAA">
      <w:pPr>
        <w:pStyle w:val="OrderBody"/>
      </w:pPr>
    </w:p>
    <w:p w:rsidR="00B13BAA" w:rsidRDefault="00B13BAA" w:rsidP="00B13BAA">
      <w:pPr>
        <w:pStyle w:val="OrderBody"/>
      </w:pPr>
    </w:p>
    <w:sectPr w:rsidR="00B13BA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925" w:rsidRDefault="00350925">
      <w:r>
        <w:separator/>
      </w:r>
    </w:p>
  </w:endnote>
  <w:endnote w:type="continuationSeparator" w:id="0">
    <w:p w:rsidR="00350925" w:rsidRDefault="00350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925" w:rsidRDefault="00350925">
      <w:r>
        <w:separator/>
      </w:r>
    </w:p>
  </w:footnote>
  <w:footnote w:type="continuationSeparator" w:id="0">
    <w:p w:rsidR="00350925" w:rsidRDefault="00350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8648A">
      <w:fldChar w:fldCharType="begin"/>
    </w:r>
    <w:r w:rsidR="0058648A">
      <w:instrText xml:space="preserve"> REF OrderNo0034 </w:instrText>
    </w:r>
    <w:r w:rsidR="0058648A">
      <w:fldChar w:fldCharType="separate"/>
    </w:r>
    <w:r w:rsidR="00B4701B">
      <w:t>PSC-2025-0034-CFO-EI</w:t>
    </w:r>
    <w:r w:rsidR="0058648A">
      <w:fldChar w:fldCharType="end"/>
    </w:r>
  </w:p>
  <w:p w:rsidR="00FA6EFD" w:rsidRDefault="00350925">
    <w:pPr>
      <w:pStyle w:val="OrderHeader"/>
    </w:pPr>
    <w:bookmarkStart w:id="8" w:name="HeaderDocketNo"/>
    <w:bookmarkEnd w:id="8"/>
    <w:r>
      <w:t>DOCKET NO. 20230020-EI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8648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0-EI"/>
  </w:docVars>
  <w:rsids>
    <w:rsidRoot w:val="00350925"/>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0B5D"/>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3648"/>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0B1D"/>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05488"/>
    <w:rsid w:val="00313C5B"/>
    <w:rsid w:val="003140E8"/>
    <w:rsid w:val="00321702"/>
    <w:rsid w:val="003231C7"/>
    <w:rsid w:val="00323839"/>
    <w:rsid w:val="003270C4"/>
    <w:rsid w:val="00331ED0"/>
    <w:rsid w:val="00332B0A"/>
    <w:rsid w:val="00333A41"/>
    <w:rsid w:val="00341036"/>
    <w:rsid w:val="00345434"/>
    <w:rsid w:val="00350925"/>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4F63"/>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78E2"/>
    <w:rsid w:val="0058264B"/>
    <w:rsid w:val="00586368"/>
    <w:rsid w:val="0058648A"/>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65CF3"/>
    <w:rsid w:val="00672612"/>
    <w:rsid w:val="00674ECC"/>
    <w:rsid w:val="00677F18"/>
    <w:rsid w:val="00693483"/>
    <w:rsid w:val="006A0BF3"/>
    <w:rsid w:val="006A3D1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3F79"/>
    <w:rsid w:val="007E542E"/>
    <w:rsid w:val="00801DAD"/>
    <w:rsid w:val="00803189"/>
    <w:rsid w:val="00804E7A"/>
    <w:rsid w:val="00805FBB"/>
    <w:rsid w:val="00814292"/>
    <w:rsid w:val="008169A4"/>
    <w:rsid w:val="00822500"/>
    <w:rsid w:val="008278FE"/>
    <w:rsid w:val="00832598"/>
    <w:rsid w:val="0083397E"/>
    <w:rsid w:val="0083534B"/>
    <w:rsid w:val="00841767"/>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965"/>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3BAA"/>
    <w:rsid w:val="00B14D10"/>
    <w:rsid w:val="00B209C7"/>
    <w:rsid w:val="00B26480"/>
    <w:rsid w:val="00B3644F"/>
    <w:rsid w:val="00B37086"/>
    <w:rsid w:val="00B4057A"/>
    <w:rsid w:val="00B40894"/>
    <w:rsid w:val="00B41039"/>
    <w:rsid w:val="00B41F37"/>
    <w:rsid w:val="00B42987"/>
    <w:rsid w:val="00B444AE"/>
    <w:rsid w:val="00B45E75"/>
    <w:rsid w:val="00B4701B"/>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93A27"/>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47138"/>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601"/>
    <w:rsid w:val="00FD2C9E"/>
    <w:rsid w:val="00FD4786"/>
    <w:rsid w:val="00FD616C"/>
    <w:rsid w:val="00FE23D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350925"/>
    <w:pPr>
      <w:jc w:val="center"/>
    </w:pPr>
    <w:rPr>
      <w:szCs w:val="20"/>
      <w:u w:val="single"/>
    </w:rPr>
  </w:style>
  <w:style w:type="character" w:customStyle="1" w:styleId="TitleChar">
    <w:name w:val="Title Char"/>
    <w:basedOn w:val="DefaultParagraphFont"/>
    <w:link w:val="Title"/>
    <w:rsid w:val="00350925"/>
    <w:rPr>
      <w:sz w:val="24"/>
      <w:u w:val="single"/>
    </w:rPr>
  </w:style>
  <w:style w:type="paragraph" w:styleId="BalloonText">
    <w:name w:val="Balloon Text"/>
    <w:basedOn w:val="Normal"/>
    <w:link w:val="BalloonTextChar"/>
    <w:semiHidden/>
    <w:unhideWhenUsed/>
    <w:rsid w:val="00B4701B"/>
    <w:rPr>
      <w:rFonts w:ascii="Segoe UI" w:hAnsi="Segoe UI" w:cs="Segoe UI"/>
      <w:sz w:val="18"/>
      <w:szCs w:val="18"/>
    </w:rPr>
  </w:style>
  <w:style w:type="character" w:customStyle="1" w:styleId="BalloonTextChar">
    <w:name w:val="Balloon Text Char"/>
    <w:basedOn w:val="DefaultParagraphFont"/>
    <w:link w:val="BalloonText"/>
    <w:semiHidden/>
    <w:rsid w:val="00B47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66F6B-03B1-4CED-907A-152DAD3E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2025-01-28T19:31:00Z</dcterms:created>
  <dcterms:modified xsi:type="dcterms:W3CDTF">2025-01-29T13:59:00Z</dcterms:modified>
</cp:coreProperties>
</file>