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2DD0BC01"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5EC0EADF" w14:textId="77777777" w:rsidR="007C0528" w:rsidRDefault="007C0528" w:rsidP="00532DFB">
            <w:pPr>
              <w:pStyle w:val="MastHeadState"/>
            </w:pPr>
            <w:bookmarkStart w:id="0" w:name="_GoBack"/>
            <w:bookmarkEnd w:id="0"/>
            <w:r>
              <w:t>State of Florida</w:t>
            </w:r>
          </w:p>
          <w:p w14:paraId="29FF5A7C" w14:textId="77777777" w:rsidR="007C0528" w:rsidRDefault="00072CCA">
            <w:pPr>
              <w:jc w:val="center"/>
            </w:pPr>
            <w:r>
              <w:rPr>
                <w:noProof/>
              </w:rPr>
              <w:drawing>
                <wp:inline distT="0" distB="0" distL="0" distR="0" wp14:anchorId="723626FC" wp14:editId="22827EDF">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443F08FC"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41487F64" w14:textId="77777777" w:rsidR="007C0528" w:rsidRDefault="007C0528">
            <w:pPr>
              <w:pStyle w:val="MastHeadPSC"/>
            </w:pPr>
            <w:r>
              <w:t>Public Service Commission</w:t>
            </w:r>
          </w:p>
          <w:p w14:paraId="154C02FC" w14:textId="77777777" w:rsidR="007C0528" w:rsidRDefault="007C0528">
            <w:pPr>
              <w:pStyle w:val="MastHeadAddress"/>
            </w:pPr>
            <w:r>
              <w:t>Capital Circle Office Center ● 2540 Shumard Oak Boulevard</w:t>
            </w:r>
            <w:r>
              <w:br/>
              <w:t>Tallahassee, Florida 32399-0850</w:t>
            </w:r>
          </w:p>
          <w:p w14:paraId="201B475B" w14:textId="77777777" w:rsidR="007C0528" w:rsidRDefault="007C0528">
            <w:pPr>
              <w:pStyle w:val="MastHeadMemorandum"/>
            </w:pPr>
            <w:r>
              <w:t>-M-E-M-O-R-A-N-D-U-M-</w:t>
            </w:r>
          </w:p>
          <w:p w14:paraId="518D1E50" w14:textId="77777777" w:rsidR="007C0528" w:rsidRDefault="007C0528">
            <w:pPr>
              <w:pStyle w:val="MemoHeading"/>
            </w:pPr>
          </w:p>
        </w:tc>
      </w:tr>
      <w:tr w:rsidR="007C0528" w14:paraId="2DA6A1AE"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BC93D24"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323B728F" w14:textId="77777777" w:rsidR="007C0528" w:rsidRDefault="006A2AF1">
            <w:pPr>
              <w:pStyle w:val="MemoHeading"/>
            </w:pPr>
            <w:bookmarkStart w:id="1" w:name="FilingDate"/>
            <w:r>
              <w:t>February 20, 2025</w:t>
            </w:r>
            <w:bookmarkEnd w:id="1"/>
          </w:p>
        </w:tc>
      </w:tr>
      <w:tr w:rsidR="007C0528" w14:paraId="31BB291A" w14:textId="77777777">
        <w:tc>
          <w:tcPr>
            <w:tcW w:w="1254" w:type="dxa"/>
            <w:tcBorders>
              <w:top w:val="nil"/>
              <w:left w:val="nil"/>
              <w:bottom w:val="nil"/>
              <w:right w:val="nil"/>
            </w:tcBorders>
            <w:shd w:val="clear" w:color="auto" w:fill="auto"/>
            <w:tcMar>
              <w:top w:w="288" w:type="dxa"/>
              <w:bottom w:w="0" w:type="dxa"/>
              <w:right w:w="0" w:type="dxa"/>
            </w:tcMar>
          </w:tcPr>
          <w:p w14:paraId="6C955FDB"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398B57FC" w14:textId="77777777" w:rsidR="007C0528" w:rsidRDefault="007C0528" w:rsidP="0093658B">
            <w:pPr>
              <w:pStyle w:val="MemoHeading"/>
            </w:pPr>
            <w:r>
              <w:t>Office of Commission Clerk (</w:t>
            </w:r>
            <w:r w:rsidR="004E69B5">
              <w:t>Teitzman</w:t>
            </w:r>
            <w:r>
              <w:t>)</w:t>
            </w:r>
          </w:p>
        </w:tc>
      </w:tr>
      <w:tr w:rsidR="007C0528" w14:paraId="182AF5A3" w14:textId="77777777">
        <w:tc>
          <w:tcPr>
            <w:tcW w:w="1254" w:type="dxa"/>
            <w:tcBorders>
              <w:top w:val="nil"/>
              <w:left w:val="nil"/>
              <w:bottom w:val="nil"/>
              <w:right w:val="nil"/>
            </w:tcBorders>
            <w:shd w:val="clear" w:color="auto" w:fill="auto"/>
            <w:tcMar>
              <w:top w:w="288" w:type="dxa"/>
              <w:right w:w="0" w:type="dxa"/>
            </w:tcMar>
          </w:tcPr>
          <w:p w14:paraId="74249A04"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3B3587E9" w14:textId="18719696" w:rsidR="006A2AF1" w:rsidRPr="003C2A70" w:rsidRDefault="006A2AF1">
            <w:pPr>
              <w:pStyle w:val="MemoHeading"/>
              <w:rPr>
                <w:rFonts w:ascii="Freestyle Script" w:hAnsi="Freestyle Script"/>
                <w:b/>
                <w:color w:val="00B0F0"/>
                <w:sz w:val="28"/>
                <w:szCs w:val="28"/>
              </w:rPr>
            </w:pPr>
            <w:bookmarkStart w:id="2" w:name="From"/>
            <w:r>
              <w:t>Office of the General Counsel (Sapoznikoff)</w:t>
            </w:r>
            <w:r w:rsidR="004F415A">
              <w:t xml:space="preserve"> </w:t>
            </w:r>
            <w:r w:rsidR="004F415A" w:rsidRPr="003C2A70">
              <w:rPr>
                <w:rFonts w:ascii="Freestyle Script" w:hAnsi="Freestyle Script"/>
                <w:b/>
                <w:color w:val="00B0F0"/>
                <w:sz w:val="28"/>
                <w:szCs w:val="28"/>
              </w:rPr>
              <w:t>SMC</w:t>
            </w:r>
          </w:p>
          <w:p w14:paraId="0FABC43F" w14:textId="235D0018" w:rsidR="006A2AF1" w:rsidRPr="003C2A70" w:rsidRDefault="006A2AF1">
            <w:pPr>
              <w:pStyle w:val="MemoHeading"/>
              <w:rPr>
                <w:rFonts w:ascii="Freestyle Script" w:hAnsi="Freestyle Script"/>
                <w:b/>
                <w:color w:val="00B0F0"/>
                <w:sz w:val="28"/>
                <w:szCs w:val="28"/>
              </w:rPr>
            </w:pPr>
            <w:r>
              <w:t>Division of Economics (Guffey)</w:t>
            </w:r>
            <w:r w:rsidR="003B4CA3">
              <w:t xml:space="preserve"> </w:t>
            </w:r>
            <w:r w:rsidR="003B4CA3" w:rsidRPr="003C2A70">
              <w:rPr>
                <w:rFonts w:ascii="Freestyle Script" w:hAnsi="Freestyle Script"/>
                <w:b/>
                <w:color w:val="00B0F0"/>
                <w:sz w:val="28"/>
                <w:szCs w:val="28"/>
              </w:rPr>
              <w:t>ECO</w:t>
            </w:r>
          </w:p>
          <w:p w14:paraId="4B946D1E" w14:textId="4E7304FE" w:rsidR="007C0528" w:rsidRPr="00C04D02" w:rsidRDefault="006A2AF1">
            <w:pPr>
              <w:pStyle w:val="MemoHeading"/>
              <w:rPr>
                <w:rFonts w:ascii="Freestyle Script" w:hAnsi="Freestyle Script"/>
                <w:color w:val="00B0F0"/>
                <w:sz w:val="28"/>
                <w:szCs w:val="28"/>
              </w:rPr>
            </w:pPr>
            <w:r>
              <w:t>Office of Industry Development and Market Analysis (Hinton)</w:t>
            </w:r>
            <w:bookmarkEnd w:id="2"/>
            <w:r w:rsidR="00C04D02">
              <w:t xml:space="preserve"> </w:t>
            </w:r>
            <w:r w:rsidR="00C04D02" w:rsidRPr="003C2A70">
              <w:rPr>
                <w:rFonts w:ascii="Freestyle Script" w:hAnsi="Freestyle Script"/>
                <w:b/>
                <w:color w:val="00B0F0"/>
                <w:sz w:val="28"/>
                <w:szCs w:val="28"/>
              </w:rPr>
              <w:t>CH</w:t>
            </w:r>
          </w:p>
        </w:tc>
      </w:tr>
      <w:tr w:rsidR="007C0528" w14:paraId="2226E6D6" w14:textId="77777777">
        <w:tc>
          <w:tcPr>
            <w:tcW w:w="1254" w:type="dxa"/>
            <w:tcBorders>
              <w:top w:val="nil"/>
              <w:left w:val="nil"/>
              <w:bottom w:val="nil"/>
              <w:right w:val="nil"/>
            </w:tcBorders>
            <w:shd w:val="clear" w:color="auto" w:fill="auto"/>
            <w:tcMar>
              <w:top w:w="288" w:type="dxa"/>
              <w:right w:w="0" w:type="dxa"/>
            </w:tcMar>
          </w:tcPr>
          <w:p w14:paraId="431E2A9B"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77556594" w14:textId="55468889" w:rsidR="007C0528" w:rsidRDefault="006A2AF1" w:rsidP="00475696">
            <w:pPr>
              <w:pStyle w:val="MemoHeadingRe"/>
            </w:pPr>
            <w:bookmarkStart w:id="3" w:name="Re"/>
            <w:r>
              <w:t xml:space="preserve">Docket No. 20250020-GU – </w:t>
            </w:r>
            <w:r w:rsidR="00F72502">
              <w:t xml:space="preserve">Adoption of new Rule 25-7.150, </w:t>
            </w:r>
            <w:r>
              <w:t>F</w:t>
            </w:r>
            <w:r w:rsidR="00F72502">
              <w:t>.</w:t>
            </w:r>
            <w:r>
              <w:t>A</w:t>
            </w:r>
            <w:r w:rsidR="00F72502">
              <w:t>.</w:t>
            </w:r>
            <w:r>
              <w:t>C</w:t>
            </w:r>
            <w:r w:rsidR="00F72502">
              <w:t>.</w:t>
            </w:r>
            <w:r>
              <w:t>, Natural Gas Facilities Relocation Cost Recovery Clause.</w:t>
            </w:r>
            <w:bookmarkEnd w:id="3"/>
          </w:p>
        </w:tc>
      </w:tr>
      <w:tr w:rsidR="007C0528" w14:paraId="1FD63BBD" w14:textId="77777777">
        <w:tc>
          <w:tcPr>
            <w:tcW w:w="1254" w:type="dxa"/>
            <w:tcBorders>
              <w:top w:val="nil"/>
              <w:left w:val="nil"/>
              <w:bottom w:val="nil"/>
              <w:right w:val="nil"/>
            </w:tcBorders>
            <w:shd w:val="clear" w:color="auto" w:fill="auto"/>
            <w:tcMar>
              <w:top w:w="288" w:type="dxa"/>
              <w:bottom w:w="0" w:type="dxa"/>
              <w:right w:w="0" w:type="dxa"/>
            </w:tcMar>
          </w:tcPr>
          <w:p w14:paraId="49727430"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6E0241D" w14:textId="4D0EEF83" w:rsidR="007C0528" w:rsidRDefault="006A2AF1">
            <w:pPr>
              <w:pStyle w:val="MemoHeading"/>
            </w:pPr>
            <w:bookmarkStart w:id="4" w:name="AgendaDate"/>
            <w:r>
              <w:t>03/04/25</w:t>
            </w:r>
            <w:bookmarkEnd w:id="4"/>
            <w:r w:rsidR="007C0528">
              <w:t xml:space="preserve"> – </w:t>
            </w:r>
            <w:bookmarkStart w:id="5" w:name="PermittedStatus"/>
            <w:r>
              <w:t xml:space="preserve">Regular Agenda – </w:t>
            </w:r>
            <w:r w:rsidR="00EE545B">
              <w:t xml:space="preserve">Rule Proposal – </w:t>
            </w:r>
            <w:r>
              <w:t>Interested Persons May Participate</w:t>
            </w:r>
            <w:bookmarkEnd w:id="5"/>
          </w:p>
        </w:tc>
      </w:tr>
      <w:tr w:rsidR="007C0528" w14:paraId="09231EC3" w14:textId="77777777">
        <w:tc>
          <w:tcPr>
            <w:tcW w:w="3690" w:type="dxa"/>
            <w:gridSpan w:val="3"/>
            <w:tcBorders>
              <w:top w:val="nil"/>
              <w:left w:val="nil"/>
              <w:bottom w:val="nil"/>
              <w:right w:val="nil"/>
            </w:tcBorders>
            <w:shd w:val="clear" w:color="auto" w:fill="auto"/>
            <w:tcMar>
              <w:top w:w="288" w:type="dxa"/>
              <w:bottom w:w="0" w:type="dxa"/>
              <w:right w:w="0" w:type="dxa"/>
            </w:tcMar>
          </w:tcPr>
          <w:p w14:paraId="78BE74E8"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3D97F1C6" w14:textId="77777777" w:rsidR="007C0528" w:rsidRDefault="006A2AF1">
            <w:pPr>
              <w:pStyle w:val="MemoHeading"/>
            </w:pPr>
            <w:bookmarkStart w:id="6" w:name="CommissionersAssigned"/>
            <w:r>
              <w:t>All Commissioners</w:t>
            </w:r>
            <w:bookmarkEnd w:id="6"/>
          </w:p>
        </w:tc>
      </w:tr>
      <w:tr w:rsidR="007C0528" w14:paraId="2E97A1E4" w14:textId="77777777">
        <w:tc>
          <w:tcPr>
            <w:tcW w:w="3690" w:type="dxa"/>
            <w:gridSpan w:val="3"/>
            <w:tcBorders>
              <w:top w:val="nil"/>
              <w:left w:val="nil"/>
              <w:bottom w:val="nil"/>
              <w:right w:val="nil"/>
            </w:tcBorders>
            <w:shd w:val="clear" w:color="auto" w:fill="auto"/>
            <w:tcMar>
              <w:top w:w="288" w:type="dxa"/>
              <w:bottom w:w="0" w:type="dxa"/>
              <w:right w:w="0" w:type="dxa"/>
            </w:tcMar>
          </w:tcPr>
          <w:p w14:paraId="235FCC8C"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2D36E90F" w14:textId="77777777" w:rsidR="007C0528" w:rsidRDefault="006A2AF1">
            <w:pPr>
              <w:pStyle w:val="MemoHeading"/>
            </w:pPr>
            <w:bookmarkStart w:id="7" w:name="PrehearingOfficer"/>
            <w:r>
              <w:t>Graham</w:t>
            </w:r>
            <w:bookmarkEnd w:id="7"/>
          </w:p>
        </w:tc>
      </w:tr>
      <w:tr w:rsidR="007C0528" w14:paraId="38D10633"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0A2A7F93" w14:textId="77777777" w:rsidR="007C0528" w:rsidRDefault="006A2AF1"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14:paraId="1B6CD26B" w14:textId="608EB2D4" w:rsidR="007C0528" w:rsidRDefault="00EE545B" w:rsidP="009D2F30">
            <w:pPr>
              <w:pStyle w:val="MemoHeading"/>
            </w:pPr>
            <w:bookmarkStart w:id="9" w:name="CriticalDates"/>
            <w:r>
              <w:t>Proposal May</w:t>
            </w:r>
            <w:r w:rsidR="006A2AF1">
              <w:t xml:space="preserve"> Not Be Deferred</w:t>
            </w:r>
            <w:bookmarkEnd w:id="9"/>
            <w:r>
              <w:t xml:space="preserve">. </w:t>
            </w:r>
          </w:p>
        </w:tc>
      </w:tr>
      <w:tr w:rsidR="009D2F30" w14:paraId="02D8097E" w14:textId="77777777" w:rsidTr="009D2F30">
        <w:tc>
          <w:tcPr>
            <w:tcW w:w="3690" w:type="dxa"/>
            <w:gridSpan w:val="3"/>
            <w:tcBorders>
              <w:top w:val="nil"/>
              <w:left w:val="nil"/>
              <w:bottom w:val="nil"/>
              <w:right w:val="nil"/>
            </w:tcBorders>
            <w:shd w:val="clear" w:color="auto" w:fill="auto"/>
            <w:tcMar>
              <w:top w:w="288" w:type="dxa"/>
              <w:bottom w:w="0" w:type="dxa"/>
              <w:right w:w="0" w:type="dxa"/>
            </w:tcMar>
            <w:vAlign w:val="bottom"/>
          </w:tcPr>
          <w:p w14:paraId="643E9DB6" w14:textId="16D663EC" w:rsidR="009D2F30" w:rsidRDefault="009D2F30" w:rsidP="009D2F30">
            <w:pPr>
              <w:pStyle w:val="MemoHeadingLabel"/>
              <w:jc w:val="left"/>
            </w:pPr>
            <w:r>
              <w:t>CRITICAL DATES:</w:t>
            </w:r>
          </w:p>
        </w:tc>
        <w:tc>
          <w:tcPr>
            <w:tcW w:w="5785" w:type="dxa"/>
            <w:tcBorders>
              <w:top w:val="nil"/>
              <w:left w:val="nil"/>
              <w:bottom w:val="nil"/>
              <w:right w:val="nil"/>
            </w:tcBorders>
            <w:shd w:val="clear" w:color="auto" w:fill="auto"/>
            <w:vAlign w:val="bottom"/>
          </w:tcPr>
          <w:p w14:paraId="51353FA9" w14:textId="7CC5179D" w:rsidR="009D2F30" w:rsidRDefault="009D2F30" w:rsidP="009D2F30">
            <w:pPr>
              <w:pStyle w:val="MemoHeading"/>
              <w:jc w:val="left"/>
            </w:pPr>
            <w:r>
              <w:t>04/01/25 – Ru</w:t>
            </w:r>
            <w:r w:rsidR="009428F4">
              <w:t xml:space="preserve">le must be proposed by this date </w:t>
            </w:r>
            <w:r>
              <w:t>pursuant to Section 120.74(5), F.S.</w:t>
            </w:r>
          </w:p>
        </w:tc>
      </w:tr>
      <w:tr w:rsidR="007C0528" w14:paraId="1FFA42EF"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45E79643"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607C69F8" w14:textId="77777777" w:rsidR="007C0528" w:rsidRDefault="006A2AF1">
            <w:pPr>
              <w:pStyle w:val="MemoHeading"/>
            </w:pPr>
            <w:bookmarkStart w:id="10" w:name="SpecialInstructions"/>
            <w:r>
              <w:t>None</w:t>
            </w:r>
            <w:bookmarkEnd w:id="10"/>
          </w:p>
        </w:tc>
      </w:tr>
    </w:tbl>
    <w:p w14:paraId="5EE69D9E" w14:textId="77777777" w:rsidR="007C0528" w:rsidRDefault="007C0528" w:rsidP="0038078B">
      <w:pPr>
        <w:pStyle w:val="BodyText"/>
        <w:spacing w:after="0"/>
      </w:pPr>
    </w:p>
    <w:p w14:paraId="5039AB96"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33BD39A5" w14:textId="0E1F4783" w:rsidR="00642388" w:rsidRDefault="006A2AF1" w:rsidP="006A2AF1">
      <w:pPr>
        <w:pStyle w:val="BodyText"/>
      </w:pPr>
      <w:r>
        <w:t>In 2024, the Florida Legislature passed HB 1645 t</w:t>
      </w:r>
      <w:r w:rsidR="00BE3ED1">
        <w:t xml:space="preserve">hat </w:t>
      </w:r>
      <w:r>
        <w:t>enact</w:t>
      </w:r>
      <w:r w:rsidR="00BE3ED1">
        <w:t>ed, in part,</w:t>
      </w:r>
      <w:r>
        <w:t xml:space="preserve"> Section 366.99, Florida Statutes (F.S.), entitled “Natural gas facilities relocation costs.” </w:t>
      </w:r>
      <w:r w:rsidR="000F3D40">
        <w:t>The statute permits a public utility</w:t>
      </w:r>
      <w:r w:rsidR="00367699">
        <w:rPr>
          <w:rStyle w:val="FootnoteReference"/>
        </w:rPr>
        <w:footnoteReference w:id="1"/>
      </w:r>
      <w:r w:rsidR="000F3D40">
        <w:t xml:space="preserve"> </w:t>
      </w:r>
      <w:r w:rsidR="00367699">
        <w:t xml:space="preserve">that </w:t>
      </w:r>
      <w:r w:rsidR="000F3D40">
        <w:t>supplies gas to seek approval from the Commission to recover natural gas facilities relocation costs</w:t>
      </w:r>
      <w:r w:rsidR="00B57FD4">
        <w:t>. Section 366.99(3), F.S.,</w:t>
      </w:r>
      <w:r w:rsidR="000F3D40">
        <w:t xml:space="preserve"> requires the Commission </w:t>
      </w:r>
      <w:r w:rsidR="00100831">
        <w:t xml:space="preserve">to </w:t>
      </w:r>
      <w:r w:rsidR="000F3D40">
        <w:t>conduct an annual proceeding to determine allowable costs</w:t>
      </w:r>
      <w:r w:rsidR="006E4FC7">
        <w:t xml:space="preserve"> (reasonable projected costs and prudently incurred actual costs)</w:t>
      </w:r>
      <w:r w:rsidR="000F3D40">
        <w:t xml:space="preserve">, which may be recovered through a charge separate and apart from base rates. </w:t>
      </w:r>
      <w:r>
        <w:t>Section 366.99</w:t>
      </w:r>
      <w:r w:rsidR="00B1791F">
        <w:t>(6)</w:t>
      </w:r>
      <w:r>
        <w:t>, F.S., requires the Commission to adopt rules to implement the statute.</w:t>
      </w:r>
      <w:r w:rsidR="00F27FDD">
        <w:t xml:space="preserve"> </w:t>
      </w:r>
      <w:r>
        <w:t xml:space="preserve">For </w:t>
      </w:r>
      <w:r>
        <w:lastRenderedPageBreak/>
        <w:t>ease of reference, a copy of Section 366.99, F.S.</w:t>
      </w:r>
      <w:r w:rsidR="00EE545B">
        <w:t>,</w:t>
      </w:r>
      <w:r>
        <w:t xml:space="preserve"> is appended to this recommendation as Attachment C.</w:t>
      </w:r>
    </w:p>
    <w:p w14:paraId="2084A1F4" w14:textId="77777777" w:rsidR="00EE545B" w:rsidRDefault="000F3D40" w:rsidP="006A2AF1">
      <w:pPr>
        <w:pStyle w:val="BodyText"/>
      </w:pPr>
      <w:r>
        <w:t xml:space="preserve">Section 366.99(1)(d), F.S., </w:t>
      </w:r>
      <w:r w:rsidR="00B41B58">
        <w:t>defines “n</w:t>
      </w:r>
      <w:r w:rsidR="006A2AF1">
        <w:t>atural gas facilities relocation costs” as</w:t>
      </w:r>
      <w:r w:rsidR="00EE545B">
        <w:t>:</w:t>
      </w:r>
    </w:p>
    <w:p w14:paraId="381A4588" w14:textId="21D6E576" w:rsidR="00EE545B" w:rsidRDefault="006A2AF1" w:rsidP="00EE545B">
      <w:pPr>
        <w:pStyle w:val="BodyText"/>
        <w:ind w:left="720" w:right="720"/>
      </w:pPr>
      <w:r>
        <w:t xml:space="preserve">the costs to relocate or reconstruct facilities as required by a mandate, a statute, a law, an ordinance, or an agreement between the utility and an authority, including, but not limited to, costs associated with reviewing </w:t>
      </w:r>
      <w:r w:rsidR="00642388">
        <w:t xml:space="preserve">plans provided by an authority. </w:t>
      </w:r>
      <w:r>
        <w:t>The term does not include any costs recovered through th</w:t>
      </w:r>
      <w:r w:rsidR="00EE545B">
        <w:t>e public utility’s base rates.</w:t>
      </w:r>
    </w:p>
    <w:p w14:paraId="5B6BCFDC" w14:textId="1C9340A7" w:rsidR="006A2AF1" w:rsidRDefault="000C6035" w:rsidP="006A2AF1">
      <w:pPr>
        <w:pStyle w:val="BodyText"/>
      </w:pPr>
      <w:r>
        <w:t>Section</w:t>
      </w:r>
      <w:r w:rsidR="007A429E">
        <w:t xml:space="preserve"> 366.99(1)(a), F.S., defines </w:t>
      </w:r>
      <w:r w:rsidR="006A2AF1">
        <w:t xml:space="preserve">“authority” </w:t>
      </w:r>
      <w:r w:rsidR="00BF3A89">
        <w:t xml:space="preserve">by reference to Section 337.401(1)(a), F.S., </w:t>
      </w:r>
      <w:r w:rsidR="00F27FDD">
        <w:t xml:space="preserve">which </w:t>
      </w:r>
      <w:r w:rsidR="00B41B58">
        <w:t>definition i</w:t>
      </w:r>
      <w:r w:rsidR="006A2AF1">
        <w:t xml:space="preserve">ncludes the Florida Department of Transportation </w:t>
      </w:r>
      <w:r w:rsidR="00B41B58">
        <w:t>(</w:t>
      </w:r>
      <w:r w:rsidR="008A6F43">
        <w:t>F</w:t>
      </w:r>
      <w:r w:rsidR="00B41B58">
        <w:t xml:space="preserve">DOT) </w:t>
      </w:r>
      <w:r w:rsidR="006A2AF1">
        <w:t>and other governmental entities that have jurisdiction over and control of public roads.</w:t>
      </w:r>
    </w:p>
    <w:p w14:paraId="52120ECD" w14:textId="6E88AE3E" w:rsidR="0068481F" w:rsidRDefault="000C6035" w:rsidP="006A2AF1">
      <w:pPr>
        <w:pStyle w:val="BodyText"/>
      </w:pPr>
      <w:r>
        <w:t>Section</w:t>
      </w:r>
      <w:r w:rsidR="00B41B58">
        <w:t xml:space="preserve"> 366.99(3), F.S.,</w:t>
      </w:r>
      <w:r w:rsidR="006A2AF1">
        <w:t xml:space="preserve"> limits the Commission’s review to the prudence of costs already incurred and the reasonableness of projected costs</w:t>
      </w:r>
      <w:r w:rsidR="00B41B58">
        <w:t>,</w:t>
      </w:r>
      <w:r w:rsidR="006A2AF1">
        <w:t xml:space="preserve"> and does not provide for review of the prudence or reasonableness of the </w:t>
      </w:r>
      <w:r w:rsidR="00F27FDD">
        <w:t xml:space="preserve">relocation </w:t>
      </w:r>
      <w:r w:rsidR="006A2AF1">
        <w:t>projects.</w:t>
      </w:r>
    </w:p>
    <w:p w14:paraId="0C917E55" w14:textId="63BB1A1B" w:rsidR="00393901" w:rsidRDefault="00393901" w:rsidP="00393901">
      <w:pPr>
        <w:pStyle w:val="First-LevelSubheading"/>
      </w:pPr>
      <w:r>
        <w:t>Procedural Matters</w:t>
      </w:r>
    </w:p>
    <w:p w14:paraId="28D6AE54" w14:textId="223502A8" w:rsidR="006A2AF1" w:rsidRPr="006A2AF1" w:rsidRDefault="006A2AF1" w:rsidP="00A806C9">
      <w:pPr>
        <w:spacing w:after="200"/>
        <w:jc w:val="both"/>
        <w:rPr>
          <w:rFonts w:eastAsiaTheme="minorHAnsi" w:cstheme="minorBidi"/>
          <w:szCs w:val="22"/>
        </w:rPr>
      </w:pPr>
      <w:r w:rsidRPr="006A2AF1">
        <w:rPr>
          <w:rFonts w:eastAsiaTheme="minorHAnsi" w:cstheme="minorBidi"/>
          <w:szCs w:val="22"/>
        </w:rPr>
        <w:t>In furtherance of the Legislature’s directive</w:t>
      </w:r>
      <w:r w:rsidR="00EE545B">
        <w:rPr>
          <w:rFonts w:eastAsiaTheme="minorHAnsi" w:cstheme="minorBidi"/>
          <w:szCs w:val="22"/>
        </w:rPr>
        <w:t xml:space="preserve"> in Section 366.99, F.S.</w:t>
      </w:r>
      <w:r w:rsidRPr="006A2AF1">
        <w:rPr>
          <w:rFonts w:eastAsiaTheme="minorHAnsi" w:cstheme="minorBidi"/>
          <w:szCs w:val="22"/>
        </w:rPr>
        <w:t xml:space="preserve">, staff </w:t>
      </w:r>
      <w:r w:rsidR="00EE545B">
        <w:rPr>
          <w:rFonts w:eastAsiaTheme="minorHAnsi" w:cstheme="minorBidi"/>
          <w:szCs w:val="22"/>
        </w:rPr>
        <w:t xml:space="preserve">initiated rulemaking to adopt </w:t>
      </w:r>
      <w:r w:rsidR="006E56E2">
        <w:rPr>
          <w:rFonts w:eastAsiaTheme="minorHAnsi" w:cstheme="minorBidi"/>
          <w:szCs w:val="22"/>
        </w:rPr>
        <w:t xml:space="preserve">new </w:t>
      </w:r>
      <w:r w:rsidR="00EE545B">
        <w:rPr>
          <w:rFonts w:eastAsiaTheme="minorHAnsi" w:cstheme="minorBidi"/>
          <w:szCs w:val="22"/>
        </w:rPr>
        <w:t>Rule 25-7.150, Florida Administrative Code (F.A.C.)</w:t>
      </w:r>
      <w:r w:rsidR="002B55A7">
        <w:rPr>
          <w:rFonts w:eastAsiaTheme="minorHAnsi" w:cstheme="minorBidi"/>
          <w:szCs w:val="22"/>
        </w:rPr>
        <w:t xml:space="preserve">, </w:t>
      </w:r>
      <w:r w:rsidR="002B55A7" w:rsidRPr="006A2AF1">
        <w:rPr>
          <w:rFonts w:eastAsiaTheme="minorHAnsi" w:cstheme="minorBidi"/>
          <w:szCs w:val="22"/>
        </w:rPr>
        <w:t>“Natural Gas Facilities Relocation Cost Recovery Clause”</w:t>
      </w:r>
      <w:r w:rsidR="002B55A7">
        <w:rPr>
          <w:rFonts w:eastAsiaTheme="minorHAnsi" w:cstheme="minorBidi"/>
          <w:szCs w:val="22"/>
        </w:rPr>
        <w:t xml:space="preserve"> (NGFRCRC)</w:t>
      </w:r>
      <w:r w:rsidR="00BF3A89">
        <w:rPr>
          <w:rFonts w:eastAsiaTheme="minorHAnsi" w:cstheme="minorBidi"/>
          <w:szCs w:val="22"/>
        </w:rPr>
        <w:t xml:space="preserve">. </w:t>
      </w:r>
      <w:r w:rsidRPr="006A2AF1">
        <w:rPr>
          <w:rFonts w:eastAsiaTheme="minorHAnsi" w:cstheme="minorBidi"/>
          <w:szCs w:val="22"/>
        </w:rPr>
        <w:t>The Commission’s Notice of Development of Rulemaking was published in Volume 50, Number 212, of the Florida Administrative Register on O</w:t>
      </w:r>
      <w:r w:rsidR="002B55A7">
        <w:rPr>
          <w:rFonts w:eastAsiaTheme="minorHAnsi" w:cstheme="minorBidi"/>
          <w:szCs w:val="22"/>
        </w:rPr>
        <w:t>ctober 29, 2024</w:t>
      </w:r>
      <w:r w:rsidR="00EE545B">
        <w:rPr>
          <w:rFonts w:eastAsiaTheme="minorHAnsi" w:cstheme="minorBidi"/>
          <w:szCs w:val="22"/>
        </w:rPr>
        <w:t>.</w:t>
      </w:r>
    </w:p>
    <w:p w14:paraId="4EEAA694" w14:textId="10FF3804" w:rsidR="006A2AF1" w:rsidRPr="006A2AF1" w:rsidRDefault="006A2AF1" w:rsidP="00A806C9">
      <w:pPr>
        <w:spacing w:after="200"/>
        <w:jc w:val="both"/>
        <w:rPr>
          <w:rFonts w:eastAsiaTheme="minorHAnsi" w:cstheme="minorBidi"/>
          <w:szCs w:val="22"/>
        </w:rPr>
      </w:pPr>
      <w:r w:rsidRPr="006A2AF1">
        <w:rPr>
          <w:rFonts w:eastAsiaTheme="minorHAnsi" w:cstheme="minorBidi"/>
          <w:szCs w:val="22"/>
        </w:rPr>
        <w:t xml:space="preserve">Staff held a rule development workshop on December 16, 2024, to obtain stakeholder comments on the draft </w:t>
      </w:r>
      <w:r w:rsidR="000D2CFE">
        <w:rPr>
          <w:rFonts w:eastAsiaTheme="minorHAnsi" w:cstheme="minorBidi"/>
          <w:szCs w:val="22"/>
        </w:rPr>
        <w:t>rule. Representatives of People</w:t>
      </w:r>
      <w:r w:rsidRPr="006A2AF1">
        <w:rPr>
          <w:rFonts w:eastAsiaTheme="minorHAnsi" w:cstheme="minorBidi"/>
          <w:szCs w:val="22"/>
        </w:rPr>
        <w:t xml:space="preserve">s Gas </w:t>
      </w:r>
      <w:r w:rsidR="000F3D40">
        <w:rPr>
          <w:rFonts w:eastAsiaTheme="minorHAnsi" w:cstheme="minorBidi"/>
          <w:szCs w:val="22"/>
        </w:rPr>
        <w:t>System, Inc.</w:t>
      </w:r>
      <w:r w:rsidRPr="006A2AF1">
        <w:rPr>
          <w:rFonts w:eastAsiaTheme="minorHAnsi" w:cstheme="minorBidi"/>
          <w:szCs w:val="22"/>
        </w:rPr>
        <w:t xml:space="preserve"> (PGS), Florida City G</w:t>
      </w:r>
      <w:r w:rsidR="00F51DA5">
        <w:rPr>
          <w:rFonts w:eastAsiaTheme="minorHAnsi" w:cstheme="minorBidi"/>
          <w:szCs w:val="22"/>
        </w:rPr>
        <w:t>as (FCG), Florida Public Utilities</w:t>
      </w:r>
      <w:r w:rsidRPr="006A2AF1">
        <w:rPr>
          <w:rFonts w:eastAsiaTheme="minorHAnsi" w:cstheme="minorBidi"/>
          <w:szCs w:val="22"/>
        </w:rPr>
        <w:t xml:space="preserve"> Company (FPUC), and the Office of Public Counsel (OPC) attended the workshop. OPC, FPUC/FCG, and PGS submitted post-workshop comments.</w:t>
      </w:r>
    </w:p>
    <w:p w14:paraId="1B056258" w14:textId="77777777" w:rsidR="006A2AF1" w:rsidRPr="006A2AF1" w:rsidRDefault="006A2AF1" w:rsidP="00A806C9">
      <w:pPr>
        <w:pStyle w:val="BodyText"/>
        <w:rPr>
          <w:rFonts w:eastAsiaTheme="minorHAnsi" w:cstheme="minorBidi"/>
          <w:szCs w:val="22"/>
        </w:rPr>
      </w:pPr>
      <w:r w:rsidRPr="006A2AF1">
        <w:rPr>
          <w:rFonts w:eastAsiaTheme="minorHAnsi" w:cstheme="minorBidi"/>
          <w:szCs w:val="22"/>
        </w:rPr>
        <w:t>This recommendation addresses whether the Commission should propose new Rule 25-7.150, F.A.C. The Commission has jurisdiction pursuant to Section</w:t>
      </w:r>
      <w:r w:rsidR="00B41B58">
        <w:rPr>
          <w:rFonts w:eastAsiaTheme="minorHAnsi" w:cstheme="minorBidi"/>
          <w:szCs w:val="22"/>
        </w:rPr>
        <w:t>s</w:t>
      </w:r>
      <w:r w:rsidRPr="006A2AF1">
        <w:rPr>
          <w:rFonts w:eastAsiaTheme="minorHAnsi" w:cstheme="minorBidi"/>
          <w:szCs w:val="22"/>
        </w:rPr>
        <w:t xml:space="preserve"> 120.54, 350.127(2), and 366.99, F.S.</w:t>
      </w:r>
    </w:p>
    <w:p w14:paraId="389A96FF" w14:textId="77777777" w:rsidR="007C0528" w:rsidRDefault="007C0528" w:rsidP="0068481F"/>
    <w:bookmarkEnd w:id="12"/>
    <w:p w14:paraId="1D9F83FD"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0B97421A" w14:textId="77777777" w:rsidR="007C0528" w:rsidRDefault="007C0528">
      <w:pPr>
        <w:pStyle w:val="RecommendationMajorSectionHeading"/>
      </w:pPr>
      <w:bookmarkStart w:id="16" w:name="DiscussionOfIssues"/>
      <w:r>
        <w:t>Discussion of Issues</w:t>
      </w:r>
    </w:p>
    <w:bookmarkEnd w:id="16"/>
    <w:p w14:paraId="44CF93F8" w14:textId="2262992F" w:rsidR="0016785D" w:rsidRDefault="0016785D">
      <w:pPr>
        <w:pStyle w:val="IssueHeading"/>
        <w:rPr>
          <w:vanish/>
          <w:specVanish/>
        </w:rPr>
      </w:pPr>
      <w:r w:rsidRPr="004C3641">
        <w:t xml:space="preserve">Issue </w:t>
      </w:r>
      <w:fldSimple w:instr=" SEQ Issue \* MERGEFORMAT ">
        <w:r w:rsidR="006F63AC">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6F63AC">
        <w:rPr>
          <w:noProof/>
        </w:rPr>
        <w:instrText>1</w:instrText>
      </w:r>
      <w:r>
        <w:fldChar w:fldCharType="end"/>
      </w:r>
      <w:r>
        <w:tab/>
        <w:instrText xml:space="preserve">(Sapoznikoff, Hinton, Guffey)" \l 1 </w:instrText>
      </w:r>
      <w:r>
        <w:fldChar w:fldCharType="end"/>
      </w:r>
      <w:r>
        <w:t> </w:t>
      </w:r>
    </w:p>
    <w:p w14:paraId="6A6C7798" w14:textId="1F8CC64B" w:rsidR="0016785D" w:rsidRDefault="0016785D">
      <w:pPr>
        <w:pStyle w:val="BodyText"/>
      </w:pPr>
      <w:r>
        <w:t> Should the Commission propose the adop</w:t>
      </w:r>
      <w:r w:rsidR="002B55A7">
        <w:t xml:space="preserve">tion of Rule 25-7.150, F.A.C., </w:t>
      </w:r>
      <w:r>
        <w:t xml:space="preserve">Natural Gas Facilities Relocation </w:t>
      </w:r>
      <w:r w:rsidR="002B55A7">
        <w:t>Cost Recovery Clause</w:t>
      </w:r>
      <w:r w:rsidR="00F27FDD">
        <w:t>?</w:t>
      </w:r>
    </w:p>
    <w:p w14:paraId="5E34EEA3" w14:textId="77777777" w:rsidR="0016785D" w:rsidRPr="004C3641" w:rsidRDefault="0016785D">
      <w:pPr>
        <w:pStyle w:val="IssueSubsectionHeading"/>
        <w:rPr>
          <w:vanish/>
          <w:specVanish/>
        </w:rPr>
      </w:pPr>
      <w:r w:rsidRPr="004C3641">
        <w:t>Recommendation: </w:t>
      </w:r>
    </w:p>
    <w:p w14:paraId="2FB3DD0D" w14:textId="7C72A120" w:rsidR="0016785D" w:rsidRDefault="0016785D">
      <w:pPr>
        <w:pStyle w:val="BodyText"/>
      </w:pPr>
      <w:r>
        <w:t> </w:t>
      </w:r>
      <w:r w:rsidRPr="0016785D">
        <w:t>Yes</w:t>
      </w:r>
      <w:r w:rsidR="002B55A7">
        <w:t>. The Commission should propose</w:t>
      </w:r>
      <w:r w:rsidRPr="0016785D">
        <w:t xml:space="preserve"> the adoption of Rule 25-7.150, F.A.C., as set forth in Attachment A. The Commission should also certify the rule as a minor violation rule.</w:t>
      </w:r>
      <w:r>
        <w:t xml:space="preserve"> (Sapoznikoff, Hinton, Guffey)</w:t>
      </w:r>
    </w:p>
    <w:p w14:paraId="2233FC8A" w14:textId="77777777" w:rsidR="0016785D" w:rsidRPr="004C3641" w:rsidRDefault="0016785D">
      <w:pPr>
        <w:pStyle w:val="IssueSubsectionHeading"/>
        <w:rPr>
          <w:vanish/>
          <w:specVanish/>
        </w:rPr>
      </w:pPr>
      <w:r w:rsidRPr="004C3641">
        <w:t>Staff Analysis: </w:t>
      </w:r>
    </w:p>
    <w:p w14:paraId="3F6BF22E" w14:textId="0D6D7FB3" w:rsidR="0016785D" w:rsidRDefault="0016785D">
      <w:pPr>
        <w:pStyle w:val="BodyText"/>
      </w:pPr>
      <w:r>
        <w:t> </w:t>
      </w:r>
      <w:r w:rsidRPr="0016785D">
        <w:t xml:space="preserve">The purpose of this rulemaking is to adopt </w:t>
      </w:r>
      <w:r w:rsidR="002B55A7">
        <w:t xml:space="preserve">new </w:t>
      </w:r>
      <w:r w:rsidRPr="0016785D">
        <w:t>Rule 25-7.150, F.A.C., to implement the requir</w:t>
      </w:r>
      <w:r w:rsidR="00B41B58">
        <w:t>ements of S</w:t>
      </w:r>
      <w:r w:rsidRPr="0016785D">
        <w:t>ection 366.99, F.S.</w:t>
      </w:r>
      <w:r w:rsidR="002B55A7">
        <w:t xml:space="preserve"> Staff recommends that the Commission</w:t>
      </w:r>
      <w:r w:rsidR="002B55A7" w:rsidRPr="002B55A7">
        <w:t xml:space="preserve"> </w:t>
      </w:r>
      <w:r w:rsidR="002B55A7">
        <w:t>propose</w:t>
      </w:r>
      <w:r w:rsidR="002B55A7" w:rsidRPr="0016785D">
        <w:t xml:space="preserve"> the adoption of Rule 25-7.150, F.A.C., as set forth in Attachment A.</w:t>
      </w:r>
      <w:r w:rsidR="002B55A7">
        <w:t xml:space="preserve"> The rule establishes a cost recovery clause, the NGFRCRC, as required by the statute. Each section of the rule as recommended by staff is explained in detail below.</w:t>
      </w:r>
    </w:p>
    <w:p w14:paraId="2B36A375" w14:textId="1C70E1E5" w:rsidR="0016785D" w:rsidRDefault="0016785D" w:rsidP="0016785D">
      <w:pPr>
        <w:pStyle w:val="First-LevelSubheading"/>
      </w:pPr>
      <w:r>
        <w:t>Subsection (1)</w:t>
      </w:r>
      <w:r w:rsidR="00FD7F74">
        <w:t xml:space="preserve"> – Requiring petitions to be supported by certain testimony</w:t>
      </w:r>
    </w:p>
    <w:p w14:paraId="6A2983B0" w14:textId="77777777" w:rsidR="0016785D" w:rsidRDefault="00931812" w:rsidP="0016785D">
      <w:pPr>
        <w:pStyle w:val="BodyText"/>
      </w:pPr>
      <w:r>
        <w:t>This provision establishes</w:t>
      </w:r>
      <w:r w:rsidR="0016785D" w:rsidRPr="0016785D">
        <w:t xml:space="preserve"> that recovery under the NGFRCRC must be supported by testimony that provides details of the facilities relocation activities and associated costs</w:t>
      </w:r>
      <w:r w:rsidR="0016785D">
        <w:t>.</w:t>
      </w:r>
    </w:p>
    <w:p w14:paraId="55ADDC04" w14:textId="051479E2" w:rsidR="007A429E" w:rsidRDefault="007A429E" w:rsidP="0016785D">
      <w:pPr>
        <w:pStyle w:val="BodyText"/>
      </w:pPr>
      <w:r>
        <w:t xml:space="preserve">OPC submitted comments requesting that the rule </w:t>
      </w:r>
      <w:r w:rsidR="00F27FDD">
        <w:t xml:space="preserve">should </w:t>
      </w:r>
      <w:r>
        <w:t xml:space="preserve">explicitly state that cost recovery is limited to relocation or reconstruction of existing facilities, not new construction.  Staff </w:t>
      </w:r>
      <w:r w:rsidR="00CA7A63">
        <w:t>believes that i</w:t>
      </w:r>
      <w:r w:rsidR="00512229">
        <w:t>s</w:t>
      </w:r>
      <w:r w:rsidR="00CA7A63">
        <w:t xml:space="preserve"> not necessary. </w:t>
      </w:r>
      <w:r w:rsidR="000C6035">
        <w:t>Section</w:t>
      </w:r>
      <w:r>
        <w:t xml:space="preserve"> 366.99(1)(b), F.S., already defines “facilities relocation” as “the physical moving, modification, or re</w:t>
      </w:r>
      <w:r w:rsidR="00100831">
        <w:t>construction of public utility</w:t>
      </w:r>
      <w:r>
        <w:t xml:space="preserve"> facilities to accommodate the requirements imposed by an authority.”</w:t>
      </w:r>
      <w:r w:rsidR="00D720CA">
        <w:t xml:space="preserve"> </w:t>
      </w:r>
    </w:p>
    <w:p w14:paraId="09DE6092" w14:textId="189FA41A" w:rsidR="00E8765E" w:rsidRDefault="00E8765E" w:rsidP="0016785D">
      <w:pPr>
        <w:pStyle w:val="BodyText"/>
      </w:pPr>
      <w:r>
        <w:t xml:space="preserve">OPC also submitted comments requesting that utilities should have to affirm that the petition does not seek any double recovery and explain how the costs are not also included in base rates. </w:t>
      </w:r>
      <w:r w:rsidR="00CA7A63">
        <w:t xml:space="preserve">A </w:t>
      </w:r>
      <w:r>
        <w:t>rule cannot require an affirmation i</w:t>
      </w:r>
      <w:r w:rsidR="00CA7A63">
        <w:t xml:space="preserve">f </w:t>
      </w:r>
      <w:r w:rsidR="00F27FDD">
        <w:t>an affirmation</w:t>
      </w:r>
      <w:r w:rsidR="00CA7A63">
        <w:t xml:space="preserve"> is not </w:t>
      </w:r>
      <w:r w:rsidR="00B41B58">
        <w:t>required by statute, and S</w:t>
      </w:r>
      <w:r>
        <w:t xml:space="preserve">ection 366.99, F.S., contains no such requirement. Moreover, </w:t>
      </w:r>
      <w:r w:rsidR="000C6035">
        <w:t>Section</w:t>
      </w:r>
      <w:r>
        <w:t xml:space="preserve"> 366.99(1)(d), F.S., already </w:t>
      </w:r>
      <w:r w:rsidR="00CA7A63">
        <w:t>prohibits double recovery by excluding</w:t>
      </w:r>
      <w:r>
        <w:t xml:space="preserve"> recovery through the NGFRCRC of “any costs recover</w:t>
      </w:r>
      <w:r w:rsidR="00512229">
        <w:t xml:space="preserve">ed </w:t>
      </w:r>
      <w:r>
        <w:t xml:space="preserve">through </w:t>
      </w:r>
      <w:r w:rsidR="002B55A7">
        <w:t>the public utility’s base rates,</w:t>
      </w:r>
      <w:r>
        <w:t>”</w:t>
      </w:r>
      <w:r w:rsidR="002B55A7">
        <w:t xml:space="preserve"> so this provision</w:t>
      </w:r>
      <w:r w:rsidR="00BF3A89">
        <w:t xml:space="preserve"> cannot be duplicated in the</w:t>
      </w:r>
      <w:r w:rsidR="002B55A7">
        <w:t xml:space="preserve"> rule.</w:t>
      </w:r>
      <w:r w:rsidR="002B55A7" w:rsidRPr="002B55A7">
        <w:t xml:space="preserve"> </w:t>
      </w:r>
      <w:r w:rsidR="002B55A7">
        <w:t xml:space="preserve">Restating statutory language </w:t>
      </w:r>
      <w:r w:rsidR="00BF3A89">
        <w:t xml:space="preserve">in a rule </w:t>
      </w:r>
      <w:r w:rsidR="002B55A7">
        <w:t>is inappropriate pursuant to Section 120.545(1)(c), F.S.</w:t>
      </w:r>
    </w:p>
    <w:p w14:paraId="332B6FB8" w14:textId="16D53DE2" w:rsidR="0006511C" w:rsidRDefault="0006511C" w:rsidP="0016785D">
      <w:pPr>
        <w:pStyle w:val="BodyText"/>
      </w:pPr>
      <w:r>
        <w:t xml:space="preserve">OPC also </w:t>
      </w:r>
      <w:r w:rsidR="00E44585">
        <w:t>wanted rule language indicating</w:t>
      </w:r>
      <w:r>
        <w:t xml:space="preserve"> that neither it nor the Commission should have to conduct discovery to ensure that there is no double recovery</w:t>
      </w:r>
      <w:r w:rsidRPr="00E44585">
        <w:t xml:space="preserve">. </w:t>
      </w:r>
      <w:r w:rsidR="002B55A7">
        <w:t>Staff does not believe this rule language should be included because d</w:t>
      </w:r>
      <w:r w:rsidR="00E44585">
        <w:t>iscovery is standard in litigation and staff does not believe this rule should circumvent standard procedure. The statute imposes the requirement that there be no double recovery and the burden is already on a utility se</w:t>
      </w:r>
      <w:r w:rsidR="00F72502">
        <w:t>eking cost recovery under the NG</w:t>
      </w:r>
      <w:r w:rsidR="00E44585">
        <w:t>FRCRC to abide by that directive.</w:t>
      </w:r>
    </w:p>
    <w:p w14:paraId="2469C5E7" w14:textId="272EDE99" w:rsidR="0016785D" w:rsidRDefault="0016785D" w:rsidP="0016785D">
      <w:pPr>
        <w:pStyle w:val="First-LevelSubheading"/>
      </w:pPr>
      <w:r>
        <w:t>Subsection (2)</w:t>
      </w:r>
      <w:r w:rsidR="00FD7F74">
        <w:t xml:space="preserve"> – Setting forth what must be attached to the petition</w:t>
      </w:r>
    </w:p>
    <w:p w14:paraId="08DA0384" w14:textId="3B43B858" w:rsidR="0016785D" w:rsidRDefault="0016785D" w:rsidP="0016785D">
      <w:pPr>
        <w:pStyle w:val="BodyText"/>
      </w:pPr>
      <w:r w:rsidRPr="0016785D">
        <w:t>This section sets forth what information is required to be submitted to the Commission in support of cost recovery via the NGFRCRC.</w:t>
      </w:r>
    </w:p>
    <w:p w14:paraId="2EC59534" w14:textId="33B7C2A5" w:rsidR="0016785D" w:rsidRDefault="0016785D" w:rsidP="0016785D">
      <w:pPr>
        <w:pStyle w:val="Second-LevelSubheading"/>
      </w:pPr>
      <w:r>
        <w:t>Paragraph (2)(a)</w:t>
      </w:r>
      <w:r w:rsidR="00FD7F74">
        <w:t xml:space="preserve"> – Requiring the notification from the authority</w:t>
      </w:r>
    </w:p>
    <w:p w14:paraId="6CF9B2D8" w14:textId="4BD79943" w:rsidR="00D720CA" w:rsidRDefault="0016785D" w:rsidP="0016785D">
      <w:pPr>
        <w:pStyle w:val="BodyText"/>
      </w:pPr>
      <w:r w:rsidRPr="0016785D">
        <w:t xml:space="preserve">The statute allows for cost recovery via the NGFRCRC when a specified authority requires the relocation of gas facilities. </w:t>
      </w:r>
      <w:r w:rsidR="003341B0">
        <w:t xml:space="preserve">This </w:t>
      </w:r>
      <w:r w:rsidR="0007308B">
        <w:t xml:space="preserve">paragraph requires the utility provide the actual notification from the authority regarding a particular </w:t>
      </w:r>
      <w:r w:rsidR="00931812">
        <w:t xml:space="preserve">facilities </w:t>
      </w:r>
      <w:r w:rsidR="0007308B">
        <w:t xml:space="preserve">relocation </w:t>
      </w:r>
      <w:r w:rsidR="003341B0">
        <w:t>require</w:t>
      </w:r>
      <w:r w:rsidR="0007308B">
        <w:t xml:space="preserve">d by an </w:t>
      </w:r>
      <w:r w:rsidR="003341B0" w:rsidRPr="003341B0">
        <w:t>underlying relationship with the auth</w:t>
      </w:r>
      <w:r w:rsidR="00931812">
        <w:t>ority</w:t>
      </w:r>
      <w:r w:rsidRPr="0016785D">
        <w:t>.</w:t>
      </w:r>
    </w:p>
    <w:p w14:paraId="424F0932" w14:textId="40A40F4D" w:rsidR="00D720CA" w:rsidRDefault="00D720CA" w:rsidP="0016785D">
      <w:pPr>
        <w:pStyle w:val="BodyText"/>
      </w:pPr>
      <w:r>
        <w:t>OPC</w:t>
      </w:r>
      <w:r w:rsidR="002B55A7">
        <w:t xml:space="preserve"> suggested that</w:t>
      </w:r>
      <w:r>
        <w:t xml:space="preserve"> the rule </w:t>
      </w:r>
      <w:r w:rsidR="002B55A7">
        <w:t>should</w:t>
      </w:r>
      <w:r>
        <w:t xml:space="preserve"> define “authority” as </w:t>
      </w:r>
      <w:r w:rsidR="008A6F43">
        <w:t>FD</w:t>
      </w:r>
      <w:r>
        <w:t>OT an</w:t>
      </w:r>
      <w:r w:rsidR="00D51B0F">
        <w:t xml:space="preserve">d local governmental entities. </w:t>
      </w:r>
      <w:r>
        <w:t xml:space="preserve">As </w:t>
      </w:r>
      <w:r w:rsidR="000C6035">
        <w:t>Section</w:t>
      </w:r>
      <w:r>
        <w:t xml:space="preserve"> 366.99(1)(a), F.S., already defines authority, via reference to </w:t>
      </w:r>
      <w:r w:rsidR="000C6035">
        <w:t>Section</w:t>
      </w:r>
      <w:r>
        <w:t xml:space="preserve"> 337.401(1)(a), F.S., restating the definition is not required and </w:t>
      </w:r>
      <w:r w:rsidR="00EC1407">
        <w:t xml:space="preserve">is </w:t>
      </w:r>
      <w:r>
        <w:t>inappropriate</w:t>
      </w:r>
      <w:r w:rsidR="00EC1407">
        <w:t xml:space="preserve"> purs</w:t>
      </w:r>
      <w:r w:rsidR="00D51B0F">
        <w:t xml:space="preserve">uant to </w:t>
      </w:r>
      <w:r w:rsidR="000C6035">
        <w:t>Section</w:t>
      </w:r>
      <w:r w:rsidR="00D51B0F">
        <w:t xml:space="preserve"> 120.545(1)(c), </w:t>
      </w:r>
      <w:r w:rsidR="00EC1407">
        <w:t>F.S</w:t>
      </w:r>
      <w:r>
        <w:t>.</w:t>
      </w:r>
      <w:r w:rsidR="00931812" w:rsidRPr="00931812">
        <w:t xml:space="preserve"> </w:t>
      </w:r>
      <w:r w:rsidR="00931812">
        <w:t xml:space="preserve">The definition of authority in </w:t>
      </w:r>
      <w:r w:rsidR="000C6035">
        <w:t>Section</w:t>
      </w:r>
      <w:r w:rsidR="00931812" w:rsidRPr="00931812">
        <w:t xml:space="preserve"> 337.401(1)(a), F.S., includes the Florida DOT and other governmental entities that have jurisdiction over and control of public roads.</w:t>
      </w:r>
    </w:p>
    <w:p w14:paraId="6D209F66" w14:textId="59083365" w:rsidR="0016785D" w:rsidRDefault="00D720CA" w:rsidP="0016785D">
      <w:pPr>
        <w:pStyle w:val="BodyText"/>
      </w:pPr>
      <w:r>
        <w:t xml:space="preserve">OPC also submitted comments requesting that the rule explicitly state that cost recovery is limited to facilities relocation required by </w:t>
      </w:r>
      <w:r w:rsidR="008A6F43">
        <w:t>F</w:t>
      </w:r>
      <w:r>
        <w:t>DOT o</w:t>
      </w:r>
      <w:r w:rsidR="00BF3A89">
        <w:t xml:space="preserve">r local governmental entities. </w:t>
      </w:r>
      <w:r>
        <w:t xml:space="preserve">Staff </w:t>
      </w:r>
      <w:r w:rsidR="00B54C91">
        <w:t xml:space="preserve">believes the Commission should </w:t>
      </w:r>
      <w:r>
        <w:t xml:space="preserve">decline to incorporate this suggestion as </w:t>
      </w:r>
      <w:r w:rsidR="000C6035">
        <w:t>Section</w:t>
      </w:r>
      <w:r w:rsidR="00B41B58">
        <w:t xml:space="preserve"> 366.99(1)(a</w:t>
      </w:r>
      <w:r>
        <w:t xml:space="preserve">), F.S., already defines “facilities relocation” as being in response to “requirements imposed by an authority” and </w:t>
      </w:r>
      <w:r w:rsidR="000C6035">
        <w:t>Section</w:t>
      </w:r>
      <w:r>
        <w:t xml:space="preserve"> 366.99(1)(d), F.S., already limits cost recovery to costs “required by a mandate, a statute, a law, and ordinance, or any agreement between the utility and an authority.”</w:t>
      </w:r>
      <w:r w:rsidR="00EC1407">
        <w:t xml:space="preserve"> Accordingly, staff believes the rule language is clear that cost recovery is only for relocation projects required by </w:t>
      </w:r>
      <w:r w:rsidR="008A6F43">
        <w:t>F</w:t>
      </w:r>
      <w:r w:rsidR="00EC1407">
        <w:t>DOT or other governmental entities.</w:t>
      </w:r>
    </w:p>
    <w:p w14:paraId="178FFCE6" w14:textId="67B81D6A" w:rsidR="00775CA5" w:rsidRDefault="00571829" w:rsidP="0016785D">
      <w:pPr>
        <w:pStyle w:val="BodyText"/>
      </w:pPr>
      <w:r>
        <w:t>A comment from PGS requested that the rule address both “identified” relocation projects and “anticipated” relocation projects, with “identified” projects being those for which an authority has notified a utility that “fac</w:t>
      </w:r>
      <w:r w:rsidR="00931812">
        <w:t>ilities relocation” is required</w:t>
      </w:r>
      <w:r>
        <w:t xml:space="preserve"> and “anticipated” projects being those projects that are not currently required, but are likely to be required</w:t>
      </w:r>
      <w:r w:rsidR="00931812">
        <w:t>,</w:t>
      </w:r>
      <w:r>
        <w:t xml:space="preserve"> based on </w:t>
      </w:r>
      <w:r w:rsidR="008A6F43">
        <w:t>F</w:t>
      </w:r>
      <w:r>
        <w:t>DOT’s five-year plan, long-term forecasts, and the company’</w:t>
      </w:r>
      <w:r w:rsidR="006E1AFE">
        <w:t xml:space="preserve">s business knowledge. </w:t>
      </w:r>
      <w:r w:rsidR="00EC1407">
        <w:t>While staff is cognizant that timing of relocation projects is often unpredictable, s</w:t>
      </w:r>
      <w:r>
        <w:t>taff believe</w:t>
      </w:r>
      <w:r w:rsidR="00B54C91">
        <w:t>s including “anticipated</w:t>
      </w:r>
      <w:r w:rsidR="00775CA5">
        <w:t>”</w:t>
      </w:r>
      <w:r w:rsidR="00B54C91">
        <w:t xml:space="preserve"> projects in cost recovery </w:t>
      </w:r>
      <w:r w:rsidR="00EC1407">
        <w:t>is inappropriate</w:t>
      </w:r>
      <w:r w:rsidR="0007308B">
        <w:t>. S</w:t>
      </w:r>
      <w:r w:rsidR="00775CA5">
        <w:t>ection 366.99, F.S.</w:t>
      </w:r>
      <w:r w:rsidR="002B55A7">
        <w:t>,</w:t>
      </w:r>
      <w:r w:rsidR="00775CA5">
        <w:t xml:space="preserve"> explicitly limits cost recovery to facilities relocation </w:t>
      </w:r>
      <w:r w:rsidR="00775CA5" w:rsidRPr="00775CA5">
        <w:rPr>
          <w:i/>
        </w:rPr>
        <w:t>required</w:t>
      </w:r>
      <w:r w:rsidR="00775CA5">
        <w:t xml:space="preserve"> by an authority. Thus, staff believes the plain language of the statute excludes cost recovery for </w:t>
      </w:r>
      <w:r w:rsidR="00F27FDD">
        <w:t>“</w:t>
      </w:r>
      <w:r w:rsidR="00775CA5">
        <w:t>anticipated</w:t>
      </w:r>
      <w:r w:rsidR="00F27FDD">
        <w:t>”</w:t>
      </w:r>
      <w:r w:rsidR="00775CA5">
        <w:t xml:space="preserve"> projects that will not occur until some future time and are not yet mandated.</w:t>
      </w:r>
    </w:p>
    <w:p w14:paraId="09E5CC50" w14:textId="6421D929" w:rsidR="0016785D" w:rsidRDefault="0016785D" w:rsidP="0016785D">
      <w:pPr>
        <w:pStyle w:val="Second-LevelSubheading"/>
      </w:pPr>
      <w:r>
        <w:t>Paragraph (2)(b)</w:t>
      </w:r>
      <w:r w:rsidR="00FD7F74">
        <w:t xml:space="preserve"> – Requiring a description of the scope of the facilities relocation</w:t>
      </w:r>
    </w:p>
    <w:p w14:paraId="4FDBDAD9" w14:textId="77777777" w:rsidR="0007308B" w:rsidRDefault="0007308B" w:rsidP="0016785D">
      <w:pPr>
        <w:pStyle w:val="BodyText"/>
      </w:pPr>
      <w:r w:rsidRPr="003341B0">
        <w:t>This paragraph requires the utility to disclose the scope of the facilities relocation to be undertaken per the require</w:t>
      </w:r>
      <w:r>
        <w:t>ments imposed by the authority.</w:t>
      </w:r>
    </w:p>
    <w:p w14:paraId="4067A31B" w14:textId="77777777" w:rsidR="004A3E78" w:rsidRDefault="0007308B" w:rsidP="0016785D">
      <w:pPr>
        <w:pStyle w:val="BodyText"/>
      </w:pPr>
      <w:r>
        <w:t xml:space="preserve">OPC submitted comments requiring a description not only of the scope of facilities relocation, but also </w:t>
      </w:r>
      <w:r w:rsidR="00022D12">
        <w:t xml:space="preserve">identification of the particular projects and work to be performed. </w:t>
      </w:r>
      <w:r w:rsidR="000C6035">
        <w:t>Section</w:t>
      </w:r>
      <w:r w:rsidR="00022D12">
        <w:t xml:space="preserve"> 366.99(3), F.S., limits the Commission’s review to the prudence of costs already incurred and the reasonableness of projected costs</w:t>
      </w:r>
      <w:r>
        <w:t>.</w:t>
      </w:r>
      <w:r w:rsidR="00022D12">
        <w:t xml:space="preserve"> Unlike other statutes requiring the Commission to review and approves plans or determine need before costs may be incurred,</w:t>
      </w:r>
      <w:r w:rsidR="00022D12">
        <w:rPr>
          <w:rStyle w:val="FootnoteReference"/>
        </w:rPr>
        <w:footnoteReference w:id="2"/>
      </w:r>
      <w:r w:rsidR="00B41B58">
        <w:t xml:space="preserve"> S</w:t>
      </w:r>
      <w:r w:rsidR="00022D12">
        <w:t>ection 366.99, F.S., contains no such grant of authority, and it is not the Commission’s practice to micromanage how utilities perform their statutory obligations.</w:t>
      </w:r>
    </w:p>
    <w:p w14:paraId="62E90857" w14:textId="2DD3284D" w:rsidR="004A3E78" w:rsidRDefault="004A3E78" w:rsidP="0016785D">
      <w:pPr>
        <w:pStyle w:val="BodyText"/>
      </w:pPr>
      <w:r>
        <w:t xml:space="preserve">PGS requested including the term “identified” to limit for which projects the information was required. As the rule already only allows for cost recovery for </w:t>
      </w:r>
      <w:r w:rsidR="00B57E0E">
        <w:t xml:space="preserve">facilities relocation </w:t>
      </w:r>
      <w:r>
        <w:t>projects</w:t>
      </w:r>
      <w:r w:rsidR="00B57E0E">
        <w:t xml:space="preserve"> that would be considered “identified”</w:t>
      </w:r>
      <w:r>
        <w:t xml:space="preserve"> (declining to also allow PGS’s request to include </w:t>
      </w:r>
      <w:r w:rsidR="00F27FDD">
        <w:t>“</w:t>
      </w:r>
      <w:r>
        <w:t>anticipated</w:t>
      </w:r>
      <w:r w:rsidR="00F27FDD">
        <w:t>”</w:t>
      </w:r>
      <w:r>
        <w:t xml:space="preserve"> projects, as discussed above), there is no need to specify that only “identified” projects are addressed in this paragraph.</w:t>
      </w:r>
    </w:p>
    <w:p w14:paraId="20F1E107" w14:textId="306F1899" w:rsidR="0016785D" w:rsidRDefault="0016785D" w:rsidP="0016785D">
      <w:pPr>
        <w:pStyle w:val="Second-LevelSubheading"/>
      </w:pPr>
      <w:r>
        <w:t>Paragraph (2)(c)</w:t>
      </w:r>
      <w:r w:rsidR="00FD7F74">
        <w:t xml:space="preserve"> – Requiring an estimate of associated costs</w:t>
      </w:r>
    </w:p>
    <w:p w14:paraId="7A5280D6" w14:textId="77777777" w:rsidR="0007308B" w:rsidRDefault="0007308B" w:rsidP="0007308B">
      <w:pPr>
        <w:pStyle w:val="BodyText"/>
      </w:pPr>
      <w:r>
        <w:t>This paragraph requires the utility seeking cost recovery through the NGFRCRC provide a</w:t>
      </w:r>
      <w:r w:rsidRPr="003341B0">
        <w:t>n estimate of the costs associated with the relocation of the natural gas facilities</w:t>
      </w:r>
      <w:r>
        <w:t xml:space="preserve">. </w:t>
      </w:r>
      <w:r w:rsidR="00022D12">
        <w:t xml:space="preserve">Comments from </w:t>
      </w:r>
      <w:r>
        <w:t>F</w:t>
      </w:r>
      <w:r w:rsidR="004A3E78">
        <w:t>PUC and F</w:t>
      </w:r>
      <w:r>
        <w:t xml:space="preserve">CG suggested </w:t>
      </w:r>
      <w:r w:rsidR="0034681C">
        <w:t xml:space="preserve">adding </w:t>
      </w:r>
      <w:r>
        <w:t xml:space="preserve">additional language </w:t>
      </w:r>
      <w:r w:rsidR="0034681C">
        <w:t xml:space="preserve">to </w:t>
      </w:r>
      <w:r>
        <w:t>defin</w:t>
      </w:r>
      <w:r w:rsidR="0034681C">
        <w:t>e</w:t>
      </w:r>
      <w:r>
        <w:t xml:space="preserve"> costs to include </w:t>
      </w:r>
      <w:r w:rsidR="0034681C">
        <w:t>“</w:t>
      </w:r>
      <w:r w:rsidRPr="003341B0">
        <w:t>annual depreciation on the cost, calculated at the public utility’s current approved depreciation rates, and a return on the undepreciated balance of the costs at the public utility’s weighted average cost of capital using the last approved return on equity</w:t>
      </w:r>
      <w:r>
        <w:t>.</w:t>
      </w:r>
      <w:r w:rsidR="0034681C">
        <w:t>”</w:t>
      </w:r>
    </w:p>
    <w:p w14:paraId="4A2593E4" w14:textId="77777777" w:rsidR="00C22BF4" w:rsidRPr="003341B0" w:rsidRDefault="0007308B" w:rsidP="0007308B">
      <w:pPr>
        <w:pStyle w:val="BodyText"/>
      </w:pPr>
      <w:r>
        <w:t xml:space="preserve">Staff </w:t>
      </w:r>
      <w:r w:rsidR="00D51B0F">
        <w:t xml:space="preserve">does not believe that </w:t>
      </w:r>
      <w:r>
        <w:t>costs</w:t>
      </w:r>
      <w:r w:rsidR="00D51B0F">
        <w:t xml:space="preserve"> need to be defined</w:t>
      </w:r>
      <w:r>
        <w:t xml:space="preserve"> in the rule as </w:t>
      </w:r>
      <w:r w:rsidR="0034681C">
        <w:t xml:space="preserve">Section 366.99(5), F.S., </w:t>
      </w:r>
      <w:r>
        <w:t xml:space="preserve">already states that costs include </w:t>
      </w:r>
      <w:r w:rsidR="0034681C">
        <w:t>“</w:t>
      </w:r>
      <w:r>
        <w:t>a</w:t>
      </w:r>
      <w:r w:rsidRPr="00CA66C2">
        <w:t>nnual depreciation on the cost, calculated at the public utility’s current approved depreciation rates, and a return on the undepreciated balance of the costs at the public utility’s weighted average cost of capital using the last approved return on equity</w:t>
      </w:r>
      <w:r>
        <w:t>, along with</w:t>
      </w:r>
      <w:r w:rsidRPr="00CA66C2">
        <w:t xml:space="preserve"> costs associated with reviewing plans provided by the authority</w:t>
      </w:r>
      <w:r>
        <w:t>.</w:t>
      </w:r>
      <w:r w:rsidR="0034681C">
        <w:t>”</w:t>
      </w:r>
      <w:r w:rsidR="00D51B0F" w:rsidRPr="00D51B0F">
        <w:t xml:space="preserve"> </w:t>
      </w:r>
      <w:r w:rsidR="00D51B0F">
        <w:t>Restating the definition</w:t>
      </w:r>
      <w:r w:rsidR="0034681C">
        <w:t xml:space="preserve"> in the rule</w:t>
      </w:r>
      <w:r w:rsidR="00D51B0F">
        <w:t xml:space="preserve"> is not required and is inappropriate pursuant to </w:t>
      </w:r>
      <w:r w:rsidR="000C6035">
        <w:t>Section</w:t>
      </w:r>
      <w:r w:rsidR="00D51B0F">
        <w:t xml:space="preserve"> 120.545(1)(c), F.S.</w:t>
      </w:r>
    </w:p>
    <w:p w14:paraId="1EA77F4D" w14:textId="68AB8CCE" w:rsidR="0016785D" w:rsidRDefault="0016785D" w:rsidP="0016785D">
      <w:pPr>
        <w:pStyle w:val="First-LevelSubheading"/>
      </w:pPr>
      <w:r>
        <w:t>Subsection (3)</w:t>
      </w:r>
      <w:r w:rsidR="00FD7F74">
        <w:t xml:space="preserve"> – Establishing procedure for review of costs</w:t>
      </w:r>
    </w:p>
    <w:p w14:paraId="1ACB6EEA" w14:textId="77777777" w:rsidR="0016785D" w:rsidRPr="0016785D" w:rsidRDefault="0016785D" w:rsidP="0016785D">
      <w:pPr>
        <w:pStyle w:val="BodyText"/>
      </w:pPr>
      <w:r w:rsidRPr="0016785D">
        <w:t xml:space="preserve">This </w:t>
      </w:r>
      <w:r w:rsidR="0034681C">
        <w:t xml:space="preserve">subsection </w:t>
      </w:r>
      <w:r w:rsidRPr="0016785D">
        <w:t xml:space="preserve">directs how the statutorily mandated review of incurred and proposed costs will occur and </w:t>
      </w:r>
      <w:r w:rsidR="004E2B82">
        <w:t xml:space="preserve">follows the </w:t>
      </w:r>
      <w:r w:rsidRPr="0016785D">
        <w:t xml:space="preserve">Commission’s </w:t>
      </w:r>
      <w:r w:rsidR="00B57E0E">
        <w:t xml:space="preserve">established </w:t>
      </w:r>
      <w:r w:rsidR="004E2B82">
        <w:t xml:space="preserve">procedure for its other </w:t>
      </w:r>
      <w:r w:rsidRPr="0016785D">
        <w:t>cost recovery clauses. The rule provides that an annual hearing to address petitions for recovery of natural gas facilities relocation costs will be held and will be limited to determining the reasonableness of projected costs, the prudence of actual costs incurred by the utility, and to cost recovery factors consistent with</w:t>
      </w:r>
      <w:r w:rsidR="00F253BF">
        <w:t xml:space="preserve"> the requirements of this rule.</w:t>
      </w:r>
      <w:r w:rsidR="005A1CCA">
        <w:t xml:space="preserve"> The process set forth in paragraphs (3)(a)-(e) is consistent with that of other rules pertaining to cost recovery clauses.</w:t>
      </w:r>
    </w:p>
    <w:p w14:paraId="096AB47E" w14:textId="77777777" w:rsidR="0016785D" w:rsidRDefault="0016785D" w:rsidP="0016785D">
      <w:pPr>
        <w:pStyle w:val="Second-LevelSubheading"/>
      </w:pPr>
      <w:r>
        <w:t>Paragraph (3)(a) – Final True-Up for Previous Year</w:t>
      </w:r>
    </w:p>
    <w:p w14:paraId="5D9B0310" w14:textId="77777777" w:rsidR="0016785D" w:rsidRDefault="005A1CCA" w:rsidP="0016785D">
      <w:pPr>
        <w:pStyle w:val="BodyText"/>
      </w:pPr>
      <w:r>
        <w:t xml:space="preserve">FPUC and FCG submitted comments to include language clarifying that the initial filing for cost recovery would include eligible projects undertaken since July </w:t>
      </w:r>
      <w:r w:rsidR="00B41B58">
        <w:t>1, 2024, the effective date of S</w:t>
      </w:r>
      <w:r>
        <w:t xml:space="preserve">ection 366.99, F.S. Staff believes such language is unnecessary. First, </w:t>
      </w:r>
      <w:r w:rsidR="008D2658">
        <w:t xml:space="preserve">the Commission’s practice, per rule making statutes, is for the rule to apply as of the effective date of the authorizing statute. </w:t>
      </w:r>
      <w:r w:rsidR="00043567">
        <w:t xml:space="preserve">In addition, </w:t>
      </w:r>
      <w:r>
        <w:t>this clarification would only be pertinent to petitions for cost recovery filed in 2025</w:t>
      </w:r>
      <w:r w:rsidR="009045CC">
        <w:t>. As utilities are not mandated to seek recovery under the NGFRCRC, an “initial filing” may not occur in 2025.</w:t>
      </w:r>
    </w:p>
    <w:p w14:paraId="1ED16CFC" w14:textId="77777777" w:rsidR="0016785D" w:rsidRDefault="0016785D" w:rsidP="0016785D">
      <w:pPr>
        <w:pStyle w:val="Second-LevelSubheading"/>
      </w:pPr>
      <w:r>
        <w:t>Paragraph (3)(b) – Estimated True-Up for Current Year</w:t>
      </w:r>
    </w:p>
    <w:p w14:paraId="634EAFCD" w14:textId="25118B03" w:rsidR="0016785D" w:rsidRDefault="008D2658" w:rsidP="0016785D">
      <w:pPr>
        <w:pStyle w:val="BodyText"/>
      </w:pPr>
      <w:r>
        <w:t xml:space="preserve">PGS submitted comments seeking to clarify that the current year true-up would be for costs that “have been, will be, and are projected to be incurred.” The draft language </w:t>
      </w:r>
      <w:r w:rsidR="004E2B82">
        <w:t xml:space="preserve">addresses </w:t>
      </w:r>
      <w:r>
        <w:t xml:space="preserve">costs that “have been or will be incurred” </w:t>
      </w:r>
      <w:r w:rsidR="004E2B82">
        <w:t xml:space="preserve">and </w:t>
      </w:r>
      <w:r>
        <w:t>is identical to language the Commission used in</w:t>
      </w:r>
      <w:r w:rsidR="004E2B82">
        <w:t xml:space="preserve"> the rule pertaining to the Storm Protection Plan</w:t>
      </w:r>
      <w:r>
        <w:t xml:space="preserve"> cost recovery clause</w:t>
      </w:r>
      <w:r w:rsidR="004E2B82">
        <w:t>.</w:t>
      </w:r>
      <w:r w:rsidR="004E2B82">
        <w:rPr>
          <w:rStyle w:val="FootnoteReference"/>
        </w:rPr>
        <w:footnoteReference w:id="3"/>
      </w:r>
      <w:r w:rsidR="004E2B82">
        <w:t xml:space="preserve"> Staff believes th</w:t>
      </w:r>
      <w:r w:rsidR="0034681C">
        <w:t>e draft rule</w:t>
      </w:r>
      <w:r>
        <w:t xml:space="preserve"> language is appropriate</w:t>
      </w:r>
      <w:r w:rsidR="0034681C">
        <w:t xml:space="preserve"> and the recommended additions are unnecessary</w:t>
      </w:r>
      <w:r w:rsidR="004E2B82">
        <w:t>.</w:t>
      </w:r>
    </w:p>
    <w:p w14:paraId="2D0EB6CD" w14:textId="77777777" w:rsidR="00CB69D8" w:rsidRDefault="00CB69D8" w:rsidP="0016785D">
      <w:pPr>
        <w:pStyle w:val="BodyText"/>
      </w:pPr>
    </w:p>
    <w:p w14:paraId="5CBB2469" w14:textId="77777777" w:rsidR="0016785D" w:rsidRDefault="0016785D" w:rsidP="0016785D">
      <w:pPr>
        <w:pStyle w:val="Second-LevelSubheading"/>
      </w:pPr>
      <w:r>
        <w:t>Paragraph (3)(c) – Projected Costs for Subsequent Year</w:t>
      </w:r>
    </w:p>
    <w:p w14:paraId="1270C14A" w14:textId="4325D368" w:rsidR="0034681C" w:rsidRDefault="006E1AFE" w:rsidP="0034681C">
      <w:pPr>
        <w:pStyle w:val="BodyText"/>
      </w:pPr>
      <w:r>
        <w:t xml:space="preserve">PGS </w:t>
      </w:r>
      <w:r w:rsidR="004E2B82">
        <w:t>submitted comments that would add language to include both “identified” and “anticipated” costs</w:t>
      </w:r>
      <w:r w:rsidR="0050701E">
        <w:t>, and to add language specifying what would constitute the basis for costs of “anticipated” projects</w:t>
      </w:r>
      <w:r>
        <w:t>. As discussed above (regarding paragraphs (2)(a) and (b)),</w:t>
      </w:r>
      <w:r w:rsidRPr="006E1AFE">
        <w:t xml:space="preserve"> </w:t>
      </w:r>
      <w:r>
        <w:t xml:space="preserve">staff believes the statute only allows for cost recovery for </w:t>
      </w:r>
      <w:r w:rsidR="00B57E0E">
        <w:t>what PGS calls “</w:t>
      </w:r>
      <w:r>
        <w:t>identified</w:t>
      </w:r>
      <w:r w:rsidR="00B57E0E">
        <w:t>”</w:t>
      </w:r>
      <w:r>
        <w:t xml:space="preserve"> projects—facilities relocation which a utility is required</w:t>
      </w:r>
      <w:r w:rsidR="00B57E0E">
        <w:t xml:space="preserve"> to do per notification from an</w:t>
      </w:r>
      <w:r>
        <w:t xml:space="preserve"> authority</w:t>
      </w:r>
      <w:r w:rsidR="004E2B82">
        <w:t>.</w:t>
      </w:r>
      <w:r w:rsidR="0034681C">
        <w:t xml:space="preserve"> Accordingly, as expressed in the discussion of paragraphs (2)(a) and (b), staff believes</w:t>
      </w:r>
      <w:r w:rsidR="0034681C" w:rsidRPr="0034681C">
        <w:t xml:space="preserve"> </w:t>
      </w:r>
      <w:r w:rsidR="0034681C">
        <w:t>including “anticipated” projects in cost recovery is inappropriate. Section 366.99, F.S.</w:t>
      </w:r>
      <w:r w:rsidR="0050701E">
        <w:t>,</w:t>
      </w:r>
      <w:r w:rsidR="0034681C">
        <w:t xml:space="preserve"> explicitly limits cost recovery to facilities relocation </w:t>
      </w:r>
      <w:r w:rsidR="0034681C" w:rsidRPr="00775CA5">
        <w:rPr>
          <w:i/>
        </w:rPr>
        <w:t>required</w:t>
      </w:r>
      <w:r w:rsidR="0034681C">
        <w:t xml:space="preserve"> by an authority. Thus, staff believes the plain language of the statute excludes cost recovery for “anticipated” projects that will not occur until some future time and are not yet mandated.</w:t>
      </w:r>
    </w:p>
    <w:p w14:paraId="3457B3BB" w14:textId="77777777" w:rsidR="0016785D" w:rsidRDefault="0016785D" w:rsidP="0016785D">
      <w:pPr>
        <w:pStyle w:val="Second-LevelSubheading"/>
      </w:pPr>
      <w:r>
        <w:t>Paragraph (3)(d) – True-Up Variances</w:t>
      </w:r>
    </w:p>
    <w:p w14:paraId="2396DC96" w14:textId="04646EBF" w:rsidR="00C072E9" w:rsidRDefault="00E14398" w:rsidP="00C072E9">
      <w:pPr>
        <w:pStyle w:val="BodyText"/>
      </w:pPr>
      <w:r>
        <w:t xml:space="preserve">Consistent with other cost recovery clauses, </w:t>
      </w:r>
      <w:r w:rsidR="0050701E">
        <w:t xml:space="preserve">under the recommended rule language, </w:t>
      </w:r>
      <w:r>
        <w:t>t</w:t>
      </w:r>
      <w:r w:rsidRPr="00E14398">
        <w:t>he utility must report observed true-up variances, including sales forecasting variances, changes in the utility’s prices of services and/or equipment, and changes in the scope of work relative to the est</w:t>
      </w:r>
      <w:r>
        <w:t xml:space="preserve">imates provided </w:t>
      </w:r>
      <w:r w:rsidR="00B11241">
        <w:t>in the petition</w:t>
      </w:r>
      <w:r w:rsidRPr="00E14398">
        <w:t>. The utility must also provide explanations for variances regarding the facilities relocation</w:t>
      </w:r>
      <w:r>
        <w:t>.</w:t>
      </w:r>
      <w:r w:rsidR="000A4D3C">
        <w:t xml:space="preserve"> </w:t>
      </w:r>
      <w:r w:rsidR="00B11241">
        <w:t xml:space="preserve">None of the workshop participants </w:t>
      </w:r>
      <w:r>
        <w:t>had any objection to or comment on this provision.</w:t>
      </w:r>
    </w:p>
    <w:p w14:paraId="6D991D30" w14:textId="77777777" w:rsidR="0016785D" w:rsidRDefault="0016785D" w:rsidP="0016785D">
      <w:pPr>
        <w:pStyle w:val="Second-LevelSubheading"/>
      </w:pPr>
      <w:r>
        <w:t>Paragraph (3)(e) – Proposed Natural Gas Facilities Relocation Cost Recovery Factors</w:t>
      </w:r>
    </w:p>
    <w:p w14:paraId="2601AB35" w14:textId="77777777" w:rsidR="0016785D" w:rsidRDefault="00EA5FCD" w:rsidP="0016785D">
      <w:pPr>
        <w:pStyle w:val="BodyText"/>
      </w:pPr>
      <w:r>
        <w:t>Consistent with other cost recovery clauses, the utility must provide the calculations of its proposed factors and effective 12-month billing period. None of the workshop participants had any objection to or comment on this provision.</w:t>
      </w:r>
    </w:p>
    <w:p w14:paraId="2911D1F8" w14:textId="44FBE0DC" w:rsidR="0016785D" w:rsidRDefault="0016785D" w:rsidP="0016785D">
      <w:pPr>
        <w:pStyle w:val="First-LevelSubheading"/>
      </w:pPr>
      <w:r>
        <w:t>Subsection (</w:t>
      </w:r>
      <w:r w:rsidR="00894F76">
        <w:t>4</w:t>
      </w:r>
      <w:r>
        <w:t>)</w:t>
      </w:r>
      <w:r w:rsidR="00FD7F74">
        <w:t xml:space="preserve"> – Setting forth accounting treatment</w:t>
      </w:r>
    </w:p>
    <w:p w14:paraId="2BB0D609" w14:textId="4073FA88" w:rsidR="000A4D3C" w:rsidRDefault="0050701E" w:rsidP="000A4D3C">
      <w:pPr>
        <w:pStyle w:val="BodyText"/>
      </w:pPr>
      <w:r>
        <w:t>Under the recommended rule language, n</w:t>
      </w:r>
      <w:r w:rsidR="00DC366C" w:rsidRPr="00DC366C">
        <w:t>atural gas facilities relocation cost recovery clause true-up amounts will be afforded deferred accounting treatment at the 30-day commercial paper rate.</w:t>
      </w:r>
      <w:r w:rsidR="00DC366C">
        <w:t xml:space="preserve"> This provision is in accord with the Commission’s other cost recovery clauses.</w:t>
      </w:r>
      <w:r w:rsidR="000A4D3C" w:rsidRPr="000A4D3C">
        <w:t xml:space="preserve"> </w:t>
      </w:r>
      <w:r w:rsidR="000A4D3C">
        <w:t>None of the workshop participants had any objection to or comment on this provision.</w:t>
      </w:r>
    </w:p>
    <w:p w14:paraId="3A0FE0ED" w14:textId="77777777" w:rsidR="0016785D" w:rsidRDefault="0016785D" w:rsidP="0016785D">
      <w:pPr>
        <w:pStyle w:val="First-LevelSubheading"/>
      </w:pPr>
      <w:r>
        <w:t>Subsection (</w:t>
      </w:r>
      <w:r w:rsidR="00894F76">
        <w:t>5</w:t>
      </w:r>
      <w:r>
        <w:t>) – Subaccounts</w:t>
      </w:r>
      <w:r w:rsidR="007F372C">
        <w:t>.</w:t>
      </w:r>
    </w:p>
    <w:p w14:paraId="0E34ACC8" w14:textId="7801D9D1" w:rsidR="000A4D3C" w:rsidRDefault="00C072E9" w:rsidP="000A4D3C">
      <w:pPr>
        <w:pStyle w:val="BodyText"/>
      </w:pPr>
      <w:r w:rsidRPr="00C072E9">
        <w:t xml:space="preserve">To ensure separation of costs subject to recovery through the clause, </w:t>
      </w:r>
      <w:r w:rsidR="0050701E">
        <w:t xml:space="preserve">staff recommends that the new rule require </w:t>
      </w:r>
      <w:r w:rsidRPr="00C072E9">
        <w:t xml:space="preserve">the utility filing for cost recovery must maintain subaccounts for all items consistent with the Uniform System of Accounts prescribed by this </w:t>
      </w:r>
      <w:r>
        <w:t>Commission pursuant to Rule 25-7</w:t>
      </w:r>
      <w:r w:rsidRPr="00C072E9">
        <w:t>.014, F.A.C.</w:t>
      </w:r>
      <w:r w:rsidR="000A4D3C" w:rsidRPr="000A4D3C">
        <w:t xml:space="preserve"> </w:t>
      </w:r>
      <w:r w:rsidR="000A4D3C">
        <w:t>None of the workshop participants had any objection to or comment on this provision.</w:t>
      </w:r>
    </w:p>
    <w:p w14:paraId="15D52F7A" w14:textId="23BBE84D" w:rsidR="0016785D" w:rsidRDefault="0016785D" w:rsidP="0016785D">
      <w:pPr>
        <w:pStyle w:val="First-LevelSubheading"/>
      </w:pPr>
      <w:r>
        <w:t>Subsection (</w:t>
      </w:r>
      <w:r w:rsidR="00894F76">
        <w:t>6</w:t>
      </w:r>
      <w:r>
        <w:t>)</w:t>
      </w:r>
      <w:r w:rsidR="00FD7F74">
        <w:t xml:space="preserve"> – Option to include unrecovered costs in a subsequent rate proceeding</w:t>
      </w:r>
    </w:p>
    <w:p w14:paraId="2E8B255A" w14:textId="349D8832" w:rsidR="000A4D3C" w:rsidRDefault="0050701E" w:rsidP="000A4D3C">
      <w:pPr>
        <w:pStyle w:val="BodyText"/>
      </w:pPr>
      <w:r>
        <w:t>Under staff’s recommended rule language, t</w:t>
      </w:r>
      <w:r w:rsidR="00894F76" w:rsidRPr="007F372C">
        <w:t>he NGFRCRC allows utilities to initiate recovery of required costs with</w:t>
      </w:r>
      <w:r w:rsidR="007E00F8">
        <w:t xml:space="preserve"> minimal</w:t>
      </w:r>
      <w:r w:rsidR="00894F76" w:rsidRPr="007F372C">
        <w:t xml:space="preserve"> regulatory lag</w:t>
      </w:r>
      <w:r w:rsidR="001B0C84">
        <w:t>. However, a</w:t>
      </w:r>
      <w:r w:rsidR="001B0C84" w:rsidRPr="007F372C">
        <w:t>s the relocation projects covered by this rule are likely large, cap</w:t>
      </w:r>
      <w:r w:rsidR="00056629">
        <w:t>ital expenditures, subsection (6</w:t>
      </w:r>
      <w:r w:rsidR="001B0C84" w:rsidRPr="007F372C">
        <w:t>) provides the option for utilities to move costs into base rates at a subsequent rate proceeding, and remove them from on-going clause proceedings.</w:t>
      </w:r>
      <w:r w:rsidR="001B0C84">
        <w:t xml:space="preserve"> </w:t>
      </w:r>
      <w:r w:rsidR="000A4D3C">
        <w:t>None of the workshop participants had any objection to or comment on this provision.</w:t>
      </w:r>
    </w:p>
    <w:p w14:paraId="2B24B2DB" w14:textId="77777777" w:rsidR="0016785D" w:rsidRDefault="00D00C33" w:rsidP="0016785D">
      <w:pPr>
        <w:pStyle w:val="First-LevelSubheading"/>
      </w:pPr>
      <w:r>
        <w:t>Comments R</w:t>
      </w:r>
      <w:r w:rsidR="00894F76">
        <w:t>equesting to Add Language to Allow for Filing of Mid-Course Corrections.</w:t>
      </w:r>
    </w:p>
    <w:p w14:paraId="39EE4823" w14:textId="18C4BB20" w:rsidR="00894F76" w:rsidRDefault="00894F76" w:rsidP="00894F76">
      <w:pPr>
        <w:pStyle w:val="BodyText"/>
      </w:pPr>
      <w:r>
        <w:t>Due to the unpredictability of when an authority may require natural gas facilities to be relocated and the variation in cycle times</w:t>
      </w:r>
      <w:r w:rsidR="00D00C33">
        <w:t xml:space="preserve">, </w:t>
      </w:r>
      <w:r>
        <w:t xml:space="preserve">both PGS and FPUC/FCG submitted comments </w:t>
      </w:r>
      <w:r w:rsidR="00B57E0E">
        <w:t xml:space="preserve">to add rule language </w:t>
      </w:r>
      <w:r>
        <w:t>allowing a utility to seek a mid-course correction</w:t>
      </w:r>
      <w:r w:rsidR="00D00C33">
        <w:t xml:space="preserve"> for costs that may vary significantly over a 12-month period</w:t>
      </w:r>
      <w:r>
        <w:t xml:space="preserve">. Comments </w:t>
      </w:r>
      <w:r w:rsidR="000A4D3C">
        <w:t>from PGS included language</w:t>
      </w:r>
      <w:r w:rsidR="00D00C33">
        <w:t xml:space="preserve"> akin to </w:t>
      </w:r>
      <w:r w:rsidR="000A4D3C">
        <w:t xml:space="preserve">the </w:t>
      </w:r>
      <w:r>
        <w:t xml:space="preserve">language of Rule 25-6.0424, F.A.C., pertaining to a </w:t>
      </w:r>
      <w:r w:rsidR="000A4D3C">
        <w:t>petition</w:t>
      </w:r>
      <w:r>
        <w:t xml:space="preserve"> for m</w:t>
      </w:r>
      <w:r w:rsidR="000A4D3C">
        <w:t>id-course correction to the fu</w:t>
      </w:r>
      <w:r>
        <w:t>e</w:t>
      </w:r>
      <w:r w:rsidR="000A4D3C">
        <w:t>l</w:t>
      </w:r>
      <w:r>
        <w:t xml:space="preserve"> cost recovery or capacity cost recovery factors</w:t>
      </w:r>
      <w:r w:rsidR="000A4D3C">
        <w:t>. Under the language suggested by PGS, a utility could re</w:t>
      </w:r>
      <w:r w:rsidR="00895A40">
        <w:t>quest a mid-course correction if</w:t>
      </w:r>
      <w:r w:rsidR="000A4D3C">
        <w:t xml:space="preserve"> the revised projected costs for the remainder of the period exceeded projected revenues by more than ten percent, and had filing requirements identical to that of Rule 25-6.0424, F.A.C</w:t>
      </w:r>
      <w:r>
        <w:t>. Comments from FPUC and FCG included language that a utility be required to file for a mid-course correction should the difference between projected expenses and projected revenues exceed 2</w:t>
      </w:r>
      <w:r w:rsidR="00B57E0E">
        <w:t xml:space="preserve">5 percent, but </w:t>
      </w:r>
      <w:r w:rsidR="001D4FCE">
        <w:t xml:space="preserve">allowing </w:t>
      </w:r>
      <w:r w:rsidR="00B57E0E">
        <w:t xml:space="preserve">a utility </w:t>
      </w:r>
      <w:r>
        <w:t>to file a petition for a mid-course correction prior to reaching the 25 percent threshold</w:t>
      </w:r>
      <w:r w:rsidR="00DC5393">
        <w:t>,</w:t>
      </w:r>
      <w:r>
        <w:t xml:space="preserve"> </w:t>
      </w:r>
      <w:r w:rsidR="00D00C33">
        <w:t xml:space="preserve">if </w:t>
      </w:r>
      <w:r>
        <w:t>projected expenses exceed projected revenues by ten percent or more.</w:t>
      </w:r>
    </w:p>
    <w:p w14:paraId="24564DB0" w14:textId="08B87270" w:rsidR="0050701E" w:rsidRDefault="00894F76" w:rsidP="00894F76">
      <w:pPr>
        <w:pStyle w:val="BodyText"/>
      </w:pPr>
      <w:r>
        <w:t>Staff believes</w:t>
      </w:r>
      <w:r w:rsidR="000A4D3C">
        <w:t xml:space="preserve"> a mid-course correction provision is </w:t>
      </w:r>
      <w:r w:rsidR="00D00C33">
        <w:t xml:space="preserve">not only </w:t>
      </w:r>
      <w:r w:rsidR="000A4D3C">
        <w:t>unnecessary</w:t>
      </w:r>
      <w:r w:rsidR="00D00C33">
        <w:t>, but also is</w:t>
      </w:r>
      <w:r w:rsidR="00B41B58">
        <w:t xml:space="preserve"> prohibited by S</w:t>
      </w:r>
      <w:r w:rsidR="000A4D3C">
        <w:t>ection 366.99, F.S.</w:t>
      </w:r>
      <w:r w:rsidR="00A95302">
        <w:t xml:space="preserve"> First, </w:t>
      </w:r>
      <w:r w:rsidR="000C6035">
        <w:t>Section</w:t>
      </w:r>
      <w:r w:rsidR="00A95302">
        <w:t xml:space="preserve"> 366.99(3), F.S., directs the Commission to hold “</w:t>
      </w:r>
      <w:r w:rsidR="00A95302" w:rsidRPr="00A95302">
        <w:rPr>
          <w:i/>
        </w:rPr>
        <w:t>an</w:t>
      </w:r>
      <w:r w:rsidR="00A95302">
        <w:t xml:space="preserve"> annual proceeding” (emphasis added), the plain meaning of which indicates one proceeding each year. </w:t>
      </w:r>
      <w:r w:rsidR="00D00C33">
        <w:t xml:space="preserve">Holding </w:t>
      </w:r>
      <w:r w:rsidR="00B57E0E">
        <w:t xml:space="preserve">additional </w:t>
      </w:r>
      <w:r w:rsidR="00993E52">
        <w:t>proceeding</w:t>
      </w:r>
      <w:r w:rsidR="00D00C33">
        <w:t xml:space="preserve">s to address requested mid-course corrections would violate that language. </w:t>
      </w:r>
      <w:r w:rsidR="00A95302">
        <w:t xml:space="preserve">In addition, </w:t>
      </w:r>
      <w:r w:rsidR="001D4FCE">
        <w:t>the provisions of Section 366.99, F.S., which allow</w:t>
      </w:r>
      <w:r w:rsidR="00A95302">
        <w:t xml:space="preserve"> utilities to seek cost recovery at </w:t>
      </w:r>
      <w:r w:rsidR="00B57E0E">
        <w:t>an</w:t>
      </w:r>
      <w:r w:rsidR="00A95302">
        <w:t xml:space="preserve"> annual proceeding</w:t>
      </w:r>
      <w:r w:rsidR="001D4FCE">
        <w:t>,</w:t>
      </w:r>
      <w:r w:rsidR="00A95302">
        <w:t xml:space="preserve"> already significantly accelerate their ability to recover e</w:t>
      </w:r>
      <w:r w:rsidR="00B41B58">
        <w:t>ligible costs. Prior to S</w:t>
      </w:r>
      <w:r w:rsidR="00A95302">
        <w:t>ection 366.</w:t>
      </w:r>
      <w:r w:rsidR="001D4FCE">
        <w:t>99, F.S.</w:t>
      </w:r>
      <w:r w:rsidR="00A95302">
        <w:t xml:space="preserve">, utilities could only recover facilities relocation costs in base rate proceedings. </w:t>
      </w:r>
      <w:r w:rsidR="00D00C33">
        <w:t xml:space="preserve">Under </w:t>
      </w:r>
      <w:r w:rsidR="001D4FCE">
        <w:t xml:space="preserve">Section 366.99, F.S., and </w:t>
      </w:r>
      <w:r w:rsidR="00D00C33">
        <w:t xml:space="preserve">this </w:t>
      </w:r>
      <w:r w:rsidR="00DC5393">
        <w:t xml:space="preserve">recommended new </w:t>
      </w:r>
      <w:r w:rsidR="00D00C33">
        <w:t xml:space="preserve">rule, </w:t>
      </w:r>
      <w:r w:rsidR="000C6035">
        <w:t xml:space="preserve">utilities may seek to have </w:t>
      </w:r>
      <w:r w:rsidR="00D00C33">
        <w:t xml:space="preserve">required relocation costs assessed </w:t>
      </w:r>
      <w:r w:rsidR="001B0C84">
        <w:t>annually under a process that accounts for changes between projecte</w:t>
      </w:r>
      <w:r w:rsidR="0050701E">
        <w:t>d, estimated, and actual costs.</w:t>
      </w:r>
    </w:p>
    <w:p w14:paraId="0552329F" w14:textId="34222C38" w:rsidR="00894F76" w:rsidRPr="00DC366C" w:rsidRDefault="0050701E" w:rsidP="00894F76">
      <w:pPr>
        <w:pStyle w:val="BodyText"/>
      </w:pPr>
      <w:r>
        <w:t xml:space="preserve">Staff </w:t>
      </w:r>
      <w:r w:rsidR="00DC5393">
        <w:t xml:space="preserve">also </w:t>
      </w:r>
      <w:r>
        <w:t>notes that t</w:t>
      </w:r>
      <w:r w:rsidR="00A95302">
        <w:t xml:space="preserve">he rationale underlying the need for a mid-course correction provision </w:t>
      </w:r>
      <w:r w:rsidR="000C6035">
        <w:t>in</w:t>
      </w:r>
      <w:r w:rsidR="00A95302">
        <w:t xml:space="preserve"> the fuel cost recovery clause does not apply to </w:t>
      </w:r>
      <w:r w:rsidR="000C6035">
        <w:t xml:space="preserve">facilities </w:t>
      </w:r>
      <w:r w:rsidR="00A95302">
        <w:t xml:space="preserve">relocation costs. The fuel clause has two components: fuel cost recovery and capacity cost recovery, both of which may fluctuate significantly </w:t>
      </w:r>
      <w:r w:rsidR="00D00C33">
        <w:t xml:space="preserve">during the year and both of which have </w:t>
      </w:r>
      <w:r w:rsidR="001B0C84">
        <w:t xml:space="preserve">such </w:t>
      </w:r>
      <w:r w:rsidR="00D00C33">
        <w:t>sufficient magnitude that those fluctuations would cause dramatic over-</w:t>
      </w:r>
      <w:r w:rsidR="00BE3ED1">
        <w:t xml:space="preserve"> </w:t>
      </w:r>
      <w:r w:rsidR="00D00C33">
        <w:t>or under-recovery. The costs for facilities relocation projects</w:t>
      </w:r>
      <w:r w:rsidR="001B0C84">
        <w:t xml:space="preserve"> are not of the same magnitude.</w:t>
      </w:r>
    </w:p>
    <w:p w14:paraId="3D6CB150" w14:textId="77777777" w:rsidR="0016785D" w:rsidRDefault="007F372C" w:rsidP="007F372C">
      <w:pPr>
        <w:pStyle w:val="First-LevelSubheading"/>
      </w:pPr>
      <w:r>
        <w:t>Minor Violation Rule Certification</w:t>
      </w:r>
    </w:p>
    <w:p w14:paraId="0DDB22B5" w14:textId="77777777" w:rsidR="007F372C" w:rsidRDefault="00B41B58" w:rsidP="007F372C">
      <w:pPr>
        <w:pStyle w:val="BodyText"/>
      </w:pPr>
      <w:r>
        <w:t>Pursuant to S</w:t>
      </w:r>
      <w:r w:rsidR="007F372C" w:rsidRPr="007F372C">
        <w:t>ection 120.695, F.S., for each rule filed for adoption, the agency head shall certify whether any part of the rule is designated as a rule the violation of which wou</w:t>
      </w:r>
      <w:r>
        <w:t>ld be a minor violation. Under S</w:t>
      </w:r>
      <w:r w:rsidR="007F372C" w:rsidRPr="007F372C">
        <w:t xml:space="preserve">ection 120.695(2)(b), F.S., a violation of a rule is minor if it does not result in economic or physical harm to a person or adversely affect the public health, safety, or welfare or create a significant threat of such harm. Rule 25-7.150, F.A.C., should be listed as a minor violation rule by the Commission. This rule is a minor violation rule because the violation of </w:t>
      </w:r>
      <w:r w:rsidR="00A32F54">
        <w:t>it</w:t>
      </w:r>
      <w:r w:rsidR="007F372C" w:rsidRPr="007F372C">
        <w:t xml:space="preserve"> would not result in economic or physical harm to a person, cause an adverse effect on the public health, safety, or welfare, or create a significant threat of</w:t>
      </w:r>
      <w:r w:rsidR="00A32F54">
        <w:t xml:space="preserve"> such harm</w:t>
      </w:r>
      <w:r w:rsidR="007F372C" w:rsidRPr="007F372C">
        <w:t>. Therefore, for the purposes of filing the rule for adoption with the Department of State, staff recommends that the Commission certify Rule 25-7.150, F.A.C., as a minor violation rule.</w:t>
      </w:r>
    </w:p>
    <w:p w14:paraId="2ACF28A9" w14:textId="77777777" w:rsidR="007F372C" w:rsidRDefault="007F372C" w:rsidP="007F372C">
      <w:pPr>
        <w:pStyle w:val="First-LevelSubheading"/>
      </w:pPr>
      <w:r>
        <w:t>Statement of Estimated Regulatory Costs</w:t>
      </w:r>
    </w:p>
    <w:p w14:paraId="6857A9FE" w14:textId="42502A92" w:rsidR="007F372C" w:rsidRPr="00BF2271" w:rsidRDefault="007F372C" w:rsidP="007F372C">
      <w:pPr>
        <w:pStyle w:val="BodyText"/>
      </w:pPr>
      <w:r w:rsidRPr="00BF2271">
        <w:t>Section 120.54(3)(b)1., F.S.</w:t>
      </w:r>
      <w:r w:rsidR="00C65004" w:rsidRPr="00BF2271">
        <w:t>,</w:t>
      </w:r>
      <w:r w:rsidRPr="00BF2271">
        <w:t xml:space="preserve"> encourages agencies to prepare a Statement of Estimated Regulatory Costs (SERC) before the adoption, amendment, or repeal of any rule. A SERC was prepared for this rulemaking and is appended as Attachment B. As required by Section 120.541(2)(a)1., F.S., the SERC analysis includes whether the rule is likely to have an adverse impact on economic growth, private sector job creation or employment, or private sector investment in excess of $1 million in the aggregate within five years after implementation.</w:t>
      </w:r>
    </w:p>
    <w:p w14:paraId="062163DF" w14:textId="77777777" w:rsidR="007F372C" w:rsidRPr="00BF2271" w:rsidRDefault="007F372C" w:rsidP="007F372C">
      <w:pPr>
        <w:pStyle w:val="BodyText"/>
      </w:pPr>
      <w:r w:rsidRPr="00BF2271">
        <w:t>The SERC concludes that the rule will likely not directly or indirectly increase regulatory costs in excess of $200,000 in the aggregate in Florida within one year after implementation. Further, the SERC concludes that the rule will not likely increase regulatory costs, including any transactional costs, or have an adverse impact on business competitiveness, productivity, or innovation, in excess of $1 million in the aggregate within five years of implementation. Thus, pursuant to Section 120.541(3), F.S., the rule do not require legislative ratification.</w:t>
      </w:r>
    </w:p>
    <w:p w14:paraId="4A011962" w14:textId="77777777" w:rsidR="007F372C" w:rsidRPr="007F372C" w:rsidRDefault="007F372C" w:rsidP="007F372C">
      <w:pPr>
        <w:pStyle w:val="BodyText"/>
      </w:pPr>
      <w:r w:rsidRPr="00BF2271">
        <w:t>In addition, the SERC states that the rule would have no adverse impact on small businesses, would have no implementation or enforcement costs on the Commission or any other state or local government entity, and would have no impact on small cities or small counties. The SERC states that there will be no transactional costs likely to be incurred by individuals and entities required to comply with the requirements. None of the impact/cost criteria established in Section 120.541(2)(a), F.S., will be exceeded as a result of the rule.</w:t>
      </w:r>
    </w:p>
    <w:p w14:paraId="2737A75C" w14:textId="77777777" w:rsidR="007F372C" w:rsidRDefault="007F372C" w:rsidP="007F372C">
      <w:pPr>
        <w:pStyle w:val="First-LevelSubheading"/>
      </w:pPr>
      <w:r>
        <w:t>Conclusion</w:t>
      </w:r>
    </w:p>
    <w:p w14:paraId="1D1C3756" w14:textId="77777777" w:rsidR="007F372C" w:rsidRDefault="007F372C" w:rsidP="007F372C">
      <w:pPr>
        <w:pStyle w:val="BodyText"/>
      </w:pPr>
      <w:r w:rsidRPr="007F372C">
        <w:t>Based on the foregoing, staff recommends the Commission should propose the adoption of Rule 25-7.150, F.A.C., as set forth in Attachment A. Staff also recommends the Commission certify the rule as a minor violation rule.</w:t>
      </w:r>
    </w:p>
    <w:p w14:paraId="231A19C0" w14:textId="598B0FBB" w:rsidR="0016785D" w:rsidRDefault="0016785D">
      <w:pPr>
        <w:pStyle w:val="BodyText"/>
      </w:pPr>
    </w:p>
    <w:p w14:paraId="3B5A92CC" w14:textId="6330965E" w:rsidR="007F372C" w:rsidRDefault="007F372C">
      <w:pPr>
        <w:pStyle w:val="IssueHeading"/>
        <w:rPr>
          <w:vanish/>
          <w:specVanish/>
        </w:rPr>
      </w:pPr>
      <w:r w:rsidRPr="004C3641">
        <w:rPr>
          <w:b w:val="0"/>
          <w:i w:val="0"/>
        </w:rPr>
        <w:br w:type="page"/>
      </w:r>
      <w:r w:rsidRPr="004C3641">
        <w:t xml:space="preserve">Issue </w:t>
      </w:r>
      <w:fldSimple w:instr=" SEQ Issue \* MERGEFORMAT ">
        <w:r w:rsidR="006F63AC">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6F63AC">
        <w:rPr>
          <w:noProof/>
        </w:rPr>
        <w:instrText>2</w:instrText>
      </w:r>
      <w:r>
        <w:fldChar w:fldCharType="end"/>
      </w:r>
      <w:r>
        <w:tab/>
        <w:instrText xml:space="preserve">(Sapoznikoff)" \l 1 </w:instrText>
      </w:r>
      <w:r>
        <w:fldChar w:fldCharType="end"/>
      </w:r>
      <w:r>
        <w:t> </w:t>
      </w:r>
    </w:p>
    <w:p w14:paraId="1CBE70DB" w14:textId="79291E0B" w:rsidR="007F372C" w:rsidRDefault="006B47CF">
      <w:pPr>
        <w:pStyle w:val="BodyText"/>
      </w:pPr>
      <w:r>
        <w:t> Should the d</w:t>
      </w:r>
      <w:r w:rsidR="007F372C">
        <w:t>ocket be closed?</w:t>
      </w:r>
    </w:p>
    <w:p w14:paraId="50FC45BE" w14:textId="77777777" w:rsidR="007F372C" w:rsidRPr="004C3641" w:rsidRDefault="007F372C">
      <w:pPr>
        <w:pStyle w:val="IssueSubsectionHeading"/>
        <w:rPr>
          <w:vanish/>
          <w:specVanish/>
        </w:rPr>
      </w:pPr>
      <w:r w:rsidRPr="004C3641">
        <w:t>Recommendation: </w:t>
      </w:r>
    </w:p>
    <w:p w14:paraId="790C6F19" w14:textId="233CE3FB" w:rsidR="007F372C" w:rsidRDefault="007F372C">
      <w:pPr>
        <w:pStyle w:val="BodyText"/>
      </w:pPr>
      <w:r>
        <w:t> </w:t>
      </w:r>
      <w:r w:rsidRPr="007F372C">
        <w:t>Yes. If no request for hearing</w:t>
      </w:r>
      <w:r w:rsidR="000C096A">
        <w:t xml:space="preserve"> is made</w:t>
      </w:r>
      <w:r w:rsidRPr="007F372C">
        <w:t xml:space="preserve"> or comments </w:t>
      </w:r>
      <w:r w:rsidR="009E5617">
        <w:t>from the Joint Administrative Procedure</w:t>
      </w:r>
      <w:r w:rsidR="00547DDE">
        <w:t>s</w:t>
      </w:r>
      <w:r w:rsidR="009E5617">
        <w:t xml:space="preserve"> Committee </w:t>
      </w:r>
      <w:r w:rsidR="00AC2586">
        <w:t xml:space="preserve">(JAPC) </w:t>
      </w:r>
      <w:r w:rsidR="009E5617">
        <w:t xml:space="preserve">are </w:t>
      </w:r>
      <w:r w:rsidRPr="007F372C">
        <w:t xml:space="preserve">filed, </w:t>
      </w:r>
      <w:r w:rsidR="000C096A">
        <w:t xml:space="preserve">and no proposal for a lower cost regulatory alternative is submitted pursuant to Section 120.541(1)(a), F.S., </w:t>
      </w:r>
      <w:r w:rsidRPr="007F372C">
        <w:t>the rule should be filed for adoption with the Department of State, and the docket should be closed</w:t>
      </w:r>
      <w:r>
        <w:t>. (Sapoznikoff)</w:t>
      </w:r>
    </w:p>
    <w:p w14:paraId="6D0F138E" w14:textId="77777777" w:rsidR="007F372C" w:rsidRPr="004C3641" w:rsidRDefault="007F372C">
      <w:pPr>
        <w:pStyle w:val="IssueSubsectionHeading"/>
        <w:rPr>
          <w:vanish/>
          <w:specVanish/>
        </w:rPr>
      </w:pPr>
      <w:r w:rsidRPr="004C3641">
        <w:t>Staff Analysis: </w:t>
      </w:r>
    </w:p>
    <w:p w14:paraId="766E29FD" w14:textId="6EB6587A" w:rsidR="007F372C" w:rsidRDefault="007F372C">
      <w:pPr>
        <w:pStyle w:val="BodyText"/>
      </w:pPr>
      <w:r>
        <w:t> </w:t>
      </w:r>
      <w:r w:rsidRPr="007F372C">
        <w:t>If</w:t>
      </w:r>
      <w:r w:rsidR="000C096A" w:rsidRPr="000C096A">
        <w:t xml:space="preserve"> </w:t>
      </w:r>
      <w:r w:rsidR="000C096A" w:rsidRPr="007F372C">
        <w:t>no request for hearing</w:t>
      </w:r>
      <w:r w:rsidR="000C096A">
        <w:t xml:space="preserve"> is made</w:t>
      </w:r>
      <w:r w:rsidR="000C096A" w:rsidRPr="007F372C">
        <w:t xml:space="preserve"> or comments </w:t>
      </w:r>
      <w:r w:rsidR="000C096A">
        <w:t xml:space="preserve">from </w:t>
      </w:r>
      <w:r w:rsidR="00AC2586">
        <w:t>JAPC</w:t>
      </w:r>
      <w:r w:rsidR="000C096A">
        <w:t xml:space="preserve"> are </w:t>
      </w:r>
      <w:r w:rsidR="000C096A" w:rsidRPr="007F372C">
        <w:t xml:space="preserve">filed, </w:t>
      </w:r>
      <w:r w:rsidR="000C096A">
        <w:t>and no proposal for a lower cost regulatory alternative is submitted pursuant to Section 120.541(1)(a), F.S.</w:t>
      </w:r>
      <w:r w:rsidRPr="007F372C">
        <w:t>, the rule should be filed for adoption with the Department of State, and the docket should be closed.</w:t>
      </w:r>
    </w:p>
    <w:p w14:paraId="7B4DD567" w14:textId="77777777" w:rsidR="00E06484" w:rsidRDefault="00E06484" w:rsidP="00E275D8">
      <w:pPr>
        <w:pStyle w:val="BodyText"/>
      </w:pPr>
    </w:p>
    <w:p w14:paraId="7400D26A" w14:textId="77777777" w:rsidR="00666E89" w:rsidRDefault="00666E89" w:rsidP="00E275D8">
      <w:pPr>
        <w:pStyle w:val="BodyText"/>
        <w:sectPr w:rsidR="00666E8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5E953267" w14:textId="77777777" w:rsidR="003C0E54" w:rsidRPr="002065E8" w:rsidRDefault="003C0E54" w:rsidP="00A13199">
      <w:pPr>
        <w:pStyle w:val="Rule"/>
        <w:tabs>
          <w:tab w:val="clear" w:pos="720"/>
          <w:tab w:val="left" w:pos="360"/>
        </w:tabs>
        <w:rPr>
          <w:b/>
          <w:u w:val="single"/>
        </w:rPr>
      </w:pPr>
      <w:r w:rsidRPr="002065E8">
        <w:tab/>
      </w:r>
      <w:r w:rsidRPr="002065E8">
        <w:rPr>
          <w:b/>
          <w:u w:val="single"/>
        </w:rPr>
        <w:t>25-7.150 Natural Gas Facilities Relocation Cost Recovery Clause.</w:t>
      </w:r>
    </w:p>
    <w:p w14:paraId="1CBB8A0A" w14:textId="77777777" w:rsidR="003C0E54" w:rsidRPr="002065E8" w:rsidRDefault="003C0E54" w:rsidP="002100D5">
      <w:pPr>
        <w:pStyle w:val="Rule"/>
        <w:tabs>
          <w:tab w:val="clear" w:pos="720"/>
          <w:tab w:val="left" w:pos="360"/>
        </w:tabs>
        <w:ind w:firstLine="360"/>
        <w:rPr>
          <w:u w:val="single"/>
        </w:rPr>
      </w:pPr>
      <w:r w:rsidRPr="002065E8">
        <w:t xml:space="preserve"> </w:t>
      </w:r>
      <w:r w:rsidRPr="002065E8">
        <w:rPr>
          <w:u w:val="single"/>
        </w:rPr>
        <w:t>(1) A utility may file a petition for recovery of natural gas facilities relocation costs through the annual natural gas facilities relocation cost recovery clause (NGFRCRC). The petition seeking such cost recovery must be supported by testimony that provides details of the facilities relocation activities and associated costs.</w:t>
      </w:r>
    </w:p>
    <w:p w14:paraId="61AB5555" w14:textId="77777777" w:rsidR="003C0E54" w:rsidRPr="002065E8" w:rsidRDefault="003C0E54" w:rsidP="00163BB2">
      <w:pPr>
        <w:pStyle w:val="Rule"/>
        <w:tabs>
          <w:tab w:val="clear" w:pos="720"/>
          <w:tab w:val="left" w:pos="360"/>
        </w:tabs>
        <w:ind w:firstLine="360"/>
        <w:rPr>
          <w:u w:val="single"/>
        </w:rPr>
      </w:pPr>
      <w:r w:rsidRPr="002065E8">
        <w:rPr>
          <w:u w:val="single"/>
        </w:rPr>
        <w:t>(2) As part of the NGFRCRC or by a separate filing, a utility must seek a determination that “natural gas facilities relocation costs” are eligible for recovery through the NGFRCRC by providing the following information:</w:t>
      </w:r>
    </w:p>
    <w:p w14:paraId="04F58476" w14:textId="77777777" w:rsidR="003C0E54" w:rsidRPr="002065E8" w:rsidRDefault="003C0E54" w:rsidP="00332E1E">
      <w:pPr>
        <w:widowControl w:val="0"/>
        <w:tabs>
          <w:tab w:val="left" w:pos="450"/>
        </w:tabs>
        <w:spacing w:line="536" w:lineRule="exact"/>
        <w:ind w:firstLine="360"/>
        <w:rPr>
          <w:u w:val="single"/>
        </w:rPr>
      </w:pPr>
      <w:r w:rsidRPr="002065E8">
        <w:rPr>
          <w:u w:val="single"/>
        </w:rPr>
        <w:t>(a) The notification by the authority requiring the facilities relocation per section 366.99(1), Florida Statutes,</w:t>
      </w:r>
    </w:p>
    <w:p w14:paraId="59E74987" w14:textId="77777777" w:rsidR="003C0E54" w:rsidRPr="002065E8" w:rsidRDefault="003C0E54" w:rsidP="00163BB2">
      <w:pPr>
        <w:widowControl w:val="0"/>
        <w:tabs>
          <w:tab w:val="left" w:pos="360"/>
        </w:tabs>
        <w:spacing w:line="536" w:lineRule="exact"/>
        <w:ind w:firstLine="360"/>
        <w:rPr>
          <w:u w:val="single"/>
        </w:rPr>
      </w:pPr>
      <w:r w:rsidRPr="002065E8">
        <w:rPr>
          <w:u w:val="single"/>
        </w:rPr>
        <w:t>(b) A description of the scope of the facilities relocation to be undertaken per the requirements imposed by the authority, and</w:t>
      </w:r>
    </w:p>
    <w:p w14:paraId="18FCB5C2" w14:textId="77777777" w:rsidR="003C0E54" w:rsidRPr="002065E8" w:rsidRDefault="003C0E54" w:rsidP="00163BB2">
      <w:pPr>
        <w:pStyle w:val="Rule"/>
        <w:tabs>
          <w:tab w:val="clear" w:pos="720"/>
          <w:tab w:val="left" w:pos="360"/>
        </w:tabs>
        <w:rPr>
          <w:u w:val="single"/>
        </w:rPr>
      </w:pPr>
      <w:r w:rsidRPr="002065E8">
        <w:tab/>
      </w:r>
      <w:r w:rsidRPr="002065E8">
        <w:rPr>
          <w:u w:val="single"/>
        </w:rPr>
        <w:t>(c) An estimate of the costs associated with the relocation of the natural gas facilities.</w:t>
      </w:r>
    </w:p>
    <w:p w14:paraId="31D594AA" w14:textId="77777777" w:rsidR="003C0E54" w:rsidRPr="002065E8" w:rsidRDefault="003C0E54" w:rsidP="00163BB2">
      <w:pPr>
        <w:pStyle w:val="Rule"/>
        <w:tabs>
          <w:tab w:val="clear" w:pos="720"/>
          <w:tab w:val="left" w:pos="360"/>
        </w:tabs>
        <w:rPr>
          <w:u w:val="single"/>
        </w:rPr>
      </w:pPr>
      <w:r w:rsidRPr="002065E8">
        <w:tab/>
      </w:r>
      <w:r w:rsidRPr="002065E8">
        <w:rPr>
          <w:u w:val="single"/>
        </w:rPr>
        <w:t>(3) Each year, pursuant to the order establishing procedure in the annual NGFRCRC, a utility must submit the following:</w:t>
      </w:r>
    </w:p>
    <w:p w14:paraId="69B518A5" w14:textId="77777777" w:rsidR="003C0E54" w:rsidRPr="002065E8" w:rsidRDefault="003C0E54" w:rsidP="001C6470">
      <w:pPr>
        <w:pStyle w:val="Rule"/>
        <w:tabs>
          <w:tab w:val="clear" w:pos="720"/>
          <w:tab w:val="left" w:pos="360"/>
        </w:tabs>
        <w:rPr>
          <w:u w:val="single"/>
        </w:rPr>
      </w:pPr>
      <w:r w:rsidRPr="002065E8">
        <w:tab/>
      </w:r>
      <w:r w:rsidRPr="002065E8">
        <w:rPr>
          <w:u w:val="single"/>
        </w:rPr>
        <w:t>(a) Final True-Up for Previous Year. The final true-up of natural gas facilities relocation cost recovery for a prior year must include revenue requirements based on a comparison of actual costs for the prior year and previously filed projected costs and revenue requirements for such prior year for each project determined to be eligible by the Commission. The final true-up must also include identification of each of the utility’s eligible facilities relocation projects for which costs were incurred during the prior year, including a description of the work actually performed during such prior year.</w:t>
      </w:r>
    </w:p>
    <w:p w14:paraId="637F5871" w14:textId="77777777" w:rsidR="003C0E54" w:rsidRPr="002065E8" w:rsidRDefault="003C0E54" w:rsidP="00BD0795">
      <w:pPr>
        <w:pStyle w:val="Rule"/>
        <w:tabs>
          <w:tab w:val="clear" w:pos="720"/>
          <w:tab w:val="left" w:pos="360"/>
        </w:tabs>
        <w:rPr>
          <w:strike/>
          <w:u w:val="single"/>
        </w:rPr>
      </w:pPr>
      <w:r w:rsidRPr="002065E8">
        <w:tab/>
      </w:r>
      <w:r w:rsidRPr="002065E8">
        <w:rPr>
          <w:u w:val="single"/>
        </w:rPr>
        <w:t xml:space="preserve">(b) Estimated True-Up for Current Year. The actual/estimated true-up of </w:t>
      </w:r>
      <w:r>
        <w:rPr>
          <w:u w:val="single"/>
        </w:rPr>
        <w:t>natural g</w:t>
      </w:r>
      <w:r w:rsidRPr="002065E8">
        <w:rPr>
          <w:u w:val="single"/>
        </w:rPr>
        <w:t xml:space="preserve">as </w:t>
      </w:r>
      <w:r>
        <w:rPr>
          <w:u w:val="single"/>
        </w:rPr>
        <w:t>f</w:t>
      </w:r>
      <w:r w:rsidRPr="002065E8">
        <w:rPr>
          <w:u w:val="single"/>
        </w:rPr>
        <w:t xml:space="preserve">acilities </w:t>
      </w:r>
      <w:r>
        <w:rPr>
          <w:u w:val="single"/>
        </w:rPr>
        <w:t>r</w:t>
      </w:r>
      <w:r w:rsidRPr="002065E8">
        <w:rPr>
          <w:u w:val="single"/>
        </w:rPr>
        <w:t>elocation cost recovery must include revenue requirements based on a comparison of current year actual/estimated costs and the previously-filed projected costs and revenue requirements for such current year for each eligible project. The actual/estimated true-up must also include identification of each of the utility’s eligible facilities relocation projects for which costs have been and will be incurred during the current year, including a description of the work projected to be performed during such current year.</w:t>
      </w:r>
    </w:p>
    <w:p w14:paraId="2770D379" w14:textId="77777777" w:rsidR="003C0E54" w:rsidRPr="002065E8" w:rsidRDefault="003C0E54" w:rsidP="00332E1E">
      <w:pPr>
        <w:pStyle w:val="Rule"/>
        <w:tabs>
          <w:tab w:val="clear" w:pos="720"/>
          <w:tab w:val="left" w:pos="360"/>
        </w:tabs>
        <w:ind w:firstLine="360"/>
        <w:rPr>
          <w:strike/>
          <w:u w:val="single"/>
        </w:rPr>
      </w:pPr>
      <w:r w:rsidRPr="002065E8">
        <w:rPr>
          <w:u w:val="single"/>
        </w:rPr>
        <w:t xml:space="preserve">(c) Projected Costs for Subsequent Year. The projected </w:t>
      </w:r>
      <w:r>
        <w:rPr>
          <w:u w:val="single"/>
        </w:rPr>
        <w:t>natural g</w:t>
      </w:r>
      <w:r w:rsidRPr="002065E8">
        <w:rPr>
          <w:u w:val="single"/>
        </w:rPr>
        <w:t xml:space="preserve">as </w:t>
      </w:r>
      <w:r>
        <w:rPr>
          <w:u w:val="single"/>
        </w:rPr>
        <w:t>f</w:t>
      </w:r>
      <w:r w:rsidRPr="002065E8">
        <w:rPr>
          <w:u w:val="single"/>
        </w:rPr>
        <w:t xml:space="preserve">acilities </w:t>
      </w:r>
      <w:r>
        <w:rPr>
          <w:u w:val="single"/>
        </w:rPr>
        <w:t>r</w:t>
      </w:r>
      <w:r w:rsidRPr="002065E8">
        <w:rPr>
          <w:u w:val="single"/>
        </w:rPr>
        <w:t>elocation cost recovery must include costs and revenue requirements for the subsequent year for each eligible project. The projection filing must also include identification of each of the utility’s eligible facilities relocation projects for which costs will be incurred during the subsequent year, including a description of the work projected to be performed during such year.</w:t>
      </w:r>
    </w:p>
    <w:p w14:paraId="2E6D9C6E" w14:textId="77777777" w:rsidR="003C0E54" w:rsidRPr="002065E8" w:rsidRDefault="003C0E54" w:rsidP="00A13199">
      <w:pPr>
        <w:pStyle w:val="Rule"/>
        <w:tabs>
          <w:tab w:val="clear" w:pos="720"/>
          <w:tab w:val="left" w:pos="360"/>
        </w:tabs>
        <w:rPr>
          <w:u w:val="single"/>
        </w:rPr>
      </w:pPr>
      <w:r w:rsidRPr="002065E8">
        <w:tab/>
      </w:r>
      <w:r w:rsidRPr="002065E8">
        <w:rPr>
          <w:u w:val="single"/>
        </w:rPr>
        <w:t>(d) True-Up of Variances. The utility must report observed true-up variances, including sales forecasting variances, changes in the utility’s prices of services and/or equipment, and changes in the scope of work relative to the estimates provided pursuant to paragraphs (2)(b) and (2)(c). The utility must also provide explanations for variances regarding the facilities relocation.</w:t>
      </w:r>
    </w:p>
    <w:p w14:paraId="3E16E8C6" w14:textId="77777777" w:rsidR="003C0E54" w:rsidRPr="002065E8" w:rsidRDefault="003C0E54" w:rsidP="00A13199">
      <w:pPr>
        <w:pStyle w:val="Rule"/>
        <w:tabs>
          <w:tab w:val="clear" w:pos="720"/>
          <w:tab w:val="left" w:pos="360"/>
        </w:tabs>
        <w:rPr>
          <w:u w:val="single"/>
        </w:rPr>
      </w:pPr>
      <w:r w:rsidRPr="002065E8">
        <w:tab/>
      </w:r>
      <w:r w:rsidRPr="002065E8">
        <w:rPr>
          <w:u w:val="single"/>
        </w:rPr>
        <w:t>(e) Proposed Natural Gas Facilities Relocation Cost Recovery Factors. The utility must provide the calculations of its proposed factors and effective 12-month billing period.</w:t>
      </w:r>
    </w:p>
    <w:p w14:paraId="0FECD258" w14:textId="77777777" w:rsidR="003C0E54" w:rsidRPr="002065E8" w:rsidRDefault="003C0E54" w:rsidP="002100D5">
      <w:pPr>
        <w:pStyle w:val="Rule"/>
        <w:tabs>
          <w:tab w:val="clear" w:pos="720"/>
          <w:tab w:val="left" w:pos="360"/>
        </w:tabs>
        <w:rPr>
          <w:u w:val="single"/>
        </w:rPr>
      </w:pPr>
      <w:r w:rsidRPr="002065E8">
        <w:tab/>
      </w:r>
      <w:r w:rsidRPr="002065E8">
        <w:rPr>
          <w:u w:val="single"/>
        </w:rPr>
        <w:t>(4) Natural gas facilities relocation cost recovery clause true-up amounts will be afforded deferred accounting treatment at the 30-day commercial paper rate.</w:t>
      </w:r>
    </w:p>
    <w:p w14:paraId="0B4E285A" w14:textId="77777777" w:rsidR="003C0E54" w:rsidRPr="002065E8" w:rsidRDefault="003C0E54" w:rsidP="00FE2D54">
      <w:pPr>
        <w:pStyle w:val="Rule"/>
        <w:tabs>
          <w:tab w:val="clear" w:pos="720"/>
          <w:tab w:val="left" w:pos="360"/>
        </w:tabs>
        <w:rPr>
          <w:u w:val="single"/>
        </w:rPr>
      </w:pPr>
      <w:r w:rsidRPr="002065E8">
        <w:tab/>
      </w:r>
      <w:r w:rsidRPr="002065E8">
        <w:rPr>
          <w:u w:val="single"/>
        </w:rPr>
        <w:t>(5) Subaccounts. To ensure separation of costs subject to recovery through the clause, the utility filing for cost recovery must maintain subaccounts for all items consistent with the Uniform System of Accounts prescribed by this Commission pursuant to Rule 25-7.014, F.A.C.</w:t>
      </w:r>
    </w:p>
    <w:p w14:paraId="506EC8E1" w14:textId="77777777" w:rsidR="003C0E54" w:rsidRPr="002065E8" w:rsidRDefault="003C0E54" w:rsidP="00A22B74">
      <w:pPr>
        <w:pStyle w:val="Rule"/>
        <w:tabs>
          <w:tab w:val="clear" w:pos="720"/>
          <w:tab w:val="left" w:pos="360"/>
        </w:tabs>
        <w:ind w:firstLine="360"/>
        <w:rPr>
          <w:u w:val="single"/>
        </w:rPr>
      </w:pPr>
      <w:r w:rsidRPr="002065E8">
        <w:rPr>
          <w:u w:val="single"/>
        </w:rPr>
        <w:t>(6) Recovery of costs under this rule does not preclude a utility from proposing inclusion of unrecovered natural gas facilities relocation costs in base rates in a subsequent rate proceeding. Recovery of costs under this rule does not preclude inclusion of such costs in base rates in a subsequent rate proceeding, provided that such costs are removed from the NGFRCRC.</w:t>
      </w:r>
    </w:p>
    <w:p w14:paraId="451D44D1" w14:textId="77777777" w:rsidR="003C0E54" w:rsidRPr="002065E8" w:rsidRDefault="003C0E54" w:rsidP="00A13199">
      <w:pPr>
        <w:pStyle w:val="Rule"/>
        <w:tabs>
          <w:tab w:val="clear" w:pos="720"/>
          <w:tab w:val="left" w:pos="360"/>
        </w:tabs>
        <w:rPr>
          <w:u w:val="single"/>
        </w:rPr>
      </w:pPr>
      <w:r w:rsidRPr="002065E8">
        <w:rPr>
          <w:i/>
          <w:u w:val="single"/>
        </w:rPr>
        <w:t>Rulemaking Authority 366.99, FS. Law Implemented 366.99, FS. History–New _____</w:t>
      </w:r>
      <w:r w:rsidRPr="002065E8">
        <w:rPr>
          <w:u w:val="single"/>
        </w:rPr>
        <w:t>.</w:t>
      </w:r>
    </w:p>
    <w:p w14:paraId="0EE5E10B" w14:textId="77777777" w:rsidR="003C0E54" w:rsidRDefault="003C0E54" w:rsidP="00A13199">
      <w:pPr>
        <w:tabs>
          <w:tab w:val="left" w:pos="360"/>
        </w:tabs>
      </w:pPr>
    </w:p>
    <w:p w14:paraId="23F711AE" w14:textId="77777777" w:rsidR="003C0E54" w:rsidRDefault="003C0E54" w:rsidP="003C0E54">
      <w:pPr>
        <w:pStyle w:val="BodyText"/>
        <w:sectPr w:rsidR="003C0E54" w:rsidSect="00C14CAF">
          <w:headerReference w:type="default" r:id="rId14"/>
          <w:footerReference w:type="default" r:id="rId15"/>
          <w:headerReference w:type="first" r:id="rId16"/>
          <w:footerReference w:type="first" r:id="rId17"/>
          <w:pgSz w:w="12240" w:h="15840" w:code="1"/>
          <w:pgMar w:top="360" w:right="720" w:bottom="360" w:left="2405" w:header="360" w:footer="360" w:gutter="0"/>
          <w:cols w:space="720"/>
          <w:formProt w:val="0"/>
          <w:docGrid w:linePitch="360"/>
        </w:sectPr>
      </w:pPr>
    </w:p>
    <w:p w14:paraId="586DF9E8" w14:textId="2A55B362" w:rsidR="0044189F" w:rsidRDefault="00C04D90" w:rsidP="003C0E54">
      <w:pPr>
        <w:pStyle w:val="BodyText"/>
      </w:pPr>
      <w:r>
        <w:rPr>
          <w:noProof/>
        </w:rPr>
        <w:drawing>
          <wp:inline distT="0" distB="0" distL="0" distR="0" wp14:anchorId="34CF746B" wp14:editId="126D7DB7">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7.150 SERC Mem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D9072EB" w14:textId="28743CC4" w:rsidR="00C04D90" w:rsidRDefault="00C04D90" w:rsidP="003C0E54">
      <w:pPr>
        <w:pStyle w:val="BodyText"/>
      </w:pPr>
    </w:p>
    <w:p w14:paraId="0E4C038C" w14:textId="78DCA709" w:rsidR="00C04D90" w:rsidRDefault="00C04D90" w:rsidP="003C0E54">
      <w:pPr>
        <w:pStyle w:val="BodyText"/>
      </w:pPr>
      <w:r>
        <w:rPr>
          <w:noProof/>
        </w:rPr>
        <w:drawing>
          <wp:inline distT="0" distB="0" distL="0" distR="0" wp14:anchorId="4400F197" wp14:editId="0EF57F2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7.150 SERC Form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DF1193E" w14:textId="4C3642FE" w:rsidR="00C04D90" w:rsidRDefault="00C04D90" w:rsidP="003C0E54">
      <w:pPr>
        <w:pStyle w:val="BodyText"/>
      </w:pPr>
    </w:p>
    <w:p w14:paraId="1B37B540" w14:textId="05AFA95D" w:rsidR="00C04D90" w:rsidRDefault="00C04D90" w:rsidP="003C0E54">
      <w:pPr>
        <w:pStyle w:val="BodyText"/>
      </w:pPr>
      <w:r>
        <w:rPr>
          <w:noProof/>
        </w:rPr>
        <w:drawing>
          <wp:inline distT="0" distB="0" distL="0" distR="0" wp14:anchorId="3F011094" wp14:editId="7BC57564">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7.150 SERC Form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216FB2" w14:textId="41AF5D07" w:rsidR="00C04D90" w:rsidRDefault="00C04D90" w:rsidP="003C0E54">
      <w:pPr>
        <w:pStyle w:val="BodyText"/>
      </w:pPr>
    </w:p>
    <w:p w14:paraId="7F909A66" w14:textId="4F53199F" w:rsidR="00C04D90" w:rsidRDefault="00C04D90" w:rsidP="003C0E54">
      <w:pPr>
        <w:pStyle w:val="BodyText"/>
      </w:pPr>
      <w:r>
        <w:rPr>
          <w:noProof/>
        </w:rPr>
        <w:drawing>
          <wp:inline distT="0" distB="0" distL="0" distR="0" wp14:anchorId="420ACE84" wp14:editId="6AC59DDE">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7.150 SERC Form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8CBEB7" w14:textId="785E99FA" w:rsidR="00C04D90" w:rsidRDefault="00C04D90" w:rsidP="003C0E54">
      <w:pPr>
        <w:pStyle w:val="BodyText"/>
      </w:pPr>
    </w:p>
    <w:p w14:paraId="0EC9493C" w14:textId="1980D9D4" w:rsidR="00C04D90" w:rsidRDefault="00C04D90" w:rsidP="003C0E54">
      <w:pPr>
        <w:pStyle w:val="BodyText"/>
        <w:sectPr w:rsidR="00C04D90" w:rsidSect="003C0E54">
          <w:headerReference w:type="default" r:id="rId22"/>
          <w:footerReference w:type="default" r:id="rId23"/>
          <w:pgSz w:w="12240" w:h="15840" w:code="1"/>
          <w:pgMar w:top="1440" w:right="1440" w:bottom="1440" w:left="1440" w:header="360" w:footer="360" w:gutter="0"/>
          <w:cols w:space="720"/>
          <w:formProt w:val="0"/>
          <w:docGrid w:linePitch="360"/>
        </w:sectPr>
      </w:pPr>
      <w:r>
        <w:rPr>
          <w:noProof/>
        </w:rPr>
        <w:drawing>
          <wp:inline distT="0" distB="0" distL="0" distR="0" wp14:anchorId="7F3166E3" wp14:editId="28198BE6">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7.150 SERC Form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E190DE1" w14:textId="77777777" w:rsidR="003C0E54" w:rsidRDefault="00B06DD5" w:rsidP="003C0E54">
      <w:pPr>
        <w:pStyle w:val="BodyText"/>
      </w:pPr>
      <w:r>
        <w:rPr>
          <w:noProof/>
        </w:rPr>
        <w:drawing>
          <wp:inline distT="0" distB="0" distL="0" distR="0" wp14:anchorId="0349E517" wp14:editId="44E6600C">
            <wp:extent cx="5943600" cy="7709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C - Statu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709535"/>
                    </a:xfrm>
                    <a:prstGeom prst="rect">
                      <a:avLst/>
                    </a:prstGeom>
                  </pic:spPr>
                </pic:pic>
              </a:graphicData>
            </a:graphic>
          </wp:inline>
        </w:drawing>
      </w:r>
    </w:p>
    <w:sectPr w:rsidR="003C0E54" w:rsidSect="003C0E54">
      <w:headerReference w:type="default" r:id="rId26"/>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CF115" w14:textId="77777777" w:rsidR="006A2AF1" w:rsidRDefault="006A2AF1">
      <w:r>
        <w:separator/>
      </w:r>
    </w:p>
  </w:endnote>
  <w:endnote w:type="continuationSeparator" w:id="0">
    <w:p w14:paraId="7EA1510D" w14:textId="77777777" w:rsidR="006A2AF1" w:rsidRDefault="006A2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B5E1" w14:textId="6D0E8C41"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B5D72">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E4B42" w14:textId="77777777"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744D4" w14:textId="77777777" w:rsidR="00FF1497" w:rsidRDefault="003C0E54">
    <w:pPr>
      <w:pStyle w:val="Footer"/>
    </w:pPr>
    <w:r>
      <w:t>CODING: Words</w:t>
    </w:r>
    <w:r w:rsidRPr="006279FC">
      <w:t xml:space="preserve"> </w:t>
    </w:r>
    <w:r w:rsidRPr="006279FC">
      <w:rPr>
        <w:u w:val="single"/>
      </w:rPr>
      <w:t>underlined</w:t>
    </w:r>
    <w:r w:rsidRPr="006279FC">
      <w:t xml:space="preserve"> </w:t>
    </w:r>
    <w:r>
      <w:t xml:space="preserve">are additions; words in </w:t>
    </w:r>
    <w:r w:rsidRPr="006279FC">
      <w:rPr>
        <w:strike/>
      </w:rPr>
      <w:t>struck through</w:t>
    </w:r>
    <w:r>
      <w:t xml:space="preserve"> type are deletions from existing law.</w:t>
    </w:r>
  </w:p>
  <w:p w14:paraId="02386A63" w14:textId="2E32F2BA" w:rsidR="00FF1497" w:rsidRDefault="003C0E5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B5D72">
      <w:rPr>
        <w:rStyle w:val="PageNumber"/>
        <w:noProof/>
      </w:rPr>
      <w:t>12</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D02DC" w14:textId="77777777" w:rsidR="00FF1497" w:rsidRDefault="003C0E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B3622D" w14:textId="77777777" w:rsidR="00FF1497" w:rsidRDefault="003C0E54">
    <w:pPr>
      <w:pStyle w:val="Footer"/>
    </w:pPr>
    <w:r>
      <w:t xml:space="preserve">CODING: Words </w:t>
    </w:r>
    <w:r>
      <w:rPr>
        <w:u w:val="single"/>
      </w:rPr>
      <w:t>underlined</w:t>
    </w:r>
    <w:r>
      <w:t xml:space="preserve"> are additions; words in struck through type are deletions from existing law.</w:t>
    </w:r>
  </w:p>
  <w:p w14:paraId="6ACA3149" w14:textId="77777777" w:rsidR="00FF1497" w:rsidRDefault="003C0E54">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19BD0" w14:textId="73C14BD1" w:rsidR="0044189F" w:rsidRDefault="0044189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B5D72">
      <w:rPr>
        <w:rStyle w:val="PageNumber"/>
        <w:noProof/>
      </w:rPr>
      <w:t>18</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95C6A" w14:textId="77777777" w:rsidR="006A2AF1" w:rsidRDefault="006A2AF1">
      <w:r>
        <w:separator/>
      </w:r>
    </w:p>
  </w:footnote>
  <w:footnote w:type="continuationSeparator" w:id="0">
    <w:p w14:paraId="7B622C53" w14:textId="77777777" w:rsidR="006A2AF1" w:rsidRDefault="006A2AF1">
      <w:r>
        <w:continuationSeparator/>
      </w:r>
    </w:p>
  </w:footnote>
  <w:footnote w:id="1">
    <w:p w14:paraId="2623BDC7" w14:textId="77777777" w:rsidR="00367699" w:rsidRDefault="00367699">
      <w:pPr>
        <w:pStyle w:val="FootnoteText"/>
      </w:pPr>
      <w:r>
        <w:rPr>
          <w:rStyle w:val="FootnoteReference"/>
        </w:rPr>
        <w:footnoteRef/>
      </w:r>
      <w:r>
        <w:t xml:space="preserve"> As defined in Section 366.02(8), F.S.</w:t>
      </w:r>
    </w:p>
  </w:footnote>
  <w:footnote w:id="2">
    <w:p w14:paraId="44345355" w14:textId="370C9E9A" w:rsidR="00022D12" w:rsidRDefault="00022D12">
      <w:pPr>
        <w:pStyle w:val="FootnoteText"/>
      </w:pPr>
      <w:r>
        <w:rPr>
          <w:rStyle w:val="FootnoteReference"/>
        </w:rPr>
        <w:footnoteRef/>
      </w:r>
      <w:r>
        <w:t xml:space="preserve"> </w:t>
      </w:r>
      <w:r w:rsidRPr="00022D12">
        <w:rPr>
          <w:i/>
        </w:rPr>
        <w:t>See, e.g.</w:t>
      </w:r>
      <w:r w:rsidR="0050701E">
        <w:t>, S</w:t>
      </w:r>
      <w:r>
        <w:t>ections 366.82(2) and (7), 366.825(3), 366.8255(2), 366.93(3)(a) and (c), and 403.519(1), F.S.</w:t>
      </w:r>
    </w:p>
  </w:footnote>
  <w:footnote w:id="3">
    <w:p w14:paraId="266DCE21" w14:textId="77777777" w:rsidR="004E2B82" w:rsidRDefault="004E2B82">
      <w:pPr>
        <w:pStyle w:val="FootnoteText"/>
      </w:pPr>
      <w:r>
        <w:rPr>
          <w:rStyle w:val="FootnoteReference"/>
        </w:rPr>
        <w:footnoteRef/>
      </w:r>
      <w:r>
        <w:t xml:space="preserve"> </w:t>
      </w:r>
      <w:r w:rsidRPr="004E2B82">
        <w:rPr>
          <w:i/>
        </w:rPr>
        <w:t>See</w:t>
      </w:r>
      <w:r>
        <w:t xml:space="preserve"> Rule 25-6.031(7)(b), F.A.C.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61F4B" w14:textId="77777777" w:rsidR="00BC402E" w:rsidRDefault="006A2AF1"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20250020-GU</w:t>
    </w:r>
    <w:bookmarkEnd w:id="15"/>
  </w:p>
  <w:p w14:paraId="1D5B536B" w14:textId="3F61FD0D" w:rsidR="00BC402E" w:rsidRDefault="00BC402E">
    <w:pPr>
      <w:pStyle w:val="Header"/>
    </w:pPr>
    <w:r>
      <w:t xml:space="preserve">Date: </w:t>
    </w:r>
    <w:fldSimple w:instr=" REF FilingDate ">
      <w:r w:rsidR="006F63AC">
        <w:t>February 20, 2025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CD4D1" w14:textId="5EDA57B2"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F63AC">
      <w:t>Docket No.</w:t>
    </w:r>
    <w:r>
      <w:fldChar w:fldCharType="end"/>
    </w:r>
    <w:r>
      <w:t xml:space="preserve"> </w:t>
    </w:r>
    <w:r>
      <w:fldChar w:fldCharType="begin"/>
    </w:r>
    <w:r>
      <w:instrText xml:space="preserve"> REF DocketList</w:instrText>
    </w:r>
    <w:r>
      <w:fldChar w:fldCharType="separate"/>
    </w:r>
    <w:r w:rsidR="006F63AC">
      <w:t>20250020-GU</w:t>
    </w:r>
    <w:r>
      <w:fldChar w:fldCharType="end"/>
    </w:r>
    <w:r>
      <w:tab/>
      <w:t xml:space="preserve">Issue </w:t>
    </w:r>
    <w:r w:rsidR="00400983">
      <w:fldChar w:fldCharType="begin"/>
    </w:r>
    <w:r w:rsidR="00400983">
      <w:instrText xml:space="preserve"> Seq Issue \c \* Ara</w:instrText>
    </w:r>
    <w:r w:rsidR="00400983">
      <w:instrText xml:space="preserve">bic </w:instrText>
    </w:r>
    <w:r w:rsidR="00400983">
      <w:fldChar w:fldCharType="separate"/>
    </w:r>
    <w:r w:rsidR="008B5D72">
      <w:rPr>
        <w:noProof/>
      </w:rPr>
      <w:t>2</w:t>
    </w:r>
    <w:r w:rsidR="00400983">
      <w:rPr>
        <w:noProof/>
      </w:rPr>
      <w:fldChar w:fldCharType="end"/>
    </w:r>
  </w:p>
  <w:p w14:paraId="467D40B3" w14:textId="2047D7B5" w:rsidR="00BC402E" w:rsidRDefault="00BC402E">
    <w:pPr>
      <w:pStyle w:val="Header"/>
    </w:pPr>
    <w:r>
      <w:t xml:space="preserve">Date: </w:t>
    </w:r>
    <w:fldSimple w:instr=" REF FilingDate ">
      <w:r w:rsidR="006F63AC">
        <w:t>February 20,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83D0D"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148F2" w14:textId="01C3DA73" w:rsidR="003C0E54" w:rsidRDefault="003C0E54" w:rsidP="003C0E54">
    <w:pPr>
      <w:pStyle w:val="Header"/>
      <w:tabs>
        <w:tab w:val="clear" w:pos="4320"/>
        <w:tab w:val="clear" w:pos="8640"/>
        <w:tab w:val="right" w:pos="9360"/>
      </w:tabs>
    </w:pPr>
    <w:r>
      <w:fldChar w:fldCharType="begin"/>
    </w:r>
    <w:r>
      <w:instrText xml:space="preserve"> REF DocketLabel</w:instrText>
    </w:r>
    <w:r>
      <w:fldChar w:fldCharType="separate"/>
    </w:r>
    <w:r w:rsidR="006F63AC">
      <w:t>Docket No.</w:t>
    </w:r>
    <w:r>
      <w:fldChar w:fldCharType="end"/>
    </w:r>
    <w:r>
      <w:t xml:space="preserve"> </w:t>
    </w:r>
    <w:r>
      <w:fldChar w:fldCharType="begin"/>
    </w:r>
    <w:r>
      <w:instrText xml:space="preserve"> REF DocketList</w:instrText>
    </w:r>
    <w:r>
      <w:fldChar w:fldCharType="separate"/>
    </w:r>
    <w:r w:rsidR="006F63AC">
      <w:t>20250020-GU</w:t>
    </w:r>
    <w:r>
      <w:fldChar w:fldCharType="end"/>
    </w:r>
    <w:r>
      <w:tab/>
      <w:t>A</w:t>
    </w:r>
    <w:r w:rsidR="0044189F">
      <w:t>ttachment</w:t>
    </w:r>
    <w:r>
      <w:t xml:space="preserve"> A</w:t>
    </w:r>
  </w:p>
  <w:p w14:paraId="42A84767" w14:textId="3A968EAA" w:rsidR="003C0E54" w:rsidRDefault="003C0E54" w:rsidP="003C0E54">
    <w:pPr>
      <w:pStyle w:val="Header"/>
    </w:pPr>
    <w:r>
      <w:t xml:space="preserve">Date: </w:t>
    </w:r>
    <w:r w:rsidR="00400983">
      <w:fldChar w:fldCharType="begin"/>
    </w:r>
    <w:r w:rsidR="00400983">
      <w:instrText xml:space="preserve"> REF FilingDate </w:instrText>
    </w:r>
    <w:r w:rsidR="00400983">
      <w:fldChar w:fldCharType="separate"/>
    </w:r>
    <w:r w:rsidR="006F63AC">
      <w:t>February 20, 2025</w:t>
    </w:r>
    <w:r w:rsidR="00400983">
      <w:fldChar w:fldCharType="end"/>
    </w:r>
  </w:p>
  <w:p w14:paraId="4CC80BF1" w14:textId="77777777" w:rsidR="00FF1497" w:rsidRPr="00A13199" w:rsidRDefault="003C0E54" w:rsidP="00A13199">
    <w:pPr>
      <w:pStyle w:val="Header"/>
    </w:pPr>
    <w:r>
      <w:rPr>
        <w:b/>
        <w:noProof/>
      </w:rPr>
      <mc:AlternateContent>
        <mc:Choice Requires="wps">
          <w:drawing>
            <wp:anchor distT="0" distB="0" distL="114300" distR="114300" simplePos="0" relativeHeight="251653120" behindDoc="0" locked="0" layoutInCell="1" allowOverlap="1" wp14:anchorId="09572287" wp14:editId="6ED43B2E">
              <wp:simplePos x="0" y="0"/>
              <wp:positionH relativeFrom="page">
                <wp:posOffset>1430020</wp:posOffset>
              </wp:positionH>
              <wp:positionV relativeFrom="page">
                <wp:posOffset>925154</wp:posOffset>
              </wp:positionV>
              <wp:extent cx="29688" cy="8190412"/>
              <wp:effectExtent l="0" t="0" r="27940" b="20320"/>
              <wp:wrapNone/>
              <wp:docPr id="9"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8" cy="8190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053AC" id="LeftBorder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6pt,72.85pt" to="114.95pt,7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">
              <w10:wrap anchorx="page" anchory="page"/>
            </v:line>
          </w:pict>
        </mc:Fallback>
      </mc:AlternateContent>
    </w:r>
    <w:r>
      <w:rPr>
        <w:b/>
        <w:noProof/>
      </w:rPr>
      <mc:AlternateContent>
        <mc:Choice Requires="wps">
          <w:drawing>
            <wp:anchor distT="0" distB="0" distL="114300" distR="114300" simplePos="0" relativeHeight="251663360" behindDoc="0" locked="0" layoutInCell="1" allowOverlap="1" wp14:anchorId="5EEF3F02" wp14:editId="1B510DC4">
              <wp:simplePos x="0" y="0"/>
              <wp:positionH relativeFrom="page">
                <wp:posOffset>887095</wp:posOffset>
              </wp:positionH>
              <wp:positionV relativeFrom="margin">
                <wp:posOffset>0</wp:posOffset>
              </wp:positionV>
              <wp:extent cx="457200" cy="8686800"/>
              <wp:effectExtent l="1270" t="0" r="0" b="0"/>
              <wp:wrapNone/>
              <wp:docPr id="10"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3F067" w14:textId="77777777" w:rsidR="00FF1497" w:rsidRDefault="003C0E54">
                          <w:pPr>
                            <w:pStyle w:val="RuleHeader"/>
                            <w:rPr>
                              <w:rStyle w:val="RuleChar"/>
                            </w:rPr>
                          </w:pPr>
                          <w:r>
                            <w:t>1</w:t>
                          </w:r>
                        </w:p>
                        <w:p w14:paraId="237A4C9A" w14:textId="77777777" w:rsidR="00FF1497" w:rsidRDefault="003C0E54">
                          <w:pPr>
                            <w:pStyle w:val="RuleHeader"/>
                          </w:pPr>
                          <w:r>
                            <w:t>2</w:t>
                          </w:r>
                        </w:p>
                        <w:p w14:paraId="25D977BB" w14:textId="77777777" w:rsidR="00FF1497" w:rsidRDefault="003C0E54">
                          <w:pPr>
                            <w:pStyle w:val="RuleHeader"/>
                          </w:pPr>
                          <w:r>
                            <w:t>3</w:t>
                          </w:r>
                        </w:p>
                        <w:p w14:paraId="22D3005D" w14:textId="77777777" w:rsidR="00FF1497" w:rsidRDefault="003C0E54">
                          <w:pPr>
                            <w:pStyle w:val="RuleHeader"/>
                          </w:pPr>
                          <w:r>
                            <w:t>4</w:t>
                          </w:r>
                        </w:p>
                        <w:p w14:paraId="13C1AD31" w14:textId="77777777" w:rsidR="00FF1497" w:rsidRDefault="003C0E54">
                          <w:pPr>
                            <w:pStyle w:val="RuleHeader"/>
                          </w:pPr>
                          <w:r>
                            <w:t>5</w:t>
                          </w:r>
                        </w:p>
                        <w:p w14:paraId="081DF1E1" w14:textId="77777777" w:rsidR="00FF1497" w:rsidRDefault="003C0E54">
                          <w:pPr>
                            <w:pStyle w:val="RuleHeader"/>
                          </w:pPr>
                          <w:r>
                            <w:t>6</w:t>
                          </w:r>
                        </w:p>
                        <w:p w14:paraId="7FD501FD" w14:textId="77777777" w:rsidR="00FF1497" w:rsidRDefault="003C0E54">
                          <w:pPr>
                            <w:pStyle w:val="RuleHeader"/>
                          </w:pPr>
                          <w:r>
                            <w:t>7</w:t>
                          </w:r>
                        </w:p>
                        <w:p w14:paraId="29BA46C7" w14:textId="77777777" w:rsidR="00FF1497" w:rsidRDefault="003C0E54">
                          <w:pPr>
                            <w:pStyle w:val="RuleHeader"/>
                          </w:pPr>
                          <w:r>
                            <w:t>8</w:t>
                          </w:r>
                        </w:p>
                        <w:p w14:paraId="6A3A05E6" w14:textId="77777777" w:rsidR="00FF1497" w:rsidRDefault="003C0E54">
                          <w:pPr>
                            <w:pStyle w:val="RuleHeader"/>
                          </w:pPr>
                          <w:r>
                            <w:t>9</w:t>
                          </w:r>
                        </w:p>
                        <w:p w14:paraId="4F013EF1" w14:textId="77777777" w:rsidR="00FF1497" w:rsidRDefault="003C0E54">
                          <w:pPr>
                            <w:pStyle w:val="RuleHeader"/>
                          </w:pPr>
                          <w:r>
                            <w:t>10</w:t>
                          </w:r>
                        </w:p>
                        <w:p w14:paraId="7DD87D16" w14:textId="77777777" w:rsidR="00FF1497" w:rsidRDefault="003C0E54">
                          <w:pPr>
                            <w:pStyle w:val="RuleHeader"/>
                          </w:pPr>
                          <w:r>
                            <w:t>11</w:t>
                          </w:r>
                        </w:p>
                        <w:p w14:paraId="7543B784" w14:textId="77777777" w:rsidR="00FF1497" w:rsidRDefault="003C0E54">
                          <w:pPr>
                            <w:pStyle w:val="RuleHeader"/>
                          </w:pPr>
                          <w:r>
                            <w:t>12</w:t>
                          </w:r>
                        </w:p>
                        <w:p w14:paraId="41E42CFA" w14:textId="77777777" w:rsidR="00FF1497" w:rsidRDefault="003C0E54">
                          <w:pPr>
                            <w:pStyle w:val="RuleHeader"/>
                          </w:pPr>
                          <w:r>
                            <w:t>13</w:t>
                          </w:r>
                        </w:p>
                        <w:p w14:paraId="699E4D8E" w14:textId="77777777" w:rsidR="00FF1497" w:rsidRDefault="003C0E54">
                          <w:pPr>
                            <w:pStyle w:val="RuleHeader"/>
                          </w:pPr>
                          <w:r>
                            <w:t>14</w:t>
                          </w:r>
                        </w:p>
                        <w:p w14:paraId="79123F83" w14:textId="77777777" w:rsidR="00FF1497" w:rsidRDefault="003C0E54">
                          <w:pPr>
                            <w:pStyle w:val="RuleHeader"/>
                          </w:pPr>
                          <w:r>
                            <w:t>15</w:t>
                          </w:r>
                        </w:p>
                        <w:p w14:paraId="4C1B7941" w14:textId="77777777" w:rsidR="00FF1497" w:rsidRDefault="003C0E54">
                          <w:pPr>
                            <w:pStyle w:val="RuleHeader"/>
                          </w:pPr>
                          <w:r>
                            <w:t>16</w:t>
                          </w:r>
                        </w:p>
                        <w:p w14:paraId="55078568" w14:textId="77777777" w:rsidR="00FF1497" w:rsidRDefault="003C0E54">
                          <w:pPr>
                            <w:pStyle w:val="RuleHeader"/>
                          </w:pPr>
                          <w:r>
                            <w:t>17</w:t>
                          </w:r>
                        </w:p>
                        <w:p w14:paraId="1C95DBF9" w14:textId="77777777" w:rsidR="00FF1497" w:rsidRDefault="003C0E54">
                          <w:pPr>
                            <w:pStyle w:val="RuleHeader"/>
                          </w:pPr>
                          <w:r>
                            <w:t>18</w:t>
                          </w:r>
                        </w:p>
                        <w:p w14:paraId="3C24963B" w14:textId="77777777" w:rsidR="00FF1497" w:rsidRDefault="003C0E54">
                          <w:pPr>
                            <w:pStyle w:val="RuleHeader"/>
                          </w:pPr>
                          <w:r>
                            <w:t>19</w:t>
                          </w:r>
                        </w:p>
                        <w:p w14:paraId="62A426CE" w14:textId="77777777" w:rsidR="00FF1497" w:rsidRDefault="003C0E54">
                          <w:pPr>
                            <w:pStyle w:val="RuleHeader"/>
                          </w:pPr>
                          <w:r>
                            <w:t>20</w:t>
                          </w:r>
                        </w:p>
                        <w:p w14:paraId="4E7190B7" w14:textId="77777777" w:rsidR="00FF1497" w:rsidRDefault="003C0E54">
                          <w:pPr>
                            <w:pStyle w:val="RuleHeader"/>
                          </w:pPr>
                          <w:r>
                            <w:t>21</w:t>
                          </w:r>
                        </w:p>
                        <w:p w14:paraId="75C99B30" w14:textId="77777777" w:rsidR="00FF1497" w:rsidRDefault="003C0E54">
                          <w:pPr>
                            <w:pStyle w:val="RuleHeader"/>
                          </w:pPr>
                          <w:r>
                            <w:t>22</w:t>
                          </w:r>
                        </w:p>
                        <w:p w14:paraId="5253710E" w14:textId="77777777" w:rsidR="00FF1497" w:rsidRDefault="003C0E54">
                          <w:pPr>
                            <w:pStyle w:val="RuleHeader"/>
                          </w:pPr>
                          <w:r>
                            <w:t>23</w:t>
                          </w:r>
                        </w:p>
                        <w:p w14:paraId="66250039" w14:textId="77777777" w:rsidR="00FF1497" w:rsidRDefault="003C0E54">
                          <w:pPr>
                            <w:pStyle w:val="RuleHeader"/>
                          </w:pPr>
                          <w:r>
                            <w:t>24</w:t>
                          </w:r>
                        </w:p>
                        <w:p w14:paraId="34867841" w14:textId="77777777" w:rsidR="00FF1497" w:rsidRDefault="003C0E5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EEF3F02" id="_x0000_t202" coordsize="21600,21600" o:spt="202" path="m,l,21600r21600,l21600,xe">
              <v:stroke joinstyle="miter"/>
              <v:path gradientshapeok="t" o:connecttype="rect"/>
            </v:shapetype>
            <v:shape id="LineNumbers" o:spid="_x0000_s1026" type="#_x0000_t202" style="position:absolute;left:0;text-align:left;margin-left:69.85pt;margin-top:0;width:36pt;height:68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NJKSxFxAgAA9QQAAA4AAAAAAAAAAAAA&#10;AAAALgIAAGRycy9lMm9Eb2MueG1sUEsBAi0AFAAGAAgAAAAhAKU5E87cAAAACQEAAA8AAAAAAAAA&#10;AAAAAAAAywQAAGRycy9kb3ducmV2LnhtbFBLBQYAAAAABAAEAPMAAADUBQAAAAA=&#10;" stroked="f">
              <v:textbox inset="0,0,0,0">
                <w:txbxContent>
                  <w:p w14:paraId="0193F067" w14:textId="77777777" w:rsidR="00FF1497" w:rsidRDefault="003C0E54">
                    <w:pPr>
                      <w:pStyle w:val="RuleHeader"/>
                      <w:rPr>
                        <w:rStyle w:val="RuleChar"/>
                      </w:rPr>
                    </w:pPr>
                    <w:r>
                      <w:t>1</w:t>
                    </w:r>
                  </w:p>
                  <w:p w14:paraId="237A4C9A" w14:textId="77777777" w:rsidR="00FF1497" w:rsidRDefault="003C0E54">
                    <w:pPr>
                      <w:pStyle w:val="RuleHeader"/>
                    </w:pPr>
                    <w:r>
                      <w:t>2</w:t>
                    </w:r>
                  </w:p>
                  <w:p w14:paraId="25D977BB" w14:textId="77777777" w:rsidR="00FF1497" w:rsidRDefault="003C0E54">
                    <w:pPr>
                      <w:pStyle w:val="RuleHeader"/>
                    </w:pPr>
                    <w:r>
                      <w:t>3</w:t>
                    </w:r>
                  </w:p>
                  <w:p w14:paraId="22D3005D" w14:textId="77777777" w:rsidR="00FF1497" w:rsidRDefault="003C0E54">
                    <w:pPr>
                      <w:pStyle w:val="RuleHeader"/>
                    </w:pPr>
                    <w:r>
                      <w:t>4</w:t>
                    </w:r>
                  </w:p>
                  <w:p w14:paraId="13C1AD31" w14:textId="77777777" w:rsidR="00FF1497" w:rsidRDefault="003C0E54">
                    <w:pPr>
                      <w:pStyle w:val="RuleHeader"/>
                    </w:pPr>
                    <w:r>
                      <w:t>5</w:t>
                    </w:r>
                  </w:p>
                  <w:p w14:paraId="081DF1E1" w14:textId="77777777" w:rsidR="00FF1497" w:rsidRDefault="003C0E54">
                    <w:pPr>
                      <w:pStyle w:val="RuleHeader"/>
                    </w:pPr>
                    <w:r>
                      <w:t>6</w:t>
                    </w:r>
                  </w:p>
                  <w:p w14:paraId="7FD501FD" w14:textId="77777777" w:rsidR="00FF1497" w:rsidRDefault="003C0E54">
                    <w:pPr>
                      <w:pStyle w:val="RuleHeader"/>
                    </w:pPr>
                    <w:r>
                      <w:t>7</w:t>
                    </w:r>
                  </w:p>
                  <w:p w14:paraId="29BA46C7" w14:textId="77777777" w:rsidR="00FF1497" w:rsidRDefault="003C0E54">
                    <w:pPr>
                      <w:pStyle w:val="RuleHeader"/>
                    </w:pPr>
                    <w:r>
                      <w:t>8</w:t>
                    </w:r>
                  </w:p>
                  <w:p w14:paraId="6A3A05E6" w14:textId="77777777" w:rsidR="00FF1497" w:rsidRDefault="003C0E54">
                    <w:pPr>
                      <w:pStyle w:val="RuleHeader"/>
                    </w:pPr>
                    <w:r>
                      <w:t>9</w:t>
                    </w:r>
                  </w:p>
                  <w:p w14:paraId="4F013EF1" w14:textId="77777777" w:rsidR="00FF1497" w:rsidRDefault="003C0E54">
                    <w:pPr>
                      <w:pStyle w:val="RuleHeader"/>
                    </w:pPr>
                    <w:r>
                      <w:t>10</w:t>
                    </w:r>
                  </w:p>
                  <w:p w14:paraId="7DD87D16" w14:textId="77777777" w:rsidR="00FF1497" w:rsidRDefault="003C0E54">
                    <w:pPr>
                      <w:pStyle w:val="RuleHeader"/>
                    </w:pPr>
                    <w:r>
                      <w:t>11</w:t>
                    </w:r>
                  </w:p>
                  <w:p w14:paraId="7543B784" w14:textId="77777777" w:rsidR="00FF1497" w:rsidRDefault="003C0E54">
                    <w:pPr>
                      <w:pStyle w:val="RuleHeader"/>
                    </w:pPr>
                    <w:r>
                      <w:t>12</w:t>
                    </w:r>
                  </w:p>
                  <w:p w14:paraId="41E42CFA" w14:textId="77777777" w:rsidR="00FF1497" w:rsidRDefault="003C0E54">
                    <w:pPr>
                      <w:pStyle w:val="RuleHeader"/>
                    </w:pPr>
                    <w:r>
                      <w:t>13</w:t>
                    </w:r>
                  </w:p>
                  <w:p w14:paraId="699E4D8E" w14:textId="77777777" w:rsidR="00FF1497" w:rsidRDefault="003C0E54">
                    <w:pPr>
                      <w:pStyle w:val="RuleHeader"/>
                    </w:pPr>
                    <w:r>
                      <w:t>14</w:t>
                    </w:r>
                  </w:p>
                  <w:p w14:paraId="79123F83" w14:textId="77777777" w:rsidR="00FF1497" w:rsidRDefault="003C0E54">
                    <w:pPr>
                      <w:pStyle w:val="RuleHeader"/>
                    </w:pPr>
                    <w:r>
                      <w:t>15</w:t>
                    </w:r>
                  </w:p>
                  <w:p w14:paraId="4C1B7941" w14:textId="77777777" w:rsidR="00FF1497" w:rsidRDefault="003C0E54">
                    <w:pPr>
                      <w:pStyle w:val="RuleHeader"/>
                    </w:pPr>
                    <w:r>
                      <w:t>16</w:t>
                    </w:r>
                  </w:p>
                  <w:p w14:paraId="55078568" w14:textId="77777777" w:rsidR="00FF1497" w:rsidRDefault="003C0E54">
                    <w:pPr>
                      <w:pStyle w:val="RuleHeader"/>
                    </w:pPr>
                    <w:r>
                      <w:t>17</w:t>
                    </w:r>
                  </w:p>
                  <w:p w14:paraId="1C95DBF9" w14:textId="77777777" w:rsidR="00FF1497" w:rsidRDefault="003C0E54">
                    <w:pPr>
                      <w:pStyle w:val="RuleHeader"/>
                    </w:pPr>
                    <w:r>
                      <w:t>18</w:t>
                    </w:r>
                  </w:p>
                  <w:p w14:paraId="3C24963B" w14:textId="77777777" w:rsidR="00FF1497" w:rsidRDefault="003C0E54">
                    <w:pPr>
                      <w:pStyle w:val="RuleHeader"/>
                    </w:pPr>
                    <w:r>
                      <w:t>19</w:t>
                    </w:r>
                  </w:p>
                  <w:p w14:paraId="62A426CE" w14:textId="77777777" w:rsidR="00FF1497" w:rsidRDefault="003C0E54">
                    <w:pPr>
                      <w:pStyle w:val="RuleHeader"/>
                    </w:pPr>
                    <w:r>
                      <w:t>20</w:t>
                    </w:r>
                  </w:p>
                  <w:p w14:paraId="4E7190B7" w14:textId="77777777" w:rsidR="00FF1497" w:rsidRDefault="003C0E54">
                    <w:pPr>
                      <w:pStyle w:val="RuleHeader"/>
                    </w:pPr>
                    <w:r>
                      <w:t>21</w:t>
                    </w:r>
                  </w:p>
                  <w:p w14:paraId="75C99B30" w14:textId="77777777" w:rsidR="00FF1497" w:rsidRDefault="003C0E54">
                    <w:pPr>
                      <w:pStyle w:val="RuleHeader"/>
                    </w:pPr>
                    <w:r>
                      <w:t>22</w:t>
                    </w:r>
                  </w:p>
                  <w:p w14:paraId="5253710E" w14:textId="77777777" w:rsidR="00FF1497" w:rsidRDefault="003C0E54">
                    <w:pPr>
                      <w:pStyle w:val="RuleHeader"/>
                    </w:pPr>
                    <w:r>
                      <w:t>23</w:t>
                    </w:r>
                  </w:p>
                  <w:p w14:paraId="66250039" w14:textId="77777777" w:rsidR="00FF1497" w:rsidRDefault="003C0E54">
                    <w:pPr>
                      <w:pStyle w:val="RuleHeader"/>
                    </w:pPr>
                    <w:r>
                      <w:t>24</w:t>
                    </w:r>
                  </w:p>
                  <w:p w14:paraId="34867841" w14:textId="77777777" w:rsidR="00FF1497" w:rsidRDefault="003C0E5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9264" behindDoc="0" locked="0" layoutInCell="1" allowOverlap="1" wp14:anchorId="0F89CA1C" wp14:editId="341B469A">
              <wp:simplePos x="0" y="0"/>
              <wp:positionH relativeFrom="margin">
                <wp:posOffset>5943600</wp:posOffset>
              </wp:positionH>
              <wp:positionV relativeFrom="page">
                <wp:posOffset>0</wp:posOffset>
              </wp:positionV>
              <wp:extent cx="0" cy="10058400"/>
              <wp:effectExtent l="9525" t="9525" r="9525" b="9525"/>
              <wp:wrapNone/>
              <wp:docPr id="11"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FB0B0" id="RightBorder" o:spid="_x0000_s1026" style="position:absolute;z-index:2516592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SF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JaPUhR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5168" behindDoc="0" locked="0" layoutInCell="1" allowOverlap="1" wp14:anchorId="15703ECA" wp14:editId="0E2591BE">
              <wp:simplePos x="0" y="0"/>
              <wp:positionH relativeFrom="margin">
                <wp:posOffset>-91440</wp:posOffset>
              </wp:positionH>
              <wp:positionV relativeFrom="page">
                <wp:posOffset>0</wp:posOffset>
              </wp:positionV>
              <wp:extent cx="0" cy="10058400"/>
              <wp:effectExtent l="13335" t="9525" r="5715" b="9525"/>
              <wp:wrapNone/>
              <wp:docPr id="12"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CC286" id="LeftBorder2" o:spid="_x0000_s1026" style="position:absolute;z-index:2516551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">
              <w10:wrap anchorx="margin"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0B5E" w14:textId="77777777" w:rsidR="00FF1497" w:rsidRDefault="003C0E54">
    <w:pPr>
      <w:tabs>
        <w:tab w:val="left" w:pos="3770"/>
      </w:tabs>
    </w:pPr>
    <w:r>
      <w:rPr>
        <w:noProof/>
      </w:rPr>
      <mc:AlternateContent>
        <mc:Choice Requires="wps">
          <w:drawing>
            <wp:anchor distT="0" distB="0" distL="114300" distR="114300" simplePos="0" relativeHeight="251674112" behindDoc="0" locked="0" layoutInCell="1" allowOverlap="1" wp14:anchorId="5254EF01" wp14:editId="1F61D00F">
              <wp:simplePos x="0" y="0"/>
              <wp:positionH relativeFrom="margin">
                <wp:posOffset>-66040</wp:posOffset>
              </wp:positionH>
              <wp:positionV relativeFrom="page">
                <wp:posOffset>914400</wp:posOffset>
              </wp:positionV>
              <wp:extent cx="0" cy="8321040"/>
              <wp:effectExtent l="10160" t="9525" r="8890" b="13335"/>
              <wp:wrapNone/>
              <wp:docPr id="13"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D4FC7" id="LeftBorder1"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Ve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BIqzVe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7184" behindDoc="0" locked="0" layoutInCell="1" allowOverlap="1" wp14:anchorId="067788FF" wp14:editId="32CF654C">
              <wp:simplePos x="0" y="0"/>
              <wp:positionH relativeFrom="margin">
                <wp:posOffset>-640080</wp:posOffset>
              </wp:positionH>
              <wp:positionV relativeFrom="margin">
                <wp:posOffset>0</wp:posOffset>
              </wp:positionV>
              <wp:extent cx="457200" cy="8686800"/>
              <wp:effectExtent l="0" t="0" r="1905" b="0"/>
              <wp:wrapNone/>
              <wp:docPr id="14"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FA40A" w14:textId="77777777" w:rsidR="00FF1497" w:rsidRDefault="003C0E54">
                          <w:pPr>
                            <w:jc w:val="right"/>
                          </w:pPr>
                          <w:r>
                            <w:t>1</w:t>
                          </w:r>
                        </w:p>
                        <w:p w14:paraId="2E24F7AA" w14:textId="77777777" w:rsidR="00FF1497" w:rsidRDefault="003C0E54">
                          <w:pPr>
                            <w:jc w:val="right"/>
                          </w:pPr>
                          <w:r>
                            <w:t>2</w:t>
                          </w:r>
                        </w:p>
                        <w:p w14:paraId="5B3DFB0A" w14:textId="77777777" w:rsidR="00FF1497" w:rsidRDefault="003C0E54">
                          <w:pPr>
                            <w:jc w:val="right"/>
                          </w:pPr>
                          <w:r>
                            <w:t>3</w:t>
                          </w:r>
                        </w:p>
                        <w:p w14:paraId="73D49701" w14:textId="77777777" w:rsidR="00FF1497" w:rsidRDefault="003C0E54">
                          <w:pPr>
                            <w:jc w:val="right"/>
                          </w:pPr>
                          <w:r>
                            <w:t>4</w:t>
                          </w:r>
                        </w:p>
                        <w:p w14:paraId="3DB2028A" w14:textId="77777777" w:rsidR="00FF1497" w:rsidRDefault="003C0E54">
                          <w:pPr>
                            <w:jc w:val="right"/>
                          </w:pPr>
                          <w:r>
                            <w:t>5</w:t>
                          </w:r>
                        </w:p>
                        <w:p w14:paraId="711847AA" w14:textId="77777777" w:rsidR="00FF1497" w:rsidRDefault="003C0E54">
                          <w:pPr>
                            <w:jc w:val="right"/>
                          </w:pPr>
                          <w:r>
                            <w:t>6</w:t>
                          </w:r>
                        </w:p>
                        <w:p w14:paraId="4B82354D" w14:textId="77777777" w:rsidR="00FF1497" w:rsidRDefault="003C0E54">
                          <w:pPr>
                            <w:jc w:val="right"/>
                          </w:pPr>
                          <w:r>
                            <w:t>7</w:t>
                          </w:r>
                        </w:p>
                        <w:p w14:paraId="5D439E37" w14:textId="77777777" w:rsidR="00FF1497" w:rsidRDefault="003C0E54">
                          <w:pPr>
                            <w:jc w:val="right"/>
                          </w:pPr>
                          <w:r>
                            <w:t>8</w:t>
                          </w:r>
                        </w:p>
                        <w:p w14:paraId="06199C9E" w14:textId="77777777" w:rsidR="00FF1497" w:rsidRDefault="003C0E54">
                          <w:pPr>
                            <w:jc w:val="right"/>
                          </w:pPr>
                          <w:r>
                            <w:t>9</w:t>
                          </w:r>
                        </w:p>
                        <w:p w14:paraId="1F9A1DCF" w14:textId="77777777" w:rsidR="00FF1497" w:rsidRDefault="003C0E54">
                          <w:pPr>
                            <w:jc w:val="right"/>
                          </w:pPr>
                          <w:r>
                            <w:t>10</w:t>
                          </w:r>
                        </w:p>
                        <w:p w14:paraId="767661D1" w14:textId="77777777" w:rsidR="00FF1497" w:rsidRDefault="003C0E54">
                          <w:pPr>
                            <w:jc w:val="right"/>
                          </w:pPr>
                          <w:r>
                            <w:t>11</w:t>
                          </w:r>
                        </w:p>
                        <w:p w14:paraId="3693840A" w14:textId="77777777" w:rsidR="00FF1497" w:rsidRDefault="003C0E54">
                          <w:pPr>
                            <w:jc w:val="right"/>
                          </w:pPr>
                          <w:r>
                            <w:t>12</w:t>
                          </w:r>
                        </w:p>
                        <w:p w14:paraId="543D49E0" w14:textId="77777777" w:rsidR="00FF1497" w:rsidRDefault="003C0E54">
                          <w:pPr>
                            <w:jc w:val="right"/>
                          </w:pPr>
                          <w:r>
                            <w:t>13</w:t>
                          </w:r>
                        </w:p>
                        <w:p w14:paraId="4E47F2D6" w14:textId="77777777" w:rsidR="00FF1497" w:rsidRDefault="003C0E54">
                          <w:pPr>
                            <w:jc w:val="right"/>
                          </w:pPr>
                          <w:r>
                            <w:t>14</w:t>
                          </w:r>
                        </w:p>
                        <w:p w14:paraId="393BDB20" w14:textId="77777777" w:rsidR="00FF1497" w:rsidRDefault="003C0E54">
                          <w:pPr>
                            <w:jc w:val="right"/>
                          </w:pPr>
                          <w:r>
                            <w:t>15</w:t>
                          </w:r>
                        </w:p>
                        <w:p w14:paraId="48523D3B" w14:textId="77777777" w:rsidR="00FF1497" w:rsidRDefault="003C0E54">
                          <w:pPr>
                            <w:jc w:val="right"/>
                          </w:pPr>
                          <w:r>
                            <w:t>16</w:t>
                          </w:r>
                        </w:p>
                        <w:p w14:paraId="1603DBC6" w14:textId="77777777" w:rsidR="00FF1497" w:rsidRDefault="003C0E54">
                          <w:pPr>
                            <w:jc w:val="right"/>
                          </w:pPr>
                          <w:r>
                            <w:t>17</w:t>
                          </w:r>
                        </w:p>
                        <w:p w14:paraId="2D12FE84" w14:textId="77777777" w:rsidR="00FF1497" w:rsidRDefault="003C0E54">
                          <w:pPr>
                            <w:jc w:val="right"/>
                          </w:pPr>
                          <w:r>
                            <w:t>18</w:t>
                          </w:r>
                        </w:p>
                        <w:p w14:paraId="4CBAE1A6" w14:textId="77777777" w:rsidR="00FF1497" w:rsidRDefault="003C0E54">
                          <w:pPr>
                            <w:jc w:val="right"/>
                          </w:pPr>
                          <w:r>
                            <w:t>19</w:t>
                          </w:r>
                        </w:p>
                        <w:p w14:paraId="386F7306" w14:textId="77777777" w:rsidR="00FF1497" w:rsidRDefault="003C0E54">
                          <w:pPr>
                            <w:jc w:val="right"/>
                          </w:pPr>
                          <w:r>
                            <w:t>20</w:t>
                          </w:r>
                        </w:p>
                        <w:p w14:paraId="269C7F3A" w14:textId="77777777" w:rsidR="00FF1497" w:rsidRDefault="003C0E54">
                          <w:pPr>
                            <w:jc w:val="right"/>
                          </w:pPr>
                          <w:r>
                            <w:t>21</w:t>
                          </w:r>
                        </w:p>
                        <w:p w14:paraId="5CC9A9F0" w14:textId="77777777" w:rsidR="00FF1497" w:rsidRDefault="003C0E54">
                          <w:pPr>
                            <w:jc w:val="right"/>
                          </w:pPr>
                          <w:r>
                            <w:t>22</w:t>
                          </w:r>
                        </w:p>
                        <w:p w14:paraId="3F893C2C" w14:textId="77777777" w:rsidR="00FF1497" w:rsidRDefault="003C0E54">
                          <w:pPr>
                            <w:jc w:val="right"/>
                          </w:pPr>
                          <w:r>
                            <w:t>23</w:t>
                          </w:r>
                        </w:p>
                        <w:p w14:paraId="0ED6319D" w14:textId="77777777" w:rsidR="00FF1497" w:rsidRDefault="003C0E54">
                          <w:pPr>
                            <w:jc w:val="right"/>
                          </w:pPr>
                          <w:r>
                            <w:t>24</w:t>
                          </w:r>
                        </w:p>
                        <w:p w14:paraId="4A3A0E67" w14:textId="77777777" w:rsidR="00FF1497" w:rsidRDefault="003C0E5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67788FF" id="_x0000_t202" coordsize="21600,21600" o:spt="202" path="m,l,21600r21600,l21600,xe">
              <v:stroke joinstyle="miter"/>
              <v:path gradientshapeok="t" o:connecttype="rect"/>
            </v:shapetype>
            <v:shape id="_x0000_s1027" type="#_x0000_t202" style="position:absolute;margin-left:-50.4pt;margin-top:0;width:36pt;height:68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KY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H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YVRciB4k&#10;Uhv2ALqwBmgDiuE6AaM19htGPYxmhd3XPbEcI/lOg7bCHE+GnYx6MoimcLTCHqPRvPZx3kfmLkFz&#10;jYhyeIp8VCqMWMz7eB2EGX6+jl5Pl9bmBwA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APG0KYcwIAAPwEAAAOAAAAAAAA&#10;AAAAAAAAAC4CAABkcnMvZTJvRG9jLnhtbFBLAQItABQABgAIAAAAIQArwDfk3gAAAAoBAAAPAAAA&#10;AAAAAAAAAAAAAM0EAABkcnMvZG93bnJldi54bWxQSwUGAAAAAAQABADzAAAA2AUAAAAA&#10;" stroked="f">
              <v:textbox inset="0,0,0,0">
                <w:txbxContent>
                  <w:p w14:paraId="565FA40A" w14:textId="77777777" w:rsidR="00FF1497" w:rsidRDefault="003C0E54">
                    <w:pPr>
                      <w:jc w:val="right"/>
                    </w:pPr>
                    <w:r>
                      <w:t>1</w:t>
                    </w:r>
                  </w:p>
                  <w:p w14:paraId="2E24F7AA" w14:textId="77777777" w:rsidR="00FF1497" w:rsidRDefault="003C0E54">
                    <w:pPr>
                      <w:jc w:val="right"/>
                    </w:pPr>
                    <w:r>
                      <w:t>2</w:t>
                    </w:r>
                  </w:p>
                  <w:p w14:paraId="5B3DFB0A" w14:textId="77777777" w:rsidR="00FF1497" w:rsidRDefault="003C0E54">
                    <w:pPr>
                      <w:jc w:val="right"/>
                    </w:pPr>
                    <w:r>
                      <w:t>3</w:t>
                    </w:r>
                  </w:p>
                  <w:p w14:paraId="73D49701" w14:textId="77777777" w:rsidR="00FF1497" w:rsidRDefault="003C0E54">
                    <w:pPr>
                      <w:jc w:val="right"/>
                    </w:pPr>
                    <w:r>
                      <w:t>4</w:t>
                    </w:r>
                  </w:p>
                  <w:p w14:paraId="3DB2028A" w14:textId="77777777" w:rsidR="00FF1497" w:rsidRDefault="003C0E54">
                    <w:pPr>
                      <w:jc w:val="right"/>
                    </w:pPr>
                    <w:r>
                      <w:t>5</w:t>
                    </w:r>
                  </w:p>
                  <w:p w14:paraId="711847AA" w14:textId="77777777" w:rsidR="00FF1497" w:rsidRDefault="003C0E54">
                    <w:pPr>
                      <w:jc w:val="right"/>
                    </w:pPr>
                    <w:r>
                      <w:t>6</w:t>
                    </w:r>
                  </w:p>
                  <w:p w14:paraId="4B82354D" w14:textId="77777777" w:rsidR="00FF1497" w:rsidRDefault="003C0E54">
                    <w:pPr>
                      <w:jc w:val="right"/>
                    </w:pPr>
                    <w:r>
                      <w:t>7</w:t>
                    </w:r>
                  </w:p>
                  <w:p w14:paraId="5D439E37" w14:textId="77777777" w:rsidR="00FF1497" w:rsidRDefault="003C0E54">
                    <w:pPr>
                      <w:jc w:val="right"/>
                    </w:pPr>
                    <w:r>
                      <w:t>8</w:t>
                    </w:r>
                  </w:p>
                  <w:p w14:paraId="06199C9E" w14:textId="77777777" w:rsidR="00FF1497" w:rsidRDefault="003C0E54">
                    <w:pPr>
                      <w:jc w:val="right"/>
                    </w:pPr>
                    <w:r>
                      <w:t>9</w:t>
                    </w:r>
                  </w:p>
                  <w:p w14:paraId="1F9A1DCF" w14:textId="77777777" w:rsidR="00FF1497" w:rsidRDefault="003C0E54">
                    <w:pPr>
                      <w:jc w:val="right"/>
                    </w:pPr>
                    <w:r>
                      <w:t>10</w:t>
                    </w:r>
                  </w:p>
                  <w:p w14:paraId="767661D1" w14:textId="77777777" w:rsidR="00FF1497" w:rsidRDefault="003C0E54">
                    <w:pPr>
                      <w:jc w:val="right"/>
                    </w:pPr>
                    <w:r>
                      <w:t>11</w:t>
                    </w:r>
                  </w:p>
                  <w:p w14:paraId="3693840A" w14:textId="77777777" w:rsidR="00FF1497" w:rsidRDefault="003C0E54">
                    <w:pPr>
                      <w:jc w:val="right"/>
                    </w:pPr>
                    <w:r>
                      <w:t>12</w:t>
                    </w:r>
                  </w:p>
                  <w:p w14:paraId="543D49E0" w14:textId="77777777" w:rsidR="00FF1497" w:rsidRDefault="003C0E54">
                    <w:pPr>
                      <w:jc w:val="right"/>
                    </w:pPr>
                    <w:r>
                      <w:t>13</w:t>
                    </w:r>
                  </w:p>
                  <w:p w14:paraId="4E47F2D6" w14:textId="77777777" w:rsidR="00FF1497" w:rsidRDefault="003C0E54">
                    <w:pPr>
                      <w:jc w:val="right"/>
                    </w:pPr>
                    <w:r>
                      <w:t>14</w:t>
                    </w:r>
                  </w:p>
                  <w:p w14:paraId="393BDB20" w14:textId="77777777" w:rsidR="00FF1497" w:rsidRDefault="003C0E54">
                    <w:pPr>
                      <w:jc w:val="right"/>
                    </w:pPr>
                    <w:r>
                      <w:t>15</w:t>
                    </w:r>
                  </w:p>
                  <w:p w14:paraId="48523D3B" w14:textId="77777777" w:rsidR="00FF1497" w:rsidRDefault="003C0E54">
                    <w:pPr>
                      <w:jc w:val="right"/>
                    </w:pPr>
                    <w:r>
                      <w:t>16</w:t>
                    </w:r>
                  </w:p>
                  <w:p w14:paraId="1603DBC6" w14:textId="77777777" w:rsidR="00FF1497" w:rsidRDefault="003C0E54">
                    <w:pPr>
                      <w:jc w:val="right"/>
                    </w:pPr>
                    <w:r>
                      <w:t>17</w:t>
                    </w:r>
                  </w:p>
                  <w:p w14:paraId="2D12FE84" w14:textId="77777777" w:rsidR="00FF1497" w:rsidRDefault="003C0E54">
                    <w:pPr>
                      <w:jc w:val="right"/>
                    </w:pPr>
                    <w:r>
                      <w:t>18</w:t>
                    </w:r>
                  </w:p>
                  <w:p w14:paraId="4CBAE1A6" w14:textId="77777777" w:rsidR="00FF1497" w:rsidRDefault="003C0E54">
                    <w:pPr>
                      <w:jc w:val="right"/>
                    </w:pPr>
                    <w:r>
                      <w:t>19</w:t>
                    </w:r>
                  </w:p>
                  <w:p w14:paraId="386F7306" w14:textId="77777777" w:rsidR="00FF1497" w:rsidRDefault="003C0E54">
                    <w:pPr>
                      <w:jc w:val="right"/>
                    </w:pPr>
                    <w:r>
                      <w:t>20</w:t>
                    </w:r>
                  </w:p>
                  <w:p w14:paraId="269C7F3A" w14:textId="77777777" w:rsidR="00FF1497" w:rsidRDefault="003C0E54">
                    <w:pPr>
                      <w:jc w:val="right"/>
                    </w:pPr>
                    <w:r>
                      <w:t>21</w:t>
                    </w:r>
                  </w:p>
                  <w:p w14:paraId="5CC9A9F0" w14:textId="77777777" w:rsidR="00FF1497" w:rsidRDefault="003C0E54">
                    <w:pPr>
                      <w:jc w:val="right"/>
                    </w:pPr>
                    <w:r>
                      <w:t>22</w:t>
                    </w:r>
                  </w:p>
                  <w:p w14:paraId="3F893C2C" w14:textId="77777777" w:rsidR="00FF1497" w:rsidRDefault="003C0E54">
                    <w:pPr>
                      <w:jc w:val="right"/>
                    </w:pPr>
                    <w:r>
                      <w:t>23</w:t>
                    </w:r>
                  </w:p>
                  <w:p w14:paraId="0ED6319D" w14:textId="77777777" w:rsidR="00FF1497" w:rsidRDefault="003C0E54">
                    <w:pPr>
                      <w:jc w:val="right"/>
                    </w:pPr>
                    <w:r>
                      <w:t>24</w:t>
                    </w:r>
                  </w:p>
                  <w:p w14:paraId="4A3A0E67" w14:textId="77777777" w:rsidR="00FF1497" w:rsidRDefault="003C0E5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6160" behindDoc="0" locked="0" layoutInCell="1" allowOverlap="1" wp14:anchorId="596DD319" wp14:editId="654852A7">
              <wp:simplePos x="0" y="0"/>
              <wp:positionH relativeFrom="margin">
                <wp:posOffset>5943600</wp:posOffset>
              </wp:positionH>
              <wp:positionV relativeFrom="page">
                <wp:posOffset>0</wp:posOffset>
              </wp:positionV>
              <wp:extent cx="0" cy="10058400"/>
              <wp:effectExtent l="9525" t="9525" r="9525" b="9525"/>
              <wp:wrapNone/>
              <wp:docPr id="15"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65C69" id="RightBorder" o:spid="_x0000_s1026" style="position:absolute;z-index:2516761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B4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U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LaOQeB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5136" behindDoc="0" locked="0" layoutInCell="1" allowOverlap="1" wp14:anchorId="2297B214" wp14:editId="309761D6">
              <wp:simplePos x="0" y="0"/>
              <wp:positionH relativeFrom="margin">
                <wp:posOffset>-91440</wp:posOffset>
              </wp:positionH>
              <wp:positionV relativeFrom="page">
                <wp:posOffset>0</wp:posOffset>
              </wp:positionV>
              <wp:extent cx="0" cy="10058400"/>
              <wp:effectExtent l="13335" t="9525" r="5715" b="9525"/>
              <wp:wrapNone/>
              <wp:docPr id="16"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104F3" id="LeftBorder2" o:spid="_x0000_s1026" style="position:absolute;z-index:2516751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xd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Ze2xd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66E06" w14:textId="0DF56C1D" w:rsidR="003C0E54" w:rsidRDefault="003C0E54" w:rsidP="003C0E54">
    <w:pPr>
      <w:pStyle w:val="Header"/>
      <w:tabs>
        <w:tab w:val="clear" w:pos="4320"/>
        <w:tab w:val="clear" w:pos="8640"/>
        <w:tab w:val="right" w:pos="9360"/>
      </w:tabs>
    </w:pPr>
    <w:r>
      <w:fldChar w:fldCharType="begin"/>
    </w:r>
    <w:r>
      <w:instrText xml:space="preserve"> REF DocketLabel</w:instrText>
    </w:r>
    <w:r>
      <w:fldChar w:fldCharType="separate"/>
    </w:r>
    <w:r w:rsidR="006F63AC">
      <w:t>Docket No.</w:t>
    </w:r>
    <w:r>
      <w:fldChar w:fldCharType="end"/>
    </w:r>
    <w:r>
      <w:t xml:space="preserve"> </w:t>
    </w:r>
    <w:r>
      <w:fldChar w:fldCharType="begin"/>
    </w:r>
    <w:r>
      <w:instrText xml:space="preserve"> REF DocketList</w:instrText>
    </w:r>
    <w:r>
      <w:fldChar w:fldCharType="separate"/>
    </w:r>
    <w:r w:rsidR="006F63AC">
      <w:t>20250020-GU</w:t>
    </w:r>
    <w:r>
      <w:fldChar w:fldCharType="end"/>
    </w:r>
    <w:r w:rsidR="0044189F">
      <w:tab/>
      <w:t>Attachment B</w:t>
    </w:r>
  </w:p>
  <w:p w14:paraId="5957B3D8" w14:textId="02B6DDB6" w:rsidR="003C0E54" w:rsidRDefault="003C0E54" w:rsidP="003C0E54">
    <w:pPr>
      <w:pStyle w:val="Header"/>
    </w:pPr>
    <w:r>
      <w:t xml:space="preserve">Date: </w:t>
    </w:r>
    <w:r w:rsidR="00400983">
      <w:fldChar w:fldCharType="begin"/>
    </w:r>
    <w:r w:rsidR="00400983">
      <w:instrText xml:space="preserve"> REF FilingDate </w:instrText>
    </w:r>
    <w:r w:rsidR="00400983">
      <w:fldChar w:fldCharType="separate"/>
    </w:r>
    <w:r w:rsidR="006F63AC">
      <w:t>February 20, 2025</w:t>
    </w:r>
    <w:r w:rsidR="00400983">
      <w:fldChar w:fldCharType="end"/>
    </w:r>
  </w:p>
  <w:p w14:paraId="149B533E" w14:textId="77777777" w:rsidR="003C0E54" w:rsidRPr="00A13199" w:rsidRDefault="003C0E54" w:rsidP="00A13199">
    <w:pPr>
      <w:pStyle w:val="Header"/>
    </w:pPr>
    <w:r>
      <w:rPr>
        <w:b/>
        <w:noProof/>
      </w:rPr>
      <mc:AlternateContent>
        <mc:Choice Requires="wps">
          <w:drawing>
            <wp:anchor distT="0" distB="0" distL="114300" distR="114300" simplePos="0" relativeHeight="251661312" behindDoc="0" locked="0" layoutInCell="1" allowOverlap="1" wp14:anchorId="3A912DE7" wp14:editId="6E9AC49E">
              <wp:simplePos x="0" y="0"/>
              <wp:positionH relativeFrom="margin">
                <wp:posOffset>5943600</wp:posOffset>
              </wp:positionH>
              <wp:positionV relativeFrom="page">
                <wp:posOffset>0</wp:posOffset>
              </wp:positionV>
              <wp:extent cx="0" cy="10058400"/>
              <wp:effectExtent l="9525" t="9525" r="9525" b="9525"/>
              <wp:wrapNone/>
              <wp:docPr id="5"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D793D"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rI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i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ybnayB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7216" behindDoc="0" locked="0" layoutInCell="1" allowOverlap="1" wp14:anchorId="4275C919" wp14:editId="3BB0ACE8">
              <wp:simplePos x="0" y="0"/>
              <wp:positionH relativeFrom="margin">
                <wp:posOffset>-91440</wp:posOffset>
              </wp:positionH>
              <wp:positionV relativeFrom="page">
                <wp:posOffset>0</wp:posOffset>
              </wp:positionV>
              <wp:extent cx="0" cy="10058400"/>
              <wp:effectExtent l="13335" t="9525" r="5715" b="9525"/>
              <wp:wrapNone/>
              <wp:docPr id="6"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33FD0" id="LeftBorder2" o:spid="_x0000_s1026" style="position:absolute;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bt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W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9YSbt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B8F7F" w14:textId="13820660" w:rsidR="0044189F" w:rsidRDefault="0044189F" w:rsidP="003C0E54">
    <w:pPr>
      <w:pStyle w:val="Header"/>
      <w:tabs>
        <w:tab w:val="clear" w:pos="4320"/>
        <w:tab w:val="clear" w:pos="8640"/>
        <w:tab w:val="right" w:pos="9360"/>
      </w:tabs>
    </w:pPr>
    <w:r>
      <w:fldChar w:fldCharType="begin"/>
    </w:r>
    <w:r>
      <w:instrText xml:space="preserve"> REF DocketLabel</w:instrText>
    </w:r>
    <w:r>
      <w:fldChar w:fldCharType="separate"/>
    </w:r>
    <w:r w:rsidR="006F63AC">
      <w:t>Docket No.</w:t>
    </w:r>
    <w:r>
      <w:fldChar w:fldCharType="end"/>
    </w:r>
    <w:r>
      <w:t xml:space="preserve"> </w:t>
    </w:r>
    <w:r>
      <w:fldChar w:fldCharType="begin"/>
    </w:r>
    <w:r>
      <w:instrText xml:space="preserve"> REF DocketList</w:instrText>
    </w:r>
    <w:r>
      <w:fldChar w:fldCharType="separate"/>
    </w:r>
    <w:r w:rsidR="006F63AC">
      <w:t>20250020-GU</w:t>
    </w:r>
    <w:r>
      <w:fldChar w:fldCharType="end"/>
    </w:r>
    <w:r>
      <w:tab/>
      <w:t>Attachment C</w:t>
    </w:r>
  </w:p>
  <w:p w14:paraId="448CD9FF" w14:textId="0CF07E99" w:rsidR="0044189F" w:rsidRDefault="0044189F" w:rsidP="003C0E54">
    <w:pPr>
      <w:pStyle w:val="Header"/>
    </w:pPr>
    <w:r>
      <w:t xml:space="preserve">Date: </w:t>
    </w:r>
    <w:r w:rsidR="00400983">
      <w:fldChar w:fldCharType="begin"/>
    </w:r>
    <w:r w:rsidR="00400983">
      <w:instrText xml:space="preserve"> REF FilingDate </w:instrText>
    </w:r>
    <w:r w:rsidR="00400983">
      <w:fldChar w:fldCharType="separate"/>
    </w:r>
    <w:r w:rsidR="006F63AC">
      <w:t>February 20, 2025</w:t>
    </w:r>
    <w:r w:rsidR="00400983">
      <w:fldChar w:fldCharType="end"/>
    </w:r>
  </w:p>
  <w:p w14:paraId="6A93E3D3" w14:textId="77777777" w:rsidR="0044189F" w:rsidRPr="00A13199" w:rsidRDefault="0044189F" w:rsidP="00A13199">
    <w:pPr>
      <w:pStyle w:val="Header"/>
    </w:pPr>
    <w:r>
      <w:rPr>
        <w:b/>
        <w:noProof/>
      </w:rPr>
      <mc:AlternateContent>
        <mc:Choice Requires="wps">
          <w:drawing>
            <wp:anchor distT="0" distB="0" distL="114300" distR="114300" simplePos="0" relativeHeight="251680256" behindDoc="0" locked="0" layoutInCell="1" allowOverlap="1" wp14:anchorId="03E61E8C" wp14:editId="2E2E814E">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7DE96" id="RightBorder" o:spid="_x0000_s1026" style="position:absolute;z-index:2516802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79232" behindDoc="0" locked="0" layoutInCell="1" allowOverlap="1" wp14:anchorId="492359C3" wp14:editId="6C37722B">
              <wp:simplePos x="0" y="0"/>
              <wp:positionH relativeFrom="margin">
                <wp:posOffset>-91440</wp:posOffset>
              </wp:positionH>
              <wp:positionV relativeFrom="page">
                <wp:posOffset>0</wp:posOffset>
              </wp:positionV>
              <wp:extent cx="0" cy="10058400"/>
              <wp:effectExtent l="13335" t="9525" r="5715" b="9525"/>
              <wp:wrapNone/>
              <wp:docPr id="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4172C" id="LeftBorder2" o:spid="_x0000_s1026" style="position:absolute;z-index:25167923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MvHgIAADk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t2EzLx4CAAA5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39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A2AF1"/>
    <w:rsid w:val="000043D5"/>
    <w:rsid w:val="00006170"/>
    <w:rsid w:val="00010E37"/>
    <w:rsid w:val="000172DA"/>
    <w:rsid w:val="00022337"/>
    <w:rsid w:val="00022D12"/>
    <w:rsid w:val="00023A0E"/>
    <w:rsid w:val="000247C5"/>
    <w:rsid w:val="000277C2"/>
    <w:rsid w:val="00035B48"/>
    <w:rsid w:val="00036CE2"/>
    <w:rsid w:val="00043567"/>
    <w:rsid w:val="000437FE"/>
    <w:rsid w:val="000513BE"/>
    <w:rsid w:val="00051573"/>
    <w:rsid w:val="0005451B"/>
    <w:rsid w:val="00056629"/>
    <w:rsid w:val="0006511C"/>
    <w:rsid w:val="00065A06"/>
    <w:rsid w:val="000666F3"/>
    <w:rsid w:val="00070DCB"/>
    <w:rsid w:val="00072CCA"/>
    <w:rsid w:val="0007308B"/>
    <w:rsid w:val="00073120"/>
    <w:rsid w:val="000764D0"/>
    <w:rsid w:val="000828D3"/>
    <w:rsid w:val="000A2B57"/>
    <w:rsid w:val="000A418B"/>
    <w:rsid w:val="000A4D3C"/>
    <w:rsid w:val="000B0ACE"/>
    <w:rsid w:val="000C096A"/>
    <w:rsid w:val="000C4431"/>
    <w:rsid w:val="000C6035"/>
    <w:rsid w:val="000C6607"/>
    <w:rsid w:val="000D1C06"/>
    <w:rsid w:val="000D2CFE"/>
    <w:rsid w:val="000D3043"/>
    <w:rsid w:val="000D4319"/>
    <w:rsid w:val="000E24FA"/>
    <w:rsid w:val="000E338A"/>
    <w:rsid w:val="000E4392"/>
    <w:rsid w:val="000F374A"/>
    <w:rsid w:val="000F3D40"/>
    <w:rsid w:val="000F4DAF"/>
    <w:rsid w:val="00100831"/>
    <w:rsid w:val="00100C2C"/>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6785D"/>
    <w:rsid w:val="00171A90"/>
    <w:rsid w:val="00180254"/>
    <w:rsid w:val="00191E1F"/>
    <w:rsid w:val="00191EE8"/>
    <w:rsid w:val="00192943"/>
    <w:rsid w:val="00193BAF"/>
    <w:rsid w:val="00194791"/>
    <w:rsid w:val="00195DCD"/>
    <w:rsid w:val="001A551D"/>
    <w:rsid w:val="001A7406"/>
    <w:rsid w:val="001A7AE4"/>
    <w:rsid w:val="001B0C84"/>
    <w:rsid w:val="001B1EDC"/>
    <w:rsid w:val="001B4053"/>
    <w:rsid w:val="001B4FEE"/>
    <w:rsid w:val="001B51C5"/>
    <w:rsid w:val="001B672A"/>
    <w:rsid w:val="001B6F3F"/>
    <w:rsid w:val="001C0C68"/>
    <w:rsid w:val="001C52B5"/>
    <w:rsid w:val="001D0D3E"/>
    <w:rsid w:val="001D2817"/>
    <w:rsid w:val="001D2899"/>
    <w:rsid w:val="001D4FCE"/>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7525F"/>
    <w:rsid w:val="00281EB4"/>
    <w:rsid w:val="00292D82"/>
    <w:rsid w:val="00293EE7"/>
    <w:rsid w:val="002963CB"/>
    <w:rsid w:val="002A529F"/>
    <w:rsid w:val="002B2DAC"/>
    <w:rsid w:val="002B4A01"/>
    <w:rsid w:val="002B55A7"/>
    <w:rsid w:val="002C291B"/>
    <w:rsid w:val="002C746A"/>
    <w:rsid w:val="002C7E4E"/>
    <w:rsid w:val="002D226D"/>
    <w:rsid w:val="002D74E3"/>
    <w:rsid w:val="002F6030"/>
    <w:rsid w:val="003001AC"/>
    <w:rsid w:val="003027FA"/>
    <w:rsid w:val="003037E1"/>
    <w:rsid w:val="00307E51"/>
    <w:rsid w:val="003103EC"/>
    <w:rsid w:val="00312132"/>
    <w:rsid w:val="003130BA"/>
    <w:rsid w:val="003144EF"/>
    <w:rsid w:val="0031480E"/>
    <w:rsid w:val="00316877"/>
    <w:rsid w:val="00322F74"/>
    <w:rsid w:val="00325E15"/>
    <w:rsid w:val="003341B0"/>
    <w:rsid w:val="00340073"/>
    <w:rsid w:val="003411D8"/>
    <w:rsid w:val="003445B0"/>
    <w:rsid w:val="0034681C"/>
    <w:rsid w:val="00353B66"/>
    <w:rsid w:val="00355934"/>
    <w:rsid w:val="00357928"/>
    <w:rsid w:val="003632FD"/>
    <w:rsid w:val="00367699"/>
    <w:rsid w:val="00370F78"/>
    <w:rsid w:val="00372805"/>
    <w:rsid w:val="00373180"/>
    <w:rsid w:val="00375AB9"/>
    <w:rsid w:val="0037691E"/>
    <w:rsid w:val="0038078B"/>
    <w:rsid w:val="003821A0"/>
    <w:rsid w:val="00385B04"/>
    <w:rsid w:val="003864CF"/>
    <w:rsid w:val="00393901"/>
    <w:rsid w:val="003948AE"/>
    <w:rsid w:val="003A08C0"/>
    <w:rsid w:val="003A22A6"/>
    <w:rsid w:val="003A32EB"/>
    <w:rsid w:val="003A5494"/>
    <w:rsid w:val="003B2510"/>
    <w:rsid w:val="003B4355"/>
    <w:rsid w:val="003B4CA3"/>
    <w:rsid w:val="003B4DB0"/>
    <w:rsid w:val="003C0E54"/>
    <w:rsid w:val="003C2A70"/>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14314"/>
    <w:rsid w:val="004242E6"/>
    <w:rsid w:val="00427B35"/>
    <w:rsid w:val="00431598"/>
    <w:rsid w:val="004319AD"/>
    <w:rsid w:val="0044189F"/>
    <w:rsid w:val="004426B8"/>
    <w:rsid w:val="00444432"/>
    <w:rsid w:val="00447D5C"/>
    <w:rsid w:val="00450202"/>
    <w:rsid w:val="004502B2"/>
    <w:rsid w:val="00455499"/>
    <w:rsid w:val="004649A7"/>
    <w:rsid w:val="00471860"/>
    <w:rsid w:val="00475696"/>
    <w:rsid w:val="00477026"/>
    <w:rsid w:val="00477730"/>
    <w:rsid w:val="004A3E78"/>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2B82"/>
    <w:rsid w:val="004E330D"/>
    <w:rsid w:val="004E4985"/>
    <w:rsid w:val="004E5147"/>
    <w:rsid w:val="004E69B5"/>
    <w:rsid w:val="004F415A"/>
    <w:rsid w:val="004F50D1"/>
    <w:rsid w:val="004F5C43"/>
    <w:rsid w:val="005050A2"/>
    <w:rsid w:val="00506030"/>
    <w:rsid w:val="0050652D"/>
    <w:rsid w:val="00506C03"/>
    <w:rsid w:val="0050701E"/>
    <w:rsid w:val="00511A11"/>
    <w:rsid w:val="00512229"/>
    <w:rsid w:val="00516496"/>
    <w:rsid w:val="00522E7D"/>
    <w:rsid w:val="00523B11"/>
    <w:rsid w:val="0052455B"/>
    <w:rsid w:val="0052572A"/>
    <w:rsid w:val="00532DFB"/>
    <w:rsid w:val="00543CB3"/>
    <w:rsid w:val="005442E4"/>
    <w:rsid w:val="00547652"/>
    <w:rsid w:val="00547DDE"/>
    <w:rsid w:val="0055529B"/>
    <w:rsid w:val="00560FF0"/>
    <w:rsid w:val="005614BD"/>
    <w:rsid w:val="0057154F"/>
    <w:rsid w:val="00571829"/>
    <w:rsid w:val="00580F69"/>
    <w:rsid w:val="00581CA3"/>
    <w:rsid w:val="00585031"/>
    <w:rsid w:val="00586E8B"/>
    <w:rsid w:val="00587090"/>
    <w:rsid w:val="00587A44"/>
    <w:rsid w:val="00597730"/>
    <w:rsid w:val="005977EC"/>
    <w:rsid w:val="00597DE7"/>
    <w:rsid w:val="005A1CCA"/>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2388"/>
    <w:rsid w:val="006470BC"/>
    <w:rsid w:val="006554D3"/>
    <w:rsid w:val="006603F4"/>
    <w:rsid w:val="00661708"/>
    <w:rsid w:val="00666522"/>
    <w:rsid w:val="00666E89"/>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A2AF1"/>
    <w:rsid w:val="006B09C4"/>
    <w:rsid w:val="006B3947"/>
    <w:rsid w:val="006B4293"/>
    <w:rsid w:val="006B47CF"/>
    <w:rsid w:val="006B624F"/>
    <w:rsid w:val="006C0C95"/>
    <w:rsid w:val="006C31E3"/>
    <w:rsid w:val="006D18D3"/>
    <w:rsid w:val="006D1EE9"/>
    <w:rsid w:val="006D3BD1"/>
    <w:rsid w:val="006E010E"/>
    <w:rsid w:val="006E08CB"/>
    <w:rsid w:val="006E1AFE"/>
    <w:rsid w:val="006E4FC7"/>
    <w:rsid w:val="006E56E2"/>
    <w:rsid w:val="006E598D"/>
    <w:rsid w:val="006F63AC"/>
    <w:rsid w:val="0070437D"/>
    <w:rsid w:val="00704CF1"/>
    <w:rsid w:val="00705B04"/>
    <w:rsid w:val="0071040E"/>
    <w:rsid w:val="00717EE9"/>
    <w:rsid w:val="00724992"/>
    <w:rsid w:val="00724F64"/>
    <w:rsid w:val="00727F90"/>
    <w:rsid w:val="00734820"/>
    <w:rsid w:val="007349DC"/>
    <w:rsid w:val="0074365E"/>
    <w:rsid w:val="00744B55"/>
    <w:rsid w:val="00746701"/>
    <w:rsid w:val="007515FD"/>
    <w:rsid w:val="00760D80"/>
    <w:rsid w:val="00761CB4"/>
    <w:rsid w:val="00775280"/>
    <w:rsid w:val="00775CA5"/>
    <w:rsid w:val="00780C09"/>
    <w:rsid w:val="00780DDF"/>
    <w:rsid w:val="007834E9"/>
    <w:rsid w:val="00787DBC"/>
    <w:rsid w:val="0079019A"/>
    <w:rsid w:val="00792935"/>
    <w:rsid w:val="007A04A1"/>
    <w:rsid w:val="007A1840"/>
    <w:rsid w:val="007A429E"/>
    <w:rsid w:val="007B730C"/>
    <w:rsid w:val="007C0528"/>
    <w:rsid w:val="007C08EA"/>
    <w:rsid w:val="007C3D38"/>
    <w:rsid w:val="007D0F35"/>
    <w:rsid w:val="007D1783"/>
    <w:rsid w:val="007D4546"/>
    <w:rsid w:val="007D4FEB"/>
    <w:rsid w:val="007D6146"/>
    <w:rsid w:val="007E00F8"/>
    <w:rsid w:val="007E0CE7"/>
    <w:rsid w:val="007F1193"/>
    <w:rsid w:val="007F372C"/>
    <w:rsid w:val="007F417F"/>
    <w:rsid w:val="007F7644"/>
    <w:rsid w:val="008042BD"/>
    <w:rsid w:val="00804E17"/>
    <w:rsid w:val="008050B3"/>
    <w:rsid w:val="00816624"/>
    <w:rsid w:val="00821DE9"/>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94F76"/>
    <w:rsid w:val="00895A40"/>
    <w:rsid w:val="008A6F43"/>
    <w:rsid w:val="008B5C68"/>
    <w:rsid w:val="008B5D72"/>
    <w:rsid w:val="008B62AE"/>
    <w:rsid w:val="008C04B5"/>
    <w:rsid w:val="008C14FA"/>
    <w:rsid w:val="008C7B0B"/>
    <w:rsid w:val="008D2658"/>
    <w:rsid w:val="008D4057"/>
    <w:rsid w:val="008E1F19"/>
    <w:rsid w:val="008E3015"/>
    <w:rsid w:val="008F2262"/>
    <w:rsid w:val="008F4D2B"/>
    <w:rsid w:val="008F5B91"/>
    <w:rsid w:val="008F7736"/>
    <w:rsid w:val="0090019E"/>
    <w:rsid w:val="00900435"/>
    <w:rsid w:val="00901086"/>
    <w:rsid w:val="00901C8A"/>
    <w:rsid w:val="00902F66"/>
    <w:rsid w:val="009045CC"/>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1812"/>
    <w:rsid w:val="0093263E"/>
    <w:rsid w:val="0093658B"/>
    <w:rsid w:val="009428F4"/>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3E52"/>
    <w:rsid w:val="0099673A"/>
    <w:rsid w:val="009A3291"/>
    <w:rsid w:val="009A3330"/>
    <w:rsid w:val="009A548F"/>
    <w:rsid w:val="009A7C96"/>
    <w:rsid w:val="009B44A0"/>
    <w:rsid w:val="009B61BF"/>
    <w:rsid w:val="009C3253"/>
    <w:rsid w:val="009C3DB9"/>
    <w:rsid w:val="009C5968"/>
    <w:rsid w:val="009D0436"/>
    <w:rsid w:val="009D2F30"/>
    <w:rsid w:val="009D46E5"/>
    <w:rsid w:val="009D568A"/>
    <w:rsid w:val="009E5617"/>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68B1"/>
    <w:rsid w:val="00A27D6E"/>
    <w:rsid w:val="00A328EC"/>
    <w:rsid w:val="00A32F54"/>
    <w:rsid w:val="00A33A51"/>
    <w:rsid w:val="00A41CA6"/>
    <w:rsid w:val="00A431ED"/>
    <w:rsid w:val="00A47927"/>
    <w:rsid w:val="00A47FFC"/>
    <w:rsid w:val="00A5442F"/>
    <w:rsid w:val="00A54FF9"/>
    <w:rsid w:val="00A56765"/>
    <w:rsid w:val="00A675AC"/>
    <w:rsid w:val="00A7097D"/>
    <w:rsid w:val="00A7581F"/>
    <w:rsid w:val="00A806C9"/>
    <w:rsid w:val="00A81274"/>
    <w:rsid w:val="00A86ACA"/>
    <w:rsid w:val="00A92439"/>
    <w:rsid w:val="00A92FB1"/>
    <w:rsid w:val="00A95302"/>
    <w:rsid w:val="00A95980"/>
    <w:rsid w:val="00A95A0C"/>
    <w:rsid w:val="00AA2765"/>
    <w:rsid w:val="00AA77B5"/>
    <w:rsid w:val="00AB6C5D"/>
    <w:rsid w:val="00AC0FA4"/>
    <w:rsid w:val="00AC2586"/>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06DD5"/>
    <w:rsid w:val="00B11241"/>
    <w:rsid w:val="00B14E5A"/>
    <w:rsid w:val="00B15370"/>
    <w:rsid w:val="00B16DA4"/>
    <w:rsid w:val="00B1791F"/>
    <w:rsid w:val="00B17BEB"/>
    <w:rsid w:val="00B21A3C"/>
    <w:rsid w:val="00B223C0"/>
    <w:rsid w:val="00B234ED"/>
    <w:rsid w:val="00B249B2"/>
    <w:rsid w:val="00B25CA3"/>
    <w:rsid w:val="00B2765A"/>
    <w:rsid w:val="00B3109A"/>
    <w:rsid w:val="00B32D37"/>
    <w:rsid w:val="00B41AA8"/>
    <w:rsid w:val="00B41B58"/>
    <w:rsid w:val="00B42B45"/>
    <w:rsid w:val="00B516ED"/>
    <w:rsid w:val="00B54C91"/>
    <w:rsid w:val="00B565DA"/>
    <w:rsid w:val="00B57A6A"/>
    <w:rsid w:val="00B57E0E"/>
    <w:rsid w:val="00B57FD4"/>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3ED1"/>
    <w:rsid w:val="00BE6DDB"/>
    <w:rsid w:val="00BF03E0"/>
    <w:rsid w:val="00BF2271"/>
    <w:rsid w:val="00BF3A89"/>
    <w:rsid w:val="00BF5010"/>
    <w:rsid w:val="00C03009"/>
    <w:rsid w:val="00C03D5F"/>
    <w:rsid w:val="00C04D02"/>
    <w:rsid w:val="00C04D90"/>
    <w:rsid w:val="00C072E9"/>
    <w:rsid w:val="00C13791"/>
    <w:rsid w:val="00C210BD"/>
    <w:rsid w:val="00C22BF4"/>
    <w:rsid w:val="00C23F3E"/>
    <w:rsid w:val="00C2575A"/>
    <w:rsid w:val="00C31BB3"/>
    <w:rsid w:val="00C32BB4"/>
    <w:rsid w:val="00C36977"/>
    <w:rsid w:val="00C46628"/>
    <w:rsid w:val="00C467DA"/>
    <w:rsid w:val="00C477D9"/>
    <w:rsid w:val="00C57869"/>
    <w:rsid w:val="00C60BA3"/>
    <w:rsid w:val="00C623F7"/>
    <w:rsid w:val="00C62A81"/>
    <w:rsid w:val="00C65004"/>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A66C2"/>
    <w:rsid w:val="00CA7A63"/>
    <w:rsid w:val="00CB1777"/>
    <w:rsid w:val="00CB33E9"/>
    <w:rsid w:val="00CB69D8"/>
    <w:rsid w:val="00CC10A9"/>
    <w:rsid w:val="00CD0655"/>
    <w:rsid w:val="00CE2BF8"/>
    <w:rsid w:val="00CE484E"/>
    <w:rsid w:val="00CE4D20"/>
    <w:rsid w:val="00CE656F"/>
    <w:rsid w:val="00CF0DA8"/>
    <w:rsid w:val="00CF2E25"/>
    <w:rsid w:val="00CF4453"/>
    <w:rsid w:val="00CF5589"/>
    <w:rsid w:val="00CF5D94"/>
    <w:rsid w:val="00CF7E0F"/>
    <w:rsid w:val="00D00893"/>
    <w:rsid w:val="00D00C33"/>
    <w:rsid w:val="00D034D7"/>
    <w:rsid w:val="00D04BE4"/>
    <w:rsid w:val="00D06361"/>
    <w:rsid w:val="00D06FC7"/>
    <w:rsid w:val="00D12565"/>
    <w:rsid w:val="00D140C1"/>
    <w:rsid w:val="00D14127"/>
    <w:rsid w:val="00D479AE"/>
    <w:rsid w:val="00D50FCD"/>
    <w:rsid w:val="00D51B0F"/>
    <w:rsid w:val="00D533E3"/>
    <w:rsid w:val="00D60B16"/>
    <w:rsid w:val="00D60F02"/>
    <w:rsid w:val="00D66E49"/>
    <w:rsid w:val="00D70D71"/>
    <w:rsid w:val="00D720CA"/>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366C"/>
    <w:rsid w:val="00DC5393"/>
    <w:rsid w:val="00DC59E6"/>
    <w:rsid w:val="00DD150B"/>
    <w:rsid w:val="00DD3356"/>
    <w:rsid w:val="00DD5025"/>
    <w:rsid w:val="00DD5464"/>
    <w:rsid w:val="00DD6F85"/>
    <w:rsid w:val="00DE254E"/>
    <w:rsid w:val="00DE32C0"/>
    <w:rsid w:val="00DE76A7"/>
    <w:rsid w:val="00DF1510"/>
    <w:rsid w:val="00E02F1F"/>
    <w:rsid w:val="00E04DFA"/>
    <w:rsid w:val="00E05454"/>
    <w:rsid w:val="00E06484"/>
    <w:rsid w:val="00E06B24"/>
    <w:rsid w:val="00E14398"/>
    <w:rsid w:val="00E20A7D"/>
    <w:rsid w:val="00E23FE4"/>
    <w:rsid w:val="00E275D8"/>
    <w:rsid w:val="00E30F6A"/>
    <w:rsid w:val="00E3117C"/>
    <w:rsid w:val="00E31288"/>
    <w:rsid w:val="00E34307"/>
    <w:rsid w:val="00E34511"/>
    <w:rsid w:val="00E3635B"/>
    <w:rsid w:val="00E375C3"/>
    <w:rsid w:val="00E375CA"/>
    <w:rsid w:val="00E40E9B"/>
    <w:rsid w:val="00E44585"/>
    <w:rsid w:val="00E5364F"/>
    <w:rsid w:val="00E53CDE"/>
    <w:rsid w:val="00E567E8"/>
    <w:rsid w:val="00E63766"/>
    <w:rsid w:val="00E64679"/>
    <w:rsid w:val="00E65EBC"/>
    <w:rsid w:val="00E6602E"/>
    <w:rsid w:val="00E677FE"/>
    <w:rsid w:val="00E73432"/>
    <w:rsid w:val="00E77B0C"/>
    <w:rsid w:val="00E77FB8"/>
    <w:rsid w:val="00E838B0"/>
    <w:rsid w:val="00E86A7C"/>
    <w:rsid w:val="00E8765E"/>
    <w:rsid w:val="00E878E1"/>
    <w:rsid w:val="00E87F2C"/>
    <w:rsid w:val="00E95278"/>
    <w:rsid w:val="00E96A42"/>
    <w:rsid w:val="00EA2273"/>
    <w:rsid w:val="00EA5FCD"/>
    <w:rsid w:val="00EA7C3C"/>
    <w:rsid w:val="00EB2DB3"/>
    <w:rsid w:val="00EC1407"/>
    <w:rsid w:val="00EC3FBB"/>
    <w:rsid w:val="00EC6B7A"/>
    <w:rsid w:val="00ED3A87"/>
    <w:rsid w:val="00ED50BF"/>
    <w:rsid w:val="00ED5B67"/>
    <w:rsid w:val="00EE1A5C"/>
    <w:rsid w:val="00EE545B"/>
    <w:rsid w:val="00EE5F5A"/>
    <w:rsid w:val="00EF264C"/>
    <w:rsid w:val="00EF3FEE"/>
    <w:rsid w:val="00EF6B41"/>
    <w:rsid w:val="00F04B59"/>
    <w:rsid w:val="00F07B69"/>
    <w:rsid w:val="00F11741"/>
    <w:rsid w:val="00F117B0"/>
    <w:rsid w:val="00F12B1C"/>
    <w:rsid w:val="00F13CF8"/>
    <w:rsid w:val="00F15855"/>
    <w:rsid w:val="00F200B2"/>
    <w:rsid w:val="00F227DC"/>
    <w:rsid w:val="00F253BF"/>
    <w:rsid w:val="00F263B9"/>
    <w:rsid w:val="00F27FDD"/>
    <w:rsid w:val="00F30701"/>
    <w:rsid w:val="00F32978"/>
    <w:rsid w:val="00F33B5E"/>
    <w:rsid w:val="00F45CB2"/>
    <w:rsid w:val="00F511F3"/>
    <w:rsid w:val="00F51DA5"/>
    <w:rsid w:val="00F544C0"/>
    <w:rsid w:val="00F55332"/>
    <w:rsid w:val="00F6156E"/>
    <w:rsid w:val="00F6504A"/>
    <w:rsid w:val="00F65519"/>
    <w:rsid w:val="00F66D9F"/>
    <w:rsid w:val="00F713AB"/>
    <w:rsid w:val="00F713C0"/>
    <w:rsid w:val="00F72502"/>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D7F74"/>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6E678B98"/>
  <w15:docId w15:val="{FD4BE4EC-574C-47A2-A42C-1934CB7B4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22D12"/>
    <w:rPr>
      <w:vertAlign w:val="superscript"/>
    </w:rPr>
  </w:style>
  <w:style w:type="paragraph" w:customStyle="1" w:styleId="Rule">
    <w:name w:val="Rule"/>
    <w:link w:val="RuleChar"/>
    <w:qFormat/>
    <w:rsid w:val="003C0E54"/>
    <w:pPr>
      <w:widowControl w:val="0"/>
      <w:tabs>
        <w:tab w:val="left" w:pos="720"/>
      </w:tabs>
      <w:spacing w:line="536" w:lineRule="exact"/>
    </w:pPr>
    <w:rPr>
      <w:sz w:val="24"/>
      <w:szCs w:val="24"/>
    </w:rPr>
  </w:style>
  <w:style w:type="character" w:customStyle="1" w:styleId="RuleChar">
    <w:name w:val="Rule Char"/>
    <w:link w:val="Rule"/>
    <w:rsid w:val="003C0E54"/>
    <w:rPr>
      <w:sz w:val="24"/>
      <w:szCs w:val="24"/>
    </w:rPr>
  </w:style>
  <w:style w:type="paragraph" w:customStyle="1" w:styleId="RuleHeader">
    <w:name w:val="Rule Header"/>
    <w:basedOn w:val="Rule"/>
    <w:rsid w:val="003C0E54"/>
    <w:pPr>
      <w:jc w:val="right"/>
    </w:pPr>
  </w:style>
  <w:style w:type="character" w:styleId="CommentReference">
    <w:name w:val="annotation reference"/>
    <w:basedOn w:val="DefaultParagraphFont"/>
    <w:semiHidden/>
    <w:unhideWhenUsed/>
    <w:rsid w:val="0036769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37BBC-5555-4E83-9DAC-FE657982D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18</Pages>
  <Words>3977</Words>
  <Characters>22971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Susan Sapoznikoff</dc:creator>
  <cp:lastModifiedBy>Janet Cayson</cp:lastModifiedBy>
  <cp:revision>2</cp:revision>
  <cp:lastPrinted>2025-02-13T13:41:00Z</cp:lastPrinted>
  <dcterms:created xsi:type="dcterms:W3CDTF">2025-02-20T13:10:00Z</dcterms:created>
  <dcterms:modified xsi:type="dcterms:W3CDTF">2025-02-20T13:10:00Z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20250020-GU</vt:lpwstr>
  </property>
  <property fmtid="{D5CDD505-2E9C-101B-9397-08002B2CF9AE}" pid="3" name="MasterDocument">
    <vt:bool>false</vt:bool>
  </property>
</Properties>
</file>