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81B51" w:rsidP="00481B51">
      <w:pPr>
        <w:pStyle w:val="OrderHeading"/>
      </w:pPr>
      <w:r>
        <w:t>BEFORE THE FLORIDA PUBLIC SERVICE COMMISSION</w:t>
      </w:r>
    </w:p>
    <w:p w:rsidR="00481B51" w:rsidRDefault="00481B51" w:rsidP="00481B51">
      <w:pPr>
        <w:pStyle w:val="OrderBody"/>
      </w:pPr>
    </w:p>
    <w:p w:rsidR="00481B51" w:rsidRDefault="00481B51" w:rsidP="00481B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1B51" w:rsidRPr="00C63FCF" w:rsidTr="00C63FCF">
        <w:trPr>
          <w:trHeight w:val="828"/>
        </w:trPr>
        <w:tc>
          <w:tcPr>
            <w:tcW w:w="4788" w:type="dxa"/>
            <w:tcBorders>
              <w:bottom w:val="single" w:sz="8" w:space="0" w:color="auto"/>
              <w:right w:val="double" w:sz="6" w:space="0" w:color="auto"/>
            </w:tcBorders>
            <w:shd w:val="clear" w:color="auto" w:fill="auto"/>
          </w:tcPr>
          <w:p w:rsidR="00481B51" w:rsidRDefault="00481B51" w:rsidP="00C63FCF">
            <w:pPr>
              <w:pStyle w:val="OrderBody"/>
              <w:tabs>
                <w:tab w:val="center" w:pos="4320"/>
                <w:tab w:val="right" w:pos="8640"/>
              </w:tabs>
              <w:jc w:val="left"/>
            </w:pPr>
            <w:r>
              <w:t xml:space="preserve">In re: </w:t>
            </w:r>
            <w:bookmarkStart w:id="0" w:name="SSInRe"/>
            <w:bookmarkEnd w:id="0"/>
            <w:r>
              <w:t>Adoption of new Rule 25-7.150, F.A.C., Natural Gas Facilities Relocation Cost Recovery Clause.</w:t>
            </w:r>
          </w:p>
        </w:tc>
        <w:tc>
          <w:tcPr>
            <w:tcW w:w="4788" w:type="dxa"/>
            <w:tcBorders>
              <w:left w:val="double" w:sz="6" w:space="0" w:color="auto"/>
            </w:tcBorders>
            <w:shd w:val="clear" w:color="auto" w:fill="auto"/>
          </w:tcPr>
          <w:p w:rsidR="00481B51" w:rsidRDefault="00481B51" w:rsidP="00481B51">
            <w:pPr>
              <w:pStyle w:val="OrderBody"/>
            </w:pPr>
            <w:r>
              <w:t xml:space="preserve">DOCKET NO. </w:t>
            </w:r>
            <w:bookmarkStart w:id="1" w:name="SSDocketNo"/>
            <w:bookmarkEnd w:id="1"/>
            <w:r>
              <w:t>20250020-GU</w:t>
            </w:r>
          </w:p>
          <w:p w:rsidR="00481B51" w:rsidRDefault="00481B51" w:rsidP="00C63FCF">
            <w:pPr>
              <w:pStyle w:val="OrderBody"/>
              <w:tabs>
                <w:tab w:val="center" w:pos="4320"/>
                <w:tab w:val="right" w:pos="8640"/>
              </w:tabs>
              <w:jc w:val="left"/>
            </w:pPr>
            <w:r>
              <w:t xml:space="preserve">ORDER NO. </w:t>
            </w:r>
            <w:bookmarkStart w:id="2" w:name="OrderNo0112"/>
            <w:r w:rsidR="00E85A99">
              <w:t>PSC-2025-0112-FOF-GU</w:t>
            </w:r>
            <w:bookmarkEnd w:id="2"/>
          </w:p>
          <w:p w:rsidR="00481B51" w:rsidRDefault="00481B51" w:rsidP="00C63FCF">
            <w:pPr>
              <w:pStyle w:val="OrderBody"/>
              <w:tabs>
                <w:tab w:val="center" w:pos="4320"/>
                <w:tab w:val="right" w:pos="8640"/>
              </w:tabs>
              <w:jc w:val="left"/>
            </w:pPr>
            <w:r>
              <w:t xml:space="preserve">ISSUED: </w:t>
            </w:r>
            <w:r w:rsidR="00E85A99">
              <w:t>April 4, 2025</w:t>
            </w:r>
          </w:p>
        </w:tc>
      </w:tr>
    </w:tbl>
    <w:p w:rsidR="00481B51" w:rsidRDefault="00481B51" w:rsidP="00481B51"/>
    <w:p w:rsidR="00481B51" w:rsidRDefault="00481B51" w:rsidP="00481B51"/>
    <w:p w:rsidR="00481B51" w:rsidRDefault="00481B51" w:rsidP="00B67A43">
      <w:pPr>
        <w:ind w:firstLine="720"/>
        <w:jc w:val="both"/>
      </w:pPr>
      <w:bookmarkStart w:id="3" w:name="Commissioners"/>
      <w:bookmarkEnd w:id="3"/>
      <w:r>
        <w:t>The following Commissioners participated in the disposition of this matter:</w:t>
      </w:r>
    </w:p>
    <w:p w:rsidR="00481B51" w:rsidRDefault="00481B51" w:rsidP="00B67A43"/>
    <w:p w:rsidR="00481B51" w:rsidRDefault="00481B51" w:rsidP="00477699">
      <w:pPr>
        <w:jc w:val="center"/>
      </w:pPr>
      <w:r>
        <w:t>MIKE LA ROSA, Chairman</w:t>
      </w:r>
    </w:p>
    <w:p w:rsidR="00481B51" w:rsidRDefault="00481B51" w:rsidP="00B67A43">
      <w:pPr>
        <w:jc w:val="center"/>
      </w:pPr>
      <w:r>
        <w:t>ART GRAHAM</w:t>
      </w:r>
    </w:p>
    <w:p w:rsidR="00481B51" w:rsidRDefault="00481B51" w:rsidP="00B67A43">
      <w:pPr>
        <w:jc w:val="center"/>
      </w:pPr>
      <w:r>
        <w:t>GARY F. CLARK</w:t>
      </w:r>
    </w:p>
    <w:p w:rsidR="00481B51" w:rsidRDefault="00481B51" w:rsidP="00B67A43">
      <w:pPr>
        <w:jc w:val="center"/>
      </w:pPr>
      <w:r>
        <w:t>ANDREW GILES FAY</w:t>
      </w:r>
    </w:p>
    <w:p w:rsidR="00481B51" w:rsidRPr="005F2751" w:rsidRDefault="00481B51" w:rsidP="00B67A43">
      <w:pPr>
        <w:jc w:val="center"/>
      </w:pPr>
      <w:r w:rsidRPr="005F2751">
        <w:rPr>
          <w:lang w:val="en"/>
        </w:rPr>
        <w:t>GABRIELLA PASSIDOMO</w:t>
      </w:r>
      <w:r>
        <w:rPr>
          <w:lang w:val="en"/>
        </w:rPr>
        <w:t xml:space="preserve"> SMITH</w:t>
      </w:r>
    </w:p>
    <w:p w:rsidR="00481B51" w:rsidRDefault="00481B51" w:rsidP="00B67A43"/>
    <w:p w:rsidR="00CB5276" w:rsidRDefault="00CB5276">
      <w:pPr>
        <w:pStyle w:val="OrderBody"/>
      </w:pPr>
    </w:p>
    <w:p w:rsidR="00481B51" w:rsidRDefault="00481B51" w:rsidP="00481B51">
      <w:pPr>
        <w:pStyle w:val="CenterUnderline"/>
      </w:pPr>
      <w:bookmarkStart w:id="4" w:name="OrderTitle"/>
      <w:r>
        <w:t xml:space="preserve">NOTICE OF ADOPTION OF RULE </w:t>
      </w:r>
      <w:bookmarkEnd w:id="4"/>
    </w:p>
    <w:p w:rsidR="00481B51" w:rsidRDefault="00481B51" w:rsidP="00481B51">
      <w:pPr>
        <w:pStyle w:val="CenterUnderline"/>
      </w:pPr>
    </w:p>
    <w:p w:rsidR="00481B51" w:rsidRDefault="00481B51" w:rsidP="00481B51">
      <w:pPr>
        <w:pStyle w:val="OrderBody"/>
      </w:pPr>
      <w:r>
        <w:t>BY THE COMMISSION:</w:t>
      </w:r>
    </w:p>
    <w:p w:rsidR="00481B51" w:rsidRDefault="00481B51" w:rsidP="00481B51">
      <w:pPr>
        <w:pStyle w:val="OrderBody"/>
      </w:pPr>
    </w:p>
    <w:p w:rsidR="00481B51" w:rsidRDefault="00481B51" w:rsidP="00481B51">
      <w:pPr>
        <w:jc w:val="both"/>
        <w:rPr>
          <w:color w:val="000000"/>
        </w:rPr>
      </w:pPr>
      <w:bookmarkStart w:id="5" w:name="OrderText"/>
      <w:bookmarkEnd w:id="5"/>
      <w:r>
        <w:rPr>
          <w:color w:val="000000"/>
        </w:rPr>
        <w:tab/>
        <w:t xml:space="preserve">NOTICE is hereby given that the Florida Public Service Commission, pursuant to Section 120.54, Florida Statutes, has adopted </w:t>
      </w:r>
      <w:r w:rsidRPr="00BB03D1">
        <w:t xml:space="preserve">without changes </w:t>
      </w:r>
      <w:r>
        <w:rPr>
          <w:color w:val="000000"/>
        </w:rPr>
        <w:t>Rule 25-7.150, Florida Administrative Code.</w:t>
      </w:r>
    </w:p>
    <w:p w:rsidR="00481B51" w:rsidRDefault="00481B51" w:rsidP="00481B51">
      <w:pPr>
        <w:jc w:val="both"/>
        <w:rPr>
          <w:color w:val="000000"/>
        </w:rPr>
      </w:pPr>
    </w:p>
    <w:p w:rsidR="00481B51" w:rsidRDefault="00481B51" w:rsidP="00481B51">
      <w:pPr>
        <w:jc w:val="both"/>
        <w:rPr>
          <w:color w:val="000000"/>
        </w:rPr>
      </w:pPr>
      <w:r>
        <w:rPr>
          <w:color w:val="000000"/>
        </w:rPr>
        <w:tab/>
        <w:t xml:space="preserve">The rule was filed with the Department of State on </w:t>
      </w:r>
      <w:r w:rsidR="00BB03D1">
        <w:rPr>
          <w:color w:val="000000"/>
        </w:rPr>
        <w:t xml:space="preserve">April 4, 2025, </w:t>
      </w:r>
      <w:r>
        <w:rPr>
          <w:color w:val="000000"/>
        </w:rPr>
        <w:t xml:space="preserve">and will be effective on </w:t>
      </w:r>
      <w:r w:rsidR="00BB03D1">
        <w:rPr>
          <w:color w:val="000000"/>
        </w:rPr>
        <w:t>April 24, 2025</w:t>
      </w:r>
      <w:r>
        <w:rPr>
          <w:color w:val="000000"/>
        </w:rPr>
        <w:t>.   A copy of the rule as filed with the Department is attached to this Notice.</w:t>
      </w:r>
    </w:p>
    <w:p w:rsidR="00481B51" w:rsidRDefault="00481B51" w:rsidP="00481B51">
      <w:pPr>
        <w:jc w:val="both"/>
        <w:rPr>
          <w:color w:val="000000"/>
        </w:rPr>
      </w:pPr>
    </w:p>
    <w:p w:rsidR="00CB5276" w:rsidRDefault="00481B51" w:rsidP="00481B51">
      <w:pPr>
        <w:pStyle w:val="OrderBody"/>
        <w:rPr>
          <w:color w:val="000000"/>
        </w:rPr>
      </w:pPr>
      <w:r>
        <w:rPr>
          <w:color w:val="000000"/>
        </w:rPr>
        <w:tab/>
        <w:t>This docket is closed upon issuance of this Notice.</w:t>
      </w:r>
    </w:p>
    <w:p w:rsidR="00481B51" w:rsidRDefault="00481B51" w:rsidP="00481B51">
      <w:pPr>
        <w:pStyle w:val="OrderBody"/>
      </w:pPr>
    </w:p>
    <w:p w:rsidR="00481B51" w:rsidRDefault="00481B51" w:rsidP="00481B51">
      <w:pPr>
        <w:pStyle w:val="OrderBody"/>
        <w:keepNext/>
        <w:keepLines/>
      </w:pPr>
      <w:r>
        <w:lastRenderedPageBreak/>
        <w:tab/>
        <w:t xml:space="preserve">By ORDER of the Florida Public Service Commission this </w:t>
      </w:r>
      <w:bookmarkStart w:id="6" w:name="replaceDate"/>
      <w:bookmarkEnd w:id="6"/>
      <w:r w:rsidR="00E85A99">
        <w:rPr>
          <w:u w:val="single"/>
        </w:rPr>
        <w:t>4th</w:t>
      </w:r>
      <w:r w:rsidR="00E85A99">
        <w:t xml:space="preserve"> day of </w:t>
      </w:r>
      <w:r w:rsidR="00E85A99">
        <w:rPr>
          <w:u w:val="single"/>
        </w:rPr>
        <w:t>April</w:t>
      </w:r>
      <w:r w:rsidR="00E85A99">
        <w:t xml:space="preserve">, </w:t>
      </w:r>
      <w:r w:rsidR="00E85A99">
        <w:rPr>
          <w:u w:val="single"/>
        </w:rPr>
        <w:t>2025</w:t>
      </w:r>
      <w:r w:rsidR="00E85A99">
        <w:t>.</w:t>
      </w:r>
    </w:p>
    <w:p w:rsidR="00E85A99" w:rsidRPr="00E85A99" w:rsidRDefault="00E85A99" w:rsidP="00481B51">
      <w:pPr>
        <w:pStyle w:val="OrderBody"/>
        <w:keepNext/>
        <w:keepLines/>
      </w:pPr>
    </w:p>
    <w:p w:rsidR="00481B51" w:rsidRDefault="00481B51" w:rsidP="00481B51">
      <w:pPr>
        <w:pStyle w:val="OrderBody"/>
        <w:keepNext/>
        <w:keepLines/>
      </w:pPr>
    </w:p>
    <w:p w:rsidR="00481B51" w:rsidRDefault="00481B51" w:rsidP="00481B5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81B51" w:rsidTr="00481B51">
        <w:tc>
          <w:tcPr>
            <w:tcW w:w="720" w:type="dxa"/>
            <w:shd w:val="clear" w:color="auto" w:fill="auto"/>
          </w:tcPr>
          <w:p w:rsidR="00481B51" w:rsidRDefault="00481B51" w:rsidP="00481B51">
            <w:pPr>
              <w:pStyle w:val="OrderBody"/>
              <w:keepNext/>
              <w:keepLines/>
            </w:pPr>
            <w:bookmarkStart w:id="7" w:name="bkmrkSignature" w:colFirst="0" w:colLast="0"/>
          </w:p>
        </w:tc>
        <w:tc>
          <w:tcPr>
            <w:tcW w:w="4320" w:type="dxa"/>
            <w:tcBorders>
              <w:bottom w:val="single" w:sz="4" w:space="0" w:color="auto"/>
            </w:tcBorders>
            <w:shd w:val="clear" w:color="auto" w:fill="auto"/>
          </w:tcPr>
          <w:p w:rsidR="00481B51" w:rsidRDefault="00E85A99" w:rsidP="00481B51">
            <w:pPr>
              <w:pStyle w:val="OrderBody"/>
              <w:keepNext/>
              <w:keepLines/>
            </w:pPr>
            <w:r>
              <w:t>/s/ Adam J. Teitzman</w:t>
            </w:r>
            <w:bookmarkStart w:id="8" w:name="_GoBack"/>
            <w:bookmarkEnd w:id="8"/>
          </w:p>
        </w:tc>
      </w:tr>
      <w:bookmarkEnd w:id="7"/>
      <w:tr w:rsidR="00481B51" w:rsidTr="00481B51">
        <w:tc>
          <w:tcPr>
            <w:tcW w:w="720" w:type="dxa"/>
            <w:shd w:val="clear" w:color="auto" w:fill="auto"/>
          </w:tcPr>
          <w:p w:rsidR="00481B51" w:rsidRDefault="00481B51" w:rsidP="00481B51">
            <w:pPr>
              <w:pStyle w:val="OrderBody"/>
              <w:keepNext/>
              <w:keepLines/>
            </w:pPr>
          </w:p>
        </w:tc>
        <w:tc>
          <w:tcPr>
            <w:tcW w:w="4320" w:type="dxa"/>
            <w:tcBorders>
              <w:top w:val="single" w:sz="4" w:space="0" w:color="auto"/>
            </w:tcBorders>
            <w:shd w:val="clear" w:color="auto" w:fill="auto"/>
          </w:tcPr>
          <w:p w:rsidR="00481B51" w:rsidRDefault="00481B51" w:rsidP="00481B51">
            <w:pPr>
              <w:pStyle w:val="OrderBody"/>
              <w:keepNext/>
              <w:keepLines/>
            </w:pPr>
            <w:r>
              <w:t>ADAM J. TEITZMAN</w:t>
            </w:r>
          </w:p>
          <w:p w:rsidR="00481B51" w:rsidRDefault="00481B51" w:rsidP="00481B51">
            <w:pPr>
              <w:pStyle w:val="OrderBody"/>
              <w:keepNext/>
              <w:keepLines/>
            </w:pPr>
            <w:r>
              <w:t>Commission Clerk</w:t>
            </w:r>
          </w:p>
        </w:tc>
      </w:tr>
    </w:tbl>
    <w:p w:rsidR="00481B51" w:rsidRDefault="00481B51" w:rsidP="00481B51">
      <w:pPr>
        <w:pStyle w:val="OrderSigInfo"/>
        <w:keepNext/>
        <w:keepLines/>
      </w:pPr>
      <w:r>
        <w:t>Florida Public Service Commission</w:t>
      </w:r>
    </w:p>
    <w:p w:rsidR="00481B51" w:rsidRDefault="00481B51" w:rsidP="00481B51">
      <w:pPr>
        <w:pStyle w:val="OrderSigInfo"/>
        <w:keepNext/>
        <w:keepLines/>
      </w:pPr>
      <w:r>
        <w:t>2540 Shumard Oak Boulevard</w:t>
      </w:r>
    </w:p>
    <w:p w:rsidR="00481B51" w:rsidRDefault="00481B51" w:rsidP="00481B51">
      <w:pPr>
        <w:pStyle w:val="OrderSigInfo"/>
        <w:keepNext/>
        <w:keepLines/>
      </w:pPr>
      <w:r>
        <w:t>Tallahassee, Florida 32399</w:t>
      </w:r>
    </w:p>
    <w:p w:rsidR="00481B51" w:rsidRDefault="00481B51" w:rsidP="00481B51">
      <w:pPr>
        <w:pStyle w:val="OrderSigInfo"/>
        <w:keepNext/>
        <w:keepLines/>
      </w:pPr>
      <w:r>
        <w:t>(850) 413</w:t>
      </w:r>
      <w:r>
        <w:noBreakHyphen/>
        <w:t>6770</w:t>
      </w:r>
    </w:p>
    <w:p w:rsidR="00481B51" w:rsidRDefault="00481B51" w:rsidP="00481B51">
      <w:pPr>
        <w:pStyle w:val="OrderSigInfo"/>
        <w:keepNext/>
        <w:keepLines/>
      </w:pPr>
      <w:r>
        <w:t>www.floridapsc.com</w:t>
      </w:r>
    </w:p>
    <w:p w:rsidR="00481B51" w:rsidRDefault="00481B51" w:rsidP="00481B51">
      <w:pPr>
        <w:pStyle w:val="OrderSigInfo"/>
        <w:keepNext/>
        <w:keepLines/>
      </w:pPr>
    </w:p>
    <w:p w:rsidR="00481B51" w:rsidRDefault="00481B51" w:rsidP="00481B51">
      <w:pPr>
        <w:pStyle w:val="OrderSigInfo"/>
        <w:keepNext/>
        <w:keepLines/>
      </w:pPr>
      <w:r>
        <w:t>Copies furnished:  A copy of this document is provided to the parties of record at the time of issuance and, if applicable, interested persons.</w:t>
      </w:r>
    </w:p>
    <w:p w:rsidR="00481B51" w:rsidRDefault="00481B51" w:rsidP="00481B51">
      <w:pPr>
        <w:pStyle w:val="OrderBody"/>
        <w:keepNext/>
        <w:keepLines/>
      </w:pPr>
    </w:p>
    <w:p w:rsidR="00481B51" w:rsidRDefault="00481B51" w:rsidP="00481B51">
      <w:pPr>
        <w:pStyle w:val="OrderBody"/>
        <w:keepNext/>
        <w:keepLines/>
      </w:pPr>
    </w:p>
    <w:p w:rsidR="00481B51" w:rsidRDefault="00481B51" w:rsidP="00481B51">
      <w:pPr>
        <w:pStyle w:val="OrderBody"/>
        <w:keepNext/>
        <w:keepLines/>
      </w:pPr>
      <w:r>
        <w:t>SS</w:t>
      </w:r>
    </w:p>
    <w:p w:rsidR="007A5A00" w:rsidRDefault="007A5A00">
      <w:r>
        <w:br w:type="page"/>
      </w:r>
    </w:p>
    <w:p w:rsidR="00FF0A27" w:rsidRPr="002B6090" w:rsidRDefault="00FF0A27" w:rsidP="00FF0A27">
      <w:pPr>
        <w:pStyle w:val="Rule"/>
        <w:tabs>
          <w:tab w:val="clear" w:pos="720"/>
          <w:tab w:val="left" w:pos="360"/>
        </w:tabs>
        <w:rPr>
          <w:b/>
          <w:sz w:val="20"/>
          <w:szCs w:val="20"/>
          <w:u w:val="single"/>
        </w:rPr>
      </w:pPr>
      <w:r w:rsidRPr="002B6090">
        <w:rPr>
          <w:b/>
          <w:sz w:val="20"/>
          <w:szCs w:val="20"/>
          <w:u w:val="single"/>
        </w:rPr>
        <w:lastRenderedPageBreak/>
        <w:t>25-7.150 Natural Gas Facilities Relocation Cost Recovery Clause.</w:t>
      </w:r>
    </w:p>
    <w:p w:rsidR="00FF0A27" w:rsidRPr="002B6090" w:rsidRDefault="00FF0A27" w:rsidP="00FF0A27">
      <w:pPr>
        <w:pStyle w:val="Rule"/>
        <w:tabs>
          <w:tab w:val="clear" w:pos="720"/>
          <w:tab w:val="left" w:pos="360"/>
        </w:tabs>
        <w:ind w:firstLine="360"/>
        <w:rPr>
          <w:sz w:val="20"/>
          <w:szCs w:val="20"/>
          <w:u w:val="single"/>
        </w:rPr>
      </w:pPr>
      <w:r w:rsidRPr="002B6090">
        <w:rPr>
          <w:sz w:val="20"/>
          <w:szCs w:val="20"/>
          <w:u w:val="single"/>
        </w:rPr>
        <w:t>(1) A utility may file a petition for recovery of natural gas facilities relocation costs through the annual natural gas facilities relocation cost recovery clause (NGFRCRC). The petition seeking such cost recovery must be supported by testimony that provides details of the facilities relocation activities and associated costs.</w:t>
      </w:r>
    </w:p>
    <w:p w:rsidR="00FF0A27" w:rsidRPr="002B6090" w:rsidRDefault="00FF0A27" w:rsidP="00FF0A27">
      <w:pPr>
        <w:pStyle w:val="Rule"/>
        <w:tabs>
          <w:tab w:val="clear" w:pos="720"/>
          <w:tab w:val="left" w:pos="360"/>
        </w:tabs>
        <w:ind w:firstLine="360"/>
        <w:rPr>
          <w:sz w:val="20"/>
          <w:szCs w:val="20"/>
          <w:u w:val="single"/>
        </w:rPr>
      </w:pPr>
      <w:r w:rsidRPr="002B6090">
        <w:rPr>
          <w:sz w:val="20"/>
          <w:szCs w:val="20"/>
          <w:u w:val="single"/>
        </w:rPr>
        <w:t>(2) As part of the NGFRCRC or by a separate filing, a utility must seek a determination that “natural gas facilities relocation costs” are eligible for recovery through the NGFRCRC by providing the following information:</w:t>
      </w:r>
    </w:p>
    <w:p w:rsidR="00FF0A27" w:rsidRPr="002B6090" w:rsidRDefault="00FF0A27" w:rsidP="00FF0A27">
      <w:pPr>
        <w:widowControl w:val="0"/>
        <w:tabs>
          <w:tab w:val="left" w:pos="450"/>
        </w:tabs>
        <w:spacing w:line="536" w:lineRule="exact"/>
        <w:ind w:firstLine="360"/>
        <w:rPr>
          <w:sz w:val="20"/>
          <w:szCs w:val="20"/>
          <w:u w:val="single"/>
        </w:rPr>
      </w:pPr>
      <w:r w:rsidRPr="002B6090">
        <w:rPr>
          <w:sz w:val="20"/>
          <w:szCs w:val="20"/>
          <w:u w:val="single"/>
        </w:rPr>
        <w:t>(a) The notification by the authority requiring the facilities relocation per section 366.99(1), Florida Statutes,</w:t>
      </w:r>
    </w:p>
    <w:p w:rsidR="00FF0A27" w:rsidRPr="002B6090" w:rsidRDefault="00FF0A27" w:rsidP="00FF0A27">
      <w:pPr>
        <w:widowControl w:val="0"/>
        <w:tabs>
          <w:tab w:val="left" w:pos="360"/>
        </w:tabs>
        <w:spacing w:line="536" w:lineRule="exact"/>
        <w:ind w:firstLine="360"/>
        <w:rPr>
          <w:sz w:val="20"/>
          <w:szCs w:val="20"/>
          <w:u w:val="single"/>
        </w:rPr>
      </w:pPr>
      <w:r w:rsidRPr="002B6090">
        <w:rPr>
          <w:sz w:val="20"/>
          <w:szCs w:val="20"/>
          <w:u w:val="single"/>
        </w:rPr>
        <w:t>(b) A description of the scope of the facilities relocation to be undertaken per the requirements imposed by the authority, and</w:t>
      </w:r>
    </w:p>
    <w:p w:rsidR="00FF0A27" w:rsidRPr="002B6090" w:rsidRDefault="00FF0A27" w:rsidP="00FF0A27">
      <w:pPr>
        <w:pStyle w:val="Rule"/>
        <w:tabs>
          <w:tab w:val="clear" w:pos="720"/>
          <w:tab w:val="left" w:pos="360"/>
        </w:tabs>
        <w:rPr>
          <w:sz w:val="20"/>
          <w:szCs w:val="20"/>
          <w:u w:val="single"/>
        </w:rPr>
      </w:pPr>
      <w:r w:rsidRPr="002B6090">
        <w:rPr>
          <w:sz w:val="20"/>
          <w:szCs w:val="20"/>
        </w:rPr>
        <w:tab/>
      </w:r>
      <w:r w:rsidRPr="002B6090">
        <w:rPr>
          <w:sz w:val="20"/>
          <w:szCs w:val="20"/>
          <w:u w:val="single"/>
        </w:rPr>
        <w:t>(c) An estimate of the costs associated with the relocation of the natural gas facilities.</w:t>
      </w:r>
    </w:p>
    <w:p w:rsidR="00FF0A27" w:rsidRPr="002B6090" w:rsidRDefault="00FF0A27" w:rsidP="00FF0A27">
      <w:pPr>
        <w:pStyle w:val="Rule"/>
        <w:tabs>
          <w:tab w:val="clear" w:pos="720"/>
          <w:tab w:val="left" w:pos="360"/>
        </w:tabs>
        <w:rPr>
          <w:sz w:val="20"/>
          <w:szCs w:val="20"/>
          <w:u w:val="single"/>
        </w:rPr>
      </w:pPr>
      <w:r w:rsidRPr="002B6090">
        <w:rPr>
          <w:sz w:val="20"/>
          <w:szCs w:val="20"/>
        </w:rPr>
        <w:tab/>
      </w:r>
      <w:r w:rsidRPr="002B6090">
        <w:rPr>
          <w:sz w:val="20"/>
          <w:szCs w:val="20"/>
          <w:u w:val="single"/>
        </w:rPr>
        <w:t>(3) Each year, pursuant to the order establishing procedure in the annual NGFRCRC, a utility must submit the following:</w:t>
      </w:r>
    </w:p>
    <w:p w:rsidR="00FF0A27" w:rsidRPr="002B6090" w:rsidRDefault="00FF0A27" w:rsidP="00FF0A27">
      <w:pPr>
        <w:pStyle w:val="Rule"/>
        <w:tabs>
          <w:tab w:val="clear" w:pos="720"/>
          <w:tab w:val="left" w:pos="360"/>
        </w:tabs>
        <w:rPr>
          <w:sz w:val="20"/>
          <w:szCs w:val="20"/>
          <w:u w:val="single"/>
        </w:rPr>
      </w:pPr>
      <w:r w:rsidRPr="002B6090">
        <w:rPr>
          <w:sz w:val="20"/>
          <w:szCs w:val="20"/>
        </w:rPr>
        <w:tab/>
      </w:r>
      <w:r w:rsidRPr="002B6090">
        <w:rPr>
          <w:sz w:val="20"/>
          <w:szCs w:val="20"/>
          <w:u w:val="single"/>
        </w:rPr>
        <w:t>(a) Final True-Up for Previous Year. The final true-up of natural gas facilities relocation cost recovery for a prior year must include revenue requirements based on a comparison of actual costs for the prior year and previously filed projected costs and revenue requirements for such prior year for each project determined to be eligible by the Commission. The final true-up must also include identification of each of the utility’s eligible facilities relocation projects for which costs were incurred during the prior year, including a description of the work actually performed during such prior year.</w:t>
      </w:r>
    </w:p>
    <w:p w:rsidR="00FF0A27" w:rsidRPr="002B6090" w:rsidRDefault="00FF0A27" w:rsidP="00FF0A27">
      <w:pPr>
        <w:pStyle w:val="Rule"/>
        <w:tabs>
          <w:tab w:val="clear" w:pos="720"/>
          <w:tab w:val="left" w:pos="360"/>
        </w:tabs>
        <w:rPr>
          <w:strike/>
          <w:sz w:val="20"/>
          <w:szCs w:val="20"/>
          <w:u w:val="single"/>
        </w:rPr>
      </w:pPr>
      <w:r w:rsidRPr="002B6090">
        <w:rPr>
          <w:sz w:val="20"/>
          <w:szCs w:val="20"/>
        </w:rPr>
        <w:tab/>
      </w:r>
      <w:r w:rsidRPr="002B6090">
        <w:rPr>
          <w:sz w:val="20"/>
          <w:szCs w:val="20"/>
          <w:u w:val="single"/>
        </w:rPr>
        <w:t xml:space="preserve">(b) Estimated True-Up for Current Year. The actual/estimated true-up of natural gas facilities relocation cost recovery must include revenue requirements based on a comparison of current year actual/estimated costs and the previously-filed projected costs and revenue requirements for such current year for each eligible project. The actual/estimated true-up must also include identification of each of the utility’s eligible facilities relocation projects for which costs have been and will be incurred during the current year, including a description of the work projected </w:t>
      </w:r>
      <w:r w:rsidRPr="002B6090">
        <w:rPr>
          <w:sz w:val="20"/>
          <w:szCs w:val="20"/>
          <w:u w:val="single"/>
        </w:rPr>
        <w:lastRenderedPageBreak/>
        <w:t>to be performed during such current year.</w:t>
      </w:r>
    </w:p>
    <w:p w:rsidR="00FF0A27" w:rsidRPr="002B6090" w:rsidRDefault="00FF0A27" w:rsidP="00FF0A27">
      <w:pPr>
        <w:pStyle w:val="Rule"/>
        <w:tabs>
          <w:tab w:val="clear" w:pos="720"/>
          <w:tab w:val="left" w:pos="360"/>
        </w:tabs>
        <w:ind w:firstLine="360"/>
        <w:rPr>
          <w:strike/>
          <w:sz w:val="20"/>
          <w:szCs w:val="20"/>
          <w:u w:val="single"/>
        </w:rPr>
      </w:pPr>
      <w:r w:rsidRPr="002B6090">
        <w:rPr>
          <w:sz w:val="20"/>
          <w:szCs w:val="20"/>
          <w:u w:val="single"/>
        </w:rPr>
        <w:t>(c) Projected Costs for Subsequent Year. The projected natural gas facilities relocation cost recovery must include costs and revenue requirements for the subsequent year for each eligible project. The projection filing must also include identification of each of the utility’s eligible facilities relocation projects for which costs will be incurred during the subsequent year, including a description of the work projected to be performed during such year.</w:t>
      </w:r>
    </w:p>
    <w:p w:rsidR="00FF0A27" w:rsidRPr="002B6090" w:rsidRDefault="00FF0A27" w:rsidP="00FF0A27">
      <w:pPr>
        <w:pStyle w:val="Rule"/>
        <w:tabs>
          <w:tab w:val="clear" w:pos="720"/>
          <w:tab w:val="left" w:pos="360"/>
        </w:tabs>
        <w:rPr>
          <w:sz w:val="20"/>
          <w:szCs w:val="20"/>
          <w:u w:val="single"/>
        </w:rPr>
      </w:pPr>
      <w:r w:rsidRPr="002B6090">
        <w:rPr>
          <w:sz w:val="20"/>
          <w:szCs w:val="20"/>
        </w:rPr>
        <w:tab/>
      </w:r>
      <w:r w:rsidRPr="002B6090">
        <w:rPr>
          <w:sz w:val="20"/>
          <w:szCs w:val="20"/>
          <w:u w:val="single"/>
        </w:rPr>
        <w:t>(d) True-Up of Variances. The utility must report observed true-up variances, including sales forecasting variances, changes in the utility’s prices of services and/or equipment, and changes in the scope of work relative to the estimates provided pursuant to paragraphs (2)(b) and (2)(c). The utility must also provide explanations for variances regarding the facilities relocation.</w:t>
      </w:r>
    </w:p>
    <w:p w:rsidR="00FF0A27" w:rsidRPr="002B6090" w:rsidRDefault="00FF0A27" w:rsidP="00FF0A27">
      <w:pPr>
        <w:pStyle w:val="Rule"/>
        <w:tabs>
          <w:tab w:val="clear" w:pos="720"/>
          <w:tab w:val="left" w:pos="360"/>
        </w:tabs>
        <w:rPr>
          <w:sz w:val="20"/>
          <w:szCs w:val="20"/>
          <w:u w:val="single"/>
        </w:rPr>
      </w:pPr>
      <w:r w:rsidRPr="002B6090">
        <w:rPr>
          <w:sz w:val="20"/>
          <w:szCs w:val="20"/>
        </w:rPr>
        <w:tab/>
      </w:r>
      <w:r w:rsidRPr="002B6090">
        <w:rPr>
          <w:sz w:val="20"/>
          <w:szCs w:val="20"/>
          <w:u w:val="single"/>
        </w:rPr>
        <w:t>(e) Proposed Natural Gas Facilities Relocation Cost Recovery Factors. The utility must provide the calculations of its proposed factors and effective 12-month billing period.</w:t>
      </w:r>
    </w:p>
    <w:p w:rsidR="00FF0A27" w:rsidRPr="002B6090" w:rsidRDefault="00FF0A27" w:rsidP="00FF0A27">
      <w:pPr>
        <w:pStyle w:val="Rule"/>
        <w:tabs>
          <w:tab w:val="clear" w:pos="720"/>
          <w:tab w:val="left" w:pos="360"/>
        </w:tabs>
        <w:rPr>
          <w:sz w:val="20"/>
          <w:szCs w:val="20"/>
          <w:u w:val="single"/>
        </w:rPr>
      </w:pPr>
      <w:r w:rsidRPr="002B6090">
        <w:rPr>
          <w:sz w:val="20"/>
          <w:szCs w:val="20"/>
        </w:rPr>
        <w:tab/>
      </w:r>
      <w:r w:rsidRPr="002B6090">
        <w:rPr>
          <w:sz w:val="20"/>
          <w:szCs w:val="20"/>
          <w:u w:val="single"/>
        </w:rPr>
        <w:t>(4) Natural gas facilities relocation cost recovery clause true-up amounts will be afforded deferred accounting treatment at the 30-day commercial paper rate.</w:t>
      </w:r>
    </w:p>
    <w:p w:rsidR="00FF0A27" w:rsidRPr="002B6090" w:rsidRDefault="00FF0A27" w:rsidP="00FF0A27">
      <w:pPr>
        <w:pStyle w:val="Rule"/>
        <w:tabs>
          <w:tab w:val="clear" w:pos="720"/>
          <w:tab w:val="left" w:pos="360"/>
        </w:tabs>
        <w:rPr>
          <w:sz w:val="20"/>
          <w:szCs w:val="20"/>
          <w:u w:val="single"/>
        </w:rPr>
      </w:pPr>
      <w:r w:rsidRPr="002B6090">
        <w:rPr>
          <w:sz w:val="20"/>
          <w:szCs w:val="20"/>
        </w:rPr>
        <w:tab/>
      </w:r>
      <w:r w:rsidRPr="002B6090">
        <w:rPr>
          <w:sz w:val="20"/>
          <w:szCs w:val="20"/>
          <w:u w:val="single"/>
        </w:rPr>
        <w:t>(5) Subaccounts. To ensure separation of costs subject to recovery through the clause, the utility filing for cost recovery must maintain subaccounts for all items consistent with the Uniform System of Accounts prescribed by this Commission pursuant to Rule 25-7.014, F.A.C.</w:t>
      </w:r>
    </w:p>
    <w:p w:rsidR="00FF0A27" w:rsidRPr="002B6090" w:rsidRDefault="00FF0A27" w:rsidP="00FF0A27">
      <w:pPr>
        <w:pStyle w:val="Rule"/>
        <w:tabs>
          <w:tab w:val="clear" w:pos="720"/>
          <w:tab w:val="left" w:pos="360"/>
        </w:tabs>
        <w:ind w:firstLine="360"/>
        <w:rPr>
          <w:sz w:val="20"/>
          <w:szCs w:val="20"/>
          <w:u w:val="single"/>
        </w:rPr>
      </w:pPr>
      <w:r w:rsidRPr="002B6090">
        <w:rPr>
          <w:sz w:val="20"/>
          <w:szCs w:val="20"/>
          <w:u w:val="single"/>
        </w:rPr>
        <w:t>(6) Recovery of costs under this rule does not preclude a utility from proposing inclusion of unrecovered natural gas facilities relocation costs in base rates in a subsequent rate proceeding. Recovery of costs under this rule does not preclude inclusion of such costs in base rates in a subsequent rate proceeding, provided that such costs are removed from the NGFRCRC.</w:t>
      </w:r>
    </w:p>
    <w:p w:rsidR="00FF0A27" w:rsidRPr="002B6090" w:rsidRDefault="00FF0A27" w:rsidP="00FF0A27">
      <w:pPr>
        <w:rPr>
          <w:sz w:val="20"/>
          <w:szCs w:val="20"/>
        </w:rPr>
      </w:pPr>
      <w:r w:rsidRPr="002B6090">
        <w:rPr>
          <w:i/>
          <w:sz w:val="20"/>
          <w:szCs w:val="20"/>
          <w:u w:val="single"/>
        </w:rPr>
        <w:t>Rulemaking Authority 366.99, FS. Law Implemented 366.99, FS. History–New _____</w:t>
      </w:r>
      <w:r w:rsidRPr="002B6090">
        <w:rPr>
          <w:sz w:val="20"/>
          <w:szCs w:val="20"/>
          <w:u w:val="single"/>
        </w:rPr>
        <w:t>.</w:t>
      </w:r>
    </w:p>
    <w:p w:rsidR="00481B51" w:rsidRDefault="00481B51" w:rsidP="00481B51">
      <w:pPr>
        <w:pStyle w:val="OrderBody"/>
      </w:pPr>
    </w:p>
    <w:sectPr w:rsidR="00481B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B51" w:rsidRDefault="00481B51">
      <w:r>
        <w:separator/>
      </w:r>
    </w:p>
  </w:endnote>
  <w:endnote w:type="continuationSeparator" w:id="0">
    <w:p w:rsidR="00481B51" w:rsidRDefault="0048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B51" w:rsidRDefault="00481B51">
      <w:r>
        <w:separator/>
      </w:r>
    </w:p>
  </w:footnote>
  <w:footnote w:type="continuationSeparator" w:id="0">
    <w:p w:rsidR="00481B51" w:rsidRDefault="00481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2 ">
      <w:r w:rsidR="00E85A99">
        <w:t>PSC-2025-0112-FOF-GU</w:t>
      </w:r>
    </w:fldSimple>
  </w:p>
  <w:p w:rsidR="00FA6EFD" w:rsidRDefault="00481B51">
    <w:pPr>
      <w:pStyle w:val="OrderHeader"/>
    </w:pPr>
    <w:bookmarkStart w:id="9" w:name="HeaderDocketNo"/>
    <w:bookmarkEnd w:id="9"/>
    <w:r>
      <w:t>DOCKET NO. 20250020-GU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5A9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0-GU"/>
  </w:docVars>
  <w:rsids>
    <w:rsidRoot w:val="00481B5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1B5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78B2"/>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5A00"/>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75E9D"/>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03D1"/>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5A99"/>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0A27"/>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81B51"/>
    <w:rPr>
      <w:rFonts w:ascii="Segoe UI" w:hAnsi="Segoe UI" w:cs="Segoe UI"/>
      <w:sz w:val="18"/>
      <w:szCs w:val="18"/>
    </w:rPr>
  </w:style>
  <w:style w:type="character" w:customStyle="1" w:styleId="BalloonTextChar">
    <w:name w:val="Balloon Text Char"/>
    <w:basedOn w:val="DefaultParagraphFont"/>
    <w:link w:val="BalloonText"/>
    <w:rsid w:val="00481B51"/>
    <w:rPr>
      <w:rFonts w:ascii="Segoe UI" w:hAnsi="Segoe UI" w:cs="Segoe UI"/>
      <w:sz w:val="18"/>
      <w:szCs w:val="18"/>
    </w:rPr>
  </w:style>
  <w:style w:type="paragraph" w:customStyle="1" w:styleId="Rule">
    <w:name w:val="Rule"/>
    <w:link w:val="RuleChar"/>
    <w:qFormat/>
    <w:rsid w:val="00FF0A27"/>
    <w:pPr>
      <w:widowControl w:val="0"/>
      <w:tabs>
        <w:tab w:val="left" w:pos="720"/>
      </w:tabs>
      <w:spacing w:line="536" w:lineRule="exact"/>
    </w:pPr>
    <w:rPr>
      <w:sz w:val="24"/>
      <w:szCs w:val="24"/>
    </w:rPr>
  </w:style>
  <w:style w:type="character" w:customStyle="1" w:styleId="RuleChar">
    <w:name w:val="Rule Char"/>
    <w:link w:val="Rule"/>
    <w:rsid w:val="00FF0A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2025-04-04T15:27:00Z</dcterms:created>
  <dcterms:modified xsi:type="dcterms:W3CDTF">2025-04-04T16:22:00Z</dcterms:modified>
</cp:coreProperties>
</file>