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14:anchorId="729EFDAA" wp14:editId="587647C3">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A0025">
            <w:pPr>
              <w:pStyle w:val="MemoHeading"/>
            </w:pPr>
            <w:bookmarkStart w:id="1" w:name="FilingDate"/>
            <w:r>
              <w:t>April 24</w:t>
            </w:r>
            <w:r w:rsidR="008F7E8C">
              <w:t>,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F7E8C" w:rsidRDefault="008F7E8C">
            <w:pPr>
              <w:pStyle w:val="MemoHeading"/>
            </w:pPr>
            <w:bookmarkStart w:id="2" w:name="From"/>
            <w:r>
              <w:t>Division of Accounting an</w:t>
            </w:r>
            <w:r w:rsidR="005417EB">
              <w:t xml:space="preserve">d Finance (Przygocki, Bardin, </w:t>
            </w:r>
            <w:r>
              <w:t>Folkman, Norris, Richards, Sewards, York)</w:t>
            </w:r>
          </w:p>
          <w:p w:rsidR="008F7E8C" w:rsidRDefault="008F7E8C">
            <w:pPr>
              <w:pStyle w:val="MemoHeading"/>
            </w:pPr>
            <w:r>
              <w:t>Division of Economics (Bethea, Bruce, Chambliss, Hudson, Lenberg, Sibley)</w:t>
            </w:r>
          </w:p>
          <w:p w:rsidR="008F7E8C" w:rsidRDefault="008F7E8C">
            <w:pPr>
              <w:pStyle w:val="MemoHeading"/>
            </w:pPr>
            <w:r>
              <w:t>Division of Engineering (Ellis, King, Lewis, Ramos, Sanchez, Smith II)</w:t>
            </w:r>
          </w:p>
          <w:p w:rsidR="007C0528" w:rsidRDefault="008F7E8C">
            <w:pPr>
              <w:pStyle w:val="MemoHeading"/>
            </w:pPr>
            <w:r>
              <w:t>Office of the General Counsel (Sandy, Farooqi)</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F7E8C">
            <w:pPr>
              <w:pStyle w:val="MemoHeadingRe"/>
            </w:pPr>
            <w:bookmarkStart w:id="3" w:name="Re"/>
            <w:r>
              <w:t>Docket No. 20240068-WS – Application for increase in water and wastewater rates in Charlotte, Highlands, Lake, Lee, Marion, Orange, Pasco, Pinellas, Polk, and Seminole Counties, by Sunshine Water Services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A0025" w:rsidP="005417EB">
            <w:pPr>
              <w:pStyle w:val="MemoHeading"/>
            </w:pPr>
            <w:r>
              <w:t>05/06/2025</w:t>
            </w:r>
            <w:r w:rsidR="007C0528">
              <w:t xml:space="preserve"> – </w:t>
            </w:r>
            <w:bookmarkStart w:id="4" w:name="PermittedStatus"/>
            <w:r w:rsidR="008F7E8C">
              <w:t xml:space="preserve">Regular Agenda – </w:t>
            </w:r>
            <w:bookmarkEnd w:id="4"/>
            <w:r w:rsidR="005417EB">
              <w:t>Post-Hearing Decision – Participation is Limited to Commissioners and Staff</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F7E8C">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F7E8C">
            <w:pPr>
              <w:pStyle w:val="MemoHeading"/>
            </w:pPr>
            <w:bookmarkStart w:id="6" w:name="PrehearingOfficer"/>
            <w:r>
              <w:t>Fa</w:t>
            </w:r>
            <w:bookmarkEnd w:id="6"/>
            <w:r w:rsidR="00A3608B">
              <w:t>y</w:t>
            </w:r>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5417EB">
            <w:pPr>
              <w:pStyle w:val="MemoHeading"/>
            </w:pPr>
            <w:r>
              <w:t>05/06/25 (8-Month Effective Date Waived</w:t>
            </w:r>
            <w:r w:rsidR="00354C4A">
              <w:t xml:space="preserve"> from 04/01/25</w:t>
            </w:r>
            <w:r>
              <w:t>)</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54C4A">
            <w:pPr>
              <w:pStyle w:val="MemoHeading"/>
            </w:pPr>
            <w:r>
              <w:t>None</w:t>
            </w:r>
          </w:p>
        </w:tc>
      </w:tr>
    </w:tbl>
    <w:p w:rsidR="007C0528" w:rsidRDefault="007C0528">
      <w:pPr>
        <w:pStyle w:val="BodyText"/>
      </w:pPr>
    </w:p>
    <w:p w:rsidR="00171E8F" w:rsidRDefault="00171E8F" w:rsidP="00171E8F">
      <w:pPr>
        <w:pStyle w:val="RecommendationMajorSectionHeading"/>
      </w:pPr>
      <w:bookmarkStart w:id="8" w:name="RecToC"/>
      <w:bookmarkEnd w:id="8"/>
      <w:r>
        <w:br w:type="page"/>
      </w:r>
      <w:r>
        <w:lastRenderedPageBreak/>
        <w:t>Table of Contents</w:t>
      </w:r>
    </w:p>
    <w:p w:rsidR="00171E8F" w:rsidRDefault="00171E8F">
      <w:pPr>
        <w:pStyle w:val="TOCColumnHeadings"/>
      </w:pPr>
      <w:r>
        <w:t>Issue</w:t>
      </w:r>
      <w:r>
        <w:tab/>
        <w:t>Description</w:t>
      </w:r>
      <w:r>
        <w:tab/>
        <w:t>Page</w:t>
      </w:r>
    </w:p>
    <w:p w:rsidR="00174B4C" w:rsidRDefault="00171E8F">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196317116" w:history="1">
        <w:r w:rsidR="00174B4C" w:rsidRPr="0062313B">
          <w:rPr>
            <w:rStyle w:val="Hyperlink"/>
            <w:noProof/>
          </w:rPr>
          <w:tab/>
          <w:t>Case Background</w:t>
        </w:r>
        <w:r w:rsidR="00174B4C">
          <w:rPr>
            <w:noProof/>
            <w:webHidden/>
          </w:rPr>
          <w:tab/>
        </w:r>
        <w:r w:rsidR="00174B4C">
          <w:rPr>
            <w:noProof/>
            <w:webHidden/>
          </w:rPr>
          <w:fldChar w:fldCharType="begin"/>
        </w:r>
        <w:r w:rsidR="00174B4C">
          <w:rPr>
            <w:noProof/>
            <w:webHidden/>
          </w:rPr>
          <w:instrText xml:space="preserve"> PAGEREF _Toc196317116 \h </w:instrText>
        </w:r>
        <w:r w:rsidR="00174B4C">
          <w:rPr>
            <w:noProof/>
            <w:webHidden/>
          </w:rPr>
        </w:r>
        <w:r w:rsidR="00174B4C">
          <w:rPr>
            <w:noProof/>
            <w:webHidden/>
          </w:rPr>
          <w:fldChar w:fldCharType="separate"/>
        </w:r>
        <w:r w:rsidR="009D3FF7">
          <w:rPr>
            <w:noProof/>
            <w:webHidden/>
          </w:rPr>
          <w:t>6</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17" w:history="1">
        <w:r w:rsidR="00174B4C" w:rsidRPr="0062313B">
          <w:rPr>
            <w:rStyle w:val="Hyperlink"/>
            <w:noProof/>
          </w:rPr>
          <w:t>1</w:t>
        </w:r>
        <w:r w:rsidR="00174B4C" w:rsidRPr="0062313B">
          <w:rPr>
            <w:rStyle w:val="Hyperlink"/>
            <w:noProof/>
          </w:rPr>
          <w:tab/>
          <w:t>Quality of Service (Smith, Ramos)</w:t>
        </w:r>
        <w:r w:rsidR="00174B4C">
          <w:rPr>
            <w:noProof/>
            <w:webHidden/>
          </w:rPr>
          <w:tab/>
        </w:r>
        <w:r w:rsidR="00174B4C">
          <w:rPr>
            <w:noProof/>
            <w:webHidden/>
          </w:rPr>
          <w:fldChar w:fldCharType="begin"/>
        </w:r>
        <w:r w:rsidR="00174B4C">
          <w:rPr>
            <w:noProof/>
            <w:webHidden/>
          </w:rPr>
          <w:instrText xml:space="preserve"> PAGEREF _Toc196317117 \h </w:instrText>
        </w:r>
        <w:r w:rsidR="00174B4C">
          <w:rPr>
            <w:noProof/>
            <w:webHidden/>
          </w:rPr>
        </w:r>
        <w:r w:rsidR="00174B4C">
          <w:rPr>
            <w:noProof/>
            <w:webHidden/>
          </w:rPr>
          <w:fldChar w:fldCharType="separate"/>
        </w:r>
        <w:r w:rsidR="009D3FF7">
          <w:rPr>
            <w:noProof/>
            <w:webHidden/>
          </w:rPr>
          <w:t>8</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18" w:history="1">
        <w:r w:rsidR="00174B4C" w:rsidRPr="0062313B">
          <w:rPr>
            <w:rStyle w:val="Hyperlink"/>
            <w:noProof/>
          </w:rPr>
          <w:t>1A</w:t>
        </w:r>
        <w:r w:rsidR="00174B4C" w:rsidRPr="0062313B">
          <w:rPr>
            <w:rStyle w:val="Hyperlink"/>
            <w:noProof/>
          </w:rPr>
          <w:tab/>
          <w:t>Overall Value (Sandy, Farooqi)</w:t>
        </w:r>
        <w:r w:rsidR="00174B4C">
          <w:rPr>
            <w:noProof/>
            <w:webHidden/>
          </w:rPr>
          <w:tab/>
        </w:r>
        <w:r w:rsidR="00174B4C">
          <w:rPr>
            <w:noProof/>
            <w:webHidden/>
          </w:rPr>
          <w:fldChar w:fldCharType="begin"/>
        </w:r>
        <w:r w:rsidR="00174B4C">
          <w:rPr>
            <w:noProof/>
            <w:webHidden/>
          </w:rPr>
          <w:instrText xml:space="preserve"> PAGEREF _Toc196317118 \h </w:instrText>
        </w:r>
        <w:r w:rsidR="00174B4C">
          <w:rPr>
            <w:noProof/>
            <w:webHidden/>
          </w:rPr>
        </w:r>
        <w:r w:rsidR="00174B4C">
          <w:rPr>
            <w:noProof/>
            <w:webHidden/>
          </w:rPr>
          <w:fldChar w:fldCharType="separate"/>
        </w:r>
        <w:r w:rsidR="009D3FF7">
          <w:rPr>
            <w:noProof/>
            <w:webHidden/>
          </w:rPr>
          <w:t>17</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19" w:history="1">
        <w:r w:rsidR="00174B4C" w:rsidRPr="0062313B">
          <w:rPr>
            <w:rStyle w:val="Hyperlink"/>
            <w:noProof/>
          </w:rPr>
          <w:t>2</w:t>
        </w:r>
        <w:r w:rsidR="00174B4C" w:rsidRPr="0062313B">
          <w:rPr>
            <w:rStyle w:val="Hyperlink"/>
            <w:noProof/>
          </w:rPr>
          <w:tab/>
          <w:t>DEP Compliance (Ramos, Smith)</w:t>
        </w:r>
        <w:r w:rsidR="00174B4C">
          <w:rPr>
            <w:noProof/>
            <w:webHidden/>
          </w:rPr>
          <w:tab/>
        </w:r>
        <w:r w:rsidR="00174B4C">
          <w:rPr>
            <w:noProof/>
            <w:webHidden/>
          </w:rPr>
          <w:fldChar w:fldCharType="begin"/>
        </w:r>
        <w:r w:rsidR="00174B4C">
          <w:rPr>
            <w:noProof/>
            <w:webHidden/>
          </w:rPr>
          <w:instrText xml:space="preserve"> PAGEREF _Toc196317119 \h </w:instrText>
        </w:r>
        <w:r w:rsidR="00174B4C">
          <w:rPr>
            <w:noProof/>
            <w:webHidden/>
          </w:rPr>
        </w:r>
        <w:r w:rsidR="00174B4C">
          <w:rPr>
            <w:noProof/>
            <w:webHidden/>
          </w:rPr>
          <w:fldChar w:fldCharType="separate"/>
        </w:r>
        <w:r w:rsidR="009D3FF7">
          <w:rPr>
            <w:noProof/>
            <w:webHidden/>
          </w:rPr>
          <w:t>21</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20" w:history="1">
        <w:r w:rsidR="00174B4C" w:rsidRPr="0062313B">
          <w:rPr>
            <w:rStyle w:val="Hyperlink"/>
            <w:noProof/>
          </w:rPr>
          <w:t>3</w:t>
        </w:r>
        <w:r w:rsidR="00174B4C" w:rsidRPr="0062313B">
          <w:rPr>
            <w:rStyle w:val="Hyperlink"/>
            <w:noProof/>
          </w:rPr>
          <w:tab/>
          <w:t>Test Year Plant-In-Service Adjustments (York)</w:t>
        </w:r>
        <w:r w:rsidR="00174B4C">
          <w:rPr>
            <w:noProof/>
            <w:webHidden/>
          </w:rPr>
          <w:tab/>
        </w:r>
        <w:r w:rsidR="00174B4C">
          <w:rPr>
            <w:noProof/>
            <w:webHidden/>
          </w:rPr>
          <w:fldChar w:fldCharType="begin"/>
        </w:r>
        <w:r w:rsidR="00174B4C">
          <w:rPr>
            <w:noProof/>
            <w:webHidden/>
          </w:rPr>
          <w:instrText xml:space="preserve"> PAGEREF _Toc196317120 \h </w:instrText>
        </w:r>
        <w:r w:rsidR="00174B4C">
          <w:rPr>
            <w:noProof/>
            <w:webHidden/>
          </w:rPr>
        </w:r>
        <w:r w:rsidR="00174B4C">
          <w:rPr>
            <w:noProof/>
            <w:webHidden/>
          </w:rPr>
          <w:fldChar w:fldCharType="separate"/>
        </w:r>
        <w:r w:rsidR="009D3FF7">
          <w:rPr>
            <w:noProof/>
            <w:webHidden/>
          </w:rPr>
          <w:t>23</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21" w:history="1">
        <w:r w:rsidR="00174B4C" w:rsidRPr="0062313B">
          <w:rPr>
            <w:rStyle w:val="Hyperlink"/>
            <w:noProof/>
          </w:rPr>
          <w:t>4</w:t>
        </w:r>
        <w:r w:rsidR="00174B4C" w:rsidRPr="0062313B">
          <w:rPr>
            <w:rStyle w:val="Hyperlink"/>
            <w:noProof/>
          </w:rPr>
          <w:tab/>
          <w:t>Pro Forma Plant (Sanchez, Richards, Folkman)</w:t>
        </w:r>
        <w:r w:rsidR="00174B4C">
          <w:rPr>
            <w:noProof/>
            <w:webHidden/>
          </w:rPr>
          <w:tab/>
        </w:r>
        <w:r w:rsidR="00174B4C">
          <w:rPr>
            <w:noProof/>
            <w:webHidden/>
          </w:rPr>
          <w:fldChar w:fldCharType="begin"/>
        </w:r>
        <w:r w:rsidR="00174B4C">
          <w:rPr>
            <w:noProof/>
            <w:webHidden/>
          </w:rPr>
          <w:instrText xml:space="preserve"> PAGEREF _Toc196317121 \h </w:instrText>
        </w:r>
        <w:r w:rsidR="00174B4C">
          <w:rPr>
            <w:noProof/>
            <w:webHidden/>
          </w:rPr>
        </w:r>
        <w:r w:rsidR="00174B4C">
          <w:rPr>
            <w:noProof/>
            <w:webHidden/>
          </w:rPr>
          <w:fldChar w:fldCharType="separate"/>
        </w:r>
        <w:r w:rsidR="009D3FF7">
          <w:rPr>
            <w:noProof/>
            <w:webHidden/>
          </w:rPr>
          <w:t>24</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22" w:history="1">
        <w:r w:rsidR="00174B4C" w:rsidRPr="0062313B">
          <w:rPr>
            <w:rStyle w:val="Hyperlink"/>
            <w:noProof/>
          </w:rPr>
          <w:t>4A</w:t>
        </w:r>
        <w:r w:rsidR="00174B4C" w:rsidRPr="0062313B">
          <w:rPr>
            <w:rStyle w:val="Hyperlink"/>
            <w:noProof/>
          </w:rPr>
          <w:tab/>
          <w:t>AMI Meters (Sanchez, Richards, Folkman)</w:t>
        </w:r>
        <w:r w:rsidR="00174B4C">
          <w:rPr>
            <w:noProof/>
            <w:webHidden/>
          </w:rPr>
          <w:tab/>
        </w:r>
        <w:r w:rsidR="00174B4C">
          <w:rPr>
            <w:noProof/>
            <w:webHidden/>
          </w:rPr>
          <w:fldChar w:fldCharType="begin"/>
        </w:r>
        <w:r w:rsidR="00174B4C">
          <w:rPr>
            <w:noProof/>
            <w:webHidden/>
          </w:rPr>
          <w:instrText xml:space="preserve"> PAGEREF _Toc196317122 \h </w:instrText>
        </w:r>
        <w:r w:rsidR="00174B4C">
          <w:rPr>
            <w:noProof/>
            <w:webHidden/>
          </w:rPr>
        </w:r>
        <w:r w:rsidR="00174B4C">
          <w:rPr>
            <w:noProof/>
            <w:webHidden/>
          </w:rPr>
          <w:fldChar w:fldCharType="separate"/>
        </w:r>
        <w:r w:rsidR="009D3FF7">
          <w:rPr>
            <w:noProof/>
            <w:webHidden/>
          </w:rPr>
          <w:t>45</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23" w:history="1">
        <w:r w:rsidR="00174B4C" w:rsidRPr="0062313B">
          <w:rPr>
            <w:rStyle w:val="Hyperlink"/>
            <w:noProof/>
          </w:rPr>
          <w:t>5</w:t>
        </w:r>
        <w:r w:rsidR="00174B4C" w:rsidRPr="0062313B">
          <w:rPr>
            <w:rStyle w:val="Hyperlink"/>
            <w:noProof/>
          </w:rPr>
          <w:tab/>
          <w:t>Plant Retirements (Sanchez, Bardin)</w:t>
        </w:r>
        <w:r w:rsidR="00174B4C">
          <w:rPr>
            <w:noProof/>
            <w:webHidden/>
          </w:rPr>
          <w:tab/>
        </w:r>
        <w:r w:rsidR="00174B4C">
          <w:rPr>
            <w:noProof/>
            <w:webHidden/>
          </w:rPr>
          <w:fldChar w:fldCharType="begin"/>
        </w:r>
        <w:r w:rsidR="00174B4C">
          <w:rPr>
            <w:noProof/>
            <w:webHidden/>
          </w:rPr>
          <w:instrText xml:space="preserve"> PAGEREF _Toc196317123 \h </w:instrText>
        </w:r>
        <w:r w:rsidR="00174B4C">
          <w:rPr>
            <w:noProof/>
            <w:webHidden/>
          </w:rPr>
        </w:r>
        <w:r w:rsidR="00174B4C">
          <w:rPr>
            <w:noProof/>
            <w:webHidden/>
          </w:rPr>
          <w:fldChar w:fldCharType="separate"/>
        </w:r>
        <w:r w:rsidR="009D3FF7">
          <w:rPr>
            <w:noProof/>
            <w:webHidden/>
          </w:rPr>
          <w:t>51</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24" w:history="1">
        <w:r w:rsidR="00174B4C" w:rsidRPr="0062313B">
          <w:rPr>
            <w:rStyle w:val="Hyperlink"/>
            <w:noProof/>
          </w:rPr>
          <w:t>6</w:t>
        </w:r>
        <w:r w:rsidR="00174B4C" w:rsidRPr="0062313B">
          <w:rPr>
            <w:rStyle w:val="Hyperlink"/>
            <w:noProof/>
          </w:rPr>
          <w:tab/>
          <w:t>STIPULATED – Excessive Unaccounted for Water</w:t>
        </w:r>
        <w:r w:rsidR="00174B4C">
          <w:rPr>
            <w:noProof/>
            <w:webHidden/>
          </w:rPr>
          <w:tab/>
        </w:r>
        <w:r w:rsidR="00174B4C">
          <w:rPr>
            <w:noProof/>
            <w:webHidden/>
          </w:rPr>
          <w:fldChar w:fldCharType="begin"/>
        </w:r>
        <w:r w:rsidR="00174B4C">
          <w:rPr>
            <w:noProof/>
            <w:webHidden/>
          </w:rPr>
          <w:instrText xml:space="preserve"> PAGEREF _Toc196317124 \h </w:instrText>
        </w:r>
        <w:r w:rsidR="00174B4C">
          <w:rPr>
            <w:noProof/>
            <w:webHidden/>
          </w:rPr>
        </w:r>
        <w:r w:rsidR="00174B4C">
          <w:rPr>
            <w:noProof/>
            <w:webHidden/>
          </w:rPr>
          <w:fldChar w:fldCharType="separate"/>
        </w:r>
        <w:r w:rsidR="009D3FF7">
          <w:rPr>
            <w:noProof/>
            <w:webHidden/>
          </w:rPr>
          <w:t>53</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25" w:history="1">
        <w:r w:rsidR="00174B4C" w:rsidRPr="0062313B">
          <w:rPr>
            <w:rStyle w:val="Hyperlink"/>
            <w:noProof/>
          </w:rPr>
          <w:t>7</w:t>
        </w:r>
        <w:r w:rsidR="00174B4C" w:rsidRPr="0062313B">
          <w:rPr>
            <w:rStyle w:val="Hyperlink"/>
            <w:noProof/>
          </w:rPr>
          <w:tab/>
          <w:t>STIPULATED – Excessive Infiltration &amp; Inflow</w:t>
        </w:r>
        <w:r w:rsidR="00174B4C">
          <w:rPr>
            <w:noProof/>
            <w:webHidden/>
          </w:rPr>
          <w:tab/>
        </w:r>
        <w:r w:rsidR="00174B4C">
          <w:rPr>
            <w:noProof/>
            <w:webHidden/>
          </w:rPr>
          <w:fldChar w:fldCharType="begin"/>
        </w:r>
        <w:r w:rsidR="00174B4C">
          <w:rPr>
            <w:noProof/>
            <w:webHidden/>
          </w:rPr>
          <w:instrText xml:space="preserve"> PAGEREF _Toc196317125 \h </w:instrText>
        </w:r>
        <w:r w:rsidR="00174B4C">
          <w:rPr>
            <w:noProof/>
            <w:webHidden/>
          </w:rPr>
        </w:r>
        <w:r w:rsidR="00174B4C">
          <w:rPr>
            <w:noProof/>
            <w:webHidden/>
          </w:rPr>
          <w:fldChar w:fldCharType="separate"/>
        </w:r>
        <w:r w:rsidR="009D3FF7">
          <w:rPr>
            <w:noProof/>
            <w:webHidden/>
          </w:rPr>
          <w:t>54</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26" w:history="1">
        <w:r w:rsidR="00174B4C" w:rsidRPr="0062313B">
          <w:rPr>
            <w:rStyle w:val="Hyperlink"/>
            <w:noProof/>
          </w:rPr>
          <w:t>8</w:t>
        </w:r>
        <w:r w:rsidR="00174B4C" w:rsidRPr="0062313B">
          <w:rPr>
            <w:rStyle w:val="Hyperlink"/>
            <w:noProof/>
          </w:rPr>
          <w:tab/>
          <w:t>STIPULATED – U&amp;U Water Treatment</w:t>
        </w:r>
        <w:r w:rsidR="00174B4C">
          <w:rPr>
            <w:noProof/>
            <w:webHidden/>
          </w:rPr>
          <w:tab/>
        </w:r>
        <w:r w:rsidR="00174B4C">
          <w:rPr>
            <w:noProof/>
            <w:webHidden/>
          </w:rPr>
          <w:fldChar w:fldCharType="begin"/>
        </w:r>
        <w:r w:rsidR="00174B4C">
          <w:rPr>
            <w:noProof/>
            <w:webHidden/>
          </w:rPr>
          <w:instrText xml:space="preserve"> PAGEREF _Toc196317126 \h </w:instrText>
        </w:r>
        <w:r w:rsidR="00174B4C">
          <w:rPr>
            <w:noProof/>
            <w:webHidden/>
          </w:rPr>
        </w:r>
        <w:r w:rsidR="00174B4C">
          <w:rPr>
            <w:noProof/>
            <w:webHidden/>
          </w:rPr>
          <w:fldChar w:fldCharType="separate"/>
        </w:r>
        <w:r w:rsidR="009D3FF7">
          <w:rPr>
            <w:noProof/>
            <w:webHidden/>
          </w:rPr>
          <w:t>55</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27" w:history="1">
        <w:r w:rsidR="00174B4C" w:rsidRPr="0062313B">
          <w:rPr>
            <w:rStyle w:val="Hyperlink"/>
            <w:noProof/>
          </w:rPr>
          <w:t>9</w:t>
        </w:r>
        <w:r w:rsidR="00174B4C" w:rsidRPr="0062313B">
          <w:rPr>
            <w:rStyle w:val="Hyperlink"/>
            <w:noProof/>
          </w:rPr>
          <w:tab/>
          <w:t>STIPULATED – U&amp;U Water Storage</w:t>
        </w:r>
        <w:r w:rsidR="00174B4C">
          <w:rPr>
            <w:noProof/>
            <w:webHidden/>
          </w:rPr>
          <w:tab/>
        </w:r>
        <w:r w:rsidR="00174B4C">
          <w:rPr>
            <w:noProof/>
            <w:webHidden/>
          </w:rPr>
          <w:fldChar w:fldCharType="begin"/>
        </w:r>
        <w:r w:rsidR="00174B4C">
          <w:rPr>
            <w:noProof/>
            <w:webHidden/>
          </w:rPr>
          <w:instrText xml:space="preserve"> PAGEREF _Toc196317127 \h </w:instrText>
        </w:r>
        <w:r w:rsidR="00174B4C">
          <w:rPr>
            <w:noProof/>
            <w:webHidden/>
          </w:rPr>
        </w:r>
        <w:r w:rsidR="00174B4C">
          <w:rPr>
            <w:noProof/>
            <w:webHidden/>
          </w:rPr>
          <w:fldChar w:fldCharType="separate"/>
        </w:r>
        <w:r w:rsidR="009D3FF7">
          <w:rPr>
            <w:noProof/>
            <w:webHidden/>
          </w:rPr>
          <w:t>56</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28" w:history="1">
        <w:r w:rsidR="00174B4C" w:rsidRPr="0062313B">
          <w:rPr>
            <w:rStyle w:val="Hyperlink"/>
            <w:noProof/>
          </w:rPr>
          <w:t>10</w:t>
        </w:r>
        <w:r w:rsidR="00174B4C" w:rsidRPr="0062313B">
          <w:rPr>
            <w:rStyle w:val="Hyperlink"/>
            <w:noProof/>
          </w:rPr>
          <w:tab/>
          <w:t>STIPULATED – U&amp;U Water Distribution</w:t>
        </w:r>
        <w:r w:rsidR="00174B4C">
          <w:rPr>
            <w:noProof/>
            <w:webHidden/>
          </w:rPr>
          <w:tab/>
        </w:r>
        <w:r w:rsidR="00174B4C">
          <w:rPr>
            <w:noProof/>
            <w:webHidden/>
          </w:rPr>
          <w:fldChar w:fldCharType="begin"/>
        </w:r>
        <w:r w:rsidR="00174B4C">
          <w:rPr>
            <w:noProof/>
            <w:webHidden/>
          </w:rPr>
          <w:instrText xml:space="preserve"> PAGEREF _Toc196317128 \h </w:instrText>
        </w:r>
        <w:r w:rsidR="00174B4C">
          <w:rPr>
            <w:noProof/>
            <w:webHidden/>
          </w:rPr>
        </w:r>
        <w:r w:rsidR="00174B4C">
          <w:rPr>
            <w:noProof/>
            <w:webHidden/>
          </w:rPr>
          <w:fldChar w:fldCharType="separate"/>
        </w:r>
        <w:r w:rsidR="009D3FF7">
          <w:rPr>
            <w:noProof/>
            <w:webHidden/>
          </w:rPr>
          <w:t>57</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29" w:history="1">
        <w:r w:rsidR="00174B4C" w:rsidRPr="0062313B">
          <w:rPr>
            <w:rStyle w:val="Hyperlink"/>
            <w:noProof/>
          </w:rPr>
          <w:t>11</w:t>
        </w:r>
        <w:r w:rsidR="00174B4C" w:rsidRPr="0062313B">
          <w:rPr>
            <w:rStyle w:val="Hyperlink"/>
            <w:noProof/>
          </w:rPr>
          <w:tab/>
          <w:t>STIPULATED – U&amp;U Wastewater Treatment</w:t>
        </w:r>
        <w:r w:rsidR="00174B4C">
          <w:rPr>
            <w:noProof/>
            <w:webHidden/>
          </w:rPr>
          <w:tab/>
        </w:r>
        <w:r w:rsidR="00174B4C">
          <w:rPr>
            <w:noProof/>
            <w:webHidden/>
          </w:rPr>
          <w:fldChar w:fldCharType="begin"/>
        </w:r>
        <w:r w:rsidR="00174B4C">
          <w:rPr>
            <w:noProof/>
            <w:webHidden/>
          </w:rPr>
          <w:instrText xml:space="preserve"> PAGEREF _Toc196317129 \h </w:instrText>
        </w:r>
        <w:r w:rsidR="00174B4C">
          <w:rPr>
            <w:noProof/>
            <w:webHidden/>
          </w:rPr>
        </w:r>
        <w:r w:rsidR="00174B4C">
          <w:rPr>
            <w:noProof/>
            <w:webHidden/>
          </w:rPr>
          <w:fldChar w:fldCharType="separate"/>
        </w:r>
        <w:r w:rsidR="009D3FF7">
          <w:rPr>
            <w:noProof/>
            <w:webHidden/>
          </w:rPr>
          <w:t>58</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30" w:history="1">
        <w:r w:rsidR="00174B4C" w:rsidRPr="0062313B">
          <w:rPr>
            <w:rStyle w:val="Hyperlink"/>
            <w:noProof/>
          </w:rPr>
          <w:t>12</w:t>
        </w:r>
        <w:r w:rsidR="00174B4C" w:rsidRPr="0062313B">
          <w:rPr>
            <w:rStyle w:val="Hyperlink"/>
            <w:noProof/>
          </w:rPr>
          <w:tab/>
          <w:t>STIPULATED – U&amp;U Collection Lines</w:t>
        </w:r>
        <w:r w:rsidR="00174B4C">
          <w:rPr>
            <w:noProof/>
            <w:webHidden/>
          </w:rPr>
          <w:tab/>
        </w:r>
        <w:r w:rsidR="00174B4C">
          <w:rPr>
            <w:noProof/>
            <w:webHidden/>
          </w:rPr>
          <w:fldChar w:fldCharType="begin"/>
        </w:r>
        <w:r w:rsidR="00174B4C">
          <w:rPr>
            <w:noProof/>
            <w:webHidden/>
          </w:rPr>
          <w:instrText xml:space="preserve"> PAGEREF _Toc196317130 \h </w:instrText>
        </w:r>
        <w:r w:rsidR="00174B4C">
          <w:rPr>
            <w:noProof/>
            <w:webHidden/>
          </w:rPr>
        </w:r>
        <w:r w:rsidR="00174B4C">
          <w:rPr>
            <w:noProof/>
            <w:webHidden/>
          </w:rPr>
          <w:fldChar w:fldCharType="separate"/>
        </w:r>
        <w:r w:rsidR="009D3FF7">
          <w:rPr>
            <w:noProof/>
            <w:webHidden/>
          </w:rPr>
          <w:t>59</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31" w:history="1">
        <w:r w:rsidR="00174B4C" w:rsidRPr="0062313B">
          <w:rPr>
            <w:rStyle w:val="Hyperlink"/>
            <w:noProof/>
          </w:rPr>
          <w:t>13</w:t>
        </w:r>
        <w:r w:rsidR="00174B4C" w:rsidRPr="0062313B">
          <w:rPr>
            <w:rStyle w:val="Hyperlink"/>
            <w:noProof/>
          </w:rPr>
          <w:tab/>
          <w:t>Accumulated Depreciation (York, Sewards)</w:t>
        </w:r>
        <w:r w:rsidR="00174B4C">
          <w:rPr>
            <w:noProof/>
            <w:webHidden/>
          </w:rPr>
          <w:tab/>
        </w:r>
        <w:r w:rsidR="00174B4C">
          <w:rPr>
            <w:noProof/>
            <w:webHidden/>
          </w:rPr>
          <w:fldChar w:fldCharType="begin"/>
        </w:r>
        <w:r w:rsidR="00174B4C">
          <w:rPr>
            <w:noProof/>
            <w:webHidden/>
          </w:rPr>
          <w:instrText xml:space="preserve"> PAGEREF _Toc196317131 \h </w:instrText>
        </w:r>
        <w:r w:rsidR="00174B4C">
          <w:rPr>
            <w:noProof/>
            <w:webHidden/>
          </w:rPr>
        </w:r>
        <w:r w:rsidR="00174B4C">
          <w:rPr>
            <w:noProof/>
            <w:webHidden/>
          </w:rPr>
          <w:fldChar w:fldCharType="separate"/>
        </w:r>
        <w:r w:rsidR="009D3FF7">
          <w:rPr>
            <w:noProof/>
            <w:webHidden/>
          </w:rPr>
          <w:t>60</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32" w:history="1">
        <w:r w:rsidR="00174B4C" w:rsidRPr="0062313B">
          <w:rPr>
            <w:rStyle w:val="Hyperlink"/>
            <w:noProof/>
          </w:rPr>
          <w:t>14</w:t>
        </w:r>
        <w:r w:rsidR="00174B4C" w:rsidRPr="0062313B">
          <w:rPr>
            <w:rStyle w:val="Hyperlink"/>
            <w:noProof/>
          </w:rPr>
          <w:tab/>
          <w:t>CIAC (Bardin)</w:t>
        </w:r>
        <w:r w:rsidR="00174B4C">
          <w:rPr>
            <w:noProof/>
            <w:webHidden/>
          </w:rPr>
          <w:tab/>
        </w:r>
        <w:r w:rsidR="00174B4C">
          <w:rPr>
            <w:noProof/>
            <w:webHidden/>
          </w:rPr>
          <w:fldChar w:fldCharType="begin"/>
        </w:r>
        <w:r w:rsidR="00174B4C">
          <w:rPr>
            <w:noProof/>
            <w:webHidden/>
          </w:rPr>
          <w:instrText xml:space="preserve"> PAGEREF _Toc196317132 \h </w:instrText>
        </w:r>
        <w:r w:rsidR="00174B4C">
          <w:rPr>
            <w:noProof/>
            <w:webHidden/>
          </w:rPr>
        </w:r>
        <w:r w:rsidR="00174B4C">
          <w:rPr>
            <w:noProof/>
            <w:webHidden/>
          </w:rPr>
          <w:fldChar w:fldCharType="separate"/>
        </w:r>
        <w:r w:rsidR="009D3FF7">
          <w:rPr>
            <w:noProof/>
            <w:webHidden/>
          </w:rPr>
          <w:t>62</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33" w:history="1">
        <w:r w:rsidR="00174B4C" w:rsidRPr="0062313B">
          <w:rPr>
            <w:rStyle w:val="Hyperlink"/>
            <w:noProof/>
          </w:rPr>
          <w:t>15</w:t>
        </w:r>
        <w:r w:rsidR="00174B4C" w:rsidRPr="0062313B">
          <w:rPr>
            <w:rStyle w:val="Hyperlink"/>
            <w:noProof/>
          </w:rPr>
          <w:tab/>
          <w:t>Accumulated Amortization of CIAC (Bardin)</w:t>
        </w:r>
        <w:r w:rsidR="00174B4C">
          <w:rPr>
            <w:noProof/>
            <w:webHidden/>
          </w:rPr>
          <w:tab/>
        </w:r>
        <w:r w:rsidR="00174B4C">
          <w:rPr>
            <w:noProof/>
            <w:webHidden/>
          </w:rPr>
          <w:fldChar w:fldCharType="begin"/>
        </w:r>
        <w:r w:rsidR="00174B4C">
          <w:rPr>
            <w:noProof/>
            <w:webHidden/>
          </w:rPr>
          <w:instrText xml:space="preserve"> PAGEREF _Toc196317133 \h </w:instrText>
        </w:r>
        <w:r w:rsidR="00174B4C">
          <w:rPr>
            <w:noProof/>
            <w:webHidden/>
          </w:rPr>
        </w:r>
        <w:r w:rsidR="00174B4C">
          <w:rPr>
            <w:noProof/>
            <w:webHidden/>
          </w:rPr>
          <w:fldChar w:fldCharType="separate"/>
        </w:r>
        <w:r w:rsidR="009D3FF7">
          <w:rPr>
            <w:noProof/>
            <w:webHidden/>
          </w:rPr>
          <w:t>64</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34" w:history="1">
        <w:r w:rsidR="00174B4C" w:rsidRPr="0062313B">
          <w:rPr>
            <w:rStyle w:val="Hyperlink"/>
            <w:noProof/>
          </w:rPr>
          <w:t>16</w:t>
        </w:r>
        <w:r w:rsidR="00174B4C" w:rsidRPr="0062313B">
          <w:rPr>
            <w:rStyle w:val="Hyperlink"/>
            <w:noProof/>
          </w:rPr>
          <w:tab/>
          <w:t>Working Capital (Richards, Folkman)</w:t>
        </w:r>
        <w:r w:rsidR="00174B4C">
          <w:rPr>
            <w:noProof/>
            <w:webHidden/>
          </w:rPr>
          <w:tab/>
        </w:r>
        <w:r w:rsidR="00174B4C">
          <w:rPr>
            <w:noProof/>
            <w:webHidden/>
          </w:rPr>
          <w:fldChar w:fldCharType="begin"/>
        </w:r>
        <w:r w:rsidR="00174B4C">
          <w:rPr>
            <w:noProof/>
            <w:webHidden/>
          </w:rPr>
          <w:instrText xml:space="preserve"> PAGEREF _Toc196317134 \h </w:instrText>
        </w:r>
        <w:r w:rsidR="00174B4C">
          <w:rPr>
            <w:noProof/>
            <w:webHidden/>
          </w:rPr>
        </w:r>
        <w:r w:rsidR="00174B4C">
          <w:rPr>
            <w:noProof/>
            <w:webHidden/>
          </w:rPr>
          <w:fldChar w:fldCharType="separate"/>
        </w:r>
        <w:r w:rsidR="009D3FF7">
          <w:rPr>
            <w:noProof/>
            <w:webHidden/>
          </w:rPr>
          <w:t>65</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35" w:history="1">
        <w:r w:rsidR="00174B4C" w:rsidRPr="0062313B">
          <w:rPr>
            <w:rStyle w:val="Hyperlink"/>
            <w:noProof/>
          </w:rPr>
          <w:t>17</w:t>
        </w:r>
        <w:r w:rsidR="00174B4C" w:rsidRPr="0062313B">
          <w:rPr>
            <w:rStyle w:val="Hyperlink"/>
            <w:noProof/>
          </w:rPr>
          <w:tab/>
          <w:t>Rate Base (Bardin)</w:t>
        </w:r>
        <w:r w:rsidR="00174B4C">
          <w:rPr>
            <w:noProof/>
            <w:webHidden/>
          </w:rPr>
          <w:tab/>
        </w:r>
        <w:r w:rsidR="00174B4C">
          <w:rPr>
            <w:noProof/>
            <w:webHidden/>
          </w:rPr>
          <w:fldChar w:fldCharType="begin"/>
        </w:r>
        <w:r w:rsidR="00174B4C">
          <w:rPr>
            <w:noProof/>
            <w:webHidden/>
          </w:rPr>
          <w:instrText xml:space="preserve"> PAGEREF _Toc196317135 \h </w:instrText>
        </w:r>
        <w:r w:rsidR="00174B4C">
          <w:rPr>
            <w:noProof/>
            <w:webHidden/>
          </w:rPr>
        </w:r>
        <w:r w:rsidR="00174B4C">
          <w:rPr>
            <w:noProof/>
            <w:webHidden/>
          </w:rPr>
          <w:fldChar w:fldCharType="separate"/>
        </w:r>
        <w:r w:rsidR="009D3FF7">
          <w:rPr>
            <w:noProof/>
            <w:webHidden/>
          </w:rPr>
          <w:t>67</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36" w:history="1">
        <w:r w:rsidR="00174B4C" w:rsidRPr="0062313B">
          <w:rPr>
            <w:rStyle w:val="Hyperlink"/>
            <w:noProof/>
          </w:rPr>
          <w:t>18</w:t>
        </w:r>
        <w:r w:rsidR="00174B4C" w:rsidRPr="0062313B">
          <w:rPr>
            <w:rStyle w:val="Hyperlink"/>
            <w:noProof/>
          </w:rPr>
          <w:tab/>
          <w:t>Accumulated Deferred Income Taxes (Sewards)</w:t>
        </w:r>
        <w:r w:rsidR="00174B4C">
          <w:rPr>
            <w:noProof/>
            <w:webHidden/>
          </w:rPr>
          <w:tab/>
        </w:r>
        <w:r w:rsidR="00174B4C">
          <w:rPr>
            <w:noProof/>
            <w:webHidden/>
          </w:rPr>
          <w:fldChar w:fldCharType="begin"/>
        </w:r>
        <w:r w:rsidR="00174B4C">
          <w:rPr>
            <w:noProof/>
            <w:webHidden/>
          </w:rPr>
          <w:instrText xml:space="preserve"> PAGEREF _Toc196317136 \h </w:instrText>
        </w:r>
        <w:r w:rsidR="00174B4C">
          <w:rPr>
            <w:noProof/>
            <w:webHidden/>
          </w:rPr>
        </w:r>
        <w:r w:rsidR="00174B4C">
          <w:rPr>
            <w:noProof/>
            <w:webHidden/>
          </w:rPr>
          <w:fldChar w:fldCharType="separate"/>
        </w:r>
        <w:r w:rsidR="009D3FF7">
          <w:rPr>
            <w:noProof/>
            <w:webHidden/>
          </w:rPr>
          <w:t>68</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37" w:history="1">
        <w:r w:rsidR="00174B4C" w:rsidRPr="0062313B">
          <w:rPr>
            <w:rStyle w:val="Hyperlink"/>
            <w:noProof/>
          </w:rPr>
          <w:t>19</w:t>
        </w:r>
        <w:r w:rsidR="00174B4C" w:rsidRPr="0062313B">
          <w:rPr>
            <w:rStyle w:val="Hyperlink"/>
            <w:noProof/>
          </w:rPr>
          <w:tab/>
          <w:t>STIPULATED – Customer Deposits</w:t>
        </w:r>
        <w:r w:rsidR="00174B4C">
          <w:rPr>
            <w:noProof/>
            <w:webHidden/>
          </w:rPr>
          <w:tab/>
        </w:r>
        <w:r w:rsidR="00174B4C">
          <w:rPr>
            <w:noProof/>
            <w:webHidden/>
          </w:rPr>
          <w:fldChar w:fldCharType="begin"/>
        </w:r>
        <w:r w:rsidR="00174B4C">
          <w:rPr>
            <w:noProof/>
            <w:webHidden/>
          </w:rPr>
          <w:instrText xml:space="preserve"> PAGEREF _Toc196317137 \h </w:instrText>
        </w:r>
        <w:r w:rsidR="00174B4C">
          <w:rPr>
            <w:noProof/>
            <w:webHidden/>
          </w:rPr>
        </w:r>
        <w:r w:rsidR="00174B4C">
          <w:rPr>
            <w:noProof/>
            <w:webHidden/>
          </w:rPr>
          <w:fldChar w:fldCharType="separate"/>
        </w:r>
        <w:r w:rsidR="009D3FF7">
          <w:rPr>
            <w:noProof/>
            <w:webHidden/>
          </w:rPr>
          <w:t>69</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38" w:history="1">
        <w:r w:rsidR="00174B4C" w:rsidRPr="0062313B">
          <w:rPr>
            <w:rStyle w:val="Hyperlink"/>
            <w:noProof/>
          </w:rPr>
          <w:t>20</w:t>
        </w:r>
        <w:r w:rsidR="00174B4C" w:rsidRPr="0062313B">
          <w:rPr>
            <w:rStyle w:val="Hyperlink"/>
            <w:noProof/>
          </w:rPr>
          <w:tab/>
          <w:t>STIPULATED – Short-Term Debt</w:t>
        </w:r>
        <w:r w:rsidR="00174B4C">
          <w:rPr>
            <w:noProof/>
            <w:webHidden/>
          </w:rPr>
          <w:tab/>
        </w:r>
        <w:r w:rsidR="00174B4C">
          <w:rPr>
            <w:noProof/>
            <w:webHidden/>
          </w:rPr>
          <w:fldChar w:fldCharType="begin"/>
        </w:r>
        <w:r w:rsidR="00174B4C">
          <w:rPr>
            <w:noProof/>
            <w:webHidden/>
          </w:rPr>
          <w:instrText xml:space="preserve"> PAGEREF _Toc196317138 \h </w:instrText>
        </w:r>
        <w:r w:rsidR="00174B4C">
          <w:rPr>
            <w:noProof/>
            <w:webHidden/>
          </w:rPr>
        </w:r>
        <w:r w:rsidR="00174B4C">
          <w:rPr>
            <w:noProof/>
            <w:webHidden/>
          </w:rPr>
          <w:fldChar w:fldCharType="separate"/>
        </w:r>
        <w:r w:rsidR="009D3FF7">
          <w:rPr>
            <w:noProof/>
            <w:webHidden/>
          </w:rPr>
          <w:t>70</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39" w:history="1">
        <w:r w:rsidR="00174B4C" w:rsidRPr="0062313B">
          <w:rPr>
            <w:rStyle w:val="Hyperlink"/>
            <w:noProof/>
          </w:rPr>
          <w:t>21</w:t>
        </w:r>
        <w:r w:rsidR="00174B4C" w:rsidRPr="0062313B">
          <w:rPr>
            <w:rStyle w:val="Hyperlink"/>
            <w:noProof/>
          </w:rPr>
          <w:tab/>
          <w:t>STIPULATED – Long-Term Debt</w:t>
        </w:r>
        <w:r w:rsidR="00174B4C">
          <w:rPr>
            <w:noProof/>
            <w:webHidden/>
          </w:rPr>
          <w:tab/>
        </w:r>
        <w:r w:rsidR="00174B4C">
          <w:rPr>
            <w:noProof/>
            <w:webHidden/>
          </w:rPr>
          <w:fldChar w:fldCharType="begin"/>
        </w:r>
        <w:r w:rsidR="00174B4C">
          <w:rPr>
            <w:noProof/>
            <w:webHidden/>
          </w:rPr>
          <w:instrText xml:space="preserve"> PAGEREF _Toc196317139 \h </w:instrText>
        </w:r>
        <w:r w:rsidR="00174B4C">
          <w:rPr>
            <w:noProof/>
            <w:webHidden/>
          </w:rPr>
        </w:r>
        <w:r w:rsidR="00174B4C">
          <w:rPr>
            <w:noProof/>
            <w:webHidden/>
          </w:rPr>
          <w:fldChar w:fldCharType="separate"/>
        </w:r>
        <w:r w:rsidR="009D3FF7">
          <w:rPr>
            <w:noProof/>
            <w:webHidden/>
          </w:rPr>
          <w:t>71</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40" w:history="1">
        <w:r w:rsidR="00174B4C" w:rsidRPr="0062313B">
          <w:rPr>
            <w:rStyle w:val="Hyperlink"/>
            <w:noProof/>
          </w:rPr>
          <w:t>22</w:t>
        </w:r>
        <w:r w:rsidR="00174B4C" w:rsidRPr="0062313B">
          <w:rPr>
            <w:rStyle w:val="Hyperlink"/>
            <w:noProof/>
          </w:rPr>
          <w:tab/>
          <w:t>STIPULATED – Return on Equity</w:t>
        </w:r>
        <w:r w:rsidR="00174B4C">
          <w:rPr>
            <w:noProof/>
            <w:webHidden/>
          </w:rPr>
          <w:tab/>
        </w:r>
        <w:r w:rsidR="00174B4C">
          <w:rPr>
            <w:noProof/>
            <w:webHidden/>
          </w:rPr>
          <w:fldChar w:fldCharType="begin"/>
        </w:r>
        <w:r w:rsidR="00174B4C">
          <w:rPr>
            <w:noProof/>
            <w:webHidden/>
          </w:rPr>
          <w:instrText xml:space="preserve"> PAGEREF _Toc196317140 \h </w:instrText>
        </w:r>
        <w:r w:rsidR="00174B4C">
          <w:rPr>
            <w:noProof/>
            <w:webHidden/>
          </w:rPr>
        </w:r>
        <w:r w:rsidR="00174B4C">
          <w:rPr>
            <w:noProof/>
            <w:webHidden/>
          </w:rPr>
          <w:fldChar w:fldCharType="separate"/>
        </w:r>
        <w:r w:rsidR="009D3FF7">
          <w:rPr>
            <w:noProof/>
            <w:webHidden/>
          </w:rPr>
          <w:t>72</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41" w:history="1">
        <w:r w:rsidR="00174B4C" w:rsidRPr="0062313B">
          <w:rPr>
            <w:rStyle w:val="Hyperlink"/>
            <w:noProof/>
          </w:rPr>
          <w:t>23</w:t>
        </w:r>
        <w:r w:rsidR="00174B4C" w:rsidRPr="0062313B">
          <w:rPr>
            <w:rStyle w:val="Hyperlink"/>
            <w:noProof/>
          </w:rPr>
          <w:tab/>
          <w:t>Weighted Average Cost of Capital (Sewards)</w:t>
        </w:r>
        <w:r w:rsidR="00174B4C">
          <w:rPr>
            <w:noProof/>
            <w:webHidden/>
          </w:rPr>
          <w:tab/>
        </w:r>
        <w:r w:rsidR="00174B4C">
          <w:rPr>
            <w:noProof/>
            <w:webHidden/>
          </w:rPr>
          <w:fldChar w:fldCharType="begin"/>
        </w:r>
        <w:r w:rsidR="00174B4C">
          <w:rPr>
            <w:noProof/>
            <w:webHidden/>
          </w:rPr>
          <w:instrText xml:space="preserve"> PAGEREF _Toc196317141 \h </w:instrText>
        </w:r>
        <w:r w:rsidR="00174B4C">
          <w:rPr>
            <w:noProof/>
            <w:webHidden/>
          </w:rPr>
        </w:r>
        <w:r w:rsidR="00174B4C">
          <w:rPr>
            <w:noProof/>
            <w:webHidden/>
          </w:rPr>
          <w:fldChar w:fldCharType="separate"/>
        </w:r>
        <w:r w:rsidR="009D3FF7">
          <w:rPr>
            <w:noProof/>
            <w:webHidden/>
          </w:rPr>
          <w:t>73</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42" w:history="1">
        <w:r w:rsidR="00174B4C" w:rsidRPr="0062313B">
          <w:rPr>
            <w:rStyle w:val="Hyperlink"/>
            <w:noProof/>
          </w:rPr>
          <w:t>24</w:t>
        </w:r>
        <w:r w:rsidR="00174B4C" w:rsidRPr="0062313B">
          <w:rPr>
            <w:rStyle w:val="Hyperlink"/>
            <w:noProof/>
          </w:rPr>
          <w:tab/>
          <w:t>Test Year Revenues (Bethea, Sibley)</w:t>
        </w:r>
        <w:r w:rsidR="00174B4C">
          <w:rPr>
            <w:noProof/>
            <w:webHidden/>
          </w:rPr>
          <w:tab/>
        </w:r>
        <w:r w:rsidR="00174B4C">
          <w:rPr>
            <w:noProof/>
            <w:webHidden/>
          </w:rPr>
          <w:fldChar w:fldCharType="begin"/>
        </w:r>
        <w:r w:rsidR="00174B4C">
          <w:rPr>
            <w:noProof/>
            <w:webHidden/>
          </w:rPr>
          <w:instrText xml:space="preserve"> PAGEREF _Toc196317142 \h </w:instrText>
        </w:r>
        <w:r w:rsidR="00174B4C">
          <w:rPr>
            <w:noProof/>
            <w:webHidden/>
          </w:rPr>
        </w:r>
        <w:r w:rsidR="00174B4C">
          <w:rPr>
            <w:noProof/>
            <w:webHidden/>
          </w:rPr>
          <w:fldChar w:fldCharType="separate"/>
        </w:r>
        <w:r w:rsidR="009D3FF7">
          <w:rPr>
            <w:noProof/>
            <w:webHidden/>
          </w:rPr>
          <w:t>76</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43" w:history="1">
        <w:r w:rsidR="00174B4C" w:rsidRPr="0062313B">
          <w:rPr>
            <w:rStyle w:val="Hyperlink"/>
            <w:noProof/>
          </w:rPr>
          <w:t>25</w:t>
        </w:r>
        <w:r w:rsidR="00174B4C" w:rsidRPr="0062313B">
          <w:rPr>
            <w:rStyle w:val="Hyperlink"/>
            <w:noProof/>
          </w:rPr>
          <w:tab/>
          <w:t>Rate Case Expense (Sewards)</w:t>
        </w:r>
        <w:r w:rsidR="00174B4C">
          <w:rPr>
            <w:noProof/>
            <w:webHidden/>
          </w:rPr>
          <w:tab/>
        </w:r>
        <w:r w:rsidR="00174B4C">
          <w:rPr>
            <w:noProof/>
            <w:webHidden/>
          </w:rPr>
          <w:fldChar w:fldCharType="begin"/>
        </w:r>
        <w:r w:rsidR="00174B4C">
          <w:rPr>
            <w:noProof/>
            <w:webHidden/>
          </w:rPr>
          <w:instrText xml:space="preserve"> PAGEREF _Toc196317143 \h </w:instrText>
        </w:r>
        <w:r w:rsidR="00174B4C">
          <w:rPr>
            <w:noProof/>
            <w:webHidden/>
          </w:rPr>
        </w:r>
        <w:r w:rsidR="00174B4C">
          <w:rPr>
            <w:noProof/>
            <w:webHidden/>
          </w:rPr>
          <w:fldChar w:fldCharType="separate"/>
        </w:r>
        <w:r w:rsidR="009D3FF7">
          <w:rPr>
            <w:noProof/>
            <w:webHidden/>
          </w:rPr>
          <w:t>79</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44" w:history="1">
        <w:r w:rsidR="00174B4C" w:rsidRPr="0062313B">
          <w:rPr>
            <w:rStyle w:val="Hyperlink"/>
            <w:noProof/>
          </w:rPr>
          <w:t>26</w:t>
        </w:r>
        <w:r w:rsidR="00174B4C" w:rsidRPr="0062313B">
          <w:rPr>
            <w:rStyle w:val="Hyperlink"/>
            <w:noProof/>
          </w:rPr>
          <w:tab/>
          <w:t>Pro Forma O&amp;M Expense (Przygocki, Sanchez, Chambliss)</w:t>
        </w:r>
        <w:r w:rsidR="00174B4C">
          <w:rPr>
            <w:noProof/>
            <w:webHidden/>
          </w:rPr>
          <w:tab/>
        </w:r>
        <w:r w:rsidR="00174B4C">
          <w:rPr>
            <w:noProof/>
            <w:webHidden/>
          </w:rPr>
          <w:fldChar w:fldCharType="begin"/>
        </w:r>
        <w:r w:rsidR="00174B4C">
          <w:rPr>
            <w:noProof/>
            <w:webHidden/>
          </w:rPr>
          <w:instrText xml:space="preserve"> PAGEREF _Toc196317144 \h </w:instrText>
        </w:r>
        <w:r w:rsidR="00174B4C">
          <w:rPr>
            <w:noProof/>
            <w:webHidden/>
          </w:rPr>
        </w:r>
        <w:r w:rsidR="00174B4C">
          <w:rPr>
            <w:noProof/>
            <w:webHidden/>
          </w:rPr>
          <w:fldChar w:fldCharType="separate"/>
        </w:r>
        <w:r w:rsidR="009D3FF7">
          <w:rPr>
            <w:noProof/>
            <w:webHidden/>
          </w:rPr>
          <w:t>83</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45" w:history="1">
        <w:r w:rsidR="00174B4C" w:rsidRPr="0062313B">
          <w:rPr>
            <w:rStyle w:val="Hyperlink"/>
            <w:noProof/>
          </w:rPr>
          <w:t>27</w:t>
        </w:r>
        <w:r w:rsidR="00174B4C" w:rsidRPr="0062313B">
          <w:rPr>
            <w:rStyle w:val="Hyperlink"/>
            <w:noProof/>
          </w:rPr>
          <w:tab/>
          <w:t>Management Expenses (Bardin)</w:t>
        </w:r>
        <w:r w:rsidR="00174B4C">
          <w:rPr>
            <w:noProof/>
            <w:webHidden/>
          </w:rPr>
          <w:tab/>
        </w:r>
        <w:r w:rsidR="00174B4C">
          <w:rPr>
            <w:noProof/>
            <w:webHidden/>
          </w:rPr>
          <w:fldChar w:fldCharType="begin"/>
        </w:r>
        <w:r w:rsidR="00174B4C">
          <w:rPr>
            <w:noProof/>
            <w:webHidden/>
          </w:rPr>
          <w:instrText xml:space="preserve"> PAGEREF _Toc196317145 \h </w:instrText>
        </w:r>
        <w:r w:rsidR="00174B4C">
          <w:rPr>
            <w:noProof/>
            <w:webHidden/>
          </w:rPr>
        </w:r>
        <w:r w:rsidR="00174B4C">
          <w:rPr>
            <w:noProof/>
            <w:webHidden/>
          </w:rPr>
          <w:fldChar w:fldCharType="separate"/>
        </w:r>
        <w:r w:rsidR="009D3FF7">
          <w:rPr>
            <w:noProof/>
            <w:webHidden/>
          </w:rPr>
          <w:t>87</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46" w:history="1">
        <w:r w:rsidR="00174B4C" w:rsidRPr="0062313B">
          <w:rPr>
            <w:rStyle w:val="Hyperlink"/>
            <w:noProof/>
          </w:rPr>
          <w:t>28</w:t>
        </w:r>
        <w:r w:rsidR="00174B4C" w:rsidRPr="0062313B">
          <w:rPr>
            <w:rStyle w:val="Hyperlink"/>
            <w:noProof/>
          </w:rPr>
          <w:tab/>
          <w:t>Test Year O&amp;M Expense (Przygocki)</w:t>
        </w:r>
        <w:r w:rsidR="00174B4C">
          <w:rPr>
            <w:noProof/>
            <w:webHidden/>
          </w:rPr>
          <w:tab/>
        </w:r>
        <w:r w:rsidR="00174B4C">
          <w:rPr>
            <w:noProof/>
            <w:webHidden/>
          </w:rPr>
          <w:fldChar w:fldCharType="begin"/>
        </w:r>
        <w:r w:rsidR="00174B4C">
          <w:rPr>
            <w:noProof/>
            <w:webHidden/>
          </w:rPr>
          <w:instrText xml:space="preserve"> PAGEREF _Toc196317146 \h </w:instrText>
        </w:r>
        <w:r w:rsidR="00174B4C">
          <w:rPr>
            <w:noProof/>
            <w:webHidden/>
          </w:rPr>
        </w:r>
        <w:r w:rsidR="00174B4C">
          <w:rPr>
            <w:noProof/>
            <w:webHidden/>
          </w:rPr>
          <w:fldChar w:fldCharType="separate"/>
        </w:r>
        <w:r w:rsidR="009D3FF7">
          <w:rPr>
            <w:noProof/>
            <w:webHidden/>
          </w:rPr>
          <w:t>92</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47" w:history="1">
        <w:r w:rsidR="00174B4C" w:rsidRPr="0062313B">
          <w:rPr>
            <w:rStyle w:val="Hyperlink"/>
            <w:noProof/>
          </w:rPr>
          <w:t>29</w:t>
        </w:r>
        <w:r w:rsidR="00174B4C" w:rsidRPr="0062313B">
          <w:rPr>
            <w:rStyle w:val="Hyperlink"/>
            <w:noProof/>
          </w:rPr>
          <w:tab/>
          <w:t>TOTI (Przygocki)</w:t>
        </w:r>
        <w:r w:rsidR="00174B4C">
          <w:rPr>
            <w:noProof/>
            <w:webHidden/>
          </w:rPr>
          <w:tab/>
        </w:r>
        <w:r w:rsidR="00174B4C">
          <w:rPr>
            <w:noProof/>
            <w:webHidden/>
          </w:rPr>
          <w:fldChar w:fldCharType="begin"/>
        </w:r>
        <w:r w:rsidR="00174B4C">
          <w:rPr>
            <w:noProof/>
            <w:webHidden/>
          </w:rPr>
          <w:instrText xml:space="preserve"> PAGEREF _Toc196317147 \h </w:instrText>
        </w:r>
        <w:r w:rsidR="00174B4C">
          <w:rPr>
            <w:noProof/>
            <w:webHidden/>
          </w:rPr>
        </w:r>
        <w:r w:rsidR="00174B4C">
          <w:rPr>
            <w:noProof/>
            <w:webHidden/>
          </w:rPr>
          <w:fldChar w:fldCharType="separate"/>
        </w:r>
        <w:r w:rsidR="009D3FF7">
          <w:rPr>
            <w:noProof/>
            <w:webHidden/>
          </w:rPr>
          <w:t>97</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48" w:history="1">
        <w:r w:rsidR="00174B4C" w:rsidRPr="0062313B">
          <w:rPr>
            <w:rStyle w:val="Hyperlink"/>
            <w:noProof/>
          </w:rPr>
          <w:t>30</w:t>
        </w:r>
        <w:r w:rsidR="00174B4C" w:rsidRPr="0062313B">
          <w:rPr>
            <w:rStyle w:val="Hyperlink"/>
            <w:noProof/>
          </w:rPr>
          <w:tab/>
          <w:t>Depreciation Expense (York, Sewards)</w:t>
        </w:r>
        <w:r w:rsidR="00174B4C">
          <w:rPr>
            <w:noProof/>
            <w:webHidden/>
          </w:rPr>
          <w:tab/>
        </w:r>
        <w:r w:rsidR="00174B4C">
          <w:rPr>
            <w:noProof/>
            <w:webHidden/>
          </w:rPr>
          <w:fldChar w:fldCharType="begin"/>
        </w:r>
        <w:r w:rsidR="00174B4C">
          <w:rPr>
            <w:noProof/>
            <w:webHidden/>
          </w:rPr>
          <w:instrText xml:space="preserve"> PAGEREF _Toc196317148 \h </w:instrText>
        </w:r>
        <w:r w:rsidR="00174B4C">
          <w:rPr>
            <w:noProof/>
            <w:webHidden/>
          </w:rPr>
        </w:r>
        <w:r w:rsidR="00174B4C">
          <w:rPr>
            <w:noProof/>
            <w:webHidden/>
          </w:rPr>
          <w:fldChar w:fldCharType="separate"/>
        </w:r>
        <w:r w:rsidR="009D3FF7">
          <w:rPr>
            <w:noProof/>
            <w:webHidden/>
          </w:rPr>
          <w:t>98</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49" w:history="1">
        <w:r w:rsidR="00174B4C" w:rsidRPr="0062313B">
          <w:rPr>
            <w:rStyle w:val="Hyperlink"/>
            <w:noProof/>
          </w:rPr>
          <w:t>31</w:t>
        </w:r>
        <w:r w:rsidR="00174B4C" w:rsidRPr="0062313B">
          <w:rPr>
            <w:rStyle w:val="Hyperlink"/>
            <w:noProof/>
          </w:rPr>
          <w:tab/>
          <w:t>CIAC Amortiztion Expense (Przygocki)</w:t>
        </w:r>
        <w:r w:rsidR="00174B4C">
          <w:rPr>
            <w:noProof/>
            <w:webHidden/>
          </w:rPr>
          <w:tab/>
        </w:r>
        <w:r w:rsidR="00174B4C">
          <w:rPr>
            <w:noProof/>
            <w:webHidden/>
          </w:rPr>
          <w:fldChar w:fldCharType="begin"/>
        </w:r>
        <w:r w:rsidR="00174B4C">
          <w:rPr>
            <w:noProof/>
            <w:webHidden/>
          </w:rPr>
          <w:instrText xml:space="preserve"> PAGEREF _Toc196317149 \h </w:instrText>
        </w:r>
        <w:r w:rsidR="00174B4C">
          <w:rPr>
            <w:noProof/>
            <w:webHidden/>
          </w:rPr>
        </w:r>
        <w:r w:rsidR="00174B4C">
          <w:rPr>
            <w:noProof/>
            <w:webHidden/>
          </w:rPr>
          <w:fldChar w:fldCharType="separate"/>
        </w:r>
        <w:r w:rsidR="009D3FF7">
          <w:rPr>
            <w:noProof/>
            <w:webHidden/>
          </w:rPr>
          <w:t>99</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50" w:history="1">
        <w:r w:rsidR="00174B4C" w:rsidRPr="0062313B">
          <w:rPr>
            <w:rStyle w:val="Hyperlink"/>
            <w:noProof/>
          </w:rPr>
          <w:t>32</w:t>
        </w:r>
        <w:r w:rsidR="00174B4C" w:rsidRPr="0062313B">
          <w:rPr>
            <w:rStyle w:val="Hyperlink"/>
            <w:noProof/>
          </w:rPr>
          <w:tab/>
          <w:t>Income Tax Expense (Sewards)</w:t>
        </w:r>
        <w:r w:rsidR="00174B4C">
          <w:rPr>
            <w:noProof/>
            <w:webHidden/>
          </w:rPr>
          <w:tab/>
        </w:r>
        <w:r w:rsidR="00174B4C">
          <w:rPr>
            <w:noProof/>
            <w:webHidden/>
          </w:rPr>
          <w:fldChar w:fldCharType="begin"/>
        </w:r>
        <w:r w:rsidR="00174B4C">
          <w:rPr>
            <w:noProof/>
            <w:webHidden/>
          </w:rPr>
          <w:instrText xml:space="preserve"> PAGEREF _Toc196317150 \h </w:instrText>
        </w:r>
        <w:r w:rsidR="00174B4C">
          <w:rPr>
            <w:noProof/>
            <w:webHidden/>
          </w:rPr>
        </w:r>
        <w:r w:rsidR="00174B4C">
          <w:rPr>
            <w:noProof/>
            <w:webHidden/>
          </w:rPr>
          <w:fldChar w:fldCharType="separate"/>
        </w:r>
        <w:r w:rsidR="009D3FF7">
          <w:rPr>
            <w:noProof/>
            <w:webHidden/>
          </w:rPr>
          <w:t>100</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51" w:history="1">
        <w:r w:rsidR="00174B4C" w:rsidRPr="0062313B">
          <w:rPr>
            <w:rStyle w:val="Hyperlink"/>
            <w:noProof/>
          </w:rPr>
          <w:t>33</w:t>
        </w:r>
        <w:r w:rsidR="00174B4C" w:rsidRPr="0062313B">
          <w:rPr>
            <w:rStyle w:val="Hyperlink"/>
            <w:noProof/>
          </w:rPr>
          <w:tab/>
          <w:t>Revenue Requirement (Przygocki)</w:t>
        </w:r>
        <w:r w:rsidR="00174B4C">
          <w:rPr>
            <w:noProof/>
            <w:webHidden/>
          </w:rPr>
          <w:tab/>
        </w:r>
        <w:r w:rsidR="00174B4C">
          <w:rPr>
            <w:noProof/>
            <w:webHidden/>
          </w:rPr>
          <w:fldChar w:fldCharType="begin"/>
        </w:r>
        <w:r w:rsidR="00174B4C">
          <w:rPr>
            <w:noProof/>
            <w:webHidden/>
          </w:rPr>
          <w:instrText xml:space="preserve"> PAGEREF _Toc196317151 \h </w:instrText>
        </w:r>
        <w:r w:rsidR="00174B4C">
          <w:rPr>
            <w:noProof/>
            <w:webHidden/>
          </w:rPr>
        </w:r>
        <w:r w:rsidR="00174B4C">
          <w:rPr>
            <w:noProof/>
            <w:webHidden/>
          </w:rPr>
          <w:fldChar w:fldCharType="separate"/>
        </w:r>
        <w:r w:rsidR="009D3FF7">
          <w:rPr>
            <w:noProof/>
            <w:webHidden/>
          </w:rPr>
          <w:t>101</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52" w:history="1">
        <w:r w:rsidR="00174B4C" w:rsidRPr="0062313B">
          <w:rPr>
            <w:rStyle w:val="Hyperlink"/>
            <w:noProof/>
          </w:rPr>
          <w:t>34</w:t>
        </w:r>
        <w:r w:rsidR="00174B4C" w:rsidRPr="0062313B">
          <w:rPr>
            <w:rStyle w:val="Hyperlink"/>
            <w:noProof/>
          </w:rPr>
          <w:tab/>
          <w:t>Water Rate Structures &amp; Rates (Bethea)</w:t>
        </w:r>
        <w:r w:rsidR="00174B4C">
          <w:rPr>
            <w:noProof/>
            <w:webHidden/>
          </w:rPr>
          <w:tab/>
        </w:r>
        <w:r w:rsidR="00174B4C">
          <w:rPr>
            <w:noProof/>
            <w:webHidden/>
          </w:rPr>
          <w:fldChar w:fldCharType="begin"/>
        </w:r>
        <w:r w:rsidR="00174B4C">
          <w:rPr>
            <w:noProof/>
            <w:webHidden/>
          </w:rPr>
          <w:instrText xml:space="preserve"> PAGEREF _Toc196317152 \h </w:instrText>
        </w:r>
        <w:r w:rsidR="00174B4C">
          <w:rPr>
            <w:noProof/>
            <w:webHidden/>
          </w:rPr>
        </w:r>
        <w:r w:rsidR="00174B4C">
          <w:rPr>
            <w:noProof/>
            <w:webHidden/>
          </w:rPr>
          <w:fldChar w:fldCharType="separate"/>
        </w:r>
        <w:r w:rsidR="009D3FF7">
          <w:rPr>
            <w:noProof/>
            <w:webHidden/>
          </w:rPr>
          <w:t>102</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53" w:history="1">
        <w:r w:rsidR="00174B4C" w:rsidRPr="0062313B">
          <w:rPr>
            <w:rStyle w:val="Hyperlink"/>
            <w:noProof/>
          </w:rPr>
          <w:t>35</w:t>
        </w:r>
        <w:r w:rsidR="00174B4C" w:rsidRPr="0062313B">
          <w:rPr>
            <w:rStyle w:val="Hyperlink"/>
            <w:noProof/>
          </w:rPr>
          <w:tab/>
          <w:t>STIPULATED – Private Fire Protection</w:t>
        </w:r>
        <w:r w:rsidR="00174B4C">
          <w:rPr>
            <w:noProof/>
            <w:webHidden/>
          </w:rPr>
          <w:tab/>
        </w:r>
        <w:r w:rsidR="00174B4C">
          <w:rPr>
            <w:noProof/>
            <w:webHidden/>
          </w:rPr>
          <w:fldChar w:fldCharType="begin"/>
        </w:r>
        <w:r w:rsidR="00174B4C">
          <w:rPr>
            <w:noProof/>
            <w:webHidden/>
          </w:rPr>
          <w:instrText xml:space="preserve"> PAGEREF _Toc196317153 \h </w:instrText>
        </w:r>
        <w:r w:rsidR="00174B4C">
          <w:rPr>
            <w:noProof/>
            <w:webHidden/>
          </w:rPr>
        </w:r>
        <w:r w:rsidR="00174B4C">
          <w:rPr>
            <w:noProof/>
            <w:webHidden/>
          </w:rPr>
          <w:fldChar w:fldCharType="separate"/>
        </w:r>
        <w:r w:rsidR="009D3FF7">
          <w:rPr>
            <w:noProof/>
            <w:webHidden/>
          </w:rPr>
          <w:t>104</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54" w:history="1">
        <w:r w:rsidR="00174B4C" w:rsidRPr="0062313B">
          <w:rPr>
            <w:rStyle w:val="Hyperlink"/>
            <w:noProof/>
          </w:rPr>
          <w:t>36</w:t>
        </w:r>
        <w:r w:rsidR="00174B4C" w:rsidRPr="0062313B">
          <w:rPr>
            <w:rStyle w:val="Hyperlink"/>
            <w:noProof/>
          </w:rPr>
          <w:tab/>
          <w:t>Wastewater Rate Structures &amp; Rates (Sibley)</w:t>
        </w:r>
        <w:r w:rsidR="00174B4C">
          <w:rPr>
            <w:noProof/>
            <w:webHidden/>
          </w:rPr>
          <w:tab/>
        </w:r>
        <w:r w:rsidR="00174B4C">
          <w:rPr>
            <w:noProof/>
            <w:webHidden/>
          </w:rPr>
          <w:fldChar w:fldCharType="begin"/>
        </w:r>
        <w:r w:rsidR="00174B4C">
          <w:rPr>
            <w:noProof/>
            <w:webHidden/>
          </w:rPr>
          <w:instrText xml:space="preserve"> PAGEREF _Toc196317154 \h </w:instrText>
        </w:r>
        <w:r w:rsidR="00174B4C">
          <w:rPr>
            <w:noProof/>
            <w:webHidden/>
          </w:rPr>
        </w:r>
        <w:r w:rsidR="00174B4C">
          <w:rPr>
            <w:noProof/>
            <w:webHidden/>
          </w:rPr>
          <w:fldChar w:fldCharType="separate"/>
        </w:r>
        <w:r w:rsidR="009D3FF7">
          <w:rPr>
            <w:noProof/>
            <w:webHidden/>
          </w:rPr>
          <w:t>105</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55" w:history="1">
        <w:r w:rsidR="00174B4C" w:rsidRPr="0062313B">
          <w:rPr>
            <w:rStyle w:val="Hyperlink"/>
            <w:noProof/>
          </w:rPr>
          <w:t>37</w:t>
        </w:r>
        <w:r w:rsidR="00174B4C" w:rsidRPr="0062313B">
          <w:rPr>
            <w:rStyle w:val="Hyperlink"/>
            <w:noProof/>
          </w:rPr>
          <w:tab/>
          <w:t>Reuse Rates (Sibley)</w:t>
        </w:r>
        <w:r w:rsidR="00174B4C">
          <w:rPr>
            <w:noProof/>
            <w:webHidden/>
          </w:rPr>
          <w:tab/>
        </w:r>
        <w:r w:rsidR="00174B4C">
          <w:rPr>
            <w:noProof/>
            <w:webHidden/>
          </w:rPr>
          <w:fldChar w:fldCharType="begin"/>
        </w:r>
        <w:r w:rsidR="00174B4C">
          <w:rPr>
            <w:noProof/>
            <w:webHidden/>
          </w:rPr>
          <w:instrText xml:space="preserve"> PAGEREF _Toc196317155 \h </w:instrText>
        </w:r>
        <w:r w:rsidR="00174B4C">
          <w:rPr>
            <w:noProof/>
            <w:webHidden/>
          </w:rPr>
        </w:r>
        <w:r w:rsidR="00174B4C">
          <w:rPr>
            <w:noProof/>
            <w:webHidden/>
          </w:rPr>
          <w:fldChar w:fldCharType="separate"/>
        </w:r>
        <w:r w:rsidR="009D3FF7">
          <w:rPr>
            <w:noProof/>
            <w:webHidden/>
          </w:rPr>
          <w:t>107</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56" w:history="1">
        <w:r w:rsidR="00174B4C" w:rsidRPr="0062313B">
          <w:rPr>
            <w:rStyle w:val="Hyperlink"/>
            <w:noProof/>
          </w:rPr>
          <w:t>38</w:t>
        </w:r>
        <w:r w:rsidR="00174B4C" w:rsidRPr="0062313B">
          <w:rPr>
            <w:rStyle w:val="Hyperlink"/>
            <w:noProof/>
          </w:rPr>
          <w:tab/>
          <w:t>STIPULATED – Customer Deposit Charge</w:t>
        </w:r>
        <w:r w:rsidR="00174B4C">
          <w:rPr>
            <w:noProof/>
            <w:webHidden/>
          </w:rPr>
          <w:tab/>
        </w:r>
        <w:r w:rsidR="00174B4C">
          <w:rPr>
            <w:noProof/>
            <w:webHidden/>
          </w:rPr>
          <w:fldChar w:fldCharType="begin"/>
        </w:r>
        <w:r w:rsidR="00174B4C">
          <w:rPr>
            <w:noProof/>
            <w:webHidden/>
          </w:rPr>
          <w:instrText xml:space="preserve"> PAGEREF _Toc196317156 \h </w:instrText>
        </w:r>
        <w:r w:rsidR="00174B4C">
          <w:rPr>
            <w:noProof/>
            <w:webHidden/>
          </w:rPr>
        </w:r>
        <w:r w:rsidR="00174B4C">
          <w:rPr>
            <w:noProof/>
            <w:webHidden/>
          </w:rPr>
          <w:fldChar w:fldCharType="separate"/>
        </w:r>
        <w:r w:rsidR="009D3FF7">
          <w:rPr>
            <w:noProof/>
            <w:webHidden/>
          </w:rPr>
          <w:t>109</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57" w:history="1">
        <w:r w:rsidR="00174B4C" w:rsidRPr="0062313B">
          <w:rPr>
            <w:rStyle w:val="Hyperlink"/>
            <w:noProof/>
          </w:rPr>
          <w:t>39</w:t>
        </w:r>
        <w:r w:rsidR="00174B4C" w:rsidRPr="0062313B">
          <w:rPr>
            <w:rStyle w:val="Hyperlink"/>
            <w:noProof/>
          </w:rPr>
          <w:tab/>
          <w:t>Miscellaneous Service Charges (Chambliss)</w:t>
        </w:r>
        <w:r w:rsidR="00174B4C">
          <w:rPr>
            <w:noProof/>
            <w:webHidden/>
          </w:rPr>
          <w:tab/>
        </w:r>
        <w:r w:rsidR="00174B4C">
          <w:rPr>
            <w:noProof/>
            <w:webHidden/>
          </w:rPr>
          <w:fldChar w:fldCharType="begin"/>
        </w:r>
        <w:r w:rsidR="00174B4C">
          <w:rPr>
            <w:noProof/>
            <w:webHidden/>
          </w:rPr>
          <w:instrText xml:space="preserve"> PAGEREF _Toc196317157 \h </w:instrText>
        </w:r>
        <w:r w:rsidR="00174B4C">
          <w:rPr>
            <w:noProof/>
            <w:webHidden/>
          </w:rPr>
        </w:r>
        <w:r w:rsidR="00174B4C">
          <w:rPr>
            <w:noProof/>
            <w:webHidden/>
          </w:rPr>
          <w:fldChar w:fldCharType="separate"/>
        </w:r>
        <w:r w:rsidR="009D3FF7">
          <w:rPr>
            <w:noProof/>
            <w:webHidden/>
          </w:rPr>
          <w:t>110</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58" w:history="1">
        <w:r w:rsidR="00174B4C" w:rsidRPr="0062313B">
          <w:rPr>
            <w:rStyle w:val="Hyperlink"/>
            <w:noProof/>
          </w:rPr>
          <w:t>40</w:t>
        </w:r>
        <w:r w:rsidR="00174B4C" w:rsidRPr="0062313B">
          <w:rPr>
            <w:rStyle w:val="Hyperlink"/>
            <w:noProof/>
          </w:rPr>
          <w:tab/>
          <w:t>Guaranteed Revenue Charges (Bethea)</w:t>
        </w:r>
        <w:r w:rsidR="00174B4C">
          <w:rPr>
            <w:noProof/>
            <w:webHidden/>
          </w:rPr>
          <w:tab/>
        </w:r>
        <w:r w:rsidR="00174B4C">
          <w:rPr>
            <w:noProof/>
            <w:webHidden/>
          </w:rPr>
          <w:fldChar w:fldCharType="begin"/>
        </w:r>
        <w:r w:rsidR="00174B4C">
          <w:rPr>
            <w:noProof/>
            <w:webHidden/>
          </w:rPr>
          <w:instrText xml:space="preserve"> PAGEREF _Toc196317158 \h </w:instrText>
        </w:r>
        <w:r w:rsidR="00174B4C">
          <w:rPr>
            <w:noProof/>
            <w:webHidden/>
          </w:rPr>
        </w:r>
        <w:r w:rsidR="00174B4C">
          <w:rPr>
            <w:noProof/>
            <w:webHidden/>
          </w:rPr>
          <w:fldChar w:fldCharType="separate"/>
        </w:r>
        <w:r w:rsidR="009D3FF7">
          <w:rPr>
            <w:noProof/>
            <w:webHidden/>
          </w:rPr>
          <w:t>112</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59" w:history="1">
        <w:r w:rsidR="00174B4C" w:rsidRPr="0062313B">
          <w:rPr>
            <w:rStyle w:val="Hyperlink"/>
            <w:noProof/>
          </w:rPr>
          <w:t>41</w:t>
        </w:r>
        <w:r w:rsidR="00174B4C" w:rsidRPr="0062313B">
          <w:rPr>
            <w:rStyle w:val="Hyperlink"/>
            <w:noProof/>
          </w:rPr>
          <w:tab/>
          <w:t>Meter Installation Charges (Lenberg)</w:t>
        </w:r>
        <w:r w:rsidR="00174B4C">
          <w:rPr>
            <w:noProof/>
            <w:webHidden/>
          </w:rPr>
          <w:tab/>
        </w:r>
        <w:r w:rsidR="00174B4C">
          <w:rPr>
            <w:noProof/>
            <w:webHidden/>
          </w:rPr>
          <w:fldChar w:fldCharType="begin"/>
        </w:r>
        <w:r w:rsidR="00174B4C">
          <w:rPr>
            <w:noProof/>
            <w:webHidden/>
          </w:rPr>
          <w:instrText xml:space="preserve"> PAGEREF _Toc196317159 \h </w:instrText>
        </w:r>
        <w:r w:rsidR="00174B4C">
          <w:rPr>
            <w:noProof/>
            <w:webHidden/>
          </w:rPr>
        </w:r>
        <w:r w:rsidR="00174B4C">
          <w:rPr>
            <w:noProof/>
            <w:webHidden/>
          </w:rPr>
          <w:fldChar w:fldCharType="separate"/>
        </w:r>
        <w:r w:rsidR="009D3FF7">
          <w:rPr>
            <w:noProof/>
            <w:webHidden/>
          </w:rPr>
          <w:t>113</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60" w:history="1">
        <w:r w:rsidR="00174B4C" w:rsidRPr="0062313B">
          <w:rPr>
            <w:rStyle w:val="Hyperlink"/>
            <w:noProof/>
          </w:rPr>
          <w:t>41A</w:t>
        </w:r>
        <w:r w:rsidR="00174B4C" w:rsidRPr="0062313B">
          <w:rPr>
            <w:rStyle w:val="Hyperlink"/>
            <w:noProof/>
          </w:rPr>
          <w:tab/>
          <w:t>Affordability (Sandy, Farooqi)</w:t>
        </w:r>
        <w:r w:rsidR="00174B4C">
          <w:rPr>
            <w:noProof/>
            <w:webHidden/>
          </w:rPr>
          <w:tab/>
        </w:r>
        <w:r w:rsidR="00174B4C">
          <w:rPr>
            <w:noProof/>
            <w:webHidden/>
          </w:rPr>
          <w:fldChar w:fldCharType="begin"/>
        </w:r>
        <w:r w:rsidR="00174B4C">
          <w:rPr>
            <w:noProof/>
            <w:webHidden/>
          </w:rPr>
          <w:instrText xml:space="preserve"> PAGEREF _Toc196317160 \h </w:instrText>
        </w:r>
        <w:r w:rsidR="00174B4C">
          <w:rPr>
            <w:noProof/>
            <w:webHidden/>
          </w:rPr>
        </w:r>
        <w:r w:rsidR="00174B4C">
          <w:rPr>
            <w:noProof/>
            <w:webHidden/>
          </w:rPr>
          <w:fldChar w:fldCharType="separate"/>
        </w:r>
        <w:r w:rsidR="009D3FF7">
          <w:rPr>
            <w:noProof/>
            <w:webHidden/>
          </w:rPr>
          <w:t>115</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61" w:history="1">
        <w:r w:rsidR="00174B4C" w:rsidRPr="0062313B">
          <w:rPr>
            <w:rStyle w:val="Hyperlink"/>
            <w:noProof/>
          </w:rPr>
          <w:t>42</w:t>
        </w:r>
        <w:r w:rsidR="00174B4C" w:rsidRPr="0062313B">
          <w:rPr>
            <w:rStyle w:val="Hyperlink"/>
            <w:noProof/>
          </w:rPr>
          <w:tab/>
          <w:t>Merger Deferral Accounts (Bardin, Sewards)</w:t>
        </w:r>
        <w:r w:rsidR="00174B4C">
          <w:rPr>
            <w:noProof/>
            <w:webHidden/>
          </w:rPr>
          <w:tab/>
        </w:r>
        <w:r w:rsidR="00174B4C">
          <w:rPr>
            <w:noProof/>
            <w:webHidden/>
          </w:rPr>
          <w:fldChar w:fldCharType="begin"/>
        </w:r>
        <w:r w:rsidR="00174B4C">
          <w:rPr>
            <w:noProof/>
            <w:webHidden/>
          </w:rPr>
          <w:instrText xml:space="preserve"> PAGEREF _Toc196317161 \h </w:instrText>
        </w:r>
        <w:r w:rsidR="00174B4C">
          <w:rPr>
            <w:noProof/>
            <w:webHidden/>
          </w:rPr>
        </w:r>
        <w:r w:rsidR="00174B4C">
          <w:rPr>
            <w:noProof/>
            <w:webHidden/>
          </w:rPr>
          <w:fldChar w:fldCharType="separate"/>
        </w:r>
        <w:r w:rsidR="009D3FF7">
          <w:rPr>
            <w:noProof/>
            <w:webHidden/>
          </w:rPr>
          <w:t>118</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62" w:history="1">
        <w:r w:rsidR="00174B4C" w:rsidRPr="0062313B">
          <w:rPr>
            <w:rStyle w:val="Hyperlink"/>
            <w:noProof/>
          </w:rPr>
          <w:t>43</w:t>
        </w:r>
        <w:r w:rsidR="00174B4C" w:rsidRPr="0062313B">
          <w:rPr>
            <w:rStyle w:val="Hyperlink"/>
            <w:noProof/>
          </w:rPr>
          <w:tab/>
          <w:t>Rate Case Expense Amortization (Sewards)</w:t>
        </w:r>
        <w:r w:rsidR="00174B4C">
          <w:rPr>
            <w:noProof/>
            <w:webHidden/>
          </w:rPr>
          <w:tab/>
        </w:r>
        <w:r w:rsidR="00174B4C">
          <w:rPr>
            <w:noProof/>
            <w:webHidden/>
          </w:rPr>
          <w:fldChar w:fldCharType="begin"/>
        </w:r>
        <w:r w:rsidR="00174B4C">
          <w:rPr>
            <w:noProof/>
            <w:webHidden/>
          </w:rPr>
          <w:instrText xml:space="preserve"> PAGEREF _Toc196317162 \h </w:instrText>
        </w:r>
        <w:r w:rsidR="00174B4C">
          <w:rPr>
            <w:noProof/>
            <w:webHidden/>
          </w:rPr>
        </w:r>
        <w:r w:rsidR="00174B4C">
          <w:rPr>
            <w:noProof/>
            <w:webHidden/>
          </w:rPr>
          <w:fldChar w:fldCharType="separate"/>
        </w:r>
        <w:r w:rsidR="009D3FF7">
          <w:rPr>
            <w:noProof/>
            <w:webHidden/>
          </w:rPr>
          <w:t>120</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63" w:history="1">
        <w:r w:rsidR="00174B4C" w:rsidRPr="0062313B">
          <w:rPr>
            <w:rStyle w:val="Hyperlink"/>
            <w:noProof/>
          </w:rPr>
          <w:t>44</w:t>
        </w:r>
        <w:r w:rsidR="00174B4C" w:rsidRPr="0062313B">
          <w:rPr>
            <w:rStyle w:val="Hyperlink"/>
            <w:noProof/>
          </w:rPr>
          <w:tab/>
          <w:t>Commission Ordered Adjustments (Przygocki)</w:t>
        </w:r>
        <w:r w:rsidR="00174B4C">
          <w:rPr>
            <w:noProof/>
            <w:webHidden/>
          </w:rPr>
          <w:tab/>
        </w:r>
        <w:r w:rsidR="00174B4C">
          <w:rPr>
            <w:noProof/>
            <w:webHidden/>
          </w:rPr>
          <w:fldChar w:fldCharType="begin"/>
        </w:r>
        <w:r w:rsidR="00174B4C">
          <w:rPr>
            <w:noProof/>
            <w:webHidden/>
          </w:rPr>
          <w:instrText xml:space="preserve"> PAGEREF _Toc196317163 \h </w:instrText>
        </w:r>
        <w:r w:rsidR="00174B4C">
          <w:rPr>
            <w:noProof/>
            <w:webHidden/>
          </w:rPr>
        </w:r>
        <w:r w:rsidR="00174B4C">
          <w:rPr>
            <w:noProof/>
            <w:webHidden/>
          </w:rPr>
          <w:fldChar w:fldCharType="separate"/>
        </w:r>
        <w:r w:rsidR="009D3FF7">
          <w:rPr>
            <w:noProof/>
            <w:webHidden/>
          </w:rPr>
          <w:t>121</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64" w:history="1">
        <w:r w:rsidR="00174B4C" w:rsidRPr="0062313B">
          <w:rPr>
            <w:rStyle w:val="Hyperlink"/>
            <w:noProof/>
          </w:rPr>
          <w:t>45</w:t>
        </w:r>
        <w:r w:rsidR="00174B4C" w:rsidRPr="0062313B">
          <w:rPr>
            <w:rStyle w:val="Hyperlink"/>
            <w:noProof/>
          </w:rPr>
          <w:tab/>
          <w:t>Close Docket (Sandy, Farooqi)</w:t>
        </w:r>
        <w:r w:rsidR="00174B4C">
          <w:rPr>
            <w:noProof/>
            <w:webHidden/>
          </w:rPr>
          <w:tab/>
        </w:r>
        <w:r w:rsidR="00174B4C">
          <w:rPr>
            <w:noProof/>
            <w:webHidden/>
          </w:rPr>
          <w:fldChar w:fldCharType="begin"/>
        </w:r>
        <w:r w:rsidR="00174B4C">
          <w:rPr>
            <w:noProof/>
            <w:webHidden/>
          </w:rPr>
          <w:instrText xml:space="preserve"> PAGEREF _Toc196317164 \h </w:instrText>
        </w:r>
        <w:r w:rsidR="00174B4C">
          <w:rPr>
            <w:noProof/>
            <w:webHidden/>
          </w:rPr>
        </w:r>
        <w:r w:rsidR="00174B4C">
          <w:rPr>
            <w:noProof/>
            <w:webHidden/>
          </w:rPr>
          <w:fldChar w:fldCharType="separate"/>
        </w:r>
        <w:r w:rsidR="009D3FF7">
          <w:rPr>
            <w:noProof/>
            <w:webHidden/>
          </w:rPr>
          <w:t>122</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65" w:history="1">
        <w:r w:rsidR="00174B4C" w:rsidRPr="0062313B">
          <w:rPr>
            <w:rStyle w:val="Hyperlink"/>
            <w:noProof/>
          </w:rPr>
          <w:tab/>
          <w:t>Schedule No. 1-A</w:t>
        </w:r>
        <w:r w:rsidR="00174B4C">
          <w:rPr>
            <w:noProof/>
            <w:webHidden/>
          </w:rPr>
          <w:tab/>
        </w:r>
        <w:r w:rsidR="00174B4C">
          <w:rPr>
            <w:noProof/>
            <w:webHidden/>
          </w:rPr>
          <w:fldChar w:fldCharType="begin"/>
        </w:r>
        <w:r w:rsidR="00174B4C">
          <w:rPr>
            <w:noProof/>
            <w:webHidden/>
          </w:rPr>
          <w:instrText xml:space="preserve"> PAGEREF _Toc196317165 \h </w:instrText>
        </w:r>
        <w:r w:rsidR="00174B4C">
          <w:rPr>
            <w:noProof/>
            <w:webHidden/>
          </w:rPr>
        </w:r>
        <w:r w:rsidR="00174B4C">
          <w:rPr>
            <w:noProof/>
            <w:webHidden/>
          </w:rPr>
          <w:fldChar w:fldCharType="separate"/>
        </w:r>
        <w:r w:rsidR="009D3FF7">
          <w:rPr>
            <w:noProof/>
            <w:webHidden/>
          </w:rPr>
          <w:t>123</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66" w:history="1">
        <w:r w:rsidR="00174B4C" w:rsidRPr="0062313B">
          <w:rPr>
            <w:rStyle w:val="Hyperlink"/>
            <w:noProof/>
          </w:rPr>
          <w:tab/>
          <w:t>Schedule No. 1-B</w:t>
        </w:r>
        <w:r w:rsidR="00174B4C">
          <w:rPr>
            <w:noProof/>
            <w:webHidden/>
          </w:rPr>
          <w:tab/>
        </w:r>
        <w:r w:rsidR="00174B4C">
          <w:rPr>
            <w:noProof/>
            <w:webHidden/>
          </w:rPr>
          <w:fldChar w:fldCharType="begin"/>
        </w:r>
        <w:r w:rsidR="00174B4C">
          <w:rPr>
            <w:noProof/>
            <w:webHidden/>
          </w:rPr>
          <w:instrText xml:space="preserve"> PAGEREF _Toc196317166 \h </w:instrText>
        </w:r>
        <w:r w:rsidR="00174B4C">
          <w:rPr>
            <w:noProof/>
            <w:webHidden/>
          </w:rPr>
        </w:r>
        <w:r w:rsidR="00174B4C">
          <w:rPr>
            <w:noProof/>
            <w:webHidden/>
          </w:rPr>
          <w:fldChar w:fldCharType="separate"/>
        </w:r>
        <w:r w:rsidR="009D3FF7">
          <w:rPr>
            <w:noProof/>
            <w:webHidden/>
          </w:rPr>
          <w:t>124</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67" w:history="1">
        <w:r w:rsidR="00174B4C" w:rsidRPr="0062313B">
          <w:rPr>
            <w:rStyle w:val="Hyperlink"/>
            <w:noProof/>
          </w:rPr>
          <w:tab/>
          <w:t>Schedule No. 1-C</w:t>
        </w:r>
        <w:r w:rsidR="00174B4C">
          <w:rPr>
            <w:noProof/>
            <w:webHidden/>
          </w:rPr>
          <w:tab/>
        </w:r>
        <w:r w:rsidR="00174B4C">
          <w:rPr>
            <w:noProof/>
            <w:webHidden/>
          </w:rPr>
          <w:fldChar w:fldCharType="begin"/>
        </w:r>
        <w:r w:rsidR="00174B4C">
          <w:rPr>
            <w:noProof/>
            <w:webHidden/>
          </w:rPr>
          <w:instrText xml:space="preserve"> PAGEREF _Toc196317167 \h </w:instrText>
        </w:r>
        <w:r w:rsidR="00174B4C">
          <w:rPr>
            <w:noProof/>
            <w:webHidden/>
          </w:rPr>
        </w:r>
        <w:r w:rsidR="00174B4C">
          <w:rPr>
            <w:noProof/>
            <w:webHidden/>
          </w:rPr>
          <w:fldChar w:fldCharType="separate"/>
        </w:r>
        <w:r w:rsidR="009D3FF7">
          <w:rPr>
            <w:noProof/>
            <w:webHidden/>
          </w:rPr>
          <w:t>125</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68" w:history="1">
        <w:r w:rsidR="00174B4C" w:rsidRPr="0062313B">
          <w:rPr>
            <w:rStyle w:val="Hyperlink"/>
            <w:noProof/>
          </w:rPr>
          <w:tab/>
          <w:t>Schedule No. 2</w:t>
        </w:r>
        <w:r w:rsidR="00174B4C">
          <w:rPr>
            <w:noProof/>
            <w:webHidden/>
          </w:rPr>
          <w:tab/>
        </w:r>
        <w:r w:rsidR="00174B4C">
          <w:rPr>
            <w:noProof/>
            <w:webHidden/>
          </w:rPr>
          <w:fldChar w:fldCharType="begin"/>
        </w:r>
        <w:r w:rsidR="00174B4C">
          <w:rPr>
            <w:noProof/>
            <w:webHidden/>
          </w:rPr>
          <w:instrText xml:space="preserve"> PAGEREF _Toc196317168 \h </w:instrText>
        </w:r>
        <w:r w:rsidR="00174B4C">
          <w:rPr>
            <w:noProof/>
            <w:webHidden/>
          </w:rPr>
        </w:r>
        <w:r w:rsidR="00174B4C">
          <w:rPr>
            <w:noProof/>
            <w:webHidden/>
          </w:rPr>
          <w:fldChar w:fldCharType="separate"/>
        </w:r>
        <w:r w:rsidR="009D3FF7">
          <w:rPr>
            <w:noProof/>
            <w:webHidden/>
          </w:rPr>
          <w:t>126</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69" w:history="1">
        <w:r w:rsidR="00174B4C" w:rsidRPr="0062313B">
          <w:rPr>
            <w:rStyle w:val="Hyperlink"/>
            <w:noProof/>
          </w:rPr>
          <w:tab/>
          <w:t>Schedule No. 3-A</w:t>
        </w:r>
        <w:r w:rsidR="00174B4C">
          <w:rPr>
            <w:noProof/>
            <w:webHidden/>
          </w:rPr>
          <w:tab/>
        </w:r>
        <w:r w:rsidR="00174B4C">
          <w:rPr>
            <w:noProof/>
            <w:webHidden/>
          </w:rPr>
          <w:fldChar w:fldCharType="begin"/>
        </w:r>
        <w:r w:rsidR="00174B4C">
          <w:rPr>
            <w:noProof/>
            <w:webHidden/>
          </w:rPr>
          <w:instrText xml:space="preserve"> PAGEREF _Toc196317169 \h </w:instrText>
        </w:r>
        <w:r w:rsidR="00174B4C">
          <w:rPr>
            <w:noProof/>
            <w:webHidden/>
          </w:rPr>
        </w:r>
        <w:r w:rsidR="00174B4C">
          <w:rPr>
            <w:noProof/>
            <w:webHidden/>
          </w:rPr>
          <w:fldChar w:fldCharType="separate"/>
        </w:r>
        <w:r w:rsidR="009D3FF7">
          <w:rPr>
            <w:noProof/>
            <w:webHidden/>
          </w:rPr>
          <w:t>127</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70" w:history="1">
        <w:r w:rsidR="00174B4C" w:rsidRPr="0062313B">
          <w:rPr>
            <w:rStyle w:val="Hyperlink"/>
            <w:noProof/>
          </w:rPr>
          <w:tab/>
          <w:t>Schedule No. 3-B</w:t>
        </w:r>
        <w:r w:rsidR="00174B4C">
          <w:rPr>
            <w:noProof/>
            <w:webHidden/>
          </w:rPr>
          <w:tab/>
        </w:r>
        <w:r w:rsidR="00174B4C">
          <w:rPr>
            <w:noProof/>
            <w:webHidden/>
          </w:rPr>
          <w:fldChar w:fldCharType="begin"/>
        </w:r>
        <w:r w:rsidR="00174B4C">
          <w:rPr>
            <w:noProof/>
            <w:webHidden/>
          </w:rPr>
          <w:instrText xml:space="preserve"> PAGEREF _Toc196317170 \h </w:instrText>
        </w:r>
        <w:r w:rsidR="00174B4C">
          <w:rPr>
            <w:noProof/>
            <w:webHidden/>
          </w:rPr>
        </w:r>
        <w:r w:rsidR="00174B4C">
          <w:rPr>
            <w:noProof/>
            <w:webHidden/>
          </w:rPr>
          <w:fldChar w:fldCharType="separate"/>
        </w:r>
        <w:r w:rsidR="009D3FF7">
          <w:rPr>
            <w:noProof/>
            <w:webHidden/>
          </w:rPr>
          <w:t>128</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71" w:history="1">
        <w:r w:rsidR="00174B4C" w:rsidRPr="0062313B">
          <w:rPr>
            <w:rStyle w:val="Hyperlink"/>
            <w:noProof/>
          </w:rPr>
          <w:tab/>
          <w:t>Schedule No. 3-C</w:t>
        </w:r>
        <w:r w:rsidR="00174B4C">
          <w:rPr>
            <w:noProof/>
            <w:webHidden/>
          </w:rPr>
          <w:tab/>
        </w:r>
        <w:r w:rsidR="00174B4C">
          <w:rPr>
            <w:noProof/>
            <w:webHidden/>
          </w:rPr>
          <w:fldChar w:fldCharType="begin"/>
        </w:r>
        <w:r w:rsidR="00174B4C">
          <w:rPr>
            <w:noProof/>
            <w:webHidden/>
          </w:rPr>
          <w:instrText xml:space="preserve"> PAGEREF _Toc196317171 \h </w:instrText>
        </w:r>
        <w:r w:rsidR="00174B4C">
          <w:rPr>
            <w:noProof/>
            <w:webHidden/>
          </w:rPr>
        </w:r>
        <w:r w:rsidR="00174B4C">
          <w:rPr>
            <w:noProof/>
            <w:webHidden/>
          </w:rPr>
          <w:fldChar w:fldCharType="separate"/>
        </w:r>
        <w:r w:rsidR="009D3FF7">
          <w:rPr>
            <w:noProof/>
            <w:webHidden/>
          </w:rPr>
          <w:t>129</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72" w:history="1">
        <w:r w:rsidR="00174B4C" w:rsidRPr="0062313B">
          <w:rPr>
            <w:rStyle w:val="Hyperlink"/>
            <w:noProof/>
          </w:rPr>
          <w:tab/>
          <w:t>Schedule No. 4-A</w:t>
        </w:r>
        <w:r w:rsidR="00174B4C">
          <w:rPr>
            <w:noProof/>
            <w:webHidden/>
          </w:rPr>
          <w:tab/>
        </w:r>
        <w:r w:rsidR="00174B4C">
          <w:rPr>
            <w:noProof/>
            <w:webHidden/>
          </w:rPr>
          <w:fldChar w:fldCharType="begin"/>
        </w:r>
        <w:r w:rsidR="00174B4C">
          <w:rPr>
            <w:noProof/>
            <w:webHidden/>
          </w:rPr>
          <w:instrText xml:space="preserve"> PAGEREF _Toc196317172 \h </w:instrText>
        </w:r>
        <w:r w:rsidR="00174B4C">
          <w:rPr>
            <w:noProof/>
            <w:webHidden/>
          </w:rPr>
        </w:r>
        <w:r w:rsidR="00174B4C">
          <w:rPr>
            <w:noProof/>
            <w:webHidden/>
          </w:rPr>
          <w:fldChar w:fldCharType="separate"/>
        </w:r>
        <w:r w:rsidR="009D3FF7">
          <w:rPr>
            <w:noProof/>
            <w:webHidden/>
          </w:rPr>
          <w:t>130</w:t>
        </w:r>
        <w:r w:rsidR="00174B4C">
          <w:rPr>
            <w:noProof/>
            <w:webHidden/>
          </w:rPr>
          <w:fldChar w:fldCharType="end"/>
        </w:r>
      </w:hyperlink>
    </w:p>
    <w:p w:rsidR="00174B4C" w:rsidRDefault="00FF5F64">
      <w:pPr>
        <w:pStyle w:val="TOC1"/>
        <w:rPr>
          <w:rFonts w:asciiTheme="minorHAnsi" w:eastAsiaTheme="minorEastAsia" w:hAnsiTheme="minorHAnsi" w:cstheme="minorBidi"/>
          <w:noProof/>
          <w:sz w:val="22"/>
          <w:szCs w:val="22"/>
        </w:rPr>
      </w:pPr>
      <w:hyperlink w:anchor="_Toc196317173" w:history="1">
        <w:r w:rsidR="00174B4C" w:rsidRPr="0062313B">
          <w:rPr>
            <w:rStyle w:val="Hyperlink"/>
            <w:noProof/>
          </w:rPr>
          <w:tab/>
          <w:t>Schedule No. 4-B</w:t>
        </w:r>
        <w:r w:rsidR="00174B4C">
          <w:rPr>
            <w:noProof/>
            <w:webHidden/>
          </w:rPr>
          <w:tab/>
        </w:r>
        <w:r w:rsidR="00174B4C">
          <w:rPr>
            <w:noProof/>
            <w:webHidden/>
          </w:rPr>
          <w:fldChar w:fldCharType="begin"/>
        </w:r>
        <w:r w:rsidR="00174B4C">
          <w:rPr>
            <w:noProof/>
            <w:webHidden/>
          </w:rPr>
          <w:instrText xml:space="preserve"> PAGEREF _Toc196317173 \h </w:instrText>
        </w:r>
        <w:r w:rsidR="00174B4C">
          <w:rPr>
            <w:noProof/>
            <w:webHidden/>
          </w:rPr>
        </w:r>
        <w:r w:rsidR="00174B4C">
          <w:rPr>
            <w:noProof/>
            <w:webHidden/>
          </w:rPr>
          <w:fldChar w:fldCharType="separate"/>
        </w:r>
        <w:r w:rsidR="009D3FF7">
          <w:rPr>
            <w:noProof/>
            <w:webHidden/>
          </w:rPr>
          <w:t>131</w:t>
        </w:r>
        <w:r w:rsidR="00174B4C">
          <w:rPr>
            <w:noProof/>
            <w:webHidden/>
          </w:rPr>
          <w:fldChar w:fldCharType="end"/>
        </w:r>
      </w:hyperlink>
    </w:p>
    <w:p w:rsidR="00171E8F" w:rsidRDefault="00171E8F">
      <w:pPr>
        <w:pStyle w:val="TOCColumnHeadings"/>
      </w:pPr>
      <w:r>
        <w:fldChar w:fldCharType="end"/>
      </w:r>
    </w:p>
    <w:p w:rsidR="006013FB" w:rsidRDefault="00171E8F">
      <w:pPr>
        <w:pStyle w:val="RecommendationMajorSectionHeading"/>
      </w:pPr>
      <w:r>
        <w:br w:type="page"/>
      </w:r>
      <w:r>
        <w:lastRenderedPageBreak/>
        <w:t>ACRONYM</w:t>
      </w:r>
      <w:r w:rsidR="006013FB">
        <w:t xml:space="preserve"> TABLE</w:t>
      </w:r>
    </w:p>
    <w:p w:rsidR="006013FB" w:rsidRDefault="006013FB" w:rsidP="006013FB">
      <w:pPr>
        <w:pStyle w:val="BodyText"/>
      </w:pPr>
      <w:r>
        <w:t>The following abbreviations used herein are listed below for reference purposes:</w:t>
      </w:r>
    </w:p>
    <w:p w:rsidR="006013FB" w:rsidRDefault="006013FB" w:rsidP="006013FB">
      <w:pPr>
        <w:pStyle w:val="BodyText"/>
        <w:spacing w:after="0"/>
      </w:pPr>
      <w:r>
        <w:t>AA</w:t>
      </w:r>
      <w:r>
        <w:tab/>
      </w:r>
      <w:r>
        <w:tab/>
        <w:t>Accumulated Amortization</w:t>
      </w:r>
    </w:p>
    <w:p w:rsidR="006013FB" w:rsidRDefault="006013FB" w:rsidP="006013FB">
      <w:pPr>
        <w:pStyle w:val="BodyText"/>
        <w:spacing w:after="0"/>
      </w:pPr>
      <w:r>
        <w:t xml:space="preserve">ADIT </w:t>
      </w:r>
      <w:r>
        <w:tab/>
      </w:r>
      <w:r>
        <w:tab/>
        <w:t>Accumulated Deferred Income Tax</w:t>
      </w:r>
    </w:p>
    <w:p w:rsidR="006013FB" w:rsidRPr="0087421A" w:rsidRDefault="006013FB" w:rsidP="006013FB">
      <w:pPr>
        <w:pStyle w:val="BodyText"/>
        <w:spacing w:after="0"/>
      </w:pPr>
      <w:r w:rsidRPr="0087421A">
        <w:t xml:space="preserve">AFUDC </w:t>
      </w:r>
      <w:r w:rsidRPr="0087421A">
        <w:tab/>
        <w:t>Allowance for Funds Used During Construction</w:t>
      </w:r>
    </w:p>
    <w:p w:rsidR="0047158B" w:rsidRDefault="0047158B" w:rsidP="006013FB">
      <w:pPr>
        <w:pStyle w:val="BodyText"/>
        <w:spacing w:after="0"/>
      </w:pPr>
      <w:r>
        <w:t>AFPI</w:t>
      </w:r>
      <w:r>
        <w:tab/>
      </w:r>
      <w:r>
        <w:tab/>
        <w:t>Allowance for Funds Prudently Invested</w:t>
      </w:r>
    </w:p>
    <w:p w:rsidR="006013FB" w:rsidRPr="0087421A" w:rsidRDefault="006013FB" w:rsidP="006013FB">
      <w:pPr>
        <w:pStyle w:val="BodyText"/>
        <w:spacing w:after="0"/>
      </w:pPr>
      <w:r w:rsidRPr="0087421A">
        <w:t>AMI</w:t>
      </w:r>
      <w:r w:rsidRPr="0087421A">
        <w:tab/>
      </w:r>
      <w:r w:rsidRPr="0087421A">
        <w:tab/>
        <w:t>Advanced Metering Infrastructure</w:t>
      </w:r>
    </w:p>
    <w:p w:rsidR="0047158B" w:rsidRDefault="0047158B" w:rsidP="006013FB">
      <w:pPr>
        <w:pStyle w:val="BodyText"/>
        <w:spacing w:after="0"/>
      </w:pPr>
      <w:r>
        <w:t>AMR</w:t>
      </w:r>
      <w:r>
        <w:tab/>
      </w:r>
      <w:r>
        <w:tab/>
        <w:t>Automated Meter Reading</w:t>
      </w:r>
    </w:p>
    <w:p w:rsidR="0047158B" w:rsidRDefault="0047158B" w:rsidP="006013FB">
      <w:pPr>
        <w:pStyle w:val="BodyText"/>
        <w:spacing w:after="0"/>
      </w:pPr>
      <w:r>
        <w:t>ARV</w:t>
      </w:r>
      <w:r>
        <w:tab/>
      </w:r>
      <w:r>
        <w:tab/>
        <w:t>Air Release Valve</w:t>
      </w:r>
    </w:p>
    <w:p w:rsidR="006013FB" w:rsidRPr="0087421A" w:rsidRDefault="006013FB" w:rsidP="006013FB">
      <w:pPr>
        <w:pStyle w:val="BodyText"/>
        <w:spacing w:after="0"/>
      </w:pPr>
      <w:r w:rsidRPr="0087421A">
        <w:t xml:space="preserve">BFC </w:t>
      </w:r>
      <w:r w:rsidRPr="0087421A">
        <w:tab/>
      </w:r>
      <w:r w:rsidRPr="0087421A">
        <w:tab/>
        <w:t>Base Facility Charge</w:t>
      </w:r>
    </w:p>
    <w:p w:rsidR="006013FB" w:rsidRPr="0087421A" w:rsidRDefault="006013FB" w:rsidP="006013FB">
      <w:pPr>
        <w:pStyle w:val="BodyText"/>
        <w:spacing w:after="0"/>
      </w:pPr>
      <w:r w:rsidRPr="0087421A">
        <w:t xml:space="preserve">BR </w:t>
      </w:r>
      <w:r w:rsidRPr="0087421A">
        <w:tab/>
      </w:r>
      <w:r w:rsidRPr="0087421A">
        <w:tab/>
        <w:t>Brief</w:t>
      </w:r>
    </w:p>
    <w:p w:rsidR="0047158B" w:rsidRDefault="0047158B" w:rsidP="006013FB">
      <w:pPr>
        <w:pStyle w:val="BodyText"/>
        <w:spacing w:after="0"/>
      </w:pPr>
      <w:r>
        <w:t>BSP</w:t>
      </w:r>
      <w:r>
        <w:tab/>
      </w:r>
      <w:r>
        <w:tab/>
        <w:t>Bates Stamped Page</w:t>
      </w:r>
    </w:p>
    <w:p w:rsidR="006013FB" w:rsidRPr="0087421A" w:rsidRDefault="006013FB" w:rsidP="006013FB">
      <w:pPr>
        <w:pStyle w:val="BodyText"/>
        <w:spacing w:after="0"/>
      </w:pPr>
      <w:r w:rsidRPr="0087421A">
        <w:t>BV</w:t>
      </w:r>
      <w:r w:rsidRPr="0087421A">
        <w:tab/>
      </w:r>
      <w:r w:rsidRPr="0087421A">
        <w:tab/>
        <w:t>Buena Vista</w:t>
      </w:r>
    </w:p>
    <w:p w:rsidR="006013FB" w:rsidRDefault="006013FB" w:rsidP="006013FB">
      <w:pPr>
        <w:pStyle w:val="BodyText"/>
        <w:spacing w:after="0"/>
      </w:pPr>
      <w:r w:rsidRPr="0087421A">
        <w:t>CFX</w:t>
      </w:r>
      <w:r w:rsidRPr="0087421A">
        <w:tab/>
      </w:r>
      <w:r w:rsidRPr="0087421A">
        <w:tab/>
        <w:t>Central Florida Expressway</w:t>
      </w:r>
    </w:p>
    <w:p w:rsidR="006013FB" w:rsidRDefault="0047158B" w:rsidP="006013FB">
      <w:pPr>
        <w:pStyle w:val="BodyText"/>
        <w:spacing w:after="0"/>
      </w:pPr>
      <w:r>
        <w:t xml:space="preserve">CIAC </w:t>
      </w:r>
      <w:r>
        <w:tab/>
      </w:r>
      <w:r>
        <w:tab/>
        <w:t>Contributions-in-Aid-of-</w:t>
      </w:r>
      <w:r w:rsidR="006013FB">
        <w:t>Construction</w:t>
      </w:r>
    </w:p>
    <w:p w:rsidR="0047158B" w:rsidRDefault="0047158B" w:rsidP="006013FB">
      <w:pPr>
        <w:pStyle w:val="BodyText"/>
        <w:spacing w:after="0"/>
      </w:pPr>
      <w:r>
        <w:t>CII</w:t>
      </w:r>
      <w:r>
        <w:tab/>
      </w:r>
      <w:r>
        <w:tab/>
        <w:t>Corix Infrastructure Inc.</w:t>
      </w:r>
    </w:p>
    <w:p w:rsidR="006013FB" w:rsidRDefault="006013FB" w:rsidP="006013FB">
      <w:pPr>
        <w:pStyle w:val="BodyText"/>
        <w:spacing w:after="0"/>
      </w:pPr>
      <w:r>
        <w:t>CRU-US</w:t>
      </w:r>
      <w:r>
        <w:tab/>
        <w:t>Corix Regulated Utilities (U.S.), Inc.</w:t>
      </w:r>
    </w:p>
    <w:p w:rsidR="006013FB" w:rsidRDefault="006013FB" w:rsidP="006013FB">
      <w:pPr>
        <w:pStyle w:val="BodyText"/>
        <w:spacing w:after="0"/>
      </w:pPr>
      <w:r>
        <w:t xml:space="preserve">CWIP </w:t>
      </w:r>
      <w:r>
        <w:tab/>
      </w:r>
      <w:r>
        <w:tab/>
        <w:t>Construction Work in Progress</w:t>
      </w:r>
    </w:p>
    <w:p w:rsidR="006013FB" w:rsidRDefault="006013FB" w:rsidP="006013FB">
      <w:pPr>
        <w:pStyle w:val="BodyText"/>
        <w:spacing w:after="0"/>
      </w:pPr>
      <w:r>
        <w:t>DEP</w:t>
      </w:r>
      <w:r>
        <w:tab/>
      </w:r>
      <w:r>
        <w:tab/>
        <w:t>Department of Environmental Protection</w:t>
      </w:r>
    </w:p>
    <w:p w:rsidR="006013FB" w:rsidRDefault="006013FB" w:rsidP="006013FB">
      <w:pPr>
        <w:pStyle w:val="BodyText"/>
        <w:spacing w:after="0"/>
      </w:pPr>
      <w:r>
        <w:t>EQ</w:t>
      </w:r>
      <w:r>
        <w:tab/>
      </w:r>
      <w:r>
        <w:tab/>
        <w:t>Equalization</w:t>
      </w:r>
    </w:p>
    <w:p w:rsidR="006013FB" w:rsidRDefault="006013FB" w:rsidP="006013FB">
      <w:pPr>
        <w:pStyle w:val="BodyText"/>
        <w:spacing w:after="0"/>
      </w:pPr>
      <w:r>
        <w:t>ERC</w:t>
      </w:r>
      <w:r>
        <w:tab/>
      </w:r>
      <w:r>
        <w:tab/>
        <w:t>Equivalent Residential Connection</w:t>
      </w:r>
    </w:p>
    <w:p w:rsidR="006013FB" w:rsidRDefault="006013FB" w:rsidP="006013FB">
      <w:pPr>
        <w:pStyle w:val="BodyText"/>
        <w:spacing w:after="0"/>
      </w:pPr>
      <w:r>
        <w:t>EUW</w:t>
      </w:r>
      <w:r>
        <w:tab/>
      </w:r>
      <w:r>
        <w:tab/>
        <w:t>Excessive Unaccounted for Water</w:t>
      </w:r>
    </w:p>
    <w:p w:rsidR="006013FB" w:rsidRDefault="006013FB" w:rsidP="006013FB">
      <w:pPr>
        <w:pStyle w:val="BodyText"/>
        <w:spacing w:after="0"/>
      </w:pPr>
      <w:r>
        <w:t>EWD</w:t>
      </w:r>
      <w:r>
        <w:tab/>
      </w:r>
      <w:r>
        <w:tab/>
        <w:t>Englewood Water District</w:t>
      </w:r>
    </w:p>
    <w:p w:rsidR="006013FB" w:rsidRDefault="006013FB" w:rsidP="006013FB">
      <w:pPr>
        <w:pStyle w:val="BodyText"/>
        <w:spacing w:after="0"/>
      </w:pPr>
      <w:r>
        <w:t>EXH</w:t>
      </w:r>
      <w:r>
        <w:tab/>
      </w:r>
      <w:r>
        <w:tab/>
        <w:t>Exhibit</w:t>
      </w:r>
    </w:p>
    <w:p w:rsidR="006013FB" w:rsidRPr="0087421A" w:rsidRDefault="006013FB" w:rsidP="006013FB">
      <w:pPr>
        <w:pStyle w:val="BodyText"/>
        <w:spacing w:after="0"/>
      </w:pPr>
      <w:r w:rsidRPr="0087421A">
        <w:t>F.A.C.</w:t>
      </w:r>
      <w:r w:rsidRPr="0087421A">
        <w:tab/>
      </w:r>
      <w:r w:rsidRPr="0087421A">
        <w:tab/>
        <w:t>Florida Administrative Code</w:t>
      </w:r>
    </w:p>
    <w:p w:rsidR="006013FB" w:rsidRPr="0087421A" w:rsidRDefault="006013FB" w:rsidP="006013FB">
      <w:pPr>
        <w:pStyle w:val="BodyText"/>
        <w:spacing w:after="0"/>
      </w:pPr>
      <w:r w:rsidRPr="0087421A">
        <w:t>FDOT</w:t>
      </w:r>
      <w:r w:rsidRPr="0087421A">
        <w:tab/>
      </w:r>
      <w:r w:rsidRPr="0087421A">
        <w:tab/>
        <w:t>Florida Department of Transportation</w:t>
      </w:r>
    </w:p>
    <w:p w:rsidR="006013FB" w:rsidRPr="0087421A" w:rsidRDefault="006013FB" w:rsidP="006013FB">
      <w:pPr>
        <w:pStyle w:val="BodyText"/>
        <w:spacing w:after="0"/>
      </w:pPr>
      <w:r w:rsidRPr="0087421A">
        <w:t>FM</w:t>
      </w:r>
      <w:r w:rsidRPr="0087421A">
        <w:tab/>
      </w:r>
      <w:r w:rsidRPr="0087421A">
        <w:tab/>
        <w:t>Force Main</w:t>
      </w:r>
    </w:p>
    <w:p w:rsidR="006013FB" w:rsidRPr="0087421A" w:rsidRDefault="006013FB" w:rsidP="006013FB">
      <w:pPr>
        <w:pStyle w:val="BodyText"/>
        <w:spacing w:after="0"/>
      </w:pPr>
      <w:r w:rsidRPr="0087421A">
        <w:t>FMV</w:t>
      </w:r>
      <w:r w:rsidRPr="0087421A">
        <w:tab/>
      </w:r>
      <w:r w:rsidRPr="0087421A">
        <w:tab/>
        <w:t>Fair Market Value</w:t>
      </w:r>
    </w:p>
    <w:p w:rsidR="006013FB" w:rsidRPr="0087421A" w:rsidRDefault="006013FB" w:rsidP="006013FB">
      <w:pPr>
        <w:pStyle w:val="BodyText"/>
        <w:spacing w:after="0"/>
      </w:pPr>
      <w:r w:rsidRPr="0087421A">
        <w:t>F.S.</w:t>
      </w:r>
      <w:r w:rsidRPr="0087421A">
        <w:tab/>
      </w:r>
      <w:r w:rsidRPr="0087421A">
        <w:tab/>
        <w:t>Florida Statutes</w:t>
      </w:r>
    </w:p>
    <w:p w:rsidR="006013FB" w:rsidRPr="0087421A" w:rsidRDefault="006013FB" w:rsidP="006013FB">
      <w:pPr>
        <w:pStyle w:val="BodyText"/>
        <w:spacing w:after="0"/>
      </w:pPr>
      <w:r w:rsidRPr="0087421A">
        <w:t>GDP</w:t>
      </w:r>
      <w:r w:rsidRPr="0087421A">
        <w:tab/>
      </w:r>
      <w:r w:rsidRPr="0087421A">
        <w:tab/>
        <w:t>Gross Domestic Product</w:t>
      </w:r>
    </w:p>
    <w:p w:rsidR="006013FB" w:rsidRPr="0087421A" w:rsidRDefault="006013FB" w:rsidP="006013FB">
      <w:pPr>
        <w:pStyle w:val="BodyText"/>
        <w:spacing w:after="0"/>
      </w:pPr>
      <w:r w:rsidRPr="0087421A">
        <w:t>GM</w:t>
      </w:r>
      <w:r w:rsidRPr="0087421A">
        <w:tab/>
      </w:r>
      <w:r w:rsidRPr="0087421A">
        <w:tab/>
        <w:t>Gravity Main</w:t>
      </w:r>
    </w:p>
    <w:p w:rsidR="0047158B" w:rsidRDefault="0047158B" w:rsidP="006013FB">
      <w:pPr>
        <w:pStyle w:val="BodyText"/>
        <w:spacing w:after="0"/>
      </w:pPr>
      <w:r>
        <w:t>HPDE</w:t>
      </w:r>
      <w:r>
        <w:tab/>
      </w:r>
      <w:r>
        <w:tab/>
        <w:t>High Density Polyethylene</w:t>
      </w:r>
    </w:p>
    <w:p w:rsidR="006013FB" w:rsidRPr="0087421A" w:rsidRDefault="006013FB" w:rsidP="006013FB">
      <w:pPr>
        <w:pStyle w:val="BodyText"/>
        <w:spacing w:after="0"/>
      </w:pPr>
      <w:r w:rsidRPr="0087421A">
        <w:t>IDC</w:t>
      </w:r>
      <w:r w:rsidRPr="0087421A">
        <w:tab/>
      </w:r>
      <w:r w:rsidRPr="0087421A">
        <w:tab/>
        <w:t>Interest During Construction</w:t>
      </w:r>
    </w:p>
    <w:p w:rsidR="006013FB" w:rsidRPr="0087421A" w:rsidRDefault="006013FB" w:rsidP="006013FB">
      <w:pPr>
        <w:pStyle w:val="BodyText"/>
        <w:spacing w:after="0"/>
      </w:pPr>
      <w:r w:rsidRPr="0087421A">
        <w:t>IRS</w:t>
      </w:r>
      <w:r w:rsidRPr="0087421A">
        <w:tab/>
      </w:r>
      <w:r w:rsidRPr="0087421A">
        <w:tab/>
        <w:t>Internal Revenue Service</w:t>
      </w:r>
    </w:p>
    <w:p w:rsidR="006013FB" w:rsidRPr="0087421A" w:rsidRDefault="006013FB" w:rsidP="006013FB">
      <w:pPr>
        <w:pStyle w:val="BodyText"/>
        <w:spacing w:after="0"/>
      </w:pPr>
      <w:r w:rsidRPr="0087421A">
        <w:t>LS</w:t>
      </w:r>
      <w:r w:rsidRPr="0087421A">
        <w:tab/>
      </w:r>
      <w:r w:rsidRPr="0087421A">
        <w:tab/>
        <w:t>Lift Station</w:t>
      </w:r>
    </w:p>
    <w:p w:rsidR="006013FB" w:rsidRPr="0087421A" w:rsidRDefault="006013FB" w:rsidP="006013FB">
      <w:pPr>
        <w:pStyle w:val="BodyText"/>
        <w:spacing w:after="0"/>
      </w:pPr>
      <w:r w:rsidRPr="0087421A">
        <w:t>LUSI</w:t>
      </w:r>
      <w:r w:rsidRPr="0087421A">
        <w:tab/>
      </w:r>
      <w:r w:rsidRPr="0087421A">
        <w:tab/>
        <w:t>Lake Utility Services, Inc.</w:t>
      </w:r>
    </w:p>
    <w:p w:rsidR="006013FB" w:rsidRPr="0087421A" w:rsidRDefault="006013FB" w:rsidP="006013FB">
      <w:pPr>
        <w:pStyle w:val="BodyText"/>
        <w:spacing w:after="0"/>
      </w:pPr>
      <w:r w:rsidRPr="0087421A">
        <w:t>MFRs</w:t>
      </w:r>
      <w:r w:rsidRPr="0087421A">
        <w:tab/>
      </w:r>
      <w:r w:rsidRPr="0087421A">
        <w:tab/>
        <w:t>Minimum Filing Requirements</w:t>
      </w:r>
    </w:p>
    <w:p w:rsidR="0047158B" w:rsidRDefault="0047158B" w:rsidP="006013FB">
      <w:pPr>
        <w:pStyle w:val="BodyText"/>
        <w:spacing w:after="0"/>
      </w:pPr>
      <w:r>
        <w:t>MCL</w:t>
      </w:r>
      <w:r>
        <w:tab/>
      </w:r>
      <w:r>
        <w:tab/>
        <w:t>Maximum Contaminant Level</w:t>
      </w:r>
    </w:p>
    <w:p w:rsidR="0047158B" w:rsidRDefault="0047158B" w:rsidP="006013FB">
      <w:pPr>
        <w:pStyle w:val="BodyText"/>
        <w:spacing w:after="0"/>
      </w:pPr>
      <w:r>
        <w:t>MGD</w:t>
      </w:r>
      <w:r>
        <w:tab/>
      </w:r>
      <w:r>
        <w:tab/>
        <w:t>Millions Gallons Per Day</w:t>
      </w:r>
    </w:p>
    <w:p w:rsidR="006013FB" w:rsidRPr="0087421A" w:rsidRDefault="006013FB" w:rsidP="006013FB">
      <w:pPr>
        <w:pStyle w:val="BodyText"/>
        <w:spacing w:after="0"/>
      </w:pPr>
      <w:r w:rsidRPr="0087421A">
        <w:t xml:space="preserve">NARUC </w:t>
      </w:r>
      <w:r w:rsidRPr="0087421A">
        <w:tab/>
        <w:t>National Association of Regulatory Utility Commissioners</w:t>
      </w:r>
    </w:p>
    <w:p w:rsidR="006013FB" w:rsidRPr="0087421A" w:rsidRDefault="006013FB" w:rsidP="006013FB">
      <w:pPr>
        <w:pStyle w:val="BodyText"/>
        <w:spacing w:after="0"/>
      </w:pPr>
      <w:r w:rsidRPr="0087421A">
        <w:t>O&amp;M</w:t>
      </w:r>
      <w:r w:rsidRPr="0087421A">
        <w:tab/>
      </w:r>
      <w:r w:rsidRPr="0087421A">
        <w:tab/>
        <w:t>Operation and Maintenance</w:t>
      </w:r>
    </w:p>
    <w:p w:rsidR="006013FB" w:rsidRPr="0087421A" w:rsidRDefault="006013FB" w:rsidP="006013FB">
      <w:pPr>
        <w:pStyle w:val="BodyText"/>
        <w:spacing w:after="0"/>
      </w:pPr>
      <w:r w:rsidRPr="0087421A">
        <w:t>OPC</w:t>
      </w:r>
      <w:r w:rsidRPr="0087421A">
        <w:tab/>
      </w:r>
      <w:r w:rsidRPr="0087421A">
        <w:tab/>
        <w:t>Office of Public Counsel</w:t>
      </w:r>
    </w:p>
    <w:p w:rsidR="006013FB" w:rsidRPr="0087421A" w:rsidRDefault="006013FB" w:rsidP="006013FB">
      <w:pPr>
        <w:pStyle w:val="BodyText"/>
        <w:spacing w:after="0"/>
      </w:pPr>
      <w:r w:rsidRPr="0087421A">
        <w:t>OW</w:t>
      </w:r>
      <w:r w:rsidRPr="0087421A">
        <w:tab/>
      </w:r>
      <w:r w:rsidRPr="0087421A">
        <w:tab/>
        <w:t>Orangewood</w:t>
      </w:r>
    </w:p>
    <w:p w:rsidR="006013FB" w:rsidRPr="0087421A" w:rsidRDefault="006013FB" w:rsidP="006013FB">
      <w:pPr>
        <w:pStyle w:val="BodyText"/>
        <w:spacing w:after="0"/>
      </w:pPr>
      <w:r w:rsidRPr="0087421A">
        <w:t>PAA</w:t>
      </w:r>
      <w:r w:rsidRPr="0087421A">
        <w:tab/>
      </w:r>
      <w:r w:rsidRPr="0087421A">
        <w:tab/>
        <w:t>Proposed Agency Action</w:t>
      </w:r>
    </w:p>
    <w:p w:rsidR="006013FB" w:rsidRDefault="006013FB" w:rsidP="006013FB">
      <w:pPr>
        <w:pStyle w:val="BodyText"/>
        <w:spacing w:after="0"/>
      </w:pPr>
      <w:r w:rsidRPr="0087421A">
        <w:lastRenderedPageBreak/>
        <w:t>PFAS</w:t>
      </w:r>
      <w:r w:rsidRPr="0087421A">
        <w:tab/>
      </w:r>
      <w:r w:rsidRPr="0087421A">
        <w:tab/>
      </w:r>
      <w:r w:rsidR="00E549DD">
        <w:t xml:space="preserve">Per- and </w:t>
      </w:r>
      <w:r w:rsidRPr="0087421A">
        <w:t>Poly</w:t>
      </w:r>
      <w:r w:rsidR="00E549DD">
        <w:t>-F</w:t>
      </w:r>
      <w:r w:rsidRPr="0087421A">
        <w:t>luoroalkyl Substances</w:t>
      </w:r>
    </w:p>
    <w:p w:rsidR="006013FB" w:rsidRDefault="006013FB" w:rsidP="006013FB">
      <w:pPr>
        <w:pStyle w:val="BodyText"/>
        <w:spacing w:after="0"/>
      </w:pPr>
      <w:r>
        <w:t>PVC</w:t>
      </w:r>
      <w:r>
        <w:tab/>
      </w:r>
      <w:r>
        <w:tab/>
        <w:t>Polyvinyl Chloride</w:t>
      </w:r>
    </w:p>
    <w:p w:rsidR="006013FB" w:rsidRDefault="006013FB" w:rsidP="006013FB">
      <w:pPr>
        <w:pStyle w:val="BodyText"/>
        <w:spacing w:after="0"/>
      </w:pPr>
      <w:r>
        <w:t>RAFs</w:t>
      </w:r>
      <w:r>
        <w:tab/>
      </w:r>
      <w:r>
        <w:tab/>
        <w:t>Regulatory Assessment Fees</w:t>
      </w:r>
    </w:p>
    <w:p w:rsidR="006013FB" w:rsidRDefault="006013FB" w:rsidP="006013FB">
      <w:pPr>
        <w:pStyle w:val="BodyText"/>
        <w:spacing w:after="0"/>
      </w:pPr>
      <w:r>
        <w:t>RAS</w:t>
      </w:r>
      <w:r>
        <w:tab/>
      </w:r>
      <w:r>
        <w:tab/>
        <w:t>Return Activated Sludge</w:t>
      </w:r>
    </w:p>
    <w:p w:rsidR="006013FB" w:rsidRDefault="006013FB" w:rsidP="006013FB">
      <w:pPr>
        <w:pStyle w:val="BodyText"/>
        <w:spacing w:after="0"/>
      </w:pPr>
      <w:r>
        <w:t>RRA</w:t>
      </w:r>
      <w:r>
        <w:tab/>
      </w:r>
      <w:r>
        <w:tab/>
        <w:t>Regulatory Research Associates</w:t>
      </w:r>
    </w:p>
    <w:p w:rsidR="006013FB" w:rsidRPr="0087421A" w:rsidRDefault="006013FB" w:rsidP="006013FB">
      <w:pPr>
        <w:pStyle w:val="BodyText"/>
        <w:spacing w:after="0"/>
      </w:pPr>
      <w:r w:rsidRPr="0087421A">
        <w:t>ROE</w:t>
      </w:r>
      <w:r w:rsidRPr="0087421A">
        <w:tab/>
      </w:r>
      <w:r w:rsidRPr="0087421A">
        <w:tab/>
        <w:t>Return on Equity</w:t>
      </w:r>
    </w:p>
    <w:p w:rsidR="006013FB" w:rsidRPr="0087421A" w:rsidRDefault="006013FB" w:rsidP="006013FB">
      <w:pPr>
        <w:pStyle w:val="BodyText"/>
        <w:spacing w:after="0"/>
      </w:pPr>
      <w:r w:rsidRPr="0087421A">
        <w:t>RTU</w:t>
      </w:r>
      <w:r w:rsidRPr="0087421A">
        <w:tab/>
      </w:r>
      <w:r w:rsidRPr="0087421A">
        <w:tab/>
        <w:t>Remote Terminal Unit</w:t>
      </w:r>
    </w:p>
    <w:p w:rsidR="006013FB" w:rsidRDefault="006013FB" w:rsidP="006013FB">
      <w:pPr>
        <w:pStyle w:val="BodyText"/>
        <w:spacing w:after="0"/>
      </w:pPr>
      <w:r w:rsidRPr="0087421A">
        <w:t>SCADA</w:t>
      </w:r>
      <w:r w:rsidRPr="0087421A">
        <w:tab/>
        <w:t>Supervisory Control &amp; Data Acquisition</w:t>
      </w:r>
    </w:p>
    <w:p w:rsidR="00451466" w:rsidRPr="0087421A" w:rsidRDefault="00451466" w:rsidP="006013FB">
      <w:pPr>
        <w:pStyle w:val="BodyText"/>
        <w:spacing w:after="0"/>
      </w:pPr>
      <w:r>
        <w:t>SH</w:t>
      </w:r>
      <w:r>
        <w:tab/>
      </w:r>
      <w:r w:rsidR="00F06EDA">
        <w:tab/>
      </w:r>
      <w:r>
        <w:t>Service Hearing Transcript</w:t>
      </w:r>
    </w:p>
    <w:p w:rsidR="006013FB" w:rsidRPr="0087421A" w:rsidRDefault="006013FB" w:rsidP="006013FB">
      <w:pPr>
        <w:pStyle w:val="BodyText"/>
        <w:spacing w:after="0"/>
      </w:pPr>
      <w:r w:rsidRPr="0087421A">
        <w:t>TOTI</w:t>
      </w:r>
      <w:r w:rsidRPr="0087421A">
        <w:tab/>
      </w:r>
      <w:r w:rsidRPr="0087421A">
        <w:tab/>
        <w:t>Taxes Other than Income</w:t>
      </w:r>
    </w:p>
    <w:p w:rsidR="006013FB" w:rsidRPr="0087421A" w:rsidRDefault="006013FB" w:rsidP="006013FB">
      <w:pPr>
        <w:pStyle w:val="BodyText"/>
        <w:spacing w:after="0"/>
      </w:pPr>
      <w:r w:rsidRPr="0087421A">
        <w:t>TR</w:t>
      </w:r>
      <w:r w:rsidRPr="0087421A">
        <w:tab/>
      </w:r>
      <w:r w:rsidRPr="0087421A">
        <w:tab/>
        <w:t>Transcript</w:t>
      </w:r>
    </w:p>
    <w:p w:rsidR="006013FB" w:rsidRPr="0087421A" w:rsidRDefault="006013FB" w:rsidP="006013FB">
      <w:pPr>
        <w:pStyle w:val="BodyText"/>
        <w:spacing w:after="0"/>
      </w:pPr>
      <w:r w:rsidRPr="0087421A">
        <w:t>U&amp;U</w:t>
      </w:r>
      <w:r w:rsidRPr="0087421A">
        <w:tab/>
      </w:r>
      <w:r w:rsidRPr="0087421A">
        <w:tab/>
        <w:t>Used and Useful</w:t>
      </w:r>
    </w:p>
    <w:p w:rsidR="006013FB" w:rsidRPr="0087421A" w:rsidRDefault="006013FB" w:rsidP="006013FB">
      <w:pPr>
        <w:pStyle w:val="BodyText"/>
        <w:spacing w:after="0"/>
      </w:pPr>
      <w:r w:rsidRPr="0087421A">
        <w:t>UIF</w:t>
      </w:r>
      <w:r w:rsidRPr="0087421A">
        <w:tab/>
      </w:r>
      <w:r w:rsidRPr="0087421A">
        <w:tab/>
        <w:t>Utilities, Inc. of Florida</w:t>
      </w:r>
    </w:p>
    <w:p w:rsidR="006013FB" w:rsidRPr="0087421A" w:rsidRDefault="006013FB" w:rsidP="006013FB">
      <w:pPr>
        <w:pStyle w:val="BodyText"/>
        <w:spacing w:after="0"/>
      </w:pPr>
      <w:r w:rsidRPr="0087421A">
        <w:t>USOA</w:t>
      </w:r>
      <w:r w:rsidRPr="0087421A">
        <w:tab/>
      </w:r>
      <w:r w:rsidRPr="0087421A">
        <w:tab/>
        <w:t>Uniform System of Accounts</w:t>
      </w:r>
    </w:p>
    <w:p w:rsidR="006013FB" w:rsidRPr="0087421A" w:rsidRDefault="006013FB" w:rsidP="006013FB">
      <w:pPr>
        <w:pStyle w:val="BodyText"/>
        <w:spacing w:after="0"/>
      </w:pPr>
      <w:r w:rsidRPr="0087421A">
        <w:t>WACC</w:t>
      </w:r>
      <w:r w:rsidRPr="0087421A">
        <w:tab/>
        <w:t>Weighted Average Cost of Capital</w:t>
      </w:r>
    </w:p>
    <w:p w:rsidR="006013FB" w:rsidRPr="0087421A" w:rsidRDefault="006013FB" w:rsidP="006013FB">
      <w:pPr>
        <w:pStyle w:val="BodyText"/>
        <w:spacing w:after="0"/>
      </w:pPr>
      <w:r w:rsidRPr="0087421A">
        <w:t xml:space="preserve">WM </w:t>
      </w:r>
      <w:r w:rsidRPr="0087421A">
        <w:tab/>
      </w:r>
      <w:r w:rsidRPr="0087421A">
        <w:tab/>
        <w:t>Water Mains</w:t>
      </w:r>
    </w:p>
    <w:p w:rsidR="006013FB" w:rsidRPr="0087421A" w:rsidRDefault="006013FB" w:rsidP="006013FB">
      <w:pPr>
        <w:pStyle w:val="BodyText"/>
        <w:spacing w:after="0"/>
      </w:pPr>
      <w:r w:rsidRPr="0087421A">
        <w:t>WSC</w:t>
      </w:r>
      <w:r w:rsidRPr="0087421A">
        <w:tab/>
      </w:r>
      <w:r w:rsidRPr="0087421A">
        <w:tab/>
        <w:t>Water Service Corporation</w:t>
      </w:r>
    </w:p>
    <w:p w:rsidR="006013FB" w:rsidRPr="0087421A" w:rsidRDefault="006013FB" w:rsidP="006013FB">
      <w:pPr>
        <w:pStyle w:val="BodyText"/>
        <w:spacing w:after="0"/>
      </w:pPr>
      <w:r w:rsidRPr="0087421A">
        <w:t>WTP</w:t>
      </w:r>
      <w:r w:rsidRPr="0087421A">
        <w:tab/>
      </w:r>
      <w:r w:rsidRPr="0087421A">
        <w:tab/>
        <w:t>Water Treatment Plant</w:t>
      </w:r>
    </w:p>
    <w:p w:rsidR="00171E8F" w:rsidRDefault="006013FB" w:rsidP="006013FB">
      <w:pPr>
        <w:pStyle w:val="BodyText"/>
        <w:spacing w:after="0"/>
      </w:pPr>
      <w:r w:rsidRPr="0087421A">
        <w:t>WWTP</w:t>
      </w:r>
      <w:r w:rsidRPr="0087421A">
        <w:tab/>
        <w:t>Wastewater Treatment Plant</w:t>
      </w:r>
      <w:r w:rsidR="007C0528">
        <w:t xml:space="preserve"> </w:t>
      </w:r>
      <w:bookmarkStart w:id="9" w:name="CaseBackground"/>
    </w:p>
    <w:p w:rsidR="00171E8F" w:rsidRDefault="00171E8F" w:rsidP="00171E8F">
      <w:pPr>
        <w:rPr>
          <w:rFonts w:ascii="Arial" w:hAnsi="Arial" w:cs="Arial"/>
          <w:kern w:val="32"/>
          <w:szCs w:val="32"/>
        </w:rPr>
      </w:pPr>
      <w:r>
        <w:br w:type="page"/>
      </w:r>
    </w:p>
    <w:p w:rsidR="007C0528" w:rsidRDefault="007C0528">
      <w:pPr>
        <w:pStyle w:val="RecommendationMajorSectionHeading"/>
      </w:pPr>
      <w:r>
        <w:lastRenderedPageBreak/>
        <w:t>Case Background</w:t>
      </w:r>
      <w:r>
        <w:fldChar w:fldCharType="begin"/>
      </w:r>
      <w:r>
        <w:instrText xml:space="preserve"> TC  "</w:instrText>
      </w:r>
      <w:bookmarkStart w:id="10" w:name="_Toc196317116"/>
      <w:r>
        <w:tab/>
        <w:instrText>Case Background</w:instrText>
      </w:r>
      <w:bookmarkEnd w:id="10"/>
      <w:r>
        <w:instrText xml:space="preserve">" \l 1 </w:instrText>
      </w:r>
      <w:r>
        <w:fldChar w:fldCharType="end"/>
      </w:r>
    </w:p>
    <w:p w:rsidR="00480B33" w:rsidRDefault="00480B33" w:rsidP="00480B33">
      <w:pPr>
        <w:pStyle w:val="BodyText"/>
      </w:pPr>
      <w:r>
        <w:t>Sunshine Water Services Company (Sunshine or Utility) is a Class A utility providing water and wastewater services to approximately 35,171 water and 29,547 wastewater customers in Charlotte, Highlands, Lake, Lee, Marion, Orange, Pasco, Pinellas, Polk, and Seminole Counties. Rates were last established for this Utility in its 2020 rate case.</w:t>
      </w:r>
      <w:r>
        <w:rPr>
          <w:rStyle w:val="FootnoteReference"/>
        </w:rPr>
        <w:footnoteReference w:id="1"/>
      </w:r>
      <w:r>
        <w:t xml:space="preserve"> </w:t>
      </w:r>
    </w:p>
    <w:p w:rsidR="00480B33" w:rsidRDefault="00480B33" w:rsidP="00480B33">
      <w:pPr>
        <w:pStyle w:val="BodyText"/>
      </w:pPr>
      <w:r>
        <w:t>On June 28, 2024, Sunshine filed its application for the rate increase at issue in the instant docket. The Utility elected to proceed directly to hearing pursuant to Section 367.081, Florida Statutes (F.S.).</w:t>
      </w:r>
      <w:r w:rsidR="00E549DD">
        <w:t xml:space="preserve"> </w:t>
      </w:r>
      <w:r w:rsidRPr="003F4362">
        <w:t xml:space="preserve">On July 26, 2024, staff sent the Utility a letter indicating deficiencies in the filing of its minimum filing requirements (MFRs). </w:t>
      </w:r>
      <w:r>
        <w:t>The Utility filed a deficiency response letter that cured its deficiencies on August 1, 2024. Thus, the official filing date is August 1, 2024.</w:t>
      </w:r>
    </w:p>
    <w:p w:rsidR="00EE056F" w:rsidRDefault="00480B33" w:rsidP="00480B33">
      <w:pPr>
        <w:pStyle w:val="BodyText"/>
      </w:pPr>
      <w:r>
        <w:t>The Utility’s application for an increase to water and wastewater rates is based on the historical 13-month average period ended December 31, 2023</w:t>
      </w:r>
      <w:r w:rsidR="00EE056F">
        <w:t>,</w:t>
      </w:r>
      <w:r>
        <w:t xml:space="preserve"> and includes adjustments for pro forma projects. Sunshine has also requested </w:t>
      </w:r>
      <w:r w:rsidR="00EE056F">
        <w:t>an increase in its meter installation charges.</w:t>
      </w:r>
    </w:p>
    <w:p w:rsidR="00480B33" w:rsidRDefault="00480B33" w:rsidP="00480B33">
      <w:pPr>
        <w:pStyle w:val="BodyText"/>
      </w:pPr>
      <w:r>
        <w:t>Additionally, Sunshine requested authorization to defer benefits and costs incurred as a result of its parent company’s merger. In 2022, Sunshine’s parent companies, Corix Infrastructure Inc. and Corix US, entered into a transaction agreement to merge its businesses with IIF Subway Investment LP, SWMAC, and SouthWest Water Company. As the transaction occurred at the parent level, Sunshine was not directly affected.</w:t>
      </w:r>
      <w:r w:rsidRPr="00194043">
        <w:t xml:space="preserve"> </w:t>
      </w:r>
    </w:p>
    <w:p w:rsidR="00480B33" w:rsidRDefault="00E549DD" w:rsidP="00480B33">
      <w:pPr>
        <w:pStyle w:val="BodyText"/>
      </w:pPr>
      <w:r>
        <w:t>On August 28, 2024</w:t>
      </w:r>
      <w:r w:rsidR="00480B33">
        <w:t>, the Commission suspended final rates proposed by the Utility to allow staff sufficient time to process this case.</w:t>
      </w:r>
      <w:r w:rsidR="00480B33">
        <w:rPr>
          <w:rStyle w:val="FootnoteReference"/>
        </w:rPr>
        <w:footnoteReference w:id="2"/>
      </w:r>
      <w:r w:rsidR="00480B33">
        <w:t xml:space="preserve"> </w:t>
      </w:r>
    </w:p>
    <w:p w:rsidR="00480B33" w:rsidRDefault="00431D19" w:rsidP="00480B33">
      <w:pPr>
        <w:pStyle w:val="BodyText"/>
      </w:pPr>
      <w:r w:rsidRPr="00431D19">
        <w:t xml:space="preserve">On </w:t>
      </w:r>
      <w:r>
        <w:t>April 23</w:t>
      </w:r>
      <w:r w:rsidRPr="00431D19">
        <w:t>, 2024, the Office of Public Counsel (OPC) filed a petition to intervene</w:t>
      </w:r>
      <w:r>
        <w:t>.</w:t>
      </w:r>
      <w:r>
        <w:rPr>
          <w:rStyle w:val="FootnoteReference"/>
        </w:rPr>
        <w:footnoteReference w:id="3"/>
      </w:r>
      <w:r>
        <w:t xml:space="preserve"> However, OPC subsequently filed a notice </w:t>
      </w:r>
      <w:r w:rsidR="00536338">
        <w:t>withdrawing</w:t>
      </w:r>
      <w:r>
        <w:t xml:space="preserve"> this petition on May 7, 2024.</w:t>
      </w:r>
      <w:r>
        <w:rPr>
          <w:rStyle w:val="FootnoteReference"/>
        </w:rPr>
        <w:footnoteReference w:id="4"/>
      </w:r>
      <w:r>
        <w:t xml:space="preserve"> On September 19, 2024, OPC</w:t>
      </w:r>
      <w:r w:rsidR="00480B33">
        <w:t xml:space="preserve"> filed a</w:t>
      </w:r>
      <w:r>
        <w:t>nother</w:t>
      </w:r>
      <w:r w:rsidR="00480B33">
        <w:t xml:space="preserve"> petition to intervene.</w:t>
      </w:r>
      <w:r w:rsidR="00480B33">
        <w:rPr>
          <w:rStyle w:val="FootnoteReference"/>
        </w:rPr>
        <w:footnoteReference w:id="5"/>
      </w:r>
      <w:r w:rsidR="00480B33">
        <w:t xml:space="preserve"> On September 25, 2024, an Order was issued acknowledging intervention by OPC.</w:t>
      </w:r>
      <w:r w:rsidR="00480B33">
        <w:rPr>
          <w:rStyle w:val="FootnoteReference"/>
        </w:rPr>
        <w:footnoteReference w:id="6"/>
      </w:r>
    </w:p>
    <w:p w:rsidR="00480B33" w:rsidRDefault="00480B33" w:rsidP="00480B33">
      <w:pPr>
        <w:pStyle w:val="BodyText"/>
      </w:pPr>
      <w:r>
        <w:t>Four customer service hearings were held</w:t>
      </w:r>
      <w:r w:rsidR="004E5684">
        <w:t>;</w:t>
      </w:r>
      <w:r>
        <w:t xml:space="preserve"> two virtual hearings on December 3, 2024 and December 19, 2024 and two in-person hearings on December 17, 2024.</w:t>
      </w:r>
    </w:p>
    <w:p w:rsidR="00480B33" w:rsidRDefault="00480B33" w:rsidP="00480B33">
      <w:pPr>
        <w:pStyle w:val="BodyText"/>
      </w:pPr>
      <w:r>
        <w:t>A formal evidentiary hearing was held February 11-13, 2025. The parties filed briefs on March 14, 2025.</w:t>
      </w:r>
    </w:p>
    <w:p w:rsidR="0068481F" w:rsidRDefault="00480B33" w:rsidP="00480B33">
      <w:pPr>
        <w:pStyle w:val="BodyText"/>
      </w:pPr>
      <w:r>
        <w:lastRenderedPageBreak/>
        <w:t>This recommendation addresses the Utility’s final requested rates. The Commission has jurisdiction pursuant to Section 367.081, F.S.</w:t>
      </w:r>
    </w:p>
    <w:bookmarkEnd w:id="9"/>
    <w:p w:rsidR="00EA2273" w:rsidRDefault="00EA2273" w:rsidP="0087421A">
      <w:pPr>
        <w:pStyle w:val="RecommendationMajorSectionHeading"/>
        <w:jc w:val="left"/>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C74A92" w:rsidRDefault="007C0528">
      <w:pPr>
        <w:pStyle w:val="RecommendationMajorSectionHeading"/>
      </w:pPr>
      <w:bookmarkStart w:id="13" w:name="DiscussionOfIssues"/>
      <w:r>
        <w:lastRenderedPageBreak/>
        <w:t>Discussion of Issues</w:t>
      </w:r>
    </w:p>
    <w:p w:rsidR="00747EB4" w:rsidRDefault="00747EB4">
      <w:pPr>
        <w:pStyle w:val="IssueHeading"/>
        <w:rPr>
          <w:vanish/>
          <w:specVanish/>
        </w:rPr>
      </w:pPr>
      <w:r w:rsidRPr="004C3641">
        <w:t xml:space="preserve">Issue </w:t>
      </w:r>
      <w:r>
        <w:fldChar w:fldCharType="begin"/>
      </w:r>
      <w:r>
        <w:instrText>seq issue \r 1</w:instrText>
      </w:r>
      <w:r>
        <w:fldChar w:fldCharType="separate"/>
      </w:r>
      <w:r w:rsidR="009D3FF7">
        <w:rPr>
          <w:noProof/>
        </w:rPr>
        <w:t>1</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4" w:name="_Toc196317117"/>
      <w:r w:rsidR="009D3FF7">
        <w:rPr>
          <w:noProof/>
        </w:rPr>
        <w:instrText>1</w:instrText>
      </w:r>
      <w:r>
        <w:fldChar w:fldCharType="end"/>
      </w:r>
      <w:r>
        <w:tab/>
        <w:instrText>Quality of Service (Smith, Ramos)</w:instrText>
      </w:r>
      <w:bookmarkEnd w:id="14"/>
      <w:r>
        <w:instrText xml:space="preserve">" \l 1 </w:instrText>
      </w:r>
      <w:r>
        <w:fldChar w:fldCharType="end"/>
      </w:r>
      <w:r>
        <w:t> </w:t>
      </w:r>
    </w:p>
    <w:p w:rsidR="00747EB4" w:rsidRDefault="00747EB4">
      <w:pPr>
        <w:pStyle w:val="BodyText"/>
      </w:pPr>
      <w:r>
        <w:t> Is the overall quality of service provided by the Utility satisfactory, and, if not, what systems have quality of service issues and what action should be taken by the Commission?</w:t>
      </w:r>
    </w:p>
    <w:p w:rsidR="00747EB4" w:rsidRPr="004C3641" w:rsidRDefault="00747EB4">
      <w:pPr>
        <w:pStyle w:val="IssueSubsectionHeading"/>
        <w:rPr>
          <w:vanish/>
          <w:specVanish/>
        </w:rPr>
      </w:pPr>
      <w:r w:rsidRPr="004C3641">
        <w:t>Recommendation: </w:t>
      </w:r>
    </w:p>
    <w:p w:rsidR="00747EB4" w:rsidRDefault="00747EB4">
      <w:pPr>
        <w:pStyle w:val="BodyText"/>
      </w:pPr>
      <w:r>
        <w:t> </w:t>
      </w:r>
      <w:r w:rsidRPr="00BB1E3F">
        <w:t xml:space="preserve">Yes, staff recommends that Sunshine’s overall quality of service is satisfactory. However, the quality of service for the Sanlando and Mid-County wastewater systems should be deemed unsatisfactory and the current 15 basis point reduction to Sunshine’s overall </w:t>
      </w:r>
      <w:r>
        <w:t>Return on Equity (</w:t>
      </w:r>
      <w:r w:rsidRPr="00BB1E3F">
        <w:t>ROE</w:t>
      </w:r>
      <w:r>
        <w:t>)</w:t>
      </w:r>
      <w:r w:rsidRPr="00BB1E3F">
        <w:t xml:space="preserve"> should continue to be applied. Staff also recommends that Sunshine be required to file an annual report that details any </w:t>
      </w:r>
      <w:r>
        <w:t>Department of Environmental Protection (</w:t>
      </w:r>
      <w:r w:rsidRPr="00BB1E3F">
        <w:t>DEP</w:t>
      </w:r>
      <w:r>
        <w:t>)</w:t>
      </w:r>
      <w:r w:rsidRPr="00BB1E3F">
        <w:t xml:space="preserve"> compliance issues for both the Sanlando and Mid-County wastewater systems. Sunshine should file its first report one year after the final Order in this docket is issued. Additionally, staff recommends the reporting requirements established for the Pasco-Summertree system in the last rate case be discontinued.</w:t>
      </w:r>
      <w:r>
        <w:t xml:space="preserve"> (Smith, Ramos)</w:t>
      </w:r>
    </w:p>
    <w:p w:rsidR="00747EB4" w:rsidRPr="004C3641" w:rsidRDefault="00747EB4">
      <w:pPr>
        <w:pStyle w:val="IssueSubsectionHeading"/>
        <w:keepNext/>
        <w:rPr>
          <w:iCs w:val="0"/>
        </w:rPr>
      </w:pPr>
      <w:r w:rsidRPr="004C3641">
        <w:rPr>
          <w:iCs w:val="0"/>
        </w:rPr>
        <w:t>Position of the Parties</w:t>
      </w:r>
    </w:p>
    <w:p w:rsidR="00747EB4" w:rsidRDefault="00747EB4" w:rsidP="00431D19">
      <w:pPr>
        <w:pStyle w:val="PartyName"/>
        <w:rPr>
          <w:vanish/>
          <w:specVanish/>
        </w:rPr>
      </w:pPr>
      <w:r>
        <w:t>SUNSHINE: </w:t>
      </w:r>
    </w:p>
    <w:p w:rsidR="00747EB4" w:rsidRDefault="00747EB4">
      <w:pPr>
        <w:pStyle w:val="BodyText"/>
      </w:pPr>
      <w:r>
        <w:t> The quality of service is satisfactory for all systems.</w:t>
      </w:r>
    </w:p>
    <w:p w:rsidR="00747EB4" w:rsidRDefault="00747EB4" w:rsidP="00431D19">
      <w:pPr>
        <w:pStyle w:val="PartyName"/>
        <w:rPr>
          <w:vanish/>
          <w:specVanish/>
        </w:rPr>
      </w:pPr>
      <w:r>
        <w:t>OPC: </w:t>
      </w:r>
    </w:p>
    <w:p w:rsidR="00747EB4" w:rsidRDefault="00747EB4">
      <w:pPr>
        <w:pStyle w:val="BodyText"/>
      </w:pPr>
      <w:r>
        <w:t> At a minimum, Sanlando and Mid-County suffer quality of service issues. These systems were unsatisfactory in the company’s last rate case,</w:t>
      </w:r>
      <w:r>
        <w:rPr>
          <w:rStyle w:val="FootnoteReference"/>
        </w:rPr>
        <w:footnoteReference w:id="7"/>
      </w:r>
      <w:r>
        <w:t xml:space="preserve"> so the Commission should reduce the return on equity by 50 basis points among other penalties and measures discussed below.</w:t>
      </w:r>
    </w:p>
    <w:p w:rsidR="00747EB4" w:rsidRPr="004C3641" w:rsidRDefault="00747EB4">
      <w:pPr>
        <w:pStyle w:val="IssueSubsectionHeading"/>
        <w:rPr>
          <w:vanish/>
          <w:specVanish/>
        </w:rPr>
      </w:pPr>
      <w:r w:rsidRPr="004C3641">
        <w:t>Staff Analysis: </w:t>
      </w:r>
    </w:p>
    <w:p w:rsidR="00747EB4" w:rsidRPr="009B2B7E" w:rsidRDefault="00747EB4" w:rsidP="00431D19">
      <w:pPr>
        <w:pStyle w:val="BodyText"/>
      </w:pPr>
      <w:r>
        <w:t> </w:t>
      </w:r>
      <w:r w:rsidRPr="009B2B7E">
        <w:t xml:space="preserve">Pursuant to </w:t>
      </w:r>
      <w:r>
        <w:t xml:space="preserve">Section 367.081(2)(a)1, F.S., and </w:t>
      </w:r>
      <w:r w:rsidRPr="009B2B7E">
        <w:t xml:space="preserve">Rule 25-30.433(1), </w:t>
      </w:r>
      <w:r>
        <w:t>Florida Administrative Code (</w:t>
      </w:r>
      <w:r w:rsidRPr="009B2B7E">
        <w:t>F.A.C.</w:t>
      </w:r>
      <w:r>
        <w:t>)</w:t>
      </w:r>
      <w:r w:rsidRPr="009B2B7E">
        <w:t>, the Commission</w:t>
      </w:r>
      <w:r>
        <w:t>,</w:t>
      </w:r>
      <w:r w:rsidRPr="009B2B7E">
        <w:t xml:space="preserve"> in every rate case shall make a determination of the quality of service provided by the utility by evaluating the quality of the Utility’s product (water) and the Utility’s attempt to address customer satisfaction (water and wastewater). </w:t>
      </w:r>
      <w:r>
        <w:t xml:space="preserve">The Rule requires that the most recent chemical analyses, outstanding citations, violations, and consent orders on file with the DEP and the county health department, along with any DEP and county health department officials’ testimony concerning quality of service shall be considered. In addition, any customer testimony, comments, or complaints shall also be considered. The operating condition of the water and wastewater systems are addressed in Issue 2.  </w:t>
      </w:r>
    </w:p>
    <w:p w:rsidR="00747EB4" w:rsidRDefault="00747EB4" w:rsidP="00431D19">
      <w:pPr>
        <w:pStyle w:val="BodyText"/>
      </w:pPr>
      <w:r w:rsidRPr="009B2B7E">
        <w:t xml:space="preserve">Rule 25-30.433(1), F.A.C., requires that the testimony of a utility’s customers be considered in a rate case proceeding. </w:t>
      </w:r>
      <w:r>
        <w:t xml:space="preserve">Two virtual and two in-person </w:t>
      </w:r>
      <w:r w:rsidRPr="009B2B7E">
        <w:t xml:space="preserve">service hearings </w:t>
      </w:r>
      <w:r>
        <w:t>were held in December of 2024. A</w:t>
      </w:r>
      <w:r w:rsidRPr="009B2B7E">
        <w:t xml:space="preserve"> total o</w:t>
      </w:r>
      <w:r w:rsidRPr="009468E2">
        <w:t>f 13 customers and one appo</w:t>
      </w:r>
      <w:r w:rsidRPr="009B2B7E">
        <w:t>inted official testified at the service hearings.</w:t>
      </w:r>
      <w:r>
        <w:t xml:space="preserve"> </w:t>
      </w:r>
      <w:r w:rsidRPr="009B2B7E">
        <w:t>Each customer that testified expresse</w:t>
      </w:r>
      <w:r>
        <w:t>d their dissatisfaction with Sunshine</w:t>
      </w:r>
      <w:r w:rsidRPr="009B2B7E">
        <w:t xml:space="preserve">’s proposed rate increase; some customers also </w:t>
      </w:r>
      <w:r>
        <w:t xml:space="preserve">expressed concerns </w:t>
      </w:r>
      <w:r w:rsidRPr="009B2B7E">
        <w:t>rega</w:t>
      </w:r>
      <w:r>
        <w:t>rding odor, discolored water, and</w:t>
      </w:r>
      <w:r w:rsidRPr="009B2B7E">
        <w:t xml:space="preserve"> </w:t>
      </w:r>
      <w:r>
        <w:t>difficulty reaching customer service representatives of the Utility. (SH Trans</w:t>
      </w:r>
      <w:r w:rsidR="00955BE0">
        <w:t xml:space="preserve"> 1-3</w:t>
      </w:r>
      <w:r>
        <w:t xml:space="preserve">) Sunshine serves approximately 65,000 </w:t>
      </w:r>
      <w:r w:rsidRPr="004C1145">
        <w:t>customers</w:t>
      </w:r>
      <w:r>
        <w:t xml:space="preserve"> across </w:t>
      </w:r>
      <w:r w:rsidRPr="005835DA">
        <w:t>23 systems and 10 counties. Ov</w:t>
      </w:r>
      <w:r w:rsidRPr="00174618">
        <w:t xml:space="preserve">erall customer </w:t>
      </w:r>
      <w:r w:rsidRPr="00174618">
        <w:lastRenderedPageBreak/>
        <w:t>participation at the service hearings has decreased since the Utility’s last rate case in 2020 by approximately 69 percent, where a total of 42 customers testified.</w:t>
      </w:r>
      <w:r w:rsidRPr="00174618">
        <w:rPr>
          <w:rStyle w:val="FootnoteReference"/>
        </w:rPr>
        <w:footnoteReference w:id="8"/>
      </w:r>
    </w:p>
    <w:p w:rsidR="00747EB4" w:rsidRDefault="00747EB4" w:rsidP="00431D19">
      <w:pPr>
        <w:pStyle w:val="BodyText"/>
      </w:pPr>
      <w:r w:rsidRPr="00F46DB6">
        <w:t xml:space="preserve">DEP provided compliance and complaint data from </w:t>
      </w:r>
      <w:r w:rsidRPr="00132EE3">
        <w:t xml:space="preserve">January 2019, </w:t>
      </w:r>
      <w:r w:rsidRPr="000036A4">
        <w:t xml:space="preserve">through August 2024, </w:t>
      </w:r>
      <w:r w:rsidRPr="00F46DB6">
        <w:t>which was included in the hearing reco</w:t>
      </w:r>
      <w:r w:rsidRPr="00BB5E97">
        <w:t>rd. (EXH 1</w:t>
      </w:r>
      <w:r>
        <w:t>13</w:t>
      </w:r>
      <w:r w:rsidRPr="00BB5E97">
        <w:t>)</w:t>
      </w:r>
      <w:r>
        <w:t xml:space="preserve"> </w:t>
      </w:r>
      <w:r w:rsidRPr="00AF1483">
        <w:t xml:space="preserve">DEP received a total of </w:t>
      </w:r>
      <w:r>
        <w:t>52</w:t>
      </w:r>
      <w:r w:rsidRPr="00AF1483">
        <w:t xml:space="preserve"> complaints during this </w:t>
      </w:r>
      <w:r>
        <w:t>approximately 5-year period: 11 for water and 41 for wastewater. (EXH 113, BSP E42015-E42019)</w:t>
      </w:r>
      <w:r w:rsidRPr="00AF1483">
        <w:t xml:space="preserve"> The water complaints </w:t>
      </w:r>
      <w:r>
        <w:t>were</w:t>
      </w:r>
      <w:r w:rsidRPr="00AF1483">
        <w:t xml:space="preserve"> primarily regarding odor, color, and exceedances in iron levels. </w:t>
      </w:r>
      <w:r>
        <w:t xml:space="preserve">(EXH 113, BSP E42015-E42017) </w:t>
      </w:r>
      <w:r w:rsidRPr="00AF1483">
        <w:t>The wastewater complaints</w:t>
      </w:r>
      <w:r>
        <w:t xml:space="preserve"> were all regarding odor.</w:t>
      </w:r>
      <w:r w:rsidRPr="0040163A">
        <w:rPr>
          <w:highlight w:val="yellow"/>
        </w:rPr>
        <w:t xml:space="preserve"> </w:t>
      </w:r>
      <w:r w:rsidRPr="00932003">
        <w:t xml:space="preserve">(EXH 113, BSP E42017-E42019) </w:t>
      </w:r>
    </w:p>
    <w:p w:rsidR="00747EB4" w:rsidRPr="00664822" w:rsidRDefault="00747EB4" w:rsidP="00431D19">
      <w:pPr>
        <w:pStyle w:val="BodyText"/>
        <w:rPr>
          <w:highlight w:val="yellow"/>
        </w:rPr>
      </w:pPr>
      <w:r>
        <w:t>The Utility provided the complaints it received during the test year and four years prior in Vol. III of its MFRs. (EXH 219) There were 894 billing and 1,718 service complaints for the test year for all of the Utility’s systems. (EXH 91; EXH 219) Sunshine’s secondary water quality complaints for the four years prior to the test year amounted t</w:t>
      </w:r>
      <w:r w:rsidRPr="005835DA">
        <w:t>o 1,092 complai</w:t>
      </w:r>
      <w:r>
        <w:t>nts, with some complaints having been addressed in prior rate proceedings.</w:t>
      </w:r>
      <w:r w:rsidRPr="00071784">
        <w:t xml:space="preserve"> (EXH </w:t>
      </w:r>
      <w:r>
        <w:t>9</w:t>
      </w:r>
      <w:r w:rsidRPr="00071784">
        <w:t>1</w:t>
      </w:r>
      <w:r>
        <w:t>; EXH 219</w:t>
      </w:r>
      <w:r w:rsidRPr="00071784">
        <w:t>)</w:t>
      </w:r>
    </w:p>
    <w:p w:rsidR="00747EB4" w:rsidRPr="009B2B7E" w:rsidRDefault="00747EB4" w:rsidP="00431D19">
      <w:pPr>
        <w:pStyle w:val="BodyText"/>
      </w:pPr>
      <w:r w:rsidRPr="00AC6224">
        <w:t>As of March 25, 2025, there were a total of 74 comment</w:t>
      </w:r>
      <w:r w:rsidRPr="00D1785B">
        <w:t xml:space="preserve">s, filed by 72 customers, in the docket file. Sunshine serves over 65,000 water and wastewater customers; therefore, approximately </w:t>
      </w:r>
      <w:r>
        <w:t>0</w:t>
      </w:r>
      <w:r w:rsidRPr="00D1785B">
        <w:t>.11 percent of the Utility’s customers provided comments in the instant docket. (Sunshine BR 2) Staff analyzed all comments in the docket file and a total of 70 customers provided comments expressing their discontent with the proposed rate increase. In addition, 8 customers</w:t>
      </w:r>
      <w:r>
        <w:t xml:space="preserve"> </w:t>
      </w:r>
      <w:r w:rsidRPr="00D1785B">
        <w:t>provided comments regarding the quality of service and addressed their dissatisfaction with the odor and color of their water product. Several customers provided comments also expressing their dissatisfaction with the Utility’s customer service.</w:t>
      </w:r>
    </w:p>
    <w:p w:rsidR="00747EB4" w:rsidRPr="009B2B7E" w:rsidRDefault="00747EB4" w:rsidP="00431D19">
      <w:pPr>
        <w:pStyle w:val="BodyText"/>
      </w:pPr>
      <w:r w:rsidRPr="00986470">
        <w:t>The Commission received a total of 107 complaints from July 1, 2020, through June 30, 2024, with 68 percent of the complaints concerning billing issues, and 32 percent concerning qu</w:t>
      </w:r>
      <w:r>
        <w:t>ality of service issues</w:t>
      </w:r>
      <w:r w:rsidRPr="00427C87">
        <w:t xml:space="preserve">. (TR 319) Staff witness Calhoun testified that most complaints for the analyzed 4-year period came from Seminole County, with 59 complaints, followed by Lake County with 29 complaints. (EXH 44) Of the total complaints for both Seminole and Lake Counties (88), 19 complaints address quality of service issues. (EXH 42; EXH 44) Staff notes that Sunshine serves over 17,000 water and 11,000 wastewater ERCs in Seminole County (Sanlando and Seminole) and over 15,000 water and 8,000 wastewater </w:t>
      </w:r>
      <w:r>
        <w:t>equivalent residential connection (</w:t>
      </w:r>
      <w:r w:rsidRPr="00427C87">
        <w:t>ERCs</w:t>
      </w:r>
      <w:r>
        <w:t>)</w:t>
      </w:r>
      <w:r w:rsidRPr="00427C87">
        <w:t xml:space="preserve"> in Lake County (LUSI and Pe</w:t>
      </w:r>
      <w:r w:rsidRPr="009B2B7E">
        <w:t>nnbrooke)</w:t>
      </w:r>
      <w:r w:rsidRPr="00F94DF0">
        <w:t xml:space="preserve">. </w:t>
      </w:r>
      <w:r>
        <w:t xml:space="preserve">(EXH </w:t>
      </w:r>
      <w:r w:rsidRPr="00F61A8E">
        <w:t>213, J210-</w:t>
      </w:r>
      <w:r>
        <w:t>J</w:t>
      </w:r>
      <w:r w:rsidRPr="00F61A8E">
        <w:t>21</w:t>
      </w:r>
      <w:r>
        <w:t>4</w:t>
      </w:r>
      <w:r w:rsidRPr="00F61A8E">
        <w:t>, J22</w:t>
      </w:r>
      <w:r>
        <w:t>4-J225, J31</w:t>
      </w:r>
      <w:r w:rsidRPr="00F61A8E">
        <w:t>7-</w:t>
      </w:r>
      <w:r>
        <w:t>J</w:t>
      </w:r>
      <w:r w:rsidRPr="00F61A8E">
        <w:t>318, J324, J334, J341, J347, J353, J359, J369</w:t>
      </w:r>
      <w:r>
        <w:t>-J370</w:t>
      </w:r>
      <w:r w:rsidRPr="00F61A8E">
        <w:t>)</w:t>
      </w:r>
      <w:r w:rsidRPr="00F94DF0">
        <w:t xml:space="preserve"> The total custo</w:t>
      </w:r>
      <w:r w:rsidRPr="009B2B7E">
        <w:t>mer complaints received by the Commission r</w:t>
      </w:r>
      <w:r>
        <w:t>epresents 0</w:t>
      </w:r>
      <w:r w:rsidRPr="00427C87">
        <w:t>.28</w:t>
      </w:r>
      <w:r>
        <w:t xml:space="preserve"> percent of Sunshine</w:t>
      </w:r>
      <w:r w:rsidRPr="009B2B7E">
        <w:t xml:space="preserve">’s customer base within Seminole and Lake Counties </w:t>
      </w:r>
      <w:r w:rsidRPr="00427C87">
        <w:t xml:space="preserve">and </w:t>
      </w:r>
      <w:r>
        <w:t>0</w:t>
      </w:r>
      <w:r w:rsidRPr="00427C87">
        <w:t>.16</w:t>
      </w:r>
      <w:r>
        <w:t xml:space="preserve"> percent </w:t>
      </w:r>
      <w:r w:rsidRPr="00427C87">
        <w:t>of the Utility in its entirety. Witness Calhoun also stated that the Utility may have violated the Commission’s rules for eight of the 107 complaints received by the Commission. (TR 320) Of these potential rule violations, witness Calhoun testified that one complaint was for service quality and the remaining seven related to billing issues. (TR 320)</w:t>
      </w:r>
    </w:p>
    <w:p w:rsidR="00747EB4" w:rsidRPr="009B2B7E" w:rsidRDefault="00747EB4" w:rsidP="00431D19">
      <w:pPr>
        <w:pStyle w:val="BodyText"/>
      </w:pPr>
      <w:r>
        <w:t>In Vol III of its MFRs, Sunshine</w:t>
      </w:r>
      <w:r w:rsidRPr="009B2B7E">
        <w:t xml:space="preserve"> provided the required additional engineering information pursuant to Rule 25-30.4</w:t>
      </w:r>
      <w:r>
        <w:t>37</w:t>
      </w:r>
      <w:r w:rsidRPr="009B2B7E">
        <w:t>, F.A.</w:t>
      </w:r>
      <w:r w:rsidRPr="00F94DF0">
        <w:t>C. (EXH 215; EXH 216; EXH 217;</w:t>
      </w:r>
      <w:r w:rsidRPr="007030F7">
        <w:t xml:space="preserve"> EXH 218; EXH 219) </w:t>
      </w:r>
      <w:r w:rsidRPr="00F94DF0">
        <w:t xml:space="preserve">In </w:t>
      </w:r>
      <w:r w:rsidRPr="00F94DF0">
        <w:lastRenderedPageBreak/>
        <w:t>evaluating Su</w:t>
      </w:r>
      <w:r>
        <w:t>nshine</w:t>
      </w:r>
      <w:r w:rsidRPr="009B2B7E">
        <w:t>’s product quality (water), staff reviewed t</w:t>
      </w:r>
      <w:r>
        <w:t>he Utility’s compliance with</w:t>
      </w:r>
      <w:r w:rsidRPr="009B2B7E">
        <w:t xml:space="preserve"> DEP’s primary and secondary drinking water standards.</w:t>
      </w:r>
      <w:r>
        <w:t xml:space="preserve"> (EXH 113)</w:t>
      </w:r>
      <w:r w:rsidRPr="009B2B7E">
        <w:t xml:space="preserve"> Primary standards protect public health, while secondary standards regulate contaminants that may impact the taste, odor, and color of drinking water.</w:t>
      </w:r>
      <w:r>
        <w:t xml:space="preserve"> </w:t>
      </w:r>
      <w:r w:rsidRPr="00F94DF0">
        <w:t xml:space="preserve">Currently, all of the Utility’s water systems are in compliance with DEP’s rules and regulations and are under no formal enforcement action or violation. (EXH 113; EXH 219) Additionally, all of Sunshine’s wastewater systems are in compliance with DEP, with the exception of the </w:t>
      </w:r>
      <w:r>
        <w:t>Sanlando (Wekiva Hunt Club) and Mid-County wastewater systems</w:t>
      </w:r>
      <w:r w:rsidRPr="00F94DF0">
        <w:t>. (EXH 113; EXH 219</w:t>
      </w:r>
      <w:r>
        <w:t>)</w:t>
      </w:r>
    </w:p>
    <w:p w:rsidR="00747EB4" w:rsidRPr="009B2B7E" w:rsidRDefault="00747EB4" w:rsidP="00431D19">
      <w:pPr>
        <w:pStyle w:val="BodyText"/>
      </w:pPr>
      <w:r w:rsidRPr="00986470">
        <w:t xml:space="preserve">Below, staff discusses the quality of the Utility’s product, pursuant to Rule 25-30.433(1), F.A.C. Staff’s analysis consists of: 1) a discussion of the systems </w:t>
      </w:r>
      <w:r w:rsidR="003F68D2">
        <w:t>that</w:t>
      </w:r>
      <w:r w:rsidRPr="00986470">
        <w:t xml:space="preserve"> staff recommends should be deemed satisfactory, were satisfactory in the last rate case, and not contested by OPC; and 2) a d</w:t>
      </w:r>
      <w:r w:rsidR="003F68D2">
        <w:t>iscussion of the systems that</w:t>
      </w:r>
      <w:r w:rsidRPr="00986470">
        <w:t xml:space="preserve"> staff believes should be </w:t>
      </w:r>
      <w:r>
        <w:t>unsatisfactory, were considered unsatisfactory in the last rate case,</w:t>
      </w:r>
      <w:r w:rsidRPr="00986470">
        <w:t xml:space="preserve"> or are contested by OPC in the instant docket. Table 1-1 summarizes the quality of service determinations from </w:t>
      </w:r>
      <w:r>
        <w:t>Sunshine</w:t>
      </w:r>
      <w:r w:rsidRPr="00986470">
        <w:t xml:space="preserve">’s last rate case and the recommended determinations by </w:t>
      </w:r>
      <w:r>
        <w:t>Sunshine</w:t>
      </w:r>
      <w:r w:rsidRPr="00986470">
        <w:t>, OPC, and staff, by system.</w:t>
      </w:r>
    </w:p>
    <w:p w:rsidR="00747EB4" w:rsidRPr="009B2B7E" w:rsidRDefault="00747EB4" w:rsidP="00431D19">
      <w:pPr>
        <w:pStyle w:val="TableNumber"/>
      </w:pPr>
      <w:r w:rsidRPr="009B2B7E">
        <w:t xml:space="preserve">Table </w:t>
      </w:r>
      <w:r w:rsidR="00FF5F64">
        <w:fldChar w:fldCharType="begin"/>
      </w:r>
      <w:r w:rsidR="00FF5F64">
        <w:instrText xml:space="preserve"> SEQ Issue \c </w:instrText>
      </w:r>
      <w:r w:rsidR="00FF5F64">
        <w:fldChar w:fldCharType="separate"/>
      </w:r>
      <w:r w:rsidR="009D3FF7">
        <w:rPr>
          <w:noProof/>
        </w:rPr>
        <w:t>1</w:t>
      </w:r>
      <w:r w:rsidR="00FF5F64">
        <w:rPr>
          <w:noProof/>
        </w:rPr>
        <w:fldChar w:fldCharType="end"/>
      </w:r>
      <w:r w:rsidRPr="009B2B7E">
        <w:t>-1</w:t>
      </w:r>
    </w:p>
    <w:p w:rsidR="00747EB4" w:rsidRPr="009B2B7E" w:rsidRDefault="00747EB4" w:rsidP="00431D19">
      <w:pPr>
        <w:pStyle w:val="TableTitle"/>
      </w:pPr>
      <w:r w:rsidRPr="009B2B7E">
        <w:t>Quality of Service Determination Summary</w:t>
      </w:r>
    </w:p>
    <w:tbl>
      <w:tblPr>
        <w:tblStyle w:val="TableGrid"/>
        <w:tblW w:w="0" w:type="auto"/>
        <w:tblLayout w:type="fixed"/>
        <w:tblCellMar>
          <w:left w:w="72" w:type="dxa"/>
          <w:right w:w="72" w:type="dxa"/>
        </w:tblCellMar>
        <w:tblLook w:val="04A0" w:firstRow="1" w:lastRow="0" w:firstColumn="1" w:lastColumn="0" w:noHBand="0" w:noVBand="1"/>
      </w:tblPr>
      <w:tblGrid>
        <w:gridCol w:w="2785"/>
        <w:gridCol w:w="1643"/>
        <w:gridCol w:w="1507"/>
        <w:gridCol w:w="1710"/>
        <w:gridCol w:w="1705"/>
      </w:tblGrid>
      <w:tr w:rsidR="00747EB4" w:rsidRPr="009B2B7E" w:rsidTr="00431D19">
        <w:tc>
          <w:tcPr>
            <w:tcW w:w="2785" w:type="dxa"/>
            <w:vAlign w:val="center"/>
          </w:tcPr>
          <w:p w:rsidR="00747EB4" w:rsidRPr="00EB7027" w:rsidRDefault="00747EB4" w:rsidP="00431D19">
            <w:pPr>
              <w:jc w:val="center"/>
              <w:rPr>
                <w:sz w:val="20"/>
                <w:szCs w:val="20"/>
              </w:rPr>
            </w:pPr>
            <w:r w:rsidRPr="00EB7027">
              <w:rPr>
                <w:sz w:val="20"/>
                <w:szCs w:val="20"/>
              </w:rPr>
              <w:t>System</w:t>
            </w:r>
          </w:p>
        </w:tc>
        <w:tc>
          <w:tcPr>
            <w:tcW w:w="1643" w:type="dxa"/>
            <w:vAlign w:val="center"/>
          </w:tcPr>
          <w:p w:rsidR="00747EB4" w:rsidRPr="00EB7027" w:rsidRDefault="00747EB4" w:rsidP="00431D19">
            <w:pPr>
              <w:jc w:val="center"/>
              <w:rPr>
                <w:sz w:val="20"/>
                <w:szCs w:val="20"/>
              </w:rPr>
            </w:pPr>
            <w:r w:rsidRPr="00EB7027">
              <w:rPr>
                <w:sz w:val="20"/>
                <w:szCs w:val="20"/>
              </w:rPr>
              <w:t>Last Rate Case Determination</w:t>
            </w:r>
          </w:p>
        </w:tc>
        <w:tc>
          <w:tcPr>
            <w:tcW w:w="1507" w:type="dxa"/>
            <w:vAlign w:val="center"/>
          </w:tcPr>
          <w:p w:rsidR="00747EB4" w:rsidRPr="00EB7027" w:rsidRDefault="00747EB4" w:rsidP="00431D19">
            <w:pPr>
              <w:jc w:val="center"/>
              <w:rPr>
                <w:sz w:val="20"/>
                <w:szCs w:val="20"/>
              </w:rPr>
            </w:pPr>
            <w:r w:rsidRPr="00FF38B5">
              <w:rPr>
                <w:sz w:val="18"/>
                <w:szCs w:val="20"/>
              </w:rPr>
              <w:t>Sunshine Recommendation</w:t>
            </w:r>
          </w:p>
        </w:tc>
        <w:tc>
          <w:tcPr>
            <w:tcW w:w="1710" w:type="dxa"/>
            <w:vAlign w:val="center"/>
          </w:tcPr>
          <w:p w:rsidR="00747EB4" w:rsidRPr="00EB7027" w:rsidRDefault="00747EB4" w:rsidP="00431D19">
            <w:pPr>
              <w:jc w:val="center"/>
              <w:rPr>
                <w:sz w:val="20"/>
                <w:szCs w:val="20"/>
              </w:rPr>
            </w:pPr>
            <w:r w:rsidRPr="00EB7027">
              <w:rPr>
                <w:sz w:val="20"/>
                <w:szCs w:val="20"/>
              </w:rPr>
              <w:t>OPC Recommendation</w:t>
            </w:r>
          </w:p>
        </w:tc>
        <w:tc>
          <w:tcPr>
            <w:tcW w:w="1705" w:type="dxa"/>
            <w:vAlign w:val="center"/>
          </w:tcPr>
          <w:p w:rsidR="00747EB4" w:rsidRPr="00EB7027" w:rsidRDefault="00747EB4" w:rsidP="00431D19">
            <w:pPr>
              <w:jc w:val="center"/>
              <w:rPr>
                <w:sz w:val="20"/>
                <w:szCs w:val="20"/>
              </w:rPr>
            </w:pPr>
            <w:r w:rsidRPr="00EB7027">
              <w:rPr>
                <w:sz w:val="20"/>
                <w:szCs w:val="20"/>
              </w:rPr>
              <w:t>Staff Recommendation</w:t>
            </w:r>
          </w:p>
        </w:tc>
      </w:tr>
      <w:tr w:rsidR="00747EB4" w:rsidRPr="009B2B7E" w:rsidTr="00431D19">
        <w:tc>
          <w:tcPr>
            <w:tcW w:w="2785" w:type="dxa"/>
            <w:vAlign w:val="center"/>
          </w:tcPr>
          <w:p w:rsidR="00747EB4" w:rsidRPr="00EB7027" w:rsidRDefault="00747EB4" w:rsidP="00431D19">
            <w:pPr>
              <w:rPr>
                <w:sz w:val="20"/>
                <w:szCs w:val="20"/>
              </w:rPr>
            </w:pPr>
            <w:r w:rsidRPr="00EB7027">
              <w:rPr>
                <w:sz w:val="20"/>
                <w:szCs w:val="20"/>
              </w:rPr>
              <w:t>Cypress Lakes</w:t>
            </w:r>
          </w:p>
        </w:tc>
        <w:tc>
          <w:tcPr>
            <w:tcW w:w="1643" w:type="dxa"/>
            <w:vAlign w:val="center"/>
          </w:tcPr>
          <w:p w:rsidR="00747EB4" w:rsidRPr="00EB7027" w:rsidRDefault="00747EB4" w:rsidP="00431D19">
            <w:pPr>
              <w:jc w:val="center"/>
              <w:rPr>
                <w:sz w:val="20"/>
                <w:szCs w:val="20"/>
              </w:rPr>
            </w:pPr>
            <w:r w:rsidRPr="00EB7027">
              <w:rPr>
                <w:sz w:val="20"/>
                <w:szCs w:val="20"/>
              </w:rPr>
              <w:t>Satisfactory</w:t>
            </w:r>
          </w:p>
        </w:tc>
        <w:tc>
          <w:tcPr>
            <w:tcW w:w="1507" w:type="dxa"/>
            <w:vAlign w:val="center"/>
          </w:tcPr>
          <w:p w:rsidR="00747EB4" w:rsidRPr="00EB7027" w:rsidRDefault="00747EB4" w:rsidP="00431D19">
            <w:pPr>
              <w:jc w:val="center"/>
              <w:rPr>
                <w:sz w:val="20"/>
                <w:szCs w:val="20"/>
              </w:rPr>
            </w:pPr>
            <w:r w:rsidRPr="00EB7027">
              <w:rPr>
                <w:sz w:val="20"/>
                <w:szCs w:val="20"/>
              </w:rPr>
              <w:t>Satisfactory</w:t>
            </w:r>
          </w:p>
        </w:tc>
        <w:tc>
          <w:tcPr>
            <w:tcW w:w="1710" w:type="dxa"/>
            <w:vAlign w:val="center"/>
          </w:tcPr>
          <w:p w:rsidR="00747EB4" w:rsidRPr="00EB7027" w:rsidRDefault="00747EB4" w:rsidP="00431D19">
            <w:pPr>
              <w:jc w:val="center"/>
              <w:rPr>
                <w:sz w:val="20"/>
                <w:szCs w:val="20"/>
              </w:rPr>
            </w:pPr>
            <w:r w:rsidRPr="00EB7027">
              <w:rPr>
                <w:sz w:val="20"/>
                <w:szCs w:val="20"/>
              </w:rPr>
              <w:t>-</w:t>
            </w:r>
          </w:p>
        </w:tc>
        <w:tc>
          <w:tcPr>
            <w:tcW w:w="1705" w:type="dxa"/>
            <w:vAlign w:val="center"/>
          </w:tcPr>
          <w:p w:rsidR="00747EB4" w:rsidRPr="00EB7027" w:rsidRDefault="00747EB4" w:rsidP="00431D19">
            <w:pPr>
              <w:jc w:val="center"/>
              <w:rPr>
                <w:sz w:val="20"/>
                <w:szCs w:val="20"/>
              </w:rPr>
            </w:pPr>
            <w:r w:rsidRPr="00EB7027">
              <w:rPr>
                <w:sz w:val="20"/>
                <w:szCs w:val="20"/>
              </w:rPr>
              <w:t>Satisfactory</w:t>
            </w:r>
          </w:p>
        </w:tc>
      </w:tr>
      <w:tr w:rsidR="00747EB4" w:rsidRPr="009B2B7E" w:rsidTr="00431D19">
        <w:tc>
          <w:tcPr>
            <w:tcW w:w="2785" w:type="dxa"/>
          </w:tcPr>
          <w:p w:rsidR="00747EB4" w:rsidRPr="00EB7027" w:rsidRDefault="00747EB4" w:rsidP="00431D19">
            <w:pPr>
              <w:rPr>
                <w:sz w:val="20"/>
                <w:szCs w:val="20"/>
              </w:rPr>
            </w:pPr>
            <w:r w:rsidRPr="00EB7027">
              <w:rPr>
                <w:sz w:val="20"/>
                <w:szCs w:val="20"/>
              </w:rPr>
              <w:t>Lake Placid</w:t>
            </w:r>
          </w:p>
        </w:tc>
        <w:tc>
          <w:tcPr>
            <w:tcW w:w="1643" w:type="dxa"/>
            <w:vAlign w:val="center"/>
          </w:tcPr>
          <w:p w:rsidR="00747EB4" w:rsidRPr="00EB7027" w:rsidRDefault="00747EB4" w:rsidP="00431D19">
            <w:pPr>
              <w:jc w:val="center"/>
              <w:rPr>
                <w:sz w:val="20"/>
                <w:szCs w:val="20"/>
              </w:rPr>
            </w:pPr>
            <w:r w:rsidRPr="00EB7027">
              <w:rPr>
                <w:sz w:val="20"/>
                <w:szCs w:val="20"/>
              </w:rPr>
              <w:t>Satisfactory</w:t>
            </w:r>
          </w:p>
        </w:tc>
        <w:tc>
          <w:tcPr>
            <w:tcW w:w="1507" w:type="dxa"/>
            <w:vAlign w:val="center"/>
          </w:tcPr>
          <w:p w:rsidR="00747EB4" w:rsidRPr="00EB7027" w:rsidRDefault="00747EB4" w:rsidP="00431D19">
            <w:pPr>
              <w:jc w:val="center"/>
              <w:rPr>
                <w:sz w:val="20"/>
                <w:szCs w:val="20"/>
              </w:rPr>
            </w:pPr>
            <w:r w:rsidRPr="00EB7027">
              <w:rPr>
                <w:sz w:val="20"/>
                <w:szCs w:val="20"/>
              </w:rPr>
              <w:t>Satisfactory</w:t>
            </w:r>
          </w:p>
        </w:tc>
        <w:tc>
          <w:tcPr>
            <w:tcW w:w="1710" w:type="dxa"/>
            <w:vAlign w:val="center"/>
          </w:tcPr>
          <w:p w:rsidR="00747EB4" w:rsidRPr="00EB7027" w:rsidRDefault="00747EB4" w:rsidP="00431D19">
            <w:pPr>
              <w:jc w:val="center"/>
              <w:rPr>
                <w:sz w:val="20"/>
                <w:szCs w:val="20"/>
              </w:rPr>
            </w:pPr>
            <w:r w:rsidRPr="00EB7027">
              <w:rPr>
                <w:sz w:val="20"/>
                <w:szCs w:val="20"/>
              </w:rPr>
              <w:t>-</w:t>
            </w:r>
          </w:p>
        </w:tc>
        <w:tc>
          <w:tcPr>
            <w:tcW w:w="1705" w:type="dxa"/>
            <w:vAlign w:val="center"/>
          </w:tcPr>
          <w:p w:rsidR="00747EB4" w:rsidRPr="00EB7027" w:rsidRDefault="00747EB4" w:rsidP="00431D19">
            <w:pPr>
              <w:jc w:val="center"/>
              <w:rPr>
                <w:sz w:val="20"/>
                <w:szCs w:val="20"/>
              </w:rPr>
            </w:pPr>
            <w:r w:rsidRPr="00EB7027">
              <w:rPr>
                <w:sz w:val="20"/>
                <w:szCs w:val="20"/>
              </w:rPr>
              <w:t>Satisfactory</w:t>
            </w:r>
          </w:p>
        </w:tc>
      </w:tr>
      <w:tr w:rsidR="00747EB4" w:rsidRPr="009B2B7E" w:rsidTr="00431D19">
        <w:tc>
          <w:tcPr>
            <w:tcW w:w="2785" w:type="dxa"/>
          </w:tcPr>
          <w:p w:rsidR="00747EB4" w:rsidRPr="00EB7027" w:rsidRDefault="00747EB4" w:rsidP="00431D19">
            <w:pPr>
              <w:rPr>
                <w:sz w:val="20"/>
                <w:szCs w:val="20"/>
              </w:rPr>
            </w:pPr>
            <w:r w:rsidRPr="00EB7027">
              <w:rPr>
                <w:sz w:val="20"/>
                <w:szCs w:val="20"/>
              </w:rPr>
              <w:t>Marion-Golden Hills/Crownwood</w:t>
            </w:r>
          </w:p>
        </w:tc>
        <w:tc>
          <w:tcPr>
            <w:tcW w:w="1643" w:type="dxa"/>
            <w:vAlign w:val="center"/>
          </w:tcPr>
          <w:p w:rsidR="00747EB4" w:rsidRPr="00EB7027" w:rsidRDefault="00747EB4" w:rsidP="00431D19">
            <w:pPr>
              <w:jc w:val="center"/>
              <w:rPr>
                <w:sz w:val="20"/>
                <w:szCs w:val="20"/>
              </w:rPr>
            </w:pPr>
            <w:r w:rsidRPr="00EB7027">
              <w:rPr>
                <w:sz w:val="20"/>
                <w:szCs w:val="20"/>
              </w:rPr>
              <w:t>Satisfactory</w:t>
            </w:r>
          </w:p>
        </w:tc>
        <w:tc>
          <w:tcPr>
            <w:tcW w:w="1507" w:type="dxa"/>
            <w:vAlign w:val="center"/>
          </w:tcPr>
          <w:p w:rsidR="00747EB4" w:rsidRPr="00EB7027" w:rsidRDefault="00747EB4" w:rsidP="00431D19">
            <w:pPr>
              <w:jc w:val="center"/>
              <w:rPr>
                <w:sz w:val="20"/>
                <w:szCs w:val="20"/>
              </w:rPr>
            </w:pPr>
            <w:r w:rsidRPr="00EB7027">
              <w:rPr>
                <w:sz w:val="20"/>
                <w:szCs w:val="20"/>
              </w:rPr>
              <w:t>Satisfactory</w:t>
            </w:r>
          </w:p>
        </w:tc>
        <w:tc>
          <w:tcPr>
            <w:tcW w:w="1710" w:type="dxa"/>
            <w:vAlign w:val="center"/>
          </w:tcPr>
          <w:p w:rsidR="00747EB4" w:rsidRPr="00EB7027" w:rsidRDefault="00747EB4" w:rsidP="00431D19">
            <w:pPr>
              <w:jc w:val="center"/>
              <w:rPr>
                <w:sz w:val="20"/>
                <w:szCs w:val="20"/>
              </w:rPr>
            </w:pPr>
            <w:r w:rsidRPr="00EB7027">
              <w:rPr>
                <w:sz w:val="20"/>
                <w:szCs w:val="20"/>
              </w:rPr>
              <w:t>-</w:t>
            </w:r>
          </w:p>
        </w:tc>
        <w:tc>
          <w:tcPr>
            <w:tcW w:w="1705" w:type="dxa"/>
            <w:vAlign w:val="center"/>
          </w:tcPr>
          <w:p w:rsidR="00747EB4" w:rsidRPr="00EB7027" w:rsidRDefault="00747EB4" w:rsidP="00431D19">
            <w:pPr>
              <w:jc w:val="center"/>
              <w:rPr>
                <w:sz w:val="20"/>
                <w:szCs w:val="20"/>
              </w:rPr>
            </w:pPr>
            <w:r w:rsidRPr="00EB7027">
              <w:rPr>
                <w:sz w:val="20"/>
                <w:szCs w:val="20"/>
              </w:rPr>
              <w:t>Satisfactory</w:t>
            </w:r>
          </w:p>
        </w:tc>
      </w:tr>
      <w:tr w:rsidR="00747EB4" w:rsidRPr="009B2B7E" w:rsidTr="00431D19">
        <w:tc>
          <w:tcPr>
            <w:tcW w:w="2785" w:type="dxa"/>
          </w:tcPr>
          <w:p w:rsidR="00747EB4" w:rsidRPr="00EB7027" w:rsidRDefault="00747EB4" w:rsidP="00431D19">
            <w:pPr>
              <w:rPr>
                <w:sz w:val="20"/>
                <w:szCs w:val="20"/>
              </w:rPr>
            </w:pPr>
            <w:r w:rsidRPr="00EB7027">
              <w:rPr>
                <w:sz w:val="20"/>
                <w:szCs w:val="20"/>
              </w:rPr>
              <w:t>Orange-Crescent Heights/Davis Shores</w:t>
            </w:r>
          </w:p>
        </w:tc>
        <w:tc>
          <w:tcPr>
            <w:tcW w:w="1643" w:type="dxa"/>
            <w:vAlign w:val="center"/>
          </w:tcPr>
          <w:p w:rsidR="00747EB4" w:rsidRPr="00EB7027" w:rsidRDefault="00747EB4" w:rsidP="00431D19">
            <w:pPr>
              <w:jc w:val="center"/>
              <w:rPr>
                <w:sz w:val="20"/>
                <w:szCs w:val="20"/>
              </w:rPr>
            </w:pPr>
            <w:r w:rsidRPr="00EB7027">
              <w:rPr>
                <w:sz w:val="20"/>
                <w:szCs w:val="20"/>
              </w:rPr>
              <w:t>Satisfactory</w:t>
            </w:r>
          </w:p>
        </w:tc>
        <w:tc>
          <w:tcPr>
            <w:tcW w:w="1507" w:type="dxa"/>
            <w:vAlign w:val="center"/>
          </w:tcPr>
          <w:p w:rsidR="00747EB4" w:rsidRPr="00EB7027" w:rsidRDefault="00747EB4" w:rsidP="00431D19">
            <w:pPr>
              <w:jc w:val="center"/>
              <w:rPr>
                <w:sz w:val="20"/>
                <w:szCs w:val="20"/>
              </w:rPr>
            </w:pPr>
            <w:r w:rsidRPr="00EB7027">
              <w:rPr>
                <w:sz w:val="20"/>
                <w:szCs w:val="20"/>
              </w:rPr>
              <w:t>Satisfactory</w:t>
            </w:r>
          </w:p>
        </w:tc>
        <w:tc>
          <w:tcPr>
            <w:tcW w:w="1710" w:type="dxa"/>
            <w:vAlign w:val="center"/>
          </w:tcPr>
          <w:p w:rsidR="00747EB4" w:rsidRPr="00EB7027" w:rsidRDefault="00747EB4" w:rsidP="00431D19">
            <w:pPr>
              <w:jc w:val="center"/>
              <w:rPr>
                <w:sz w:val="20"/>
                <w:szCs w:val="20"/>
              </w:rPr>
            </w:pPr>
            <w:r w:rsidRPr="00EB7027">
              <w:rPr>
                <w:sz w:val="20"/>
                <w:szCs w:val="20"/>
              </w:rPr>
              <w:t>-</w:t>
            </w:r>
          </w:p>
        </w:tc>
        <w:tc>
          <w:tcPr>
            <w:tcW w:w="1705" w:type="dxa"/>
            <w:vAlign w:val="center"/>
          </w:tcPr>
          <w:p w:rsidR="00747EB4" w:rsidRPr="00EB7027" w:rsidRDefault="00747EB4" w:rsidP="00431D19">
            <w:pPr>
              <w:jc w:val="center"/>
              <w:rPr>
                <w:sz w:val="20"/>
                <w:szCs w:val="20"/>
              </w:rPr>
            </w:pPr>
            <w:r w:rsidRPr="00EB7027">
              <w:rPr>
                <w:sz w:val="20"/>
                <w:szCs w:val="20"/>
              </w:rPr>
              <w:t>Satisfactory</w:t>
            </w:r>
          </w:p>
        </w:tc>
      </w:tr>
      <w:tr w:rsidR="00747EB4" w:rsidRPr="009B2B7E" w:rsidTr="00431D19">
        <w:tc>
          <w:tcPr>
            <w:tcW w:w="2785" w:type="dxa"/>
          </w:tcPr>
          <w:p w:rsidR="00747EB4" w:rsidRPr="00EB7027" w:rsidRDefault="00747EB4" w:rsidP="00431D19">
            <w:pPr>
              <w:rPr>
                <w:sz w:val="20"/>
                <w:szCs w:val="20"/>
              </w:rPr>
            </w:pPr>
            <w:r w:rsidRPr="00EB7027">
              <w:rPr>
                <w:sz w:val="20"/>
                <w:szCs w:val="20"/>
              </w:rPr>
              <w:t>Pasco-Orangewood/Buena Vista/Wis-Bar</w:t>
            </w:r>
          </w:p>
        </w:tc>
        <w:tc>
          <w:tcPr>
            <w:tcW w:w="1643" w:type="dxa"/>
            <w:vAlign w:val="center"/>
          </w:tcPr>
          <w:p w:rsidR="00747EB4" w:rsidRPr="00EB7027" w:rsidRDefault="00747EB4" w:rsidP="00431D19">
            <w:pPr>
              <w:jc w:val="center"/>
              <w:rPr>
                <w:sz w:val="20"/>
                <w:szCs w:val="20"/>
              </w:rPr>
            </w:pPr>
            <w:r w:rsidRPr="00EB7027">
              <w:rPr>
                <w:sz w:val="20"/>
                <w:szCs w:val="20"/>
              </w:rPr>
              <w:t>Satisfactory</w:t>
            </w:r>
          </w:p>
        </w:tc>
        <w:tc>
          <w:tcPr>
            <w:tcW w:w="1507" w:type="dxa"/>
            <w:vAlign w:val="center"/>
          </w:tcPr>
          <w:p w:rsidR="00747EB4" w:rsidRPr="00EB7027" w:rsidRDefault="00747EB4" w:rsidP="00431D19">
            <w:pPr>
              <w:jc w:val="center"/>
              <w:rPr>
                <w:sz w:val="20"/>
                <w:szCs w:val="20"/>
              </w:rPr>
            </w:pPr>
            <w:r w:rsidRPr="00EB7027">
              <w:rPr>
                <w:sz w:val="20"/>
                <w:szCs w:val="20"/>
              </w:rPr>
              <w:t>Satisfactory</w:t>
            </w:r>
          </w:p>
        </w:tc>
        <w:tc>
          <w:tcPr>
            <w:tcW w:w="1710" w:type="dxa"/>
            <w:vAlign w:val="center"/>
          </w:tcPr>
          <w:p w:rsidR="00747EB4" w:rsidRPr="00EB7027" w:rsidRDefault="00747EB4" w:rsidP="00431D19">
            <w:pPr>
              <w:jc w:val="center"/>
              <w:rPr>
                <w:sz w:val="20"/>
                <w:szCs w:val="20"/>
              </w:rPr>
            </w:pPr>
            <w:r w:rsidRPr="00EB7027">
              <w:rPr>
                <w:sz w:val="20"/>
                <w:szCs w:val="20"/>
              </w:rPr>
              <w:t>-</w:t>
            </w:r>
          </w:p>
        </w:tc>
        <w:tc>
          <w:tcPr>
            <w:tcW w:w="1705" w:type="dxa"/>
            <w:vAlign w:val="center"/>
          </w:tcPr>
          <w:p w:rsidR="00747EB4" w:rsidRPr="00EB7027" w:rsidRDefault="00747EB4" w:rsidP="00431D19">
            <w:pPr>
              <w:jc w:val="center"/>
              <w:rPr>
                <w:sz w:val="20"/>
                <w:szCs w:val="20"/>
              </w:rPr>
            </w:pPr>
            <w:r w:rsidRPr="00EB7027">
              <w:rPr>
                <w:sz w:val="20"/>
                <w:szCs w:val="20"/>
              </w:rPr>
              <w:t>Satisfactory</w:t>
            </w:r>
          </w:p>
        </w:tc>
      </w:tr>
      <w:tr w:rsidR="00747EB4" w:rsidRPr="009B2B7E" w:rsidTr="00431D19">
        <w:tc>
          <w:tcPr>
            <w:tcW w:w="2785" w:type="dxa"/>
          </w:tcPr>
          <w:p w:rsidR="00747EB4" w:rsidRPr="00EB7027" w:rsidRDefault="00747EB4" w:rsidP="00431D19">
            <w:pPr>
              <w:rPr>
                <w:sz w:val="20"/>
                <w:szCs w:val="20"/>
              </w:rPr>
            </w:pPr>
            <w:r w:rsidRPr="00EB7027">
              <w:rPr>
                <w:sz w:val="20"/>
                <w:szCs w:val="20"/>
              </w:rPr>
              <w:t>Pinellas-Lake Tarpon</w:t>
            </w:r>
          </w:p>
        </w:tc>
        <w:tc>
          <w:tcPr>
            <w:tcW w:w="1643" w:type="dxa"/>
            <w:vAlign w:val="center"/>
          </w:tcPr>
          <w:p w:rsidR="00747EB4" w:rsidRPr="00EB7027" w:rsidRDefault="00747EB4" w:rsidP="00431D19">
            <w:pPr>
              <w:jc w:val="center"/>
              <w:rPr>
                <w:sz w:val="20"/>
                <w:szCs w:val="20"/>
              </w:rPr>
            </w:pPr>
            <w:r w:rsidRPr="00EB7027">
              <w:rPr>
                <w:sz w:val="20"/>
                <w:szCs w:val="20"/>
              </w:rPr>
              <w:t>Satisfactory</w:t>
            </w:r>
          </w:p>
        </w:tc>
        <w:tc>
          <w:tcPr>
            <w:tcW w:w="1507" w:type="dxa"/>
            <w:vAlign w:val="center"/>
          </w:tcPr>
          <w:p w:rsidR="00747EB4" w:rsidRPr="00EB7027" w:rsidRDefault="00747EB4" w:rsidP="00431D19">
            <w:pPr>
              <w:jc w:val="center"/>
              <w:rPr>
                <w:sz w:val="20"/>
                <w:szCs w:val="20"/>
              </w:rPr>
            </w:pPr>
            <w:r w:rsidRPr="00EB7027">
              <w:rPr>
                <w:sz w:val="20"/>
                <w:szCs w:val="20"/>
              </w:rPr>
              <w:t>Satisfactory</w:t>
            </w:r>
          </w:p>
        </w:tc>
        <w:tc>
          <w:tcPr>
            <w:tcW w:w="1710" w:type="dxa"/>
            <w:vAlign w:val="center"/>
          </w:tcPr>
          <w:p w:rsidR="00747EB4" w:rsidRPr="00EB7027" w:rsidRDefault="00747EB4" w:rsidP="00431D19">
            <w:pPr>
              <w:jc w:val="center"/>
              <w:rPr>
                <w:sz w:val="20"/>
                <w:szCs w:val="20"/>
              </w:rPr>
            </w:pPr>
            <w:r w:rsidRPr="00EB7027">
              <w:rPr>
                <w:sz w:val="20"/>
                <w:szCs w:val="20"/>
              </w:rPr>
              <w:t>-</w:t>
            </w:r>
          </w:p>
        </w:tc>
        <w:tc>
          <w:tcPr>
            <w:tcW w:w="1705" w:type="dxa"/>
            <w:vAlign w:val="center"/>
          </w:tcPr>
          <w:p w:rsidR="00747EB4" w:rsidRPr="00EB7027" w:rsidRDefault="00747EB4" w:rsidP="00431D19">
            <w:pPr>
              <w:jc w:val="center"/>
              <w:rPr>
                <w:sz w:val="20"/>
                <w:szCs w:val="20"/>
              </w:rPr>
            </w:pPr>
            <w:r w:rsidRPr="00EB7027">
              <w:rPr>
                <w:sz w:val="20"/>
                <w:szCs w:val="20"/>
              </w:rPr>
              <w:t>Satisfactory</w:t>
            </w:r>
          </w:p>
        </w:tc>
      </w:tr>
      <w:tr w:rsidR="00747EB4" w:rsidRPr="009B2B7E" w:rsidTr="00431D19">
        <w:tc>
          <w:tcPr>
            <w:tcW w:w="2785" w:type="dxa"/>
          </w:tcPr>
          <w:p w:rsidR="00747EB4" w:rsidRPr="00EB7027" w:rsidRDefault="00747EB4" w:rsidP="00431D19">
            <w:pPr>
              <w:rPr>
                <w:sz w:val="20"/>
                <w:szCs w:val="20"/>
              </w:rPr>
            </w:pPr>
            <w:r w:rsidRPr="00EB7027">
              <w:rPr>
                <w:sz w:val="20"/>
                <w:szCs w:val="20"/>
              </w:rPr>
              <w:t>LUSI</w:t>
            </w:r>
          </w:p>
        </w:tc>
        <w:tc>
          <w:tcPr>
            <w:tcW w:w="1643" w:type="dxa"/>
            <w:vAlign w:val="center"/>
          </w:tcPr>
          <w:p w:rsidR="00747EB4" w:rsidRPr="00EB7027" w:rsidRDefault="00747EB4" w:rsidP="00431D19">
            <w:pPr>
              <w:jc w:val="center"/>
              <w:rPr>
                <w:sz w:val="20"/>
                <w:szCs w:val="20"/>
              </w:rPr>
            </w:pPr>
            <w:r w:rsidRPr="00EB7027">
              <w:rPr>
                <w:sz w:val="20"/>
                <w:szCs w:val="20"/>
              </w:rPr>
              <w:t>Satisfactory</w:t>
            </w:r>
          </w:p>
        </w:tc>
        <w:tc>
          <w:tcPr>
            <w:tcW w:w="1507" w:type="dxa"/>
            <w:vAlign w:val="center"/>
          </w:tcPr>
          <w:p w:rsidR="00747EB4" w:rsidRPr="00EB7027" w:rsidRDefault="00747EB4" w:rsidP="00431D19">
            <w:pPr>
              <w:jc w:val="center"/>
              <w:rPr>
                <w:sz w:val="20"/>
                <w:szCs w:val="20"/>
              </w:rPr>
            </w:pPr>
            <w:r w:rsidRPr="00EB7027">
              <w:rPr>
                <w:sz w:val="20"/>
                <w:szCs w:val="20"/>
              </w:rPr>
              <w:t>Satisfactory</w:t>
            </w:r>
          </w:p>
        </w:tc>
        <w:tc>
          <w:tcPr>
            <w:tcW w:w="1710" w:type="dxa"/>
            <w:vAlign w:val="center"/>
          </w:tcPr>
          <w:p w:rsidR="00747EB4" w:rsidRPr="00EB7027" w:rsidRDefault="00747EB4" w:rsidP="00431D19">
            <w:pPr>
              <w:jc w:val="center"/>
              <w:rPr>
                <w:sz w:val="20"/>
                <w:szCs w:val="20"/>
              </w:rPr>
            </w:pPr>
            <w:r w:rsidRPr="00EB7027">
              <w:rPr>
                <w:sz w:val="20"/>
                <w:szCs w:val="20"/>
              </w:rPr>
              <w:t>-</w:t>
            </w:r>
          </w:p>
        </w:tc>
        <w:tc>
          <w:tcPr>
            <w:tcW w:w="1705" w:type="dxa"/>
            <w:vAlign w:val="center"/>
          </w:tcPr>
          <w:p w:rsidR="00747EB4" w:rsidRPr="00EB7027" w:rsidRDefault="00747EB4" w:rsidP="00431D19">
            <w:pPr>
              <w:jc w:val="center"/>
              <w:rPr>
                <w:sz w:val="20"/>
                <w:szCs w:val="20"/>
              </w:rPr>
            </w:pPr>
            <w:r w:rsidRPr="00EB7027">
              <w:rPr>
                <w:sz w:val="20"/>
                <w:szCs w:val="20"/>
              </w:rPr>
              <w:t>Satisfactory</w:t>
            </w:r>
          </w:p>
        </w:tc>
      </w:tr>
      <w:tr w:rsidR="00747EB4" w:rsidRPr="009B2B7E" w:rsidTr="00431D19">
        <w:tc>
          <w:tcPr>
            <w:tcW w:w="2785" w:type="dxa"/>
          </w:tcPr>
          <w:p w:rsidR="00747EB4" w:rsidRPr="00EB7027" w:rsidRDefault="00747EB4" w:rsidP="00431D19">
            <w:pPr>
              <w:rPr>
                <w:sz w:val="20"/>
                <w:szCs w:val="20"/>
              </w:rPr>
            </w:pPr>
            <w:r w:rsidRPr="00EB7027">
              <w:rPr>
                <w:sz w:val="20"/>
                <w:szCs w:val="20"/>
              </w:rPr>
              <w:t>Pennbrooke WTP</w:t>
            </w:r>
          </w:p>
        </w:tc>
        <w:tc>
          <w:tcPr>
            <w:tcW w:w="1643" w:type="dxa"/>
            <w:vAlign w:val="center"/>
          </w:tcPr>
          <w:p w:rsidR="00747EB4" w:rsidRPr="00EB7027" w:rsidRDefault="00747EB4" w:rsidP="00431D19">
            <w:pPr>
              <w:jc w:val="center"/>
              <w:rPr>
                <w:sz w:val="20"/>
                <w:szCs w:val="20"/>
              </w:rPr>
            </w:pPr>
            <w:r w:rsidRPr="00EB7027">
              <w:rPr>
                <w:sz w:val="20"/>
                <w:szCs w:val="20"/>
              </w:rPr>
              <w:t>Unsatisfactory</w:t>
            </w:r>
          </w:p>
        </w:tc>
        <w:tc>
          <w:tcPr>
            <w:tcW w:w="1507" w:type="dxa"/>
            <w:vAlign w:val="center"/>
          </w:tcPr>
          <w:p w:rsidR="00747EB4" w:rsidRPr="00EB7027" w:rsidRDefault="00747EB4" w:rsidP="00431D19">
            <w:pPr>
              <w:jc w:val="center"/>
              <w:rPr>
                <w:sz w:val="20"/>
                <w:szCs w:val="20"/>
              </w:rPr>
            </w:pPr>
            <w:r w:rsidRPr="00EB7027">
              <w:rPr>
                <w:sz w:val="20"/>
                <w:szCs w:val="20"/>
              </w:rPr>
              <w:t>Satisfactory</w:t>
            </w:r>
          </w:p>
        </w:tc>
        <w:tc>
          <w:tcPr>
            <w:tcW w:w="1710" w:type="dxa"/>
            <w:vAlign w:val="center"/>
          </w:tcPr>
          <w:p w:rsidR="00747EB4" w:rsidRPr="00EB7027" w:rsidRDefault="00747EB4" w:rsidP="00431D19">
            <w:pPr>
              <w:jc w:val="center"/>
              <w:rPr>
                <w:sz w:val="20"/>
                <w:szCs w:val="20"/>
              </w:rPr>
            </w:pPr>
            <w:r w:rsidRPr="00EB7027">
              <w:rPr>
                <w:sz w:val="20"/>
                <w:szCs w:val="20"/>
              </w:rPr>
              <w:t>-</w:t>
            </w:r>
          </w:p>
        </w:tc>
        <w:tc>
          <w:tcPr>
            <w:tcW w:w="1705" w:type="dxa"/>
            <w:vAlign w:val="center"/>
          </w:tcPr>
          <w:p w:rsidR="00747EB4" w:rsidRPr="00EB7027" w:rsidRDefault="00747EB4" w:rsidP="00431D19">
            <w:pPr>
              <w:jc w:val="center"/>
              <w:rPr>
                <w:sz w:val="20"/>
                <w:szCs w:val="20"/>
              </w:rPr>
            </w:pPr>
            <w:r w:rsidRPr="00EB7027">
              <w:rPr>
                <w:sz w:val="20"/>
                <w:szCs w:val="20"/>
              </w:rPr>
              <w:t>Satisfactory</w:t>
            </w:r>
          </w:p>
        </w:tc>
      </w:tr>
      <w:tr w:rsidR="00747EB4" w:rsidRPr="009B2B7E" w:rsidTr="00431D19">
        <w:tc>
          <w:tcPr>
            <w:tcW w:w="2785" w:type="dxa"/>
          </w:tcPr>
          <w:p w:rsidR="00747EB4" w:rsidRPr="00EB7027" w:rsidRDefault="00747EB4" w:rsidP="00431D19">
            <w:pPr>
              <w:rPr>
                <w:sz w:val="20"/>
                <w:szCs w:val="20"/>
              </w:rPr>
            </w:pPr>
            <w:r w:rsidRPr="00EB7027">
              <w:rPr>
                <w:sz w:val="20"/>
                <w:szCs w:val="20"/>
              </w:rPr>
              <w:t>Pennbrooke WWTP</w:t>
            </w:r>
          </w:p>
        </w:tc>
        <w:tc>
          <w:tcPr>
            <w:tcW w:w="1643" w:type="dxa"/>
            <w:vAlign w:val="center"/>
          </w:tcPr>
          <w:p w:rsidR="00747EB4" w:rsidRPr="00EB7027" w:rsidRDefault="00747EB4" w:rsidP="00431D19">
            <w:pPr>
              <w:jc w:val="center"/>
              <w:rPr>
                <w:sz w:val="20"/>
                <w:szCs w:val="20"/>
              </w:rPr>
            </w:pPr>
            <w:r w:rsidRPr="00EB7027">
              <w:rPr>
                <w:sz w:val="20"/>
                <w:szCs w:val="20"/>
              </w:rPr>
              <w:t>Satisfactory</w:t>
            </w:r>
          </w:p>
        </w:tc>
        <w:tc>
          <w:tcPr>
            <w:tcW w:w="1507" w:type="dxa"/>
            <w:vAlign w:val="center"/>
          </w:tcPr>
          <w:p w:rsidR="00747EB4" w:rsidRPr="00EB7027" w:rsidRDefault="00747EB4" w:rsidP="00431D19">
            <w:pPr>
              <w:jc w:val="center"/>
              <w:rPr>
                <w:sz w:val="20"/>
                <w:szCs w:val="20"/>
              </w:rPr>
            </w:pPr>
            <w:r w:rsidRPr="00EB7027">
              <w:rPr>
                <w:sz w:val="20"/>
                <w:szCs w:val="20"/>
              </w:rPr>
              <w:t>Satisfactory</w:t>
            </w:r>
          </w:p>
        </w:tc>
        <w:tc>
          <w:tcPr>
            <w:tcW w:w="1710" w:type="dxa"/>
            <w:vAlign w:val="center"/>
          </w:tcPr>
          <w:p w:rsidR="00747EB4" w:rsidRPr="00EB7027" w:rsidRDefault="00747EB4" w:rsidP="00431D19">
            <w:pPr>
              <w:jc w:val="center"/>
              <w:rPr>
                <w:sz w:val="20"/>
                <w:szCs w:val="20"/>
              </w:rPr>
            </w:pPr>
            <w:r w:rsidRPr="00EB7027">
              <w:rPr>
                <w:sz w:val="20"/>
                <w:szCs w:val="20"/>
              </w:rPr>
              <w:t>-</w:t>
            </w:r>
          </w:p>
        </w:tc>
        <w:tc>
          <w:tcPr>
            <w:tcW w:w="1705" w:type="dxa"/>
            <w:vAlign w:val="center"/>
          </w:tcPr>
          <w:p w:rsidR="00747EB4" w:rsidRPr="00EB7027" w:rsidRDefault="00747EB4" w:rsidP="00431D19">
            <w:pPr>
              <w:jc w:val="center"/>
              <w:rPr>
                <w:sz w:val="20"/>
                <w:szCs w:val="20"/>
              </w:rPr>
            </w:pPr>
            <w:r w:rsidRPr="00EB7027">
              <w:rPr>
                <w:sz w:val="20"/>
                <w:szCs w:val="20"/>
              </w:rPr>
              <w:t>Satisfactory</w:t>
            </w:r>
          </w:p>
        </w:tc>
      </w:tr>
      <w:tr w:rsidR="00747EB4" w:rsidRPr="009B2B7E" w:rsidTr="00431D19">
        <w:tc>
          <w:tcPr>
            <w:tcW w:w="2785" w:type="dxa"/>
          </w:tcPr>
          <w:p w:rsidR="00747EB4" w:rsidRPr="00EB7027" w:rsidRDefault="00747EB4" w:rsidP="00431D19">
            <w:pPr>
              <w:rPr>
                <w:sz w:val="20"/>
                <w:szCs w:val="20"/>
              </w:rPr>
            </w:pPr>
            <w:r w:rsidRPr="00EB7027">
              <w:rPr>
                <w:sz w:val="20"/>
                <w:szCs w:val="20"/>
              </w:rPr>
              <w:t>Pasco-Labrador</w:t>
            </w:r>
          </w:p>
        </w:tc>
        <w:tc>
          <w:tcPr>
            <w:tcW w:w="1643" w:type="dxa"/>
            <w:vAlign w:val="center"/>
          </w:tcPr>
          <w:p w:rsidR="00747EB4" w:rsidRPr="00EB7027" w:rsidRDefault="00747EB4" w:rsidP="00431D19">
            <w:pPr>
              <w:jc w:val="center"/>
              <w:rPr>
                <w:sz w:val="20"/>
                <w:szCs w:val="20"/>
              </w:rPr>
            </w:pPr>
            <w:r w:rsidRPr="00EB7027">
              <w:rPr>
                <w:sz w:val="20"/>
                <w:szCs w:val="20"/>
              </w:rPr>
              <w:t>Satisfactory</w:t>
            </w:r>
          </w:p>
        </w:tc>
        <w:tc>
          <w:tcPr>
            <w:tcW w:w="1507" w:type="dxa"/>
            <w:vAlign w:val="center"/>
          </w:tcPr>
          <w:p w:rsidR="00747EB4" w:rsidRPr="00EB7027" w:rsidRDefault="00747EB4" w:rsidP="00431D19">
            <w:pPr>
              <w:jc w:val="center"/>
              <w:rPr>
                <w:sz w:val="20"/>
                <w:szCs w:val="20"/>
              </w:rPr>
            </w:pPr>
            <w:r w:rsidRPr="00EB7027">
              <w:rPr>
                <w:sz w:val="20"/>
                <w:szCs w:val="20"/>
              </w:rPr>
              <w:t>Satisfactory</w:t>
            </w:r>
          </w:p>
        </w:tc>
        <w:tc>
          <w:tcPr>
            <w:tcW w:w="1710" w:type="dxa"/>
            <w:vAlign w:val="center"/>
          </w:tcPr>
          <w:p w:rsidR="00747EB4" w:rsidRPr="00EB7027" w:rsidRDefault="00747EB4" w:rsidP="00431D19">
            <w:pPr>
              <w:jc w:val="center"/>
              <w:rPr>
                <w:sz w:val="20"/>
                <w:szCs w:val="20"/>
              </w:rPr>
            </w:pPr>
            <w:r w:rsidRPr="00EB7027">
              <w:rPr>
                <w:sz w:val="20"/>
                <w:szCs w:val="20"/>
              </w:rPr>
              <w:t>-</w:t>
            </w:r>
          </w:p>
        </w:tc>
        <w:tc>
          <w:tcPr>
            <w:tcW w:w="1705" w:type="dxa"/>
            <w:vAlign w:val="center"/>
          </w:tcPr>
          <w:p w:rsidR="00747EB4" w:rsidRPr="00EB7027" w:rsidRDefault="00747EB4" w:rsidP="00431D19">
            <w:pPr>
              <w:jc w:val="center"/>
              <w:rPr>
                <w:sz w:val="20"/>
                <w:szCs w:val="20"/>
              </w:rPr>
            </w:pPr>
            <w:r w:rsidRPr="00EB7027">
              <w:rPr>
                <w:sz w:val="20"/>
                <w:szCs w:val="20"/>
              </w:rPr>
              <w:t>Satisfactory</w:t>
            </w:r>
          </w:p>
        </w:tc>
      </w:tr>
      <w:tr w:rsidR="00747EB4" w:rsidRPr="009B2B7E" w:rsidTr="00431D19">
        <w:tc>
          <w:tcPr>
            <w:tcW w:w="2785" w:type="dxa"/>
          </w:tcPr>
          <w:p w:rsidR="00747EB4" w:rsidRPr="00EB7027" w:rsidRDefault="00747EB4" w:rsidP="00431D19">
            <w:pPr>
              <w:rPr>
                <w:sz w:val="20"/>
                <w:szCs w:val="20"/>
              </w:rPr>
            </w:pPr>
            <w:r w:rsidRPr="00EB7027">
              <w:rPr>
                <w:sz w:val="20"/>
                <w:szCs w:val="20"/>
              </w:rPr>
              <w:t>Pasco-Summertree</w:t>
            </w:r>
          </w:p>
        </w:tc>
        <w:tc>
          <w:tcPr>
            <w:tcW w:w="1643" w:type="dxa"/>
            <w:vAlign w:val="center"/>
          </w:tcPr>
          <w:p w:rsidR="00747EB4" w:rsidRPr="00EB7027" w:rsidRDefault="00747EB4" w:rsidP="00431D19">
            <w:pPr>
              <w:jc w:val="center"/>
              <w:rPr>
                <w:sz w:val="20"/>
                <w:szCs w:val="20"/>
              </w:rPr>
            </w:pPr>
            <w:r w:rsidRPr="00EB7027">
              <w:rPr>
                <w:sz w:val="20"/>
                <w:szCs w:val="20"/>
              </w:rPr>
              <w:t>Satisfactory</w:t>
            </w:r>
          </w:p>
        </w:tc>
        <w:tc>
          <w:tcPr>
            <w:tcW w:w="1507" w:type="dxa"/>
            <w:vAlign w:val="center"/>
          </w:tcPr>
          <w:p w:rsidR="00747EB4" w:rsidRPr="00EB7027" w:rsidRDefault="00747EB4" w:rsidP="00431D19">
            <w:pPr>
              <w:jc w:val="center"/>
              <w:rPr>
                <w:sz w:val="20"/>
                <w:szCs w:val="20"/>
              </w:rPr>
            </w:pPr>
            <w:r w:rsidRPr="00EB7027">
              <w:rPr>
                <w:sz w:val="20"/>
                <w:szCs w:val="20"/>
              </w:rPr>
              <w:t>Satisfactory</w:t>
            </w:r>
          </w:p>
        </w:tc>
        <w:tc>
          <w:tcPr>
            <w:tcW w:w="1710" w:type="dxa"/>
            <w:vAlign w:val="center"/>
          </w:tcPr>
          <w:p w:rsidR="00747EB4" w:rsidRPr="00EB7027" w:rsidRDefault="00747EB4" w:rsidP="00431D19">
            <w:pPr>
              <w:jc w:val="center"/>
              <w:rPr>
                <w:sz w:val="20"/>
                <w:szCs w:val="20"/>
              </w:rPr>
            </w:pPr>
            <w:r w:rsidRPr="00EB7027">
              <w:rPr>
                <w:sz w:val="20"/>
                <w:szCs w:val="20"/>
              </w:rPr>
              <w:t>-</w:t>
            </w:r>
          </w:p>
        </w:tc>
        <w:tc>
          <w:tcPr>
            <w:tcW w:w="1705" w:type="dxa"/>
            <w:vAlign w:val="center"/>
          </w:tcPr>
          <w:p w:rsidR="00747EB4" w:rsidRPr="00EB7027" w:rsidRDefault="00747EB4" w:rsidP="00431D19">
            <w:pPr>
              <w:jc w:val="center"/>
              <w:rPr>
                <w:sz w:val="20"/>
                <w:szCs w:val="20"/>
              </w:rPr>
            </w:pPr>
            <w:r w:rsidRPr="00EB7027">
              <w:rPr>
                <w:sz w:val="20"/>
                <w:szCs w:val="20"/>
              </w:rPr>
              <w:t>Satisfactory</w:t>
            </w:r>
          </w:p>
        </w:tc>
      </w:tr>
      <w:tr w:rsidR="00747EB4" w:rsidRPr="009B2B7E" w:rsidTr="00431D19">
        <w:tc>
          <w:tcPr>
            <w:tcW w:w="2785" w:type="dxa"/>
          </w:tcPr>
          <w:p w:rsidR="00747EB4" w:rsidRPr="00EB7027" w:rsidRDefault="00747EB4" w:rsidP="00431D19">
            <w:pPr>
              <w:rPr>
                <w:sz w:val="20"/>
                <w:szCs w:val="20"/>
              </w:rPr>
            </w:pPr>
            <w:r w:rsidRPr="00EB7027">
              <w:rPr>
                <w:sz w:val="20"/>
                <w:szCs w:val="20"/>
              </w:rPr>
              <w:t>Eagle Ridge</w:t>
            </w:r>
          </w:p>
        </w:tc>
        <w:tc>
          <w:tcPr>
            <w:tcW w:w="1643" w:type="dxa"/>
            <w:vAlign w:val="center"/>
          </w:tcPr>
          <w:p w:rsidR="00747EB4" w:rsidRPr="00EB7027" w:rsidRDefault="00747EB4" w:rsidP="00431D19">
            <w:pPr>
              <w:jc w:val="center"/>
              <w:rPr>
                <w:sz w:val="20"/>
                <w:szCs w:val="20"/>
              </w:rPr>
            </w:pPr>
            <w:r w:rsidRPr="00EB7027">
              <w:rPr>
                <w:sz w:val="20"/>
                <w:szCs w:val="20"/>
              </w:rPr>
              <w:t>Satisfactory</w:t>
            </w:r>
          </w:p>
        </w:tc>
        <w:tc>
          <w:tcPr>
            <w:tcW w:w="1507" w:type="dxa"/>
            <w:vAlign w:val="center"/>
          </w:tcPr>
          <w:p w:rsidR="00747EB4" w:rsidRPr="00EB7027" w:rsidRDefault="00747EB4" w:rsidP="00431D19">
            <w:pPr>
              <w:jc w:val="center"/>
              <w:rPr>
                <w:sz w:val="20"/>
                <w:szCs w:val="20"/>
              </w:rPr>
            </w:pPr>
            <w:r w:rsidRPr="00EB7027">
              <w:rPr>
                <w:sz w:val="20"/>
                <w:szCs w:val="20"/>
              </w:rPr>
              <w:t>Satisfactory</w:t>
            </w:r>
          </w:p>
        </w:tc>
        <w:tc>
          <w:tcPr>
            <w:tcW w:w="1710" w:type="dxa"/>
            <w:vAlign w:val="center"/>
          </w:tcPr>
          <w:p w:rsidR="00747EB4" w:rsidRPr="00EB7027" w:rsidRDefault="00747EB4" w:rsidP="00431D19">
            <w:pPr>
              <w:jc w:val="center"/>
              <w:rPr>
                <w:sz w:val="20"/>
                <w:szCs w:val="20"/>
              </w:rPr>
            </w:pPr>
            <w:r w:rsidRPr="00EB7027">
              <w:rPr>
                <w:sz w:val="20"/>
                <w:szCs w:val="20"/>
              </w:rPr>
              <w:t>-</w:t>
            </w:r>
          </w:p>
        </w:tc>
        <w:tc>
          <w:tcPr>
            <w:tcW w:w="1705" w:type="dxa"/>
            <w:vAlign w:val="center"/>
          </w:tcPr>
          <w:p w:rsidR="00747EB4" w:rsidRPr="00EB7027" w:rsidRDefault="00747EB4" w:rsidP="00431D19">
            <w:pPr>
              <w:jc w:val="center"/>
              <w:rPr>
                <w:sz w:val="20"/>
                <w:szCs w:val="20"/>
              </w:rPr>
            </w:pPr>
            <w:r w:rsidRPr="00EB7027">
              <w:rPr>
                <w:sz w:val="20"/>
                <w:szCs w:val="20"/>
              </w:rPr>
              <w:t>Satisfactory</w:t>
            </w:r>
          </w:p>
        </w:tc>
      </w:tr>
      <w:tr w:rsidR="00747EB4" w:rsidRPr="009B2B7E" w:rsidTr="00431D19">
        <w:tc>
          <w:tcPr>
            <w:tcW w:w="2785" w:type="dxa"/>
          </w:tcPr>
          <w:p w:rsidR="00747EB4" w:rsidRPr="00EB7027" w:rsidRDefault="00747EB4" w:rsidP="00431D19">
            <w:pPr>
              <w:rPr>
                <w:sz w:val="20"/>
                <w:szCs w:val="20"/>
              </w:rPr>
            </w:pPr>
            <w:r w:rsidRPr="00EB7027">
              <w:rPr>
                <w:sz w:val="20"/>
                <w:szCs w:val="20"/>
              </w:rPr>
              <w:t>Tierra Verde</w:t>
            </w:r>
          </w:p>
        </w:tc>
        <w:tc>
          <w:tcPr>
            <w:tcW w:w="1643" w:type="dxa"/>
            <w:vAlign w:val="center"/>
          </w:tcPr>
          <w:p w:rsidR="00747EB4" w:rsidRPr="00EB7027" w:rsidRDefault="00747EB4" w:rsidP="00431D19">
            <w:pPr>
              <w:jc w:val="center"/>
              <w:rPr>
                <w:sz w:val="20"/>
                <w:szCs w:val="20"/>
              </w:rPr>
            </w:pPr>
            <w:r w:rsidRPr="00EB7027">
              <w:rPr>
                <w:sz w:val="20"/>
                <w:szCs w:val="20"/>
              </w:rPr>
              <w:t>Satisfactory</w:t>
            </w:r>
          </w:p>
        </w:tc>
        <w:tc>
          <w:tcPr>
            <w:tcW w:w="1507" w:type="dxa"/>
            <w:vAlign w:val="center"/>
          </w:tcPr>
          <w:p w:rsidR="00747EB4" w:rsidRPr="00EB7027" w:rsidRDefault="00747EB4" w:rsidP="00431D19">
            <w:pPr>
              <w:jc w:val="center"/>
              <w:rPr>
                <w:sz w:val="20"/>
                <w:szCs w:val="20"/>
              </w:rPr>
            </w:pPr>
            <w:r w:rsidRPr="00EB7027">
              <w:rPr>
                <w:sz w:val="20"/>
                <w:szCs w:val="20"/>
              </w:rPr>
              <w:t>Satisfactory</w:t>
            </w:r>
          </w:p>
        </w:tc>
        <w:tc>
          <w:tcPr>
            <w:tcW w:w="1710" w:type="dxa"/>
            <w:vAlign w:val="center"/>
          </w:tcPr>
          <w:p w:rsidR="00747EB4" w:rsidRPr="00EB7027" w:rsidRDefault="00747EB4" w:rsidP="00431D19">
            <w:pPr>
              <w:jc w:val="center"/>
              <w:rPr>
                <w:sz w:val="20"/>
                <w:szCs w:val="20"/>
              </w:rPr>
            </w:pPr>
            <w:r w:rsidRPr="00EB7027">
              <w:rPr>
                <w:sz w:val="20"/>
                <w:szCs w:val="20"/>
              </w:rPr>
              <w:t>-</w:t>
            </w:r>
          </w:p>
        </w:tc>
        <w:tc>
          <w:tcPr>
            <w:tcW w:w="1705" w:type="dxa"/>
            <w:vAlign w:val="center"/>
          </w:tcPr>
          <w:p w:rsidR="00747EB4" w:rsidRPr="00EB7027" w:rsidRDefault="00747EB4" w:rsidP="00431D19">
            <w:pPr>
              <w:jc w:val="center"/>
              <w:rPr>
                <w:sz w:val="20"/>
                <w:szCs w:val="20"/>
              </w:rPr>
            </w:pPr>
            <w:r w:rsidRPr="00EB7027">
              <w:rPr>
                <w:sz w:val="20"/>
                <w:szCs w:val="20"/>
              </w:rPr>
              <w:t>Satisfactory</w:t>
            </w:r>
          </w:p>
        </w:tc>
      </w:tr>
      <w:tr w:rsidR="00747EB4" w:rsidRPr="009B2B7E" w:rsidTr="00431D19">
        <w:tc>
          <w:tcPr>
            <w:tcW w:w="2785" w:type="dxa"/>
          </w:tcPr>
          <w:p w:rsidR="00747EB4" w:rsidRPr="00EB7027" w:rsidRDefault="00747EB4" w:rsidP="00431D19">
            <w:pPr>
              <w:rPr>
                <w:sz w:val="20"/>
                <w:szCs w:val="20"/>
              </w:rPr>
            </w:pPr>
            <w:r w:rsidRPr="00EB7027">
              <w:rPr>
                <w:sz w:val="20"/>
                <w:szCs w:val="20"/>
              </w:rPr>
              <w:t>Sandalhaven</w:t>
            </w:r>
          </w:p>
        </w:tc>
        <w:tc>
          <w:tcPr>
            <w:tcW w:w="1643" w:type="dxa"/>
            <w:vAlign w:val="center"/>
          </w:tcPr>
          <w:p w:rsidR="00747EB4" w:rsidRPr="00EB7027" w:rsidRDefault="00747EB4" w:rsidP="00431D19">
            <w:pPr>
              <w:jc w:val="center"/>
              <w:rPr>
                <w:sz w:val="20"/>
                <w:szCs w:val="20"/>
              </w:rPr>
            </w:pPr>
            <w:r w:rsidRPr="00EB7027">
              <w:rPr>
                <w:sz w:val="20"/>
                <w:szCs w:val="20"/>
              </w:rPr>
              <w:t>Satisfactory</w:t>
            </w:r>
          </w:p>
        </w:tc>
        <w:tc>
          <w:tcPr>
            <w:tcW w:w="1507" w:type="dxa"/>
            <w:vAlign w:val="center"/>
          </w:tcPr>
          <w:p w:rsidR="00747EB4" w:rsidRPr="00EB7027" w:rsidRDefault="00747EB4" w:rsidP="00431D19">
            <w:pPr>
              <w:jc w:val="center"/>
              <w:rPr>
                <w:sz w:val="20"/>
                <w:szCs w:val="20"/>
              </w:rPr>
            </w:pPr>
            <w:r w:rsidRPr="00EB7027">
              <w:rPr>
                <w:sz w:val="20"/>
                <w:szCs w:val="20"/>
              </w:rPr>
              <w:t>Satisfactory</w:t>
            </w:r>
          </w:p>
        </w:tc>
        <w:tc>
          <w:tcPr>
            <w:tcW w:w="1710" w:type="dxa"/>
            <w:vAlign w:val="center"/>
          </w:tcPr>
          <w:p w:rsidR="00747EB4" w:rsidRPr="00EB7027" w:rsidRDefault="00747EB4" w:rsidP="00431D19">
            <w:pPr>
              <w:jc w:val="center"/>
              <w:rPr>
                <w:sz w:val="20"/>
                <w:szCs w:val="20"/>
              </w:rPr>
            </w:pPr>
            <w:r w:rsidRPr="00EB7027">
              <w:rPr>
                <w:sz w:val="20"/>
                <w:szCs w:val="20"/>
              </w:rPr>
              <w:t>-</w:t>
            </w:r>
          </w:p>
        </w:tc>
        <w:tc>
          <w:tcPr>
            <w:tcW w:w="1705" w:type="dxa"/>
            <w:vAlign w:val="center"/>
          </w:tcPr>
          <w:p w:rsidR="00747EB4" w:rsidRPr="00EB7027" w:rsidRDefault="00747EB4" w:rsidP="00431D19">
            <w:pPr>
              <w:jc w:val="center"/>
              <w:rPr>
                <w:sz w:val="20"/>
                <w:szCs w:val="20"/>
              </w:rPr>
            </w:pPr>
            <w:r w:rsidRPr="00EB7027">
              <w:rPr>
                <w:sz w:val="20"/>
                <w:szCs w:val="20"/>
              </w:rPr>
              <w:t>Satisfactory</w:t>
            </w:r>
          </w:p>
        </w:tc>
      </w:tr>
      <w:tr w:rsidR="00747EB4" w:rsidRPr="009B2B7E" w:rsidTr="00431D19">
        <w:tc>
          <w:tcPr>
            <w:tcW w:w="2785" w:type="dxa"/>
          </w:tcPr>
          <w:p w:rsidR="00747EB4" w:rsidRPr="00EB7027" w:rsidRDefault="00747EB4" w:rsidP="00431D19">
            <w:pPr>
              <w:rPr>
                <w:sz w:val="20"/>
                <w:szCs w:val="20"/>
              </w:rPr>
            </w:pPr>
            <w:r w:rsidRPr="00EB7027">
              <w:rPr>
                <w:sz w:val="20"/>
                <w:szCs w:val="20"/>
              </w:rPr>
              <w:t>Seminole-All Systems*</w:t>
            </w:r>
          </w:p>
        </w:tc>
        <w:tc>
          <w:tcPr>
            <w:tcW w:w="1643" w:type="dxa"/>
            <w:vAlign w:val="center"/>
          </w:tcPr>
          <w:p w:rsidR="00747EB4" w:rsidRPr="00EB7027" w:rsidRDefault="00747EB4" w:rsidP="00431D19">
            <w:pPr>
              <w:jc w:val="center"/>
              <w:rPr>
                <w:sz w:val="20"/>
                <w:szCs w:val="20"/>
              </w:rPr>
            </w:pPr>
            <w:r w:rsidRPr="00EB7027">
              <w:rPr>
                <w:sz w:val="20"/>
                <w:szCs w:val="20"/>
              </w:rPr>
              <w:t>Satisfactory</w:t>
            </w:r>
          </w:p>
        </w:tc>
        <w:tc>
          <w:tcPr>
            <w:tcW w:w="1507" w:type="dxa"/>
            <w:vAlign w:val="center"/>
          </w:tcPr>
          <w:p w:rsidR="00747EB4" w:rsidRPr="00EB7027" w:rsidRDefault="00747EB4" w:rsidP="00431D19">
            <w:pPr>
              <w:jc w:val="center"/>
              <w:rPr>
                <w:sz w:val="20"/>
                <w:szCs w:val="20"/>
              </w:rPr>
            </w:pPr>
            <w:r w:rsidRPr="00EB7027">
              <w:rPr>
                <w:sz w:val="20"/>
                <w:szCs w:val="20"/>
              </w:rPr>
              <w:t>Satisfactory</w:t>
            </w:r>
          </w:p>
        </w:tc>
        <w:tc>
          <w:tcPr>
            <w:tcW w:w="1710" w:type="dxa"/>
            <w:vAlign w:val="center"/>
          </w:tcPr>
          <w:p w:rsidR="00747EB4" w:rsidRPr="00EB7027" w:rsidRDefault="00747EB4" w:rsidP="00431D19">
            <w:pPr>
              <w:jc w:val="center"/>
              <w:rPr>
                <w:sz w:val="20"/>
                <w:szCs w:val="20"/>
              </w:rPr>
            </w:pPr>
            <w:r w:rsidRPr="00EB7027">
              <w:rPr>
                <w:sz w:val="20"/>
                <w:szCs w:val="20"/>
              </w:rPr>
              <w:t>-</w:t>
            </w:r>
          </w:p>
        </w:tc>
        <w:tc>
          <w:tcPr>
            <w:tcW w:w="1705" w:type="dxa"/>
            <w:vAlign w:val="center"/>
          </w:tcPr>
          <w:p w:rsidR="00747EB4" w:rsidRPr="00EB7027" w:rsidRDefault="00747EB4" w:rsidP="00431D19">
            <w:pPr>
              <w:jc w:val="center"/>
              <w:rPr>
                <w:sz w:val="20"/>
                <w:szCs w:val="20"/>
              </w:rPr>
            </w:pPr>
            <w:r w:rsidRPr="00EB7027">
              <w:rPr>
                <w:sz w:val="20"/>
                <w:szCs w:val="20"/>
              </w:rPr>
              <w:t>Satisfactory</w:t>
            </w:r>
          </w:p>
        </w:tc>
      </w:tr>
      <w:tr w:rsidR="00747EB4" w:rsidRPr="009B2B7E" w:rsidTr="00431D19">
        <w:tc>
          <w:tcPr>
            <w:tcW w:w="2785" w:type="dxa"/>
          </w:tcPr>
          <w:p w:rsidR="00747EB4" w:rsidRPr="00EB7027" w:rsidRDefault="00747EB4" w:rsidP="00431D19">
            <w:pPr>
              <w:rPr>
                <w:sz w:val="20"/>
                <w:szCs w:val="20"/>
              </w:rPr>
            </w:pPr>
            <w:r w:rsidRPr="00EB7027">
              <w:rPr>
                <w:sz w:val="20"/>
                <w:szCs w:val="20"/>
              </w:rPr>
              <w:t>Sanlando WTP**</w:t>
            </w:r>
          </w:p>
        </w:tc>
        <w:tc>
          <w:tcPr>
            <w:tcW w:w="1643" w:type="dxa"/>
            <w:vAlign w:val="center"/>
          </w:tcPr>
          <w:p w:rsidR="00747EB4" w:rsidRPr="00EB7027" w:rsidRDefault="00747EB4" w:rsidP="00431D19">
            <w:pPr>
              <w:jc w:val="center"/>
              <w:rPr>
                <w:sz w:val="20"/>
                <w:szCs w:val="20"/>
              </w:rPr>
            </w:pPr>
            <w:r w:rsidRPr="00EB7027">
              <w:rPr>
                <w:sz w:val="20"/>
                <w:szCs w:val="20"/>
              </w:rPr>
              <w:t>Satisfactory</w:t>
            </w:r>
          </w:p>
        </w:tc>
        <w:tc>
          <w:tcPr>
            <w:tcW w:w="1507" w:type="dxa"/>
            <w:vAlign w:val="center"/>
          </w:tcPr>
          <w:p w:rsidR="00747EB4" w:rsidRPr="00EB7027" w:rsidRDefault="00747EB4" w:rsidP="00431D19">
            <w:pPr>
              <w:jc w:val="center"/>
              <w:rPr>
                <w:sz w:val="20"/>
                <w:szCs w:val="20"/>
              </w:rPr>
            </w:pPr>
            <w:r w:rsidRPr="00EB7027">
              <w:rPr>
                <w:sz w:val="20"/>
                <w:szCs w:val="20"/>
              </w:rPr>
              <w:t>Satisfactory</w:t>
            </w:r>
          </w:p>
        </w:tc>
        <w:tc>
          <w:tcPr>
            <w:tcW w:w="1710" w:type="dxa"/>
            <w:vAlign w:val="center"/>
          </w:tcPr>
          <w:p w:rsidR="00747EB4" w:rsidRPr="00EB7027" w:rsidRDefault="00747EB4" w:rsidP="00431D19">
            <w:pPr>
              <w:jc w:val="center"/>
              <w:rPr>
                <w:sz w:val="20"/>
                <w:szCs w:val="20"/>
              </w:rPr>
            </w:pPr>
            <w:r w:rsidRPr="00EB7027">
              <w:rPr>
                <w:sz w:val="20"/>
                <w:szCs w:val="20"/>
              </w:rPr>
              <w:t>-</w:t>
            </w:r>
          </w:p>
        </w:tc>
        <w:tc>
          <w:tcPr>
            <w:tcW w:w="1705" w:type="dxa"/>
            <w:vAlign w:val="center"/>
          </w:tcPr>
          <w:p w:rsidR="00747EB4" w:rsidRPr="00EB7027" w:rsidRDefault="00747EB4" w:rsidP="00431D19">
            <w:pPr>
              <w:jc w:val="center"/>
              <w:rPr>
                <w:sz w:val="20"/>
                <w:szCs w:val="20"/>
              </w:rPr>
            </w:pPr>
            <w:r w:rsidRPr="00EB7027">
              <w:rPr>
                <w:sz w:val="20"/>
                <w:szCs w:val="20"/>
              </w:rPr>
              <w:t>Satisfactory</w:t>
            </w:r>
          </w:p>
        </w:tc>
      </w:tr>
      <w:tr w:rsidR="00747EB4" w:rsidRPr="009B2B7E" w:rsidTr="00431D19">
        <w:tc>
          <w:tcPr>
            <w:tcW w:w="2785" w:type="dxa"/>
          </w:tcPr>
          <w:p w:rsidR="00747EB4" w:rsidRPr="00EB7027" w:rsidRDefault="00747EB4" w:rsidP="00431D19">
            <w:pPr>
              <w:rPr>
                <w:sz w:val="20"/>
                <w:szCs w:val="20"/>
              </w:rPr>
            </w:pPr>
            <w:r w:rsidRPr="00EB7027">
              <w:rPr>
                <w:sz w:val="20"/>
                <w:szCs w:val="20"/>
              </w:rPr>
              <w:t>Sanlando (Wekiva Hunt Club) WWTP</w:t>
            </w:r>
          </w:p>
        </w:tc>
        <w:tc>
          <w:tcPr>
            <w:tcW w:w="1643" w:type="dxa"/>
            <w:vAlign w:val="center"/>
          </w:tcPr>
          <w:p w:rsidR="00747EB4" w:rsidRPr="00EB7027" w:rsidRDefault="00747EB4" w:rsidP="00431D19">
            <w:pPr>
              <w:jc w:val="center"/>
              <w:rPr>
                <w:sz w:val="20"/>
                <w:szCs w:val="20"/>
              </w:rPr>
            </w:pPr>
            <w:r w:rsidRPr="00EB7027">
              <w:rPr>
                <w:sz w:val="20"/>
                <w:szCs w:val="20"/>
              </w:rPr>
              <w:t>Unsatisfactory</w:t>
            </w:r>
          </w:p>
        </w:tc>
        <w:tc>
          <w:tcPr>
            <w:tcW w:w="1507" w:type="dxa"/>
            <w:vAlign w:val="center"/>
          </w:tcPr>
          <w:p w:rsidR="00747EB4" w:rsidRPr="00EB7027" w:rsidRDefault="00747EB4" w:rsidP="00431D19">
            <w:pPr>
              <w:jc w:val="center"/>
              <w:rPr>
                <w:sz w:val="20"/>
                <w:szCs w:val="20"/>
              </w:rPr>
            </w:pPr>
            <w:r w:rsidRPr="00EB7027">
              <w:rPr>
                <w:sz w:val="20"/>
                <w:szCs w:val="20"/>
              </w:rPr>
              <w:t>Satisfactory</w:t>
            </w:r>
          </w:p>
        </w:tc>
        <w:tc>
          <w:tcPr>
            <w:tcW w:w="1710" w:type="dxa"/>
            <w:vAlign w:val="center"/>
          </w:tcPr>
          <w:p w:rsidR="00747EB4" w:rsidRPr="00EB7027" w:rsidRDefault="00747EB4" w:rsidP="00431D19">
            <w:pPr>
              <w:jc w:val="center"/>
              <w:rPr>
                <w:sz w:val="20"/>
                <w:szCs w:val="20"/>
              </w:rPr>
            </w:pPr>
            <w:r w:rsidRPr="00EB7027">
              <w:rPr>
                <w:sz w:val="20"/>
                <w:szCs w:val="20"/>
              </w:rPr>
              <w:t>Unsatisfactory</w:t>
            </w:r>
          </w:p>
        </w:tc>
        <w:tc>
          <w:tcPr>
            <w:tcW w:w="1705" w:type="dxa"/>
            <w:vAlign w:val="center"/>
          </w:tcPr>
          <w:p w:rsidR="00747EB4" w:rsidRPr="00EB7027" w:rsidRDefault="00747EB4" w:rsidP="00431D19">
            <w:pPr>
              <w:jc w:val="center"/>
              <w:rPr>
                <w:sz w:val="20"/>
                <w:szCs w:val="20"/>
              </w:rPr>
            </w:pPr>
            <w:r w:rsidRPr="00EB7027">
              <w:rPr>
                <w:sz w:val="20"/>
                <w:szCs w:val="20"/>
              </w:rPr>
              <w:t>Unsatisfactory</w:t>
            </w:r>
          </w:p>
        </w:tc>
      </w:tr>
      <w:tr w:rsidR="00747EB4" w:rsidRPr="009B2B7E" w:rsidTr="00431D19">
        <w:tc>
          <w:tcPr>
            <w:tcW w:w="2785" w:type="dxa"/>
          </w:tcPr>
          <w:p w:rsidR="00747EB4" w:rsidRPr="00EB7027" w:rsidRDefault="00747EB4" w:rsidP="00431D19">
            <w:pPr>
              <w:rPr>
                <w:sz w:val="20"/>
                <w:szCs w:val="20"/>
              </w:rPr>
            </w:pPr>
            <w:r w:rsidRPr="00EB7027">
              <w:rPr>
                <w:sz w:val="20"/>
                <w:szCs w:val="20"/>
              </w:rPr>
              <w:t>Mid-County</w:t>
            </w:r>
          </w:p>
        </w:tc>
        <w:tc>
          <w:tcPr>
            <w:tcW w:w="1643" w:type="dxa"/>
            <w:vAlign w:val="center"/>
          </w:tcPr>
          <w:p w:rsidR="00747EB4" w:rsidRPr="00EB7027" w:rsidRDefault="00747EB4" w:rsidP="00431D19">
            <w:pPr>
              <w:jc w:val="center"/>
              <w:rPr>
                <w:sz w:val="20"/>
                <w:szCs w:val="20"/>
              </w:rPr>
            </w:pPr>
            <w:r w:rsidRPr="00EB7027">
              <w:rPr>
                <w:sz w:val="20"/>
                <w:szCs w:val="20"/>
              </w:rPr>
              <w:t>Unsatisfactory</w:t>
            </w:r>
          </w:p>
        </w:tc>
        <w:tc>
          <w:tcPr>
            <w:tcW w:w="1507" w:type="dxa"/>
            <w:vAlign w:val="center"/>
          </w:tcPr>
          <w:p w:rsidR="00747EB4" w:rsidRPr="00EB7027" w:rsidRDefault="00747EB4" w:rsidP="00431D19">
            <w:pPr>
              <w:jc w:val="center"/>
              <w:rPr>
                <w:sz w:val="20"/>
                <w:szCs w:val="20"/>
              </w:rPr>
            </w:pPr>
            <w:r w:rsidRPr="00EB7027">
              <w:rPr>
                <w:sz w:val="20"/>
                <w:szCs w:val="20"/>
              </w:rPr>
              <w:t>Satisfactory</w:t>
            </w:r>
          </w:p>
        </w:tc>
        <w:tc>
          <w:tcPr>
            <w:tcW w:w="1710" w:type="dxa"/>
            <w:vAlign w:val="center"/>
          </w:tcPr>
          <w:p w:rsidR="00747EB4" w:rsidRPr="00EB7027" w:rsidRDefault="00747EB4" w:rsidP="00431D19">
            <w:pPr>
              <w:jc w:val="center"/>
              <w:rPr>
                <w:sz w:val="20"/>
                <w:szCs w:val="20"/>
              </w:rPr>
            </w:pPr>
            <w:r w:rsidRPr="00EB7027">
              <w:rPr>
                <w:sz w:val="20"/>
                <w:szCs w:val="20"/>
              </w:rPr>
              <w:t>Unsatisfactory</w:t>
            </w:r>
          </w:p>
        </w:tc>
        <w:tc>
          <w:tcPr>
            <w:tcW w:w="1705" w:type="dxa"/>
            <w:vAlign w:val="center"/>
          </w:tcPr>
          <w:p w:rsidR="00747EB4" w:rsidRPr="00EB7027" w:rsidRDefault="00747EB4" w:rsidP="00431D19">
            <w:pPr>
              <w:jc w:val="center"/>
              <w:rPr>
                <w:sz w:val="20"/>
                <w:szCs w:val="20"/>
              </w:rPr>
            </w:pPr>
            <w:r w:rsidRPr="00EB7027">
              <w:rPr>
                <w:sz w:val="20"/>
                <w:szCs w:val="20"/>
              </w:rPr>
              <w:t>Unsatisfactory</w:t>
            </w:r>
          </w:p>
        </w:tc>
      </w:tr>
    </w:tbl>
    <w:p w:rsidR="00747EB4" w:rsidRDefault="00747EB4" w:rsidP="00431D19">
      <w:pPr>
        <w:jc w:val="both"/>
        <w:outlineLvl w:val="2"/>
        <w:rPr>
          <w:sz w:val="20"/>
          <w:szCs w:val="20"/>
        </w:rPr>
      </w:pPr>
      <w:r>
        <w:rPr>
          <w:sz w:val="20"/>
          <w:szCs w:val="20"/>
        </w:rPr>
        <w:t>*Includes the following systems: Bear Lake, Ravenna Park, Phillips, Lincoln Heights, Jansen, Little Wekiva, Oakland Shores, Park Ridge, and Weathersfield.</w:t>
      </w:r>
    </w:p>
    <w:p w:rsidR="00747EB4" w:rsidRDefault="00747EB4" w:rsidP="00431D19">
      <w:pPr>
        <w:jc w:val="both"/>
        <w:outlineLvl w:val="2"/>
        <w:rPr>
          <w:sz w:val="20"/>
          <w:szCs w:val="20"/>
        </w:rPr>
      </w:pPr>
      <w:r>
        <w:rPr>
          <w:sz w:val="20"/>
          <w:szCs w:val="20"/>
        </w:rPr>
        <w:t>**Includes the following systems: Knollwood, Des Pinar, Longwood.</w:t>
      </w:r>
    </w:p>
    <w:p w:rsidR="00747EB4" w:rsidRDefault="00747EB4" w:rsidP="00431D19">
      <w:pPr>
        <w:jc w:val="both"/>
        <w:outlineLvl w:val="2"/>
        <w:rPr>
          <w:sz w:val="20"/>
          <w:szCs w:val="20"/>
        </w:rPr>
      </w:pPr>
      <w:r>
        <w:rPr>
          <w:sz w:val="20"/>
          <w:szCs w:val="20"/>
        </w:rPr>
        <w:t xml:space="preserve">Source: Order No. PSC-2021-0206-FOF-WS; </w:t>
      </w:r>
      <w:r w:rsidR="00536338">
        <w:rPr>
          <w:sz w:val="20"/>
          <w:szCs w:val="20"/>
        </w:rPr>
        <w:t>Sunshine</w:t>
      </w:r>
      <w:r>
        <w:rPr>
          <w:sz w:val="20"/>
          <w:szCs w:val="20"/>
        </w:rPr>
        <w:t xml:space="preserve"> BR 1-2; OPC BR 3-12</w:t>
      </w:r>
    </w:p>
    <w:p w:rsidR="00747EB4" w:rsidRDefault="00747EB4" w:rsidP="00431D19">
      <w:pPr>
        <w:jc w:val="both"/>
        <w:outlineLvl w:val="2"/>
        <w:rPr>
          <w:sz w:val="20"/>
          <w:szCs w:val="20"/>
        </w:rPr>
      </w:pPr>
    </w:p>
    <w:p w:rsidR="00747EB4" w:rsidRPr="009B2B7E" w:rsidRDefault="00747EB4" w:rsidP="00431D19">
      <w:pPr>
        <w:pStyle w:val="First-LevelSubheading"/>
      </w:pPr>
      <w:r w:rsidRPr="009B2B7E">
        <w:lastRenderedPageBreak/>
        <w:t>Systems with Satisfactory Determination in Last Rate Case and Uncontested Satisfactory Quality of Service</w:t>
      </w:r>
    </w:p>
    <w:p w:rsidR="00955BE0" w:rsidRDefault="00747EB4" w:rsidP="00431D19">
      <w:pPr>
        <w:pStyle w:val="BodyText"/>
      </w:pPr>
      <w:r w:rsidRPr="009B2B7E">
        <w:t xml:space="preserve">The water and wastewater systems </w:t>
      </w:r>
      <w:r>
        <w:t>identified in Table 1-1 as satisfactory in the Staff Recommendation column</w:t>
      </w:r>
      <w:r w:rsidRPr="009B2B7E">
        <w:t xml:space="preserve"> are in compliance with the DEP requirements, including secondary water quality standards, had minimal customer participation at the service hearings, received few, if any, quality of s</w:t>
      </w:r>
      <w:r w:rsidRPr="000E03F0">
        <w:t xml:space="preserve">ervice complaints, and were found to have satisfactory quality of service in the last rate </w:t>
      </w:r>
      <w:r w:rsidRPr="00D06817">
        <w:t>case.</w:t>
      </w:r>
      <w:r w:rsidRPr="00D06817">
        <w:rPr>
          <w:vertAlign w:val="superscript"/>
        </w:rPr>
        <w:footnoteReference w:id="9"/>
      </w:r>
      <w:r w:rsidRPr="00D06817">
        <w:t xml:space="preserve"> (EXH 91; EXH 113; EXH 219)</w:t>
      </w:r>
      <w:r>
        <w:t xml:space="preserve"> </w:t>
      </w:r>
      <w:r w:rsidRPr="00C22646">
        <w:t xml:space="preserve">As noted above, OPC did not identify any quality of service issues with these systems. </w:t>
      </w:r>
      <w:r w:rsidRPr="00D06817">
        <w:t>(OPC BR 3-12) A</w:t>
      </w:r>
      <w:r w:rsidRPr="00C22646">
        <w:t>s such, staff recommends the quality of service for these systems be considered satisfactory.</w:t>
      </w:r>
      <w:r>
        <w:t xml:space="preserve"> </w:t>
      </w:r>
    </w:p>
    <w:p w:rsidR="00747EB4" w:rsidRPr="009B2B7E" w:rsidRDefault="00955BE0" w:rsidP="00431D19">
      <w:pPr>
        <w:pStyle w:val="BodyText"/>
      </w:pPr>
      <w:r w:rsidRPr="00955BE0">
        <w:t>Notably</w:t>
      </w:r>
      <w:r w:rsidR="00747EB4">
        <w:t xml:space="preserve">, </w:t>
      </w:r>
      <w:r w:rsidRPr="00955BE0">
        <w:t>the Commission found the quality of service of the Pasco-Summertree system to be unsatisfactory, with a 100-basis point reduction to the Utility’s ROE, in</w:t>
      </w:r>
      <w:r>
        <w:t xml:space="preserve"> the Utility’s 2016 rate case.</w:t>
      </w:r>
      <w:r>
        <w:rPr>
          <w:rStyle w:val="FootnoteReference"/>
        </w:rPr>
        <w:footnoteReference w:id="10"/>
      </w:r>
      <w:r>
        <w:t xml:space="preserve"> </w:t>
      </w:r>
      <w:r w:rsidRPr="00955BE0">
        <w:t>This determination was based upon the Utility not maintaining secondary water quality standards and customer complaints. Since its interconnection with Pasco County Utilities in December 2016, Pasco-Summertree purchases bulk water from Pasco County. As a reseller of water, Pasco-Summertree is not subject to DEP’s secondary water standards. However, due to the high volume of customer complaints in the previous rate proceedings, we required the Utility to perform and report secondary water quality testing for this system</w:t>
      </w:r>
      <w:r w:rsidR="00747EB4">
        <w:t>.</w:t>
      </w:r>
      <w:r w:rsidR="00747EB4">
        <w:rPr>
          <w:rStyle w:val="FootnoteReference"/>
        </w:rPr>
        <w:footnoteReference w:id="11"/>
      </w:r>
      <w:r w:rsidR="00747EB4">
        <w:t xml:space="preserve"> </w:t>
      </w:r>
      <w:r w:rsidRPr="00955BE0">
        <w:t>Since 2016, and the Utility’s subsequent rate proceeding in 2020, the number of customer complaints about this system have dropped dramatically while water quality has risen</w:t>
      </w:r>
      <w:r>
        <w:t>.</w:t>
      </w:r>
      <w:r w:rsidRPr="00955BE0">
        <w:t xml:space="preserve"> </w:t>
      </w:r>
      <w:r w:rsidR="00747EB4">
        <w:t>As identified in Table 1-1, staff is recommending the quality of service for this system to be satisfactory. Therefore, staff recommends that the reporting requirements for the Pasco-Summertree system should no longer be required.</w:t>
      </w:r>
    </w:p>
    <w:p w:rsidR="00747EB4" w:rsidRPr="009B2B7E" w:rsidRDefault="00747EB4" w:rsidP="00431D19">
      <w:pPr>
        <w:pStyle w:val="First-LevelSubheading"/>
      </w:pPr>
      <w:r w:rsidRPr="009B2B7E">
        <w:t>Syst</w:t>
      </w:r>
      <w:r>
        <w:t>ems with Unsatisfactory</w:t>
      </w:r>
      <w:r w:rsidRPr="009B2B7E">
        <w:t xml:space="preserve"> Determination in Last Rate Case or Contested Satisfactory Quality of Service</w:t>
      </w:r>
    </w:p>
    <w:p w:rsidR="00747EB4" w:rsidRPr="00986470" w:rsidRDefault="00747EB4" w:rsidP="00431D19">
      <w:pPr>
        <w:pStyle w:val="BodyText"/>
      </w:pPr>
      <w:r w:rsidRPr="009B2B7E">
        <w:t>OPC argued the quality of servi</w:t>
      </w:r>
      <w:r>
        <w:t xml:space="preserve">ce should be unsatisfactory for the </w:t>
      </w:r>
      <w:r w:rsidRPr="003E3C42">
        <w:t>Sanlando (Wekiva Hunt Club)</w:t>
      </w:r>
      <w:r>
        <w:t xml:space="preserve"> and Mid-County</w:t>
      </w:r>
      <w:r w:rsidRPr="003E3C42">
        <w:t xml:space="preserve"> wastewater systems. </w:t>
      </w:r>
      <w:r>
        <w:t>(OPC BR 3</w:t>
      </w:r>
      <w:r w:rsidRPr="003E3C42">
        <w:t>) Also, OPC argued that a reduction of 5</w:t>
      </w:r>
      <w:r>
        <w:t>0</w:t>
      </w:r>
      <w:r w:rsidRPr="003E3C42">
        <w:t>-basis points should be i</w:t>
      </w:r>
      <w:r>
        <w:t>mposed to Sunshine</w:t>
      </w:r>
      <w:r w:rsidRPr="009B2B7E">
        <w:t>’s ROE</w:t>
      </w:r>
      <w:r>
        <w:t xml:space="preserve"> and that the Commission should also consider customer rebates, officer salary reductions, and a penalty for mismanagement</w:t>
      </w:r>
      <w:r w:rsidRPr="009B2B7E">
        <w:t xml:space="preserve">. (OPC BR </w:t>
      </w:r>
      <w:r w:rsidRPr="003E3C42">
        <w:t>3</w:t>
      </w:r>
      <w:r>
        <w:t>-12</w:t>
      </w:r>
      <w:r w:rsidRPr="003E3C42">
        <w:t xml:space="preserve">) In opposition to OPC, Sunshine argued all of its systems should be considered satisfactory. (Sunshine BR 1) </w:t>
      </w:r>
      <w:r>
        <w:t>The Commission previously found the overall quality of service of the Utility to be satisfactory with the exclusion of the Pennbrooke water, Sanlando, and Mid-County wastewater systems. As a result, the Commission reduced the Utility’s overall ROE by 15 basis points.</w:t>
      </w:r>
      <w:r>
        <w:rPr>
          <w:rStyle w:val="FootnoteReference"/>
        </w:rPr>
        <w:footnoteReference w:id="12"/>
      </w:r>
      <w:r>
        <w:t xml:space="preserve"> </w:t>
      </w:r>
      <w:r w:rsidRPr="003E3C42">
        <w:t xml:space="preserve">Below, staff discusses the following systems in greater detail: </w:t>
      </w:r>
      <w:r>
        <w:t xml:space="preserve">Pennbrooke water system, Sanlando (Wekiva Hunt Club), and </w:t>
      </w:r>
      <w:r w:rsidRPr="003E3C42">
        <w:t>Mid-County</w:t>
      </w:r>
      <w:r>
        <w:t>,</w:t>
      </w:r>
      <w:r w:rsidRPr="003E3C42">
        <w:t xml:space="preserve"> </w:t>
      </w:r>
      <w:r>
        <w:t xml:space="preserve">since these systems were determined to </w:t>
      </w:r>
      <w:r>
        <w:lastRenderedPageBreak/>
        <w:t>be unsatisfactory in the last rate case</w:t>
      </w:r>
      <w:r w:rsidR="00955BE0" w:rsidRPr="00955BE0">
        <w:t xml:space="preserve"> and also because OPC raised issues with these systems in this rate proceeding</w:t>
      </w:r>
      <w:r w:rsidRPr="00986470">
        <w:t>.</w:t>
      </w:r>
    </w:p>
    <w:p w:rsidR="00747EB4" w:rsidRPr="009B2B7E" w:rsidRDefault="00747EB4" w:rsidP="00431D19">
      <w:pPr>
        <w:pStyle w:val="Second-LevelSubheading"/>
      </w:pPr>
      <w:r w:rsidRPr="009B2B7E">
        <w:t>Pennbrooke</w:t>
      </w:r>
      <w:r>
        <w:t xml:space="preserve"> (Water)</w:t>
      </w:r>
    </w:p>
    <w:p w:rsidR="00747EB4" w:rsidRDefault="00747EB4" w:rsidP="00431D19">
      <w:pPr>
        <w:pStyle w:val="BodyText"/>
      </w:pPr>
      <w:r>
        <w:t>As stated previously, th</w:t>
      </w:r>
      <w:r w:rsidRPr="00986470">
        <w:t xml:space="preserve">e Commission found the quality of service to be unsatisfactory </w:t>
      </w:r>
      <w:r>
        <w:t>for this system.</w:t>
      </w:r>
      <w:r w:rsidRPr="00986470">
        <w:t xml:space="preserve"> This determination was due to excess levels of iron and customer complaints regarding discolored water, sediment, low pressure, and high iron. </w:t>
      </w:r>
      <w:r>
        <w:t>However, the Pennbrooke system is currently in compliance with the DEP. (EXH 113 BSP E42015)</w:t>
      </w:r>
    </w:p>
    <w:p w:rsidR="00747EB4" w:rsidRDefault="00747EB4" w:rsidP="00431D19">
      <w:pPr>
        <w:pStyle w:val="BodyText"/>
      </w:pPr>
      <w:r>
        <w:t xml:space="preserve">During the 5-year period from 2020-2024, </w:t>
      </w:r>
      <w:r w:rsidRPr="00B61F90">
        <w:t>Sunshine received a total of 219 billing and 264 quality of service complaints for this system. (EXH 91) The DEP provided documentation of one complaint for water color during the same timefram</w:t>
      </w:r>
      <w:r>
        <w:t xml:space="preserve">e. (EXH 113, BSP E42015) </w:t>
      </w:r>
      <w:r w:rsidRPr="00634A1C">
        <w:t>Based on this data, complaints have decreased overall since the last rate case. The Pennbrooke WTP se</w:t>
      </w:r>
      <w:r>
        <w:t>rves approximately 1,251 ERCs. (EXH 213, J225)</w:t>
      </w:r>
    </w:p>
    <w:p w:rsidR="00747EB4" w:rsidRDefault="00747EB4" w:rsidP="00431D19">
      <w:pPr>
        <w:pStyle w:val="BodyText"/>
      </w:pPr>
      <w:r>
        <w:t xml:space="preserve">Sunshine is requesting cost recovery of a pro forma project (ST-19), related to water quality improvements for the Pennbrooke system. (TR 144; TR 151) This project is to replace the existing iron sequestration system and install technology for iron and hardness removal. (TR 151) </w:t>
      </w:r>
      <w:r w:rsidRPr="00C114CB">
        <w:t>While the Pennbrooke system is in compliance, Sunshine is taking these steps to further improve the system in response to c</w:t>
      </w:r>
      <w:r w:rsidR="003F68D2">
        <w:t>ustome</w:t>
      </w:r>
      <w:r w:rsidRPr="00C114CB">
        <w:t>r concerns regarding the water quality at this plant.</w:t>
      </w:r>
      <w:r>
        <w:t xml:space="preserve"> (TR 151</w:t>
      </w:r>
      <w:r w:rsidRPr="001570C8">
        <w:t>; EXH 113, BSP E42015</w:t>
      </w:r>
      <w:r>
        <w:t>) As discussed further in Issue 4, staff believes this project will address the high iron and magnesium issues this system has experienced. (TR 151) This demonstrates Sunshine’s efforts to address the quality of service/water delivered to the customers of the Pennbrooke system.</w:t>
      </w:r>
    </w:p>
    <w:p w:rsidR="00747EB4" w:rsidRDefault="00747EB4" w:rsidP="00431D19">
      <w:pPr>
        <w:pStyle w:val="BodyText"/>
      </w:pPr>
      <w:r>
        <w:t>Staff believes Sunshine has demonstrated an improvement, since its last rate case, in its product quality and attempt to address customer satisfaction as demonstrated by the declining number of complaints, its pro forma project to address previously recognized iron issues, and its compliant DEP status. Therefore,</w:t>
      </w:r>
      <w:r w:rsidRPr="002B1605">
        <w:t xml:space="preserve"> staff </w:t>
      </w:r>
      <w:r>
        <w:t>recommends the quality of service for</w:t>
      </w:r>
      <w:r w:rsidRPr="002B1605">
        <w:t xml:space="preserve"> this system </w:t>
      </w:r>
      <w:r>
        <w:t>be considered</w:t>
      </w:r>
      <w:r w:rsidRPr="002B1605">
        <w:t xml:space="preserve"> satisfactory.</w:t>
      </w:r>
    </w:p>
    <w:p w:rsidR="00747EB4" w:rsidRPr="009B2B7E" w:rsidRDefault="00747EB4" w:rsidP="00431D19">
      <w:pPr>
        <w:pStyle w:val="Second-LevelSubheading"/>
      </w:pPr>
      <w:r w:rsidRPr="008A505E">
        <w:t>Sanlando</w:t>
      </w:r>
      <w:r w:rsidRPr="00E65062">
        <w:t xml:space="preserve"> </w:t>
      </w:r>
      <w:r>
        <w:t xml:space="preserve">(Wekiva Hunt Club) (Wastewater) </w:t>
      </w:r>
    </w:p>
    <w:p w:rsidR="00747EB4" w:rsidRDefault="00747EB4" w:rsidP="00431D19">
      <w:pPr>
        <w:pStyle w:val="BodyText"/>
      </w:pPr>
      <w:r>
        <w:t>As stated previously, the Commission found the quality of service to be unsatisfactory for this system.</w:t>
      </w:r>
      <w:r w:rsidRPr="00986470">
        <w:t xml:space="preserve"> </w:t>
      </w:r>
      <w:r>
        <w:t>This determination was due to three unauthorized discharges, or sewage spills, at the WWTP. Two additional unauthorized discharges also took place in late 2020, but were not factored into the Commission’s quality of service determination in Sunshine’s last rate case.</w:t>
      </w:r>
      <w:r>
        <w:rPr>
          <w:rStyle w:val="FootnoteReference"/>
        </w:rPr>
        <w:footnoteReference w:id="13"/>
      </w:r>
      <w:r>
        <w:t xml:space="preserve"> (EXH 113, BSP E42577) These </w:t>
      </w:r>
      <w:r w:rsidRPr="00466819">
        <w:t xml:space="preserve">two events resulted in </w:t>
      </w:r>
      <w:r>
        <w:t xml:space="preserve">an executed </w:t>
      </w:r>
      <w:r w:rsidRPr="00466819">
        <w:t>DEP Consent Order, dated April 4, 2022, and a penalty in the amount of $12,502.21 to Sunshine. (EXH 113</w:t>
      </w:r>
      <w:r>
        <w:t>,</w:t>
      </w:r>
      <w:r w:rsidRPr="00466819">
        <w:t xml:space="preserve"> BSP E42321)</w:t>
      </w:r>
    </w:p>
    <w:p w:rsidR="00747EB4" w:rsidRDefault="00747EB4" w:rsidP="00431D19">
      <w:pPr>
        <w:pStyle w:val="BodyText"/>
      </w:pPr>
      <w:r>
        <w:t>S</w:t>
      </w:r>
      <w:r w:rsidRPr="00C96B9A">
        <w:t>ince the last rate case, the DEP issued warning letters to Sanlando on: March 10, 2021, April 1, 2022, March 2, 2023, March</w:t>
      </w:r>
      <w:r>
        <w:t xml:space="preserve"> 15, 2023, and March 27, 2023. (EXH 113, BSP E42853, E42895, E42331, E42855, E42886) The majority of the warning letters pertained</w:t>
      </w:r>
      <w:r w:rsidRPr="00C96B9A">
        <w:t xml:space="preserve"> to sanitary sewer overflows</w:t>
      </w:r>
      <w:r>
        <w:t xml:space="preserve"> or effluent limited exceedances</w:t>
      </w:r>
      <w:r w:rsidRPr="00C96B9A">
        <w:t xml:space="preserve">. </w:t>
      </w:r>
      <w:r w:rsidRPr="001570C8">
        <w:t>(EXH 113, BSP E42853, E42895, E42331, E42855, E42886)</w:t>
      </w:r>
      <w:r>
        <w:t xml:space="preserve"> The March 2, 2023 warning letter was due to two separate discharges of partially treated effluent, in October and November of 2022. (EXH 113, BSP 42331) One discharge was </w:t>
      </w:r>
      <w:r>
        <w:lastRenderedPageBreak/>
        <w:t>related to Hurric</w:t>
      </w:r>
      <w:r w:rsidRPr="003904E7">
        <w:t>ane Ian and the other was related to Tropical Storm Nicole. (EXH 113</w:t>
      </w:r>
      <w:r>
        <w:t>, BSP E42331</w:t>
      </w:r>
      <w:r w:rsidRPr="003904E7">
        <w:t xml:space="preserve">; TR </w:t>
      </w:r>
      <w:r>
        <w:t>248-249</w:t>
      </w:r>
      <w:r w:rsidRPr="003904E7">
        <w:t xml:space="preserve">) </w:t>
      </w:r>
      <w:r>
        <w:t>Sunshine w</w:t>
      </w:r>
      <w:r w:rsidRPr="003904E7">
        <w:t xml:space="preserve">itness Twomey testified that Sunshine had </w:t>
      </w:r>
      <w:r>
        <w:t xml:space="preserve">officials from </w:t>
      </w:r>
      <w:r w:rsidRPr="003904E7">
        <w:t>DEP review an overflow incident similar to these, and stated that the Utility had done all it could do given the situation. (TR 248-249) Witness Twomey argued that despite the system being designed to handle twice its authorized flows, it wo</w:t>
      </w:r>
      <w:r>
        <w:t xml:space="preserve">uld be very expensive to build a plant that could handle the amounts of flows experienced on those occasions. (TR 247; TR 249) </w:t>
      </w:r>
    </w:p>
    <w:p w:rsidR="00747EB4" w:rsidRDefault="00747EB4" w:rsidP="00431D19">
      <w:pPr>
        <w:pStyle w:val="BodyText"/>
      </w:pPr>
      <w:r>
        <w:t xml:space="preserve">On May 24, 2024, Sunshine signed a Consent Order (2024 Consent Order) related to inspections conducted by the DEP in early 2022 and previous overflow incidents. (EXH 113, BSP E42388-E42405) The DEP found that the chlorine analyzer was not functioning properly, effluent quality was not properly monitored, as well as various other record keeping and plant condition issues. (TR 244-249; EXH </w:t>
      </w:r>
      <w:r w:rsidRPr="00466819">
        <w:t>113 BSP E4</w:t>
      </w:r>
      <w:r>
        <w:t>2388-E42401; OPC BR 7)</w:t>
      </w:r>
      <w:r w:rsidRPr="009F4E4A">
        <w:t xml:space="preserve"> </w:t>
      </w:r>
      <w:r>
        <w:t xml:space="preserve">DEP issued Sunshine a penalty in the amount of $1,217,604. </w:t>
      </w:r>
      <w:r w:rsidRPr="00466819">
        <w:t>(EXH 113</w:t>
      </w:r>
      <w:r>
        <w:t>,</w:t>
      </w:r>
      <w:r w:rsidRPr="00466819">
        <w:t xml:space="preserve"> B</w:t>
      </w:r>
      <w:r>
        <w:t xml:space="preserve">SP E42395) In lieu of paying this full penalty amount, Sunshine entered into an agreement with DEP to implement an in-kind project and pay a penalty of $318,772 and costs of $5,000 to </w:t>
      </w:r>
      <w:r w:rsidRPr="00371F31">
        <w:t>DEP. (EXH 113</w:t>
      </w:r>
      <w:r>
        <w:t>,</w:t>
      </w:r>
      <w:r w:rsidRPr="00371F31">
        <w:t xml:space="preserve"> E42395) I</w:t>
      </w:r>
      <w:r>
        <w:t>n response, witness Twomey testified that he believed the Sanlando WWTP was mismanaged during this time period and that all of the employees that were working there at the time these inspections occurred have since been replaced. (</w:t>
      </w:r>
      <w:r w:rsidRPr="005A11E1">
        <w:t>TR 253</w:t>
      </w:r>
      <w:r>
        <w:t>) Witness Twomey indicated that the 2024 Consent Order stated that the Utility had corrected all of the violations at the time the 2024 Consent Order was issued. (TR 253)</w:t>
      </w:r>
      <w:r w:rsidRPr="00D30C1B">
        <w:t xml:space="preserve"> </w:t>
      </w:r>
    </w:p>
    <w:p w:rsidR="00747EB4" w:rsidRDefault="00747EB4" w:rsidP="00431D19">
      <w:pPr>
        <w:pStyle w:val="BodyText"/>
      </w:pPr>
      <w:r>
        <w:t>Sunshine provided customer complaints it received from 2020 to 2024. (EXH 91) During that timeframe, Sunshine reported a total of 267 complaints for the Sanlando WWTP. (EXH 91) The most common complaint related to clogged sewers, along with service line breaks, and sewer main breaks. (EXH 91) For this same time period, DEP received 37 odor complaints, of which, 33 complaints were in 2022. (EXH 113, BSP E42019; OPC BR 9) The PSC received 59 total complaints from Seminole County, where the Sanlando system is located. (EXH 44, BSP C7-2175 – C7-2178) The Sanlando WWTP provides service to 9,762 ERC</w:t>
      </w:r>
      <w:r w:rsidRPr="00B61F90">
        <w:t>s. (EXH 213, J318) T</w:t>
      </w:r>
      <w:r>
        <w:t xml:space="preserve">herefore, even if you attribute all PSC complaints received for Seminole County as being associated with the Sanlando system, the overall number of complaints per year represents less than 1 percent of the ERCs served by this system. </w:t>
      </w:r>
    </w:p>
    <w:p w:rsidR="00747EB4" w:rsidRDefault="00747EB4" w:rsidP="00431D19">
      <w:pPr>
        <w:pStyle w:val="BodyText"/>
      </w:pPr>
      <w:r>
        <w:t>In its brief, OPC argued that the Sanlando system should be deemed unsatisfactory, and Sunshine’s ROE be reduced by 50-basis points, largely due to its compliance history with DEP and customer complaints. (OPC BR 5-9, 12) Additionally, OPC argued that the Commission should require Sunshine to institute an annual improvement and reporting requirement to be monitored by Commission staff. (OPC BR 9) In support of its position, OPC discussed the system’s DEP compliance history si</w:t>
      </w:r>
      <w:r w:rsidRPr="00D06817">
        <w:t>nce 2017. (OPC BR 5-9)</w:t>
      </w:r>
      <w:r>
        <w:t xml:space="preserve"> While the Commission has already considered much of this history in the Utility’s last rate case, the instances that occurred in the time period following Sunshine’s last rate case were addressed above for the Commission’s consideration</w:t>
      </w:r>
      <w:r w:rsidRPr="00782F4C">
        <w:t xml:space="preserve">. </w:t>
      </w:r>
    </w:p>
    <w:p w:rsidR="00747EB4" w:rsidRDefault="00747EB4" w:rsidP="00431D19">
      <w:pPr>
        <w:pStyle w:val="BodyText"/>
      </w:pPr>
      <w:r>
        <w:t xml:space="preserve">In its brief, OPC also discussed the two pro forma projects, ST-17 and ST-18, for the Sanlando system. (OPC BR 9; TR 150-151) ST-17 is to replace an existing force main. (TR 150) As part of ST-18, Sunshine installed a new floating mixer in the equalization (EQ) tank to improve the aeration process and mix tank contents to prevent any accumulation of solids. (TR 150) ST-18 is </w:t>
      </w:r>
      <w:r>
        <w:lastRenderedPageBreak/>
        <w:t xml:space="preserve">in response to the 2024 Consent Order discussed above, but is not the in-kind project discussed above. These pro forma projects are specifically addressed in Issue 4. </w:t>
      </w:r>
    </w:p>
    <w:p w:rsidR="00747EB4" w:rsidRDefault="00747EB4" w:rsidP="00431D19">
      <w:pPr>
        <w:pStyle w:val="BodyText"/>
      </w:pPr>
      <w:r>
        <w:t>Based on the above, Sanlando has encountered additional overflow incidents since its last rate case which resulted in the previously discussed DEP actions. However, it appears that this system has minimal complaints and Sunshine is working to return this system to compliance. While Sunshine argued that Sanlando was in compliance with DEP, the in-kind project from its most recent Consent Order has not yet been completed and there is No Return to Compliance Letter from the DEP in the record. (TR 253) Therefore, it appears this system is currently not incompliance with the DEP.</w:t>
      </w:r>
    </w:p>
    <w:p w:rsidR="00747EB4" w:rsidRPr="00807763" w:rsidRDefault="00747EB4" w:rsidP="00431D19">
      <w:pPr>
        <w:pStyle w:val="BodyText"/>
      </w:pPr>
      <w:r>
        <w:t>Additionally, witness Twomey indicated that the employees responsible for this system at the time of the inspections associated with the 2024 Consent Order have all been replaced. (TR 253) It appears Sanlando’s quality of service has improved, but there have also been compliance issues that occurred since the last rate case. As a result, staff recommends that the quality of service for the Sanlando WWTP should remain unsatisfactory. Staff agrees with OPC’s assessment of this system’s quality of service and also agrees that additional monitoring is warranted by the Commission to ensure this system’s compliance with the DEP. As a result, staff also recommends that Sunshine be required to file an annual report that details any DEP compliance issues for the Sanlando system</w:t>
      </w:r>
      <w:r w:rsidR="007E0253">
        <w:t xml:space="preserve"> for the preceding year</w:t>
      </w:r>
      <w:r>
        <w:t xml:space="preserve">. Sunshine should file its first report one year after the final Order in this docket is issued. </w:t>
      </w:r>
    </w:p>
    <w:p w:rsidR="00747EB4" w:rsidRPr="00986470" w:rsidRDefault="00747EB4" w:rsidP="00431D19">
      <w:pPr>
        <w:pStyle w:val="Second-LevelSubheading"/>
      </w:pPr>
      <w:r w:rsidRPr="00986470">
        <w:t>Mid-County</w:t>
      </w:r>
      <w:r>
        <w:t xml:space="preserve"> (Wastewater)</w:t>
      </w:r>
    </w:p>
    <w:p w:rsidR="00747EB4" w:rsidRPr="00986470" w:rsidRDefault="00747EB4" w:rsidP="00431D19">
      <w:pPr>
        <w:pStyle w:val="BodyText"/>
      </w:pPr>
      <w:r w:rsidRPr="00BA1D30">
        <w:t>As stated previously, the Commission found the quality of service to be unsatisfactory for this system</w:t>
      </w:r>
      <w:r>
        <w:t xml:space="preserve"> in the last rate case</w:t>
      </w:r>
      <w:r w:rsidRPr="00BA1D30">
        <w:t xml:space="preserve">. </w:t>
      </w:r>
      <w:r>
        <w:t xml:space="preserve">This determination was due to effluent violations, failure to submit proper paperwork, </w:t>
      </w:r>
      <w:r w:rsidRPr="00986470">
        <w:t>sanitary overflows</w:t>
      </w:r>
      <w:r>
        <w:t>,</w:t>
      </w:r>
      <w:r w:rsidRPr="00986470">
        <w:t xml:space="preserve"> and the Utility’s failure to submit pub</w:t>
      </w:r>
      <w:r>
        <w:t>lic notices of pollution for tho</w:t>
      </w:r>
      <w:r w:rsidRPr="00986470">
        <w:t>se overflows.</w:t>
      </w:r>
      <w:r>
        <w:t xml:space="preserve"> </w:t>
      </w:r>
    </w:p>
    <w:p w:rsidR="00747EB4" w:rsidRDefault="00747EB4" w:rsidP="00431D19">
      <w:pPr>
        <w:pStyle w:val="BodyText"/>
      </w:pPr>
      <w:r>
        <w:t xml:space="preserve">Since the last rate case, the DEP has continued to recognize this system for its effluent violations. On August 24, 2020, January 25, 2021, March 10, 2021, and July 23, 2021, the DEP issued warning letters for sanitary sewer overflows. (EXH 113, BSP E42018) These warning letters led to an August 16. 2021, </w:t>
      </w:r>
      <w:r w:rsidRPr="00986470">
        <w:t xml:space="preserve">Consent Order </w:t>
      </w:r>
      <w:r>
        <w:t xml:space="preserve">which was ultimately issued for </w:t>
      </w:r>
      <w:r w:rsidRPr="00986470">
        <w:t>an unauthorized discharge of 1,143,600 gallons of partially treated wastewater</w:t>
      </w:r>
      <w:r>
        <w:t xml:space="preserve"> at the plant. (EXH 113, BSP E42575-E42576) Sunshine</w:t>
      </w:r>
      <w:r w:rsidRPr="00986470">
        <w:t xml:space="preserve"> paid a fine and completed an in-kind project in order to satisfy the DEP’s requirements for this Consent Order. This Consent Order was closed in June of 2022.</w:t>
      </w:r>
      <w:r>
        <w:t xml:space="preserve"> (EXH 113, BSP E42383-E42387)</w:t>
      </w:r>
    </w:p>
    <w:p w:rsidR="00747EB4" w:rsidRPr="006A0BC0" w:rsidRDefault="00747EB4" w:rsidP="00431D19">
      <w:pPr>
        <w:pStyle w:val="BodyText"/>
      </w:pPr>
      <w:r>
        <w:t>On April 14, 2023, Sunshine was sent a Compliance Assistance Letter based on a compliance evaluation inspection. (EXH 113, BSP E42153) This letter cited certain exceedances and four sanitary sewer overflows that were released from the Mid-County collection system between February 2022 and February 2023. (EXH 113, BSP E42153-E42165) Sunshine resolved this letter on J</w:t>
      </w:r>
      <w:r w:rsidRPr="006A0BC0">
        <w:t xml:space="preserve">une 16, 2023. (EXH 113, BSP E42169) </w:t>
      </w:r>
    </w:p>
    <w:p w:rsidR="00747EB4" w:rsidRPr="006A0BC0" w:rsidRDefault="00747EB4" w:rsidP="00431D19">
      <w:pPr>
        <w:pStyle w:val="BodyText"/>
      </w:pPr>
      <w:r w:rsidRPr="006A0BC0">
        <w:t>Between December 2023 and January 2024, Mid-County had three unauthorized discharges that were released from its collection system, which resulted in subsequent warning letters. (</w:t>
      </w:r>
      <w:r>
        <w:t xml:space="preserve">TR 275; </w:t>
      </w:r>
      <w:r w:rsidRPr="006A0BC0">
        <w:t xml:space="preserve">EXH 113, BSP E42018) Witness Twomey testified that despite the fact that Sunshine took action to deal with these spills, Utility personnel failed to test the waters of a creek adjacent to the </w:t>
      </w:r>
      <w:r w:rsidRPr="006A0BC0">
        <w:lastRenderedPageBreak/>
        <w:t xml:space="preserve">spills. (TR 207) This testing was a part of Sunshine’s spill response plan, and the failure to test the creek waters was the reason for the August 1, 2024 Consent Order being issued. (EXH 113, BSP </w:t>
      </w:r>
      <w:r>
        <w:t>E42587</w:t>
      </w:r>
      <w:r w:rsidRPr="006A0BC0">
        <w:t>; TR 207) Sunshine is currently in the final stages of completing an in-kind project to satisfy the Co</w:t>
      </w:r>
      <w:r>
        <w:t>nsent Order. (TR 278</w:t>
      </w:r>
      <w:r w:rsidRPr="006A0BC0">
        <w:t>) Additionally, on September 9, 2024, DEP issued a warning letter for sanitary sewer overflows due to Hurricane Debby. (EXH 113, BSP E42018)</w:t>
      </w:r>
    </w:p>
    <w:p w:rsidR="00747EB4" w:rsidRPr="006A0BC0" w:rsidRDefault="00747EB4" w:rsidP="00431D19">
      <w:pPr>
        <w:pStyle w:val="BodyText"/>
      </w:pPr>
      <w:r w:rsidRPr="006A0BC0">
        <w:t xml:space="preserve">Sunshine provided customer complaints it received from 2020 to 2024. (EXH 113) During that timeframe, Sunshine reported a total of 64 complaints for the Mid-County WWTP. (EXH 113) Most of these complaints were for clogged sewers, but others related to sewer main breaks, service line breaks, and odor. (EXH 113) Witness Calhoun testified that zero complaints were reported to the </w:t>
      </w:r>
      <w:r>
        <w:t>Commission</w:t>
      </w:r>
      <w:r w:rsidRPr="006A0BC0">
        <w:t xml:space="preserve"> from Pinellas County, the county in which the Mid-County WWTP is located. (EXH </w:t>
      </w:r>
      <w:r>
        <w:t>44</w:t>
      </w:r>
      <w:r w:rsidRPr="006A0BC0">
        <w:t>, BSP C7-2175-C7-2178) Additionally, DEP reported zero complaints for this system during that time. (EXH 113, BSP E42018) For context, this system serves 3,199 ERCs. (EXH 213, BSP J293)</w:t>
      </w:r>
    </w:p>
    <w:p w:rsidR="00747EB4" w:rsidRDefault="00747EB4" w:rsidP="00431D19">
      <w:pPr>
        <w:pStyle w:val="BodyText"/>
      </w:pPr>
      <w:r w:rsidRPr="006A0BC0">
        <w:t>While the Mid-County WWTP is currently considered to be out of compliance with the DEP, witness Twomey indicated that the Mid-County WWTP is also at the end of its useful life. (EXH 113, BSP E42018; TR 297, TR 205</w:t>
      </w:r>
      <w:r>
        <w:t>-206</w:t>
      </w:r>
      <w:r w:rsidRPr="006A0BC0">
        <w:t>) As a result, a new plant is currently under construction; but, due to the anticipated completion date, this project is not part of the instant docket but Sunshine indicated it may request cost recovery for this project in a subsequent proceeding. (TR 20</w:t>
      </w:r>
      <w:r>
        <w:t>6-208</w:t>
      </w:r>
      <w:r w:rsidRPr="006A0BC0">
        <w:t>)</w:t>
      </w:r>
    </w:p>
    <w:p w:rsidR="00747EB4" w:rsidRDefault="00747EB4" w:rsidP="00431D19">
      <w:pPr>
        <w:pStyle w:val="BodyText"/>
      </w:pPr>
      <w:r>
        <w:t xml:space="preserve">As stated above, OPC argued that the Mid-County wastewater system should be deemed unsatisfactory for its demonstrated history of non-compliance with the DEP and recommends Sunshine’s ROE be reduced by 50-basis points. (OPC BR 9-12) In its brief, OPC summarized the system’s compliance history, which staff discussed above for the time period following Sunshine’s last rate case until the present. </w:t>
      </w:r>
      <w:r w:rsidRPr="00D06817">
        <w:t>(OPC BR 9-11)</w:t>
      </w:r>
      <w:r>
        <w:t xml:space="preserve"> </w:t>
      </w:r>
    </w:p>
    <w:p w:rsidR="00747EB4" w:rsidRDefault="00747EB4" w:rsidP="00431D19">
      <w:pPr>
        <w:pStyle w:val="BodyText"/>
      </w:pPr>
      <w:r>
        <w:t xml:space="preserve">While there are minimal customer complaints for this system, it is apparent that overflows are still an issue. (EXH 113) Staff agrees with OPC in that Mid-County’s quality of service is unsatisfactory. Mid-County previously had overflow issues in 2015, 2016, and 2019, which </w:t>
      </w:r>
      <w:r w:rsidRPr="00F7571F">
        <w:t xml:space="preserve">the Commission </w:t>
      </w:r>
      <w:r>
        <w:t>has already considered in Sunshine</w:t>
      </w:r>
      <w:r w:rsidRPr="00F7571F">
        <w:t>’</w:t>
      </w:r>
      <w:r>
        <w:t>s</w:t>
      </w:r>
      <w:r w:rsidRPr="00F7571F">
        <w:t xml:space="preserve"> quality of service determination</w:t>
      </w:r>
      <w:r>
        <w:t xml:space="preserve"> of unsatisfactory in</w:t>
      </w:r>
      <w:r w:rsidRPr="00F7571F">
        <w:t xml:space="preserve"> its prior rate case</w:t>
      </w:r>
      <w:r>
        <w:t xml:space="preserve">. Due to subsequent overflow issues in 2021, 2023, and 2024, which resulted in the issuance of a DEP Consent Order, staff recommends the quality of service for Mid-County remain unsatisfactory. (EXH 113) Similarly to the Sanlando system, Mid-County’s quality of service was found to be unsatisfactory in Sunshine’s last rate case for similar reasons that have continued and are recognized in the current proceeding. As such, staff also recommends that Sunshine be required to report any DEP compliance issues </w:t>
      </w:r>
      <w:r w:rsidR="007E0253">
        <w:t xml:space="preserve">for the preceding year </w:t>
      </w:r>
      <w:r>
        <w:t>on an annual basis to the Commission for the Mid-County system as well.</w:t>
      </w:r>
    </w:p>
    <w:p w:rsidR="00747EB4" w:rsidRPr="009B2B7E" w:rsidRDefault="00747EB4" w:rsidP="00431D19">
      <w:pPr>
        <w:pStyle w:val="RecommendationMajorSectionHeading"/>
      </w:pPr>
      <w:r w:rsidRPr="009B2B7E">
        <w:t>CONCLUSION</w:t>
      </w:r>
    </w:p>
    <w:p w:rsidR="00747EB4" w:rsidRDefault="00747EB4" w:rsidP="00431D19">
      <w:pPr>
        <w:pStyle w:val="BodyText"/>
      </w:pPr>
      <w:r w:rsidRPr="009B2B7E">
        <w:t>Based on the</w:t>
      </w:r>
      <w:r>
        <w:t xml:space="preserve"> above, staff r</w:t>
      </w:r>
      <w:r w:rsidRPr="009B2B7E">
        <w:t xml:space="preserve">ecommends that </w:t>
      </w:r>
      <w:r>
        <w:t>Sunshine</w:t>
      </w:r>
      <w:r w:rsidRPr="009B2B7E">
        <w:t xml:space="preserve">’s overall quality of service is satisfactory. However, the quality of service for the </w:t>
      </w:r>
      <w:r>
        <w:t xml:space="preserve">Sanlando and </w:t>
      </w:r>
      <w:r w:rsidRPr="009B2B7E">
        <w:t xml:space="preserve">Mid-County </w:t>
      </w:r>
      <w:r>
        <w:t xml:space="preserve">wastewater </w:t>
      </w:r>
      <w:r w:rsidRPr="009B2B7E">
        <w:t>system</w:t>
      </w:r>
      <w:r>
        <w:t>s</w:t>
      </w:r>
      <w:r w:rsidRPr="009B2B7E">
        <w:t xml:space="preserve"> should be deemed </w:t>
      </w:r>
      <w:r>
        <w:t>unsatisfactory and the current 15 basis point</w:t>
      </w:r>
      <w:r w:rsidRPr="009B2B7E">
        <w:t xml:space="preserve"> </w:t>
      </w:r>
      <w:r>
        <w:t>reduction to Sunshine’s overall ROE should continue to be applied</w:t>
      </w:r>
      <w:r w:rsidRPr="009B2B7E">
        <w:t xml:space="preserve">. </w:t>
      </w:r>
      <w:r>
        <w:t xml:space="preserve">Considering that Sunshine has demonstrated its responsiveness to DEP to resolve its compliance issues and the relatively low number of customer complaints for these </w:t>
      </w:r>
      <w:r>
        <w:lastRenderedPageBreak/>
        <w:t>systems, staff believes a 15 basis point reduction is more appropriate than OPC’s recommended 50 basis point reduction to ROE. However, staff agrees with OPC’s recommended reporting; therefore, s</w:t>
      </w:r>
      <w:r w:rsidRPr="009701AB">
        <w:t xml:space="preserve">taff also recommends that </w:t>
      </w:r>
      <w:r w:rsidRPr="00D63E4D">
        <w:t>Sunshine be required to file an annual report that details any DEP compliance issues for both the Sanlando and Mid-County wastewater systems</w:t>
      </w:r>
      <w:r w:rsidR="007E0253">
        <w:t xml:space="preserve"> for the preceding year</w:t>
      </w:r>
      <w:r w:rsidRPr="00D63E4D">
        <w:t xml:space="preserve">. Sunshine should file its first report one year after the </w:t>
      </w:r>
      <w:r>
        <w:t>final</w:t>
      </w:r>
      <w:r w:rsidRPr="00D63E4D">
        <w:t xml:space="preserve"> Order </w:t>
      </w:r>
      <w:r>
        <w:t xml:space="preserve">in </w:t>
      </w:r>
      <w:r w:rsidRPr="00D63E4D">
        <w:t xml:space="preserve">this </w:t>
      </w:r>
      <w:r>
        <w:t>docket</w:t>
      </w:r>
      <w:r w:rsidRPr="00D63E4D">
        <w:t xml:space="preserve"> is issued</w:t>
      </w:r>
      <w:r>
        <w:t>.</w:t>
      </w:r>
      <w:r w:rsidRPr="00E72140">
        <w:t xml:space="preserve"> </w:t>
      </w:r>
      <w:r>
        <w:t>Additionally, staff recommends the reporting requirements established for the Pasco-Summertree system in the last rate case be discontinued.</w:t>
      </w:r>
    </w:p>
    <w:p w:rsidR="00BF5423" w:rsidRDefault="00BF5423" w:rsidP="002741C6">
      <w:pPr>
        <w:pStyle w:val="BodyText"/>
        <w:sectPr w:rsidR="00BF5423"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2741C6" w:rsidRDefault="002741C6" w:rsidP="002741C6">
      <w:pPr>
        <w:pStyle w:val="BodyText"/>
      </w:pPr>
    </w:p>
    <w:p w:rsidR="002741C6" w:rsidRDefault="002741C6" w:rsidP="002741C6">
      <w:pPr>
        <w:pStyle w:val="BodyText"/>
      </w:pPr>
      <w:r>
        <w:br w:type="page"/>
      </w:r>
    </w:p>
    <w:bookmarkEnd w:id="13"/>
    <w:p w:rsidR="00747EB4" w:rsidRDefault="00747EB4">
      <w:pPr>
        <w:pStyle w:val="IssueHeading"/>
        <w:rPr>
          <w:vanish/>
          <w:specVanish/>
        </w:rPr>
      </w:pPr>
      <w:r w:rsidRPr="004C3641">
        <w:lastRenderedPageBreak/>
        <w:t xml:space="preserve">Issue </w:t>
      </w:r>
      <w:r>
        <w:fldChar w:fldCharType="begin"/>
      </w:r>
      <w:r>
        <w:instrText>seq issue \r "1A"</w:instrText>
      </w:r>
      <w:r>
        <w:fldChar w:fldCharType="separate"/>
      </w:r>
      <w:r w:rsidR="009D3FF7">
        <w:rPr>
          <w:noProof/>
        </w:rPr>
        <w:t>1</w:t>
      </w:r>
      <w:r>
        <w:rPr>
          <w:noProof/>
        </w:rPr>
        <w:fldChar w:fldCharType="end"/>
      </w:r>
      <w:r>
        <w:rPr>
          <w:noProof/>
        </w:rPr>
        <w:t>A</w:t>
      </w:r>
      <w:r w:rsidRPr="004C3641">
        <w:t>:</w:t>
      </w:r>
      <w:r>
        <w:fldChar w:fldCharType="begin"/>
      </w:r>
      <w:r>
        <w:instrText xml:space="preserve"> TC "</w:instrText>
      </w:r>
      <w:r>
        <w:fldChar w:fldCharType="begin"/>
      </w:r>
      <w:r>
        <w:instrText xml:space="preserve"> SEQ issue \c </w:instrText>
      </w:r>
      <w:r>
        <w:fldChar w:fldCharType="separate"/>
      </w:r>
      <w:bookmarkStart w:id="15" w:name="_Toc196317118"/>
      <w:r w:rsidR="009D3FF7">
        <w:rPr>
          <w:noProof/>
        </w:rPr>
        <w:instrText>1</w:instrText>
      </w:r>
      <w:r>
        <w:fldChar w:fldCharType="end"/>
      </w:r>
      <w:r>
        <w:instrText>A</w:instrText>
      </w:r>
      <w:r>
        <w:tab/>
        <w:instrText>Overall Value (Sandy, Farooqi)</w:instrText>
      </w:r>
      <w:bookmarkEnd w:id="15"/>
      <w:r>
        <w:instrText xml:space="preserve">" \l 1 </w:instrText>
      </w:r>
      <w:r>
        <w:fldChar w:fldCharType="end"/>
      </w:r>
      <w:r>
        <w:t> </w:t>
      </w:r>
    </w:p>
    <w:p w:rsidR="00747EB4" w:rsidRDefault="00747EB4">
      <w:pPr>
        <w:pStyle w:val="BodyText"/>
      </w:pPr>
      <w:r>
        <w:t> Is the overall value to a customer provided by the Utility satisfactory, and, if not, what systems have value issues and what action should be taken by the Commission?</w:t>
      </w:r>
    </w:p>
    <w:p w:rsidR="00747EB4" w:rsidRPr="004C3641" w:rsidRDefault="00747EB4">
      <w:pPr>
        <w:pStyle w:val="IssueSubsectionHeading"/>
        <w:rPr>
          <w:vanish/>
          <w:specVanish/>
        </w:rPr>
      </w:pPr>
      <w:r w:rsidRPr="004C3641">
        <w:t>Recommendation: </w:t>
      </w:r>
    </w:p>
    <w:p w:rsidR="00747EB4" w:rsidRPr="001B5408" w:rsidRDefault="00747EB4" w:rsidP="00431D19">
      <w:pPr>
        <w:pStyle w:val="BodyText"/>
      </w:pPr>
      <w:r>
        <w:t> </w:t>
      </w:r>
      <w:r w:rsidRPr="001B5408">
        <w:t>The Commission must consider value of service when fixing rates which are just, reasonable, compensatory, and not unfairly discriminatory.</w:t>
      </w:r>
      <w:r>
        <w:rPr>
          <w:rStyle w:val="FootnoteReference"/>
        </w:rPr>
        <w:t xml:space="preserve"> </w:t>
      </w:r>
      <w:r>
        <w:t xml:space="preserve">Value </w:t>
      </w:r>
      <w:r w:rsidR="00534481">
        <w:t xml:space="preserve">of service </w:t>
      </w:r>
      <w:r>
        <w:t>is an objective measure. T</w:t>
      </w:r>
      <w:r w:rsidRPr="001B5408">
        <w:t xml:space="preserve">here is no reason for the Commission to </w:t>
      </w:r>
      <w:r>
        <w:t xml:space="preserve">depart from this </w:t>
      </w:r>
      <w:r w:rsidRPr="001B5408">
        <w:t xml:space="preserve">interpretation where there was unpersuasive argument that </w:t>
      </w:r>
      <w:r>
        <w:t xml:space="preserve">value </w:t>
      </w:r>
      <w:r w:rsidR="00534481">
        <w:t xml:space="preserve">of service </w:t>
      </w:r>
      <w:r>
        <w:t xml:space="preserve">should </w:t>
      </w:r>
      <w:r w:rsidRPr="001B5408">
        <w:t>encompass each customer’s subjective calculations. Therefore, as set forth in Section 367.081, F.S., value of service should be interpreted as meaning the objective value of the utility.</w:t>
      </w:r>
      <w:r w:rsidRPr="001B5408" w:rsidDel="00D50118">
        <w:t xml:space="preserve"> </w:t>
      </w:r>
      <w:r>
        <w:t>Consistent with this interpretation, the Commission should measure the value of the Utility</w:t>
      </w:r>
      <w:r w:rsidR="00534481">
        <w:t>’s service</w:t>
      </w:r>
      <w:r>
        <w:t xml:space="preserve"> as the plant investment and the costs to provide service as calculated in</w:t>
      </w:r>
      <w:r w:rsidR="00534481">
        <w:t xml:space="preserve"> other issues of</w:t>
      </w:r>
      <w:r>
        <w:t xml:space="preserve"> this recommendation. </w:t>
      </w:r>
      <w:r w:rsidRPr="001B5408">
        <w:t>(Sandy</w:t>
      </w:r>
      <w:r>
        <w:t>, Farooqi</w:t>
      </w:r>
      <w:r w:rsidRPr="001B5408">
        <w:t>)</w:t>
      </w:r>
    </w:p>
    <w:p w:rsidR="00747EB4" w:rsidRPr="004C3641" w:rsidRDefault="00747EB4" w:rsidP="00431D19">
      <w:pPr>
        <w:pStyle w:val="IssueSubsectionHeading"/>
      </w:pPr>
      <w:r w:rsidRPr="004C3641">
        <w:t>Position of the Parties</w:t>
      </w:r>
    </w:p>
    <w:p w:rsidR="00747EB4" w:rsidRDefault="00747EB4" w:rsidP="00431D19">
      <w:pPr>
        <w:pStyle w:val="PartyName"/>
        <w:rPr>
          <w:vanish/>
          <w:specVanish/>
        </w:rPr>
      </w:pPr>
      <w:r>
        <w:t>SUNSHINE: </w:t>
      </w:r>
    </w:p>
    <w:p w:rsidR="00747EB4" w:rsidRDefault="00747EB4">
      <w:pPr>
        <w:pStyle w:val="BodyText"/>
      </w:pPr>
      <w:r>
        <w:t> Since there is no objective standard of value, Sunshine is unable to take a substantive position. However, Sunshine does provide valuable service as it interprets this standard.</w:t>
      </w:r>
    </w:p>
    <w:p w:rsidR="00747EB4" w:rsidRDefault="00747EB4" w:rsidP="00431D19">
      <w:pPr>
        <w:pStyle w:val="PartyName"/>
        <w:rPr>
          <w:vanish/>
          <w:specVanish/>
        </w:rPr>
      </w:pPr>
      <w:r>
        <w:t>OPC: </w:t>
      </w:r>
    </w:p>
    <w:p w:rsidR="00747EB4" w:rsidRDefault="00747EB4">
      <w:pPr>
        <w:pStyle w:val="BodyText"/>
      </w:pPr>
      <w:r>
        <w:t> No. Pursuant to section 367.081(2)(a)1, Florida Statutes, the Commission shall consider the value of the service provided to customers. As customers have testified at the service hearings in this case, there are issues with the value of the Company’s customer service and other service matters provided by certain Utility systems. The Commission should consider measures for customers of specific systems related to the value of service provided to them.</w:t>
      </w:r>
    </w:p>
    <w:p w:rsidR="00747EB4" w:rsidRPr="004C3641" w:rsidRDefault="00747EB4">
      <w:pPr>
        <w:pStyle w:val="IssueSubsectionHeading"/>
        <w:rPr>
          <w:vanish/>
          <w:specVanish/>
        </w:rPr>
      </w:pPr>
      <w:r w:rsidRPr="004C3641">
        <w:t>Staff Analysis: </w:t>
      </w:r>
    </w:p>
    <w:p w:rsidR="00747EB4" w:rsidRDefault="00747EB4">
      <w:pPr>
        <w:pStyle w:val="BodyText"/>
      </w:pPr>
    </w:p>
    <w:p w:rsidR="00747EB4" w:rsidRPr="001B5408" w:rsidRDefault="00747EB4" w:rsidP="00431D19">
      <w:pPr>
        <w:pStyle w:val="RecommendationMajorSectionHeading"/>
      </w:pPr>
      <w:r w:rsidRPr="001B5408">
        <w:t>ANALYSIS</w:t>
      </w:r>
    </w:p>
    <w:p w:rsidR="00747EB4" w:rsidRDefault="00747EB4" w:rsidP="00431D19">
      <w:pPr>
        <w:pStyle w:val="BodyText"/>
      </w:pPr>
      <w:r w:rsidRPr="00AC484F">
        <w:t>Section 367.081(2)(a)1., F.S.</w:t>
      </w:r>
      <w:r>
        <w:t>, provides, in part, that</w:t>
      </w:r>
      <w:r w:rsidRPr="00AC484F">
        <w:t xml:space="preserve"> “The </w:t>
      </w:r>
      <w:r w:rsidR="00534481">
        <w:t>C</w:t>
      </w:r>
      <w:r w:rsidRPr="00AC484F">
        <w:t xml:space="preserve">ommission shall, either upon request or upon its own motion, fix rates which are just, reasonable, compensatory, and not unfairly discriminatory. In every such proceeding, the </w:t>
      </w:r>
      <w:r w:rsidR="00534481">
        <w:t>C</w:t>
      </w:r>
      <w:r w:rsidRPr="00AC484F">
        <w:t xml:space="preserve">ommission shall consider the </w:t>
      </w:r>
      <w:r w:rsidRPr="0009732C">
        <w:rPr>
          <w:i/>
        </w:rPr>
        <w:t>value</w:t>
      </w:r>
      <w:r w:rsidRPr="00AC484F">
        <w:t xml:space="preserve"> and quality of the service and the cost of providing the service</w:t>
      </w:r>
      <w:r>
        <w:t>. . . .</w:t>
      </w:r>
      <w:r w:rsidRPr="00AC484F">
        <w:t xml:space="preserve">” </w:t>
      </w:r>
      <w:r>
        <w:t>(Emphasis added) Historically, comprehensive base rate proceedings always include an issue to examine the quality of service provided by the utility. The concept of “value,” as provided in Section 367.081(2)(a)1., F.S., has not been historically identified as an independent issue in water and wastewater rate cases, and the Commission has not previously provided an interpretation of the term.</w:t>
      </w:r>
      <w:r w:rsidRPr="001B5408">
        <w:rPr>
          <w:rStyle w:val="FootnoteReference"/>
        </w:rPr>
        <w:footnoteReference w:id="14"/>
      </w:r>
      <w:r w:rsidRPr="001B5408">
        <w:t xml:space="preserve"> </w:t>
      </w:r>
    </w:p>
    <w:p w:rsidR="00677CB7" w:rsidRDefault="00677CB7" w:rsidP="00431D19">
      <w:pPr>
        <w:pStyle w:val="BodyText"/>
      </w:pPr>
    </w:p>
    <w:p w:rsidR="00677CB7" w:rsidRDefault="00677CB7" w:rsidP="00431D19">
      <w:pPr>
        <w:pStyle w:val="BodyText"/>
        <w:sectPr w:rsidR="00677CB7" w:rsidSect="00BF5423">
          <w:headerReference w:type="default" r:id="rId14"/>
          <w:type w:val="continuous"/>
          <w:pgSz w:w="12240" w:h="15840" w:code="1"/>
          <w:pgMar w:top="1584" w:right="1440" w:bottom="1440" w:left="1440" w:header="720" w:footer="720" w:gutter="0"/>
          <w:cols w:space="720"/>
          <w:formProt w:val="0"/>
          <w:docGrid w:linePitch="360"/>
        </w:sectPr>
      </w:pPr>
    </w:p>
    <w:p w:rsidR="00747EB4" w:rsidRDefault="00747EB4" w:rsidP="00431D19">
      <w:pPr>
        <w:pStyle w:val="BodyText"/>
      </w:pPr>
      <w:r w:rsidRPr="001B5408">
        <w:rPr>
          <w:rFonts w:eastAsiaTheme="minorHAnsi"/>
        </w:rPr>
        <w:lastRenderedPageBreak/>
        <w:t xml:space="preserve">OPC </w:t>
      </w:r>
      <w:r>
        <w:rPr>
          <w:rFonts w:eastAsiaTheme="minorHAnsi"/>
        </w:rPr>
        <w:t>argue</w:t>
      </w:r>
      <w:r w:rsidR="00534481">
        <w:rPr>
          <w:rFonts w:eastAsiaTheme="minorHAnsi"/>
        </w:rPr>
        <w:t>d</w:t>
      </w:r>
      <w:r w:rsidRPr="001B5408">
        <w:rPr>
          <w:rFonts w:eastAsiaTheme="minorHAnsi"/>
        </w:rPr>
        <w:t xml:space="preserve"> the Commission </w:t>
      </w:r>
      <w:r>
        <w:rPr>
          <w:rFonts w:eastAsiaTheme="minorHAnsi"/>
        </w:rPr>
        <w:t xml:space="preserve">has broad legislative authority to interpret value as used in Section 367.081(2)(a)1., F.S. (OPC BR 13) Therefore, OPC recommended that value of service should be </w:t>
      </w:r>
      <w:r w:rsidRPr="001B5408">
        <w:rPr>
          <w:rFonts w:eastAsiaTheme="minorHAnsi"/>
        </w:rPr>
        <w:t>interpret</w:t>
      </w:r>
      <w:r>
        <w:rPr>
          <w:rFonts w:eastAsiaTheme="minorHAnsi"/>
        </w:rPr>
        <w:t>ed</w:t>
      </w:r>
      <w:r w:rsidRPr="001B5408">
        <w:rPr>
          <w:rFonts w:eastAsiaTheme="minorHAnsi"/>
        </w:rPr>
        <w:t xml:space="preserve"> as </w:t>
      </w:r>
      <w:r>
        <w:rPr>
          <w:rFonts w:eastAsiaTheme="minorHAnsi"/>
        </w:rPr>
        <w:t>the perceived benefits and costs to customers, regulators, and operations. (</w:t>
      </w:r>
      <w:r w:rsidRPr="001B5408">
        <w:rPr>
          <w:rFonts w:eastAsiaTheme="minorHAnsi"/>
        </w:rPr>
        <w:t>OPC BR 14</w:t>
      </w:r>
      <w:r>
        <w:rPr>
          <w:rFonts w:eastAsiaTheme="minorHAnsi"/>
        </w:rPr>
        <w:t>) This is due in large part to the broad legislative grant of authority afforded to the Commission to regulate utility rates.</w:t>
      </w:r>
      <w:r w:rsidRPr="00A62144">
        <w:rPr>
          <w:rFonts w:eastAsiaTheme="minorHAnsi"/>
        </w:rPr>
        <w:t xml:space="preserve"> </w:t>
      </w:r>
      <w:r>
        <w:rPr>
          <w:rFonts w:eastAsiaTheme="minorHAnsi"/>
        </w:rPr>
        <w:t>(</w:t>
      </w:r>
      <w:r w:rsidRPr="001B5408">
        <w:rPr>
          <w:rFonts w:eastAsiaTheme="minorHAnsi"/>
        </w:rPr>
        <w:t>OPC BR</w:t>
      </w:r>
      <w:r>
        <w:rPr>
          <w:rFonts w:eastAsiaTheme="minorHAnsi"/>
        </w:rPr>
        <w:t xml:space="preserve"> 13)</w:t>
      </w:r>
      <w:r w:rsidR="00534481">
        <w:t xml:space="preserve"> OPC correctly observed</w:t>
      </w:r>
      <w:r w:rsidRPr="001B5408">
        <w:t xml:space="preserve"> that the Commission shall consider value of service in the context of rate setting pursuant to Section 367.081(2)(a)1</w:t>
      </w:r>
      <w:r>
        <w:t>.</w:t>
      </w:r>
      <w:r w:rsidR="00E41CCF">
        <w:t xml:space="preserve">, F.S. </w:t>
      </w:r>
      <w:r>
        <w:t>(</w:t>
      </w:r>
      <w:r w:rsidRPr="001B5408">
        <w:t>OPC BR 1</w:t>
      </w:r>
      <w:r>
        <w:t>4)</w:t>
      </w:r>
      <w:r w:rsidRPr="001B5408">
        <w:t xml:space="preserve"> </w:t>
      </w:r>
    </w:p>
    <w:p w:rsidR="00747EB4" w:rsidRDefault="00747EB4" w:rsidP="00431D19">
      <w:pPr>
        <w:pStyle w:val="BodyText"/>
      </w:pPr>
      <w:r>
        <w:t xml:space="preserve">OPC also contended that a statutory language change between the current law – Section 367.081, F.S. – and its predecessor statute, Section 367.12, F.S., emphasizes why “value” is a subjective calculation. </w:t>
      </w:r>
      <w:r>
        <w:rPr>
          <w:rFonts w:ascii="TimesNewRomanPSMT" w:eastAsiaTheme="minorHAnsi" w:hAnsi="TimesNewRomanPSMT" w:cs="TimesNewRomanPSMT"/>
        </w:rPr>
        <w:t xml:space="preserve">Section 367.12, F.S., set forth the procedure for fixing and changing rates. It provided, in pertinent part, “with respect to all utilities </w:t>
      </w:r>
      <w:r w:rsidRPr="005B488F">
        <w:rPr>
          <w:rFonts w:ascii="TimesNewRomanPSMT" w:eastAsiaTheme="minorHAnsi" w:hAnsi="TimesNewRomanPSMT" w:cs="TimesNewRomanPSMT"/>
        </w:rPr>
        <w:t>coming under the juris</w:t>
      </w:r>
      <w:r>
        <w:rPr>
          <w:rFonts w:ascii="TimesNewRomanPSMT" w:eastAsiaTheme="minorHAnsi" w:hAnsi="TimesNewRomanPSMT" w:cs="TimesNewRomanPSMT"/>
        </w:rPr>
        <w:t xml:space="preserve">diction of the </w:t>
      </w:r>
      <w:r w:rsidR="00534481">
        <w:rPr>
          <w:rFonts w:ascii="TimesNewRomanPSMT" w:eastAsiaTheme="minorHAnsi" w:hAnsi="TimesNewRomanPSMT" w:cs="TimesNewRomanPSMT"/>
        </w:rPr>
        <w:t>C</w:t>
      </w:r>
      <w:r>
        <w:rPr>
          <w:rFonts w:ascii="TimesNewRomanPSMT" w:eastAsiaTheme="minorHAnsi" w:hAnsi="TimesNewRomanPSMT" w:cs="TimesNewRomanPSMT"/>
        </w:rPr>
        <w:t xml:space="preserve">ommission after </w:t>
      </w:r>
      <w:r w:rsidRPr="005B488F">
        <w:rPr>
          <w:rFonts w:ascii="TimesNewRomanPSMT" w:eastAsiaTheme="minorHAnsi" w:hAnsi="TimesNewRomanPSMT" w:cs="TimesNewRomanPSMT"/>
        </w:rPr>
        <w:t>Septembe</w:t>
      </w:r>
      <w:r>
        <w:rPr>
          <w:rFonts w:ascii="TimesNewRomanPSMT" w:eastAsiaTheme="minorHAnsi" w:hAnsi="TimesNewRomanPSMT" w:cs="TimesNewRomanPSMT"/>
        </w:rPr>
        <w:t xml:space="preserve">r 1, 1967, the </w:t>
      </w:r>
      <w:r w:rsidR="00534481">
        <w:rPr>
          <w:rFonts w:ascii="TimesNewRomanPSMT" w:eastAsiaTheme="minorHAnsi" w:hAnsi="TimesNewRomanPSMT" w:cs="TimesNewRomanPSMT"/>
        </w:rPr>
        <w:t>C</w:t>
      </w:r>
      <w:r>
        <w:rPr>
          <w:rFonts w:ascii="TimesNewRomanPSMT" w:eastAsiaTheme="minorHAnsi" w:hAnsi="TimesNewRomanPSMT" w:cs="TimesNewRomanPSMT"/>
        </w:rPr>
        <w:t xml:space="preserve">ommission shall </w:t>
      </w:r>
      <w:r w:rsidRPr="005B488F">
        <w:rPr>
          <w:rFonts w:ascii="TimesNewRomanPSMT" w:eastAsiaTheme="minorHAnsi" w:hAnsi="TimesNewRomanPSMT" w:cs="TimesNewRomanPSMT"/>
        </w:rPr>
        <w:t>investiga</w:t>
      </w:r>
      <w:r>
        <w:rPr>
          <w:rFonts w:ascii="TimesNewRomanPSMT" w:eastAsiaTheme="minorHAnsi" w:hAnsi="TimesNewRomanPSMT" w:cs="TimesNewRomanPSMT"/>
        </w:rPr>
        <w:t xml:space="preserve">te and determine the </w:t>
      </w:r>
      <w:r w:rsidRPr="004049EE">
        <w:rPr>
          <w:rFonts w:ascii="TimesNewRomanPSMT" w:eastAsiaTheme="minorHAnsi" w:hAnsi="TimesNewRomanPSMT" w:cs="TimesNewRomanPSMT"/>
          <w:i/>
        </w:rPr>
        <w:t>fair value</w:t>
      </w:r>
      <w:r>
        <w:rPr>
          <w:rFonts w:ascii="TimesNewRomanPSMT" w:eastAsiaTheme="minorHAnsi" w:hAnsi="TimesNewRomanPSMT" w:cs="TimesNewRomanPSMT"/>
        </w:rPr>
        <w:t xml:space="preserve"> </w:t>
      </w:r>
      <w:r w:rsidRPr="005B488F">
        <w:rPr>
          <w:rFonts w:ascii="TimesNewRomanPSMT" w:eastAsiaTheme="minorHAnsi" w:hAnsi="TimesNewRomanPSMT" w:cs="TimesNewRomanPSMT"/>
        </w:rPr>
        <w:t>of the utilities’ property used and useful in the public service</w:t>
      </w:r>
      <w:r>
        <w:rPr>
          <w:rFonts w:ascii="TimesNewRomanPSMT" w:eastAsiaTheme="minorHAnsi" w:hAnsi="TimesNewRomanPSMT" w:cs="TimesNewRomanPSMT"/>
        </w:rPr>
        <w:t>.” (Emphasis added.) In</w:t>
      </w:r>
      <w:r>
        <w:t xml:space="preserve"> 1971, Section 367.12, F.S., was repealed and Section 367.081, F.S., was enacted. The Legislature removed “fair” from the statute but retained the term “value,” as is seen in the current statutory language. According to OPC, this revision indicates the Legislature’s intent that the Commission consider “value” apart from any previous economic purpose. (</w:t>
      </w:r>
      <w:r w:rsidRPr="001B5408">
        <w:t>OPC BR 1</w:t>
      </w:r>
      <w:r>
        <w:t xml:space="preserve">3) </w:t>
      </w:r>
    </w:p>
    <w:p w:rsidR="00747EB4" w:rsidRDefault="00747EB4" w:rsidP="00431D19">
      <w:pPr>
        <w:pStyle w:val="BodyText"/>
      </w:pPr>
      <w:r>
        <w:t>OPC contended that the value of a service is the perceived benefits and costs (of a service) to customers, regulators, and operations. (OPC BR 14</w:t>
      </w:r>
      <w:r w:rsidR="009B5B9A">
        <w:t>;</w:t>
      </w:r>
      <w:r>
        <w:t xml:space="preserve"> TR 559) </w:t>
      </w:r>
      <w:r w:rsidR="00534481">
        <w:t>OPC stated that w</w:t>
      </w:r>
      <w:r>
        <w:t>here the Utility has made excessive financial requests of the Commission, such as the Advanced Meter Infrastructure referenced in Issue 4a, those requests should be rejected as they do not provide value to the customers, regulators, an</w:t>
      </w:r>
      <w:r w:rsidR="009B5B9A">
        <w:t>d system operations. (OPC BR 15;</w:t>
      </w:r>
      <w:r>
        <w:t xml:space="preserve"> TR 140, 206, 250)</w:t>
      </w:r>
    </w:p>
    <w:p w:rsidR="00747EB4" w:rsidRDefault="00747EB4" w:rsidP="00431D19">
      <w:pPr>
        <w:pStyle w:val="BodyText"/>
        <w:rPr>
          <w:i/>
        </w:rPr>
      </w:pPr>
      <w:r w:rsidRPr="001B5408">
        <w:t xml:space="preserve">The </w:t>
      </w:r>
      <w:r>
        <w:t>U</w:t>
      </w:r>
      <w:r w:rsidRPr="001B5408">
        <w:t xml:space="preserve">tility </w:t>
      </w:r>
      <w:r>
        <w:t>proposed that</w:t>
      </w:r>
      <w:r w:rsidRPr="001B5408">
        <w:t xml:space="preserve"> </w:t>
      </w:r>
      <w:r>
        <w:t>“</w:t>
      </w:r>
      <w:r w:rsidRPr="001B5408">
        <w:t>value</w:t>
      </w:r>
      <w:r>
        <w:t>” as used in Section 367.081(2)(a)1., F.S., is a part of the</w:t>
      </w:r>
      <w:r w:rsidRPr="001B5408">
        <w:t xml:space="preserve"> quality of service evaluation. </w:t>
      </w:r>
      <w:r>
        <w:t>(</w:t>
      </w:r>
      <w:r w:rsidRPr="001B5408">
        <w:t>Sunshine BR 3</w:t>
      </w:r>
      <w:r>
        <w:t>)</w:t>
      </w:r>
      <w:r w:rsidRPr="001B5408">
        <w:t xml:space="preserve"> According to the </w:t>
      </w:r>
      <w:r>
        <w:t>U</w:t>
      </w:r>
      <w:r w:rsidRPr="001B5408">
        <w:t>tility, if value was intended by the Legislature to be a separate con</w:t>
      </w:r>
      <w:r>
        <w:t>sideration apart from quality of service</w:t>
      </w:r>
      <w:r w:rsidRPr="00BD47F7">
        <w:t xml:space="preserve"> </w:t>
      </w:r>
      <w:r w:rsidRPr="001B5408">
        <w:t xml:space="preserve">the </w:t>
      </w:r>
      <w:r>
        <w:t>statute</w:t>
      </w:r>
      <w:r w:rsidRPr="001B5408">
        <w:t xml:space="preserve"> would </w:t>
      </w:r>
      <w:r>
        <w:t>read</w:t>
      </w:r>
      <w:r w:rsidRPr="001B5408">
        <w:t xml:space="preserve"> “value, quality of servic</w:t>
      </w:r>
      <w:r>
        <w:t>e and cost of providing service.</w:t>
      </w:r>
      <w:r w:rsidRPr="001B5408">
        <w:t xml:space="preserve">” </w:t>
      </w:r>
      <w:r>
        <w:t>(</w:t>
      </w:r>
      <w:r w:rsidRPr="001B5408">
        <w:t>Sunshin</w:t>
      </w:r>
      <w:r>
        <w:t xml:space="preserve">e BR 3) The Utility further argued that OPC’s definition of value is subjective and the record contains no testimony to support its definition. </w:t>
      </w:r>
      <w:r>
        <w:rPr>
          <w:i/>
        </w:rPr>
        <w:t>Id.</w:t>
      </w:r>
    </w:p>
    <w:p w:rsidR="00747EB4" w:rsidRDefault="00747EB4" w:rsidP="00431D19">
      <w:pPr>
        <w:pStyle w:val="BodyText"/>
        <w:rPr>
          <w:i/>
        </w:rPr>
      </w:pPr>
      <w:r>
        <w:t>Under Section 367.081, F.S., v</w:t>
      </w:r>
      <w:r w:rsidRPr="001B5408">
        <w:t xml:space="preserve">alue of service must be defined within the context of just, reasonable, compensatory, and not unfairly discriminatory rates. In </w:t>
      </w:r>
      <w:r w:rsidRPr="001B5408">
        <w:rPr>
          <w:i/>
        </w:rPr>
        <w:t>Keystone</w:t>
      </w:r>
      <w:r w:rsidRPr="001B5408">
        <w:t xml:space="preserve">, the Florida Supreme Court provides persuasive guidance as to how </w:t>
      </w:r>
      <w:r>
        <w:t xml:space="preserve">the </w:t>
      </w:r>
      <w:r w:rsidRPr="001B5408">
        <w:t xml:space="preserve">Commission </w:t>
      </w:r>
      <w:r>
        <w:t>should</w:t>
      </w:r>
      <w:r w:rsidRPr="001B5408">
        <w:t xml:space="preserve"> </w:t>
      </w:r>
      <w:r>
        <w:t>define</w:t>
      </w:r>
      <w:r w:rsidRPr="001B5408">
        <w:t xml:space="preserve"> value</w:t>
      </w:r>
      <w:r w:rsidRPr="001B5408">
        <w:rPr>
          <w:i/>
        </w:rPr>
        <w:t>.</w:t>
      </w:r>
      <w:r w:rsidRPr="001B5408">
        <w:rPr>
          <w:rStyle w:val="FootnoteReference"/>
          <w:i/>
        </w:rPr>
        <w:footnoteReference w:id="15"/>
      </w:r>
      <w:r w:rsidRPr="001B5408">
        <w:rPr>
          <w:i/>
        </w:rPr>
        <w:t xml:space="preserve"> </w:t>
      </w:r>
    </w:p>
    <w:p w:rsidR="00747EB4" w:rsidRDefault="00747EB4" w:rsidP="00431D19">
      <w:pPr>
        <w:pStyle w:val="BodyText"/>
      </w:pPr>
      <w:r w:rsidRPr="001B5408">
        <w:rPr>
          <w:i/>
        </w:rPr>
        <w:t>Keystone</w:t>
      </w:r>
      <w:r>
        <w:rPr>
          <w:i/>
        </w:rPr>
        <w:t xml:space="preserve"> </w:t>
      </w:r>
      <w:r>
        <w:t xml:space="preserve">involved a rate proceeding that began in May 1971. In August 1972, the Commission entered an order that established, among other calculations, the value of the utility. The </w:t>
      </w:r>
      <w:r>
        <w:rPr>
          <w:i/>
        </w:rPr>
        <w:t>Keystone</w:t>
      </w:r>
      <w:r>
        <w:t xml:space="preserve"> rate proceeding is unique inso</w:t>
      </w:r>
      <w:r w:rsidR="009B5B9A">
        <w:t>far as it took place while the L</w:t>
      </w:r>
      <w:r>
        <w:t>egislature was rewording Chapte</w:t>
      </w:r>
      <w:r w:rsidR="009B5B9A">
        <w:t>r 367, F.S. In particular, the L</w:t>
      </w:r>
      <w:r>
        <w:t xml:space="preserve">egislature replaced Section 367.12, F.S., with Section 367.081, F.S. Deciding which statute controlled the value of the utility was central to the </w:t>
      </w:r>
      <w:r>
        <w:rPr>
          <w:i/>
        </w:rPr>
        <w:t>Keystone</w:t>
      </w:r>
      <w:r>
        <w:t xml:space="preserve"> decision.</w:t>
      </w:r>
      <w:r>
        <w:rPr>
          <w:rStyle w:val="FootnoteReference"/>
        </w:rPr>
        <w:footnoteReference w:id="16"/>
      </w:r>
      <w:r>
        <w:t xml:space="preserve"> </w:t>
      </w:r>
      <w:r w:rsidRPr="001B5408">
        <w:t xml:space="preserve">However, the </w:t>
      </w:r>
      <w:r w:rsidR="00534481">
        <w:t xml:space="preserve">Florida </w:t>
      </w:r>
      <w:r>
        <w:t>Supreme Court</w:t>
      </w:r>
      <w:r w:rsidRPr="001B5408">
        <w:t xml:space="preserve"> provide</w:t>
      </w:r>
      <w:r>
        <w:t>d</w:t>
      </w:r>
      <w:r w:rsidRPr="001B5408">
        <w:t xml:space="preserve"> the following observation:</w:t>
      </w:r>
    </w:p>
    <w:p w:rsidR="00747EB4" w:rsidRDefault="00747EB4" w:rsidP="00431D19">
      <w:pPr>
        <w:pStyle w:val="BodyText"/>
        <w:ind w:left="720" w:right="720"/>
      </w:pPr>
      <w:r>
        <w:lastRenderedPageBreak/>
        <w:t>It was certainly the intent of the Legislature that the value of a system coming under the jurisdiction of the Commission . . . should be considered. The passage of Section 367.081 did not change that intent. The Statute has always required that the Commission consider the value of the service. To consider the value of the service requires consideration of what the system in question is worth to the consumers. It means that consideration should be given to the . . . replacement value of the system . . . because if that is what another system would cost under present circumstances that is the value of the service to the consumers.</w:t>
      </w:r>
      <w:r>
        <w:rPr>
          <w:rStyle w:val="FootnoteReference"/>
        </w:rPr>
        <w:footnoteReference w:id="17"/>
      </w:r>
    </w:p>
    <w:p w:rsidR="00747EB4" w:rsidRDefault="00747EB4" w:rsidP="00431D19">
      <w:pPr>
        <w:pStyle w:val="BodyText"/>
      </w:pPr>
      <w:r>
        <w:t xml:space="preserve">Thus, under either Section 367.12 or 367.081, F.S., the </w:t>
      </w:r>
      <w:r>
        <w:rPr>
          <w:i/>
        </w:rPr>
        <w:t xml:space="preserve">Keystone </w:t>
      </w:r>
      <w:r>
        <w:t xml:space="preserve">Court treated value </w:t>
      </w:r>
      <w:r w:rsidR="00534481">
        <w:t xml:space="preserve">of service </w:t>
      </w:r>
      <w:r>
        <w:t>as an objective measure, utilizing information</w:t>
      </w:r>
      <w:r w:rsidRPr="001B5408">
        <w:t xml:space="preserve"> found in </w:t>
      </w:r>
      <w:r>
        <w:t xml:space="preserve">the </w:t>
      </w:r>
      <w:r w:rsidRPr="001B5408">
        <w:t>operation</w:t>
      </w:r>
      <w:r>
        <w:t>al</w:t>
      </w:r>
      <w:r w:rsidRPr="001B5408">
        <w:t>, financial, economic, and rate</w:t>
      </w:r>
      <w:r>
        <w:t xml:space="preserve"> data</w:t>
      </w:r>
      <w:r w:rsidRPr="001B5408">
        <w:t xml:space="preserve"> filed during </w:t>
      </w:r>
      <w:r>
        <w:t>the</w:t>
      </w:r>
      <w:r w:rsidRPr="001B5408">
        <w:t xml:space="preserve"> rate proceeding. </w:t>
      </w:r>
    </w:p>
    <w:p w:rsidR="00747EB4" w:rsidRDefault="00747EB4" w:rsidP="00431D19">
      <w:pPr>
        <w:pStyle w:val="BodyText"/>
        <w:rPr>
          <w:rFonts w:eastAsiaTheme="minorHAnsi"/>
        </w:rPr>
      </w:pPr>
      <w:r>
        <w:rPr>
          <w:rFonts w:eastAsiaTheme="minorHAnsi"/>
        </w:rPr>
        <w:t>OPC suggested</w:t>
      </w:r>
      <w:r w:rsidRPr="001B5408">
        <w:rPr>
          <w:rFonts w:eastAsiaTheme="minorHAnsi"/>
        </w:rPr>
        <w:t xml:space="preserve"> that the Commission should consider each utility </w:t>
      </w:r>
      <w:r w:rsidRPr="001B5408">
        <w:t xml:space="preserve">customer’s subjective calculations as to the value of their water or wastewater service. </w:t>
      </w:r>
      <w:r>
        <w:t>(</w:t>
      </w:r>
      <w:r w:rsidRPr="001B5408">
        <w:t>OPC BR 14</w:t>
      </w:r>
      <w:r>
        <w:t>)</w:t>
      </w:r>
      <w:r w:rsidRPr="001B5408">
        <w:t xml:space="preserve"> </w:t>
      </w:r>
      <w:r>
        <w:rPr>
          <w:rFonts w:eastAsiaTheme="minorHAnsi"/>
        </w:rPr>
        <w:t xml:space="preserve">This is problematic because </w:t>
      </w:r>
      <w:r>
        <w:rPr>
          <w:rFonts w:eastAsiaTheme="minorHAnsi"/>
          <w:i/>
        </w:rPr>
        <w:t>Keystone</w:t>
      </w:r>
      <w:r>
        <w:rPr>
          <w:rFonts w:eastAsiaTheme="minorHAnsi"/>
        </w:rPr>
        <w:t xml:space="preserve"> appears to give credence to value </w:t>
      </w:r>
      <w:r w:rsidR="00534481">
        <w:rPr>
          <w:rFonts w:eastAsiaTheme="minorHAnsi"/>
        </w:rPr>
        <w:t xml:space="preserve">of service </w:t>
      </w:r>
      <w:r>
        <w:rPr>
          <w:rFonts w:eastAsiaTheme="minorHAnsi"/>
        </w:rPr>
        <w:t xml:space="preserve">being an objective financial measure. Even if the Commission adopted OPC’s proposed definition, neither party </w:t>
      </w:r>
      <w:r w:rsidRPr="001B5408">
        <w:rPr>
          <w:rFonts w:eastAsiaTheme="minorHAnsi"/>
        </w:rPr>
        <w:t>demonstrate</w:t>
      </w:r>
      <w:r>
        <w:rPr>
          <w:rFonts w:eastAsiaTheme="minorHAnsi"/>
        </w:rPr>
        <w:t>d</w:t>
      </w:r>
      <w:r w:rsidRPr="001B5408">
        <w:rPr>
          <w:rFonts w:eastAsiaTheme="minorHAnsi"/>
        </w:rPr>
        <w:t xml:space="preserve"> how the Commission should calculate each customer’s subjective valuation of utility services. </w:t>
      </w:r>
      <w:r>
        <w:rPr>
          <w:rFonts w:eastAsiaTheme="minorHAnsi"/>
        </w:rPr>
        <w:t xml:space="preserve">Commission staff recommends the Commission utilize the objective value analysis as laid out in </w:t>
      </w:r>
      <w:r>
        <w:rPr>
          <w:rFonts w:eastAsiaTheme="minorHAnsi"/>
          <w:i/>
        </w:rPr>
        <w:t>Keystone</w:t>
      </w:r>
      <w:r>
        <w:rPr>
          <w:rFonts w:eastAsiaTheme="minorHAnsi"/>
        </w:rPr>
        <w:t xml:space="preserve"> for determining “value” as used in Section 367.081, F.S. </w:t>
      </w:r>
    </w:p>
    <w:p w:rsidR="00747EB4" w:rsidRDefault="00747EB4" w:rsidP="00431D19">
      <w:pPr>
        <w:pStyle w:val="BodyText"/>
      </w:pPr>
      <w:r>
        <w:t>T</w:t>
      </w:r>
      <w:r w:rsidRPr="001B5408">
        <w:t xml:space="preserve">he Commission’s standard practice in water and wastewater cases is to seek feedback from utility customers in rate proceedings. This rate proceeding was no different. Pursuant to </w:t>
      </w:r>
      <w:r>
        <w:t>S</w:t>
      </w:r>
      <w:r w:rsidRPr="001B5408">
        <w:t xml:space="preserve">ection 367.0812, F.S., a statute related to quality of service as a criteria in rate making, the Commission hosted several customer meetings in this </w:t>
      </w:r>
      <w:r>
        <w:t>docket</w:t>
      </w:r>
      <w:r w:rsidRPr="001B5408">
        <w:t xml:space="preserve"> where utility customers spoke directly to Commissioners about their service. That customer feedback is understandably subjective by nature and is analyzed in Issue 1 of this recommendation regarding “quality of service.” </w:t>
      </w:r>
    </w:p>
    <w:p w:rsidR="00747EB4" w:rsidRPr="00047C3E" w:rsidRDefault="00747EB4" w:rsidP="00431D19">
      <w:pPr>
        <w:pStyle w:val="BodyText"/>
        <w:rPr>
          <w:rFonts w:eastAsiaTheme="minorHAnsi" w:cstheme="minorBidi"/>
          <w:i/>
          <w:szCs w:val="22"/>
        </w:rPr>
      </w:pPr>
      <w:r w:rsidRPr="001B5408">
        <w:t xml:space="preserve">The </w:t>
      </w:r>
      <w:r>
        <w:t>U</w:t>
      </w:r>
      <w:r w:rsidRPr="001B5408">
        <w:t xml:space="preserve">tility’s interpretation of value </w:t>
      </w:r>
      <w:r>
        <w:t>analyzes it as a component of</w:t>
      </w:r>
      <w:r w:rsidRPr="001B5408">
        <w:t xml:space="preserve"> a quality of service evaluation. </w:t>
      </w:r>
      <w:r>
        <w:t>(</w:t>
      </w:r>
      <w:r w:rsidRPr="001B5408">
        <w:t>Sunshine BR 3</w:t>
      </w:r>
      <w:r>
        <w:t>)</w:t>
      </w:r>
      <w:r w:rsidRPr="001B5408">
        <w:t xml:space="preserve"> The </w:t>
      </w:r>
      <w:r>
        <w:t>U</w:t>
      </w:r>
      <w:r w:rsidRPr="001B5408">
        <w:t>tility is correct that value is typically subsumed into other rate proceeding issues</w:t>
      </w:r>
      <w:r>
        <w:t xml:space="preserve"> and not addressed as a standalone issue</w:t>
      </w:r>
      <w:r w:rsidRPr="001B5408">
        <w:t xml:space="preserve">. However, staff is unpersuaded by the </w:t>
      </w:r>
      <w:r>
        <w:t>U</w:t>
      </w:r>
      <w:r w:rsidRPr="001B5408">
        <w:t>tility’s interpretation of value of service</w:t>
      </w:r>
      <w:r>
        <w:t xml:space="preserve"> as being intrinsically tied to quality of service, and believes</w:t>
      </w:r>
      <w:r w:rsidRPr="001B5408">
        <w:t xml:space="preserve"> </w:t>
      </w:r>
      <w:r>
        <w:t>S</w:t>
      </w:r>
      <w:r w:rsidRPr="001B5408">
        <w:t xml:space="preserve">ection 367.081, F.S., </w:t>
      </w:r>
      <w:r>
        <w:t>lists</w:t>
      </w:r>
      <w:r w:rsidRPr="001B5408">
        <w:t xml:space="preserve"> it as separate factor </w:t>
      </w:r>
      <w:r>
        <w:t>for the Commission’s consideration</w:t>
      </w:r>
      <w:r w:rsidRPr="001B5408">
        <w:t xml:space="preserve">. </w:t>
      </w:r>
      <w:r>
        <w:t xml:space="preserve">Consistent with staff’s reading of </w:t>
      </w:r>
      <w:r>
        <w:rPr>
          <w:i/>
        </w:rPr>
        <w:t>Keystone</w:t>
      </w:r>
      <w:r>
        <w:t xml:space="preserve">, value </w:t>
      </w:r>
      <w:r w:rsidR="00534481">
        <w:t xml:space="preserve">of service </w:t>
      </w:r>
      <w:r>
        <w:t xml:space="preserve">should be an objective measure that considers the </w:t>
      </w:r>
      <w:r w:rsidRPr="001B5408">
        <w:t>operation</w:t>
      </w:r>
      <w:r>
        <w:t>al</w:t>
      </w:r>
      <w:r w:rsidRPr="001B5408">
        <w:t>, financial, economic, and rate</w:t>
      </w:r>
      <w:r>
        <w:t xml:space="preserve"> data</w:t>
      </w:r>
      <w:r w:rsidRPr="001B5408">
        <w:t xml:space="preserve"> filed during </w:t>
      </w:r>
      <w:r>
        <w:t>a</w:t>
      </w:r>
      <w:r w:rsidRPr="001B5408">
        <w:t xml:space="preserve"> rate proceeding.</w:t>
      </w:r>
      <w:r>
        <w:t xml:space="preserve"> Unlike value,</w:t>
      </w:r>
      <w:r w:rsidRPr="001B5408">
        <w:t xml:space="preserve"> quality of service considerations are </w:t>
      </w:r>
      <w:r>
        <w:t xml:space="preserve">intrinsically </w:t>
      </w:r>
      <w:r w:rsidRPr="001B5408">
        <w:t>subjective</w:t>
      </w:r>
      <w:r>
        <w:t xml:space="preserve">. Therefore, the Utility’s interpretation is incompatible with staff’s reading of </w:t>
      </w:r>
      <w:r>
        <w:rPr>
          <w:i/>
        </w:rPr>
        <w:t xml:space="preserve">Keystone. </w:t>
      </w:r>
    </w:p>
    <w:p w:rsidR="00747EB4" w:rsidRDefault="00747EB4" w:rsidP="00431D19">
      <w:pPr>
        <w:pStyle w:val="BodyText"/>
        <w:rPr>
          <w:i/>
        </w:rPr>
      </w:pPr>
      <w:r w:rsidRPr="001B5408">
        <w:rPr>
          <w:rFonts w:eastAsiaTheme="minorHAnsi"/>
        </w:rPr>
        <w:t xml:space="preserve">In the absence of evidence or persuasive argument, </w:t>
      </w:r>
      <w:r>
        <w:rPr>
          <w:rFonts w:eastAsiaTheme="minorHAnsi"/>
        </w:rPr>
        <w:t xml:space="preserve">staff believes that value should be interpreted within the meaning of Section 367.081, F.S. as an objective </w:t>
      </w:r>
      <w:r>
        <w:t xml:space="preserve">factor, consistent with </w:t>
      </w:r>
      <w:r>
        <w:rPr>
          <w:i/>
        </w:rPr>
        <w:t xml:space="preserve">Keystone. </w:t>
      </w:r>
    </w:p>
    <w:p w:rsidR="00A508B2" w:rsidRDefault="00A508B2" w:rsidP="00431D19">
      <w:pPr>
        <w:pStyle w:val="BodyText"/>
        <w:rPr>
          <w:i/>
        </w:rPr>
      </w:pPr>
    </w:p>
    <w:p w:rsidR="00A508B2" w:rsidRDefault="00A508B2" w:rsidP="00431D19">
      <w:pPr>
        <w:pStyle w:val="BodyText"/>
        <w:rPr>
          <w:i/>
        </w:rPr>
        <w:sectPr w:rsidR="00A508B2" w:rsidSect="00BF5423">
          <w:type w:val="continuous"/>
          <w:pgSz w:w="12240" w:h="15840" w:code="1"/>
          <w:pgMar w:top="1584" w:right="1440" w:bottom="1440" w:left="1440" w:header="720" w:footer="720" w:gutter="0"/>
          <w:cols w:space="720"/>
          <w:formProt w:val="0"/>
          <w:docGrid w:linePitch="360"/>
        </w:sectPr>
      </w:pPr>
    </w:p>
    <w:p w:rsidR="00A508B2" w:rsidRDefault="00A508B2" w:rsidP="00431D19">
      <w:pPr>
        <w:pStyle w:val="BodyText"/>
        <w:rPr>
          <w:i/>
        </w:rPr>
      </w:pPr>
    </w:p>
    <w:p w:rsidR="00747EB4" w:rsidRPr="001B5408" w:rsidRDefault="00747EB4" w:rsidP="00431D19">
      <w:pPr>
        <w:pStyle w:val="RecommendationMajorSectionHeading"/>
      </w:pPr>
      <w:r w:rsidRPr="001B5408">
        <w:t>CONCLUSION</w:t>
      </w:r>
    </w:p>
    <w:p w:rsidR="00747EB4" w:rsidRDefault="00747EB4" w:rsidP="00431D19">
      <w:pPr>
        <w:pStyle w:val="BodyText"/>
      </w:pPr>
      <w:r w:rsidRPr="001B5408">
        <w:t>The Commission must consider value of service when fixing rates which are just, reasonable, compensatory, and not unfairly discriminatory.</w:t>
      </w:r>
      <w:r>
        <w:rPr>
          <w:rStyle w:val="FootnoteReference"/>
        </w:rPr>
        <w:t xml:space="preserve"> </w:t>
      </w:r>
      <w:r>
        <w:t xml:space="preserve">Value </w:t>
      </w:r>
      <w:r w:rsidR="005E7674">
        <w:t xml:space="preserve">of service </w:t>
      </w:r>
      <w:r>
        <w:t>is an objective measure. T</w:t>
      </w:r>
      <w:r w:rsidRPr="001B5408">
        <w:t xml:space="preserve">here is no reason for the Commission to </w:t>
      </w:r>
      <w:r>
        <w:t xml:space="preserve">depart from this </w:t>
      </w:r>
      <w:r w:rsidRPr="001B5408">
        <w:t xml:space="preserve">interpretation where there was unpersuasive argument that </w:t>
      </w:r>
      <w:r>
        <w:t xml:space="preserve">value </w:t>
      </w:r>
      <w:r w:rsidR="005E7674">
        <w:t xml:space="preserve">of service </w:t>
      </w:r>
      <w:r>
        <w:t xml:space="preserve">should </w:t>
      </w:r>
      <w:r w:rsidRPr="001B5408">
        <w:t>encompass each customer’s subjective calculations. Therefore, as set forth in Section 367.081, F.S., value of service should be interpreted as meaning the objective value of the utility.</w:t>
      </w:r>
      <w:r>
        <w:t xml:space="preserve"> Consistent with this interpretation, the Commission should measure the value of the Utility</w:t>
      </w:r>
      <w:r w:rsidR="005E7674">
        <w:t>’s service</w:t>
      </w:r>
      <w:r>
        <w:t xml:space="preserve"> as the plant investment and the costs to provide service as calculated in</w:t>
      </w:r>
      <w:r w:rsidR="005E7674">
        <w:t xml:space="preserve"> other issues of</w:t>
      </w:r>
      <w:r>
        <w:t xml:space="preserve"> this recommendation. </w:t>
      </w:r>
    </w:p>
    <w:p w:rsidR="00BF5423" w:rsidRDefault="00BF5423">
      <w:pPr>
        <w:pStyle w:val="BodyText"/>
      </w:pPr>
    </w:p>
    <w:p w:rsidR="00BF5423" w:rsidRDefault="00BF5423">
      <w:pPr>
        <w:pStyle w:val="BodyText"/>
        <w:sectPr w:rsidR="00BF5423" w:rsidSect="00BF5423">
          <w:type w:val="continuous"/>
          <w:pgSz w:w="12240" w:h="15840" w:code="1"/>
          <w:pgMar w:top="1584" w:right="1440" w:bottom="1440" w:left="1440" w:header="720" w:footer="720" w:gutter="0"/>
          <w:cols w:space="720"/>
          <w:formProt w:val="0"/>
          <w:docGrid w:linePitch="360"/>
        </w:sectPr>
      </w:pPr>
    </w:p>
    <w:p w:rsidR="00F518A2" w:rsidRDefault="00F518A2" w:rsidP="00F518A2">
      <w:r>
        <w:br w:type="page"/>
      </w:r>
    </w:p>
    <w:p w:rsidR="00747EB4" w:rsidRDefault="00747EB4">
      <w:pPr>
        <w:pStyle w:val="IssueHeading"/>
        <w:rPr>
          <w:vanish/>
          <w:specVanish/>
        </w:rPr>
      </w:pPr>
      <w:r w:rsidRPr="004C3641">
        <w:lastRenderedPageBreak/>
        <w:t xml:space="preserve">Issue </w:t>
      </w:r>
      <w:r>
        <w:fldChar w:fldCharType="begin"/>
      </w:r>
      <w:r>
        <w:instrText>seq issue \r 2</w:instrText>
      </w:r>
      <w:r>
        <w:fldChar w:fldCharType="separate"/>
      </w:r>
      <w:r w:rsidR="009D3FF7">
        <w:rPr>
          <w:noProof/>
        </w:rPr>
        <w:t>2</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6" w:name="_Toc196317119"/>
      <w:r w:rsidR="009D3FF7">
        <w:rPr>
          <w:noProof/>
        </w:rPr>
        <w:instrText>2</w:instrText>
      </w:r>
      <w:r>
        <w:fldChar w:fldCharType="end"/>
      </w:r>
      <w:r>
        <w:tab/>
        <w:instrText>DEP Compliance (Ramos, Smith)</w:instrText>
      </w:r>
      <w:bookmarkEnd w:id="16"/>
      <w:r>
        <w:instrText xml:space="preserve">" \l 1 </w:instrText>
      </w:r>
      <w:r>
        <w:fldChar w:fldCharType="end"/>
      </w:r>
      <w:r>
        <w:t> </w:t>
      </w:r>
    </w:p>
    <w:p w:rsidR="00747EB4" w:rsidRDefault="00747EB4">
      <w:pPr>
        <w:pStyle w:val="BodyText"/>
      </w:pPr>
      <w:r>
        <w:t> Are the infrastructure and operating conditions of the Utility's water and wastewater systems in compliance with Florida Department of Environmental Protection regulations?</w:t>
      </w:r>
    </w:p>
    <w:p w:rsidR="00747EB4" w:rsidRPr="004C3641" w:rsidRDefault="00747EB4">
      <w:pPr>
        <w:pStyle w:val="IssueSubsectionHeading"/>
        <w:rPr>
          <w:vanish/>
          <w:specVanish/>
        </w:rPr>
      </w:pPr>
      <w:r w:rsidRPr="004C3641">
        <w:t>Recommendation: </w:t>
      </w:r>
    </w:p>
    <w:p w:rsidR="00747EB4" w:rsidRDefault="00747EB4">
      <w:pPr>
        <w:pStyle w:val="BodyText"/>
      </w:pPr>
      <w:r>
        <w:t> </w:t>
      </w:r>
      <w:r w:rsidRPr="00A133EB">
        <w:t>Yes. The Utility’s water and wastewater treatment facilities are currently in compliance with DEP regulations, with the exception of the Sanlando</w:t>
      </w:r>
      <w:r>
        <w:t xml:space="preserve"> (Wekiva Hunt Club)</w:t>
      </w:r>
      <w:r w:rsidRPr="00A133EB">
        <w:t xml:space="preserve"> and Mid-County wastewater systems.</w:t>
      </w:r>
      <w:r>
        <w:t xml:space="preserve"> (Ramos, Smith)</w:t>
      </w:r>
    </w:p>
    <w:p w:rsidR="00747EB4" w:rsidRPr="004C3641" w:rsidRDefault="00747EB4">
      <w:pPr>
        <w:pStyle w:val="IssueSubsectionHeading"/>
        <w:keepNext/>
        <w:rPr>
          <w:iCs w:val="0"/>
        </w:rPr>
      </w:pPr>
      <w:r w:rsidRPr="004C3641">
        <w:rPr>
          <w:iCs w:val="0"/>
        </w:rPr>
        <w:t>Position of the Parties</w:t>
      </w:r>
    </w:p>
    <w:p w:rsidR="00747EB4" w:rsidRDefault="00747EB4" w:rsidP="00431D19">
      <w:pPr>
        <w:pStyle w:val="PartyName"/>
        <w:rPr>
          <w:vanish/>
          <w:specVanish/>
        </w:rPr>
      </w:pPr>
      <w:bookmarkStart w:id="17" w:name="Parties"/>
      <w:r>
        <w:t>SUNSHINE: </w:t>
      </w:r>
    </w:p>
    <w:p w:rsidR="00747EB4" w:rsidRDefault="00747EB4">
      <w:pPr>
        <w:pStyle w:val="BodyText"/>
      </w:pPr>
      <w:r>
        <w:t> Yes, all systems are currently in compliance with DEP regulations, except for a technical non-compliance at the Mid-County system.</w:t>
      </w:r>
    </w:p>
    <w:p w:rsidR="00747EB4" w:rsidRDefault="00747EB4" w:rsidP="00431D19">
      <w:pPr>
        <w:pStyle w:val="PartyName"/>
        <w:rPr>
          <w:vanish/>
          <w:specVanish/>
        </w:rPr>
      </w:pPr>
      <w:r>
        <w:t>OPC: </w:t>
      </w:r>
    </w:p>
    <w:p w:rsidR="00747EB4" w:rsidRDefault="00747EB4">
      <w:pPr>
        <w:pStyle w:val="BodyText"/>
      </w:pPr>
      <w:r>
        <w:t> No. Sunshine has entered into at least two consent orders with DEP post-2023 test year and had other previously unresolved issues with the agency. Sunshine has a criminal referral that remains open. Sunshine’s trend of numerous encounters with the DEP is indicative of ongoing compliance problems detailed in Issues 1, 25 and 26.</w:t>
      </w:r>
    </w:p>
    <w:bookmarkEnd w:id="17"/>
    <w:p w:rsidR="00747EB4" w:rsidRPr="004C3641" w:rsidRDefault="00747EB4">
      <w:pPr>
        <w:pStyle w:val="IssueSubsectionHeading"/>
        <w:rPr>
          <w:vanish/>
          <w:specVanish/>
        </w:rPr>
      </w:pPr>
      <w:r w:rsidRPr="004C3641">
        <w:t>Staff Analysis: </w:t>
      </w:r>
    </w:p>
    <w:p w:rsidR="00747EB4" w:rsidRPr="00A133EB" w:rsidRDefault="00747EB4" w:rsidP="00431D19">
      <w:pPr>
        <w:pStyle w:val="BodyText"/>
        <w:rPr>
          <w:rFonts w:eastAsiaTheme="minorHAnsi"/>
        </w:rPr>
      </w:pPr>
      <w:r>
        <w:t> </w:t>
      </w:r>
      <w:r w:rsidRPr="00A133EB">
        <w:rPr>
          <w:rFonts w:eastAsiaTheme="minorHAnsi"/>
        </w:rPr>
        <w:t>Rule 25-30.225(2), F.A.C., requires each water and wastewater utility to maintain and operate its plant and facilities by employing qualified operators in accordance with the rules of the DEP. Rule 25-30.433(2), F.A.C., requires consideration of whether the infrastructure and operating conditions of the plant and facilities are in compliance with Rule 25- 30.225, F.A.C. In making this determination, the Commission must consider testimony of the DEP and county health department officials, sanitary surveys for water systems and compliance evaluation inspections for wastewater systems, citations, violations, and consent orders issued to the utility, customer testimony, comments, and complaints, and utility testimony and responses to the aforementioned items.</w:t>
      </w:r>
    </w:p>
    <w:p w:rsidR="00747EB4" w:rsidRDefault="00747EB4" w:rsidP="00431D19">
      <w:pPr>
        <w:pStyle w:val="BodyText"/>
        <w:rPr>
          <w:rFonts w:eastAsiaTheme="minorHAnsi"/>
        </w:rPr>
      </w:pPr>
      <w:r w:rsidRPr="00A133EB">
        <w:rPr>
          <w:rFonts w:eastAsiaTheme="minorHAnsi"/>
        </w:rPr>
        <w:t xml:space="preserve">OPC argued that seven of Sunshine’s 22 total water systems and six of Sunshine’s 11 wastewater systems were out of compliance with DEP regulations on at least one occasion since Sunshine’s last rate case. </w:t>
      </w:r>
      <w:r>
        <w:rPr>
          <w:rFonts w:eastAsiaTheme="minorHAnsi"/>
        </w:rPr>
        <w:t>Additionally, OPC argued that Sunshine was subject to a criminal referral.</w:t>
      </w:r>
      <w:r>
        <w:rPr>
          <w:rStyle w:val="FootnoteReference"/>
          <w:rFonts w:eastAsiaTheme="minorHAnsi"/>
        </w:rPr>
        <w:footnoteReference w:id="18"/>
      </w:r>
      <w:r>
        <w:rPr>
          <w:rFonts w:eastAsiaTheme="minorHAnsi"/>
        </w:rPr>
        <w:t xml:space="preserve"> (OPC BR2; OPC BR 8-9) </w:t>
      </w:r>
      <w:r w:rsidRPr="00A133EB">
        <w:rPr>
          <w:rFonts w:eastAsiaTheme="minorHAnsi"/>
        </w:rPr>
        <w:t>Therefore, OPC does not believe Sunshine is in compliance with DEP regulations. (OPC BR 15-17) In opposition, Sunshine argued that all of its systems are currently in compliance with DEP regulations, except Mid-County. (Sunshine BR 3) In support of its position, Sunshine briefly explained the current compliance status for the Sanlando and Mid-County systems in its brief. (Sunshine BR 3-4) DEP compiled the complaint and compliance history for each of Sunshine’s systems since its last rate case and this information is contained within Exhibit 113. As of October 29, 2024, when this information was compiled by DEP, the Lake Placid, Mid County and Sanlando wastewater systems were found to be out of compliance with DEP regulations</w:t>
      </w:r>
      <w:r>
        <w:rPr>
          <w:rFonts w:eastAsiaTheme="minorHAnsi"/>
        </w:rPr>
        <w:t xml:space="preserve"> or under a Consent Order</w:t>
      </w:r>
      <w:r w:rsidRPr="00A133EB">
        <w:rPr>
          <w:rFonts w:eastAsiaTheme="minorHAnsi"/>
        </w:rPr>
        <w:t>. (EXH 113, BSP E4201</w:t>
      </w:r>
      <w:r>
        <w:rPr>
          <w:rFonts w:eastAsiaTheme="minorHAnsi"/>
        </w:rPr>
        <w:t>7-E42018</w:t>
      </w:r>
      <w:r w:rsidRPr="00A133EB">
        <w:rPr>
          <w:rFonts w:eastAsiaTheme="minorHAnsi"/>
        </w:rPr>
        <w:t>) Witness Twomey testified that Sunshine received a Return to Compliance Letter from DEP in December of 2024 for the Lake Placid system. (TR 297) The Sanlando and Mid-County wastewater systems, which appear to be out of compliance, are discussed below.</w:t>
      </w:r>
    </w:p>
    <w:p w:rsidR="00747EB4" w:rsidRDefault="00747EB4" w:rsidP="00431D19">
      <w:pPr>
        <w:pStyle w:val="BodyText"/>
        <w:rPr>
          <w:rFonts w:eastAsiaTheme="minorHAnsi"/>
        </w:rPr>
      </w:pPr>
    </w:p>
    <w:p w:rsidR="00747EB4" w:rsidRDefault="00747EB4" w:rsidP="00431D19">
      <w:pPr>
        <w:pStyle w:val="First-LevelSubheading"/>
        <w:rPr>
          <w:rFonts w:eastAsiaTheme="minorHAnsi"/>
        </w:rPr>
      </w:pPr>
      <w:r>
        <w:rPr>
          <w:rFonts w:eastAsiaTheme="minorHAnsi"/>
        </w:rPr>
        <w:lastRenderedPageBreak/>
        <w:t>Sanlando (Wekiva Hunt Club) (Wastewater)</w:t>
      </w:r>
    </w:p>
    <w:p w:rsidR="00747EB4" w:rsidRPr="00A133EB" w:rsidRDefault="00747EB4" w:rsidP="00431D19">
      <w:pPr>
        <w:pStyle w:val="BodyText"/>
        <w:rPr>
          <w:rFonts w:eastAsiaTheme="minorHAnsi"/>
        </w:rPr>
      </w:pPr>
      <w:r w:rsidRPr="00A133EB">
        <w:rPr>
          <w:rFonts w:eastAsiaTheme="minorHAnsi"/>
        </w:rPr>
        <w:t>The Wekiva Hunt Club WWTP of the Sanlando system is an existing 2.9 million gallons per day (MGD) a</w:t>
      </w:r>
      <w:r>
        <w:rPr>
          <w:rFonts w:eastAsiaTheme="minorHAnsi"/>
        </w:rPr>
        <w:t xml:space="preserve">nnual average daily flow </w:t>
      </w:r>
      <w:r w:rsidRPr="00A133EB">
        <w:rPr>
          <w:rFonts w:eastAsiaTheme="minorHAnsi"/>
        </w:rPr>
        <w:t>activated sludge domestic wastewater treatment facility consisting of three 0.97 MGD design capacity package plants connected in parallel. Dechlorination is provided prior to surface water discharge and there are also two 3.0 MG reclaimed water storage tanks. Effluent can be discharged to Sweetwater Creek, a rapid infiltration basin system, and a reuse system. (EXH 113, BSP E42859)</w:t>
      </w:r>
    </w:p>
    <w:p w:rsidR="00747EB4" w:rsidRPr="00A133EB" w:rsidRDefault="00747EB4" w:rsidP="00431D19">
      <w:pPr>
        <w:pStyle w:val="BodyText"/>
        <w:rPr>
          <w:rFonts w:eastAsiaTheme="minorHAnsi"/>
        </w:rPr>
      </w:pPr>
      <w:r w:rsidRPr="00A133EB">
        <w:rPr>
          <w:rFonts w:eastAsiaTheme="minorHAnsi"/>
        </w:rPr>
        <w:t xml:space="preserve">As stated in Issue 1, staff recommends the quality of service be considered unsatisfactory for this system based on Sunshine’s compliance history with DEP since its last rate case. In the time period following </w:t>
      </w:r>
      <w:r>
        <w:rPr>
          <w:rFonts w:eastAsiaTheme="minorHAnsi"/>
        </w:rPr>
        <w:t>the 2020 rate case, DEP issued two</w:t>
      </w:r>
      <w:r w:rsidRPr="00A133EB">
        <w:rPr>
          <w:rFonts w:eastAsiaTheme="minorHAnsi"/>
        </w:rPr>
        <w:t xml:space="preserve"> Consent Orders and </w:t>
      </w:r>
      <w:r>
        <w:rPr>
          <w:rFonts w:eastAsiaTheme="minorHAnsi"/>
        </w:rPr>
        <w:t>five</w:t>
      </w:r>
      <w:r w:rsidRPr="00A133EB">
        <w:rPr>
          <w:rFonts w:eastAsiaTheme="minorHAnsi"/>
        </w:rPr>
        <w:t xml:space="preserve"> warning letters. (EXH 113, BSP E42019)  The 2024 Consent Order also resulted in a significant fine and the Utility agreed to complete an in-kind project. Both of which are not recovered through rates. As stated above, witness Twomey stated that all Sunshine systems were in compliance with DEP, except Mid-County and in its brief, Sunshine also argued that this system is in compliance. However, witness Twomey explained that the Utility has not yet completed the in-kind project; as such, there is no Return to Compliance Letter from the DEP in the record. (TR 253) Therefore, the Sanlando system is out of compliance with DEP regulations.</w:t>
      </w:r>
    </w:p>
    <w:p w:rsidR="00747EB4" w:rsidRPr="00A133EB" w:rsidRDefault="00747EB4" w:rsidP="00431D19">
      <w:pPr>
        <w:pStyle w:val="First-LevelSubheading"/>
      </w:pPr>
      <w:r>
        <w:t>Mid-County (Wastewater)</w:t>
      </w:r>
    </w:p>
    <w:p w:rsidR="00747EB4" w:rsidRPr="00A133EB" w:rsidRDefault="00747EB4" w:rsidP="00431D19">
      <w:pPr>
        <w:pStyle w:val="BodyText"/>
        <w:rPr>
          <w:rFonts w:eastAsiaTheme="minorHAnsi"/>
        </w:rPr>
      </w:pPr>
      <w:r w:rsidRPr="00A133EB">
        <w:rPr>
          <w:rFonts w:eastAsiaTheme="minorHAnsi"/>
        </w:rPr>
        <w:t>The Mid-County W</w:t>
      </w:r>
      <w:r>
        <w:rPr>
          <w:rFonts w:eastAsiaTheme="minorHAnsi"/>
        </w:rPr>
        <w:t>WTP is an existing 0.90 MGD annual average daily flow</w:t>
      </w:r>
      <w:r w:rsidRPr="00A133EB">
        <w:rPr>
          <w:rFonts w:eastAsiaTheme="minorHAnsi"/>
        </w:rPr>
        <w:t>, advanced wastewater treatment facility consisting of two separate treatment trains. This facility provides advanced wastewater treatment and high-level disinfection. Effluent can be discharged into Curlew Creek. (EXH 113, BSP E42157)</w:t>
      </w:r>
    </w:p>
    <w:p w:rsidR="00747EB4" w:rsidRPr="00A133EB" w:rsidRDefault="00747EB4" w:rsidP="00431D19">
      <w:pPr>
        <w:pStyle w:val="BodyText"/>
        <w:rPr>
          <w:rFonts w:eastAsiaTheme="minorHAnsi"/>
        </w:rPr>
      </w:pPr>
      <w:r w:rsidRPr="00A133EB">
        <w:rPr>
          <w:rFonts w:eastAsiaTheme="minorHAnsi"/>
        </w:rPr>
        <w:t>As stated in Issue 1, staff recommends the quality of service be considered unsatisfactory for this system based on Sunshine’s compliance history with DEP since its last rate case. In the time period following the 2020 rate case, DEP issued 7 warning letters, 2 Consent Orders, and one Compliance Assistance Offer. (EXH 113, BSP E42018) At the hearing, witness Twomey argued that Sunshine is in the final stages of completing an in-kind project related to its most recent Consent Order and that Sunshine is also in the process of rebuilding the plant for this system as it is at the end of its useful life. The in-kind project will not be recovered through rates; but, Sunshine stated it may request the cost recovery of the Mid-County plant project in a subsequent proceeding. (TR 20</w:t>
      </w:r>
      <w:r>
        <w:rPr>
          <w:rFonts w:eastAsiaTheme="minorHAnsi"/>
        </w:rPr>
        <w:t>6-209</w:t>
      </w:r>
      <w:r w:rsidRPr="00A133EB">
        <w:rPr>
          <w:rFonts w:eastAsiaTheme="minorHAnsi"/>
        </w:rPr>
        <w:t>)  Therefore, the Mid-County system is out of compliance with DEP regulations. (EXH 113, BSP E42018; TR 277-278; Sunshine BR 3)</w:t>
      </w:r>
    </w:p>
    <w:p w:rsidR="00747EB4" w:rsidRPr="00A133EB" w:rsidRDefault="00747EB4" w:rsidP="00431D19">
      <w:pPr>
        <w:pStyle w:val="RecommendationMajorSectionHeading"/>
      </w:pPr>
      <w:r w:rsidRPr="00A133EB">
        <w:t>CONCLUSION</w:t>
      </w:r>
    </w:p>
    <w:p w:rsidR="00747EB4" w:rsidRPr="00A133EB" w:rsidRDefault="00747EB4" w:rsidP="00431D19">
      <w:pPr>
        <w:pStyle w:val="BodyText"/>
        <w:rPr>
          <w:rFonts w:asciiTheme="minorHAnsi" w:eastAsiaTheme="minorHAnsi" w:hAnsiTheme="minorHAnsi" w:cstheme="minorBidi"/>
          <w:kern w:val="2"/>
          <w14:ligatures w14:val="standardContextual"/>
        </w:rPr>
      </w:pPr>
      <w:r w:rsidRPr="00A133EB">
        <w:t>The Utility’s water and wastewater treatment facilities are currently in compliance with DEP regulations, with the exception of the Sanlando and Mid-County wastewater systems.</w:t>
      </w:r>
    </w:p>
    <w:p w:rsidR="00411121" w:rsidRDefault="00411121" w:rsidP="00E275D8">
      <w:pPr>
        <w:pStyle w:val="BodyText"/>
      </w:pPr>
    </w:p>
    <w:p w:rsidR="00411121" w:rsidRDefault="00411121" w:rsidP="00411121">
      <w:r>
        <w:br w:type="page"/>
      </w:r>
    </w:p>
    <w:p w:rsidR="00747EB4" w:rsidRDefault="00747EB4">
      <w:pPr>
        <w:pStyle w:val="IssueHeading"/>
        <w:rPr>
          <w:vanish/>
          <w:specVanish/>
        </w:rPr>
      </w:pPr>
      <w:r w:rsidRPr="004C3641">
        <w:lastRenderedPageBreak/>
        <w:t xml:space="preserve">Issue </w:t>
      </w:r>
      <w:r>
        <w:fldChar w:fldCharType="begin"/>
      </w:r>
      <w:r>
        <w:instrText>seq issue \r 3</w:instrText>
      </w:r>
      <w:r>
        <w:fldChar w:fldCharType="separate"/>
      </w:r>
      <w:r w:rsidR="009D3FF7">
        <w:rPr>
          <w:noProof/>
        </w:rPr>
        <w:t>3</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8" w:name="_Toc196317120"/>
      <w:r w:rsidR="009D3FF7">
        <w:rPr>
          <w:noProof/>
        </w:rPr>
        <w:instrText>3</w:instrText>
      </w:r>
      <w:r>
        <w:fldChar w:fldCharType="end"/>
      </w:r>
      <w:r>
        <w:tab/>
        <w:instrText>Test Year Plant-In-Service Adjustments (York)</w:instrText>
      </w:r>
      <w:bookmarkEnd w:id="18"/>
      <w:r>
        <w:instrText xml:space="preserve">" \l 1 </w:instrText>
      </w:r>
      <w:r>
        <w:fldChar w:fldCharType="end"/>
      </w:r>
      <w:r>
        <w:t> </w:t>
      </w:r>
    </w:p>
    <w:p w:rsidR="00747EB4" w:rsidRDefault="00747EB4">
      <w:pPr>
        <w:pStyle w:val="BodyText"/>
      </w:pPr>
      <w:r>
        <w:t> Should any adjustments be made to test year plant-in-service balances?</w:t>
      </w:r>
    </w:p>
    <w:p w:rsidR="00747EB4" w:rsidRPr="004C3641" w:rsidRDefault="00747EB4">
      <w:pPr>
        <w:pStyle w:val="IssueSubsectionHeading"/>
        <w:rPr>
          <w:vanish/>
          <w:specVanish/>
        </w:rPr>
      </w:pPr>
      <w:r w:rsidRPr="004C3641">
        <w:t>Recommendation: </w:t>
      </w:r>
    </w:p>
    <w:p w:rsidR="00747EB4" w:rsidRDefault="00747EB4">
      <w:pPr>
        <w:pStyle w:val="BodyText"/>
      </w:pPr>
      <w:r>
        <w:t> Yes. Staff recommends decreases of $29,570 and $27,486 to the land balances for water and wastewater, respectively. Staff also recommends increases of $3,918,720 and $8,285,365 to the test year plant-in-service balances for water and wastewater, respectively to reflect corresponding adjustments to annualization addressed in Issue 13. Adjustments to pro forma plant (additions and retirements) should be made as set forth and discussed in Issues 4 and 5. (York)</w:t>
      </w:r>
    </w:p>
    <w:p w:rsidR="00747EB4" w:rsidRPr="004C3641" w:rsidRDefault="00747EB4">
      <w:pPr>
        <w:pStyle w:val="IssueSubsectionHeading"/>
        <w:keepNext/>
        <w:rPr>
          <w:iCs w:val="0"/>
        </w:rPr>
      </w:pPr>
      <w:r w:rsidRPr="004C3641">
        <w:rPr>
          <w:iCs w:val="0"/>
        </w:rPr>
        <w:t>Position of the Parties</w:t>
      </w:r>
    </w:p>
    <w:p w:rsidR="00747EB4" w:rsidRDefault="00747EB4" w:rsidP="00431D19">
      <w:pPr>
        <w:pStyle w:val="PartyName"/>
        <w:rPr>
          <w:vanish/>
          <w:specVanish/>
        </w:rPr>
      </w:pPr>
      <w:r>
        <w:t>SUNSHINE: </w:t>
      </w:r>
    </w:p>
    <w:p w:rsidR="00747EB4" w:rsidRDefault="00747EB4" w:rsidP="00431D19">
      <w:pPr>
        <w:pStyle w:val="BodyText"/>
      </w:pPr>
      <w:r>
        <w:t> Yes, Water - ($18,428,130); Wastewater - $18,428,130 to allocate common plant from water to wastewater; and Water - ($29,570); Wastewater - ($27,496) for audit adjustments to the test year land balances.</w:t>
      </w:r>
    </w:p>
    <w:p w:rsidR="00747EB4" w:rsidRDefault="00747EB4" w:rsidP="00431D19">
      <w:pPr>
        <w:pStyle w:val="PartyName"/>
        <w:rPr>
          <w:vanish/>
          <w:specVanish/>
        </w:rPr>
      </w:pPr>
      <w:r>
        <w:t>OPC: </w:t>
      </w:r>
    </w:p>
    <w:p w:rsidR="00747EB4" w:rsidRDefault="00747EB4">
      <w:pPr>
        <w:pStyle w:val="BodyText"/>
      </w:pPr>
      <w:r>
        <w:t> Yes. The Commission should remove approximately $20 million in utility plant-in service by rejecting the Utility’s proposed AMI Meter Installation Project. This will also necessitate an approximately $500,000 adjustment to increase rate base to account for reversing meter retirements.</w:t>
      </w:r>
    </w:p>
    <w:p w:rsidR="00747EB4" w:rsidRPr="004C3641" w:rsidRDefault="00747EB4">
      <w:pPr>
        <w:pStyle w:val="IssueSubsectionHeading"/>
        <w:rPr>
          <w:vanish/>
          <w:specVanish/>
        </w:rPr>
      </w:pPr>
      <w:r w:rsidRPr="004C3641">
        <w:t>Staff Analysis: </w:t>
      </w:r>
    </w:p>
    <w:p w:rsidR="00747EB4" w:rsidRDefault="00747EB4">
      <w:pPr>
        <w:pStyle w:val="BodyText"/>
      </w:pPr>
      <w:r>
        <w:t> Sunshine witness Swain made test year adjustments to the plant-in-service balance to correct allocations of common plant between water and wastewater and to reclassify plant accounts for the wastewater system. (EXH 46) Although he addressed pro forma adjustments, OPC witness Smith did not dispute these test year adjustments in his testimony, nor did OPC dispute these specific adjustments in its post-hearing brief.</w:t>
      </w:r>
    </w:p>
    <w:p w:rsidR="00747EB4" w:rsidRDefault="00747EB4" w:rsidP="00431D19">
      <w:pPr>
        <w:pStyle w:val="BodyText"/>
      </w:pPr>
      <w:r>
        <w:t>Further, staff witness Mouring’s testimony reflected audit adjustments to the test year balances of land in Audit Finding No. 7. (EXH 45) After further research, Sunshine witness DeStefano confirmed the amount as $57,066, rather than the auditor’s finding of $35,590. As such, staff believes these test year adjustments are appropriate and adjustments are necessary to the test year land balances: a $29,570 decrease for water and a $27,496 decrease for wastewater.</w:t>
      </w:r>
    </w:p>
    <w:p w:rsidR="00747EB4" w:rsidRDefault="00747EB4" w:rsidP="00431D19">
      <w:pPr>
        <w:pStyle w:val="BodyText"/>
      </w:pPr>
      <w:r w:rsidRPr="00BF1B4A">
        <w:t xml:space="preserve">As addressed in Issue </w:t>
      </w:r>
      <w:r>
        <w:t>13</w:t>
      </w:r>
      <w:r w:rsidRPr="00BF1B4A">
        <w:t xml:space="preserve">, staff is recommending approval of the Utility’s adjustments to annualize depreciation expense </w:t>
      </w:r>
      <w:r>
        <w:t xml:space="preserve">based on </w:t>
      </w:r>
      <w:r w:rsidRPr="00BF1B4A">
        <w:t xml:space="preserve">the corresponding plant assets </w:t>
      </w:r>
      <w:r>
        <w:t>being</w:t>
      </w:r>
      <w:r w:rsidRPr="00BF1B4A">
        <w:t xml:space="preserve"> recognized in rate base.</w:t>
      </w:r>
      <w:r>
        <w:t xml:space="preserve"> Based on the annualization calculated in the MFRs, staff calculated the corresponding increase to test year plant-in-service balances. As such, staff recommends</w:t>
      </w:r>
      <w:r w:rsidRPr="00033A4C">
        <w:t xml:space="preserve"> increase</w:t>
      </w:r>
      <w:r>
        <w:t>s</w:t>
      </w:r>
      <w:r w:rsidRPr="00033A4C">
        <w:t xml:space="preserve"> of $3,918,720 and $8,285,365 to the test year plant-</w:t>
      </w:r>
      <w:r>
        <w:t>in-</w:t>
      </w:r>
      <w:r w:rsidRPr="00033A4C">
        <w:t>service balances for water and wastewater, respectively to reflect corresponding adjustments to annualization addressed in Issue 13</w:t>
      </w:r>
      <w:r>
        <w:t>.</w:t>
      </w:r>
    </w:p>
    <w:p w:rsidR="00747EB4" w:rsidRDefault="00747EB4" w:rsidP="00431D19">
      <w:pPr>
        <w:pStyle w:val="RecommendationMajorSectionHeading"/>
      </w:pPr>
      <w:r w:rsidRPr="00501BFC">
        <w:t>CONCLUSION</w:t>
      </w:r>
    </w:p>
    <w:p w:rsidR="00FB6CE0" w:rsidRDefault="00747EB4" w:rsidP="007E2D24">
      <w:pPr>
        <w:pStyle w:val="BodyText"/>
      </w:pPr>
      <w:r>
        <w:t xml:space="preserve">Staff recommends </w:t>
      </w:r>
      <w:r w:rsidRPr="00033A4C">
        <w:t>decrease</w:t>
      </w:r>
      <w:r>
        <w:t>s</w:t>
      </w:r>
      <w:r w:rsidRPr="00033A4C">
        <w:t xml:space="preserve"> of $29,570 and $</w:t>
      </w:r>
      <w:r>
        <w:t>2</w:t>
      </w:r>
      <w:r w:rsidRPr="00033A4C">
        <w:t>7,486 to the land balances for water and wastewater, respect</w:t>
      </w:r>
      <w:r>
        <w:t xml:space="preserve">ively. Staff also recommends </w:t>
      </w:r>
      <w:r w:rsidRPr="00033A4C">
        <w:t>increase</w:t>
      </w:r>
      <w:r>
        <w:t>s</w:t>
      </w:r>
      <w:r w:rsidRPr="00033A4C">
        <w:t xml:space="preserve"> of $3,918,720 and $8,285,365 to the test year plant-</w:t>
      </w:r>
      <w:r>
        <w:t>in-</w:t>
      </w:r>
      <w:r w:rsidRPr="00033A4C">
        <w:t>service balances for water and wastewater, respectively to reflect corresponding adjustments to annualization addressed in Issue 13. Adjustments</w:t>
      </w:r>
      <w:r>
        <w:t xml:space="preserve"> to pro forma plant </w:t>
      </w:r>
      <w:r w:rsidRPr="00033A4C">
        <w:t>(additions and retirements) should be made as set forth and discussed in Issues 4 and 5</w:t>
      </w:r>
      <w:r>
        <w:t>.</w:t>
      </w:r>
      <w:r w:rsidR="00FB6CE0">
        <w:br w:type="page"/>
      </w:r>
    </w:p>
    <w:p w:rsidR="00747EB4" w:rsidRDefault="00747EB4">
      <w:pPr>
        <w:pStyle w:val="IssueHeading"/>
        <w:rPr>
          <w:vanish/>
          <w:specVanish/>
        </w:rPr>
      </w:pPr>
      <w:r w:rsidRPr="004C3641">
        <w:lastRenderedPageBreak/>
        <w:t xml:space="preserve">Issue </w:t>
      </w:r>
      <w:r>
        <w:fldChar w:fldCharType="begin"/>
      </w:r>
      <w:r>
        <w:instrText>seq issue \r 4</w:instrText>
      </w:r>
      <w:r>
        <w:fldChar w:fldCharType="separate"/>
      </w:r>
      <w:r w:rsidR="009D3FF7">
        <w:rPr>
          <w:noProof/>
        </w:rPr>
        <w:t>4</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9" w:name="_Toc196317121"/>
      <w:r w:rsidR="009D3FF7">
        <w:rPr>
          <w:noProof/>
        </w:rPr>
        <w:instrText>4</w:instrText>
      </w:r>
      <w:r>
        <w:fldChar w:fldCharType="end"/>
      </w:r>
      <w:r>
        <w:tab/>
        <w:instrText>Pro Forma Plant (Sanchez, Richards, Folkman)</w:instrText>
      </w:r>
      <w:bookmarkEnd w:id="19"/>
      <w:r>
        <w:instrText xml:space="preserve">" \l 1 </w:instrText>
      </w:r>
      <w:r>
        <w:fldChar w:fldCharType="end"/>
      </w:r>
      <w:r>
        <w:t> </w:t>
      </w:r>
    </w:p>
    <w:p w:rsidR="00747EB4" w:rsidRDefault="00747EB4">
      <w:pPr>
        <w:pStyle w:val="BodyText"/>
      </w:pPr>
      <w:r>
        <w:t> Should any adjustments be made to the Utility's pro forma plant additions?</w:t>
      </w:r>
    </w:p>
    <w:p w:rsidR="00747EB4" w:rsidRPr="004C3641" w:rsidRDefault="00747EB4">
      <w:pPr>
        <w:pStyle w:val="IssueSubsectionHeading"/>
        <w:rPr>
          <w:vanish/>
          <w:specVanish/>
        </w:rPr>
      </w:pPr>
      <w:r w:rsidRPr="004C3641">
        <w:t>Recommendation: </w:t>
      </w:r>
    </w:p>
    <w:p w:rsidR="00747EB4" w:rsidRDefault="00747EB4">
      <w:pPr>
        <w:pStyle w:val="BodyText"/>
      </w:pPr>
      <w:r>
        <w:t> </w:t>
      </w:r>
      <w:r w:rsidRPr="00A77334">
        <w:t xml:space="preserve">Yes. </w:t>
      </w:r>
      <w:r w:rsidRPr="0008543F">
        <w:t xml:space="preserve">Pro forma plant additions should be decreased by $1,310,997 for water and increased by $1,600,372 for wastewater, which includes the recommended adjustment for the proposed </w:t>
      </w:r>
      <w:r>
        <w:t>advanced metering infrastructure (</w:t>
      </w:r>
      <w:r w:rsidRPr="0008543F">
        <w:t>AMI</w:t>
      </w:r>
      <w:r>
        <w:t>)</w:t>
      </w:r>
      <w:r w:rsidRPr="0008543F">
        <w:t xml:space="preserve"> project discussed in Issue 4A. Corresponding adjustments should also be made to decrease accumulated depreciation and depreciation expense by $11</w:t>
      </w:r>
      <w:r>
        <w:t>6,370</w:t>
      </w:r>
      <w:r w:rsidRPr="0008543F">
        <w:t xml:space="preserve"> for water and to increase accumulated depreciation and depreciation expense by $</w:t>
      </w:r>
      <w:r>
        <w:t>42,319</w:t>
      </w:r>
      <w:r w:rsidRPr="0008543F">
        <w:t xml:space="preserve"> for wastewater. Adjustments to pro forma plant retirements </w:t>
      </w:r>
      <w:r>
        <w:t xml:space="preserve">and taxes other than income (TOTI) </w:t>
      </w:r>
      <w:r w:rsidRPr="0008543F">
        <w:t>should be made as set forth in Issue</w:t>
      </w:r>
      <w:r>
        <w:t>s</w:t>
      </w:r>
      <w:r w:rsidRPr="0008543F">
        <w:t xml:space="preserve"> 5</w:t>
      </w:r>
      <w:r>
        <w:t xml:space="preserve"> and 29</w:t>
      </w:r>
      <w:r w:rsidRPr="00E831FD">
        <w:t>.</w:t>
      </w:r>
      <w:r>
        <w:t xml:space="preserve"> (Sanchez, Richards, Folkman)</w:t>
      </w:r>
    </w:p>
    <w:p w:rsidR="00747EB4" w:rsidRPr="004C3641" w:rsidRDefault="00747EB4">
      <w:pPr>
        <w:pStyle w:val="IssueSubsectionHeading"/>
        <w:keepNext/>
        <w:rPr>
          <w:iCs w:val="0"/>
        </w:rPr>
      </w:pPr>
      <w:r w:rsidRPr="004C3641">
        <w:rPr>
          <w:iCs w:val="0"/>
        </w:rPr>
        <w:t>Position of the Parties</w:t>
      </w:r>
    </w:p>
    <w:p w:rsidR="00747EB4" w:rsidRDefault="00747EB4" w:rsidP="00431D19">
      <w:pPr>
        <w:pStyle w:val="PartyName"/>
        <w:rPr>
          <w:vanish/>
          <w:specVanish/>
        </w:rPr>
      </w:pPr>
      <w:r>
        <w:t>SUNSHINE: </w:t>
      </w:r>
    </w:p>
    <w:p w:rsidR="00747EB4" w:rsidRDefault="00747EB4">
      <w:pPr>
        <w:pStyle w:val="BodyText"/>
      </w:pPr>
      <w:r>
        <w:t> Yes, adjustments should be made to each pro forma plant addition where the updated estimated expenditures per the rebuttal testimony of Utility Witness Twomey differ from the amounts identified in the initial MFR’s. The final amount of pro forma projects is Water - $43,979,298; Wastewater - $17,876,927.</w:t>
      </w:r>
    </w:p>
    <w:p w:rsidR="00747EB4" w:rsidRDefault="00747EB4" w:rsidP="00431D19">
      <w:pPr>
        <w:pStyle w:val="PartyName"/>
        <w:rPr>
          <w:vanish/>
          <w:specVanish/>
        </w:rPr>
      </w:pPr>
      <w:r>
        <w:t>OPC: </w:t>
      </w:r>
    </w:p>
    <w:p w:rsidR="00747EB4" w:rsidRDefault="00747EB4">
      <w:pPr>
        <w:pStyle w:val="BodyText"/>
      </w:pPr>
      <w:r>
        <w:t> Yes. For the reasons stated in OPC Witness Smith’s testimony, the Commission should reject the Utility’s proposed AMI Meter Installation Project. Any related operating expenses should not be included. In addition, OPC objects to the approval of the Orangewood PFAS Remediation Project (ST-24) absent certain conditions.</w:t>
      </w:r>
    </w:p>
    <w:p w:rsidR="00747EB4" w:rsidRPr="004C3641" w:rsidRDefault="00747EB4">
      <w:pPr>
        <w:pStyle w:val="IssueSubsectionHeading"/>
        <w:rPr>
          <w:vanish/>
          <w:specVanish/>
        </w:rPr>
      </w:pPr>
      <w:r w:rsidRPr="004C3641">
        <w:t>Staff Analysis: </w:t>
      </w:r>
    </w:p>
    <w:p w:rsidR="00747EB4" w:rsidRDefault="00747EB4">
      <w:pPr>
        <w:pStyle w:val="BodyText"/>
      </w:pPr>
      <w:r>
        <w:t> </w:t>
      </w:r>
      <w:r w:rsidRPr="00E831FD">
        <w:t xml:space="preserve">Section 367.081(2)(a)(2), F.S., provides that the Commission, in fixing rates, shall consider facilities to be constructed within a reasonable time in the future, not to exceed 24 months after the end of the historic base year used to set final rates, unless a longer period is approved by the Commission, to be used and useful (U&amp;U) if such property is needed to serve current customers. In this proceeding, Sunshine requested cost recovery for 24 pro forma projects. </w:t>
      </w:r>
      <w:r>
        <w:t xml:space="preserve">OPC argued that out of these 24 projects, the AMI Meter Installation and PFAS Remediation projects should be excluded. (OPC BR 18-20) In its brief, Sunshine rebutted OPC’s arguments to exclude these two specific projects and also argued that adjustments should be made for the project expenditures that witness Twomey updated in his rebuttal testimony. (Sunshine BR 5) </w:t>
      </w:r>
      <w:r w:rsidRPr="00E831FD">
        <w:t>Each project is discussed in detail below and the recommended adjustments are summarized in Table 4-1.</w:t>
      </w:r>
    </w:p>
    <w:p w:rsidR="00747EB4" w:rsidRDefault="00747EB4">
      <w:pPr>
        <w:pStyle w:val="BodyText"/>
      </w:pPr>
    </w:p>
    <w:p w:rsidR="00747EB4" w:rsidRDefault="00747EB4">
      <w:pPr>
        <w:pStyle w:val="BodyText"/>
      </w:pPr>
    </w:p>
    <w:p w:rsidR="00747EB4" w:rsidRDefault="00747EB4">
      <w:pPr>
        <w:pStyle w:val="BodyText"/>
      </w:pPr>
    </w:p>
    <w:p w:rsidR="00747EB4" w:rsidRDefault="00747EB4">
      <w:pPr>
        <w:pStyle w:val="BodyText"/>
      </w:pPr>
    </w:p>
    <w:p w:rsidR="00747EB4" w:rsidRDefault="00747EB4">
      <w:pPr>
        <w:pStyle w:val="BodyText"/>
      </w:pPr>
    </w:p>
    <w:p w:rsidR="00747EB4" w:rsidRDefault="00747EB4" w:rsidP="00431D19">
      <w:pPr>
        <w:pStyle w:val="TableNumber"/>
        <w:keepNext/>
      </w:pPr>
      <w:r>
        <w:lastRenderedPageBreak/>
        <w:t xml:space="preserve">Table </w:t>
      </w:r>
      <w:r w:rsidR="00FF5F64">
        <w:fldChar w:fldCharType="begin"/>
      </w:r>
      <w:r w:rsidR="00FF5F64">
        <w:instrText xml:space="preserve"> SEQ Issue \c </w:instrText>
      </w:r>
      <w:r w:rsidR="00FF5F64">
        <w:fldChar w:fldCharType="separate"/>
      </w:r>
      <w:r w:rsidR="009D3FF7">
        <w:rPr>
          <w:noProof/>
        </w:rPr>
        <w:t>4</w:t>
      </w:r>
      <w:r w:rsidR="00FF5F64">
        <w:rPr>
          <w:noProof/>
        </w:rPr>
        <w:fldChar w:fldCharType="end"/>
      </w:r>
      <w:r>
        <w:t>-1</w:t>
      </w:r>
    </w:p>
    <w:p w:rsidR="00747EB4" w:rsidRDefault="00747EB4" w:rsidP="00431D19">
      <w:pPr>
        <w:pStyle w:val="TableTitle"/>
        <w:keepNext/>
      </w:pPr>
      <w:r>
        <w:t>Staff’s Recommended Pro Forma Plant Additions</w:t>
      </w:r>
    </w:p>
    <w:tbl>
      <w:tblPr>
        <w:tblStyle w:val="TableGrid1"/>
        <w:tblW w:w="0" w:type="auto"/>
        <w:tblInd w:w="77" w:type="dxa"/>
        <w:tblCellMar>
          <w:left w:w="72" w:type="dxa"/>
          <w:right w:w="72" w:type="dxa"/>
        </w:tblCellMar>
        <w:tblLook w:val="04A0" w:firstRow="1" w:lastRow="0" w:firstColumn="1" w:lastColumn="0" w:noHBand="0" w:noVBand="1"/>
      </w:tblPr>
      <w:tblGrid>
        <w:gridCol w:w="766"/>
        <w:gridCol w:w="4733"/>
        <w:gridCol w:w="1285"/>
        <w:gridCol w:w="1278"/>
        <w:gridCol w:w="1288"/>
      </w:tblGrid>
      <w:tr w:rsidR="00747EB4" w:rsidRPr="0009203C" w:rsidTr="00431D19">
        <w:tc>
          <w:tcPr>
            <w:tcW w:w="766" w:type="dxa"/>
          </w:tcPr>
          <w:p w:rsidR="00747EB4" w:rsidRPr="0009203C" w:rsidRDefault="00747EB4" w:rsidP="00431D19">
            <w:pPr>
              <w:jc w:val="center"/>
              <w:rPr>
                <w:b/>
                <w:sz w:val="20"/>
                <w:szCs w:val="20"/>
              </w:rPr>
            </w:pPr>
            <w:r w:rsidRPr="0009203C">
              <w:rPr>
                <w:b/>
                <w:sz w:val="20"/>
                <w:szCs w:val="20"/>
              </w:rPr>
              <w:t>Project</w:t>
            </w:r>
          </w:p>
        </w:tc>
        <w:tc>
          <w:tcPr>
            <w:tcW w:w="4733" w:type="dxa"/>
          </w:tcPr>
          <w:p w:rsidR="00747EB4" w:rsidRPr="0009203C" w:rsidRDefault="00747EB4" w:rsidP="00431D19">
            <w:pPr>
              <w:jc w:val="center"/>
              <w:rPr>
                <w:b/>
                <w:sz w:val="20"/>
                <w:szCs w:val="20"/>
              </w:rPr>
            </w:pPr>
            <w:r w:rsidRPr="0009203C">
              <w:rPr>
                <w:b/>
                <w:sz w:val="20"/>
                <w:szCs w:val="20"/>
              </w:rPr>
              <w:t>Description</w:t>
            </w:r>
          </w:p>
        </w:tc>
        <w:tc>
          <w:tcPr>
            <w:tcW w:w="1285" w:type="dxa"/>
            <w:tcBorders>
              <w:bottom w:val="single" w:sz="4" w:space="0" w:color="auto"/>
            </w:tcBorders>
          </w:tcPr>
          <w:p w:rsidR="00747EB4" w:rsidRPr="0009203C" w:rsidRDefault="00747EB4" w:rsidP="00431D19">
            <w:pPr>
              <w:jc w:val="center"/>
              <w:rPr>
                <w:b/>
                <w:sz w:val="20"/>
                <w:szCs w:val="20"/>
              </w:rPr>
            </w:pPr>
            <w:r w:rsidRPr="0009203C">
              <w:rPr>
                <w:b/>
                <w:sz w:val="20"/>
                <w:szCs w:val="20"/>
              </w:rPr>
              <w:t>MFR</w:t>
            </w:r>
          </w:p>
        </w:tc>
        <w:tc>
          <w:tcPr>
            <w:tcW w:w="1278" w:type="dxa"/>
            <w:tcBorders>
              <w:bottom w:val="single" w:sz="4" w:space="0" w:color="auto"/>
            </w:tcBorders>
          </w:tcPr>
          <w:p w:rsidR="00747EB4" w:rsidRPr="0009203C" w:rsidRDefault="00747EB4" w:rsidP="00431D19">
            <w:pPr>
              <w:jc w:val="center"/>
              <w:rPr>
                <w:b/>
                <w:sz w:val="20"/>
                <w:szCs w:val="20"/>
              </w:rPr>
            </w:pPr>
            <w:r w:rsidRPr="0009203C">
              <w:rPr>
                <w:b/>
                <w:sz w:val="20"/>
                <w:szCs w:val="20"/>
              </w:rPr>
              <w:t>Staff</w:t>
            </w:r>
          </w:p>
        </w:tc>
        <w:tc>
          <w:tcPr>
            <w:tcW w:w="1288" w:type="dxa"/>
            <w:tcBorders>
              <w:bottom w:val="single" w:sz="4" w:space="0" w:color="auto"/>
            </w:tcBorders>
          </w:tcPr>
          <w:p w:rsidR="00747EB4" w:rsidRPr="0009203C" w:rsidRDefault="00747EB4" w:rsidP="00431D19">
            <w:pPr>
              <w:jc w:val="center"/>
              <w:rPr>
                <w:b/>
                <w:sz w:val="20"/>
                <w:szCs w:val="20"/>
              </w:rPr>
            </w:pPr>
            <w:r w:rsidRPr="0009203C">
              <w:rPr>
                <w:b/>
                <w:sz w:val="20"/>
                <w:szCs w:val="20"/>
              </w:rPr>
              <w:t>Adjustment</w:t>
            </w:r>
          </w:p>
        </w:tc>
      </w:tr>
      <w:tr w:rsidR="00747EB4" w:rsidRPr="0009203C" w:rsidTr="00431D19">
        <w:tc>
          <w:tcPr>
            <w:tcW w:w="766" w:type="dxa"/>
          </w:tcPr>
          <w:p w:rsidR="00747EB4" w:rsidRPr="0009203C" w:rsidRDefault="00747EB4" w:rsidP="00431D19">
            <w:pPr>
              <w:rPr>
                <w:sz w:val="20"/>
                <w:szCs w:val="20"/>
              </w:rPr>
            </w:pPr>
            <w:r w:rsidRPr="0009203C">
              <w:rPr>
                <w:sz w:val="20"/>
                <w:szCs w:val="20"/>
              </w:rPr>
              <w:t>ST-3</w:t>
            </w:r>
          </w:p>
        </w:tc>
        <w:tc>
          <w:tcPr>
            <w:tcW w:w="4733" w:type="dxa"/>
          </w:tcPr>
          <w:p w:rsidR="00747EB4" w:rsidRPr="0009203C" w:rsidRDefault="00747EB4" w:rsidP="00431D19">
            <w:pPr>
              <w:rPr>
                <w:sz w:val="20"/>
                <w:szCs w:val="20"/>
              </w:rPr>
            </w:pPr>
            <w:r w:rsidRPr="0009203C">
              <w:rPr>
                <w:sz w:val="20"/>
                <w:szCs w:val="20"/>
              </w:rPr>
              <w:t>Tierra Verde – 13th Bridge FM Replacement</w:t>
            </w:r>
          </w:p>
        </w:tc>
        <w:tc>
          <w:tcPr>
            <w:tcW w:w="1285" w:type="dxa"/>
          </w:tcPr>
          <w:p w:rsidR="00747EB4" w:rsidRPr="0009203C" w:rsidRDefault="00747EB4" w:rsidP="00431D19">
            <w:pPr>
              <w:jc w:val="right"/>
              <w:rPr>
                <w:sz w:val="20"/>
                <w:szCs w:val="20"/>
              </w:rPr>
            </w:pPr>
            <w:r w:rsidRPr="0009203C">
              <w:rPr>
                <w:sz w:val="20"/>
                <w:szCs w:val="20"/>
              </w:rPr>
              <w:t>$514,923</w:t>
            </w:r>
          </w:p>
        </w:tc>
        <w:tc>
          <w:tcPr>
            <w:tcW w:w="1278" w:type="dxa"/>
          </w:tcPr>
          <w:p w:rsidR="00747EB4" w:rsidRPr="0009203C" w:rsidRDefault="00747EB4" w:rsidP="00431D19">
            <w:pPr>
              <w:jc w:val="right"/>
              <w:rPr>
                <w:sz w:val="20"/>
                <w:szCs w:val="20"/>
              </w:rPr>
            </w:pPr>
            <w:r>
              <w:rPr>
                <w:sz w:val="20"/>
                <w:szCs w:val="20"/>
              </w:rPr>
              <w:t>$648,198</w:t>
            </w:r>
          </w:p>
        </w:tc>
        <w:tc>
          <w:tcPr>
            <w:tcW w:w="1288" w:type="dxa"/>
          </w:tcPr>
          <w:p w:rsidR="00747EB4" w:rsidRPr="0009203C" w:rsidRDefault="00747EB4" w:rsidP="00431D19">
            <w:pPr>
              <w:jc w:val="right"/>
              <w:rPr>
                <w:sz w:val="20"/>
                <w:szCs w:val="20"/>
              </w:rPr>
            </w:pPr>
            <w:r>
              <w:rPr>
                <w:sz w:val="20"/>
                <w:szCs w:val="20"/>
              </w:rPr>
              <w:t>$133,275</w:t>
            </w:r>
            <w:r w:rsidRPr="00BB2483">
              <w:rPr>
                <w:color w:val="FFFFFF" w:themeColor="background1"/>
                <w:sz w:val="20"/>
                <w:szCs w:val="20"/>
              </w:rPr>
              <w:t>)</w:t>
            </w:r>
          </w:p>
        </w:tc>
      </w:tr>
      <w:tr w:rsidR="00747EB4" w:rsidRPr="0009203C" w:rsidTr="00431D19">
        <w:tc>
          <w:tcPr>
            <w:tcW w:w="766" w:type="dxa"/>
          </w:tcPr>
          <w:p w:rsidR="00747EB4" w:rsidRPr="0009203C" w:rsidRDefault="00747EB4" w:rsidP="00431D19">
            <w:pPr>
              <w:rPr>
                <w:sz w:val="20"/>
                <w:szCs w:val="20"/>
              </w:rPr>
            </w:pPr>
            <w:r w:rsidRPr="0009203C">
              <w:rPr>
                <w:sz w:val="20"/>
                <w:szCs w:val="20"/>
              </w:rPr>
              <w:t>ST-4</w:t>
            </w:r>
          </w:p>
        </w:tc>
        <w:tc>
          <w:tcPr>
            <w:tcW w:w="4733" w:type="dxa"/>
          </w:tcPr>
          <w:p w:rsidR="00747EB4" w:rsidRPr="0009203C" w:rsidRDefault="00747EB4" w:rsidP="00431D19">
            <w:pPr>
              <w:rPr>
                <w:sz w:val="20"/>
                <w:szCs w:val="20"/>
              </w:rPr>
            </w:pPr>
            <w:r w:rsidRPr="0009203C">
              <w:rPr>
                <w:sz w:val="20"/>
                <w:szCs w:val="20"/>
              </w:rPr>
              <w:t>Tierra Verde – Madonna Bridge Line Relocation</w:t>
            </w:r>
          </w:p>
        </w:tc>
        <w:tc>
          <w:tcPr>
            <w:tcW w:w="1285" w:type="dxa"/>
          </w:tcPr>
          <w:p w:rsidR="00747EB4" w:rsidRPr="0009203C" w:rsidRDefault="00747EB4" w:rsidP="00431D19">
            <w:pPr>
              <w:jc w:val="right"/>
              <w:rPr>
                <w:sz w:val="20"/>
                <w:szCs w:val="20"/>
              </w:rPr>
            </w:pPr>
            <w:r>
              <w:rPr>
                <w:sz w:val="20"/>
                <w:szCs w:val="20"/>
              </w:rPr>
              <w:t>$</w:t>
            </w:r>
            <w:r w:rsidRPr="00194FE4">
              <w:rPr>
                <w:sz w:val="20"/>
                <w:szCs w:val="20"/>
              </w:rPr>
              <w:t>503,709</w:t>
            </w:r>
          </w:p>
        </w:tc>
        <w:tc>
          <w:tcPr>
            <w:tcW w:w="1278" w:type="dxa"/>
          </w:tcPr>
          <w:p w:rsidR="00747EB4" w:rsidRPr="0009203C" w:rsidRDefault="00747EB4" w:rsidP="00431D19">
            <w:pPr>
              <w:jc w:val="right"/>
              <w:rPr>
                <w:sz w:val="20"/>
                <w:szCs w:val="20"/>
              </w:rPr>
            </w:pPr>
            <w:r>
              <w:rPr>
                <w:sz w:val="20"/>
                <w:szCs w:val="20"/>
              </w:rPr>
              <w:t>$500,233</w:t>
            </w:r>
          </w:p>
        </w:tc>
        <w:tc>
          <w:tcPr>
            <w:tcW w:w="1288" w:type="dxa"/>
          </w:tcPr>
          <w:p w:rsidR="00747EB4" w:rsidRPr="0009203C" w:rsidRDefault="00747EB4" w:rsidP="00431D19">
            <w:pPr>
              <w:jc w:val="right"/>
              <w:rPr>
                <w:sz w:val="20"/>
                <w:szCs w:val="20"/>
              </w:rPr>
            </w:pPr>
            <w:r>
              <w:rPr>
                <w:sz w:val="20"/>
                <w:szCs w:val="20"/>
              </w:rPr>
              <w:t>($3,476)</w:t>
            </w:r>
          </w:p>
        </w:tc>
      </w:tr>
      <w:tr w:rsidR="00747EB4" w:rsidRPr="0009203C" w:rsidTr="00431D19">
        <w:tc>
          <w:tcPr>
            <w:tcW w:w="766" w:type="dxa"/>
          </w:tcPr>
          <w:p w:rsidR="00747EB4" w:rsidRPr="0009203C" w:rsidRDefault="00747EB4" w:rsidP="00431D19">
            <w:pPr>
              <w:rPr>
                <w:sz w:val="20"/>
                <w:szCs w:val="20"/>
              </w:rPr>
            </w:pPr>
            <w:r w:rsidRPr="0009203C">
              <w:rPr>
                <w:sz w:val="20"/>
                <w:szCs w:val="20"/>
              </w:rPr>
              <w:t>ST-5</w:t>
            </w:r>
          </w:p>
        </w:tc>
        <w:tc>
          <w:tcPr>
            <w:tcW w:w="4733" w:type="dxa"/>
          </w:tcPr>
          <w:p w:rsidR="00747EB4" w:rsidRPr="0009203C" w:rsidRDefault="00747EB4" w:rsidP="00431D19">
            <w:pPr>
              <w:rPr>
                <w:sz w:val="20"/>
                <w:szCs w:val="20"/>
              </w:rPr>
            </w:pPr>
            <w:r w:rsidRPr="0009203C">
              <w:rPr>
                <w:sz w:val="20"/>
                <w:szCs w:val="20"/>
              </w:rPr>
              <w:t>Cypress Lakes – VT SCADA 16 RTU Installations</w:t>
            </w:r>
          </w:p>
        </w:tc>
        <w:tc>
          <w:tcPr>
            <w:tcW w:w="1285" w:type="dxa"/>
          </w:tcPr>
          <w:p w:rsidR="00747EB4" w:rsidRPr="0009203C" w:rsidRDefault="00747EB4" w:rsidP="00431D19">
            <w:pPr>
              <w:jc w:val="right"/>
              <w:rPr>
                <w:sz w:val="20"/>
                <w:szCs w:val="20"/>
              </w:rPr>
            </w:pPr>
            <w:r w:rsidRPr="00194FE4">
              <w:rPr>
                <w:sz w:val="20"/>
                <w:szCs w:val="20"/>
              </w:rPr>
              <w:t>$262,681</w:t>
            </w:r>
          </w:p>
        </w:tc>
        <w:tc>
          <w:tcPr>
            <w:tcW w:w="1278" w:type="dxa"/>
          </w:tcPr>
          <w:p w:rsidR="00747EB4" w:rsidRPr="0009203C" w:rsidRDefault="00747EB4" w:rsidP="00431D19">
            <w:pPr>
              <w:jc w:val="right"/>
              <w:rPr>
                <w:sz w:val="20"/>
                <w:szCs w:val="20"/>
              </w:rPr>
            </w:pPr>
            <w:r>
              <w:rPr>
                <w:sz w:val="20"/>
                <w:szCs w:val="20"/>
              </w:rPr>
              <w:t>$256,632</w:t>
            </w:r>
          </w:p>
        </w:tc>
        <w:tc>
          <w:tcPr>
            <w:tcW w:w="1288" w:type="dxa"/>
          </w:tcPr>
          <w:p w:rsidR="00747EB4" w:rsidRPr="0009203C" w:rsidRDefault="00747EB4" w:rsidP="00431D19">
            <w:pPr>
              <w:jc w:val="right"/>
              <w:rPr>
                <w:sz w:val="20"/>
                <w:szCs w:val="20"/>
              </w:rPr>
            </w:pPr>
            <w:r>
              <w:rPr>
                <w:sz w:val="20"/>
                <w:szCs w:val="20"/>
              </w:rPr>
              <w:t>($6,049)</w:t>
            </w:r>
          </w:p>
        </w:tc>
      </w:tr>
      <w:tr w:rsidR="00747EB4" w:rsidRPr="0009203C" w:rsidTr="00431D19">
        <w:tc>
          <w:tcPr>
            <w:tcW w:w="766" w:type="dxa"/>
          </w:tcPr>
          <w:p w:rsidR="00747EB4" w:rsidRPr="0009203C" w:rsidRDefault="00747EB4" w:rsidP="00431D19">
            <w:pPr>
              <w:rPr>
                <w:sz w:val="20"/>
                <w:szCs w:val="20"/>
              </w:rPr>
            </w:pPr>
            <w:r w:rsidRPr="0009203C">
              <w:rPr>
                <w:sz w:val="20"/>
                <w:szCs w:val="20"/>
              </w:rPr>
              <w:t>ST-6</w:t>
            </w:r>
          </w:p>
        </w:tc>
        <w:tc>
          <w:tcPr>
            <w:tcW w:w="4733" w:type="dxa"/>
          </w:tcPr>
          <w:p w:rsidR="00747EB4" w:rsidRPr="0009203C" w:rsidRDefault="00747EB4" w:rsidP="00431D19">
            <w:pPr>
              <w:rPr>
                <w:sz w:val="20"/>
                <w:szCs w:val="20"/>
              </w:rPr>
            </w:pPr>
            <w:r w:rsidRPr="00194FE4">
              <w:rPr>
                <w:sz w:val="20"/>
                <w:szCs w:val="20"/>
              </w:rPr>
              <w:t>Eagle Ridge Headworks Improvements</w:t>
            </w:r>
          </w:p>
        </w:tc>
        <w:tc>
          <w:tcPr>
            <w:tcW w:w="1285" w:type="dxa"/>
          </w:tcPr>
          <w:p w:rsidR="00747EB4" w:rsidRPr="0009203C" w:rsidRDefault="00747EB4" w:rsidP="00431D19">
            <w:pPr>
              <w:jc w:val="right"/>
              <w:rPr>
                <w:sz w:val="20"/>
                <w:szCs w:val="20"/>
              </w:rPr>
            </w:pPr>
            <w:r w:rsidRPr="00194FE4">
              <w:rPr>
                <w:sz w:val="20"/>
                <w:szCs w:val="20"/>
              </w:rPr>
              <w:t>$1,006,114</w:t>
            </w:r>
          </w:p>
        </w:tc>
        <w:tc>
          <w:tcPr>
            <w:tcW w:w="1278" w:type="dxa"/>
            <w:shd w:val="clear" w:color="auto" w:fill="auto"/>
          </w:tcPr>
          <w:p w:rsidR="00747EB4" w:rsidRPr="0009203C" w:rsidRDefault="00747EB4" w:rsidP="00431D19">
            <w:pPr>
              <w:jc w:val="right"/>
              <w:rPr>
                <w:sz w:val="20"/>
                <w:szCs w:val="20"/>
              </w:rPr>
            </w:pPr>
            <w:r>
              <w:rPr>
                <w:sz w:val="20"/>
                <w:szCs w:val="20"/>
              </w:rPr>
              <w:t>$1,020,618</w:t>
            </w:r>
          </w:p>
        </w:tc>
        <w:tc>
          <w:tcPr>
            <w:tcW w:w="1288" w:type="dxa"/>
            <w:shd w:val="clear" w:color="auto" w:fill="auto"/>
          </w:tcPr>
          <w:p w:rsidR="00747EB4" w:rsidRPr="0009203C" w:rsidRDefault="00747EB4" w:rsidP="00431D19">
            <w:pPr>
              <w:jc w:val="right"/>
              <w:rPr>
                <w:sz w:val="20"/>
                <w:szCs w:val="20"/>
              </w:rPr>
            </w:pPr>
            <w:r>
              <w:rPr>
                <w:sz w:val="20"/>
                <w:szCs w:val="20"/>
              </w:rPr>
              <w:t>$14,504</w:t>
            </w:r>
          </w:p>
        </w:tc>
      </w:tr>
      <w:tr w:rsidR="00747EB4" w:rsidRPr="0009203C" w:rsidTr="00431D19">
        <w:tc>
          <w:tcPr>
            <w:tcW w:w="766" w:type="dxa"/>
          </w:tcPr>
          <w:p w:rsidR="00747EB4" w:rsidRPr="0009203C" w:rsidRDefault="00747EB4" w:rsidP="00431D19">
            <w:pPr>
              <w:rPr>
                <w:sz w:val="20"/>
                <w:szCs w:val="20"/>
              </w:rPr>
            </w:pPr>
            <w:r w:rsidRPr="0009203C">
              <w:rPr>
                <w:sz w:val="20"/>
                <w:szCs w:val="20"/>
              </w:rPr>
              <w:t>ST-7</w:t>
            </w:r>
          </w:p>
        </w:tc>
        <w:tc>
          <w:tcPr>
            <w:tcW w:w="4733" w:type="dxa"/>
          </w:tcPr>
          <w:p w:rsidR="00747EB4" w:rsidRPr="0009203C" w:rsidRDefault="00747EB4" w:rsidP="00431D19">
            <w:pPr>
              <w:rPr>
                <w:sz w:val="20"/>
                <w:szCs w:val="20"/>
              </w:rPr>
            </w:pPr>
            <w:r w:rsidRPr="00194FE4">
              <w:rPr>
                <w:sz w:val="20"/>
                <w:szCs w:val="20"/>
              </w:rPr>
              <w:t>Cross Creek – Compliance Improvements</w:t>
            </w:r>
          </w:p>
        </w:tc>
        <w:tc>
          <w:tcPr>
            <w:tcW w:w="1285" w:type="dxa"/>
          </w:tcPr>
          <w:p w:rsidR="00747EB4" w:rsidRPr="0009203C" w:rsidRDefault="00747EB4" w:rsidP="00431D19">
            <w:pPr>
              <w:jc w:val="right"/>
              <w:rPr>
                <w:sz w:val="20"/>
                <w:szCs w:val="20"/>
              </w:rPr>
            </w:pPr>
            <w:r w:rsidRPr="00194FE4">
              <w:rPr>
                <w:sz w:val="20"/>
                <w:szCs w:val="20"/>
              </w:rPr>
              <w:t>$165,114</w:t>
            </w:r>
          </w:p>
        </w:tc>
        <w:tc>
          <w:tcPr>
            <w:tcW w:w="1278" w:type="dxa"/>
            <w:shd w:val="clear" w:color="auto" w:fill="auto"/>
          </w:tcPr>
          <w:p w:rsidR="00747EB4" w:rsidRPr="0009203C" w:rsidRDefault="00747EB4" w:rsidP="00431D19">
            <w:pPr>
              <w:jc w:val="right"/>
              <w:rPr>
                <w:sz w:val="20"/>
                <w:szCs w:val="20"/>
              </w:rPr>
            </w:pPr>
            <w:r>
              <w:rPr>
                <w:sz w:val="20"/>
                <w:szCs w:val="20"/>
              </w:rPr>
              <w:t>$157,445</w:t>
            </w:r>
          </w:p>
        </w:tc>
        <w:tc>
          <w:tcPr>
            <w:tcW w:w="1288" w:type="dxa"/>
            <w:shd w:val="clear" w:color="auto" w:fill="auto"/>
          </w:tcPr>
          <w:p w:rsidR="00747EB4" w:rsidRPr="0009203C" w:rsidRDefault="00747EB4" w:rsidP="00431D19">
            <w:pPr>
              <w:jc w:val="right"/>
              <w:rPr>
                <w:sz w:val="20"/>
                <w:szCs w:val="20"/>
              </w:rPr>
            </w:pPr>
            <w:r>
              <w:rPr>
                <w:sz w:val="20"/>
                <w:szCs w:val="20"/>
              </w:rPr>
              <w:t>($7,669)</w:t>
            </w:r>
          </w:p>
        </w:tc>
      </w:tr>
      <w:tr w:rsidR="00747EB4" w:rsidRPr="0009203C" w:rsidTr="00431D19">
        <w:tc>
          <w:tcPr>
            <w:tcW w:w="766" w:type="dxa"/>
          </w:tcPr>
          <w:p w:rsidR="00747EB4" w:rsidRPr="0009203C" w:rsidRDefault="00747EB4" w:rsidP="00431D19">
            <w:pPr>
              <w:rPr>
                <w:sz w:val="20"/>
                <w:szCs w:val="20"/>
              </w:rPr>
            </w:pPr>
            <w:r w:rsidRPr="0009203C">
              <w:rPr>
                <w:sz w:val="20"/>
                <w:szCs w:val="20"/>
              </w:rPr>
              <w:t>ST-8</w:t>
            </w:r>
          </w:p>
        </w:tc>
        <w:tc>
          <w:tcPr>
            <w:tcW w:w="4733" w:type="dxa"/>
          </w:tcPr>
          <w:p w:rsidR="00747EB4" w:rsidRPr="0009203C" w:rsidRDefault="00747EB4" w:rsidP="00431D19">
            <w:pPr>
              <w:rPr>
                <w:sz w:val="20"/>
                <w:szCs w:val="20"/>
              </w:rPr>
            </w:pPr>
            <w:r w:rsidRPr="00194FE4">
              <w:rPr>
                <w:sz w:val="20"/>
                <w:szCs w:val="20"/>
              </w:rPr>
              <w:t>Mid-County - Riviera Estates LS, FM and GM Crossing Removal</w:t>
            </w:r>
          </w:p>
        </w:tc>
        <w:tc>
          <w:tcPr>
            <w:tcW w:w="1285" w:type="dxa"/>
          </w:tcPr>
          <w:p w:rsidR="00747EB4" w:rsidRPr="0009203C" w:rsidRDefault="00747EB4" w:rsidP="00431D19">
            <w:pPr>
              <w:jc w:val="right"/>
              <w:rPr>
                <w:sz w:val="20"/>
                <w:szCs w:val="20"/>
              </w:rPr>
            </w:pPr>
            <w:r w:rsidRPr="00194FE4">
              <w:rPr>
                <w:sz w:val="20"/>
                <w:szCs w:val="20"/>
              </w:rPr>
              <w:t>$2,138,069</w:t>
            </w:r>
          </w:p>
        </w:tc>
        <w:tc>
          <w:tcPr>
            <w:tcW w:w="1278" w:type="dxa"/>
            <w:shd w:val="clear" w:color="auto" w:fill="auto"/>
          </w:tcPr>
          <w:p w:rsidR="00747EB4" w:rsidRPr="0009203C" w:rsidRDefault="00747EB4" w:rsidP="00431D19">
            <w:pPr>
              <w:jc w:val="right"/>
              <w:rPr>
                <w:sz w:val="20"/>
                <w:szCs w:val="20"/>
              </w:rPr>
            </w:pPr>
            <w:r w:rsidRPr="00CB0026">
              <w:rPr>
                <w:sz w:val="20"/>
                <w:szCs w:val="20"/>
              </w:rPr>
              <w:t>$2,130,672</w:t>
            </w:r>
          </w:p>
        </w:tc>
        <w:tc>
          <w:tcPr>
            <w:tcW w:w="1288" w:type="dxa"/>
            <w:shd w:val="clear" w:color="auto" w:fill="auto"/>
          </w:tcPr>
          <w:p w:rsidR="00747EB4" w:rsidRPr="0009203C" w:rsidRDefault="00747EB4" w:rsidP="00431D19">
            <w:pPr>
              <w:jc w:val="right"/>
              <w:rPr>
                <w:sz w:val="20"/>
                <w:szCs w:val="20"/>
              </w:rPr>
            </w:pPr>
            <w:r>
              <w:rPr>
                <w:sz w:val="20"/>
                <w:szCs w:val="20"/>
              </w:rPr>
              <w:t>(</w:t>
            </w:r>
            <w:r w:rsidRPr="00CB0026">
              <w:rPr>
                <w:sz w:val="20"/>
                <w:szCs w:val="20"/>
              </w:rPr>
              <w:t>$7,397</w:t>
            </w:r>
            <w:r>
              <w:rPr>
                <w:sz w:val="20"/>
                <w:szCs w:val="20"/>
              </w:rPr>
              <w:t>)</w:t>
            </w:r>
          </w:p>
        </w:tc>
      </w:tr>
      <w:tr w:rsidR="00747EB4" w:rsidRPr="0009203C" w:rsidTr="00431D19">
        <w:tc>
          <w:tcPr>
            <w:tcW w:w="766" w:type="dxa"/>
          </w:tcPr>
          <w:p w:rsidR="00747EB4" w:rsidRPr="0009203C" w:rsidRDefault="00747EB4" w:rsidP="00431D19">
            <w:pPr>
              <w:rPr>
                <w:sz w:val="20"/>
                <w:szCs w:val="20"/>
              </w:rPr>
            </w:pPr>
            <w:r w:rsidRPr="0009203C">
              <w:rPr>
                <w:sz w:val="20"/>
                <w:szCs w:val="20"/>
              </w:rPr>
              <w:t>ST-9</w:t>
            </w:r>
          </w:p>
        </w:tc>
        <w:tc>
          <w:tcPr>
            <w:tcW w:w="4733" w:type="dxa"/>
          </w:tcPr>
          <w:p w:rsidR="00747EB4" w:rsidRPr="0009203C" w:rsidRDefault="00747EB4" w:rsidP="00431D19">
            <w:pPr>
              <w:rPr>
                <w:sz w:val="20"/>
                <w:szCs w:val="20"/>
              </w:rPr>
            </w:pPr>
            <w:r w:rsidRPr="00194FE4">
              <w:rPr>
                <w:sz w:val="20"/>
                <w:szCs w:val="20"/>
              </w:rPr>
              <w:t>Mid-County – Wilshire Manhole Replacement</w:t>
            </w:r>
          </w:p>
        </w:tc>
        <w:tc>
          <w:tcPr>
            <w:tcW w:w="1285" w:type="dxa"/>
          </w:tcPr>
          <w:p w:rsidR="00747EB4" w:rsidRPr="0009203C" w:rsidRDefault="00747EB4" w:rsidP="00431D19">
            <w:pPr>
              <w:jc w:val="right"/>
              <w:rPr>
                <w:sz w:val="20"/>
                <w:szCs w:val="20"/>
              </w:rPr>
            </w:pPr>
            <w:r w:rsidRPr="00194FE4">
              <w:rPr>
                <w:sz w:val="20"/>
                <w:szCs w:val="20"/>
              </w:rPr>
              <w:t>$320,903</w:t>
            </w:r>
          </w:p>
        </w:tc>
        <w:tc>
          <w:tcPr>
            <w:tcW w:w="1278" w:type="dxa"/>
            <w:shd w:val="clear" w:color="auto" w:fill="auto"/>
          </w:tcPr>
          <w:p w:rsidR="00747EB4" w:rsidRPr="0009203C" w:rsidRDefault="00747EB4" w:rsidP="00431D19">
            <w:pPr>
              <w:jc w:val="right"/>
              <w:rPr>
                <w:sz w:val="20"/>
                <w:szCs w:val="20"/>
              </w:rPr>
            </w:pPr>
            <w:r>
              <w:rPr>
                <w:sz w:val="20"/>
                <w:szCs w:val="20"/>
              </w:rPr>
              <w:t>$315,101</w:t>
            </w:r>
          </w:p>
        </w:tc>
        <w:tc>
          <w:tcPr>
            <w:tcW w:w="1288" w:type="dxa"/>
            <w:shd w:val="clear" w:color="auto" w:fill="auto"/>
          </w:tcPr>
          <w:p w:rsidR="00747EB4" w:rsidRPr="0009203C" w:rsidRDefault="00747EB4" w:rsidP="00431D19">
            <w:pPr>
              <w:jc w:val="right"/>
              <w:rPr>
                <w:sz w:val="20"/>
                <w:szCs w:val="20"/>
              </w:rPr>
            </w:pPr>
            <w:r>
              <w:rPr>
                <w:sz w:val="20"/>
                <w:szCs w:val="20"/>
              </w:rPr>
              <w:t>($5,802)</w:t>
            </w:r>
          </w:p>
        </w:tc>
      </w:tr>
      <w:tr w:rsidR="00747EB4" w:rsidRPr="0009203C" w:rsidTr="00431D19">
        <w:tc>
          <w:tcPr>
            <w:tcW w:w="766" w:type="dxa"/>
          </w:tcPr>
          <w:p w:rsidR="00747EB4" w:rsidRPr="0009203C" w:rsidRDefault="00747EB4" w:rsidP="00431D19">
            <w:pPr>
              <w:rPr>
                <w:sz w:val="20"/>
                <w:szCs w:val="20"/>
              </w:rPr>
            </w:pPr>
            <w:r w:rsidRPr="0009203C">
              <w:rPr>
                <w:sz w:val="20"/>
                <w:szCs w:val="20"/>
              </w:rPr>
              <w:t>ST-10</w:t>
            </w:r>
          </w:p>
        </w:tc>
        <w:tc>
          <w:tcPr>
            <w:tcW w:w="4733" w:type="dxa"/>
          </w:tcPr>
          <w:p w:rsidR="00747EB4" w:rsidRPr="0009203C" w:rsidRDefault="00747EB4" w:rsidP="00431D19">
            <w:pPr>
              <w:rPr>
                <w:sz w:val="20"/>
                <w:szCs w:val="20"/>
              </w:rPr>
            </w:pPr>
            <w:r w:rsidRPr="00194FE4">
              <w:rPr>
                <w:sz w:val="20"/>
                <w:szCs w:val="20"/>
              </w:rPr>
              <w:t>LUSI – Construction 2nd Lower Floridan Well</w:t>
            </w:r>
          </w:p>
        </w:tc>
        <w:tc>
          <w:tcPr>
            <w:tcW w:w="1285" w:type="dxa"/>
          </w:tcPr>
          <w:p w:rsidR="00747EB4" w:rsidRPr="0009203C" w:rsidRDefault="00747EB4" w:rsidP="00431D19">
            <w:pPr>
              <w:jc w:val="right"/>
              <w:rPr>
                <w:sz w:val="20"/>
                <w:szCs w:val="20"/>
              </w:rPr>
            </w:pPr>
            <w:r w:rsidRPr="00194FE4">
              <w:rPr>
                <w:sz w:val="20"/>
                <w:szCs w:val="20"/>
              </w:rPr>
              <w:t>$2,151,519</w:t>
            </w:r>
          </w:p>
        </w:tc>
        <w:tc>
          <w:tcPr>
            <w:tcW w:w="1278" w:type="dxa"/>
            <w:shd w:val="clear" w:color="auto" w:fill="auto"/>
          </w:tcPr>
          <w:p w:rsidR="00747EB4" w:rsidRPr="0009203C" w:rsidRDefault="00747EB4" w:rsidP="00431D19">
            <w:pPr>
              <w:jc w:val="right"/>
              <w:rPr>
                <w:sz w:val="20"/>
                <w:szCs w:val="20"/>
              </w:rPr>
            </w:pPr>
            <w:r w:rsidRPr="00CB0026">
              <w:rPr>
                <w:sz w:val="20"/>
                <w:szCs w:val="20"/>
              </w:rPr>
              <w:t>$1,958,967</w:t>
            </w:r>
          </w:p>
        </w:tc>
        <w:tc>
          <w:tcPr>
            <w:tcW w:w="1288" w:type="dxa"/>
            <w:shd w:val="clear" w:color="auto" w:fill="auto"/>
          </w:tcPr>
          <w:p w:rsidR="00747EB4" w:rsidRPr="0009203C" w:rsidRDefault="00747EB4" w:rsidP="00431D19">
            <w:pPr>
              <w:jc w:val="right"/>
              <w:rPr>
                <w:sz w:val="20"/>
                <w:szCs w:val="20"/>
              </w:rPr>
            </w:pPr>
            <w:r>
              <w:rPr>
                <w:sz w:val="20"/>
                <w:szCs w:val="20"/>
              </w:rPr>
              <w:t>(</w:t>
            </w:r>
            <w:r w:rsidRPr="00CB0026">
              <w:rPr>
                <w:sz w:val="20"/>
                <w:szCs w:val="20"/>
              </w:rPr>
              <w:t>$192,551</w:t>
            </w:r>
            <w:r>
              <w:rPr>
                <w:sz w:val="20"/>
                <w:szCs w:val="20"/>
              </w:rPr>
              <w:t>)</w:t>
            </w:r>
          </w:p>
        </w:tc>
      </w:tr>
      <w:tr w:rsidR="00747EB4" w:rsidRPr="0009203C" w:rsidTr="00431D19">
        <w:tc>
          <w:tcPr>
            <w:tcW w:w="766" w:type="dxa"/>
          </w:tcPr>
          <w:p w:rsidR="00747EB4" w:rsidRPr="0009203C" w:rsidRDefault="00747EB4" w:rsidP="00431D19">
            <w:pPr>
              <w:rPr>
                <w:sz w:val="20"/>
                <w:szCs w:val="20"/>
              </w:rPr>
            </w:pPr>
            <w:r w:rsidRPr="0009203C">
              <w:rPr>
                <w:sz w:val="20"/>
                <w:szCs w:val="20"/>
              </w:rPr>
              <w:t>ST-11</w:t>
            </w:r>
          </w:p>
        </w:tc>
        <w:tc>
          <w:tcPr>
            <w:tcW w:w="4733" w:type="dxa"/>
          </w:tcPr>
          <w:p w:rsidR="00747EB4" w:rsidRPr="0009203C" w:rsidRDefault="00747EB4" w:rsidP="00431D19">
            <w:pPr>
              <w:rPr>
                <w:sz w:val="20"/>
                <w:szCs w:val="20"/>
              </w:rPr>
            </w:pPr>
            <w:r>
              <w:rPr>
                <w:sz w:val="20"/>
                <w:szCs w:val="20"/>
              </w:rPr>
              <w:t>LUSI CFX US 27 Sewer Relocates</w:t>
            </w:r>
          </w:p>
        </w:tc>
        <w:tc>
          <w:tcPr>
            <w:tcW w:w="1285" w:type="dxa"/>
            <w:shd w:val="clear" w:color="auto" w:fill="auto"/>
          </w:tcPr>
          <w:p w:rsidR="00747EB4" w:rsidRPr="00BB2483" w:rsidRDefault="00747EB4" w:rsidP="00431D19">
            <w:pPr>
              <w:jc w:val="right"/>
              <w:rPr>
                <w:sz w:val="20"/>
                <w:szCs w:val="20"/>
              </w:rPr>
            </w:pPr>
            <w:r w:rsidRPr="00BB2483">
              <w:rPr>
                <w:sz w:val="20"/>
                <w:szCs w:val="20"/>
              </w:rPr>
              <w:t>$4,474,320</w:t>
            </w:r>
          </w:p>
        </w:tc>
        <w:tc>
          <w:tcPr>
            <w:tcW w:w="1278" w:type="dxa"/>
            <w:shd w:val="clear" w:color="auto" w:fill="auto"/>
          </w:tcPr>
          <w:p w:rsidR="00747EB4" w:rsidRPr="00BB2483" w:rsidRDefault="00747EB4" w:rsidP="00431D19">
            <w:pPr>
              <w:jc w:val="right"/>
              <w:rPr>
                <w:sz w:val="20"/>
                <w:szCs w:val="20"/>
              </w:rPr>
            </w:pPr>
            <w:r w:rsidRPr="00CB0026">
              <w:rPr>
                <w:sz w:val="20"/>
                <w:szCs w:val="20"/>
              </w:rPr>
              <w:t>$4,612,569</w:t>
            </w:r>
          </w:p>
        </w:tc>
        <w:tc>
          <w:tcPr>
            <w:tcW w:w="1288" w:type="dxa"/>
            <w:shd w:val="clear" w:color="auto" w:fill="auto"/>
          </w:tcPr>
          <w:p w:rsidR="00747EB4" w:rsidRPr="00BB2483" w:rsidRDefault="00747EB4" w:rsidP="00431D19">
            <w:pPr>
              <w:jc w:val="right"/>
              <w:rPr>
                <w:sz w:val="20"/>
                <w:szCs w:val="20"/>
              </w:rPr>
            </w:pPr>
            <w:r w:rsidRPr="00CB0026">
              <w:rPr>
                <w:sz w:val="20"/>
                <w:szCs w:val="20"/>
              </w:rPr>
              <w:t>$138,249</w:t>
            </w:r>
          </w:p>
        </w:tc>
      </w:tr>
      <w:tr w:rsidR="00747EB4" w:rsidRPr="0009203C" w:rsidTr="00431D19">
        <w:tc>
          <w:tcPr>
            <w:tcW w:w="766" w:type="dxa"/>
          </w:tcPr>
          <w:p w:rsidR="00747EB4" w:rsidRPr="0009203C" w:rsidRDefault="00747EB4" w:rsidP="00431D19">
            <w:pPr>
              <w:rPr>
                <w:sz w:val="20"/>
                <w:szCs w:val="20"/>
              </w:rPr>
            </w:pPr>
            <w:r w:rsidRPr="0009203C">
              <w:rPr>
                <w:sz w:val="20"/>
                <w:szCs w:val="20"/>
              </w:rPr>
              <w:t>ST-12</w:t>
            </w:r>
          </w:p>
        </w:tc>
        <w:tc>
          <w:tcPr>
            <w:tcW w:w="4733" w:type="dxa"/>
          </w:tcPr>
          <w:p w:rsidR="00747EB4" w:rsidRPr="0009203C" w:rsidRDefault="00747EB4" w:rsidP="00431D19">
            <w:pPr>
              <w:rPr>
                <w:sz w:val="20"/>
                <w:szCs w:val="20"/>
              </w:rPr>
            </w:pPr>
            <w:r>
              <w:rPr>
                <w:sz w:val="20"/>
                <w:szCs w:val="20"/>
              </w:rPr>
              <w:t>LUSI CFX US 27 Water Relocates</w:t>
            </w:r>
          </w:p>
        </w:tc>
        <w:tc>
          <w:tcPr>
            <w:tcW w:w="1285" w:type="dxa"/>
            <w:shd w:val="clear" w:color="auto" w:fill="auto"/>
          </w:tcPr>
          <w:p w:rsidR="00747EB4" w:rsidRPr="00BB2483" w:rsidRDefault="00747EB4" w:rsidP="00431D19">
            <w:pPr>
              <w:jc w:val="right"/>
              <w:rPr>
                <w:sz w:val="20"/>
                <w:szCs w:val="20"/>
              </w:rPr>
            </w:pPr>
            <w:r w:rsidRPr="00BB2483">
              <w:rPr>
                <w:sz w:val="20"/>
                <w:szCs w:val="20"/>
              </w:rPr>
              <w:t>$3,369,201</w:t>
            </w:r>
          </w:p>
        </w:tc>
        <w:tc>
          <w:tcPr>
            <w:tcW w:w="1278" w:type="dxa"/>
            <w:shd w:val="clear" w:color="auto" w:fill="auto"/>
          </w:tcPr>
          <w:p w:rsidR="00747EB4" w:rsidRPr="00BB2483" w:rsidRDefault="00747EB4" w:rsidP="00431D19">
            <w:pPr>
              <w:jc w:val="right"/>
              <w:rPr>
                <w:sz w:val="20"/>
                <w:szCs w:val="20"/>
              </w:rPr>
            </w:pPr>
            <w:r w:rsidRPr="00CB0026">
              <w:rPr>
                <w:sz w:val="20"/>
                <w:szCs w:val="20"/>
              </w:rPr>
              <w:t>$2,770,605</w:t>
            </w:r>
          </w:p>
        </w:tc>
        <w:tc>
          <w:tcPr>
            <w:tcW w:w="1288" w:type="dxa"/>
            <w:shd w:val="clear" w:color="auto" w:fill="auto"/>
          </w:tcPr>
          <w:p w:rsidR="00747EB4" w:rsidRPr="00BB2483" w:rsidRDefault="00747EB4" w:rsidP="00431D19">
            <w:pPr>
              <w:jc w:val="right"/>
              <w:rPr>
                <w:sz w:val="20"/>
                <w:szCs w:val="20"/>
              </w:rPr>
            </w:pPr>
            <w:r>
              <w:rPr>
                <w:sz w:val="20"/>
                <w:szCs w:val="20"/>
              </w:rPr>
              <w:t>(</w:t>
            </w:r>
            <w:r w:rsidRPr="00CB0026">
              <w:rPr>
                <w:sz w:val="20"/>
                <w:szCs w:val="20"/>
              </w:rPr>
              <w:t>$598,596</w:t>
            </w:r>
            <w:r>
              <w:rPr>
                <w:sz w:val="20"/>
                <w:szCs w:val="20"/>
              </w:rPr>
              <w:t>)</w:t>
            </w:r>
          </w:p>
        </w:tc>
      </w:tr>
      <w:tr w:rsidR="00747EB4" w:rsidRPr="0009203C" w:rsidTr="00431D19">
        <w:tc>
          <w:tcPr>
            <w:tcW w:w="766" w:type="dxa"/>
          </w:tcPr>
          <w:p w:rsidR="00747EB4" w:rsidRPr="0009203C" w:rsidRDefault="00747EB4" w:rsidP="00431D19">
            <w:pPr>
              <w:rPr>
                <w:sz w:val="20"/>
                <w:szCs w:val="20"/>
              </w:rPr>
            </w:pPr>
            <w:r w:rsidRPr="0009203C">
              <w:rPr>
                <w:sz w:val="20"/>
                <w:szCs w:val="20"/>
              </w:rPr>
              <w:t>ST-13</w:t>
            </w:r>
          </w:p>
        </w:tc>
        <w:tc>
          <w:tcPr>
            <w:tcW w:w="4733" w:type="dxa"/>
          </w:tcPr>
          <w:p w:rsidR="00747EB4" w:rsidRPr="0009203C" w:rsidRDefault="00747EB4" w:rsidP="00431D19">
            <w:pPr>
              <w:rPr>
                <w:sz w:val="20"/>
                <w:szCs w:val="20"/>
              </w:rPr>
            </w:pPr>
            <w:r w:rsidRPr="00194FE4">
              <w:rPr>
                <w:sz w:val="20"/>
                <w:szCs w:val="20"/>
              </w:rPr>
              <w:t>LUSI – CR</w:t>
            </w:r>
            <w:r>
              <w:rPr>
                <w:sz w:val="20"/>
                <w:szCs w:val="20"/>
              </w:rPr>
              <w:t xml:space="preserve"> </w:t>
            </w:r>
            <w:r w:rsidRPr="00194FE4">
              <w:rPr>
                <w:sz w:val="20"/>
                <w:szCs w:val="20"/>
              </w:rPr>
              <w:t>561 WTP Improvements</w:t>
            </w:r>
          </w:p>
        </w:tc>
        <w:tc>
          <w:tcPr>
            <w:tcW w:w="1285" w:type="dxa"/>
          </w:tcPr>
          <w:p w:rsidR="00747EB4" w:rsidRPr="0009203C" w:rsidRDefault="00747EB4" w:rsidP="00431D19">
            <w:pPr>
              <w:jc w:val="right"/>
              <w:rPr>
                <w:sz w:val="20"/>
                <w:szCs w:val="20"/>
              </w:rPr>
            </w:pPr>
            <w:r w:rsidRPr="00194FE4">
              <w:rPr>
                <w:sz w:val="20"/>
                <w:szCs w:val="20"/>
              </w:rPr>
              <w:t>$1,882,650</w:t>
            </w:r>
          </w:p>
        </w:tc>
        <w:tc>
          <w:tcPr>
            <w:tcW w:w="1278" w:type="dxa"/>
            <w:shd w:val="clear" w:color="auto" w:fill="auto"/>
          </w:tcPr>
          <w:p w:rsidR="00747EB4" w:rsidRPr="0009203C" w:rsidRDefault="00747EB4" w:rsidP="00431D19">
            <w:pPr>
              <w:jc w:val="right"/>
              <w:rPr>
                <w:sz w:val="20"/>
                <w:szCs w:val="20"/>
              </w:rPr>
            </w:pPr>
            <w:r>
              <w:rPr>
                <w:sz w:val="20"/>
                <w:szCs w:val="20"/>
              </w:rPr>
              <w:t>$2,534,217</w:t>
            </w:r>
          </w:p>
        </w:tc>
        <w:tc>
          <w:tcPr>
            <w:tcW w:w="1288" w:type="dxa"/>
            <w:shd w:val="clear" w:color="auto" w:fill="auto"/>
          </w:tcPr>
          <w:p w:rsidR="00747EB4" w:rsidRPr="0009203C" w:rsidRDefault="00747EB4" w:rsidP="00431D19">
            <w:pPr>
              <w:jc w:val="right"/>
              <w:rPr>
                <w:sz w:val="20"/>
                <w:szCs w:val="20"/>
              </w:rPr>
            </w:pPr>
            <w:r>
              <w:rPr>
                <w:sz w:val="20"/>
                <w:szCs w:val="20"/>
              </w:rPr>
              <w:t>$651,567</w:t>
            </w:r>
          </w:p>
        </w:tc>
      </w:tr>
      <w:tr w:rsidR="00747EB4" w:rsidRPr="0009203C" w:rsidTr="00431D19">
        <w:tc>
          <w:tcPr>
            <w:tcW w:w="766" w:type="dxa"/>
          </w:tcPr>
          <w:p w:rsidR="00747EB4" w:rsidRPr="0009203C" w:rsidRDefault="00747EB4" w:rsidP="00431D19">
            <w:pPr>
              <w:rPr>
                <w:sz w:val="20"/>
                <w:szCs w:val="20"/>
              </w:rPr>
            </w:pPr>
            <w:r w:rsidRPr="0009203C">
              <w:rPr>
                <w:sz w:val="20"/>
                <w:szCs w:val="20"/>
              </w:rPr>
              <w:t>ST-14</w:t>
            </w:r>
          </w:p>
        </w:tc>
        <w:tc>
          <w:tcPr>
            <w:tcW w:w="4733" w:type="dxa"/>
          </w:tcPr>
          <w:p w:rsidR="00747EB4" w:rsidRPr="0009203C" w:rsidRDefault="00747EB4" w:rsidP="00431D19">
            <w:pPr>
              <w:rPr>
                <w:sz w:val="20"/>
                <w:szCs w:val="20"/>
              </w:rPr>
            </w:pPr>
            <w:r w:rsidRPr="00194FE4">
              <w:rPr>
                <w:sz w:val="20"/>
                <w:szCs w:val="20"/>
              </w:rPr>
              <w:t>UIF – Weathersfield WTP Generator Replacement</w:t>
            </w:r>
          </w:p>
        </w:tc>
        <w:tc>
          <w:tcPr>
            <w:tcW w:w="1285" w:type="dxa"/>
          </w:tcPr>
          <w:p w:rsidR="00747EB4" w:rsidRPr="0009203C" w:rsidRDefault="00747EB4" w:rsidP="00431D19">
            <w:pPr>
              <w:jc w:val="right"/>
              <w:rPr>
                <w:sz w:val="20"/>
                <w:szCs w:val="20"/>
              </w:rPr>
            </w:pPr>
            <w:r w:rsidRPr="00194FE4">
              <w:rPr>
                <w:sz w:val="20"/>
                <w:szCs w:val="20"/>
              </w:rPr>
              <w:t>$1,285,148</w:t>
            </w:r>
          </w:p>
        </w:tc>
        <w:tc>
          <w:tcPr>
            <w:tcW w:w="1278" w:type="dxa"/>
            <w:shd w:val="clear" w:color="auto" w:fill="auto"/>
          </w:tcPr>
          <w:p w:rsidR="00747EB4" w:rsidRPr="0009203C" w:rsidRDefault="00747EB4" w:rsidP="00431D19">
            <w:pPr>
              <w:jc w:val="right"/>
              <w:rPr>
                <w:sz w:val="20"/>
                <w:szCs w:val="20"/>
              </w:rPr>
            </w:pPr>
            <w:r w:rsidRPr="00CB0026">
              <w:rPr>
                <w:sz w:val="20"/>
                <w:szCs w:val="20"/>
              </w:rPr>
              <w:t>$1,330,913</w:t>
            </w:r>
          </w:p>
        </w:tc>
        <w:tc>
          <w:tcPr>
            <w:tcW w:w="1288" w:type="dxa"/>
            <w:shd w:val="clear" w:color="auto" w:fill="auto"/>
          </w:tcPr>
          <w:p w:rsidR="00747EB4" w:rsidRPr="0009203C" w:rsidRDefault="00747EB4" w:rsidP="00431D19">
            <w:pPr>
              <w:jc w:val="right"/>
              <w:rPr>
                <w:sz w:val="20"/>
                <w:szCs w:val="20"/>
              </w:rPr>
            </w:pPr>
            <w:r w:rsidRPr="00CB0026">
              <w:rPr>
                <w:sz w:val="20"/>
                <w:szCs w:val="20"/>
              </w:rPr>
              <w:t>$45,765</w:t>
            </w:r>
          </w:p>
        </w:tc>
      </w:tr>
      <w:tr w:rsidR="00747EB4" w:rsidRPr="0009203C" w:rsidTr="00431D19">
        <w:tc>
          <w:tcPr>
            <w:tcW w:w="766" w:type="dxa"/>
          </w:tcPr>
          <w:p w:rsidR="00747EB4" w:rsidRPr="0009203C" w:rsidRDefault="00747EB4" w:rsidP="00431D19">
            <w:pPr>
              <w:rPr>
                <w:sz w:val="20"/>
                <w:szCs w:val="20"/>
              </w:rPr>
            </w:pPr>
            <w:r w:rsidRPr="0009203C">
              <w:rPr>
                <w:sz w:val="20"/>
                <w:szCs w:val="20"/>
              </w:rPr>
              <w:t>ST-15</w:t>
            </w:r>
          </w:p>
        </w:tc>
        <w:tc>
          <w:tcPr>
            <w:tcW w:w="4733" w:type="dxa"/>
          </w:tcPr>
          <w:p w:rsidR="00747EB4" w:rsidRPr="0009203C" w:rsidRDefault="00747EB4" w:rsidP="00431D19">
            <w:pPr>
              <w:rPr>
                <w:sz w:val="20"/>
                <w:szCs w:val="20"/>
              </w:rPr>
            </w:pPr>
            <w:r w:rsidRPr="00194FE4">
              <w:rPr>
                <w:sz w:val="20"/>
                <w:szCs w:val="20"/>
              </w:rPr>
              <w:t>UIF – Weathersfield Hydro Tank Replacement</w:t>
            </w:r>
          </w:p>
        </w:tc>
        <w:tc>
          <w:tcPr>
            <w:tcW w:w="1285" w:type="dxa"/>
          </w:tcPr>
          <w:p w:rsidR="00747EB4" w:rsidRPr="0009203C" w:rsidRDefault="00747EB4" w:rsidP="00431D19">
            <w:pPr>
              <w:jc w:val="right"/>
              <w:rPr>
                <w:sz w:val="20"/>
                <w:szCs w:val="20"/>
              </w:rPr>
            </w:pPr>
            <w:r w:rsidRPr="00310804">
              <w:rPr>
                <w:sz w:val="20"/>
                <w:szCs w:val="20"/>
              </w:rPr>
              <w:t>$102,201</w:t>
            </w:r>
          </w:p>
        </w:tc>
        <w:tc>
          <w:tcPr>
            <w:tcW w:w="1278" w:type="dxa"/>
            <w:shd w:val="clear" w:color="auto" w:fill="auto"/>
          </w:tcPr>
          <w:p w:rsidR="00747EB4" w:rsidRPr="0009203C" w:rsidRDefault="00747EB4" w:rsidP="00431D19">
            <w:pPr>
              <w:jc w:val="right"/>
              <w:rPr>
                <w:sz w:val="20"/>
                <w:szCs w:val="20"/>
              </w:rPr>
            </w:pPr>
            <w:r>
              <w:rPr>
                <w:sz w:val="20"/>
                <w:szCs w:val="20"/>
              </w:rPr>
              <w:t>$102,201</w:t>
            </w:r>
          </w:p>
        </w:tc>
        <w:tc>
          <w:tcPr>
            <w:tcW w:w="1288" w:type="dxa"/>
            <w:shd w:val="clear" w:color="auto" w:fill="auto"/>
          </w:tcPr>
          <w:p w:rsidR="00747EB4" w:rsidRPr="0009203C" w:rsidRDefault="00747EB4" w:rsidP="00431D19">
            <w:pPr>
              <w:jc w:val="right"/>
              <w:rPr>
                <w:sz w:val="20"/>
                <w:szCs w:val="20"/>
              </w:rPr>
            </w:pPr>
            <w:r>
              <w:rPr>
                <w:sz w:val="20"/>
                <w:szCs w:val="20"/>
              </w:rPr>
              <w:t>$0</w:t>
            </w:r>
          </w:p>
        </w:tc>
      </w:tr>
      <w:tr w:rsidR="00747EB4" w:rsidRPr="0009203C" w:rsidTr="00431D19">
        <w:tc>
          <w:tcPr>
            <w:tcW w:w="766" w:type="dxa"/>
          </w:tcPr>
          <w:p w:rsidR="00747EB4" w:rsidRPr="0009203C" w:rsidRDefault="00747EB4" w:rsidP="00431D19">
            <w:pPr>
              <w:rPr>
                <w:sz w:val="20"/>
                <w:szCs w:val="20"/>
              </w:rPr>
            </w:pPr>
            <w:r w:rsidRPr="0009203C">
              <w:rPr>
                <w:sz w:val="20"/>
                <w:szCs w:val="20"/>
              </w:rPr>
              <w:t>ST-16</w:t>
            </w:r>
          </w:p>
        </w:tc>
        <w:tc>
          <w:tcPr>
            <w:tcW w:w="4733" w:type="dxa"/>
          </w:tcPr>
          <w:p w:rsidR="00747EB4" w:rsidRPr="0009203C" w:rsidRDefault="00747EB4" w:rsidP="00431D19">
            <w:pPr>
              <w:rPr>
                <w:sz w:val="20"/>
                <w:szCs w:val="20"/>
              </w:rPr>
            </w:pPr>
            <w:r w:rsidRPr="00310804">
              <w:rPr>
                <w:sz w:val="20"/>
                <w:szCs w:val="20"/>
              </w:rPr>
              <w:t>Golden Hills WTP Generator Replacement</w:t>
            </w:r>
          </w:p>
        </w:tc>
        <w:tc>
          <w:tcPr>
            <w:tcW w:w="1285" w:type="dxa"/>
          </w:tcPr>
          <w:p w:rsidR="00747EB4" w:rsidRPr="0009203C" w:rsidRDefault="00747EB4" w:rsidP="00431D19">
            <w:pPr>
              <w:jc w:val="right"/>
              <w:rPr>
                <w:sz w:val="20"/>
                <w:szCs w:val="20"/>
              </w:rPr>
            </w:pPr>
            <w:r w:rsidRPr="00310804">
              <w:rPr>
                <w:sz w:val="20"/>
                <w:szCs w:val="20"/>
              </w:rPr>
              <w:t>$740,055</w:t>
            </w:r>
          </w:p>
        </w:tc>
        <w:tc>
          <w:tcPr>
            <w:tcW w:w="1278" w:type="dxa"/>
            <w:shd w:val="clear" w:color="auto" w:fill="auto"/>
          </w:tcPr>
          <w:p w:rsidR="00747EB4" w:rsidRPr="0009203C" w:rsidRDefault="00747EB4" w:rsidP="00431D19">
            <w:pPr>
              <w:jc w:val="right"/>
              <w:rPr>
                <w:sz w:val="20"/>
                <w:szCs w:val="20"/>
              </w:rPr>
            </w:pPr>
            <w:r w:rsidRPr="00CB0026">
              <w:rPr>
                <w:sz w:val="20"/>
                <w:szCs w:val="20"/>
              </w:rPr>
              <w:t>$1,233,180</w:t>
            </w:r>
          </w:p>
        </w:tc>
        <w:tc>
          <w:tcPr>
            <w:tcW w:w="1288" w:type="dxa"/>
            <w:shd w:val="clear" w:color="auto" w:fill="auto"/>
          </w:tcPr>
          <w:p w:rsidR="00747EB4" w:rsidRPr="0009203C" w:rsidRDefault="00747EB4" w:rsidP="00431D19">
            <w:pPr>
              <w:jc w:val="right"/>
              <w:rPr>
                <w:sz w:val="20"/>
                <w:szCs w:val="20"/>
              </w:rPr>
            </w:pPr>
            <w:r w:rsidRPr="00CB0026">
              <w:rPr>
                <w:sz w:val="20"/>
                <w:szCs w:val="20"/>
              </w:rPr>
              <w:t>$493,125</w:t>
            </w:r>
          </w:p>
        </w:tc>
      </w:tr>
      <w:tr w:rsidR="00747EB4" w:rsidRPr="0009203C" w:rsidTr="00431D19">
        <w:tc>
          <w:tcPr>
            <w:tcW w:w="766" w:type="dxa"/>
          </w:tcPr>
          <w:p w:rsidR="00747EB4" w:rsidRPr="0009203C" w:rsidRDefault="00747EB4" w:rsidP="00431D19">
            <w:pPr>
              <w:rPr>
                <w:sz w:val="20"/>
                <w:szCs w:val="20"/>
              </w:rPr>
            </w:pPr>
            <w:r w:rsidRPr="0009203C">
              <w:rPr>
                <w:sz w:val="20"/>
                <w:szCs w:val="20"/>
              </w:rPr>
              <w:t>ST-17</w:t>
            </w:r>
          </w:p>
        </w:tc>
        <w:tc>
          <w:tcPr>
            <w:tcW w:w="4733" w:type="dxa"/>
          </w:tcPr>
          <w:p w:rsidR="00747EB4" w:rsidRPr="0009203C" w:rsidRDefault="00747EB4" w:rsidP="00431D19">
            <w:pPr>
              <w:rPr>
                <w:sz w:val="20"/>
                <w:szCs w:val="20"/>
              </w:rPr>
            </w:pPr>
            <w:r w:rsidRPr="00310804">
              <w:rPr>
                <w:sz w:val="20"/>
                <w:szCs w:val="20"/>
              </w:rPr>
              <w:t>Sanlando – F5 FM</w:t>
            </w:r>
          </w:p>
        </w:tc>
        <w:tc>
          <w:tcPr>
            <w:tcW w:w="1285" w:type="dxa"/>
          </w:tcPr>
          <w:p w:rsidR="00747EB4" w:rsidRPr="0009203C" w:rsidRDefault="00747EB4" w:rsidP="00431D19">
            <w:pPr>
              <w:jc w:val="right"/>
              <w:rPr>
                <w:sz w:val="20"/>
                <w:szCs w:val="20"/>
              </w:rPr>
            </w:pPr>
            <w:r w:rsidRPr="00310804">
              <w:rPr>
                <w:sz w:val="20"/>
                <w:szCs w:val="20"/>
              </w:rPr>
              <w:t>$3,811,775</w:t>
            </w:r>
          </w:p>
        </w:tc>
        <w:tc>
          <w:tcPr>
            <w:tcW w:w="1278" w:type="dxa"/>
            <w:shd w:val="clear" w:color="auto" w:fill="auto"/>
          </w:tcPr>
          <w:p w:rsidR="00747EB4" w:rsidRPr="0009203C" w:rsidRDefault="00747EB4" w:rsidP="00431D19">
            <w:pPr>
              <w:jc w:val="right"/>
              <w:rPr>
                <w:sz w:val="20"/>
                <w:szCs w:val="20"/>
              </w:rPr>
            </w:pPr>
            <w:r>
              <w:rPr>
                <w:sz w:val="20"/>
                <w:szCs w:val="20"/>
              </w:rPr>
              <w:t>$5,006,397</w:t>
            </w:r>
          </w:p>
        </w:tc>
        <w:tc>
          <w:tcPr>
            <w:tcW w:w="1288" w:type="dxa"/>
            <w:shd w:val="clear" w:color="auto" w:fill="auto"/>
          </w:tcPr>
          <w:p w:rsidR="00747EB4" w:rsidRPr="0009203C" w:rsidRDefault="00747EB4" w:rsidP="00431D19">
            <w:pPr>
              <w:jc w:val="right"/>
              <w:rPr>
                <w:sz w:val="20"/>
                <w:szCs w:val="20"/>
              </w:rPr>
            </w:pPr>
            <w:r>
              <w:rPr>
                <w:sz w:val="20"/>
                <w:szCs w:val="20"/>
              </w:rPr>
              <w:t>$1,194,622</w:t>
            </w:r>
          </w:p>
        </w:tc>
      </w:tr>
      <w:tr w:rsidR="00747EB4" w:rsidRPr="0009203C" w:rsidTr="00431D19">
        <w:tc>
          <w:tcPr>
            <w:tcW w:w="766" w:type="dxa"/>
          </w:tcPr>
          <w:p w:rsidR="00747EB4" w:rsidRPr="0009203C" w:rsidRDefault="00747EB4" w:rsidP="00431D19">
            <w:pPr>
              <w:rPr>
                <w:sz w:val="20"/>
                <w:szCs w:val="20"/>
              </w:rPr>
            </w:pPr>
            <w:r w:rsidRPr="0009203C">
              <w:rPr>
                <w:sz w:val="20"/>
                <w:szCs w:val="20"/>
              </w:rPr>
              <w:t>ST-18</w:t>
            </w:r>
          </w:p>
        </w:tc>
        <w:tc>
          <w:tcPr>
            <w:tcW w:w="4733" w:type="dxa"/>
          </w:tcPr>
          <w:p w:rsidR="00747EB4" w:rsidRPr="0009203C" w:rsidRDefault="00747EB4" w:rsidP="00431D19">
            <w:pPr>
              <w:rPr>
                <w:sz w:val="20"/>
                <w:szCs w:val="20"/>
              </w:rPr>
            </w:pPr>
            <w:r w:rsidRPr="007D59EE">
              <w:rPr>
                <w:sz w:val="20"/>
                <w:szCs w:val="20"/>
              </w:rPr>
              <w:t>Sanlando Wekiva EQ Aeration Improvements</w:t>
            </w:r>
          </w:p>
        </w:tc>
        <w:tc>
          <w:tcPr>
            <w:tcW w:w="1285" w:type="dxa"/>
          </w:tcPr>
          <w:p w:rsidR="00747EB4" w:rsidRPr="0009203C" w:rsidRDefault="00747EB4" w:rsidP="00431D19">
            <w:pPr>
              <w:jc w:val="right"/>
              <w:rPr>
                <w:sz w:val="20"/>
                <w:szCs w:val="20"/>
              </w:rPr>
            </w:pPr>
            <w:r w:rsidRPr="007D59EE">
              <w:rPr>
                <w:sz w:val="20"/>
                <w:szCs w:val="20"/>
              </w:rPr>
              <w:t>$139,854</w:t>
            </w:r>
          </w:p>
        </w:tc>
        <w:tc>
          <w:tcPr>
            <w:tcW w:w="1278" w:type="dxa"/>
            <w:shd w:val="clear" w:color="auto" w:fill="auto"/>
          </w:tcPr>
          <w:p w:rsidR="00747EB4" w:rsidRPr="0009203C" w:rsidRDefault="00747EB4" w:rsidP="00431D19">
            <w:pPr>
              <w:jc w:val="right"/>
              <w:rPr>
                <w:sz w:val="20"/>
                <w:szCs w:val="20"/>
              </w:rPr>
            </w:pPr>
            <w:r>
              <w:rPr>
                <w:sz w:val="20"/>
                <w:szCs w:val="20"/>
              </w:rPr>
              <w:t>$280,367</w:t>
            </w:r>
          </w:p>
        </w:tc>
        <w:tc>
          <w:tcPr>
            <w:tcW w:w="1288" w:type="dxa"/>
            <w:shd w:val="clear" w:color="auto" w:fill="auto"/>
          </w:tcPr>
          <w:p w:rsidR="00747EB4" w:rsidRPr="0009203C" w:rsidRDefault="00747EB4" w:rsidP="00431D19">
            <w:pPr>
              <w:jc w:val="right"/>
              <w:rPr>
                <w:sz w:val="20"/>
                <w:szCs w:val="20"/>
              </w:rPr>
            </w:pPr>
            <w:r>
              <w:rPr>
                <w:sz w:val="20"/>
                <w:szCs w:val="20"/>
              </w:rPr>
              <w:t>$140,513</w:t>
            </w:r>
          </w:p>
        </w:tc>
      </w:tr>
      <w:tr w:rsidR="00747EB4" w:rsidRPr="0009203C" w:rsidTr="00431D19">
        <w:tc>
          <w:tcPr>
            <w:tcW w:w="766" w:type="dxa"/>
          </w:tcPr>
          <w:p w:rsidR="00747EB4" w:rsidRPr="0009203C" w:rsidRDefault="00747EB4" w:rsidP="00431D19">
            <w:pPr>
              <w:rPr>
                <w:sz w:val="20"/>
                <w:szCs w:val="20"/>
              </w:rPr>
            </w:pPr>
            <w:r>
              <w:rPr>
                <w:sz w:val="20"/>
                <w:szCs w:val="20"/>
              </w:rPr>
              <w:t>ST-19</w:t>
            </w:r>
          </w:p>
        </w:tc>
        <w:tc>
          <w:tcPr>
            <w:tcW w:w="4733" w:type="dxa"/>
          </w:tcPr>
          <w:p w:rsidR="00747EB4" w:rsidRPr="0009203C" w:rsidRDefault="00747EB4" w:rsidP="00431D19">
            <w:pPr>
              <w:rPr>
                <w:sz w:val="20"/>
                <w:szCs w:val="20"/>
              </w:rPr>
            </w:pPr>
            <w:r w:rsidRPr="007D59EE">
              <w:rPr>
                <w:sz w:val="20"/>
                <w:szCs w:val="20"/>
              </w:rPr>
              <w:t>Pennbrooke – Water Quality Improvements</w:t>
            </w:r>
          </w:p>
        </w:tc>
        <w:tc>
          <w:tcPr>
            <w:tcW w:w="1285" w:type="dxa"/>
          </w:tcPr>
          <w:p w:rsidR="00747EB4" w:rsidRPr="0009203C" w:rsidRDefault="00747EB4" w:rsidP="00431D19">
            <w:pPr>
              <w:jc w:val="right"/>
              <w:rPr>
                <w:sz w:val="20"/>
                <w:szCs w:val="20"/>
              </w:rPr>
            </w:pPr>
            <w:r w:rsidRPr="007D59EE">
              <w:rPr>
                <w:sz w:val="20"/>
                <w:szCs w:val="20"/>
              </w:rPr>
              <w:t>$9,488,944</w:t>
            </w:r>
          </w:p>
        </w:tc>
        <w:tc>
          <w:tcPr>
            <w:tcW w:w="1278" w:type="dxa"/>
            <w:shd w:val="clear" w:color="auto" w:fill="auto"/>
          </w:tcPr>
          <w:p w:rsidR="00747EB4" w:rsidRPr="00214ECD" w:rsidRDefault="00747EB4" w:rsidP="00431D19">
            <w:pPr>
              <w:jc w:val="right"/>
              <w:rPr>
                <w:sz w:val="20"/>
                <w:szCs w:val="20"/>
                <w:highlight w:val="yellow"/>
              </w:rPr>
            </w:pPr>
            <w:r w:rsidRPr="00CB0026">
              <w:rPr>
                <w:sz w:val="20"/>
                <w:szCs w:val="20"/>
              </w:rPr>
              <w:t>$10,176,622</w:t>
            </w:r>
          </w:p>
        </w:tc>
        <w:tc>
          <w:tcPr>
            <w:tcW w:w="1288" w:type="dxa"/>
            <w:shd w:val="clear" w:color="auto" w:fill="auto"/>
          </w:tcPr>
          <w:p w:rsidR="00747EB4" w:rsidRPr="00214ECD" w:rsidRDefault="00747EB4" w:rsidP="00431D19">
            <w:pPr>
              <w:jc w:val="right"/>
              <w:rPr>
                <w:sz w:val="20"/>
                <w:szCs w:val="20"/>
                <w:highlight w:val="yellow"/>
              </w:rPr>
            </w:pPr>
            <w:r w:rsidRPr="00CB0026">
              <w:rPr>
                <w:sz w:val="20"/>
                <w:szCs w:val="20"/>
              </w:rPr>
              <w:t>$687,678</w:t>
            </w:r>
          </w:p>
        </w:tc>
      </w:tr>
      <w:tr w:rsidR="00747EB4" w:rsidRPr="0009203C" w:rsidTr="00431D19">
        <w:tc>
          <w:tcPr>
            <w:tcW w:w="766" w:type="dxa"/>
          </w:tcPr>
          <w:p w:rsidR="00747EB4" w:rsidRPr="0009203C" w:rsidRDefault="00747EB4" w:rsidP="00431D19">
            <w:pPr>
              <w:rPr>
                <w:sz w:val="20"/>
                <w:szCs w:val="20"/>
              </w:rPr>
            </w:pPr>
            <w:r w:rsidRPr="0009203C">
              <w:rPr>
                <w:sz w:val="20"/>
                <w:szCs w:val="20"/>
              </w:rPr>
              <w:t>ST-20</w:t>
            </w:r>
          </w:p>
        </w:tc>
        <w:tc>
          <w:tcPr>
            <w:tcW w:w="4733" w:type="dxa"/>
          </w:tcPr>
          <w:p w:rsidR="00747EB4" w:rsidRPr="0009203C" w:rsidRDefault="00747EB4" w:rsidP="00431D19">
            <w:pPr>
              <w:rPr>
                <w:sz w:val="20"/>
                <w:szCs w:val="20"/>
              </w:rPr>
            </w:pPr>
            <w:r w:rsidRPr="007D59EE">
              <w:rPr>
                <w:sz w:val="20"/>
                <w:szCs w:val="20"/>
              </w:rPr>
              <w:t>AMI Meter Installation Project</w:t>
            </w:r>
            <w:r>
              <w:rPr>
                <w:rStyle w:val="FootnoteReference"/>
                <w:sz w:val="20"/>
                <w:szCs w:val="20"/>
              </w:rPr>
              <w:footnoteReference w:id="19"/>
            </w:r>
          </w:p>
        </w:tc>
        <w:tc>
          <w:tcPr>
            <w:tcW w:w="1285" w:type="dxa"/>
            <w:shd w:val="clear" w:color="auto" w:fill="auto"/>
          </w:tcPr>
          <w:p w:rsidR="00747EB4" w:rsidRPr="0009203C" w:rsidRDefault="00747EB4" w:rsidP="00431D19">
            <w:pPr>
              <w:jc w:val="right"/>
              <w:rPr>
                <w:sz w:val="20"/>
                <w:szCs w:val="20"/>
              </w:rPr>
            </w:pPr>
            <w:r w:rsidRPr="005203F0">
              <w:rPr>
                <w:sz w:val="20"/>
                <w:szCs w:val="20"/>
              </w:rPr>
              <w:t>$20,071,42</w:t>
            </w:r>
            <w:r>
              <w:rPr>
                <w:sz w:val="20"/>
                <w:szCs w:val="20"/>
              </w:rPr>
              <w:t>3</w:t>
            </w:r>
          </w:p>
        </w:tc>
        <w:tc>
          <w:tcPr>
            <w:tcW w:w="1278" w:type="dxa"/>
            <w:shd w:val="clear" w:color="auto" w:fill="auto"/>
          </w:tcPr>
          <w:p w:rsidR="00747EB4" w:rsidRPr="0009203C" w:rsidRDefault="00747EB4" w:rsidP="00431D19">
            <w:pPr>
              <w:jc w:val="right"/>
              <w:rPr>
                <w:sz w:val="20"/>
                <w:szCs w:val="20"/>
              </w:rPr>
            </w:pPr>
            <w:r>
              <w:rPr>
                <w:sz w:val="20"/>
                <w:szCs w:val="20"/>
              </w:rPr>
              <w:t>$17,432,623</w:t>
            </w:r>
          </w:p>
        </w:tc>
        <w:tc>
          <w:tcPr>
            <w:tcW w:w="1288" w:type="dxa"/>
            <w:shd w:val="clear" w:color="auto" w:fill="auto"/>
          </w:tcPr>
          <w:p w:rsidR="00747EB4" w:rsidRPr="0009203C" w:rsidRDefault="00747EB4" w:rsidP="00431D19">
            <w:pPr>
              <w:jc w:val="right"/>
              <w:rPr>
                <w:sz w:val="20"/>
                <w:szCs w:val="20"/>
              </w:rPr>
            </w:pPr>
            <w:r>
              <w:rPr>
                <w:sz w:val="20"/>
                <w:szCs w:val="20"/>
              </w:rPr>
              <w:t>($2,638,800)</w:t>
            </w:r>
          </w:p>
        </w:tc>
      </w:tr>
      <w:tr w:rsidR="00747EB4" w:rsidRPr="0009203C" w:rsidTr="00431D19">
        <w:tc>
          <w:tcPr>
            <w:tcW w:w="766" w:type="dxa"/>
          </w:tcPr>
          <w:p w:rsidR="00747EB4" w:rsidRPr="0009203C" w:rsidRDefault="00747EB4" w:rsidP="00431D19">
            <w:pPr>
              <w:rPr>
                <w:sz w:val="20"/>
                <w:szCs w:val="20"/>
              </w:rPr>
            </w:pPr>
            <w:r w:rsidRPr="0009203C">
              <w:rPr>
                <w:sz w:val="20"/>
                <w:szCs w:val="20"/>
              </w:rPr>
              <w:t>ST-21</w:t>
            </w:r>
          </w:p>
        </w:tc>
        <w:tc>
          <w:tcPr>
            <w:tcW w:w="4733" w:type="dxa"/>
          </w:tcPr>
          <w:p w:rsidR="00747EB4" w:rsidRPr="0009203C" w:rsidRDefault="00747EB4" w:rsidP="00431D19">
            <w:pPr>
              <w:rPr>
                <w:sz w:val="20"/>
                <w:szCs w:val="20"/>
              </w:rPr>
            </w:pPr>
            <w:r w:rsidRPr="007D59EE">
              <w:rPr>
                <w:sz w:val="20"/>
                <w:szCs w:val="20"/>
              </w:rPr>
              <w:t>Vactor Truck Replacement</w:t>
            </w:r>
          </w:p>
        </w:tc>
        <w:tc>
          <w:tcPr>
            <w:tcW w:w="1285" w:type="dxa"/>
          </w:tcPr>
          <w:p w:rsidR="00747EB4" w:rsidRPr="0009203C" w:rsidRDefault="00747EB4" w:rsidP="00431D19">
            <w:pPr>
              <w:jc w:val="right"/>
              <w:rPr>
                <w:sz w:val="20"/>
                <w:szCs w:val="20"/>
              </w:rPr>
            </w:pPr>
            <w:r w:rsidRPr="007D59EE">
              <w:rPr>
                <w:sz w:val="20"/>
                <w:szCs w:val="20"/>
              </w:rPr>
              <w:t>$573,587</w:t>
            </w:r>
          </w:p>
        </w:tc>
        <w:tc>
          <w:tcPr>
            <w:tcW w:w="1278" w:type="dxa"/>
            <w:shd w:val="clear" w:color="auto" w:fill="auto"/>
          </w:tcPr>
          <w:p w:rsidR="00747EB4" w:rsidRPr="0009203C" w:rsidRDefault="00747EB4" w:rsidP="00431D19">
            <w:pPr>
              <w:jc w:val="right"/>
              <w:rPr>
                <w:sz w:val="20"/>
                <w:szCs w:val="20"/>
              </w:rPr>
            </w:pPr>
            <w:r w:rsidRPr="007D59EE">
              <w:rPr>
                <w:sz w:val="20"/>
                <w:szCs w:val="20"/>
              </w:rPr>
              <w:t>$573,587</w:t>
            </w:r>
          </w:p>
        </w:tc>
        <w:tc>
          <w:tcPr>
            <w:tcW w:w="1288" w:type="dxa"/>
            <w:shd w:val="clear" w:color="auto" w:fill="auto"/>
          </w:tcPr>
          <w:p w:rsidR="00747EB4" w:rsidRPr="0009203C" w:rsidRDefault="00747EB4" w:rsidP="00431D19">
            <w:pPr>
              <w:jc w:val="right"/>
              <w:rPr>
                <w:sz w:val="20"/>
                <w:szCs w:val="20"/>
              </w:rPr>
            </w:pPr>
            <w:r>
              <w:rPr>
                <w:sz w:val="20"/>
                <w:szCs w:val="20"/>
              </w:rPr>
              <w:t>$0</w:t>
            </w:r>
          </w:p>
        </w:tc>
      </w:tr>
      <w:tr w:rsidR="00747EB4" w:rsidRPr="0009203C" w:rsidTr="00431D19">
        <w:tc>
          <w:tcPr>
            <w:tcW w:w="766" w:type="dxa"/>
          </w:tcPr>
          <w:p w:rsidR="00747EB4" w:rsidRPr="0009203C" w:rsidRDefault="00747EB4" w:rsidP="00431D19">
            <w:pPr>
              <w:rPr>
                <w:sz w:val="20"/>
                <w:szCs w:val="20"/>
              </w:rPr>
            </w:pPr>
            <w:r w:rsidRPr="0009203C">
              <w:rPr>
                <w:sz w:val="20"/>
                <w:szCs w:val="20"/>
              </w:rPr>
              <w:t>ST-22</w:t>
            </w:r>
          </w:p>
        </w:tc>
        <w:tc>
          <w:tcPr>
            <w:tcW w:w="4733" w:type="dxa"/>
          </w:tcPr>
          <w:p w:rsidR="00747EB4" w:rsidRPr="0009203C" w:rsidRDefault="00747EB4" w:rsidP="00431D19">
            <w:pPr>
              <w:rPr>
                <w:sz w:val="20"/>
                <w:szCs w:val="20"/>
              </w:rPr>
            </w:pPr>
            <w:r w:rsidRPr="007D59EE">
              <w:rPr>
                <w:sz w:val="20"/>
                <w:szCs w:val="20"/>
              </w:rPr>
              <w:t>Sandalhaven Force Main Relocation</w:t>
            </w:r>
          </w:p>
        </w:tc>
        <w:tc>
          <w:tcPr>
            <w:tcW w:w="1285" w:type="dxa"/>
          </w:tcPr>
          <w:p w:rsidR="00747EB4" w:rsidRPr="0009203C" w:rsidRDefault="00747EB4" w:rsidP="00431D19">
            <w:pPr>
              <w:jc w:val="right"/>
              <w:rPr>
                <w:sz w:val="20"/>
                <w:szCs w:val="20"/>
              </w:rPr>
            </w:pPr>
            <w:r w:rsidRPr="007D59EE">
              <w:rPr>
                <w:sz w:val="20"/>
                <w:szCs w:val="20"/>
              </w:rPr>
              <w:t>$368,081</w:t>
            </w:r>
          </w:p>
        </w:tc>
        <w:tc>
          <w:tcPr>
            <w:tcW w:w="1278" w:type="dxa"/>
            <w:shd w:val="clear" w:color="auto" w:fill="auto"/>
          </w:tcPr>
          <w:p w:rsidR="00747EB4" w:rsidRPr="0009203C" w:rsidRDefault="00747EB4" w:rsidP="00431D19">
            <w:pPr>
              <w:jc w:val="right"/>
              <w:rPr>
                <w:sz w:val="20"/>
                <w:szCs w:val="20"/>
              </w:rPr>
            </w:pPr>
            <w:r w:rsidRPr="00CB0026">
              <w:rPr>
                <w:sz w:val="20"/>
                <w:szCs w:val="20"/>
              </w:rPr>
              <w:t>$316,027</w:t>
            </w:r>
          </w:p>
        </w:tc>
        <w:tc>
          <w:tcPr>
            <w:tcW w:w="1288" w:type="dxa"/>
            <w:shd w:val="clear" w:color="auto" w:fill="auto"/>
          </w:tcPr>
          <w:p w:rsidR="00747EB4" w:rsidRPr="0009203C" w:rsidRDefault="00747EB4" w:rsidP="00431D19">
            <w:pPr>
              <w:jc w:val="right"/>
              <w:rPr>
                <w:sz w:val="20"/>
                <w:szCs w:val="20"/>
              </w:rPr>
            </w:pPr>
            <w:r>
              <w:rPr>
                <w:sz w:val="20"/>
                <w:szCs w:val="20"/>
              </w:rPr>
              <w:t>(</w:t>
            </w:r>
            <w:r w:rsidRPr="00CB0026">
              <w:rPr>
                <w:sz w:val="20"/>
                <w:szCs w:val="20"/>
              </w:rPr>
              <w:t>$52,054</w:t>
            </w:r>
            <w:r>
              <w:rPr>
                <w:sz w:val="20"/>
                <w:szCs w:val="20"/>
              </w:rPr>
              <w:t>)</w:t>
            </w:r>
          </w:p>
        </w:tc>
      </w:tr>
      <w:tr w:rsidR="00747EB4" w:rsidRPr="0009203C" w:rsidTr="00431D19">
        <w:tc>
          <w:tcPr>
            <w:tcW w:w="766" w:type="dxa"/>
          </w:tcPr>
          <w:p w:rsidR="00747EB4" w:rsidRPr="0009203C" w:rsidRDefault="00747EB4" w:rsidP="00431D19">
            <w:pPr>
              <w:rPr>
                <w:sz w:val="20"/>
                <w:szCs w:val="20"/>
              </w:rPr>
            </w:pPr>
            <w:r w:rsidRPr="0009203C">
              <w:rPr>
                <w:sz w:val="20"/>
                <w:szCs w:val="20"/>
              </w:rPr>
              <w:t>ST-23</w:t>
            </w:r>
          </w:p>
        </w:tc>
        <w:tc>
          <w:tcPr>
            <w:tcW w:w="4733" w:type="dxa"/>
          </w:tcPr>
          <w:p w:rsidR="00747EB4" w:rsidRPr="0009203C" w:rsidRDefault="00747EB4" w:rsidP="00431D19">
            <w:pPr>
              <w:rPr>
                <w:sz w:val="20"/>
                <w:szCs w:val="20"/>
              </w:rPr>
            </w:pPr>
            <w:r w:rsidRPr="007D59EE">
              <w:rPr>
                <w:sz w:val="20"/>
                <w:szCs w:val="20"/>
              </w:rPr>
              <w:t>Buena Vista Lane Water Main Relocation</w:t>
            </w:r>
          </w:p>
        </w:tc>
        <w:tc>
          <w:tcPr>
            <w:tcW w:w="1285" w:type="dxa"/>
          </w:tcPr>
          <w:p w:rsidR="00747EB4" w:rsidRPr="0009203C" w:rsidRDefault="00747EB4" w:rsidP="00431D19">
            <w:pPr>
              <w:jc w:val="right"/>
              <w:rPr>
                <w:sz w:val="20"/>
                <w:szCs w:val="20"/>
              </w:rPr>
            </w:pPr>
            <w:r w:rsidRPr="007D59EE">
              <w:rPr>
                <w:sz w:val="20"/>
                <w:szCs w:val="20"/>
              </w:rPr>
              <w:t>$431,956</w:t>
            </w:r>
          </w:p>
        </w:tc>
        <w:tc>
          <w:tcPr>
            <w:tcW w:w="1278" w:type="dxa"/>
            <w:tcBorders>
              <w:bottom w:val="single" w:sz="4" w:space="0" w:color="auto"/>
            </w:tcBorders>
            <w:shd w:val="clear" w:color="auto" w:fill="auto"/>
          </w:tcPr>
          <w:p w:rsidR="00747EB4" w:rsidRPr="0009203C" w:rsidRDefault="00747EB4" w:rsidP="00431D19">
            <w:pPr>
              <w:jc w:val="right"/>
              <w:rPr>
                <w:sz w:val="20"/>
                <w:szCs w:val="20"/>
              </w:rPr>
            </w:pPr>
            <w:r>
              <w:rPr>
                <w:sz w:val="20"/>
                <w:szCs w:val="20"/>
              </w:rPr>
              <w:t>$588,851</w:t>
            </w:r>
          </w:p>
        </w:tc>
        <w:tc>
          <w:tcPr>
            <w:tcW w:w="1288" w:type="dxa"/>
            <w:tcBorders>
              <w:bottom w:val="single" w:sz="4" w:space="0" w:color="auto"/>
            </w:tcBorders>
            <w:shd w:val="clear" w:color="auto" w:fill="auto"/>
          </w:tcPr>
          <w:p w:rsidR="00747EB4" w:rsidRPr="0009203C" w:rsidRDefault="00747EB4" w:rsidP="00431D19">
            <w:pPr>
              <w:jc w:val="right"/>
              <w:rPr>
                <w:sz w:val="20"/>
                <w:szCs w:val="20"/>
              </w:rPr>
            </w:pPr>
            <w:r>
              <w:rPr>
                <w:sz w:val="20"/>
                <w:szCs w:val="20"/>
              </w:rPr>
              <w:t>$</w:t>
            </w:r>
            <w:r w:rsidRPr="00102F3B">
              <w:rPr>
                <w:sz w:val="20"/>
                <w:szCs w:val="20"/>
              </w:rPr>
              <w:t>156,895</w:t>
            </w:r>
          </w:p>
        </w:tc>
      </w:tr>
      <w:tr w:rsidR="00747EB4" w:rsidRPr="0009203C" w:rsidTr="00431D19">
        <w:tc>
          <w:tcPr>
            <w:tcW w:w="766" w:type="dxa"/>
          </w:tcPr>
          <w:p w:rsidR="00747EB4" w:rsidRPr="0009203C" w:rsidRDefault="00747EB4" w:rsidP="00431D19">
            <w:pPr>
              <w:rPr>
                <w:sz w:val="20"/>
                <w:szCs w:val="20"/>
              </w:rPr>
            </w:pPr>
            <w:r w:rsidRPr="0009203C">
              <w:rPr>
                <w:sz w:val="20"/>
                <w:szCs w:val="20"/>
              </w:rPr>
              <w:t>ST-24</w:t>
            </w:r>
          </w:p>
        </w:tc>
        <w:tc>
          <w:tcPr>
            <w:tcW w:w="4733" w:type="dxa"/>
          </w:tcPr>
          <w:p w:rsidR="00747EB4" w:rsidRPr="0009203C" w:rsidRDefault="00747EB4" w:rsidP="00431D19">
            <w:pPr>
              <w:rPr>
                <w:sz w:val="20"/>
                <w:szCs w:val="20"/>
              </w:rPr>
            </w:pPr>
            <w:r w:rsidRPr="007D59EE">
              <w:rPr>
                <w:sz w:val="20"/>
                <w:szCs w:val="20"/>
              </w:rPr>
              <w:t>OW Remediation PFAS BV Well 3</w:t>
            </w:r>
          </w:p>
        </w:tc>
        <w:tc>
          <w:tcPr>
            <w:tcW w:w="1285" w:type="dxa"/>
            <w:tcBorders>
              <w:bottom w:val="single" w:sz="4" w:space="0" w:color="auto"/>
            </w:tcBorders>
          </w:tcPr>
          <w:p w:rsidR="00747EB4" w:rsidRPr="0009203C" w:rsidRDefault="00747EB4" w:rsidP="00431D19">
            <w:pPr>
              <w:jc w:val="right"/>
              <w:rPr>
                <w:sz w:val="20"/>
                <w:szCs w:val="20"/>
              </w:rPr>
            </w:pPr>
            <w:r w:rsidRPr="007D59EE">
              <w:rPr>
                <w:sz w:val="20"/>
                <w:szCs w:val="20"/>
              </w:rPr>
              <w:t>$1,837,292</w:t>
            </w:r>
          </w:p>
        </w:tc>
        <w:tc>
          <w:tcPr>
            <w:tcW w:w="1278" w:type="dxa"/>
            <w:tcBorders>
              <w:bottom w:val="single" w:sz="4" w:space="0" w:color="auto"/>
            </w:tcBorders>
            <w:shd w:val="clear" w:color="auto" w:fill="auto"/>
          </w:tcPr>
          <w:p w:rsidR="00747EB4" w:rsidRPr="0009203C" w:rsidRDefault="00747EB4" w:rsidP="00431D19">
            <w:pPr>
              <w:jc w:val="right"/>
              <w:rPr>
                <w:sz w:val="20"/>
                <w:szCs w:val="20"/>
              </w:rPr>
            </w:pPr>
            <w:r w:rsidRPr="00CB0026">
              <w:rPr>
                <w:sz w:val="20"/>
                <w:szCs w:val="20"/>
              </w:rPr>
              <w:t>$1,837,292</w:t>
            </w:r>
          </w:p>
        </w:tc>
        <w:tc>
          <w:tcPr>
            <w:tcW w:w="1288" w:type="dxa"/>
            <w:tcBorders>
              <w:bottom w:val="single" w:sz="4" w:space="0" w:color="auto"/>
            </w:tcBorders>
            <w:shd w:val="clear" w:color="auto" w:fill="auto"/>
          </w:tcPr>
          <w:p w:rsidR="00747EB4" w:rsidRPr="0009203C" w:rsidRDefault="00747EB4" w:rsidP="00431D19">
            <w:pPr>
              <w:jc w:val="right"/>
              <w:rPr>
                <w:sz w:val="20"/>
                <w:szCs w:val="20"/>
              </w:rPr>
            </w:pPr>
            <w:r>
              <w:rPr>
                <w:sz w:val="20"/>
                <w:szCs w:val="20"/>
              </w:rPr>
              <w:t>$0</w:t>
            </w:r>
          </w:p>
        </w:tc>
      </w:tr>
      <w:tr w:rsidR="00747EB4" w:rsidRPr="0009203C" w:rsidTr="00431D19">
        <w:tc>
          <w:tcPr>
            <w:tcW w:w="766" w:type="dxa"/>
          </w:tcPr>
          <w:p w:rsidR="00747EB4" w:rsidRPr="0009203C" w:rsidRDefault="00747EB4" w:rsidP="00431D19">
            <w:pPr>
              <w:rPr>
                <w:sz w:val="20"/>
                <w:szCs w:val="20"/>
              </w:rPr>
            </w:pPr>
            <w:r w:rsidRPr="0009203C">
              <w:rPr>
                <w:sz w:val="20"/>
                <w:szCs w:val="20"/>
              </w:rPr>
              <w:t>ST-25</w:t>
            </w:r>
          </w:p>
        </w:tc>
        <w:tc>
          <w:tcPr>
            <w:tcW w:w="4733" w:type="dxa"/>
          </w:tcPr>
          <w:p w:rsidR="00747EB4" w:rsidRPr="0009203C" w:rsidRDefault="00747EB4" w:rsidP="00431D19">
            <w:pPr>
              <w:rPr>
                <w:sz w:val="20"/>
                <w:szCs w:val="20"/>
              </w:rPr>
            </w:pPr>
            <w:r w:rsidRPr="007D59EE">
              <w:rPr>
                <w:sz w:val="20"/>
                <w:szCs w:val="20"/>
              </w:rPr>
              <w:t>Curlew Creek Lift Station Gravity Main Rehabilitation</w:t>
            </w:r>
          </w:p>
        </w:tc>
        <w:tc>
          <w:tcPr>
            <w:tcW w:w="1285" w:type="dxa"/>
            <w:tcBorders>
              <w:top w:val="single" w:sz="4" w:space="0" w:color="auto"/>
            </w:tcBorders>
          </w:tcPr>
          <w:p w:rsidR="00747EB4" w:rsidRPr="0009203C" w:rsidRDefault="00747EB4" w:rsidP="00431D19">
            <w:pPr>
              <w:jc w:val="right"/>
              <w:rPr>
                <w:sz w:val="20"/>
                <w:szCs w:val="20"/>
              </w:rPr>
            </w:pPr>
            <w:r w:rsidRPr="007D59EE">
              <w:rPr>
                <w:sz w:val="20"/>
                <w:szCs w:val="20"/>
              </w:rPr>
              <w:t>$645,480</w:t>
            </w:r>
          </w:p>
        </w:tc>
        <w:tc>
          <w:tcPr>
            <w:tcW w:w="1278" w:type="dxa"/>
            <w:tcBorders>
              <w:top w:val="single" w:sz="4" w:space="0" w:color="auto"/>
            </w:tcBorders>
            <w:shd w:val="clear" w:color="auto" w:fill="auto"/>
          </w:tcPr>
          <w:p w:rsidR="00747EB4" w:rsidRPr="0009203C" w:rsidRDefault="00747EB4" w:rsidP="00431D19">
            <w:pPr>
              <w:jc w:val="right"/>
              <w:rPr>
                <w:sz w:val="20"/>
                <w:szCs w:val="20"/>
              </w:rPr>
            </w:pPr>
            <w:r>
              <w:rPr>
                <w:sz w:val="20"/>
                <w:szCs w:val="20"/>
              </w:rPr>
              <w:t>$</w:t>
            </w:r>
            <w:r w:rsidRPr="00062280">
              <w:rPr>
                <w:sz w:val="20"/>
                <w:szCs w:val="20"/>
              </w:rPr>
              <w:t>701,088</w:t>
            </w:r>
          </w:p>
        </w:tc>
        <w:tc>
          <w:tcPr>
            <w:tcW w:w="1288" w:type="dxa"/>
            <w:tcBorders>
              <w:top w:val="single" w:sz="4" w:space="0" w:color="auto"/>
            </w:tcBorders>
            <w:shd w:val="clear" w:color="auto" w:fill="auto"/>
          </w:tcPr>
          <w:p w:rsidR="00747EB4" w:rsidRPr="0009203C" w:rsidRDefault="00747EB4" w:rsidP="00431D19">
            <w:pPr>
              <w:jc w:val="right"/>
              <w:rPr>
                <w:sz w:val="20"/>
                <w:szCs w:val="20"/>
              </w:rPr>
            </w:pPr>
            <w:r>
              <w:rPr>
                <w:sz w:val="20"/>
                <w:szCs w:val="20"/>
              </w:rPr>
              <w:t>$55,608</w:t>
            </w:r>
          </w:p>
        </w:tc>
      </w:tr>
      <w:tr w:rsidR="00747EB4" w:rsidRPr="0009203C" w:rsidTr="00431D19">
        <w:tc>
          <w:tcPr>
            <w:tcW w:w="766" w:type="dxa"/>
          </w:tcPr>
          <w:p w:rsidR="00747EB4" w:rsidRPr="0009203C" w:rsidRDefault="00747EB4" w:rsidP="00431D19">
            <w:pPr>
              <w:rPr>
                <w:sz w:val="20"/>
                <w:szCs w:val="20"/>
              </w:rPr>
            </w:pPr>
            <w:r w:rsidRPr="0009203C">
              <w:rPr>
                <w:sz w:val="20"/>
                <w:szCs w:val="20"/>
              </w:rPr>
              <w:t>ST-26</w:t>
            </w:r>
          </w:p>
        </w:tc>
        <w:tc>
          <w:tcPr>
            <w:tcW w:w="4733" w:type="dxa"/>
          </w:tcPr>
          <w:p w:rsidR="00747EB4" w:rsidRPr="0009203C" w:rsidRDefault="00747EB4" w:rsidP="00431D19">
            <w:pPr>
              <w:rPr>
                <w:sz w:val="20"/>
                <w:szCs w:val="20"/>
              </w:rPr>
            </w:pPr>
            <w:r w:rsidRPr="007D59EE">
              <w:rPr>
                <w:sz w:val="20"/>
                <w:szCs w:val="20"/>
              </w:rPr>
              <w:t>UIF Jansen Water Main Relocation</w:t>
            </w:r>
          </w:p>
        </w:tc>
        <w:tc>
          <w:tcPr>
            <w:tcW w:w="1285" w:type="dxa"/>
          </w:tcPr>
          <w:p w:rsidR="00747EB4" w:rsidRPr="0009203C" w:rsidRDefault="00747EB4" w:rsidP="00431D19">
            <w:pPr>
              <w:jc w:val="right"/>
              <w:rPr>
                <w:sz w:val="20"/>
                <w:szCs w:val="20"/>
              </w:rPr>
            </w:pPr>
            <w:r w:rsidRPr="007D59EE">
              <w:rPr>
                <w:sz w:val="20"/>
                <w:szCs w:val="20"/>
              </w:rPr>
              <w:t>$215,160</w:t>
            </w:r>
          </w:p>
        </w:tc>
        <w:tc>
          <w:tcPr>
            <w:tcW w:w="1278" w:type="dxa"/>
            <w:shd w:val="clear" w:color="auto" w:fill="auto"/>
          </w:tcPr>
          <w:p w:rsidR="00747EB4" w:rsidRPr="0009203C" w:rsidRDefault="00747EB4" w:rsidP="00431D19">
            <w:pPr>
              <w:jc w:val="right"/>
              <w:rPr>
                <w:sz w:val="20"/>
                <w:szCs w:val="20"/>
              </w:rPr>
            </w:pPr>
            <w:r>
              <w:rPr>
                <w:sz w:val="20"/>
                <w:szCs w:val="20"/>
              </w:rPr>
              <w:t>$305,129</w:t>
            </w:r>
          </w:p>
        </w:tc>
        <w:tc>
          <w:tcPr>
            <w:tcW w:w="1288" w:type="dxa"/>
            <w:shd w:val="clear" w:color="auto" w:fill="auto"/>
          </w:tcPr>
          <w:p w:rsidR="00747EB4" w:rsidRPr="0009203C" w:rsidRDefault="00747EB4" w:rsidP="00431D19">
            <w:pPr>
              <w:jc w:val="right"/>
              <w:rPr>
                <w:sz w:val="20"/>
                <w:szCs w:val="20"/>
              </w:rPr>
            </w:pPr>
            <w:r>
              <w:rPr>
                <w:sz w:val="20"/>
                <w:szCs w:val="20"/>
              </w:rPr>
              <w:t>$89,969</w:t>
            </w:r>
          </w:p>
        </w:tc>
      </w:tr>
      <w:tr w:rsidR="00747EB4" w:rsidRPr="0009203C" w:rsidTr="00431D19">
        <w:tc>
          <w:tcPr>
            <w:tcW w:w="5499" w:type="dxa"/>
            <w:gridSpan w:val="2"/>
          </w:tcPr>
          <w:p w:rsidR="00747EB4" w:rsidRPr="0009203C" w:rsidRDefault="00747EB4" w:rsidP="00431D19">
            <w:pPr>
              <w:jc w:val="right"/>
              <w:rPr>
                <w:b/>
                <w:sz w:val="20"/>
                <w:szCs w:val="20"/>
              </w:rPr>
            </w:pPr>
            <w:r w:rsidRPr="0009203C">
              <w:rPr>
                <w:b/>
                <w:sz w:val="20"/>
                <w:szCs w:val="20"/>
              </w:rPr>
              <w:t>Total</w:t>
            </w:r>
          </w:p>
        </w:tc>
        <w:tc>
          <w:tcPr>
            <w:tcW w:w="1285" w:type="dxa"/>
            <w:shd w:val="clear" w:color="auto" w:fill="auto"/>
          </w:tcPr>
          <w:p w:rsidR="00747EB4" w:rsidRPr="003D19B1" w:rsidRDefault="00747EB4" w:rsidP="00431D19">
            <w:pPr>
              <w:jc w:val="right"/>
              <w:rPr>
                <w:b/>
                <w:sz w:val="20"/>
                <w:szCs w:val="20"/>
              </w:rPr>
            </w:pPr>
            <w:r w:rsidRPr="003D19B1">
              <w:rPr>
                <w:b/>
                <w:sz w:val="20"/>
                <w:szCs w:val="20"/>
              </w:rPr>
              <w:t>$56,500,161</w:t>
            </w:r>
          </w:p>
        </w:tc>
        <w:tc>
          <w:tcPr>
            <w:tcW w:w="1278" w:type="dxa"/>
            <w:shd w:val="clear" w:color="auto" w:fill="auto"/>
          </w:tcPr>
          <w:p w:rsidR="00747EB4" w:rsidRPr="003D19B1" w:rsidRDefault="00747EB4" w:rsidP="00431D19">
            <w:pPr>
              <w:jc w:val="right"/>
              <w:rPr>
                <w:b/>
                <w:sz w:val="20"/>
                <w:szCs w:val="20"/>
              </w:rPr>
            </w:pPr>
            <w:r>
              <w:rPr>
                <w:b/>
                <w:sz w:val="20"/>
                <w:szCs w:val="20"/>
              </w:rPr>
              <w:t>$56,789,535</w:t>
            </w:r>
          </w:p>
        </w:tc>
        <w:tc>
          <w:tcPr>
            <w:tcW w:w="1288" w:type="dxa"/>
            <w:shd w:val="clear" w:color="auto" w:fill="auto"/>
          </w:tcPr>
          <w:p w:rsidR="00747EB4" w:rsidRPr="003D19B1" w:rsidRDefault="00747EB4" w:rsidP="00431D19">
            <w:pPr>
              <w:jc w:val="right"/>
              <w:rPr>
                <w:b/>
                <w:sz w:val="20"/>
                <w:szCs w:val="20"/>
              </w:rPr>
            </w:pPr>
            <w:r>
              <w:rPr>
                <w:b/>
                <w:sz w:val="20"/>
                <w:szCs w:val="20"/>
              </w:rPr>
              <w:t>$289,374</w:t>
            </w:r>
          </w:p>
        </w:tc>
      </w:tr>
    </w:tbl>
    <w:p w:rsidR="00747EB4" w:rsidRDefault="00747EB4" w:rsidP="00431D19">
      <w:pPr>
        <w:pStyle w:val="TableSource"/>
      </w:pPr>
      <w:r>
        <w:t>Source: EXH 10</w:t>
      </w:r>
    </w:p>
    <w:p w:rsidR="00747EB4" w:rsidRDefault="00747EB4" w:rsidP="00431D19">
      <w:pPr>
        <w:pStyle w:val="BodyText"/>
      </w:pPr>
      <w:r w:rsidRPr="00E831FD">
        <w:t xml:space="preserve">With the exception of ST-20, the AMI project, and ST-24, the </w:t>
      </w:r>
      <w:r>
        <w:t>per- and poly-fluoroalky1 substances (</w:t>
      </w:r>
      <w:r w:rsidRPr="00E831FD">
        <w:t>PFAS</w:t>
      </w:r>
      <w:r>
        <w:t>)</w:t>
      </w:r>
      <w:r w:rsidRPr="00E831FD">
        <w:t xml:space="preserve"> remediation project, OPC’s witness Smith did not raise objections to any of the pro forma projects. The adjustments contained in Table 4-1 reflect the Utility’s initial request in its MFRs. In his rebuttal testimony, witness Twomey updated the Utility’s request from a total of $56,500,161 to $61,018,405, an increase of $4,518,247, with additional requested activities and supporting documentation.</w:t>
      </w:r>
      <w:r>
        <w:rPr>
          <w:rStyle w:val="FootnoteReference"/>
        </w:rPr>
        <w:footnoteReference w:id="20"/>
      </w:r>
      <w:r w:rsidRPr="00E831FD">
        <w:t xml:space="preserve"> (TR 569 - 574) Staff’s proposed values summarized in Table 4-1 incorporated the additional activities and supporting documentation for the pro forma projects, resulting in a net increase from the initial MFRs of $289,374, but a net decrease of ($4,228,870) from the Utility’s updated request.</w:t>
      </w:r>
    </w:p>
    <w:p w:rsidR="00747EB4" w:rsidRDefault="00747EB4" w:rsidP="00431D19">
      <w:pPr>
        <w:pStyle w:val="First-LevelSubheading"/>
      </w:pPr>
      <w:r>
        <w:t>Common Elements</w:t>
      </w:r>
    </w:p>
    <w:p w:rsidR="00747EB4" w:rsidRDefault="00747EB4" w:rsidP="00431D19">
      <w:pPr>
        <w:pStyle w:val="Second-LevelSubheading"/>
      </w:pPr>
      <w:r>
        <w:t>Pro Forma Project Timelines</w:t>
      </w:r>
    </w:p>
    <w:p w:rsidR="00747EB4" w:rsidRDefault="00747EB4" w:rsidP="00431D19">
      <w:pPr>
        <w:pStyle w:val="BodyText"/>
      </w:pPr>
      <w:r w:rsidRPr="00E831FD">
        <w:t>Pro forma projects must be completed within 24 months of the end of the historic test year, or by December 31, 2025</w:t>
      </w:r>
      <w:r>
        <w:t>,</w:t>
      </w:r>
      <w:r w:rsidRPr="00E831FD">
        <w:t xml:space="preserve"> in this case, unless a longer period is approved by the Commission pursuant </w:t>
      </w:r>
      <w:r w:rsidRPr="00E831FD">
        <w:lastRenderedPageBreak/>
        <w:t>to Section 367.081(2)(a)(2), F.S. Sunshine asserted that all the pro forma projects will be completed no later than December 31, 2025, and has made no requests for an extension of the 24 month requirement. With the exception of ST-20, OPC’s witness Smith did not raise objections to any of the pro forma projects based upon the estimated completion date. Staff has reviewed the record and believes that all of Sunshine’s pro forma projects discussed in this issue can reasonably be completed within the required period.</w:t>
      </w:r>
    </w:p>
    <w:p w:rsidR="00747EB4" w:rsidRDefault="00747EB4" w:rsidP="00431D19">
      <w:pPr>
        <w:pStyle w:val="Second-LevelSubheading"/>
      </w:pPr>
      <w:r>
        <w:t>Capitalized Time and Interest During Construction</w:t>
      </w:r>
    </w:p>
    <w:p w:rsidR="00747EB4" w:rsidRDefault="00747EB4" w:rsidP="00431D19">
      <w:pPr>
        <w:pStyle w:val="BodyText"/>
      </w:pPr>
      <w:r w:rsidRPr="00E831FD">
        <w:t>Based on the combined construction and engineering costs, Sunshine assumes an additional 6.43 percent for interest during construction and 1.15 percent for capit</w:t>
      </w:r>
      <w:r>
        <w:t>alized time. (</w:t>
      </w:r>
      <w:r w:rsidRPr="00E831FD">
        <w:t>EXH 66, BSP E622</w:t>
      </w:r>
      <w:r>
        <w:t>-E623</w:t>
      </w:r>
      <w:r w:rsidRPr="00E831FD">
        <w:t>) The only exception to this is ST-21: Vactor Truck Replacement, which included only a replacement vehicle. (EXH 34</w:t>
      </w:r>
      <w:r>
        <w:t>, BSP C5-1822</w:t>
      </w:r>
      <w:r w:rsidRPr="00E831FD">
        <w:t>) For almost all projects, the Utility selected Kimley-Horn &amp; Associates (Kimley-Horn) as the primary engineering contractor. The Commission has previously acknowledged Sunshine’s use of Kimley-Horn as a sole source f</w:t>
      </w:r>
      <w:r>
        <w:t>or engineering services due to its</w:t>
      </w:r>
      <w:r w:rsidRPr="00E831FD">
        <w:t xml:space="preserve"> familiarity with the Utility’s facilities and procedures.</w:t>
      </w:r>
      <w:r w:rsidRPr="00E831FD">
        <w:rPr>
          <w:vertAlign w:val="superscript"/>
        </w:rPr>
        <w:footnoteReference w:id="21"/>
      </w:r>
    </w:p>
    <w:p w:rsidR="00747EB4" w:rsidRDefault="00747EB4" w:rsidP="00431D19">
      <w:pPr>
        <w:pStyle w:val="First-LevelSubheading"/>
      </w:pPr>
      <w:r>
        <w:t>Review of the Pro Forma Projects</w:t>
      </w:r>
    </w:p>
    <w:p w:rsidR="00747EB4" w:rsidRDefault="00747EB4" w:rsidP="00431D19">
      <w:pPr>
        <w:pStyle w:val="Second-LevelSubheading"/>
      </w:pPr>
      <w:r>
        <w:t>ST-03: Tierra Verde – 13th Bridge FM Replacement</w:t>
      </w:r>
    </w:p>
    <w:p w:rsidR="00747EB4" w:rsidRDefault="00747EB4" w:rsidP="00431D19">
      <w:pPr>
        <w:pStyle w:val="BodyText"/>
      </w:pPr>
      <w:r>
        <w:t>Sunshine requested cost recovery for the replacement of the sewer force main attached to the 13th Street Bridge in Tierra Verde. This project is required to be completed as part of a Pinellas County project to replace the 13th Street Bridge, which serves as the only access to the Paradise Key community. (EXH 16, BSP C5-777) As the existing bridge includes an aerial crossing of the force main along its length, this crossing must be replaced before Pinellas County begins construction of the new bridge. (EXH 16 BSP C5-777) For this project, Sunshine will install an underwater crossing as Pinellas County has denied the construction of another aerial crossing. The project will include the removal of the existing aerial crossing attached to the bridge, the installation of the new underwater crossing, as well as the replacement of a damaged manhole and its associated piping which was found to be damaged following Hurricane Milton. (TR 569) As part of this project, Sunshine has opted to replace the existing 6-inch diameter piping with 8-inch diameter High Density Polyethylene (HDPE) piping as it provides a similar inside diameter, a higher working pressure rating, and requires less maintenance over time. (EXH 16 BSP C5-779; EXH 76, BSP E1931) The project had an initial estimated completion date of September 2024, but this was revised to March 2025, due to delays in approval of a DEP permit. (EXH 16, BSP C5-777; TR 569)</w:t>
      </w:r>
    </w:p>
    <w:p w:rsidR="00747EB4" w:rsidRDefault="00747EB4" w:rsidP="00431D19">
      <w:pPr>
        <w:pStyle w:val="BodyText"/>
      </w:pPr>
      <w:r>
        <w:t>In its initial filing, Sunshine requested $514,923 for the project, including estimated project costs of $415,783 for construction, $55,710 for engineering, $5,504 in capitalized time, $30,777 for interest during construction, and $7,148 in contingency. (EXH 16, BSP C5-777; EXH 16, BSP C5-779; EXH 16, BSP C5-793) Sunshine filed an updated request for $701,062 based on the delay of the project and the inclusion of additional costs associated with the manhole replacement. (EXH 46, BSP D4-76)</w:t>
      </w:r>
    </w:p>
    <w:p w:rsidR="00747EB4" w:rsidRDefault="00747EB4" w:rsidP="00431D19">
      <w:pPr>
        <w:pStyle w:val="BodyText"/>
      </w:pPr>
      <w:r>
        <w:lastRenderedPageBreak/>
        <w:t>Sunshine underwent a formal bidding process and received bid proposals from two companies. Sunshine awarded the contract to Rowland, Inc. since it was the lowest bid. (EXH 16, BSP C5-779). Rowland, Inc. was also contracted for the replacement of the damaged manhole, which was conducted on an emergency basis. (EXH 46, BSP D4-88)</w:t>
      </w:r>
    </w:p>
    <w:p w:rsidR="00747EB4" w:rsidRDefault="00747EB4" w:rsidP="00431D19">
      <w:pPr>
        <w:pStyle w:val="BodyText"/>
      </w:pPr>
      <w:r>
        <w:t>Sunshine provided contracts, task orders, and invoices for construction and engineering costs of $415,783 and $55,710 for the initial relocation and $116,649 and $14,385 for the manhole replacement, respectively. (EXH 16, BSP C5-779; EXH 16, BSP C5-793; EXH 16, BSP D4-88; EXH 16, BSP D4-92) Including an additional $6,929 in capitalized time and $38,742 in interest during construction, the total project costs are $648,198. (EXH 79, BSP E1979)</w:t>
      </w:r>
    </w:p>
    <w:p w:rsidR="00747EB4" w:rsidRDefault="00747EB4" w:rsidP="00431D19">
      <w:pPr>
        <w:pStyle w:val="BodyText"/>
      </w:pPr>
      <w:r>
        <w:t>Based on the documentation provided by the Utility and the testimony of witness Twomey, staff recognizes that the project is a requirement of a governmental authority and that the inclusion of the manhole repair is reasonable to address the emergency failure due to storm damage and to prevent further environmental contamination of the sewer system, and recommends that $648,198 is reasonable for the project. (TR 145; TR 569) Sunshine recorded a cost of $514,923 in its MFRs; therefore, staff recommends an adjustment to increase the cost of ST-03 by $133,275. ($648,198 - $514,923)</w:t>
      </w:r>
    </w:p>
    <w:p w:rsidR="00747EB4" w:rsidRDefault="00747EB4" w:rsidP="00431D19">
      <w:pPr>
        <w:pStyle w:val="Second-LevelSubheading"/>
      </w:pPr>
      <w:r>
        <w:t>ST-04: Tierra Verde – Madonna Bridge Line Relocation</w:t>
      </w:r>
    </w:p>
    <w:p w:rsidR="00747EB4" w:rsidRDefault="00747EB4" w:rsidP="00431D19">
      <w:pPr>
        <w:pStyle w:val="BodyText"/>
      </w:pPr>
      <w:r>
        <w:t>Sunshine requested cost recovery for the replacement of the underwater sewer force main running under the Madonna Boulevard Bridge in Tierra Verde. This project is required to be completed as part of a Pinellas County project to replace the Madonna Boulevard Bridge which serves as the only access to the Pine Key community. (EXH 17, BSP C5-827) As the existing force main would impact service to the community, the crossing must be replaced before Pinellas County begins construction of the new bridge. The project will include the grouting of the existing underwater force main and the installation of the new underwater force main under Pine Key Cutoff. (EXH 17, BSP C5-845). As part of this, Sunshine has opted to replace the existing 8-inch diameter piping with 10-inch diameter HDPE piping as it provides a similar inside diameter, a higher working pressure rating, and requires less maintenance over time. (EXH 17, BSP C5-838; EXH 76, BSP E1932) The project had an initial completion date of November 2024, but this was revised to March 2025 due to delays in approval of a DEP permit. (EXH 17, BSP C5-827; TR 570)</w:t>
      </w:r>
    </w:p>
    <w:p w:rsidR="00747EB4" w:rsidRDefault="00747EB4" w:rsidP="00431D19">
      <w:pPr>
        <w:pStyle w:val="BodyText"/>
      </w:pPr>
      <w:r>
        <w:t>In its initial filing, Sunshine requested $503,709 for the project, including estimated project costs of $401,601 for construction, $63,386 for engineering, $5,385 in capitalized time, $30,106 for interest during construction, and $3,232 in contingency. (EXH 17, BSP C5-827; EXH 17, BSP C5-838; EXH 17, BSP C5-844)</w:t>
      </w:r>
    </w:p>
    <w:p w:rsidR="00747EB4" w:rsidRDefault="00747EB4" w:rsidP="00431D19">
      <w:pPr>
        <w:pStyle w:val="BodyText"/>
      </w:pPr>
      <w:r>
        <w:t>Sunshine underwent a formal bidding process and only two companies responded and Sunshine selected Left Coast Utilities as the contractor for the project due to their lower bid price. (EXH 17, BSP C5-838) Sunshine provided contracts, task orders, and invoices for $401,601 for construction and $63,386 for engineering. (EXH 17, BSP C5-838; EXH 17, BSP C5-844) Including an additional $5,347 in capitalized time and $29,899 for interest during construction, the total project costs are $500,233.</w:t>
      </w:r>
    </w:p>
    <w:p w:rsidR="00747EB4" w:rsidRDefault="00747EB4" w:rsidP="00431D19">
      <w:pPr>
        <w:pStyle w:val="BodyText"/>
      </w:pPr>
      <w:r>
        <w:lastRenderedPageBreak/>
        <w:t>Based on the documentation provided by the Utility and the testimony of witness Twomey, staff recognizes that the project is a requirement of a governmental authority and recommends that the $500,233 is reasonable for the project. (TR 146; TR 570) Sunshine recorded a cost of $503,709 in its MFRs; therefore, staff recommends an adjustment to decrease the cost of ST-04 by $3,476 ($500,233 - $503,709).</w:t>
      </w:r>
    </w:p>
    <w:p w:rsidR="00747EB4" w:rsidRDefault="00747EB4" w:rsidP="00431D19">
      <w:pPr>
        <w:pStyle w:val="Second-LevelSubheading"/>
      </w:pPr>
      <w:r>
        <w:t>ST-05: Cypress Lakes – VT SCADA 16 RTU Installations</w:t>
      </w:r>
    </w:p>
    <w:p w:rsidR="00747EB4" w:rsidRDefault="00747EB4" w:rsidP="00431D19">
      <w:pPr>
        <w:pStyle w:val="BodyText"/>
      </w:pPr>
      <w:r>
        <w:t>Sunshine requested cost recovery for the installation of 16 Remote Terminal Units (RTUs) using VT Supervisory Control and Data Acquisition (SCADA) technology within the Orangewood, Lake Tarpon, Cypress Lakes, Labrador, and Lake Placid systems. (EXH 18, BSP C5-870) The existing SCADA systems are now obsolete, as the 3G network they require to function was decommissioned by the carrier in early 2022. (EXH 76, BSP C5-871) The vendor of the existing monitoring systems, C&amp;A, has offered no solution and Sunshine has utilized additional onsite physical monitoring to resolve communication problems since the decommissioning. (EXH 76, BSP E1921) The new RTUs will align with the Utility’s efforts to standardize monitoring of its systems and cybersecurity standards across Florida. The project was completed in February 2024. (TR 570)</w:t>
      </w:r>
    </w:p>
    <w:p w:rsidR="00747EB4" w:rsidRDefault="00747EB4" w:rsidP="00431D19">
      <w:pPr>
        <w:pStyle w:val="BodyText"/>
      </w:pPr>
      <w:r>
        <w:t>In its initial filing, Sunshine requested $262,681 for the project, including $238,550 in construction and engineering costs, $2,808 in capitalized time, $15,700 for interest during construction, and $5,623 in contingency. (EXH 18, BSP C5-870)</w:t>
      </w:r>
    </w:p>
    <w:p w:rsidR="00747EB4" w:rsidRDefault="00747EB4" w:rsidP="00431D19">
      <w:pPr>
        <w:pStyle w:val="BodyText"/>
      </w:pPr>
      <w:r>
        <w:t>Sunshine opted to forgo a formal bidding process and awarded the project to Barney’s Pumps, Inc. Sunshine stated this decision was made due to Barney’s Pumps’ knowledge and ability to integrate the effected systems to align with Sunshine’s statewide standardization efforts. (EXH 18, BSP C5-871)</w:t>
      </w:r>
    </w:p>
    <w:p w:rsidR="00747EB4" w:rsidRDefault="00747EB4" w:rsidP="00431D19">
      <w:pPr>
        <w:pStyle w:val="BodyText"/>
      </w:pPr>
      <w:r>
        <w:t>In response to discovery, the Utility stated the project was completed for a cost of $244,173, but staff’s review of the invoices submitted by the Utility support only a cost of $238,550 (EXH 65, BSP E54; EXH 18, BSP C5-905), including an additional $2,743 in capitalized time and $15,339 for interest during construction, the total project costs are $256,632.</w:t>
      </w:r>
    </w:p>
    <w:p w:rsidR="00747EB4" w:rsidRDefault="00747EB4" w:rsidP="00431D19">
      <w:pPr>
        <w:pStyle w:val="BodyText"/>
      </w:pPr>
      <w:r>
        <w:t>Based on the documentation provided by the Utility and the testimony of witness Twomey, staff recommends that the $256,632 is reasonable for the project as the prior SCADA system was obsolete. (TR 146; TR 570) Sunshine recorded a cost of $262,681 for ST-05 in its MFRs; therefore, staff recommends an adjustment should be made to decrease the cost of ST-05 by $6,049 ($262,681 - $256,632).</w:t>
      </w:r>
    </w:p>
    <w:p w:rsidR="00747EB4" w:rsidRDefault="00747EB4" w:rsidP="00431D19">
      <w:pPr>
        <w:pStyle w:val="Second-LevelSubheading"/>
      </w:pPr>
      <w:r>
        <w:t>ST-06: Eagle Ridge Headworks Improvements</w:t>
      </w:r>
    </w:p>
    <w:p w:rsidR="00747EB4" w:rsidRDefault="00747EB4" w:rsidP="00431D19">
      <w:pPr>
        <w:pStyle w:val="BodyText"/>
      </w:pPr>
      <w:r>
        <w:t xml:space="preserve">Sunshine requested cost recovery for rectifying issues at the Eagle Ridge WWTP in order to maintain continuous operation. The most critical of which, is the replacement of a mechanical screen that has corroded into failure due to a high concentration of hydrogen sulfide in the water. The failure of this screen has allowed inorganic matter to build up within the facility’s surge tank which negatively impacts the wastewater treatment process and represents a risk to the facility’s continued operation and failure to comply with the DEP’s wastewater treatment standards. Additionally, Sunshine has opted to replace the existing odor control system as it was originally installed in 2006 and has reached the end of its useful life. (EXH 76, BSP E1933) The project </w:t>
      </w:r>
      <w:r>
        <w:lastRenderedPageBreak/>
        <w:t>includes the bypass and maintenance of the facility’s existing surge tank, the replacement of the failed mechanical screen and installation of a temporary bar screen, replacement of the existing odor control system as well as replacement of influent and effluent flow meters, associated piping, and electrical improvements to ensure the new equipment is supported by the existing SCADA system. The project is expected to be completed by June 2025. (EXH 19, BSP C5-906)</w:t>
      </w:r>
    </w:p>
    <w:p w:rsidR="00747EB4" w:rsidRDefault="00747EB4" w:rsidP="00431D19">
      <w:pPr>
        <w:pStyle w:val="BodyText"/>
      </w:pPr>
      <w:r>
        <w:t>In its initial filing, Sunshine requested $1,006,114, which included estimated project costs of $929,849 for construction and engineering, $10,755 in capitalized time, $60,135 for interest during construction, and $5,375 in contingency. (EXH 19, BSP C5-906) Sunshine filed an updated request for $1,020,618 due to the unexpected buildup of inorganic matter in the WWTP’s surge tank. (TR 570)</w:t>
      </w:r>
    </w:p>
    <w:p w:rsidR="00747EB4" w:rsidRDefault="00747EB4" w:rsidP="00431D19">
      <w:pPr>
        <w:pStyle w:val="BodyText"/>
      </w:pPr>
      <w:r>
        <w:t xml:space="preserve">Sunshine opted to forgo the formal bidding process and awarded the contract directly to Water Equipment Technologies of Southwest Florida, LLC in order to avoid a delay that could cause further damage or system failure and the facility falling out of compliance with DEP. (EXH 19, BSP C5-907) In addition, the provider has existing knowledge of the electrical and mechanical workings of the Eagle Ridge facility. </w:t>
      </w:r>
    </w:p>
    <w:p w:rsidR="00747EB4" w:rsidRDefault="00747EB4" w:rsidP="00431D19">
      <w:pPr>
        <w:pStyle w:val="BodyText"/>
      </w:pPr>
      <w:r>
        <w:t>Sunshine provided contracts, task orders, and invoices for $827,996 for construction and $120,710 for engineering (EXH 48, BSP D4-169-170; EXH 48, D4-178). Including an additional $10,910 in capitalized time and $61,002 in interest during construction, the total project costs are $1,020,618.</w:t>
      </w:r>
    </w:p>
    <w:p w:rsidR="00747EB4" w:rsidRDefault="00747EB4" w:rsidP="00431D19">
      <w:pPr>
        <w:pStyle w:val="BodyText"/>
      </w:pPr>
      <w:r>
        <w:t>Based on the documentation provided by the Utility and the testimony of witness Twomey, staff recommends that the $1,020,618 is reasonable for the project as delaying the replacement of the failed mechanical screen and the odor control system are a risk to the WWTP's ability to operate within DEP requirements. (TR 146; TR 570) Sunshine recorded a cost of $1,006,114 in its MFRs; therefore, staff recommends an adjustment to increase the cost of ST-06 by $14,504 ($1,020,618 - $1,006,114).</w:t>
      </w:r>
    </w:p>
    <w:p w:rsidR="00747EB4" w:rsidRDefault="00747EB4" w:rsidP="00431D19">
      <w:pPr>
        <w:pStyle w:val="Second-LevelSubheading"/>
      </w:pPr>
      <w:r>
        <w:t>ST-07: Cross Creek – Compliance Improvements</w:t>
      </w:r>
    </w:p>
    <w:p w:rsidR="00747EB4" w:rsidRDefault="00747EB4" w:rsidP="00431D19">
      <w:pPr>
        <w:pStyle w:val="BodyText"/>
      </w:pPr>
      <w:r>
        <w:t>Sunshine requested cost recovery for a number of improvements to the Cross Creek WWTP effluent discharge system. (EXH 20, BSP C5-948) DEP conducted a routine compliance inspection in December 2022 and served a warning letter to the facility, dated February 23, 2023, that noted multiple areas of improvement. (EXH 20, BSP C5-949; EXH 71, BSP E722) The deficiencies found by DEP must be resolved for the Cross Creek facility to return to compliance. The project includes (1) the installation of an electrically actuated butterfly valve, (2) upgrades to the electrical and control systems, (3) replacement of an aluminum flap gate with inline check valve, (4) alterations to underground piping, (5) a new effluent flow meter, and (6) integration of level sensors into the ground storage tank. (EXH 20, BSP C5-948) The project was completed February 2024. (EXH 20, BSP C5-948; TR 570)</w:t>
      </w:r>
    </w:p>
    <w:p w:rsidR="00747EB4" w:rsidRDefault="00747EB4" w:rsidP="00431D19">
      <w:pPr>
        <w:pStyle w:val="BodyText"/>
      </w:pPr>
      <w:r>
        <w:t>In its initial filing, Sunshine requested $165,114 for the project, including $146,352 for construction, $1,765 in capitalized time, $9,869 in interest during construction, and $7,129 in contingency. (EXH 20, BSP C5-948)</w:t>
      </w:r>
    </w:p>
    <w:p w:rsidR="00747EB4" w:rsidRDefault="00747EB4" w:rsidP="00431D19">
      <w:pPr>
        <w:pStyle w:val="BodyText"/>
      </w:pPr>
      <w:r>
        <w:lastRenderedPageBreak/>
        <w:t>Sunshine opted to forgo a formal bidding process in order to expeditiously address DEP’s concerns. As such, Water Equipment Technologies of Southwest Florida, LLC was sole sourced for the project due to Sunshine having previously utilized its services and its knowledge of the Cross Creek facility. (EXH 65, BSP E57)</w:t>
      </w:r>
    </w:p>
    <w:p w:rsidR="00747EB4" w:rsidRDefault="00747EB4" w:rsidP="00431D19">
      <w:pPr>
        <w:pStyle w:val="BodyText"/>
      </w:pPr>
      <w:r>
        <w:t>In response to discovery, the Utility stated the project was completed for a cost of $159,747, but staff’s review of the contracts and task orders submitted by the Utility support only a cost of $97,832 for construction and $48,520 for engineering (EXH 65, BSP E58; EXH 20, BSP C5-979-980). Including an additional $1,683 in capitalized time and $9,410 in interest during construction, the total project costs are $157,445.</w:t>
      </w:r>
    </w:p>
    <w:p w:rsidR="00747EB4" w:rsidRDefault="00747EB4" w:rsidP="00431D19">
      <w:pPr>
        <w:pStyle w:val="BodyText"/>
      </w:pPr>
      <w:r>
        <w:t>Based on the documentation provided by the Utility and the testimony of witness Twomey, staff recommends that the $157,445 is reasonable for the project as the identified improvements are to return the Cross Creek facility to DEP compliance. (TR 147) Sunshine recorded a cost of $165,114 in its MFRs; therefore, staff recommends an adjustment should be made to decrease the cost of ST-07 by $7,669 ($165,114 - $157,445).</w:t>
      </w:r>
    </w:p>
    <w:p w:rsidR="00747EB4" w:rsidRDefault="00747EB4" w:rsidP="00431D19">
      <w:pPr>
        <w:pStyle w:val="Second-LevelSubheading"/>
      </w:pPr>
      <w:r>
        <w:t>ST-08: Mid-County – Riviera Estates LS, FM, and GM Crossing Removal</w:t>
      </w:r>
    </w:p>
    <w:p w:rsidR="00747EB4" w:rsidRDefault="00747EB4" w:rsidP="00431D19">
      <w:pPr>
        <w:pStyle w:val="BodyText"/>
      </w:pPr>
      <w:r>
        <w:t>Sunshine requested cost recovery for the relocation of an existing sewer force main in the Mid-County service area. This project is required to be completed as part of a Florida Department of Transportation (FDOT) roadway improvement project in order to not delay the project and maintain sewer service during construction. Sunshine has divided the project into two separate phases. Phase one involves the installation of the replacement 8-inch gravity sewer, seven manholes, and associated restoration. The second phase involves the rehabilitation of Lift Station 4 which includes replacing pumps, valves, the valve vault, the valve vault top slab, wet well top slab, wet well piping, and wet well lining. (EXH 21, BSP C5-986) Its initial completion date was November 2024, but due to delays caused by Hurricane Milton the Utility now estimates completion by April 2025. (EXH 21, BSP C5-986; EXH 49, BSP D4-179; TR 570)</w:t>
      </w:r>
    </w:p>
    <w:p w:rsidR="00747EB4" w:rsidRDefault="00747EB4" w:rsidP="00431D19">
      <w:pPr>
        <w:pStyle w:val="BodyText"/>
      </w:pPr>
      <w:r>
        <w:t>In its initial filing, Sunshine requested $2,138,069, including $1,980,546 for construction, $22,855 in capitalized time, $127,791 for interest during construction, and $6,876 in contingency. Sunshine filed an updated request for $2,130,671 to correct the capitalized time and interest during construction values. (EXH 49, BSP D4-179; EXH 79, E1992).</w:t>
      </w:r>
    </w:p>
    <w:p w:rsidR="00747EB4" w:rsidRDefault="00747EB4" w:rsidP="00431D19">
      <w:pPr>
        <w:pStyle w:val="BodyText"/>
      </w:pPr>
      <w:r>
        <w:t>Sunshine awarded the contract for phase one to Left Coast Utilities without bidding in order to avoid delaying the roadway project and the fines associated with doing so. (EXH 21, BSP C5-987) Sunshine underwent the formal bidding process for the second phase and received bid proposals from two of the three companies contacted. The contract for phase two was awarded to Rowland Inc., the lowest bidder. (EXH 21, BSP C5-989)</w:t>
      </w:r>
    </w:p>
    <w:p w:rsidR="00747EB4" w:rsidRDefault="00747EB4" w:rsidP="00431D19">
      <w:pPr>
        <w:pStyle w:val="BodyText"/>
      </w:pPr>
      <w:r>
        <w:t>Sunshine provided contracts, task orders, and invoices of $1,768,489 for construction and $212,058 for engineering. (EXH 49) Including an additional $22,776 in capitalized time and $127,349 in interest during construction, the total project costs are $2,130,672.</w:t>
      </w:r>
    </w:p>
    <w:p w:rsidR="00747EB4" w:rsidRDefault="00747EB4" w:rsidP="00431D19">
      <w:pPr>
        <w:pStyle w:val="BodyText"/>
      </w:pPr>
      <w:r>
        <w:t xml:space="preserve">Based on the documentation provided by the Utility and the testimony of witness Twomey, staff recognizes that the project is a requirement of a governmental authority and recommends that the $2,130,672 is reasonable for the project. (TR 147; TR 570) Sunshine recorded a cost of </w:t>
      </w:r>
      <w:r>
        <w:lastRenderedPageBreak/>
        <w:t>$2,138,069 in its MFRs; therefore, staff recommends an adjustment to decrease the cost of ST-08 by $7,397 ($2,138,069 - $2,130,672).</w:t>
      </w:r>
    </w:p>
    <w:p w:rsidR="00747EB4" w:rsidRDefault="00747EB4" w:rsidP="00431D19">
      <w:pPr>
        <w:pStyle w:val="Second-LevelSubheading"/>
      </w:pPr>
      <w:r>
        <w:t>ST-09: Mid-County – Wilshire Manhole Replacement</w:t>
      </w:r>
    </w:p>
    <w:p w:rsidR="00747EB4" w:rsidRDefault="00747EB4" w:rsidP="00431D19">
      <w:pPr>
        <w:pStyle w:val="BodyText"/>
      </w:pPr>
      <w:r>
        <w:t xml:space="preserve">Sunshine requested cost recovery for the rehabilitation of two existing manholes in the Mid-County service area that run parallel to the Curlew Creek. The creek bank has severely eroded and exposed the cone and part of the riser of the brick manholes that were once underground. This exposure leaves the Mid-County sewer system vulnerable to environmental contamination and/or the manholes collapsing into the creek. In response to this, Sunshine will contract for the replacement of the ring and cover, along with all necessary restoration, and the installation of sheet piles to prevent further damage to the surrounding infrastructure from occurring for both manholes. The project was completed as of March 2024. (EXH 22, BSP C5-1043) </w:t>
      </w:r>
    </w:p>
    <w:p w:rsidR="00747EB4" w:rsidRDefault="00747EB4" w:rsidP="00431D19">
      <w:pPr>
        <w:pStyle w:val="BodyText"/>
      </w:pPr>
      <w:r>
        <w:t xml:space="preserve">In its initial filing, Sunshine requested $320,903, including $292,900 for construction, $3,430 in capitalized time, $19,180 in interest during construction, and $5,393 in contingency. (EXH 22, BSP C5-1043) </w:t>
      </w:r>
    </w:p>
    <w:p w:rsidR="00747EB4" w:rsidRDefault="00747EB4" w:rsidP="00431D19">
      <w:pPr>
        <w:pStyle w:val="BodyText"/>
      </w:pPr>
      <w:r>
        <w:t>Sunshine opted to forgo a formal bidding process due to the urgent nature of the project, as the manholes were at risk of collapsing into the creek. Left Coast Utilities Corporation was sole sourced for the project as it was a previously utilized contractor with the capacity and knowledge to complete the project. (EXH 22, BSP C5-1044)</w:t>
      </w:r>
    </w:p>
    <w:p w:rsidR="00747EB4" w:rsidRDefault="00747EB4" w:rsidP="00431D19">
      <w:pPr>
        <w:pStyle w:val="BodyText"/>
      </w:pPr>
      <w:r>
        <w:t>In response to discovery, the Utility stated the project was completed for cost of $304,103 but staff’s review of the contracts and task orders submitted by the Utility’s support only a cost of $234,400 for construction and $58,500 for engineering. (EXH 65, BSP E60; EXH 22, BSP C5-1048; EXH 22, BSP C5-1073; EXH 22, BSP C5-1068). Including an additional $3,368 in capitalized time and $18,833 in interest during construction, the total project costs are $315,101.</w:t>
      </w:r>
    </w:p>
    <w:p w:rsidR="00747EB4" w:rsidRDefault="00747EB4" w:rsidP="00431D19">
      <w:pPr>
        <w:pStyle w:val="BodyText"/>
      </w:pPr>
      <w:r>
        <w:t>Based on the documentation provided by the Utility and the testimony of witness Twomey, staff recommends that $315,101 is reasonable for the project to prevent further environmental contamination and exposure of the Mid-County sewer system. (TR 147-148; TR 570) Sunshine recorded a cost of $320,903 in its MFRs; therefore, staff recommends an adjustment should be made to decrease the cost of ST-09 by $5,802 ($320,903 - $315,101).</w:t>
      </w:r>
    </w:p>
    <w:p w:rsidR="00747EB4" w:rsidRDefault="00747EB4" w:rsidP="00431D19">
      <w:pPr>
        <w:pStyle w:val="Second-LevelSubheading"/>
      </w:pPr>
      <w:r>
        <w:t>ST-10: LUSI – Construction of 2nd Lower Floridan Well</w:t>
      </w:r>
    </w:p>
    <w:p w:rsidR="00747EB4" w:rsidRDefault="00747EB4" w:rsidP="00431D19">
      <w:pPr>
        <w:pStyle w:val="BodyText"/>
      </w:pPr>
      <w:r>
        <w:t>Sunshine requested cost recovery for the design and construction of a Lower Floridan Aquifer well in the LUSI North system adjacent to the Oranges subdivision. This new well will provide a higher capacity, mitigate minimum flow and levels of nearby lakes by drawing water from the Lower Floridan Aquifer. In addition, it will provide improved water quality as the nearby existing wells have a high total trihalomethanes formation potential. The project will include the design, permitting, construction, and water testing of the Lower Floridan Aquifer well. The initial project completion date was August 2024 but this was revised to April 2025 due to delays in the drilling process and Hurricanes Helene and Milton. (EXH 23, BSP C5-1090; TR 571; EXH 50, BSP D4-242)</w:t>
      </w:r>
    </w:p>
    <w:p w:rsidR="00747EB4" w:rsidRDefault="00747EB4" w:rsidP="00431D19">
      <w:pPr>
        <w:pStyle w:val="BodyText"/>
      </w:pPr>
      <w:r>
        <w:t xml:space="preserve">In its initial filing, Sunshine requested $2,151,518 for the project, including $1,999,924 for construction, $22,999 in capitalized time, $128,595 in interest during construction, and $0 in </w:t>
      </w:r>
      <w:r>
        <w:lastRenderedPageBreak/>
        <w:t>contingency. (EXH 23, BSP C5-1090) Sunshine filed an updated request for $1,982,162. This change is due to a combination of increased costs, some of which are offset by a grant from the St. John’s Water Management District as the well is considered an alternative water source. (EXH 50, BSP D4-242; TR 570-571)</w:t>
      </w:r>
    </w:p>
    <w:p w:rsidR="00747EB4" w:rsidRDefault="00747EB4" w:rsidP="00431D19">
      <w:pPr>
        <w:pStyle w:val="BodyText"/>
      </w:pPr>
      <w:r>
        <w:t>Sunshine underwent the formal bidding process and received bid proposals from three companies. Sunshine awarded the contract to the lowest bidder, Parson Drilling. (EXH 23, BSP C5-1093)</w:t>
      </w:r>
    </w:p>
    <w:p w:rsidR="00747EB4" w:rsidRDefault="00747EB4" w:rsidP="00431D19">
      <w:pPr>
        <w:pStyle w:val="BodyText"/>
      </w:pPr>
      <w:r>
        <w:t>Sunshine provided contracts, task orders, and invoices of $2,198,150 for construction and $55,790 for engineering. (EXH 50) Including the awarded grant amount of $433,000, an additional $20,941 in capitalized time and $117,086 in interest during construction, the total project costs are $1,958,967.</w:t>
      </w:r>
    </w:p>
    <w:p w:rsidR="00747EB4" w:rsidRDefault="00747EB4" w:rsidP="00431D19">
      <w:pPr>
        <w:pStyle w:val="BodyText"/>
      </w:pPr>
      <w:r>
        <w:t>Based on the documentation provided by the Utility and the testimony of witness Twomey, staff recommends that the $1,958,967 is reasonable for the project as the new well will ensure the Utility can continue to meet the demands of the service area's customers and provide improved water quality. (TR 148; TR 570-571) Sunshine recorded a cost of $2,151,518 in its MFRs; therefore, staff recommends an adjustment to decrease the cost of ST-10 by $192,551 ($2,151,518 – $1,958,967).</w:t>
      </w:r>
    </w:p>
    <w:p w:rsidR="00747EB4" w:rsidRDefault="00747EB4" w:rsidP="00431D19">
      <w:pPr>
        <w:pStyle w:val="Second-LevelSubheading"/>
      </w:pPr>
      <w:r>
        <w:t>ST-11: LUSI CFX US 27 Sewer Relocates</w:t>
      </w:r>
    </w:p>
    <w:p w:rsidR="00747EB4" w:rsidRDefault="00747EB4" w:rsidP="00431D19">
      <w:pPr>
        <w:pStyle w:val="BodyText"/>
      </w:pPr>
      <w:r>
        <w:t>Sunshine has requested cost recovery for the relocation of an existing 12-inch diameter sewer force main in the LUSI South service area. This project is required to be completed as part of a Central Florida Expressway Authority (CFX) project to construct a toll road that will cross US 27. As the existing force main intersects the boundary of the State Road’s construction, the relocation must be completed before CFX begins construction. This project will include the decommissioning of approximately 6,000 linear feet of existing 12-inch diameter pipeline through grout filling and abandoning in place and the installation of approximately 7,500 linear feet of piping to maintain service to the area. The project is expected to be completed by December 2025. (EXH 24, BSP C5-1127)</w:t>
      </w:r>
    </w:p>
    <w:p w:rsidR="00747EB4" w:rsidRDefault="00747EB4" w:rsidP="00431D19">
      <w:pPr>
        <w:pStyle w:val="BodyText"/>
      </w:pPr>
      <w:r>
        <w:t>In its initial filing, Sunshine requested $4,474,320 for the project, including estimated project costs of $4,159,063 for construction, $47,829 in capitalized time, $267,428 for interest during construction, and $0 in contingency. (EXH 24, BSP C5-1127) Sunshine filed an updated request for $4,886,617 which is based on the contracted amount rather than the estimate provided by the engineering contractor. (EXH 79, BSP E1979-E1981)</w:t>
      </w:r>
    </w:p>
    <w:p w:rsidR="00747EB4" w:rsidRDefault="00747EB4" w:rsidP="00431D19">
      <w:pPr>
        <w:pStyle w:val="BodyText"/>
      </w:pPr>
      <w:r>
        <w:t>Sunshine underwent a formal bidding process for a combined contract for projects ST-11 and ST-12 and received bid proposals from three companies. Sunshine awarded the contract for both relocation projects to Tri-Sure Corporation as the lowest bidder and because this company has a history of completing similar projects with Sunshine. (EXH 51, BSP D4-318; EXH 51, BSP D4-450)</w:t>
      </w:r>
    </w:p>
    <w:p w:rsidR="00747EB4" w:rsidRDefault="00747EB4" w:rsidP="00431D19">
      <w:pPr>
        <w:pStyle w:val="BodyText"/>
      </w:pPr>
      <w:r>
        <w:t>Sunshine provided contracts, task orders, and invoices of $4,202,806 for construction and $84,765 for engineering. (EXH 51) Including an additional $49,307 in capitalized time and $275,691 in interest during construction, the total project costs are $4,612,569.</w:t>
      </w:r>
    </w:p>
    <w:p w:rsidR="00747EB4" w:rsidRDefault="00747EB4" w:rsidP="00431D19">
      <w:pPr>
        <w:pStyle w:val="BodyText"/>
      </w:pPr>
      <w:r>
        <w:lastRenderedPageBreak/>
        <w:t>Based on the documentation provided by the Utility and the testimony of witness Twomey, staff recognizes that the project is a requirement of a governmental authority and recommends the $4,612,569 is reasonable for the project. (TR 148; TR 571) Sunshine recorded a cost of $4,474,320 in its MFRs; therefore, staff recommends an adjustment to increase the cost of ST-11 by $138,249. ($4,612,569 - $4,474,320)</w:t>
      </w:r>
    </w:p>
    <w:p w:rsidR="00747EB4" w:rsidRDefault="00747EB4" w:rsidP="00431D19">
      <w:pPr>
        <w:pStyle w:val="Second-LevelSubheading"/>
      </w:pPr>
      <w:r>
        <w:t>ST-12: LUSI CFX US 27 Water Relocates</w:t>
      </w:r>
    </w:p>
    <w:p w:rsidR="00747EB4" w:rsidRDefault="00747EB4" w:rsidP="00431D19">
      <w:pPr>
        <w:pStyle w:val="BodyText"/>
      </w:pPr>
      <w:r>
        <w:t>Sunshine has requested cost recovery for the relocation of an existing 16-inch diameter water force main in the LUSI South service area. This project is required to be completed as part of a CFX project to construct a toll road that will cross US 27. As the existing force main intersects the boundary of the State Road’s construction, the relocation must be completed before CFX begins construction. This project will include the decommissioning of approximately 4,800 linear feet of existing pipeline through grout filling and abandoning in place and the installation of approximately 5,000 linear feet of piping to maintain service to the area. The project is expected to be completed by December 2025 (EXH 25, BSP C5-1164)</w:t>
      </w:r>
    </w:p>
    <w:p w:rsidR="00747EB4" w:rsidRDefault="00747EB4" w:rsidP="00431D19">
      <w:pPr>
        <w:pStyle w:val="BodyText"/>
      </w:pPr>
      <w:r>
        <w:t>In its initial filing, Sunshine requested $3,369,201 for the project, including estimated project costs of $3,131,810 for construction, $36,015 in capitalized time, $201,375 for interest during construction, and $0 in contingency. (EXH 25, BSP C5-1164) Sunshine filed a revised request for $3,044,653 which is based on the contracted amount rather than the estimate provided by the engineering contractor (EXH 79, BSP E1979; EXH 79, BSP E1982-1983)</w:t>
      </w:r>
    </w:p>
    <w:p w:rsidR="00747EB4" w:rsidRDefault="00747EB4" w:rsidP="00431D19">
      <w:pPr>
        <w:pStyle w:val="BodyText"/>
      </w:pPr>
      <w:r>
        <w:t>As discussed above, Tri-Sure Corporation was chosen for ST-11 and ST-12 due to providing the lowest bid as well as its history of completing similar projects with Sunshine. (EXH 51, BSP D4-318; EXH 51, BSP D4-450)</w:t>
      </w:r>
    </w:p>
    <w:p w:rsidR="00747EB4" w:rsidRDefault="00747EB4" w:rsidP="00431D19">
      <w:pPr>
        <w:pStyle w:val="BodyText"/>
      </w:pPr>
      <w:r>
        <w:t>Sunshine provided contracts, task orders, and invoices of $2,490,625 for construction and $84,765 for engineering. (EXH 52) Including an additional $29,617 in capitalized time and $165,598 in interest during construction, the total project costs are $2,770,605.</w:t>
      </w:r>
    </w:p>
    <w:p w:rsidR="00747EB4" w:rsidRDefault="00747EB4" w:rsidP="00431D19">
      <w:pPr>
        <w:pStyle w:val="BodyText"/>
      </w:pPr>
      <w:r>
        <w:t>Based on the documentation provided by the Utility and the testimony of witness Twomey, staff recognizes that the project is a requirement of a governmental authority and recommends that the $2,770,605 is reasonable for the project. (TR 148-149; TR 571) Sunshine recorded a cost of $3,369,201 in its MFRs; therefore, staff recommends an adjustment to decrease the cost of ST-12 by $598,596. ($3,369,201 - $2,770,605)</w:t>
      </w:r>
    </w:p>
    <w:p w:rsidR="00747EB4" w:rsidRDefault="00747EB4" w:rsidP="00431D19">
      <w:pPr>
        <w:pStyle w:val="Second-LevelSubheading"/>
      </w:pPr>
      <w:r>
        <w:t>ST-13: CR 561 WTP Improvements</w:t>
      </w:r>
    </w:p>
    <w:p w:rsidR="00747EB4" w:rsidRDefault="00747EB4" w:rsidP="00431D19">
      <w:pPr>
        <w:pStyle w:val="BodyText"/>
      </w:pPr>
      <w:r>
        <w:t xml:space="preserve">Sunshine requested cost recovery for expansion of the CR 561 WTP in order to proactively increase the facility’s capacity to service new customers in the LUSI North service area. Kimley-Horn was contracted by Sunshine to prepare a Capacity Analysis Report (CAR) pursuant to Rule 62-555.348(3) F.A.C., requiring a CAR be submitted within six months after the month in which the total maximum-day quantity of finished water produced by the treatment plant(s) first exceeds 75 percent of the total permitted maximum-day operating capacity of the plant. (EXH 65, BSP E74-E75) The CAR, provided by Kimley-Horn in February 2024, evaluated the LUSI service area and recommended improvements to expand the capacity of the area’s facilities to meet future demands within the service area. This project includes the installation of an additional 750,000-gallon ground storage tank, high service pumping, and electrical and piping </w:t>
      </w:r>
      <w:r>
        <w:lastRenderedPageBreak/>
        <w:t>improvements necessary for these additions. (EXH 26, BSP C5-1201) The project had an initial estimated completion date of December 2025; however, this was revised to September 2025, by the selected contractor. (EXH 26, BSP C5-1201; TR 571)</w:t>
      </w:r>
    </w:p>
    <w:p w:rsidR="00747EB4" w:rsidRDefault="00747EB4" w:rsidP="00431D19">
      <w:pPr>
        <w:pStyle w:val="BodyText"/>
      </w:pPr>
      <w:r>
        <w:t>In its initial filing, Sunshine requested $1,882,650 for the project, including estimated project costs of $1,750,000 for construction, $20,125 in capitalized time, $112,525 for interest during construction, and $0 in contingency. (EXH 26, BSP C5-1201) Sunshine filed an updated request for $2,534,217 which is now based on the contracted amount instead of the estimate provided by the engineering contractor. (EXH 53, BSP D4-579; EXH 79, BSP E1983)</w:t>
      </w:r>
    </w:p>
    <w:p w:rsidR="00747EB4" w:rsidRDefault="00747EB4" w:rsidP="00431D19">
      <w:pPr>
        <w:pStyle w:val="BodyText"/>
      </w:pPr>
      <w:r>
        <w:t>Sunshine underwent a formal bidding process and received bid proposals from three companies. Sunshine awarded the contract to Florida Environmental Construction, Inc. because it was the lowest bidder and for its successful work on projects of a similar nature. (EXH 53, BSP D4-609; EXH 76, BSP E1936)</w:t>
      </w:r>
    </w:p>
    <w:p w:rsidR="00747EB4" w:rsidRDefault="00747EB4" w:rsidP="00431D19">
      <w:pPr>
        <w:pStyle w:val="BodyText"/>
      </w:pPr>
      <w:r>
        <w:t>Sunshine provided contracts, task orders, and invoices of $2,196,808 for construction and $158,850 for engineering (EXH 53, D4-584, D4-607, D4-704). Including an additional $27,090 in capitalized time and $151,469 in interest during construction, the project’s total costs are $2,534,217.</w:t>
      </w:r>
    </w:p>
    <w:p w:rsidR="00747EB4" w:rsidRDefault="00747EB4" w:rsidP="00431D19">
      <w:pPr>
        <w:pStyle w:val="BodyText"/>
      </w:pPr>
      <w:r>
        <w:t>Based on the documentation provided by the Utility and the testimony of witness Twomey, staff recommends that the $2,534,217 is reasonable for the project as the new ground storage tank and high service pump are a prudent addition to ensure the WTP is capable of providing service to the area's growing population. (TR 149; TR 571) Sunshine recorded a cost of $1,882,650 in its MFRs; therefore, staff recommends an adjustment to increase the cost of ST-13 by $651,567 ($2,534,217 - $1,882,650).</w:t>
      </w:r>
    </w:p>
    <w:p w:rsidR="00747EB4" w:rsidRDefault="00747EB4" w:rsidP="00431D19">
      <w:pPr>
        <w:pStyle w:val="Second-LevelSubheading"/>
      </w:pPr>
      <w:r>
        <w:t>ST-14: UIF – Weathersfield WTP Generator Replacement</w:t>
      </w:r>
    </w:p>
    <w:p w:rsidR="00747EB4" w:rsidRDefault="00747EB4" w:rsidP="00431D19">
      <w:pPr>
        <w:pStyle w:val="BodyText"/>
      </w:pPr>
      <w:r>
        <w:t>Sunshine requested cost recovery for the replacement of the emergency generator at the Weathersfield WTP that has reached the end of its service life. The Weathersfield WTP serves approximately 1,200 connections that would lose access to potable water in the event of a power outage. The existing emergency generator was installed in 1998 and further repairs exceed the unit’s net book value due to the increasing lack of available parts and risk further damaging the unit. Sunshine has opted to retire the 26-year-old emergency generator and install a new generator with specifications consistent with other sites to allow for operational simplification and resiliency during severe weather events. The project consists of the installation of a new emergency generator, an upgrade to an underground 240V electrical service, as well as a new service disconnect, automatic transfer switch, controls, and instrumentation to implement the new generator to maintain backup generation as required by DEP. The estimated completion date of the project is December 2025. (EXH 27, BSP C5-1206)</w:t>
      </w:r>
    </w:p>
    <w:p w:rsidR="00747EB4" w:rsidRDefault="00747EB4" w:rsidP="00431D19">
      <w:pPr>
        <w:pStyle w:val="BodyText"/>
      </w:pPr>
      <w:r>
        <w:t>In its initial filing, Sunshine requested $1,285,148 for the project, including $1,249,657 for construction, $5,385 in capitalized time, and $30,106 for interest during construction, and $0 in contingency. (EXH 27, BSP C5-1206) Sunshine filed a revised request for $1,492,404, an increase of $207,256, which is based on the contracted amount rather than the estimate provided by the engineering contractor. (EXH 54, BSP D4-706; EXH 79, BSP E1983)</w:t>
      </w:r>
    </w:p>
    <w:p w:rsidR="00747EB4" w:rsidRDefault="00747EB4" w:rsidP="00431D19">
      <w:pPr>
        <w:pStyle w:val="BodyText"/>
      </w:pPr>
      <w:r>
        <w:lastRenderedPageBreak/>
        <w:t>Sunshine originally underwent a formal bidding process for the purchase of a generator for the Weathersfield WTP along with two other generators as a group in 2022. (EXH 54, BSP D4-707; EXH 65 E94-E101) However, Sunshine opted to rebid the purchase of the Weathersfield replacement generator separately in 2024 and selected Florida Environmental Construction Inc. as the general contractor and vendor of the replacement emergency generator. (EXH 54, BSP D4-816; EXH 54, BSP D4-722) Sunshine underwent a formal bidding process for the installation of the replacement generator and received three bid proposals. Sunshine awarded the contract to Chinchor Electric Inc., the lowest bidder. (EXH 65, BSP E92)</w:t>
      </w:r>
    </w:p>
    <w:p w:rsidR="00747EB4" w:rsidRDefault="00747EB4" w:rsidP="00431D19">
      <w:pPr>
        <w:pStyle w:val="BodyText"/>
      </w:pPr>
      <w:r>
        <w:t>Sunshine provided contracts, task orders, and invoices of $1,184,888 for construction and $52,250 for engineering. (EXH 54) Including an additional $14,227 in capitalized time and $79,548 in interest during construction, the total project costs are $1,330,913.</w:t>
      </w:r>
    </w:p>
    <w:p w:rsidR="00747EB4" w:rsidRDefault="00747EB4" w:rsidP="00431D19">
      <w:pPr>
        <w:pStyle w:val="BodyText"/>
      </w:pPr>
      <w:r>
        <w:t>Based on the documentation provided by the Utility and the testimony of witness Twomey, staff recommends that the $1,330,913 is reasonable for the project as the replacement of the 26-year-old emergency generator ensures water service is maintained in the event of a power outage at the WTP in compliance with DEP requirements. (TR 149; TR 571-572) Sunshine recorded a cost of $1,285,148 in its MFRs; therefore, staff recommends an adjustment to increase the cost of ST-14 by $45,765 ($1,330,913 - $1,285,148).</w:t>
      </w:r>
    </w:p>
    <w:p w:rsidR="00747EB4" w:rsidRDefault="00747EB4" w:rsidP="00431D19">
      <w:pPr>
        <w:pStyle w:val="Second-LevelSubheading"/>
      </w:pPr>
      <w:r>
        <w:t>ST-15: UIF – Weathersfield Hydro Tank Replacement</w:t>
      </w:r>
    </w:p>
    <w:p w:rsidR="00747EB4" w:rsidRDefault="00747EB4" w:rsidP="00431D19">
      <w:pPr>
        <w:pStyle w:val="BodyText"/>
      </w:pPr>
      <w:r>
        <w:t>Sunshine requested cost recovery for the replacement of the 10,000-gallon hydropneumatic tank located at the Weathersfield WTP. During the most recent DEP inspection of the Weathersfield WTP, the tank was found to have failed the minimum steel shell thickness test and is considered unsafe to operate. (TR 149) Sunshine opted to retire the existing 17-year-old hydropneumatic tank and replace it with a new 10,000-gallon tank along with installation of all necessary piping and valves for the new tank in order to comply with the DEP. The project was completed in April 2024. (EXH 28, BSP C5-1225; TR 572)</w:t>
      </w:r>
    </w:p>
    <w:p w:rsidR="00747EB4" w:rsidRDefault="00747EB4" w:rsidP="00431D19">
      <w:pPr>
        <w:pStyle w:val="BodyText"/>
      </w:pPr>
      <w:r>
        <w:t>In its initial filing, Sunshine requested $102,201 for the project, including $95,000 for construction, $1,093 in capitalized time, and $6,108 for interest during construction, and $0 in contingency. (EXH 28, BSP C5-1225)</w:t>
      </w:r>
    </w:p>
    <w:p w:rsidR="00747EB4" w:rsidRDefault="00747EB4" w:rsidP="00431D19">
      <w:pPr>
        <w:pStyle w:val="BodyText"/>
      </w:pPr>
      <w:r>
        <w:t xml:space="preserve">Sunshine opted to forgo a formal bidding process due to the limited scope of the project and selected ECO-2000, Inc. as a contractor it believed could complete the project in a timely manner. </w:t>
      </w:r>
    </w:p>
    <w:p w:rsidR="00747EB4" w:rsidRDefault="00747EB4" w:rsidP="00431D19">
      <w:pPr>
        <w:pStyle w:val="BodyText"/>
      </w:pPr>
      <w:r>
        <w:t xml:space="preserve">In response to discovery, the Utility stated the project was completed for a cost of $96,173 but staff’s review of the invoices submitted by the Utility support only a cost of $95,000 in construction costs (EXH 65, BSP E103; EXH 28, BSP C5-1228). Including an additional $1,093 in capitalized time and $6,108 in interest during construction, the total project costs are $102,201. </w:t>
      </w:r>
    </w:p>
    <w:p w:rsidR="00747EB4" w:rsidRDefault="00747EB4" w:rsidP="00431D19">
      <w:pPr>
        <w:pStyle w:val="BodyText"/>
      </w:pPr>
      <w:r>
        <w:t xml:space="preserve">Based on the documentation provided by the Utility and the testimony of witness Twomey, staff recommends that the $102,201 is reasonable for the project as the replacement of the existing hydro pneumatic tank is necessary to return the Weathersfield facility to DEP compliance. (TR </w:t>
      </w:r>
      <w:r>
        <w:lastRenderedPageBreak/>
        <w:t>149; TR 572) Sunshine recorded a cost of $102,201 for ST-15 in its MFRs; therefore staff recommends no adjustment should be made to ST-15.</w:t>
      </w:r>
    </w:p>
    <w:p w:rsidR="00747EB4" w:rsidRDefault="00747EB4" w:rsidP="00431D19">
      <w:pPr>
        <w:pStyle w:val="Second-LevelSubheading"/>
      </w:pPr>
      <w:r>
        <w:t>ST-16: Golden Hills WTP Generator Replacement</w:t>
      </w:r>
    </w:p>
    <w:p w:rsidR="00747EB4" w:rsidRDefault="00747EB4" w:rsidP="00431D19">
      <w:pPr>
        <w:pStyle w:val="BodyText"/>
      </w:pPr>
      <w:r>
        <w:t>Sunshine has requested cost recovery for the replacement of the emergency generator at the Golden Hills WTP that has reached the end of its service life. The Golden Hills WTP serves approximately 531 connections that would lose access to potable water in the event of a power outage. The existing propane gas emergency generator was originally installed in 1992 and further repairs exceed the unit’s net book value due to increasing lack of available parts and risk further damaging the unit. Sunshine has opted to retire the 32-year-old emergency generator and install a new unit with specifications consistent with other sites to allow for operational simplification and resiliency during severe weather events. The project consists of the installation of a new generator, remote terminal units with supervisorial control and data acquisition technology, as well as a new service disconnect, automatic transfer switch, controls, and instrumentation to implement the new generator to maintain backup generation as required by DEP. (EXH 29, BSP C5-1232) The initial estimated completion date for the project was December 2024, but due to a significant lead time for electrical equipment, the project is now anticipated to be completed by December 2025. (EXH 29, BSP C5-1232; TR 572)</w:t>
      </w:r>
    </w:p>
    <w:p w:rsidR="00747EB4" w:rsidRDefault="00747EB4" w:rsidP="00431D19">
      <w:pPr>
        <w:pStyle w:val="BodyText"/>
      </w:pPr>
      <w:r>
        <w:t>In its initial filing, Sunshine requested $740,055 for the project, including $585,561 for construction, $102,350 for infrastructure, $7,911 in capitalized time, $44,233 for interest during construction, and $0 in contingency. (EXH 29, BSP C5-1232) Sunshine filed an updated request for $1,417,160 which is based on the contracted amount rather than the estimate provided by the engineering contractor. (EXH 55, BSP D4-825; EXH 79, BSP E1984)</w:t>
      </w:r>
    </w:p>
    <w:p w:rsidR="00747EB4" w:rsidRDefault="00747EB4" w:rsidP="00431D19">
      <w:pPr>
        <w:pStyle w:val="BodyText"/>
      </w:pPr>
      <w:r>
        <w:t>As discussed above for ST-14, Sunshine formally bid out all 3 needed generators together in 2022. (EXH 55, BSP D4-826; EXH 65, BSP E115-122) However, Sunshine opted to rebid the purchase of the Golden Hills replacement generator separately in 2024 and selected Florida Environmental Construction Inc. as the general contractor and vendor of the replacement emergency generator. (EXH 55, BSP D4-845) Florida Environmental then underwent a bidding process for electrical work required for the installation and received bid proposals from two companies. The electrical contract was awarded to Chinchor Electric Inc. after the competitor revised its bid to account for an error, making Chinchor the lowest cost bid. (EXH 65, BSP E105)</w:t>
      </w:r>
    </w:p>
    <w:p w:rsidR="00747EB4" w:rsidRDefault="00747EB4" w:rsidP="00431D19">
      <w:pPr>
        <w:pStyle w:val="BodyText"/>
      </w:pPr>
      <w:r>
        <w:t>Sunshine provided contracts, task orders, and invoices of $1,064,041 for construction and $82,250 for engineering. (EXH 55) Including an additional $13,182 in capitalized time and $73,707 in interest during construction, the total project costs are $1,233,180.</w:t>
      </w:r>
    </w:p>
    <w:p w:rsidR="00747EB4" w:rsidRDefault="00747EB4" w:rsidP="00431D19">
      <w:pPr>
        <w:pStyle w:val="BodyText"/>
      </w:pPr>
      <w:r>
        <w:t>Based on the documentation provided by the Utility and the testimony of witness Twomey, staff recommends that the $1,233,180 is reasonable for the project as the replacement of the 32-year-old emergency generator ensures water service is maintained in the event of a power outage at the WTP in compliance with DEP requirements. (TR 150; TR 572) Sunshine recorded a cost of $740,055 in its MFRs; therefore, staff recommends an adjustment to increase the cost of ST-16 by $493,125 ($1,233,180 - $740,055).</w:t>
      </w:r>
    </w:p>
    <w:p w:rsidR="00747EB4" w:rsidRDefault="00747EB4" w:rsidP="00431D19">
      <w:pPr>
        <w:pStyle w:val="BodyText"/>
      </w:pPr>
    </w:p>
    <w:p w:rsidR="00747EB4" w:rsidRDefault="00747EB4" w:rsidP="00431D19">
      <w:pPr>
        <w:pStyle w:val="Second-LevelSubheading"/>
      </w:pPr>
      <w:r>
        <w:lastRenderedPageBreak/>
        <w:t>ST-17: Sanlando – F5 FM</w:t>
      </w:r>
    </w:p>
    <w:p w:rsidR="00747EB4" w:rsidRDefault="00747EB4" w:rsidP="00431D19">
      <w:pPr>
        <w:pStyle w:val="BodyText"/>
      </w:pPr>
      <w:r>
        <w:t>Sunshine requested cost recovery for the replacement of the existing force main that connects the Sanlando F-5 lift station to the Wekiva WWTP with a force main of larger diameter and stronger material. As this force main sees approximately 40 percent of the Wekiva WWTP’s annual average daily flow pumped through it, Sunshine considers this pipeline a critical asset in the delivery of service. As part of a larger effort to modernize critical assets, Sunshine has opted to proactively upgrade the F5 force main from a 12-inch diameter PVC pipe to a 16-inch diameter pipe made of a more durable PVC material. The estimated completion date of the project was October 2025. (EXH 30, BSP C5-1260; TR 572)</w:t>
      </w:r>
    </w:p>
    <w:p w:rsidR="00747EB4" w:rsidRDefault="00747EB4" w:rsidP="00431D19">
      <w:pPr>
        <w:pStyle w:val="BodyText"/>
      </w:pPr>
      <w:r>
        <w:t>In its initial filing, Sunshine requested $3,811,775 for the project, including $3,543,200 for construction, $40,747 in capitalized time, $227,828 for interest during construction, and $0 in contingency. (EXH 30, BSP C5-1260) Sunshine filed an updated request for $5,006,397 based on increases in material and labor costs since the preliminary 2022 estimate. (EXH 56, BSP D4-859; TR 572)</w:t>
      </w:r>
    </w:p>
    <w:p w:rsidR="00747EB4" w:rsidRDefault="00747EB4" w:rsidP="00431D19">
      <w:pPr>
        <w:pStyle w:val="BodyText"/>
      </w:pPr>
      <w:r>
        <w:t>Sunshine underwent the formal bidding process and received bid proposals from three companies. Sunshine awarded the contract to Tri-Sure Corporation, the lowest bidder. (EXH 56, D4-861; EXH 56, BSP D4-896) Sunshine provided contracts, task orders, and invoices of $4,496,450 for construction and $157,200 for engineering (EXH 56, BSP D4-894, 897, and 994). Including $53,517 in capitalized time and $299,230 in interest during construction, the total costs for the project are $5,006,397.</w:t>
      </w:r>
    </w:p>
    <w:p w:rsidR="00747EB4" w:rsidRDefault="00747EB4" w:rsidP="00431D19">
      <w:pPr>
        <w:pStyle w:val="BodyText"/>
      </w:pPr>
      <w:r>
        <w:t>Based on the documentation provided by the Utility and the testimony of witness Twomey, staff recommends that the $5,006,397 is reasonable for the project as the replacement piping of stronger material and larger diameter ensures the Wekiva WWTP continues providing service to the service area. (TR 150; TR 572) Sunshine recorded a cost of $3,811,775 in its MFRs; therefore, staff recommends an adjustment to increase the cost of ST-17 by $1,194,622 ($5,006,397 - $3,811,775).</w:t>
      </w:r>
    </w:p>
    <w:p w:rsidR="00747EB4" w:rsidRDefault="00747EB4" w:rsidP="00431D19">
      <w:pPr>
        <w:pStyle w:val="Second-LevelSubheading"/>
      </w:pPr>
      <w:r>
        <w:t>ST-18: Sanlando – Wekiva EQ Aeration Improvements</w:t>
      </w:r>
    </w:p>
    <w:p w:rsidR="00747EB4" w:rsidRDefault="00747EB4" w:rsidP="00431D19">
      <w:pPr>
        <w:pStyle w:val="BodyText"/>
      </w:pPr>
      <w:r>
        <w:t>Sunshine requested cost recovery for the installation of a floating mixer in the Wekiva WWTP’s equalization tank and the installation of a permanent power source for the equalization tank. The existing aeration mixer was originally intended to be a temporary installation as part of a pilot test of the unit. For testing purposes, Sunshine rented the existing unit and powered it by a portable generator operated during the day when Utility staff was present. However, the unit was considered effective by Sunshine’s operators and the Utility opted to purchase and reinstall the aerator permanently. (EXH 65, BSP E134) Additionally, Sunshine will construct a permanent power source for the mixer to extend its hours of operation. This project includes the purchase of the floating aeration mixer, the installation of the mixer, and the construction of a permanent power source for the equalization tank. (EXH 31, BSP C5-1281) The project had an initial estimated completion date of June 2025; but, this was revised to January 2025 after the electrical contractor was selected to complete the installation of the floating mixer. (EXH 31, BSP C5-1281; TR 572)</w:t>
      </w:r>
    </w:p>
    <w:p w:rsidR="00747EB4" w:rsidRDefault="00747EB4" w:rsidP="00431D19">
      <w:pPr>
        <w:pStyle w:val="BodyText"/>
      </w:pPr>
      <w:r>
        <w:t xml:space="preserve">In its initial filing, Sunshine requested $139,854 for the project, including estimated project costs of $130,000 for construction and engineering, $1,495 in capitalized time, $8,359 for interest </w:t>
      </w:r>
      <w:r>
        <w:lastRenderedPageBreak/>
        <w:t>during construction, and $0 in contingency. (EXH 31, BSP C5-1281) Sunshine filed an updated request for $280,367 due to now having selected a contractor for the installation of the mixer, additional infrastructure needed for the aerator, and because the initial filing omitted the initial contractor work and the purchase of the floating mixer. (EXH 57, BSP D4-1003; EXH 79, E1984)</w:t>
      </w:r>
    </w:p>
    <w:p w:rsidR="00747EB4" w:rsidRDefault="00747EB4" w:rsidP="00431D19">
      <w:pPr>
        <w:pStyle w:val="BodyText"/>
      </w:pPr>
      <w:r>
        <w:t>Sunshine opted to forgo a formal bidding process and awarded the contract to Florida Environmental Construction, Inc. for the purchase and installation of the aeration equipment. Sunshine states this was to avoid delay in remedying the lack of aeration in the equalization tank and the Wekiva facility falling out of compliance. (EXH 31, BSP C5-1282; EXH 57, BSP D4-1030) Sunshine did undergo a formal bidding process for the installation of the permanent power source and received only one bid proposal out of the three requested. Of the other companies, one declined, as the project would require a bond, and the other did not respond. As the only bid received, BMP Electric Inc. was selected as the project’s electric contractor. (EXH 57, BSP D4-1008; EXH 76, BSP E1937)</w:t>
      </w:r>
    </w:p>
    <w:p w:rsidR="00747EB4" w:rsidRDefault="00747EB4" w:rsidP="00431D19">
      <w:pPr>
        <w:pStyle w:val="BodyText"/>
      </w:pPr>
      <w:r>
        <w:t>Sunshine provided contracts, task orders, and invoices of $243,913 for construction and $16,700 for engineering. (EXH 57, BSP D4-1007, D4-1011, D4-1030-1031) Including $2,997 in capitalized time and $16,757 in interest during construction, the total project costs are $280,367.</w:t>
      </w:r>
    </w:p>
    <w:p w:rsidR="00747EB4" w:rsidRDefault="00747EB4" w:rsidP="00431D19">
      <w:pPr>
        <w:pStyle w:val="BodyText"/>
      </w:pPr>
      <w:r>
        <w:t>Based on the documentation provided by the Utility and the testimony of witness Twomey, staff recommends that the $280,367 is reasonable for the project as the permanent installation of the floating mixer and the addition of a permanent power source for it to function outside of daylight hours will improve the aeration process of the WWTP. (TR 150; TR 572) Sunshine recorded a cost of $139,854 in its MFRs; therefore, staff recommends an adjustment to increase the cost of ST-18 by $140,513 ($280,367 - $139,854).</w:t>
      </w:r>
    </w:p>
    <w:p w:rsidR="00747EB4" w:rsidRDefault="00747EB4" w:rsidP="00431D19">
      <w:pPr>
        <w:pStyle w:val="Second-LevelSubheading"/>
      </w:pPr>
      <w:r>
        <w:t>ST-19: Pennbrooke – Water Quality Improvements</w:t>
      </w:r>
    </w:p>
    <w:p w:rsidR="00747EB4" w:rsidRPr="00E831FD" w:rsidRDefault="00747EB4" w:rsidP="00431D19">
      <w:pPr>
        <w:pStyle w:val="BodyText"/>
      </w:pPr>
      <w:r w:rsidRPr="00E831FD">
        <w:t>Sunshine requested cost recovery for several improvements to the Pennbrooke WTP to resolve high levels of iron and hardness as well as other regulatory compliance issues. The Commission found the quality of service to be unsatisfactory for Pennbrooke in its last rate case due to several concerns, including excessive levels of iron, other secondary water quality standards, and low water pressure.</w:t>
      </w:r>
      <w:r w:rsidRPr="00E831FD">
        <w:rPr>
          <w:vertAlign w:val="superscript"/>
        </w:rPr>
        <w:footnoteReference w:id="22"/>
      </w:r>
      <w:r w:rsidRPr="00E831FD">
        <w:t xml:space="preserve"> Kimley-Horn was contracted to evaluate treatment methods able to lower the facility’s iron and total hardness levels and evaluated multiple alternative methods. The Technical Memorandum provided by Kimley-Horn in 2021 recommended the ACTINA treatment system as the preferable method due to its lower capital cost and operating costs compared to other treatment methods, plus additional storage and pumping capacity. </w:t>
      </w:r>
    </w:p>
    <w:p w:rsidR="00747EB4" w:rsidRPr="00E831FD" w:rsidRDefault="00747EB4" w:rsidP="00431D19">
      <w:pPr>
        <w:pStyle w:val="BodyText"/>
      </w:pPr>
      <w:r w:rsidRPr="00E831FD">
        <w:t xml:space="preserve">As part of this project, Sunshine has opted to also remedy other compliance issues within the Pennbrooke WTP. As such, this project includes the installation of: high service pump station, generator, 2 ground storage tanks, and a replacement raw water well. The project had an initial completion date of December 2024, but this was delayed to March 2025 due to a delay in </w:t>
      </w:r>
      <w:r w:rsidRPr="00E831FD">
        <w:lastRenderedPageBreak/>
        <w:t>delivery of electrical equipment needed for the pumping equipment. (EXH 32</w:t>
      </w:r>
      <w:r>
        <w:t>, BSP C5-1290</w:t>
      </w:r>
      <w:r w:rsidRPr="00E831FD">
        <w:t>; TR 572)</w:t>
      </w:r>
    </w:p>
    <w:p w:rsidR="00747EB4" w:rsidRPr="00E831FD" w:rsidRDefault="00747EB4" w:rsidP="00431D19">
      <w:pPr>
        <w:pStyle w:val="BodyText"/>
      </w:pPr>
      <w:r w:rsidRPr="00E831FD">
        <w:t>In its initial filing, Sunshine requested $9,488,944 for the project, including $8,820,360 for construction,</w:t>
      </w:r>
      <w:r>
        <w:t xml:space="preserve"> $101,434 in capitalized time, $</w:t>
      </w:r>
      <w:r w:rsidRPr="00E831FD">
        <w:t>567,149 for interest during construction, and $0 in contingency. (EXH 32</w:t>
      </w:r>
      <w:r>
        <w:t>, BSP C5-1290</w:t>
      </w:r>
      <w:r w:rsidRPr="00E831FD">
        <w:t>) Sunshine filed an updated request for $9,966,596 due to a miscalculation in the total provided in the direct testimony being included, a change order being added to address several items needed during construction, and costs associated with the project’s delay. (EXH 58</w:t>
      </w:r>
      <w:r>
        <w:t>, BSP D4-1032</w:t>
      </w:r>
      <w:r w:rsidRPr="00E831FD">
        <w:t>; EXH 79, BSP E1984-E1986)</w:t>
      </w:r>
    </w:p>
    <w:p w:rsidR="00747EB4" w:rsidRPr="00E831FD" w:rsidRDefault="00747EB4" w:rsidP="00431D19">
      <w:pPr>
        <w:spacing w:after="240"/>
        <w:jc w:val="both"/>
      </w:pPr>
      <w:r>
        <w:t>Sunshine underwent a</w:t>
      </w:r>
      <w:r w:rsidRPr="00E831FD">
        <w:t xml:space="preserve"> formal bidding process and received two bid proposals. Sunshine awarded the contract to Florida Environmental Construction, Inc., the lowest bidder. (EXH 32, BSP C5-1292</w:t>
      </w:r>
      <w:r>
        <w:t>-1293</w:t>
      </w:r>
      <w:r w:rsidRPr="00E831FD">
        <w:t>)</w:t>
      </w:r>
    </w:p>
    <w:p w:rsidR="00747EB4" w:rsidRPr="00E831FD" w:rsidRDefault="00747EB4" w:rsidP="00431D19">
      <w:pPr>
        <w:pStyle w:val="BodyText"/>
      </w:pPr>
      <w:r w:rsidRPr="00E831FD">
        <w:t>Sunshine provided contracts, task orders, and invoices of $8,898,059 for construction and $561,527 for engineering. (EXH 58) Including an additional $108,785 in capitalized time and $608,251 in interest during construction, the total project costs are $10,176,622.</w:t>
      </w:r>
    </w:p>
    <w:p w:rsidR="00747EB4" w:rsidRDefault="00747EB4" w:rsidP="00431D19">
      <w:pPr>
        <w:pStyle w:val="BodyText"/>
      </w:pPr>
      <w:r w:rsidRPr="00E831FD">
        <w:t>Based on the documentation provided by the Utility and the testimony of witness Twomey, staff recommends that the $10,176,622 is reasonable for the project as the installation of the ACTINA treatment system is the most cost-effective method to the address water quality issues. (TR 151; TR 572) Sunshine recorded a combined cost of $9,488,944 in its MFRs; therefore, staff recommends an adjustment to increase the cost of ST-19 by $687,678 ($10,176,622 - $9,488,944).</w:t>
      </w:r>
    </w:p>
    <w:p w:rsidR="00747EB4" w:rsidRDefault="00747EB4" w:rsidP="00431D19">
      <w:pPr>
        <w:pStyle w:val="Second-LevelSubheading"/>
      </w:pPr>
      <w:r>
        <w:t>ST-21: Vactor Truck Replacement</w:t>
      </w:r>
    </w:p>
    <w:p w:rsidR="00747EB4" w:rsidRDefault="00747EB4" w:rsidP="00431D19">
      <w:pPr>
        <w:pStyle w:val="BodyText"/>
      </w:pPr>
      <w:r>
        <w:t>Sunshine requested cost recovery for the purchase of a 2024 Kenworth tractor chassis and a 2024 Vactor 2100i (2024 Kenworth Vactor truck) to replace the existing 2007 International Vactor truck. The Vactor 2100i is sewer cleaning equipment that is mounted on the tractor chassis. It was determined that it is cost-prohibitive to repair the 2007 International Vactor. In addition, costs are incurred when hiring third-party contractors to complete the maintenance/emergency work that needs to be done when the 2007 truck is inoperable and being repaired. The purchase was completed February 2024. (EXH 34, BSP C5-1822-1823; TR 573)</w:t>
      </w:r>
    </w:p>
    <w:p w:rsidR="00747EB4" w:rsidRDefault="00747EB4" w:rsidP="00431D19">
      <w:pPr>
        <w:pStyle w:val="BodyText"/>
      </w:pPr>
      <w:r>
        <w:t>In its initial filing, Sunshine requested $573,587 for this purchase. (EXH 34, BSP C5-1822) Sunshine underwent a formal bidding process and received bid proposals from two vendors, as the two vendors are the only ones that offer Vactor trucks matching Sunshine’s operational requirements. Environmental Products Group, Inc. was selected as the vendor of the new Vactor truck due to a lower selling price for the equipment. (EXH 34, BSP C5-1824-1833)</w:t>
      </w:r>
    </w:p>
    <w:p w:rsidR="00747EB4" w:rsidRDefault="00747EB4" w:rsidP="00431D19">
      <w:pPr>
        <w:pStyle w:val="BodyText"/>
      </w:pPr>
      <w:r>
        <w:t>In response to discovery, the Utility stated the purchase was completed for a total cost of $573,587 for the equipment. (EXH 65, BSP E458) Staff’s review of the invoice provided by the Utility supports this cost. (EXH 34, C5-1833)</w:t>
      </w:r>
    </w:p>
    <w:p w:rsidR="00747EB4" w:rsidRDefault="00747EB4" w:rsidP="00431D19">
      <w:pPr>
        <w:pStyle w:val="BodyText"/>
      </w:pPr>
      <w:r>
        <w:t xml:space="preserve">Based on the documentation provided and the testimony of witness Twomey, staff recommends that the $573,587 is reasonable for the project as the replacement of the existing 17-year-old Vactor allows continuous maintenance and cleaning of Utility owned facilities without reliance </w:t>
      </w:r>
      <w:r>
        <w:lastRenderedPageBreak/>
        <w:t>upon outside contractors. (TR 152; TR 573) Sunshine recorded a cost of $573,587 in its MFRs; therefore, staff recommends that no adjustment is necessary for ST-21.</w:t>
      </w:r>
    </w:p>
    <w:p w:rsidR="00747EB4" w:rsidRDefault="00747EB4" w:rsidP="00431D19">
      <w:pPr>
        <w:pStyle w:val="Second-LevelSubheading"/>
      </w:pPr>
      <w:r>
        <w:t>ST-22: Sandalhaven Force Main Relocation</w:t>
      </w:r>
    </w:p>
    <w:p w:rsidR="00747EB4" w:rsidRDefault="00747EB4" w:rsidP="00431D19">
      <w:pPr>
        <w:pStyle w:val="BodyText"/>
      </w:pPr>
      <w:r>
        <w:t>Sunshine requested cost recovery for the installation of a 4-inch sewer force main and the construction of above-grade air release valve (ARV) assemblies in the Sandalhaven service area. The owner of a private parcel in the Sandalhaven service area has requested Sunshine to provide wastewater service. Pursuant to Rule 25-30.230(2), F.A.C, each wastewater utility shall provide the service pipe to the service connection, and may locate the connection at or near the customer’s curb or property line. The original plan to connect the customer to the 12-inch force main adjacent to the property was revised by the engineering contractor due to the force main’s non-standard depth and instead recommended connecting approximately 830 linear feet away. (EXH 35, BSP C5-1835; EXH 86, BSP E15496-15497) The existing below-grade ARVs are located near the planned connection tie-in and are often inoperable due to frequent flooding of their enclosures. Sunshine has opted to replace the below-grade ARVs with above-grade ARVs to mitigate further flooding issues and ease future maintenance. (EXH 35, BSP C5-1836; EXH 35, BSP C5-1868) This project will include the installation 830 linear feet of 4-inch HDPE piping, connection of the new piping to an existing 12-inch diameter force main, removal of the existing below-grade ARV assemblies, and the construction of the four new above-grade ARV assemblies. (EXH 60, BSP D4-1564) The project had an initial completion date of August 2024, but was delayed and completed October 2024. (EXH 35, BSP C5-1835; TR 573)</w:t>
      </w:r>
    </w:p>
    <w:p w:rsidR="00747EB4" w:rsidRDefault="00747EB4" w:rsidP="00431D19">
      <w:pPr>
        <w:pStyle w:val="BodyText"/>
      </w:pPr>
      <w:r>
        <w:t>In its initial filing, Sunshine requested $368,081 for the project, including $244,794 for construction, $42,146 for engineering, $3,935 in capitalized time, $22,000 for interest during construction, and $55,207 in contingency. (EXH 35, BSP C5-1835) Sunshine filed an updated request for $313,496 due to the project being completed without the allocated contingency funds. (EXH 60, BSP D4-1564; TR 573)</w:t>
      </w:r>
    </w:p>
    <w:p w:rsidR="00747EB4" w:rsidRDefault="00747EB4" w:rsidP="00431D19">
      <w:pPr>
        <w:pStyle w:val="BodyText"/>
      </w:pPr>
      <w:r>
        <w:t>Sunshine underwent a formal bidding process for the project but only received a bid proposal from one of the three companies it solicited. As the only bidder, Left Coast Utilities was selected as the general contractor. (EXH 35, BSP C5-1837)</w:t>
      </w:r>
    </w:p>
    <w:p w:rsidR="00747EB4" w:rsidRDefault="00747EB4" w:rsidP="00431D19">
      <w:pPr>
        <w:pStyle w:val="BodyText"/>
      </w:pPr>
      <w:r>
        <w:t>Sunshine provided contracts, task orders, and invoices of $293,760 for construction. (EXH 60) Including an additional $3,378 in capitalized time and $18,889 in interest during construction, the total project costs are $316,027.</w:t>
      </w:r>
    </w:p>
    <w:p w:rsidR="00747EB4" w:rsidRDefault="00747EB4" w:rsidP="00431D19">
      <w:pPr>
        <w:pStyle w:val="BodyText"/>
      </w:pPr>
      <w:r>
        <w:t>Based on the documentation provided by the Utility and the testimony of witness Twomey, staff recommends that the $316,027 is reasonable for the project as the service connection is necessary to provide wastewater service to a Utility customer and replacing the below-grade ARVs with above-grade ARVs improves system operations. (TR 152; TR 573) Sunshine recorded a cost of $368,081 in its MFRs; therefore, staff recommends an adjustment to decrease the cost of ST-22 by $52,054 ($368,081 - $316,027).</w:t>
      </w:r>
    </w:p>
    <w:p w:rsidR="00747EB4" w:rsidRDefault="00747EB4" w:rsidP="00431D19">
      <w:pPr>
        <w:pStyle w:val="Second-LevelSubheading"/>
      </w:pPr>
      <w:r>
        <w:t>ST-23: Buena Vista Lane Water Main Relocation</w:t>
      </w:r>
    </w:p>
    <w:p w:rsidR="00747EB4" w:rsidRDefault="00747EB4" w:rsidP="00431D19">
      <w:pPr>
        <w:pStyle w:val="BodyText"/>
      </w:pPr>
      <w:r>
        <w:t xml:space="preserve">Sunshine requested cost recovery for the relocation of an existing 6-inch diameter water main and an existing 2-inch water diameter in the Buena Vista service area of Pasco County. The project is required to be completed as part of a Pasco County project to improve drainage </w:t>
      </w:r>
      <w:r>
        <w:lastRenderedPageBreak/>
        <w:t>infrastructure along Buena Vista Lane. As the existing water mains conflict with the planned improvements, both must be relocated before Pasco County begins construction. This project includes the removal of the existing water mains, installation of 1,550 linear feet of 6-inch diameter water main, installation of 150 linear feet of 2-inch diameter water main, 18 service connections, approximately 15 tie-ins to existing water mains, and installation of new blow-off assembly. The project initially had a completion date of October 2024, but this was delayed to December 2024 due to hurricanes. (EXH 36, BSP C5-1880; TR 573)</w:t>
      </w:r>
    </w:p>
    <w:p w:rsidR="00747EB4" w:rsidRDefault="00747EB4" w:rsidP="00431D19">
      <w:pPr>
        <w:pStyle w:val="BodyText"/>
      </w:pPr>
      <w:r>
        <w:t>In its initial filing, Sunshine requested $431,956 for the project, including $401,521 for construction, $4,617 in capitalized time, $25,818 for interest during construction, and $0 in contingency. (EXH 36, BSP C5-1880) Sunshine filed an updated request for $591,743 based on the results of the formal bidding process. (EXH 61, BSP D4-1619; EXH 79, BSP E1987)</w:t>
      </w:r>
    </w:p>
    <w:p w:rsidR="00747EB4" w:rsidRDefault="00747EB4" w:rsidP="00431D19">
      <w:pPr>
        <w:pStyle w:val="BodyText"/>
      </w:pPr>
      <w:r>
        <w:t>Sunshine underwent a formal bidding and received bid proposals from two of the three companies contacted. Sunshine awarded Left Coast Utilities the contract as the lowest bidder. (EXH 68, BSP E701)</w:t>
      </w:r>
    </w:p>
    <w:p w:rsidR="00747EB4" w:rsidRDefault="00747EB4" w:rsidP="00431D19">
      <w:pPr>
        <w:pStyle w:val="BodyText"/>
      </w:pPr>
      <w:r>
        <w:t>Sunshine provided contracts, task orders, and invoices of $495,840 for construction and $51,521 for engineering. (EXH 61, BSP D4-1625, D4-1630, D4-1649) Including an additional $6,295 in capitalized time and $35,195 in interest during construction, the total project costs are $588,851.</w:t>
      </w:r>
    </w:p>
    <w:p w:rsidR="00747EB4" w:rsidRDefault="00747EB4" w:rsidP="00431D19">
      <w:pPr>
        <w:pStyle w:val="BodyText"/>
      </w:pPr>
      <w:r>
        <w:t>Based on the documentation provided by the Utility and the testimony of witness Twomey, staff recognizes that the project is a requirement of a governmental authority and recommends that the $588,851 is reasonable for the project. (TR 152;</w:t>
      </w:r>
      <w:r w:rsidR="009B5B9A">
        <w:t xml:space="preserve"> </w:t>
      </w:r>
      <w:r>
        <w:t>TR 573) Sunshine recorded a cost of $431,956 in its MFRs; therefore, staff recommends an adjustment to increase the cost of ST-23 by $156,895 ($588,851 - $431,956).</w:t>
      </w:r>
    </w:p>
    <w:p w:rsidR="00747EB4" w:rsidRDefault="00747EB4" w:rsidP="00431D19">
      <w:pPr>
        <w:pStyle w:val="Second-LevelSubheading"/>
      </w:pPr>
      <w:r>
        <w:t>ST-24: OW Remediation PFAS BV Well 3</w:t>
      </w:r>
    </w:p>
    <w:p w:rsidR="00747EB4" w:rsidRDefault="00747EB4" w:rsidP="00431D19">
      <w:pPr>
        <w:pStyle w:val="BodyText"/>
      </w:pPr>
      <w:r>
        <w:t>Sunshine requested cost recovery for the installation of ion exchange vessels at Well BV-3 in the Orangewood water system. This is needed to reduce levels of per- and poly-fluoroalkyl substances (PFAS) to below current Environmental Protection Agency (EPA) Maximum Contaminant Level (MCL). After a 2020 assessment, six of the seven wells in the Orangewood system were found to be in exceedance of the 2016 EPA MCL of 70 parts per trillion (ppt). This MCL was later further reduced to 4 ppt in April 2024. (TR 284) This project is a pilot test for Sunshine’s selected PFAS treatment method. (TR 284-285) The BV-3 well was selected as the initial pilot as it is the largest in the Orangewood system. (EXH 65, BSP E462) Kimley-Horn was contracted to evaluate treatment methods for PFAS contamination and evaluated both Granular Activated Carbon and Selective Ion Exchange. The 2022 Technical Memorandum provided by Kimley-Horn recommended Ion Exchange as the preferable method due to higher bed volumes for PFAS removal, less capital costs for installation, lower empty bed contact time, less space required to implement, and lower operating costs. (EXH 86, BSP E15508, E15547) The project had an initial estimated completion date of August 2024, but this was delayed to December 2024 due to electrical issues and construction delays due to several hurricanes. (EXH 37, BSP C5-1889; TR 573) In its briefs, OPC did not object to the costs associated with the project under the specific circumstances in this case. However, OPC believes that approval of this pilot program should not be a precedent for approval of additional PFAS remediation projects as this treatment method may not be best at other sites. (OPC BR 18-20)</w:t>
      </w:r>
    </w:p>
    <w:p w:rsidR="00747EB4" w:rsidRDefault="00747EB4" w:rsidP="00431D19">
      <w:pPr>
        <w:pStyle w:val="BodyText"/>
      </w:pPr>
      <w:r>
        <w:lastRenderedPageBreak/>
        <w:t>In its initial filing, Sunshine requested $1,837,292 for the project, including $1,707,838 for construction and engineering, $19,640 in capitalized time, $109,814 for interest during construction, and $0 in contingency. (EXH 37, BSP C5-1889)</w:t>
      </w:r>
    </w:p>
    <w:p w:rsidR="00747EB4" w:rsidRDefault="00747EB4" w:rsidP="00431D19">
      <w:pPr>
        <w:pStyle w:val="BodyText"/>
      </w:pPr>
      <w:r>
        <w:t>Sunshine underwent a formal bidding process and received bid proposals from two companies of the five requested. Vogel Bros. Building Co. was selected as the general contractor due to providing the lowest bid price. (EXH 37, BSP C5-1899, C5-1907)</w:t>
      </w:r>
    </w:p>
    <w:p w:rsidR="00747EB4" w:rsidRDefault="00747EB4" w:rsidP="00431D19">
      <w:pPr>
        <w:pStyle w:val="BodyText"/>
      </w:pPr>
      <w:r>
        <w:t>Sunshine provided contracts, task orders, and invoices of $1,334,651 for construction and $373,187 for engineering. (EXH 37) Including an additional $19,640 in capitalized time and $109,814 in interest during construction, the total project costs are $1,837,292.</w:t>
      </w:r>
    </w:p>
    <w:p w:rsidR="00747EB4" w:rsidRDefault="00747EB4" w:rsidP="00431D19">
      <w:pPr>
        <w:pStyle w:val="BodyText"/>
      </w:pPr>
      <w:r>
        <w:t>Based on the documentation provided by the Utility and the testimony of witness Twomey, staff recommends that the $1,837,292 is reasonable for the project as the project is the most cost-effective method to achieve the latest EPA requirements for PFAS. (TR 152-153; TR 573) Sunshine recorded a cost of $1,837,292 in its MFRs; therefore, staff recommends no adjustment is necessary for ST-24.</w:t>
      </w:r>
    </w:p>
    <w:p w:rsidR="00747EB4" w:rsidRDefault="00747EB4" w:rsidP="00431D19">
      <w:pPr>
        <w:pStyle w:val="Second-LevelSubheading"/>
      </w:pPr>
      <w:r>
        <w:t>ST-25: Curlew Creek Lift Station Gravity Main Rehabilitation</w:t>
      </w:r>
    </w:p>
    <w:p w:rsidR="00747EB4" w:rsidRDefault="00747EB4" w:rsidP="00431D19">
      <w:pPr>
        <w:pStyle w:val="BodyText"/>
      </w:pPr>
      <w:r>
        <w:t>Sunshine requested cost recovery for the rehabilitation of two manholes and the section of gravity sewer main pipeline between them that runs parallel to the Curlew Creek. The creek bank has severely eroded and left the sewer system vulnerable to environmental contamination and/or the manholes collapsing into the creek. Due to the project being located within a Pinellas County drainage easement, Sunshine required a Right-of-Way Permit to complete the project. Sunshine will expand the existing sheet pile retaining wall and install upstream and downstream end walls to prevent further erosion before the necessary restoration. The project includes the construction of approximately 92 linear feet of sheet pile retaining wall and the subsequent backfilling of the area behind the new retaining wall with flowable fill material. The initial completion date was August 2025, but this was revised to March 2025 due to the multiple hurricanes in 2024 worsening the damage and the project being declared an emergency by the Utility. (EXH 38, BSP C5-1988-1989; TR 573)</w:t>
      </w:r>
    </w:p>
    <w:p w:rsidR="00747EB4" w:rsidRDefault="00747EB4" w:rsidP="00431D19">
      <w:pPr>
        <w:pStyle w:val="BodyText"/>
      </w:pPr>
      <w:r>
        <w:t>In its initial filing, Sunshine requested $645,480, including $620,000 for construction, $6,900 in capitalized time, $38,580 for interest during construction, and $0 in contingency. (EXH 38, BSP C5-1988) This was corrected in response to discovery, as the actual costs for construction was only $600,000. (EXH 66, BSP E626) However, Sunshine filed an updated request for $701,088 as the initial amount was based on the estimate of the construction vendor, additional material being needed, and the complexity of the work needing a second engineering opinion. (EXH 62, BSP D4-1652; EXH 80, BSP E2003-2004)</w:t>
      </w:r>
    </w:p>
    <w:p w:rsidR="00747EB4" w:rsidRDefault="00747EB4" w:rsidP="00431D19">
      <w:pPr>
        <w:pStyle w:val="BodyText"/>
      </w:pPr>
      <w:r>
        <w:t>Sunshine underwent a formal bidding process and received bids from three companies. Sunshine awarded the project to Left Coast Utilities, the lowest bidder. (EXH 62, BSP D4-1662)</w:t>
      </w:r>
    </w:p>
    <w:p w:rsidR="00747EB4" w:rsidRDefault="00747EB4" w:rsidP="00431D19">
      <w:pPr>
        <w:pStyle w:val="BodyText"/>
      </w:pPr>
      <w:r>
        <w:t>Sunshine provided contracts, task orders, and invoices of $552,500 for construction and $99,190 for engineering. (EXH 62, BSP D4-1656, D4-1661, D4-1665) Including $7,494 in capitalized time and $41,904 in interest during construction, the total project costs are $701,088.</w:t>
      </w:r>
    </w:p>
    <w:p w:rsidR="00747EB4" w:rsidRDefault="00747EB4" w:rsidP="00431D19">
      <w:pPr>
        <w:pStyle w:val="BodyText"/>
      </w:pPr>
      <w:r>
        <w:lastRenderedPageBreak/>
        <w:t>Based on the documentation provided by the Utility and the testimony of witness Twomey, staff recommends that the $701,088 is reasonable for the project as the project is needed to prevent further environmental contamination and exposure of the sewer system. (TR 153-154; TR 573) Sunshine recorded a cost of $645,480 in its MFRs; therefore, staff recommends an adjustment to increase the cost of ST-25 by $55,608 ($701,088 - $645,480).</w:t>
      </w:r>
    </w:p>
    <w:p w:rsidR="00747EB4" w:rsidRDefault="00747EB4" w:rsidP="00431D19">
      <w:pPr>
        <w:pStyle w:val="Second-LevelSubheading"/>
      </w:pPr>
      <w:r>
        <w:t>ST-26: UIF Jansen Water Main Relocation</w:t>
      </w:r>
    </w:p>
    <w:p w:rsidR="00747EB4" w:rsidRDefault="00747EB4" w:rsidP="00431D19">
      <w:pPr>
        <w:pStyle w:val="BodyText"/>
      </w:pPr>
      <w:r>
        <w:t>Sunshine requested cost recovery for the relocation of an existing water main within the Jansen subdivision in Apopka, Florida. (EXH 39, BSP C5-1996) The project is required to be completed as part of a Seminole County project to construct a new sidewalk and gravity wall along Linneal Beach Drive. As the existing water main conflicts with the planned location of the new sidewalk, it must be relocated before Seminole County begins construction to maintain water service to customers. As part of this project, Sunshine has opted to replace the asbestos cement piping with a combination of HDPE and Polyethylene piping. This project includes the removal of approximately 700 linear feet of existing 4-inch diameter asbestos cement water main, installation of approximately 685 linear feet of 4-inch diameter HDPE piping, installation of approximately 150 linear feet of 4-inch diameter PVC piping, and service connections to the new water main. (EXH 63, BSP D4-1688; EXH 63, BSP D4-1692) The initial completion date for the project was December 2024, but has been delayed until January 2025 due to a delay in receiving DEP potable water clearance. (EXH 39, BSP C5-1996; TR 573-574).</w:t>
      </w:r>
    </w:p>
    <w:p w:rsidR="00747EB4" w:rsidRDefault="00747EB4" w:rsidP="00431D19">
      <w:pPr>
        <w:pStyle w:val="BodyText"/>
      </w:pPr>
      <w:r>
        <w:t>In its initial filing, Sunshine requested $215,160 for the project, including $200,000 for construction, $2,300 in capitalized time, $12,860 for interest during construction, and $0 in contingency. (EXH 39; BSP C5-1996) Sunshine provided an updated request for $362,268 due to previously unaccounted for survey work and locates done before project start date and to reflect the contracted amount rather than the estimated amount. (EXH 63, BSP D4-1686; EXH 79, BSP E1988)</w:t>
      </w:r>
    </w:p>
    <w:p w:rsidR="00747EB4" w:rsidRDefault="00747EB4" w:rsidP="00431D19">
      <w:pPr>
        <w:pStyle w:val="BodyText"/>
      </w:pPr>
      <w:r>
        <w:t>Sunshine underwent the formal bidding process for the work where three companies responded with bids. Sunshine opted to award the contract to Central Florida Tapping and Construction Inc. due to providing the lowest bid. (EXH 63, BSP D4-1688, D4-1692)</w:t>
      </w:r>
    </w:p>
    <w:p w:rsidR="00747EB4" w:rsidRDefault="00747EB4" w:rsidP="00431D19">
      <w:pPr>
        <w:pStyle w:val="BodyText"/>
      </w:pPr>
      <w:r>
        <w:t>Sunshine provided contracts, task orders, and invoices for $255,930 for construction and $27,700 for engineering. (EXH 63, BSP D4-1690, D4-1695) Including an additional $3,262 for capitalized time and $18,237 for interest during construction, the total project costs are $305,129.</w:t>
      </w:r>
    </w:p>
    <w:p w:rsidR="00747EB4" w:rsidRDefault="00747EB4" w:rsidP="00431D19">
      <w:pPr>
        <w:pStyle w:val="BodyText"/>
      </w:pPr>
      <w:r>
        <w:t>Based on the documentation provided by the Utility and the testimony of witness Twomey, staff recognizes that the project is a requirement of a governmental authority and recommends that the $305,129 is reasonable for the project. (TR 154; TR 573-574) Sunshine recorded a cost of $215,160 in its MFRs; therefore, staff recommends an adjustment to increase the cost of ST-26 by $89,969 ($305,129 - $215,160).</w:t>
      </w:r>
    </w:p>
    <w:p w:rsidR="00747EB4" w:rsidRDefault="00747EB4" w:rsidP="00431D19">
      <w:pPr>
        <w:pStyle w:val="First-LevelSubheading"/>
      </w:pPr>
      <w:r>
        <w:t>Total Pro Forma Adjustments</w:t>
      </w:r>
    </w:p>
    <w:p w:rsidR="00747EB4" w:rsidRDefault="00747EB4" w:rsidP="00431D19">
      <w:pPr>
        <w:pStyle w:val="BodyText"/>
      </w:pPr>
      <w:r>
        <w:t xml:space="preserve">Based on staff’s review of the water pro forma projects discussed in Issues 4 and 4A, staff is recommending a total water pro forma value of $40,527,234, resulting in a reduction of $1,310,997 to the Utility’s initial request contained in its MFRs. Based on staff’s review of the wastewater pro forma projects, staff has determined that the total pro forma values should be </w:t>
      </w:r>
      <w:r>
        <w:lastRenderedPageBreak/>
        <w:t xml:space="preserve">$16,262,302, resulting in an increase of $1,600,372 </w:t>
      </w:r>
      <w:r w:rsidRPr="00A26B1A">
        <w:t>to the Utility’s initial request contained in its MFRs</w:t>
      </w:r>
      <w:r>
        <w:t>.</w:t>
      </w:r>
    </w:p>
    <w:p w:rsidR="00747EB4" w:rsidRDefault="00747EB4" w:rsidP="00431D19">
      <w:pPr>
        <w:pStyle w:val="BodyText"/>
      </w:pPr>
      <w:r w:rsidRPr="00A26B1A">
        <w:t xml:space="preserve">Corresponding adjustments should also be made to </w:t>
      </w:r>
      <w:r>
        <w:t>de</w:t>
      </w:r>
      <w:r w:rsidRPr="00A26B1A">
        <w:t xml:space="preserve">crease accumulated depreciation and depreciation expense by </w:t>
      </w:r>
      <w:r w:rsidRPr="00135FA5">
        <w:t>$116,370 for water and to increase accumulated depreciation and depreciation expense by $42,319</w:t>
      </w:r>
      <w:r w:rsidRPr="00A26B1A">
        <w:t xml:space="preserve"> for wastewater. </w:t>
      </w:r>
    </w:p>
    <w:p w:rsidR="00747EB4" w:rsidRDefault="00747EB4" w:rsidP="00431D19">
      <w:pPr>
        <w:pStyle w:val="RecommendationMajorSectionHeading"/>
      </w:pPr>
      <w:r>
        <w:t>CONCLUSION</w:t>
      </w:r>
    </w:p>
    <w:p w:rsidR="00747EB4" w:rsidRPr="00E113C6" w:rsidRDefault="00747EB4" w:rsidP="00431D19">
      <w:pPr>
        <w:pStyle w:val="BodyText"/>
      </w:pPr>
      <w:r w:rsidRPr="00410E87">
        <w:t xml:space="preserve">Pro forma plant additions should be decreased by $1,310,997 for water and increased by $1,600,372 for wastewater, which includes the recommended adjustment for the proposed AMI project discussed in Issue 4A. Corresponding adjustments should also be made to decrease accumulated depreciation and depreciation expense by </w:t>
      </w:r>
      <w:r w:rsidRPr="00135FA5">
        <w:t>$116,370 for water and to increase accumulated depreciation and depreciation expense by $42,319</w:t>
      </w:r>
      <w:r w:rsidRPr="00410E87">
        <w:t xml:space="preserve"> for wastewater. Adjustments to pro forma plant retirements and</w:t>
      </w:r>
      <w:r>
        <w:t xml:space="preserve"> </w:t>
      </w:r>
      <w:r w:rsidRPr="00410E87">
        <w:t>TOTI should be made as set forth in Issues 5 and 29</w:t>
      </w:r>
      <w:r>
        <w:t>.</w:t>
      </w:r>
    </w:p>
    <w:p w:rsidR="00FF6504" w:rsidRDefault="00FF6504" w:rsidP="00E275D8">
      <w:pPr>
        <w:pStyle w:val="BodyText"/>
      </w:pPr>
    </w:p>
    <w:p w:rsidR="00FF6504" w:rsidRDefault="00FF6504" w:rsidP="00E275D8">
      <w:pPr>
        <w:pStyle w:val="BodyText"/>
        <w:sectPr w:rsidR="00FF6504" w:rsidSect="00BF5423">
          <w:headerReference w:type="default" r:id="rId15"/>
          <w:type w:val="continuous"/>
          <w:pgSz w:w="12240" w:h="15840" w:code="1"/>
          <w:pgMar w:top="1584" w:right="1440" w:bottom="1440" w:left="1440" w:header="720" w:footer="720" w:gutter="0"/>
          <w:cols w:space="720"/>
          <w:formProt w:val="0"/>
          <w:docGrid w:linePitch="360"/>
        </w:sectPr>
      </w:pPr>
    </w:p>
    <w:p w:rsidR="00700A32" w:rsidRDefault="00700A32" w:rsidP="00700A32">
      <w:r>
        <w:br w:type="page"/>
      </w:r>
    </w:p>
    <w:p w:rsidR="00747EB4" w:rsidRDefault="00747EB4">
      <w:pPr>
        <w:pStyle w:val="IssueHeading"/>
        <w:rPr>
          <w:vanish/>
          <w:specVanish/>
        </w:rPr>
      </w:pPr>
      <w:r w:rsidRPr="004C3641">
        <w:lastRenderedPageBreak/>
        <w:t xml:space="preserve">Issue </w:t>
      </w:r>
      <w:r>
        <w:fldChar w:fldCharType="begin"/>
      </w:r>
      <w:r>
        <w:instrText>seq issue \r 4</w:instrText>
      </w:r>
      <w:r>
        <w:fldChar w:fldCharType="separate"/>
      </w:r>
      <w:r w:rsidR="009D3FF7">
        <w:rPr>
          <w:noProof/>
        </w:rPr>
        <w:t>4</w:t>
      </w:r>
      <w:r>
        <w:rPr>
          <w:noProof/>
        </w:rPr>
        <w:fldChar w:fldCharType="end"/>
      </w:r>
      <w:r>
        <w:rPr>
          <w:noProof/>
        </w:rPr>
        <w:t>A</w:t>
      </w:r>
      <w:r w:rsidRPr="004C3641">
        <w:t>:</w:t>
      </w:r>
      <w:r>
        <w:fldChar w:fldCharType="begin"/>
      </w:r>
      <w:r>
        <w:instrText xml:space="preserve"> TC "</w:instrText>
      </w:r>
      <w:r>
        <w:fldChar w:fldCharType="begin"/>
      </w:r>
      <w:r>
        <w:instrText xml:space="preserve"> SEQ issue \c </w:instrText>
      </w:r>
      <w:r>
        <w:fldChar w:fldCharType="separate"/>
      </w:r>
      <w:bookmarkStart w:id="20" w:name="_Toc196317122"/>
      <w:r w:rsidR="009D3FF7">
        <w:rPr>
          <w:noProof/>
        </w:rPr>
        <w:instrText>4</w:instrText>
      </w:r>
      <w:r>
        <w:fldChar w:fldCharType="end"/>
      </w:r>
      <w:r>
        <w:instrText>A</w:instrText>
      </w:r>
      <w:r>
        <w:tab/>
        <w:instrText>AMI Meters (Sanchez, Richards, Folkman)</w:instrText>
      </w:r>
      <w:bookmarkEnd w:id="20"/>
      <w:r>
        <w:instrText xml:space="preserve">" \l 1 </w:instrText>
      </w:r>
      <w:r>
        <w:fldChar w:fldCharType="end"/>
      </w:r>
      <w:r>
        <w:t> </w:t>
      </w:r>
    </w:p>
    <w:p w:rsidR="00747EB4" w:rsidRDefault="00747EB4">
      <w:pPr>
        <w:pStyle w:val="BodyText"/>
      </w:pPr>
      <w:r>
        <w:t> Should the Commission approve the Utility's Advanced Metering Infrastructure (AMI) project?</w:t>
      </w:r>
    </w:p>
    <w:p w:rsidR="00747EB4" w:rsidRPr="004C3641" w:rsidRDefault="00747EB4">
      <w:pPr>
        <w:pStyle w:val="IssueSubsectionHeading"/>
        <w:rPr>
          <w:vanish/>
          <w:specVanish/>
        </w:rPr>
      </w:pPr>
      <w:r w:rsidRPr="004C3641">
        <w:t>Recommendation: </w:t>
      </w:r>
    </w:p>
    <w:p w:rsidR="00747EB4" w:rsidRDefault="00747EB4">
      <w:pPr>
        <w:pStyle w:val="BodyText"/>
      </w:pPr>
      <w:r>
        <w:t> </w:t>
      </w:r>
      <w:r w:rsidRPr="00A50354">
        <w:t xml:space="preserve">Yes. </w:t>
      </w:r>
      <w:r w:rsidRPr="00423F8E">
        <w:t>Staff recognizes a need for the meter replacement due to the age of the current meters and the additional functionality of AMI meters to address system leaks. Based on the documentation provided by the Utility</w:t>
      </w:r>
      <w:r>
        <w:t>,</w:t>
      </w:r>
      <w:r w:rsidRPr="00423F8E">
        <w:t xml:space="preserve"> staff recommends an adjustment to decrease the cost of this project by $2,638,800. The resultant operational savings are discussed in detail in Issue 26.</w:t>
      </w:r>
      <w:r>
        <w:t xml:space="preserve"> (Sanchez, Richards, Folkman)</w:t>
      </w:r>
    </w:p>
    <w:p w:rsidR="00747EB4" w:rsidRPr="004C3641" w:rsidRDefault="00747EB4">
      <w:pPr>
        <w:pStyle w:val="IssueSubsectionHeading"/>
        <w:keepNext/>
        <w:rPr>
          <w:iCs w:val="0"/>
        </w:rPr>
      </w:pPr>
      <w:r w:rsidRPr="004C3641">
        <w:rPr>
          <w:iCs w:val="0"/>
        </w:rPr>
        <w:t>Position of the Parties</w:t>
      </w:r>
    </w:p>
    <w:p w:rsidR="00747EB4" w:rsidRDefault="00747EB4" w:rsidP="00431D19">
      <w:pPr>
        <w:pStyle w:val="PartyName"/>
        <w:rPr>
          <w:vanish/>
          <w:specVanish/>
        </w:rPr>
      </w:pPr>
      <w:r>
        <w:t>SUNSHINE: </w:t>
      </w:r>
    </w:p>
    <w:p w:rsidR="00747EB4" w:rsidRDefault="00747EB4">
      <w:pPr>
        <w:pStyle w:val="BodyText"/>
      </w:pPr>
      <w:r>
        <w:t> Yes as it provides substantial benefits for customers and addresses Sunshine’s aging metering infrastructure.</w:t>
      </w:r>
    </w:p>
    <w:p w:rsidR="00747EB4" w:rsidRDefault="00747EB4" w:rsidP="00431D19">
      <w:pPr>
        <w:pStyle w:val="PartyName"/>
        <w:rPr>
          <w:vanish/>
          <w:specVanish/>
        </w:rPr>
      </w:pPr>
      <w:r>
        <w:t>OPC: </w:t>
      </w:r>
    </w:p>
    <w:p w:rsidR="00747EB4" w:rsidRDefault="00747EB4">
      <w:pPr>
        <w:pStyle w:val="BodyText"/>
      </w:pPr>
      <w:r>
        <w:t> No. The Company admits that AMI is a “nice-to-have” project. It was improperly prioritized over seriously needed projects, has nothing to do with providing safe and reliable service, and never should have replaced the identified top-tier infrastructure needs of this utility. The Utility has further failed to demonstrate need for the program or that customers will benefit.</w:t>
      </w:r>
    </w:p>
    <w:p w:rsidR="00747EB4" w:rsidRPr="004C3641" w:rsidRDefault="00747EB4">
      <w:pPr>
        <w:pStyle w:val="IssueSubsectionHeading"/>
        <w:rPr>
          <w:vanish/>
          <w:specVanish/>
        </w:rPr>
      </w:pPr>
      <w:r w:rsidRPr="004C3641">
        <w:t>Staff Analysis: </w:t>
      </w:r>
    </w:p>
    <w:p w:rsidR="00747EB4" w:rsidRDefault="00747EB4">
      <w:pPr>
        <w:pStyle w:val="BodyText"/>
      </w:pPr>
      <w:r>
        <w:t> </w:t>
      </w:r>
    </w:p>
    <w:p w:rsidR="00747EB4" w:rsidRDefault="00747EB4" w:rsidP="00431D19">
      <w:pPr>
        <w:pStyle w:val="First-LevelSubheading"/>
      </w:pPr>
      <w:r>
        <w:t>Project Description</w:t>
      </w:r>
    </w:p>
    <w:p w:rsidR="00747EB4" w:rsidRDefault="00747EB4" w:rsidP="00431D19">
      <w:pPr>
        <w:pStyle w:val="BodyText"/>
      </w:pPr>
      <w:r w:rsidRPr="00423F8E">
        <w:t>Sunshine requested cost recovery for the replacement of its existing water meters for all customers within its service territory. Approximately 37,000 water meters will be replaced</w:t>
      </w:r>
      <w:r>
        <w:t>, including second meters for irrigation customers,</w:t>
      </w:r>
      <w:r w:rsidRPr="00423F8E">
        <w:t xml:space="preserve"> with meters that utilize AMI technology. (EXH 33, BSP C5-1406) In addition, 47 communication towers will be installed with long range wide area network meter collectors in sufficiently dense customer areas instead of relying exclusively on cellular technology. (EXH 33, BSP C5-1407; TR 555) The Utility will be implementing a customer engagement portal for customers to access informat</w:t>
      </w:r>
      <w:r>
        <w:t>ion from the AMI system. (TR 151</w:t>
      </w:r>
      <w:r w:rsidRPr="00423F8E">
        <w:t>)</w:t>
      </w:r>
    </w:p>
    <w:p w:rsidR="00747EB4" w:rsidRDefault="00747EB4" w:rsidP="00431D19">
      <w:pPr>
        <w:pStyle w:val="BodyText"/>
      </w:pPr>
      <w:r>
        <w:t>As stated in its brief, OPC opposes this project in its entirety because it believes the Utility did not demonstrate a need for the project or customer benefits. OPC further argued that this project was prioritized above others that presented a greater need. (OPC BR 20-27) In response, Sunshine argued it has adequately demonstrated the prudency and need for this particular project, as well as customer be</w:t>
      </w:r>
      <w:r w:rsidR="003F68D2">
        <w:t>nefits. (Sunshine BR 5-11) Both</w:t>
      </w:r>
      <w:r>
        <w:t xml:space="preserve"> O</w:t>
      </w:r>
      <w:r w:rsidR="003F68D2">
        <w:t>PC and the Utility supported their</w:t>
      </w:r>
      <w:r>
        <w:t xml:space="preserve"> positions with evidence from the record, which is discussed throughout this issue below.</w:t>
      </w:r>
    </w:p>
    <w:p w:rsidR="00747EB4" w:rsidRDefault="00747EB4" w:rsidP="00431D19">
      <w:pPr>
        <w:pStyle w:val="BodyText"/>
      </w:pPr>
      <w:r w:rsidRPr="00423F8E">
        <w:t>Outside of the AMI technology, the pro forma project also incorporates the assessment of the service lines the replacement water meters connect with. This was done to satisfy the federal EPA Lead and Copper Rule Revisions which requires public water systems to prepare and maintain an inventory of service line materials. The assessments will be performed for lines connected to approximately 30,000 meters</w:t>
      </w:r>
      <w:r w:rsidR="003F68D2">
        <w:t>,</w:t>
      </w:r>
      <w:r w:rsidRPr="00423F8E">
        <w:t xml:space="preserve"> as records verified the remaining 7,000 meters were not connected to lead or copper piping. The remaining lines must be field tested to determine material status to be compliant. (EXH 79, BSP E1987) This </w:t>
      </w:r>
      <w:r w:rsidR="003F68D2">
        <w:t xml:space="preserve">service line assessment </w:t>
      </w:r>
      <w:r w:rsidRPr="00423F8E">
        <w:t>portion of the overall project is necessary to meet environmental requirements, and as discussed below, this cost is estimated at $508,000. (TR 555-556)</w:t>
      </w:r>
    </w:p>
    <w:p w:rsidR="00747EB4" w:rsidRDefault="00747EB4" w:rsidP="00431D19">
      <w:pPr>
        <w:pStyle w:val="First-LevelSubheading"/>
      </w:pPr>
      <w:r>
        <w:lastRenderedPageBreak/>
        <w:t>Need for AMI Meters</w:t>
      </w:r>
    </w:p>
    <w:p w:rsidR="00747EB4" w:rsidRDefault="00747EB4" w:rsidP="00431D19">
      <w:pPr>
        <w:pStyle w:val="BodyText"/>
      </w:pPr>
      <w:r>
        <w:t>In its description of the program, the Utility stated that the 37,000 meters identified for this project are beyond their useful life which, if not replaced, will result in increased meter errors or estimated bills, customer dissatisfaction, increased operating expenses, and that the use of AMI technology will allow more efficient, automated meter readings. In his direct testimony, Sunshine witness Twomey stated that the Utility’s primary goal for the project is improving communication between the Utility and customers, while other motivating factors include promoting conservation, and improved system awareness for the Utility to respond to events. (EXH 33, BSP C5-1406-1407; TR 151)</w:t>
      </w:r>
    </w:p>
    <w:p w:rsidR="00747EB4" w:rsidRDefault="00747EB4" w:rsidP="00431D19">
      <w:pPr>
        <w:pStyle w:val="BodyText"/>
      </w:pPr>
      <w:r>
        <w:t>Witness Twomey stated that customer communication is a benefit of the program that would not be available through an Automated Meter Reading (AMR) alternative. (TR 234-236) AMI meters provide near real-time updates on a customer’s usage data remotely to the Utility and to its customers as compared to AMR’s once a month reading. The daily updates are to be available online through the Utility’s customer portal where customers can then view their usage data, set a more dynamic billing cycle for themselves with the Utility, and set notifications to alert them for unusual conditions such as high and continuous usage. Notifications such as leak alerts would be available to customers after AMI installation. (TR 560) This upgrade would enable customers to better manage water consumption, allowing for faster response to system leaks and may result in reducing excessive unaccounted for water. OPC opposes the installation of AMI meters. However, during cross examination by the Utility, OPC witness Smith agreed that the current water meters do not provide the benefits discussed by witness Twomey and that information gained through the AMI meters may be helpful to some customers. But, he argued that there was not widespread customer support and that this benefit does not justify the installation of AMI meters. (TR 431-432) Witness Twomey admitted that no surveying was conducted to determine whether customers wanted the additional functionalities of AMI meters, but noted that it was not typical to conduct such surveys for pro forma projects and he was aware of at least one customer complaining of timely leak notification. (TR 587-588)</w:t>
      </w:r>
    </w:p>
    <w:p w:rsidR="00747EB4" w:rsidRDefault="00747EB4" w:rsidP="00431D19">
      <w:pPr>
        <w:pStyle w:val="BodyText"/>
      </w:pPr>
      <w:r>
        <w:t>OPC witness Smith further argued against the project stating that it is not a requirement to satisfy a governmental regulation or standard nor necessary for the safe and/or reliable provision of water service in Florida. (TR 400-401) Instead, he asserted that the installation of AMI water meters is a decision made at the discretion of Sunshine management and noted that, in a response to discovery, that the project itself is a low priority to Sunshine. (TR 400-401</w:t>
      </w:r>
      <w:r w:rsidR="00C070DB">
        <w:t>; EXH 101, E29596</w:t>
      </w:r>
      <w:r>
        <w:t>)</w:t>
      </w:r>
    </w:p>
    <w:p w:rsidR="00747EB4" w:rsidRDefault="00747EB4" w:rsidP="00431D19">
      <w:pPr>
        <w:pStyle w:val="BodyText"/>
      </w:pPr>
      <w:r>
        <w:t xml:space="preserve">During cross examination, witness Twomey stated that the decision to upgrade the Utility’s water meters to use AMI technology was evaluated by Sunshine’s parent company with input from Sunshine, as it sought to standardize technology across its affiliates. (TR 214; TR 550-551) Witness Twomey also stated that three recent Commission decisions allowing AMI are supportive of the need for the project. (TR 184; TR 558) Witness Twomey admitted he was not familiar with the circumstances necessitating AMI in these prior Commission decisions, with one being based on customer complaints associated with billing, and the other two being deployments of less than 300 meters combined. (TR 579) OPC witness Smith argued that AMR is a more appropriate technology, since it provides similar cost savings with lower capital cost. (TR 397) Witness Smith agreed that AMI meters can produce cost savings and do have benefits, </w:t>
      </w:r>
      <w:r>
        <w:lastRenderedPageBreak/>
        <w:t>but argued that Sunshine has not justified them in this case regarding the requested rate base in excess of $20 million with no offsetting benefits, causing a mismatch that is inconsistent with prior decisions. (TR 432-433) Witness Twomey agreed that AMR does require less capital but argues that AMR meters still require employing meter readers and vehicles to gather data monthly while not providing the same updates and alerts to customers as AMI does. (TR 551)</w:t>
      </w:r>
    </w:p>
    <w:p w:rsidR="00747EB4" w:rsidRDefault="00747EB4" w:rsidP="00431D19">
      <w:pPr>
        <w:pStyle w:val="BodyText"/>
      </w:pPr>
      <w:r>
        <w:t>Sunshine also asserted that the existing meters are in need of replacement, with witness Twomey testifying that the existing meters are on average 90 percent depreciated, and meter failure is a significant concern to the Utility. (TR 184) Witness Twomey testified if the meters were not replaced, the meters may fail and create risks of customer service issues and meter reading problems. (TR 559) During cross examination, witness Twomey admitted that the current meters are capable of providing safe and reliable service, but argued that the older meters tend to run slow when tested to comply with Commission Rules for meter accuracy. (TR 216-218) OPC witness Smith argued that this is not consistent with the Utility’s response to discovery that labels the project as a low priority within the Utility itself. (TR 400) In response, witness Twomey refuted the low priority label as a holdover from the project’s study phase that ended in 2024. He further asserted that the document was not upda</w:t>
      </w:r>
      <w:r w:rsidR="003F68D2">
        <w:t>ted between years and states</w:t>
      </w:r>
      <w:r>
        <w:t xml:space="preserve"> that the project has a higher internal priority to Sunshine now. (TR 300-301) Witness Twomey stated that Sunshine had been led to believe that the Commission wants the Utility to be proactive in replacing failing infrastructure, to the point of having faced penalties for not doing so. (TR 174)</w:t>
      </w:r>
    </w:p>
    <w:p w:rsidR="00747EB4" w:rsidRDefault="00747EB4" w:rsidP="00431D19">
      <w:pPr>
        <w:pStyle w:val="BodyText"/>
      </w:pPr>
      <w:r>
        <w:t>Regarding potential operational savings, Sunshine has stated that the use of AMI technology brings multiple benefits to both the Utility and its customers, including those evaluated in the Utility’s initial analysis of the costs and benefits of AMI meters, the 2021 AMI Business Case. (TR 560) These benefits include the elimination of manual meter reading, reduced in billing exceptions and manual bill processing, reduced field trips to connect and disconnect customers, and faster response to system leakages and water theft due to the near real-time updates AMI provides. (TR 225; EXH 108, BSP E30808) Overall, Sunshine estimates the savings associated with meter reading alone are approximately $293,883 annually. (TR 561) OPC witness Smith disagreed by arguing that such benefits are speculative and are not adequately demonstrated by the Utility. (TR 401) Staff agrees with Sunshine that there are operation and maintenance (O&amp;M) savings associated with this project and are a supporting factor for staff’s recommendation to approve this project. However, the O&amp;M savings for this project are addressed in Issue 26.</w:t>
      </w:r>
    </w:p>
    <w:p w:rsidR="00747EB4" w:rsidRPr="008740FD" w:rsidRDefault="00747EB4" w:rsidP="00431D19">
      <w:pPr>
        <w:pStyle w:val="BodyText"/>
      </w:pPr>
      <w:r>
        <w:t>Based on the information provided above, staff believes that a need for the project has been demonstrated by Sunshine based on the following:</w:t>
      </w:r>
    </w:p>
    <w:p w:rsidR="00747EB4" w:rsidRPr="008740FD" w:rsidRDefault="00747EB4" w:rsidP="00431D19">
      <w:pPr>
        <w:pStyle w:val="BodyText"/>
        <w:numPr>
          <w:ilvl w:val="0"/>
          <w:numId w:val="11"/>
        </w:numPr>
      </w:pPr>
      <w:r w:rsidRPr="008740FD">
        <w:t>The 37,000 water meters included within the project scope are at the end of their useful lives.</w:t>
      </w:r>
    </w:p>
    <w:p w:rsidR="00747EB4" w:rsidRPr="008740FD" w:rsidRDefault="00747EB4" w:rsidP="00431D19">
      <w:pPr>
        <w:pStyle w:val="BodyText"/>
        <w:numPr>
          <w:ilvl w:val="0"/>
          <w:numId w:val="11"/>
        </w:numPr>
      </w:pPr>
      <w:r w:rsidRPr="008740FD">
        <w:t>The replacement of the meters before failure will avoid meter reading errors and customer service issues.</w:t>
      </w:r>
    </w:p>
    <w:p w:rsidR="00747EB4" w:rsidRDefault="00747EB4" w:rsidP="00431D19">
      <w:pPr>
        <w:pStyle w:val="BodyText"/>
        <w:numPr>
          <w:ilvl w:val="0"/>
          <w:numId w:val="11"/>
        </w:numPr>
      </w:pPr>
      <w:r w:rsidRPr="008740FD">
        <w:t>The near real-time usage data AMI technology allows customers and the Utility to better address system leaks and improve conservation through the Utility’s customer portal.</w:t>
      </w:r>
    </w:p>
    <w:p w:rsidR="00747EB4" w:rsidRDefault="00747EB4" w:rsidP="00431D19">
      <w:pPr>
        <w:pStyle w:val="BodyText"/>
        <w:numPr>
          <w:ilvl w:val="0"/>
          <w:numId w:val="11"/>
        </w:numPr>
      </w:pPr>
      <w:r w:rsidRPr="008740FD">
        <w:lastRenderedPageBreak/>
        <w:t>The reduction of meter reading expenses produces operational savings.</w:t>
      </w:r>
    </w:p>
    <w:p w:rsidR="00747EB4" w:rsidRDefault="00747EB4" w:rsidP="00431D19">
      <w:pPr>
        <w:pStyle w:val="First-LevelSubheading"/>
      </w:pPr>
      <w:r>
        <w:t>Project Timeline</w:t>
      </w:r>
    </w:p>
    <w:p w:rsidR="00747EB4" w:rsidRDefault="00747EB4" w:rsidP="00431D19">
      <w:pPr>
        <w:pStyle w:val="BodyText"/>
      </w:pPr>
      <w:r>
        <w:t>Section 367.081(2)(a)2, F.S., provides that the Commission, in fixing rates, shall consider facilities to be constructed within a reasonable time in the future, not to exceed 24 months after the end of the historic base year, unless a longer period of approved by the Commission, to be used and useful if such property is needed to serve current customers. Witness Twomey testified that the project will be completed by October 2025, which is within the 24-month requirement. (TR 568-569; EXH 59, BSP D4-1149) As of February 12, 2025, there were 7,000 meters installed with 20-meter installers working daily to meet the 4,000 meter per-month schedule. All permits have been acquired, and the installation of the last antennas will begin in Lake County on March 10, 2025. (TR 568; TR 585)</w:t>
      </w:r>
    </w:p>
    <w:p w:rsidR="00747EB4" w:rsidRDefault="00747EB4" w:rsidP="00431D19">
      <w:pPr>
        <w:pStyle w:val="BodyText"/>
      </w:pPr>
      <w:r>
        <w:t>OPC witness Smith argued that the project will not be completed on time, since the expected completion date has changed multiple times since the project’s inception and because of the Utility’s inexperience with the construction of AMI networks. (TR 400-401) Sunshine witness Twomey refuted this argument and maintains a high degree of confidence that the project is to be completed on schedule in October of 2025, arguing that the additional Senior Project Manager and Project Manager added to the lead project delivery team will ensure greater oversight of the pro forma projects. (TR 554) Witness Twomey further stated that, should the need arise, Sunshine will engage an additional meter installation company previously utilized by its sister company, Ni Florida, to install AMI meters in order to ensure all work is completed before the statutory deadline. (TR 569) Based on the information provided above, staff believes that the installations of the AMI meters and construction of the AMI network will be completed before the end of the 24-month period.</w:t>
      </w:r>
    </w:p>
    <w:p w:rsidR="00747EB4" w:rsidRDefault="00747EB4" w:rsidP="00431D19">
      <w:pPr>
        <w:pStyle w:val="First-LevelSubheading"/>
      </w:pPr>
      <w:r>
        <w:t>Project Cost</w:t>
      </w:r>
    </w:p>
    <w:p w:rsidR="00747EB4" w:rsidRDefault="00747EB4" w:rsidP="00431D19">
      <w:pPr>
        <w:pStyle w:val="BodyText"/>
      </w:pPr>
      <w:r>
        <w:t xml:space="preserve">In its initial filing, Sunshine requested $20,071,423 for the project, including estimated project costs of $11,743,036 for infrastructure, $5,779,633 for construction, $1,134,538 for engineering, $214,558 in capitalized time, and $1,199,658 for interest during construction. (EXH 33, BSP C5-1406) Sunshine filed an updated request for $20,615,599. (EXH 59, BSP D4-1149) This increase is associated with the inclusion of Lead and Copper Assessments during the meter replacements, which includes a construction and engineering cost of $508,000, plus $5,842 in capitalized time, and $32,664 for interest during construction. </w:t>
      </w:r>
    </w:p>
    <w:p w:rsidR="00747EB4" w:rsidRDefault="00747EB4" w:rsidP="00431D19">
      <w:pPr>
        <w:pStyle w:val="BodyText"/>
      </w:pPr>
      <w:r>
        <w:t xml:space="preserve">For the activities required to complete the project, contracts were awarded to three companies for supplying the new AMI water meters, the installation of the AMI meters, and the installation of the poles to construct the AMI network. (EXH 33, BSP C5-1408) The formal bidding process and selection was performed for the AMI meter vendor and the technology. However, this process was led by Sunshine’s parent company at the time, CII. (TR 230) CII opted to evaluate the new technology and its supplier in an effort to standardize the technology across its affiliates and reduce the total number of vendors. (TR 230) CII evaluated the vendors based on the ability to provide sufficient meter units, if the technology met corporate requirements, the estimated service life of the units, unit cost, financial stability, and the vendor’s ability to support their meter solution. (EXH 33, BSP C5-1420) After evaluation of each vendor, Neptune Technologies Group was selected as the national meter vendor for Sunshine and its sister companies. (TR 550) </w:t>
      </w:r>
      <w:r>
        <w:lastRenderedPageBreak/>
        <w:t>Staff notes that Neptune was the second lowest bidder for the project. However, after CII’s point based evaluation, Neptune was found to be the best at satisfying the requirements set by the parent company for a national vendor. Staff also notes that the bids provided were based on a five-year estimate and that Neptune’s bid provides a lower annual support cost than the lowest bidder, Badger Meter Inc., making Neptune the less costly solution over time. (EXH 33, BSP C5-1416; EXH 33, BSP C5-1420) A purchasing agreement was negotiated by CII after the selection for discounts of 15% for Neptune Meter Interface Units and Endpoints and a discount of 10% for Neptune reading equipment and software. (EXH 33, BSP C5-1511)</w:t>
      </w:r>
    </w:p>
    <w:p w:rsidR="00747EB4" w:rsidRDefault="00747EB4" w:rsidP="00431D19">
      <w:pPr>
        <w:pStyle w:val="BodyText"/>
      </w:pPr>
      <w:r>
        <w:t>The formal bidding process was forgone in selecting a contractor for the installation of the new meters. Witness Twomey testified that this was done by Sunshine’s current parent company, Nexus Water Group, which selected VEPO Metering South, LLC, as the preferred meter installation service and had already negotiated preferred pricing for their national meter installation services. (EXH 33, BSP C5-1408)</w:t>
      </w:r>
    </w:p>
    <w:p w:rsidR="00747EB4" w:rsidRDefault="00747EB4" w:rsidP="00431D19">
      <w:pPr>
        <w:pStyle w:val="BodyText"/>
      </w:pPr>
      <w:r>
        <w:t>Sunshine underwent the formal bidding process for the installation of the poles necessary for the construction of the AMI network and received bid proposals from four companies. Sunshine awarded the contract for the pole installations to PlusComm Inc. (EXH 33, BSP C5-1408) Staff notes that PlusComm did not offer the lowest bid for the project but that PlusComm independently agreed to acquire the necessary electrical permits and offered to assist in acquisition of necessary building permits, which was not reflected in the bid comparisons. (EXH 33, BSP 1410)</w:t>
      </w:r>
    </w:p>
    <w:p w:rsidR="00747EB4" w:rsidRDefault="00747EB4" w:rsidP="00431D19">
      <w:pPr>
        <w:pStyle w:val="BodyText"/>
      </w:pPr>
      <w:r>
        <w:t>OPC witness Smith disagreed with the total cost of the project and argued that the Utility did not adequately demonstrate a cost comparison between AMI and AMR. (TR 401) Witness Twomey refuted this argument and stated that the Utility performed a cost-effectiveness analysis based on a 20-year period that showed the breakeven value between installations of communication towers and using cellular service for AMI was approximately 278 meters per pole, and designed the system to install poles when in excess of this ratio. (TR 561) For the selection of AMI versus AMR, Witness Twomey stated that AMR meters were assessed but eliminated as an option. (TR 559) Witness Twomey agreed that AMI meters require a higher capital cost, including the communication towers necessary for its use, but AMR meters would require the same meter readers and resources as the Utility uses now and represent an additional cost to the Utility’s eventual AMI deployment. (TR 551; TR 558)</w:t>
      </w:r>
    </w:p>
    <w:p w:rsidR="00747EB4" w:rsidRDefault="00747EB4" w:rsidP="00431D19">
      <w:pPr>
        <w:pStyle w:val="BodyText"/>
      </w:pPr>
      <w:r>
        <w:t>Sunshine provided contracts, purchase orders, and invoices for $16,204,334 including $15,518,923 in construction costs and $685,411 in engineering costs. (EXH 59; EXH 81) In addition $186,350 in capitalized time and $1,041,939 in interest during construction was added for a total project cost of $17,432,623.</w:t>
      </w:r>
    </w:p>
    <w:p w:rsidR="00747EB4" w:rsidRDefault="00747EB4" w:rsidP="00431D19">
      <w:pPr>
        <w:pStyle w:val="BodyText"/>
      </w:pPr>
      <w:r>
        <w:t>Based on the documentation provided by the Utility and the testimony of witness Twomey, staff recommends that $17,432,623 is reasonable for the project. (TR 151-152; TR 572-573) Sunshine recorded a cost of $20,071,423 in its MFRs; therefore, staff recommends an adjustment to decrease the cost of ST-20 by $2,638,800 ($20,071,423 - $17,432,623). As mentioned above, O&amp;M impacts are discussed further in Issue 26.</w:t>
      </w:r>
    </w:p>
    <w:p w:rsidR="00747EB4" w:rsidRDefault="00747EB4" w:rsidP="00431D19">
      <w:pPr>
        <w:pStyle w:val="RecommendationMajorSectionHeading"/>
      </w:pPr>
      <w:r>
        <w:lastRenderedPageBreak/>
        <w:t>CONCLUSION</w:t>
      </w:r>
    </w:p>
    <w:p w:rsidR="00747EB4" w:rsidRDefault="00747EB4">
      <w:pPr>
        <w:pStyle w:val="BodyText"/>
      </w:pPr>
      <w:r w:rsidRPr="00423F8E">
        <w:t xml:space="preserve">Staff recognizes a need for the meter replacement due to the age of the current meters and </w:t>
      </w:r>
      <w:r>
        <w:t xml:space="preserve">is persuaded by </w:t>
      </w:r>
      <w:r w:rsidRPr="00423F8E">
        <w:t>the additional functionality of AMI meters to address system leaks. Based on the documentation provided by the Utility staff recommends an adjustment to decrease the cost of this project by $2,638,800. The resultant operational savings are discussed in detail in Issue 26.</w:t>
      </w:r>
    </w:p>
    <w:p w:rsidR="00747EB4" w:rsidRPr="006B449B" w:rsidRDefault="00747EB4" w:rsidP="00431D19"/>
    <w:p w:rsidR="00FF6504" w:rsidRDefault="00FF6504" w:rsidP="00E275D8">
      <w:pPr>
        <w:pStyle w:val="BodyText"/>
        <w:sectPr w:rsidR="00FF6504" w:rsidSect="00BF5423">
          <w:headerReference w:type="default" r:id="rId16"/>
          <w:type w:val="continuous"/>
          <w:pgSz w:w="12240" w:h="15840" w:code="1"/>
          <w:pgMar w:top="1584" w:right="1440" w:bottom="1440" w:left="1440" w:header="720" w:footer="720" w:gutter="0"/>
          <w:cols w:space="720"/>
          <w:formProt w:val="0"/>
          <w:docGrid w:linePitch="360"/>
        </w:sectPr>
      </w:pPr>
    </w:p>
    <w:p w:rsidR="00900276" w:rsidRDefault="00900276" w:rsidP="00900276">
      <w:r>
        <w:br w:type="page"/>
      </w:r>
    </w:p>
    <w:p w:rsidR="00747EB4" w:rsidRDefault="00747EB4">
      <w:pPr>
        <w:pStyle w:val="IssueHeading"/>
        <w:rPr>
          <w:vanish/>
          <w:specVanish/>
        </w:rPr>
      </w:pPr>
      <w:r w:rsidRPr="004C3641">
        <w:lastRenderedPageBreak/>
        <w:t xml:space="preserve">Issue </w:t>
      </w:r>
      <w:r>
        <w:fldChar w:fldCharType="begin"/>
      </w:r>
      <w:r>
        <w:instrText>seq issue \r 5</w:instrText>
      </w:r>
      <w:r>
        <w:fldChar w:fldCharType="separate"/>
      </w:r>
      <w:r w:rsidR="009D3FF7">
        <w:rPr>
          <w:noProof/>
        </w:rPr>
        <w:t>5</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1" w:name="_Toc196317123"/>
      <w:r w:rsidR="009D3FF7">
        <w:rPr>
          <w:noProof/>
        </w:rPr>
        <w:instrText>5</w:instrText>
      </w:r>
      <w:r>
        <w:fldChar w:fldCharType="end"/>
      </w:r>
      <w:r>
        <w:tab/>
        <w:instrText>Plant Retirements (Sanchez, Bardin)</w:instrText>
      </w:r>
      <w:bookmarkEnd w:id="21"/>
      <w:r>
        <w:instrText xml:space="preserve">" \l 1 </w:instrText>
      </w:r>
      <w:r>
        <w:fldChar w:fldCharType="end"/>
      </w:r>
      <w:r>
        <w:t> </w:t>
      </w:r>
    </w:p>
    <w:p w:rsidR="00747EB4" w:rsidRDefault="00747EB4">
      <w:pPr>
        <w:pStyle w:val="BodyText"/>
      </w:pPr>
      <w:r>
        <w:t> What are the appropriate plant retirements to be made in this docket?</w:t>
      </w:r>
    </w:p>
    <w:p w:rsidR="00747EB4" w:rsidRPr="004C3641" w:rsidRDefault="00747EB4">
      <w:pPr>
        <w:pStyle w:val="IssueSubsectionHeading"/>
        <w:rPr>
          <w:vanish/>
          <w:specVanish/>
        </w:rPr>
      </w:pPr>
      <w:r w:rsidRPr="004C3641">
        <w:t>Recommendation: </w:t>
      </w:r>
    </w:p>
    <w:p w:rsidR="00747EB4" w:rsidRDefault="00747EB4">
      <w:pPr>
        <w:pStyle w:val="BodyText"/>
      </w:pPr>
      <w:r>
        <w:t>Staff recommended</w:t>
      </w:r>
      <w:r w:rsidRPr="00DD61E7">
        <w:t xml:space="preserve"> </w:t>
      </w:r>
      <w:r>
        <w:t xml:space="preserve">pro forma </w:t>
      </w:r>
      <w:r w:rsidRPr="00DD61E7">
        <w:t xml:space="preserve">plant retirements </w:t>
      </w:r>
      <w:r>
        <w:t xml:space="preserve">and the </w:t>
      </w:r>
      <w:r w:rsidRPr="00DD61E7">
        <w:t xml:space="preserve">associated </w:t>
      </w:r>
      <w:r>
        <w:t>accumulated depreciation amounts are</w:t>
      </w:r>
      <w:r w:rsidRPr="00DD61E7">
        <w:t xml:space="preserve"> $</w:t>
      </w:r>
      <w:r>
        <w:t>2,317,753</w:t>
      </w:r>
      <w:r w:rsidRPr="00DD61E7">
        <w:t xml:space="preserve"> for water and $</w:t>
      </w:r>
      <w:r>
        <w:t>1,964,052</w:t>
      </w:r>
      <w:r w:rsidRPr="00DD61E7">
        <w:t xml:space="preserve"> for wastewater. </w:t>
      </w:r>
      <w:r w:rsidRPr="0097629D">
        <w:t>As such, plant and accumulated depreciation should be decreased by $</w:t>
      </w:r>
      <w:r>
        <w:t>361,118</w:t>
      </w:r>
      <w:r w:rsidRPr="0097629D">
        <w:t xml:space="preserve"> for water and $3</w:t>
      </w:r>
      <w:r>
        <w:t>20,367</w:t>
      </w:r>
      <w:r w:rsidRPr="0097629D">
        <w:t xml:space="preserve"> for wastewater, along with the following corresponding adjustments. Contributions in aid of construction (CIAC) and accumulated amortization of CIAC should be increased by $</w:t>
      </w:r>
      <w:r>
        <w:t>183,827</w:t>
      </w:r>
      <w:r w:rsidRPr="0097629D">
        <w:t xml:space="preserve"> for water and decreased by $</w:t>
      </w:r>
      <w:r>
        <w:t>29,511</w:t>
      </w:r>
      <w:r w:rsidRPr="0097629D">
        <w:t xml:space="preserve"> for wastewater. Depreciation expense should be </w:t>
      </w:r>
      <w:r>
        <w:t>de</w:t>
      </w:r>
      <w:r w:rsidRPr="0097629D">
        <w:t>creased by $</w:t>
      </w:r>
      <w:r>
        <w:t>14,496</w:t>
      </w:r>
      <w:r w:rsidRPr="0097629D">
        <w:t xml:space="preserve"> for water and $1</w:t>
      </w:r>
      <w:r>
        <w:t>0,613</w:t>
      </w:r>
      <w:r w:rsidRPr="0097629D">
        <w:t xml:space="preserve"> for wastewater. CIAC amortization should be </w:t>
      </w:r>
      <w:r>
        <w:t>de</w:t>
      </w:r>
      <w:r w:rsidRPr="0097629D">
        <w:t>creased by $</w:t>
      </w:r>
      <w:r>
        <w:t>5,390</w:t>
      </w:r>
      <w:r w:rsidRPr="0097629D">
        <w:t xml:space="preserve"> for water and $</w:t>
      </w:r>
      <w:r>
        <w:t>966</w:t>
      </w:r>
      <w:r w:rsidRPr="0097629D">
        <w:t xml:space="preserve"> for wastewater</w:t>
      </w:r>
      <w:r>
        <w:t>. (Sanchez, Bardin)</w:t>
      </w:r>
    </w:p>
    <w:p w:rsidR="00747EB4" w:rsidRPr="004C3641" w:rsidRDefault="00747EB4">
      <w:pPr>
        <w:pStyle w:val="IssueSubsectionHeading"/>
        <w:keepNext/>
        <w:rPr>
          <w:iCs w:val="0"/>
        </w:rPr>
      </w:pPr>
      <w:r w:rsidRPr="004C3641">
        <w:rPr>
          <w:iCs w:val="0"/>
        </w:rPr>
        <w:t>Position of the Parties</w:t>
      </w:r>
    </w:p>
    <w:p w:rsidR="00747EB4" w:rsidRDefault="00747EB4" w:rsidP="00431D19">
      <w:pPr>
        <w:pStyle w:val="PartyName"/>
        <w:rPr>
          <w:vanish/>
          <w:specVanish/>
        </w:rPr>
      </w:pPr>
      <w:r>
        <w:t>SUNSHINE: </w:t>
      </w:r>
    </w:p>
    <w:p w:rsidR="00747EB4" w:rsidRDefault="00747EB4">
      <w:pPr>
        <w:pStyle w:val="BodyText"/>
      </w:pPr>
      <w:r>
        <w:t> Water - $2,317,753; Wastewater - $1,964,052.</w:t>
      </w:r>
    </w:p>
    <w:p w:rsidR="00747EB4" w:rsidRDefault="00747EB4" w:rsidP="00431D19">
      <w:pPr>
        <w:pStyle w:val="PartyName"/>
        <w:rPr>
          <w:vanish/>
          <w:specVanish/>
        </w:rPr>
      </w:pPr>
      <w:r>
        <w:t>OPC: </w:t>
      </w:r>
    </w:p>
    <w:p w:rsidR="00747EB4" w:rsidRDefault="00747EB4">
      <w:pPr>
        <w:pStyle w:val="BodyText"/>
      </w:pPr>
      <w:r>
        <w:t> This issue is effectively a fallout of AMI Meter Installation Project issue. Retirements should be adjusted to reflect the reversal of the assumed test year retirements of existing meters upon the rejection of the proposed uninstalled AMI meters.</w:t>
      </w:r>
    </w:p>
    <w:p w:rsidR="00747EB4" w:rsidRPr="001D588F" w:rsidRDefault="00747EB4">
      <w:pPr>
        <w:pStyle w:val="IssueSubsectionHeading"/>
        <w:rPr>
          <w:rFonts w:ascii="Times New Roman" w:hAnsi="Times New Roman" w:cs="Times New Roman"/>
          <w:vanish/>
          <w:szCs w:val="24"/>
          <w:specVanish/>
        </w:rPr>
      </w:pPr>
      <w:r w:rsidRPr="004C3641">
        <w:t>Staff Analysis: </w:t>
      </w:r>
    </w:p>
    <w:p w:rsidR="00747EB4" w:rsidRPr="001D588F" w:rsidRDefault="00747EB4" w:rsidP="00431D19">
      <w:pPr>
        <w:pStyle w:val="BodyText"/>
      </w:pPr>
      <w:r w:rsidRPr="001D588F">
        <w:t> In its initial filing, Sunshine reflected pro forma retirements to plant and accumulated depreciation of $1,956,635 for water and $1,643,685 for wastewater</w:t>
      </w:r>
      <w:r>
        <w:t>, along with corresponding reductions of $73,122 and $51,319 to depreciation expense for water and wastewater, respectively</w:t>
      </w:r>
      <w:r w:rsidRPr="001D588F">
        <w:t>.</w:t>
      </w:r>
      <w:r>
        <w:t xml:space="preserve"> (EXH 10, BSP C4-401)</w:t>
      </w:r>
      <w:r w:rsidRPr="001D588F">
        <w:t xml:space="preserve"> The Utility also identified contributed plant in the pro forma retirements and included corresponding adjustments to retire associated CIAC in the amounts of $451,677 for water and $240,934 for wastewater.</w:t>
      </w:r>
      <w:r>
        <w:t xml:space="preserve"> (EXH 10, BSP C4-404)</w:t>
      </w:r>
      <w:r w:rsidRPr="001D588F">
        <w:t xml:space="preserve"> </w:t>
      </w:r>
      <w:r>
        <w:t xml:space="preserve">An adjustment to decrease CIAC amortization expense for the pro forma contributed plant by $7,049 for wastewater was recorded in the initial filing. </w:t>
      </w:r>
      <w:r w:rsidRPr="001D588F">
        <w:t>(EXH 10</w:t>
      </w:r>
      <w:r>
        <w:t>, BSP C4-441</w:t>
      </w:r>
      <w:r w:rsidRPr="001D588F">
        <w:t>)</w:t>
      </w:r>
      <w:r>
        <w:t xml:space="preserve"> </w:t>
      </w:r>
    </w:p>
    <w:p w:rsidR="00747EB4" w:rsidRPr="001D588F" w:rsidRDefault="00747EB4" w:rsidP="00431D19">
      <w:pPr>
        <w:pStyle w:val="BodyText"/>
      </w:pPr>
      <w:r w:rsidRPr="001D588F">
        <w:t xml:space="preserve">Sunshine witness Swain subsequently updated the pro forma retirements in the MFRs with a revised schedule identified as Exhibit DDS-3. </w:t>
      </w:r>
      <w:r>
        <w:t xml:space="preserve">(EXH 46, BSP D3-32) </w:t>
      </w:r>
      <w:r w:rsidRPr="001D588F">
        <w:t>Per Sunshine, the correct plant retirements and accumulated depreciation to be made are $2,317,753 for water and $1,964,052 for wastewater. The amounts for retirements and included adjustments to retire associated CIAC were also updated to $267,850 for water and $270,445 for wastewater</w:t>
      </w:r>
      <w:r>
        <w:t>, along with a reduction to CIAC amortization expense of $8,015. (EXH 10, BSP C4-441, BSP D3-42</w:t>
      </w:r>
      <w:r w:rsidRPr="001D588F">
        <w:t xml:space="preserve">) </w:t>
      </w:r>
    </w:p>
    <w:p w:rsidR="00747EB4" w:rsidRPr="001D588F" w:rsidRDefault="00747EB4" w:rsidP="00431D19">
      <w:pPr>
        <w:pStyle w:val="BodyText"/>
      </w:pPr>
      <w:r w:rsidRPr="001D588F">
        <w:t>OPC argued that the entire cost of the pro forma AMI project should be disallowed as this is not a required project. OPC stated that retirements should be adjusted to reflect the reversal of the assumed test year retirements of existing meters upon the rejection of the pr</w:t>
      </w:r>
      <w:r>
        <w:t xml:space="preserve">oposed uninstalled AMI meters. </w:t>
      </w:r>
      <w:r w:rsidRPr="001D588F">
        <w:t>(EXH 41</w:t>
      </w:r>
      <w:r>
        <w:t>, BSP C6-2115, BSP C6-2115;</w:t>
      </w:r>
      <w:r w:rsidRPr="001D588F">
        <w:t xml:space="preserve"> TR 402</w:t>
      </w:r>
      <w:r>
        <w:t>;</w:t>
      </w:r>
      <w:r w:rsidRPr="001D588F">
        <w:t xml:space="preserve"> </w:t>
      </w:r>
      <w:r>
        <w:t xml:space="preserve">OPC </w:t>
      </w:r>
      <w:r w:rsidRPr="001D588F">
        <w:t>BR 27, 28)</w:t>
      </w:r>
    </w:p>
    <w:p w:rsidR="00747EB4" w:rsidRDefault="00747EB4" w:rsidP="00431D19">
      <w:pPr>
        <w:pStyle w:val="BodyText"/>
      </w:pPr>
      <w:r>
        <w:t>Based on staff’s recommendation in Issue 4, s</w:t>
      </w:r>
      <w:r w:rsidRPr="001D588F">
        <w:t xml:space="preserve">taff believes </w:t>
      </w:r>
      <w:r>
        <w:t>the updated retirements are appropriate. However, the initial and rebuttal filing did not include the corresponding adjustment to CIAC amortization expense for the pro forma contributed plant for water. Staff recalculated the corresponding adjustment to the CIAC amortization expense. Based on the appropriate pro forma retirements discussed above, CIAC amortization expense should be decreased by $5,390 for water.</w:t>
      </w:r>
    </w:p>
    <w:p w:rsidR="00747EB4" w:rsidRPr="00A11387" w:rsidRDefault="00747EB4" w:rsidP="00431D19">
      <w:pPr>
        <w:pStyle w:val="RecommendationMajorSectionHeading"/>
      </w:pPr>
      <w:r w:rsidRPr="00A11387">
        <w:lastRenderedPageBreak/>
        <w:t>CONCLUSION</w:t>
      </w:r>
    </w:p>
    <w:p w:rsidR="00747EB4" w:rsidRPr="005C0439" w:rsidRDefault="00747EB4" w:rsidP="00431D19">
      <w:pPr>
        <w:pStyle w:val="BodyText"/>
      </w:pPr>
      <w:r>
        <w:t>Based on the information above, s</w:t>
      </w:r>
      <w:r w:rsidRPr="0097629D">
        <w:t>taff recommended pro forma plant retirements and the associated accumulated depreciation amounts are $2,317,753 for water and $1,964,052 for wastewater. As such, plant and accumulated depreciation should be decreased by $361,118 for water and $320,367 for wastewater, along with the following corresponding adjustments.</w:t>
      </w:r>
      <w:r>
        <w:t xml:space="preserve"> CIAC</w:t>
      </w:r>
      <w:r w:rsidRPr="0097629D">
        <w:t xml:space="preserve"> and accumulated amortization of CIAC should be increased by $183,827 for water and decreased by $29,511 for wastewater. Depreciation expense should be decreased by $14,496 for water and $10,613 for wastewater. CIAC amortization should be decreased by $5,390 for water and $966 for wastewater</w:t>
      </w:r>
      <w:r>
        <w:t>.</w:t>
      </w:r>
    </w:p>
    <w:p w:rsidR="00963457" w:rsidRDefault="00963457" w:rsidP="00E275D8">
      <w:pPr>
        <w:pStyle w:val="BodyText"/>
      </w:pPr>
    </w:p>
    <w:p w:rsidR="00963457" w:rsidRDefault="00963457" w:rsidP="00963457">
      <w:r>
        <w:br w:type="page"/>
      </w:r>
    </w:p>
    <w:p w:rsidR="00747EB4" w:rsidRDefault="00747EB4">
      <w:pPr>
        <w:pStyle w:val="IssueHeading"/>
        <w:rPr>
          <w:vanish/>
          <w:specVanish/>
        </w:rPr>
      </w:pPr>
      <w:r w:rsidRPr="004C3641">
        <w:lastRenderedPageBreak/>
        <w:t xml:space="preserve">Issue </w:t>
      </w:r>
      <w:r>
        <w:fldChar w:fldCharType="begin"/>
      </w:r>
      <w:r>
        <w:instrText>seq issue \r 6</w:instrText>
      </w:r>
      <w:r>
        <w:fldChar w:fldCharType="separate"/>
      </w:r>
      <w:r w:rsidR="009D3FF7">
        <w:rPr>
          <w:noProof/>
        </w:rPr>
        <w:t>6</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2" w:name="_Toc196317124"/>
      <w:r w:rsidR="009D3FF7">
        <w:rPr>
          <w:noProof/>
        </w:rPr>
        <w:instrText>6</w:instrText>
      </w:r>
      <w:r>
        <w:fldChar w:fldCharType="end"/>
      </w:r>
      <w:r>
        <w:tab/>
        <w:instrText>STIPULATED – Excessive Unaccounted for Water</w:instrText>
      </w:r>
      <w:bookmarkEnd w:id="22"/>
      <w:r>
        <w:instrText xml:space="preserve">" \l 1 </w:instrText>
      </w:r>
      <w:r>
        <w:fldChar w:fldCharType="end"/>
      </w:r>
      <w:r>
        <w:t> </w:t>
      </w:r>
    </w:p>
    <w:p w:rsidR="00747EB4" w:rsidRDefault="00747EB4">
      <w:pPr>
        <w:pStyle w:val="BodyText"/>
      </w:pPr>
      <w:r>
        <w:t> Do any water systems have excessive unaccounted for water and, if so, what adjustments are necessary, if any?</w:t>
      </w:r>
    </w:p>
    <w:p w:rsidR="00747EB4" w:rsidRPr="004C3641" w:rsidRDefault="00747EB4">
      <w:pPr>
        <w:pStyle w:val="IssueSubsectionHeading"/>
        <w:rPr>
          <w:vanish/>
          <w:specVanish/>
        </w:rPr>
      </w:pPr>
      <w:r>
        <w:t>Approved Type 2 Stipulation</w:t>
      </w:r>
      <w:r w:rsidRPr="004C3641">
        <w:t>: </w:t>
      </w:r>
    </w:p>
    <w:p w:rsidR="00747EB4" w:rsidRDefault="00747EB4" w:rsidP="00C567FD">
      <w:pPr>
        <w:pStyle w:val="Default"/>
      </w:pPr>
      <w:r>
        <w:t> </w:t>
      </w:r>
      <w:r>
        <w:rPr>
          <w:sz w:val="23"/>
          <w:szCs w:val="23"/>
        </w:rPr>
        <w:t>Yes, as follows: Lake Placid, 9.3 percent; LUSI (Four Lakes), 11.2</w:t>
      </w:r>
      <w:r w:rsidRPr="005E1375">
        <w:rPr>
          <w:sz w:val="23"/>
          <w:szCs w:val="23"/>
        </w:rPr>
        <w:t xml:space="preserve"> </w:t>
      </w:r>
      <w:r>
        <w:rPr>
          <w:sz w:val="23"/>
          <w:szCs w:val="23"/>
        </w:rPr>
        <w:t>percent; Golden Hills, 0.9</w:t>
      </w:r>
      <w:r w:rsidRPr="005E1375">
        <w:rPr>
          <w:sz w:val="23"/>
          <w:szCs w:val="23"/>
        </w:rPr>
        <w:t xml:space="preserve"> </w:t>
      </w:r>
      <w:r>
        <w:rPr>
          <w:sz w:val="23"/>
          <w:szCs w:val="23"/>
        </w:rPr>
        <w:t>percent; Labrador, 3.3</w:t>
      </w:r>
      <w:r w:rsidRPr="005E1375">
        <w:rPr>
          <w:sz w:val="23"/>
          <w:szCs w:val="23"/>
        </w:rPr>
        <w:t xml:space="preserve"> </w:t>
      </w:r>
      <w:r>
        <w:rPr>
          <w:sz w:val="23"/>
          <w:szCs w:val="23"/>
        </w:rPr>
        <w:t>percent; Summertree, 4.5</w:t>
      </w:r>
      <w:r w:rsidRPr="005E1375">
        <w:rPr>
          <w:sz w:val="23"/>
          <w:szCs w:val="23"/>
        </w:rPr>
        <w:t xml:space="preserve"> </w:t>
      </w:r>
      <w:r>
        <w:rPr>
          <w:sz w:val="23"/>
          <w:szCs w:val="23"/>
        </w:rPr>
        <w:t>percent; Orangewood, 8.7</w:t>
      </w:r>
      <w:r w:rsidRPr="005E1375">
        <w:rPr>
          <w:sz w:val="23"/>
          <w:szCs w:val="23"/>
        </w:rPr>
        <w:t xml:space="preserve"> </w:t>
      </w:r>
      <w:r>
        <w:rPr>
          <w:sz w:val="23"/>
          <w:szCs w:val="23"/>
        </w:rPr>
        <w:t>percent; Bear Lake, 5.3</w:t>
      </w:r>
      <w:r w:rsidRPr="005E1375">
        <w:rPr>
          <w:sz w:val="23"/>
          <w:szCs w:val="23"/>
        </w:rPr>
        <w:t xml:space="preserve"> </w:t>
      </w:r>
      <w:r>
        <w:rPr>
          <w:sz w:val="23"/>
          <w:szCs w:val="23"/>
        </w:rPr>
        <w:t>percent; Little Wekiva, 1.4</w:t>
      </w:r>
      <w:r w:rsidRPr="005E1375">
        <w:rPr>
          <w:sz w:val="23"/>
          <w:szCs w:val="23"/>
        </w:rPr>
        <w:t xml:space="preserve"> </w:t>
      </w:r>
      <w:r>
        <w:rPr>
          <w:sz w:val="23"/>
          <w:szCs w:val="23"/>
        </w:rPr>
        <w:t xml:space="preserve">percent. Adjustments should be made to purchased power, chemicals and purchased water as appropriate. </w:t>
      </w:r>
      <w:r>
        <w:t xml:space="preserve"> </w:t>
      </w:r>
    </w:p>
    <w:p w:rsidR="00747EB4" w:rsidRPr="00892E9E" w:rsidRDefault="00747EB4" w:rsidP="00431D19"/>
    <w:p w:rsidR="00866310" w:rsidRDefault="00866310" w:rsidP="00E275D8">
      <w:pPr>
        <w:pStyle w:val="BodyText"/>
      </w:pPr>
    </w:p>
    <w:p w:rsidR="00866310" w:rsidRDefault="00866310" w:rsidP="00866310">
      <w:r>
        <w:br w:type="page"/>
      </w:r>
    </w:p>
    <w:p w:rsidR="00747EB4" w:rsidRDefault="00747EB4">
      <w:pPr>
        <w:pStyle w:val="IssueHeading"/>
        <w:rPr>
          <w:vanish/>
          <w:specVanish/>
        </w:rPr>
      </w:pPr>
      <w:r w:rsidRPr="004C3641">
        <w:lastRenderedPageBreak/>
        <w:t xml:space="preserve">Issue </w:t>
      </w:r>
      <w:r>
        <w:fldChar w:fldCharType="begin"/>
      </w:r>
      <w:r>
        <w:instrText>seq issue \r 7</w:instrText>
      </w:r>
      <w:r>
        <w:fldChar w:fldCharType="separate"/>
      </w:r>
      <w:r w:rsidR="009D3FF7">
        <w:rPr>
          <w:noProof/>
        </w:rPr>
        <w:t>7</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3" w:name="_Toc196317125"/>
      <w:r w:rsidR="009D3FF7">
        <w:rPr>
          <w:noProof/>
        </w:rPr>
        <w:instrText>7</w:instrText>
      </w:r>
      <w:r>
        <w:fldChar w:fldCharType="end"/>
      </w:r>
      <w:r>
        <w:tab/>
        <w:instrText>STIPULATED – Excessive Infiltration &amp; Inflow</w:instrText>
      </w:r>
      <w:bookmarkEnd w:id="23"/>
      <w:r>
        <w:instrText xml:space="preserve">" \l 1 </w:instrText>
      </w:r>
      <w:r>
        <w:fldChar w:fldCharType="end"/>
      </w:r>
      <w:r>
        <w:t> </w:t>
      </w:r>
    </w:p>
    <w:p w:rsidR="00747EB4" w:rsidRDefault="00747EB4">
      <w:pPr>
        <w:pStyle w:val="BodyText"/>
      </w:pPr>
      <w:r>
        <w:t> Do any wastewater systems have excessive infiltration and/or inflow and, if so, what adjustments are necessary, if any?</w:t>
      </w:r>
    </w:p>
    <w:p w:rsidR="00747EB4" w:rsidRPr="004C3641" w:rsidRDefault="00747EB4">
      <w:pPr>
        <w:pStyle w:val="IssueSubsectionHeading"/>
        <w:rPr>
          <w:vanish/>
          <w:specVanish/>
        </w:rPr>
      </w:pPr>
      <w:r>
        <w:t>Approved Type 2 Stipulation</w:t>
      </w:r>
      <w:r w:rsidRPr="004C3641">
        <w:t>: </w:t>
      </w:r>
    </w:p>
    <w:p w:rsidR="00747EB4" w:rsidRDefault="00747EB4" w:rsidP="00A60C1A">
      <w:pPr>
        <w:pStyle w:val="Default"/>
      </w:pPr>
      <w:r>
        <w:t> </w:t>
      </w:r>
      <w:r>
        <w:rPr>
          <w:sz w:val="23"/>
          <w:szCs w:val="23"/>
        </w:rPr>
        <w:t xml:space="preserve">Yes, as follows: Ravenna Park, 41.27 percent. Adjustments should be made to purchased power, chemicals, and purchased wastewater as appropriate. </w:t>
      </w:r>
      <w:r>
        <w:t xml:space="preserve"> </w:t>
      </w:r>
    </w:p>
    <w:p w:rsidR="00747EB4" w:rsidRPr="00CF29A8" w:rsidRDefault="00747EB4" w:rsidP="00CF29A8"/>
    <w:p w:rsidR="0031025E" w:rsidRPr="00CF29A8" w:rsidRDefault="0031025E" w:rsidP="00CF29A8"/>
    <w:p w:rsidR="0031025E" w:rsidRPr="00CF29A8" w:rsidRDefault="0031025E" w:rsidP="00CF29A8">
      <w:r w:rsidRPr="00CF29A8">
        <w:br w:type="page"/>
      </w:r>
    </w:p>
    <w:p w:rsidR="00747EB4" w:rsidRDefault="00747EB4">
      <w:pPr>
        <w:pStyle w:val="IssueHeading"/>
        <w:rPr>
          <w:vanish/>
          <w:specVanish/>
        </w:rPr>
      </w:pPr>
      <w:r w:rsidRPr="004C3641">
        <w:lastRenderedPageBreak/>
        <w:t xml:space="preserve">Issue </w:t>
      </w:r>
      <w:r>
        <w:fldChar w:fldCharType="begin"/>
      </w:r>
      <w:r>
        <w:instrText>seq issue \r 8</w:instrText>
      </w:r>
      <w:r>
        <w:fldChar w:fldCharType="separate"/>
      </w:r>
      <w:r w:rsidR="009D3FF7">
        <w:rPr>
          <w:noProof/>
        </w:rPr>
        <w:t>8</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4" w:name="_Toc196317126"/>
      <w:r w:rsidR="009D3FF7">
        <w:rPr>
          <w:noProof/>
        </w:rPr>
        <w:instrText>8</w:instrText>
      </w:r>
      <w:r>
        <w:fldChar w:fldCharType="end"/>
      </w:r>
      <w:r>
        <w:tab/>
        <w:instrText>STIPULATED – U&amp;U Water Treatment</w:instrText>
      </w:r>
      <w:bookmarkEnd w:id="24"/>
      <w:r>
        <w:instrText xml:space="preserve">" \l 1 </w:instrText>
      </w:r>
      <w:r>
        <w:fldChar w:fldCharType="end"/>
      </w:r>
      <w:r>
        <w:t> </w:t>
      </w:r>
    </w:p>
    <w:p w:rsidR="00747EB4" w:rsidRDefault="00747EB4">
      <w:pPr>
        <w:pStyle w:val="BodyText"/>
      </w:pPr>
      <w:r>
        <w:t> What are the appropriate used and useful percentages for the water treatment and related facilities of each water system?</w:t>
      </w:r>
    </w:p>
    <w:p w:rsidR="00747EB4" w:rsidRPr="004C3641" w:rsidRDefault="00747EB4">
      <w:pPr>
        <w:pStyle w:val="IssueSubsectionHeading"/>
        <w:rPr>
          <w:vanish/>
          <w:specVanish/>
        </w:rPr>
      </w:pPr>
      <w:r>
        <w:t>Approved Type 2 Stipulation</w:t>
      </w:r>
      <w:r w:rsidRPr="004C3641">
        <w:t>: </w:t>
      </w:r>
    </w:p>
    <w:p w:rsidR="00747EB4" w:rsidRDefault="00747EB4">
      <w:pPr>
        <w:pStyle w:val="BodyText"/>
      </w:pPr>
      <w:r>
        <w:t> </w:t>
      </w:r>
      <w:r>
        <w:rPr>
          <w:sz w:val="23"/>
          <w:szCs w:val="23"/>
        </w:rPr>
        <w:t xml:space="preserve">All water treatment and related facilities are 100 percent used and useful. </w:t>
      </w:r>
      <w:r>
        <w:t xml:space="preserve"> </w:t>
      </w:r>
    </w:p>
    <w:p w:rsidR="00D12AC2" w:rsidRDefault="00D12AC2" w:rsidP="00E275D8">
      <w:pPr>
        <w:pStyle w:val="BodyText"/>
      </w:pPr>
    </w:p>
    <w:p w:rsidR="00D12AC2" w:rsidRDefault="00D12AC2" w:rsidP="00D12AC2">
      <w:r>
        <w:br w:type="page"/>
      </w:r>
    </w:p>
    <w:p w:rsidR="00747EB4" w:rsidRDefault="00747EB4">
      <w:pPr>
        <w:pStyle w:val="IssueHeading"/>
        <w:rPr>
          <w:vanish/>
          <w:specVanish/>
        </w:rPr>
      </w:pPr>
      <w:r w:rsidRPr="004C3641">
        <w:lastRenderedPageBreak/>
        <w:t xml:space="preserve">Issue </w:t>
      </w:r>
      <w:r>
        <w:fldChar w:fldCharType="begin"/>
      </w:r>
      <w:r>
        <w:instrText>seq issue \r 9</w:instrText>
      </w:r>
      <w:r>
        <w:fldChar w:fldCharType="separate"/>
      </w:r>
      <w:r w:rsidR="009D3FF7">
        <w:rPr>
          <w:noProof/>
        </w:rPr>
        <w:t>9</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5" w:name="_Toc196317127"/>
      <w:r w:rsidR="009D3FF7">
        <w:rPr>
          <w:noProof/>
        </w:rPr>
        <w:instrText>9</w:instrText>
      </w:r>
      <w:r>
        <w:fldChar w:fldCharType="end"/>
      </w:r>
      <w:r>
        <w:tab/>
        <w:instrText>STIPULATED – U&amp;U Water Storage</w:instrText>
      </w:r>
      <w:bookmarkEnd w:id="25"/>
      <w:r>
        <w:instrText xml:space="preserve">" \l 1 </w:instrText>
      </w:r>
      <w:r>
        <w:fldChar w:fldCharType="end"/>
      </w:r>
      <w:r>
        <w:t> </w:t>
      </w:r>
    </w:p>
    <w:p w:rsidR="00747EB4" w:rsidRDefault="00747EB4">
      <w:pPr>
        <w:pStyle w:val="BodyText"/>
      </w:pPr>
      <w:r>
        <w:t> What are the appropriate used and useful percentages for the water storage and related facilities of each water system?</w:t>
      </w:r>
    </w:p>
    <w:p w:rsidR="00747EB4" w:rsidRPr="004C3641" w:rsidRDefault="00747EB4">
      <w:pPr>
        <w:pStyle w:val="IssueSubsectionHeading"/>
        <w:rPr>
          <w:vanish/>
          <w:specVanish/>
        </w:rPr>
      </w:pPr>
      <w:r>
        <w:t>Approved Type 2 Stipulation</w:t>
      </w:r>
      <w:r w:rsidRPr="004C3641">
        <w:t>: </w:t>
      </w:r>
    </w:p>
    <w:p w:rsidR="00747EB4" w:rsidRDefault="00747EB4">
      <w:pPr>
        <w:pStyle w:val="BodyText"/>
      </w:pPr>
      <w:r>
        <w:t> </w:t>
      </w:r>
      <w:r>
        <w:rPr>
          <w:sz w:val="23"/>
          <w:szCs w:val="23"/>
        </w:rPr>
        <w:t xml:space="preserve">All water storage and related facilities are 100 percent used and useful. </w:t>
      </w:r>
      <w:r>
        <w:t xml:space="preserve"> </w:t>
      </w:r>
    </w:p>
    <w:p w:rsidR="00B92B44" w:rsidRDefault="00B92B44" w:rsidP="00E275D8">
      <w:pPr>
        <w:pStyle w:val="BodyText"/>
      </w:pPr>
    </w:p>
    <w:p w:rsidR="00B92B44" w:rsidRDefault="00B92B44" w:rsidP="00B92B44">
      <w:r>
        <w:br w:type="page"/>
      </w:r>
    </w:p>
    <w:p w:rsidR="00747EB4" w:rsidRDefault="00747EB4">
      <w:pPr>
        <w:pStyle w:val="IssueHeading"/>
        <w:rPr>
          <w:vanish/>
          <w:specVanish/>
        </w:rPr>
      </w:pPr>
      <w:r w:rsidRPr="004C3641">
        <w:lastRenderedPageBreak/>
        <w:t xml:space="preserve">Issue </w:t>
      </w:r>
      <w:r>
        <w:fldChar w:fldCharType="begin"/>
      </w:r>
      <w:r>
        <w:instrText>seq issue \r 10</w:instrText>
      </w:r>
      <w:r>
        <w:fldChar w:fldCharType="separate"/>
      </w:r>
      <w:r w:rsidR="009D3FF7">
        <w:rPr>
          <w:noProof/>
        </w:rPr>
        <w:t>10</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6" w:name="_Toc196317128"/>
      <w:r w:rsidR="009D3FF7">
        <w:rPr>
          <w:noProof/>
        </w:rPr>
        <w:instrText>10</w:instrText>
      </w:r>
      <w:r>
        <w:fldChar w:fldCharType="end"/>
      </w:r>
      <w:r>
        <w:tab/>
        <w:instrText>STIPULATED – U&amp;U Water Distribution</w:instrText>
      </w:r>
      <w:bookmarkEnd w:id="26"/>
      <w:r>
        <w:instrText xml:space="preserve">" \l 1 </w:instrText>
      </w:r>
      <w:r>
        <w:fldChar w:fldCharType="end"/>
      </w:r>
      <w:r>
        <w:t> </w:t>
      </w:r>
    </w:p>
    <w:p w:rsidR="00747EB4" w:rsidRDefault="00747EB4">
      <w:pPr>
        <w:pStyle w:val="BodyText"/>
      </w:pPr>
      <w:r>
        <w:t> What are the appropriate used and useful percentages for the water distribution and related facilities of each water system?</w:t>
      </w:r>
    </w:p>
    <w:p w:rsidR="00747EB4" w:rsidRPr="004C3641" w:rsidRDefault="00747EB4">
      <w:pPr>
        <w:pStyle w:val="IssueSubsectionHeading"/>
        <w:rPr>
          <w:vanish/>
          <w:specVanish/>
        </w:rPr>
      </w:pPr>
      <w:r>
        <w:t>Approved Type 2 Stipulation</w:t>
      </w:r>
      <w:r w:rsidRPr="004C3641">
        <w:t>: </w:t>
      </w:r>
    </w:p>
    <w:p w:rsidR="00747EB4" w:rsidRDefault="00747EB4">
      <w:pPr>
        <w:pStyle w:val="BodyText"/>
      </w:pPr>
      <w:r>
        <w:t> </w:t>
      </w:r>
      <w:r>
        <w:rPr>
          <w:sz w:val="23"/>
          <w:szCs w:val="23"/>
        </w:rPr>
        <w:t xml:space="preserve">All water distribution and related facilities are 100 percent used and useful. </w:t>
      </w:r>
      <w:r>
        <w:t xml:space="preserve"> </w:t>
      </w:r>
    </w:p>
    <w:p w:rsidR="000E24D1" w:rsidRDefault="000E24D1" w:rsidP="00E275D8">
      <w:pPr>
        <w:pStyle w:val="BodyText"/>
      </w:pPr>
    </w:p>
    <w:p w:rsidR="000E24D1" w:rsidRDefault="000E24D1" w:rsidP="000E24D1">
      <w:r>
        <w:br w:type="page"/>
      </w:r>
    </w:p>
    <w:p w:rsidR="00747EB4" w:rsidRDefault="00747EB4">
      <w:pPr>
        <w:pStyle w:val="IssueHeading"/>
        <w:rPr>
          <w:vanish/>
          <w:specVanish/>
        </w:rPr>
      </w:pPr>
      <w:r w:rsidRPr="004C3641">
        <w:lastRenderedPageBreak/>
        <w:t xml:space="preserve">Issue </w:t>
      </w:r>
      <w:r>
        <w:fldChar w:fldCharType="begin"/>
      </w:r>
      <w:r>
        <w:instrText>seq issue \r 11</w:instrText>
      </w:r>
      <w:r>
        <w:fldChar w:fldCharType="separate"/>
      </w:r>
      <w:r w:rsidR="009D3FF7">
        <w:rPr>
          <w:noProof/>
        </w:rPr>
        <w:t>11</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7" w:name="_Toc196317129"/>
      <w:r w:rsidR="009D3FF7">
        <w:rPr>
          <w:noProof/>
        </w:rPr>
        <w:instrText>11</w:instrText>
      </w:r>
      <w:r>
        <w:fldChar w:fldCharType="end"/>
      </w:r>
      <w:r>
        <w:tab/>
        <w:instrText>STIPULATED – U&amp;U Wastewater Treatment</w:instrText>
      </w:r>
      <w:bookmarkEnd w:id="27"/>
      <w:r>
        <w:instrText xml:space="preserve">" \l 1 </w:instrText>
      </w:r>
      <w:r>
        <w:fldChar w:fldCharType="end"/>
      </w:r>
      <w:r>
        <w:t> </w:t>
      </w:r>
    </w:p>
    <w:p w:rsidR="00747EB4" w:rsidRDefault="00747EB4">
      <w:pPr>
        <w:pStyle w:val="BodyText"/>
      </w:pPr>
      <w:r>
        <w:t> What are the appropriate used and useful percentages for the wastewater treatment and related facilities of each wastewater system?</w:t>
      </w:r>
    </w:p>
    <w:p w:rsidR="00747EB4" w:rsidRPr="004C3641" w:rsidRDefault="00747EB4">
      <w:pPr>
        <w:pStyle w:val="IssueSubsectionHeading"/>
        <w:rPr>
          <w:vanish/>
          <w:specVanish/>
        </w:rPr>
      </w:pPr>
      <w:r>
        <w:t>Approved Type 2 Stipulation</w:t>
      </w:r>
      <w:r w:rsidRPr="004C3641">
        <w:t>: </w:t>
      </w:r>
    </w:p>
    <w:p w:rsidR="00747EB4" w:rsidRDefault="00747EB4">
      <w:pPr>
        <w:pStyle w:val="BodyText"/>
      </w:pPr>
      <w:r>
        <w:t> </w:t>
      </w:r>
      <w:r>
        <w:rPr>
          <w:sz w:val="23"/>
          <w:szCs w:val="23"/>
        </w:rPr>
        <w:t xml:space="preserve">All wastewater treatment and related facilities are 100 percent used and useful except as follows: Crownwood, 74.78 percent. In Sandalhaven, the used and useful percentage of purchased capacity should be 42.24 percent, the force main, master lift station structure, and the pumping equipment should be 100 percent. </w:t>
      </w:r>
      <w:r>
        <w:t xml:space="preserve"> </w:t>
      </w:r>
    </w:p>
    <w:p w:rsidR="00084E5D" w:rsidRDefault="00084E5D" w:rsidP="00E275D8">
      <w:pPr>
        <w:pStyle w:val="BodyText"/>
      </w:pPr>
    </w:p>
    <w:p w:rsidR="00084E5D" w:rsidRDefault="00084E5D" w:rsidP="00084E5D">
      <w:r>
        <w:br w:type="page"/>
      </w:r>
    </w:p>
    <w:p w:rsidR="00747EB4" w:rsidRDefault="00747EB4">
      <w:pPr>
        <w:pStyle w:val="IssueHeading"/>
        <w:rPr>
          <w:vanish/>
          <w:specVanish/>
        </w:rPr>
      </w:pPr>
      <w:r w:rsidRPr="004C3641">
        <w:lastRenderedPageBreak/>
        <w:t xml:space="preserve">Issue </w:t>
      </w:r>
      <w:r>
        <w:fldChar w:fldCharType="begin"/>
      </w:r>
      <w:r>
        <w:instrText>seq issue \r 12</w:instrText>
      </w:r>
      <w:r>
        <w:fldChar w:fldCharType="separate"/>
      </w:r>
      <w:r w:rsidR="009D3FF7">
        <w:rPr>
          <w:noProof/>
        </w:rPr>
        <w:t>12</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8" w:name="_Toc196317130"/>
      <w:r w:rsidR="009D3FF7">
        <w:rPr>
          <w:noProof/>
        </w:rPr>
        <w:instrText>12</w:instrText>
      </w:r>
      <w:r>
        <w:fldChar w:fldCharType="end"/>
      </w:r>
      <w:r>
        <w:tab/>
        <w:instrText>STIPULATED – U&amp;U Collection Lines</w:instrText>
      </w:r>
      <w:bookmarkEnd w:id="28"/>
      <w:r>
        <w:instrText xml:space="preserve">" \l 1 </w:instrText>
      </w:r>
      <w:r>
        <w:fldChar w:fldCharType="end"/>
      </w:r>
      <w:r>
        <w:t> </w:t>
      </w:r>
    </w:p>
    <w:p w:rsidR="00747EB4" w:rsidRDefault="00747EB4">
      <w:pPr>
        <w:pStyle w:val="BodyText"/>
      </w:pPr>
      <w:r>
        <w:t> What are the appropriate used and useful percentages for the collection and related facilities of each wastewater system?</w:t>
      </w:r>
    </w:p>
    <w:p w:rsidR="00747EB4" w:rsidRPr="004C3641" w:rsidRDefault="00747EB4">
      <w:pPr>
        <w:pStyle w:val="IssueSubsectionHeading"/>
        <w:rPr>
          <w:vanish/>
          <w:specVanish/>
        </w:rPr>
      </w:pPr>
      <w:r>
        <w:t>Approved Type 2 Stipulation</w:t>
      </w:r>
      <w:r w:rsidRPr="004C3641">
        <w:t>: </w:t>
      </w:r>
    </w:p>
    <w:p w:rsidR="00747EB4" w:rsidRDefault="00747EB4">
      <w:pPr>
        <w:pStyle w:val="BodyText"/>
        <w:rPr>
          <w:sz w:val="23"/>
          <w:szCs w:val="23"/>
        </w:rPr>
      </w:pPr>
      <w:r>
        <w:t> </w:t>
      </w:r>
      <w:r>
        <w:rPr>
          <w:sz w:val="23"/>
          <w:szCs w:val="23"/>
        </w:rPr>
        <w:t>All collection lines are 100 percent used and useful.</w:t>
      </w:r>
    </w:p>
    <w:p w:rsidR="00BA0BA9" w:rsidRDefault="00BA0BA9" w:rsidP="00E275D8">
      <w:pPr>
        <w:pStyle w:val="BodyText"/>
      </w:pPr>
    </w:p>
    <w:p w:rsidR="00BA0BA9" w:rsidRDefault="00BA0BA9" w:rsidP="00BA0BA9">
      <w:r>
        <w:br w:type="page"/>
      </w:r>
    </w:p>
    <w:p w:rsidR="00747EB4" w:rsidRDefault="00747EB4">
      <w:pPr>
        <w:pStyle w:val="IssueHeading"/>
        <w:rPr>
          <w:vanish/>
          <w:specVanish/>
        </w:rPr>
      </w:pPr>
      <w:r>
        <w:lastRenderedPageBreak/>
        <w:t>I</w:t>
      </w:r>
      <w:r w:rsidRPr="004C3641">
        <w:t xml:space="preserve">ssue </w:t>
      </w:r>
      <w:r>
        <w:fldChar w:fldCharType="begin"/>
      </w:r>
      <w:r>
        <w:instrText>seq issue \r 13</w:instrText>
      </w:r>
      <w:r>
        <w:fldChar w:fldCharType="separate"/>
      </w:r>
      <w:r w:rsidR="009D3FF7">
        <w:rPr>
          <w:noProof/>
        </w:rPr>
        <w:t>13</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9" w:name="_Toc196317131"/>
      <w:r w:rsidR="009D3FF7">
        <w:rPr>
          <w:noProof/>
        </w:rPr>
        <w:instrText>13</w:instrText>
      </w:r>
      <w:r>
        <w:fldChar w:fldCharType="end"/>
      </w:r>
      <w:r>
        <w:tab/>
        <w:instrText>Accumulated Depreciation (York, Sewards)</w:instrText>
      </w:r>
      <w:bookmarkEnd w:id="29"/>
      <w:r>
        <w:instrText xml:space="preserve">" \l 1 </w:instrText>
      </w:r>
      <w:r>
        <w:fldChar w:fldCharType="end"/>
      </w:r>
      <w:r>
        <w:t> </w:t>
      </w:r>
    </w:p>
    <w:p w:rsidR="00747EB4" w:rsidRDefault="00747EB4">
      <w:pPr>
        <w:pStyle w:val="BodyText"/>
      </w:pPr>
      <w:r>
        <w:t> Should any adjustments be made to test year accumulated depreciation?</w:t>
      </w:r>
    </w:p>
    <w:p w:rsidR="00747EB4" w:rsidRPr="004C3641" w:rsidRDefault="00747EB4">
      <w:pPr>
        <w:pStyle w:val="IssueSubsectionHeading"/>
        <w:rPr>
          <w:vanish/>
          <w:specVanish/>
        </w:rPr>
      </w:pPr>
      <w:r w:rsidRPr="004C3641">
        <w:t>Recommendation: </w:t>
      </w:r>
    </w:p>
    <w:p w:rsidR="00747EB4" w:rsidRDefault="00747EB4">
      <w:pPr>
        <w:pStyle w:val="BodyText"/>
      </w:pPr>
      <w:r>
        <w:t> Staff recommends decreases to the test ye</w:t>
      </w:r>
      <w:r w:rsidR="00B11539">
        <w:t xml:space="preserve">ar accumulated depreciation of </w:t>
      </w:r>
      <w:r w:rsidR="00B11539" w:rsidRPr="00B11539">
        <w:t>$35,830</w:t>
      </w:r>
      <w:r>
        <w:t xml:space="preserve"> for water and $</w:t>
      </w:r>
      <w:r w:rsidR="00B11539" w:rsidRPr="00B11539">
        <w:t>53,639</w:t>
      </w:r>
      <w:r>
        <w:t xml:space="preserve"> for wastewater. All necessary adjustments to accumulated depreciation associated with pro forma additions and retirements should be made as set forth and discussed in Issues 4 and 5. (York, Sewards)</w:t>
      </w:r>
    </w:p>
    <w:p w:rsidR="00747EB4" w:rsidRPr="004C3641" w:rsidRDefault="00747EB4">
      <w:pPr>
        <w:pStyle w:val="IssueSubsectionHeading"/>
        <w:keepNext/>
        <w:rPr>
          <w:iCs w:val="0"/>
        </w:rPr>
      </w:pPr>
      <w:r w:rsidRPr="004C3641">
        <w:rPr>
          <w:iCs w:val="0"/>
        </w:rPr>
        <w:t>Position of the Parties</w:t>
      </w:r>
    </w:p>
    <w:p w:rsidR="00747EB4" w:rsidRDefault="00747EB4" w:rsidP="00431D19">
      <w:pPr>
        <w:pStyle w:val="PartyName"/>
        <w:rPr>
          <w:vanish/>
          <w:specVanish/>
        </w:rPr>
      </w:pPr>
      <w:r>
        <w:t>SUNSHINE: </w:t>
      </w:r>
    </w:p>
    <w:p w:rsidR="00747EB4" w:rsidRDefault="00747EB4" w:rsidP="00431D19">
      <w:pPr>
        <w:pStyle w:val="BodyText"/>
      </w:pPr>
      <w:r>
        <w:t> Yes. Water - ($10,321,881); Wastewater - $8,977,332.</w:t>
      </w:r>
    </w:p>
    <w:p w:rsidR="00747EB4" w:rsidRDefault="00747EB4" w:rsidP="00431D19">
      <w:pPr>
        <w:pStyle w:val="PartyName"/>
        <w:rPr>
          <w:vanish/>
          <w:specVanish/>
        </w:rPr>
      </w:pPr>
      <w:r>
        <w:t>OPC: </w:t>
      </w:r>
    </w:p>
    <w:p w:rsidR="00747EB4" w:rsidRDefault="00747EB4">
      <w:pPr>
        <w:pStyle w:val="BodyText"/>
      </w:pPr>
      <w:r>
        <w:t> Yes. Depreciation on test year plant should be at the 13-month average test year amounts, not on year-end annualized amounts. Otherwise, a mismatch is created. OPC’s adjustment decreases water utility depreciation expense by at least $187,796 and decreases wastewater utility depreciation expense by at least $330,459 for the impact of test year annualization. Company net salvage percentage-driven depreciation rates violates Rule 25-30.140, F.A.C. Rule 28-104.101 through 28-104.106, F.A.C., sets out the requirements of a petition for waiver, pursuant to section 120.542, Florida Statutes. No such petition was filed. This issue also contains fallout from other issues.</w:t>
      </w:r>
    </w:p>
    <w:p w:rsidR="00747EB4" w:rsidRPr="004C3641" w:rsidRDefault="00747EB4">
      <w:pPr>
        <w:pStyle w:val="IssueSubsectionHeading"/>
        <w:rPr>
          <w:vanish/>
          <w:specVanish/>
        </w:rPr>
      </w:pPr>
      <w:r w:rsidRPr="004C3641">
        <w:t>Staff Analysis: </w:t>
      </w:r>
    </w:p>
    <w:p w:rsidR="00747EB4" w:rsidRDefault="00747EB4" w:rsidP="00431D19">
      <w:pPr>
        <w:pStyle w:val="BodyText"/>
      </w:pPr>
      <w:r>
        <w:t> Sunshine witness Swain made test year adjustments to the accumulated depreciation balance to correct the allocation of common plant between water and wastewater and to correct the over amortization of Sandalhaven intangible plant. (EXH 10, BSP C4-401) The Utility also made adjustments to annualize accumulated depreciation for test year plant additions. (EXH 10, BSP C4-402). Pro forma adjustments to accumulated depreciation are addressed in Issues 4 and 5.</w:t>
      </w:r>
    </w:p>
    <w:p w:rsidR="00747EB4" w:rsidRDefault="00747EB4" w:rsidP="00431D19">
      <w:pPr>
        <w:pStyle w:val="First-LevelSubheading"/>
      </w:pPr>
      <w:r>
        <w:t>Annualization</w:t>
      </w:r>
    </w:p>
    <w:p w:rsidR="00747EB4" w:rsidRDefault="00747EB4" w:rsidP="00431D19">
      <w:pPr>
        <w:pStyle w:val="BodyText"/>
      </w:pPr>
      <w:r w:rsidRPr="0018246A">
        <w:t xml:space="preserve">OPC </w:t>
      </w:r>
      <w:r>
        <w:t>argued</w:t>
      </w:r>
      <w:r w:rsidRPr="0018246A">
        <w:t xml:space="preserve"> that Sunshine incorrectly calculated rate base, as witness Swain stated that various factors are annualized rather than using a 13-month average. (</w:t>
      </w:r>
      <w:r>
        <w:t xml:space="preserve">OPC BR 28; </w:t>
      </w:r>
      <w:r w:rsidRPr="0018246A">
        <w:t xml:space="preserve">TR 66-69) </w:t>
      </w:r>
      <w:r>
        <w:t xml:space="preserve">It specifically cited that Sunshine violated Rule 25-30.433(5), F.A.C., which requires the rate case filing to utilize the 13-month average for calculating rate base. (OPC BR 28) </w:t>
      </w:r>
      <w:r w:rsidRPr="0018246A">
        <w:t>Per witness Swain, Sunshine is not incorrectly</w:t>
      </w:r>
      <w:r>
        <w:t xml:space="preserve"> calculating these values, as the Utility filed its</w:t>
      </w:r>
      <w:r w:rsidRPr="0018246A">
        <w:t xml:space="preserve"> rate case using all r</w:t>
      </w:r>
      <w:r>
        <w:t xml:space="preserve">equired 13-month averages, and </w:t>
      </w:r>
      <w:r w:rsidRPr="0018246A">
        <w:t xml:space="preserve">made pro forma adjustments. </w:t>
      </w:r>
      <w:r>
        <w:t>She maintained that</w:t>
      </w:r>
      <w:r w:rsidRPr="0018246A">
        <w:t xml:space="preserve"> pro forma adjustments look to the future and appl</w:t>
      </w:r>
      <w:r>
        <w:t>y</w:t>
      </w:r>
      <w:r w:rsidRPr="0018246A">
        <w:t xml:space="preserve"> the future as an adjustment to the test year, which is not a mismatch nor is it out of compliance with Rule 25-30.433(5), F.A.C. (TR 68)</w:t>
      </w:r>
      <w:r>
        <w:t xml:space="preserve"> </w:t>
      </w:r>
    </w:p>
    <w:p w:rsidR="00747EB4" w:rsidRDefault="00747EB4" w:rsidP="00431D19">
      <w:pPr>
        <w:pStyle w:val="BodyText"/>
      </w:pPr>
      <w:r>
        <w:t xml:space="preserve">As explained by OPC witness Smith, depreciation is annualized for pro forma additions of plant that occur after the end of the test year. </w:t>
      </w:r>
      <w:r w:rsidRPr="007E7F72">
        <w:t>(TR 415)</w:t>
      </w:r>
      <w:r>
        <w:t xml:space="preserve"> This is a convention of ratemaking, thus recognizing the full year of the asset in plant, accumulated depreciation, and depreciation expense. The Utility represented the adjustment as pro forma in its filing, or subsequent to the test year, based on the same convention. </w:t>
      </w:r>
    </w:p>
    <w:p w:rsidR="00747EB4" w:rsidRDefault="00747EB4" w:rsidP="00431D19">
      <w:pPr>
        <w:pStyle w:val="BodyText"/>
      </w:pPr>
      <w:r>
        <w:t xml:space="preserve">As such, staff agrees with witness Swain in regard to the appropriateness of annualization as a pro forma adjustment. However, staff also agrees with OPC witness Smith’s argument that it was a mismatch to include the annualization on an asset recorded on a 13-month average basis. (OPC BR 28) Thus, it would also be reasonable to include the annualization of the test year additions </w:t>
      </w:r>
      <w:r>
        <w:lastRenderedPageBreak/>
        <w:t xml:space="preserve">as a corresponding adjustment to eliminate the mismatch. As such, as reflected in Issue 3, staff recommends including a plant-in-service annualization adjustment to reflect the corresponding assets in rate base. </w:t>
      </w:r>
    </w:p>
    <w:p w:rsidR="00747EB4" w:rsidRDefault="00747EB4" w:rsidP="00431D19">
      <w:pPr>
        <w:pStyle w:val="First-LevelSubheading"/>
      </w:pPr>
      <w:r>
        <w:t>Net Salvage Value</w:t>
      </w:r>
    </w:p>
    <w:p w:rsidR="00747EB4" w:rsidRDefault="00747EB4" w:rsidP="00431D19">
      <w:pPr>
        <w:pStyle w:val="BodyText"/>
      </w:pPr>
      <w:r w:rsidRPr="00B80D93">
        <w:t>OPC also argues in its brief that Sunshine violated Rule 25-30.140(3)(a)</w:t>
      </w:r>
      <w:r>
        <w:t>,</w:t>
      </w:r>
      <w:r w:rsidRPr="00B80D93">
        <w:t>(6</w:t>
      </w:r>
      <w:r>
        <w:t>),(</w:t>
      </w:r>
      <w:r w:rsidRPr="00B80D93">
        <w:t>7), F.A.C., b</w:t>
      </w:r>
      <w:r>
        <w:t>y</w:t>
      </w:r>
      <w:r w:rsidRPr="00B80D93">
        <w:t xml:space="preserve"> not </w:t>
      </w:r>
      <w:r>
        <w:t>applyi</w:t>
      </w:r>
      <w:r w:rsidRPr="00B80D93">
        <w:t xml:space="preserve">ng net salvage </w:t>
      </w:r>
      <w:r>
        <w:t xml:space="preserve">to six accounts (three each for </w:t>
      </w:r>
      <w:r w:rsidRPr="00B80D93">
        <w:t xml:space="preserve">water and wastewater). (OPC BR 41) The Utility argued that the Commission has consistently excluded the negative salvage value from depreciation rates for water and wastewater utilities. (Sunshine BR 13) However, Sunshine did acknowledge that if this practice changes, it would be considered an accounting change and should only apply moving forward. Staff witness Mouring confirmed the accuracy of this historical practice, noting that, except for the Pluris </w:t>
      </w:r>
      <w:r>
        <w:t>2023 Rate Case</w:t>
      </w:r>
      <w:r w:rsidRPr="00B80D93">
        <w:t xml:space="preserve">, he </w:t>
      </w:r>
      <w:r>
        <w:t>is not</w:t>
      </w:r>
      <w:r w:rsidRPr="00B80D93">
        <w:t xml:space="preserve"> aware of any instance where the Commission approved depreciation rates including net salvage value.</w:t>
      </w:r>
      <w:r>
        <w:rPr>
          <w:rStyle w:val="FootnoteReference"/>
        </w:rPr>
        <w:footnoteReference w:id="23"/>
      </w:r>
      <w:r w:rsidRPr="00B80D93">
        <w:t xml:space="preserve"> (TR 361) S</w:t>
      </w:r>
      <w:r>
        <w:t xml:space="preserve">taff believes that without a rule waiver or variance, the Utility should be required to make this adjustment to conform to the Rule on a prospective basis. As such, accumulated depreciation should be reduced by $35,830 for water and $37,410 for wastewater. The corresponding depreciation adjustments are reflected in Issue 30 and staff’s recommended pro forma adjustments in Issue 4 reflect the application of net salvage value to applicable plant accounts. </w:t>
      </w:r>
    </w:p>
    <w:p w:rsidR="00747EB4" w:rsidRDefault="00747EB4" w:rsidP="00431D19">
      <w:pPr>
        <w:pStyle w:val="First-LevelSubheading"/>
      </w:pPr>
      <w:r>
        <w:t>Audit Finding No. 6</w:t>
      </w:r>
    </w:p>
    <w:p w:rsidR="00747EB4" w:rsidRDefault="00747EB4" w:rsidP="00431D19">
      <w:pPr>
        <w:pStyle w:val="BodyText"/>
      </w:pPr>
      <w:r>
        <w:t xml:space="preserve">In witness Mouring’s testimony, Audit Finding No. 6 addressed the reclassification of wastewater plant projects, which had a resulting change in accumulated depreciation. The Utility agreed with the finding as well. Staff recommends reducing wastewater accumulated depreciation by $16,229. </w:t>
      </w:r>
    </w:p>
    <w:p w:rsidR="00747EB4" w:rsidRDefault="00747EB4" w:rsidP="00431D19">
      <w:pPr>
        <w:pStyle w:val="RecommendationMajorSectionHeading"/>
      </w:pPr>
      <w:r>
        <w:t>CONCLUSION</w:t>
      </w:r>
    </w:p>
    <w:p w:rsidR="00747EB4" w:rsidRPr="00A51F55" w:rsidRDefault="00747EB4" w:rsidP="00431D19">
      <w:pPr>
        <w:pStyle w:val="BodyText"/>
      </w:pPr>
      <w:r>
        <w:t xml:space="preserve">Staff recommends </w:t>
      </w:r>
      <w:r w:rsidRPr="00A51F55">
        <w:t>decrease</w:t>
      </w:r>
      <w:r>
        <w:t>s</w:t>
      </w:r>
      <w:r w:rsidRPr="00A51F55">
        <w:t xml:space="preserve"> to the test year accumulated depreciation of $</w:t>
      </w:r>
      <w:r>
        <w:t>35,830</w:t>
      </w:r>
      <w:r w:rsidRPr="00A51F55">
        <w:t xml:space="preserve"> for water and $</w:t>
      </w:r>
      <w:r>
        <w:t>53,639</w:t>
      </w:r>
      <w:r w:rsidRPr="00A51F55">
        <w:t xml:space="preserve"> </w:t>
      </w:r>
      <w:r>
        <w:t xml:space="preserve">($37,410 + $16,229) </w:t>
      </w:r>
      <w:r w:rsidRPr="00A51F55">
        <w:t>for wastewater. All necessary adjustments to accumulated depreciation associated with pro forma additions and retirements should be made as set</w:t>
      </w:r>
      <w:r>
        <w:t xml:space="preserve"> forth and discussed in Issues 4</w:t>
      </w:r>
      <w:r w:rsidRPr="00A51F55">
        <w:t xml:space="preserve"> and 5</w:t>
      </w:r>
      <w:r>
        <w:t>.</w:t>
      </w:r>
    </w:p>
    <w:p w:rsidR="00D1720F" w:rsidRDefault="00D1720F" w:rsidP="00D1720F">
      <w:r>
        <w:br w:type="page"/>
      </w:r>
    </w:p>
    <w:p w:rsidR="00747EB4" w:rsidRDefault="00747EB4">
      <w:pPr>
        <w:pStyle w:val="IssueHeading"/>
        <w:rPr>
          <w:vanish/>
          <w:specVanish/>
        </w:rPr>
      </w:pPr>
      <w:r w:rsidRPr="004C3641">
        <w:lastRenderedPageBreak/>
        <w:t xml:space="preserve">Issue </w:t>
      </w:r>
      <w:r>
        <w:fldChar w:fldCharType="begin"/>
      </w:r>
      <w:r>
        <w:instrText>seq issue \r 14</w:instrText>
      </w:r>
      <w:r>
        <w:fldChar w:fldCharType="separate"/>
      </w:r>
      <w:r w:rsidR="009D3FF7">
        <w:rPr>
          <w:noProof/>
        </w:rPr>
        <w:t>14</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0" w:name="_Toc196317132"/>
      <w:r w:rsidR="009D3FF7">
        <w:rPr>
          <w:noProof/>
        </w:rPr>
        <w:instrText>14</w:instrText>
      </w:r>
      <w:r>
        <w:fldChar w:fldCharType="end"/>
      </w:r>
      <w:r>
        <w:tab/>
        <w:instrText>CIAC (Bardin)</w:instrText>
      </w:r>
      <w:bookmarkEnd w:id="30"/>
      <w:r>
        <w:instrText xml:space="preserve">" \l 1 </w:instrText>
      </w:r>
      <w:r>
        <w:fldChar w:fldCharType="end"/>
      </w:r>
      <w:r>
        <w:t> </w:t>
      </w:r>
    </w:p>
    <w:p w:rsidR="00747EB4" w:rsidRDefault="00747EB4">
      <w:pPr>
        <w:pStyle w:val="BodyText"/>
      </w:pPr>
      <w:r>
        <w:t> Should any adjustments be made to test year contributions-in-aid-of-construction (CIAC) balances?</w:t>
      </w:r>
    </w:p>
    <w:p w:rsidR="00747EB4" w:rsidRPr="004C3641" w:rsidRDefault="00747EB4">
      <w:pPr>
        <w:pStyle w:val="IssueSubsectionHeading"/>
        <w:rPr>
          <w:vanish/>
          <w:specVanish/>
        </w:rPr>
      </w:pPr>
      <w:r w:rsidRPr="004C3641">
        <w:t>Recommendation: </w:t>
      </w:r>
    </w:p>
    <w:p w:rsidR="00747EB4" w:rsidRDefault="00747EB4">
      <w:pPr>
        <w:pStyle w:val="BodyText"/>
      </w:pPr>
      <w:r>
        <w:t> </w:t>
      </w:r>
      <w:r>
        <w:rPr>
          <w:rFonts w:ascii="TimesNewRomanPSMT" w:hAnsi="TimesNewRomanPSMT" w:cs="TimesNewRomanPSMT"/>
        </w:rPr>
        <w:t>Yes.</w:t>
      </w:r>
      <w:r w:rsidRPr="00207DF0">
        <w:rPr>
          <w:rFonts w:ascii="TimesNewRomanPSMT" w:hAnsi="TimesNewRomanPSMT" w:cs="TimesNewRomanPSMT"/>
        </w:rPr>
        <w:t xml:space="preserve"> </w:t>
      </w:r>
      <w:r>
        <w:rPr>
          <w:rFonts w:ascii="TimesNewRomanPSMT" w:hAnsi="TimesNewRomanPSMT" w:cs="TimesNewRomanPSMT"/>
        </w:rPr>
        <w:t>A</w:t>
      </w:r>
      <w:r w:rsidRPr="00207DF0">
        <w:rPr>
          <w:rFonts w:ascii="TimesNewRomanPSMT" w:hAnsi="TimesNewRomanPSMT" w:cs="TimesNewRomanPSMT"/>
        </w:rPr>
        <w:t xml:space="preserve">djustments </w:t>
      </w:r>
      <w:r>
        <w:rPr>
          <w:rFonts w:ascii="TimesNewRomanPSMT" w:hAnsi="TimesNewRomanPSMT" w:cs="TimesNewRomanPSMT"/>
        </w:rPr>
        <w:t xml:space="preserve">should be made </w:t>
      </w:r>
      <w:r w:rsidRPr="00207DF0">
        <w:rPr>
          <w:rFonts w:ascii="TimesNewRomanPSMT" w:hAnsi="TimesNewRomanPSMT" w:cs="TimesNewRomanPSMT"/>
        </w:rPr>
        <w:t>to increase the adjusted test year CIAC balances in the amount of $</w:t>
      </w:r>
      <w:r>
        <w:rPr>
          <w:rFonts w:ascii="TimesNewRomanPSMT" w:hAnsi="TimesNewRomanPSMT" w:cs="TimesNewRomanPSMT"/>
        </w:rPr>
        <w:t>10,050 for water and in the amount of $9,345 for wastewater. All necessary adjustments to CIAC associated with pro forma retirements should be made as set forth and discussed in Issue 5.</w:t>
      </w:r>
      <w:r>
        <w:t xml:space="preserve"> (Bardin)</w:t>
      </w:r>
    </w:p>
    <w:p w:rsidR="00747EB4" w:rsidRPr="004C3641" w:rsidRDefault="00747EB4">
      <w:pPr>
        <w:pStyle w:val="IssueSubsectionHeading"/>
        <w:keepNext/>
        <w:rPr>
          <w:iCs w:val="0"/>
        </w:rPr>
      </w:pPr>
      <w:r w:rsidRPr="004C3641">
        <w:rPr>
          <w:iCs w:val="0"/>
        </w:rPr>
        <w:t>Position of the Parties</w:t>
      </w:r>
    </w:p>
    <w:p w:rsidR="00747EB4" w:rsidRDefault="00747EB4" w:rsidP="00431D19">
      <w:pPr>
        <w:pStyle w:val="PartyName"/>
        <w:rPr>
          <w:vanish/>
          <w:specVanish/>
        </w:rPr>
      </w:pPr>
      <w:r>
        <w:t>SUNSHINE: </w:t>
      </w:r>
    </w:p>
    <w:p w:rsidR="00747EB4" w:rsidRDefault="00747EB4">
      <w:pPr>
        <w:pStyle w:val="BodyText"/>
      </w:pPr>
      <w:r>
        <w:t xml:space="preserve"> Yes. </w:t>
      </w:r>
      <w:r w:rsidRPr="00D404DC">
        <w:t>Test Year:</w:t>
      </w:r>
      <w:r>
        <w:t xml:space="preserve"> Water - $(10,050); Wastewater – $(9,345) for audit adjustments to the test year CIAC.</w:t>
      </w:r>
    </w:p>
    <w:p w:rsidR="00747EB4" w:rsidRDefault="00747EB4" w:rsidP="00431D19">
      <w:pPr>
        <w:pStyle w:val="PartyName"/>
        <w:rPr>
          <w:vanish/>
          <w:specVanish/>
        </w:rPr>
      </w:pPr>
      <w:r>
        <w:t>OPC: </w:t>
      </w:r>
    </w:p>
    <w:p w:rsidR="00747EB4" w:rsidRDefault="00747EB4">
      <w:pPr>
        <w:pStyle w:val="BodyText"/>
      </w:pPr>
      <w:r>
        <w:t> Yes, All CIAC should be calculated using a 13-month average.</w:t>
      </w:r>
    </w:p>
    <w:p w:rsidR="00747EB4" w:rsidRPr="0018246A" w:rsidRDefault="00747EB4">
      <w:pPr>
        <w:pStyle w:val="IssueSubsectionHeading"/>
        <w:rPr>
          <w:rFonts w:ascii="Times New Roman" w:hAnsi="Times New Roman" w:cs="Times New Roman"/>
          <w:vanish/>
          <w:szCs w:val="24"/>
          <w:specVanish/>
        </w:rPr>
      </w:pPr>
      <w:r w:rsidRPr="004C3641">
        <w:t>Staff Analysis: </w:t>
      </w:r>
    </w:p>
    <w:p w:rsidR="00747EB4" w:rsidRPr="0018246A" w:rsidRDefault="00747EB4" w:rsidP="00431D19">
      <w:pPr>
        <w:pStyle w:val="BodyText"/>
      </w:pPr>
      <w:r w:rsidRPr="0018246A">
        <w:t xml:space="preserve"> In its initial filing, the Utility’s </w:t>
      </w:r>
      <w:r>
        <w:t xml:space="preserve">only </w:t>
      </w:r>
      <w:r w:rsidRPr="0018246A">
        <w:t>adjustments to CIAC were retirements associated with certain pro forma plant projects in the amounts of a decrease of $451,677 for water and a decrease of $240,934 for wastewater. (EXH 10</w:t>
      </w:r>
      <w:r>
        <w:t>, BSP C4-404</w:t>
      </w:r>
      <w:r w:rsidRPr="0018246A">
        <w:t xml:space="preserve">) </w:t>
      </w:r>
    </w:p>
    <w:p w:rsidR="00747EB4" w:rsidRPr="0018246A" w:rsidRDefault="00747EB4" w:rsidP="00431D19">
      <w:pPr>
        <w:pStyle w:val="BodyText"/>
      </w:pPr>
      <w:r w:rsidRPr="0018246A">
        <w:t>Staff witness Mouring’s testimony reflected an audit finding of $19,395 that the Utility had booked to miscellaneous service revenues that should have been charged to CIAC, which resulted in an increase to CIAC for water in the amount of $10,050 and an increase to wastewater in the amount of $9,34</w:t>
      </w:r>
      <w:r>
        <w:t>5, and a resulting decrease to m</w:t>
      </w:r>
      <w:r w:rsidRPr="0018246A">
        <w:t xml:space="preserve">iscellaneous </w:t>
      </w:r>
      <w:r>
        <w:t>r</w:t>
      </w:r>
      <w:r w:rsidRPr="0018246A">
        <w:t>evenues in the same amounts. (EXH 45</w:t>
      </w:r>
      <w:r>
        <w:t>, BSP C8-2194</w:t>
      </w:r>
      <w:r w:rsidRPr="0018246A">
        <w:t>)</w:t>
      </w:r>
      <w:r>
        <w:t xml:space="preserve"> </w:t>
      </w:r>
      <w:r w:rsidRPr="0018246A">
        <w:t>This finding addressed planning and inspection fees for developer projects for which it was recommended that the fees be</w:t>
      </w:r>
      <w:r>
        <w:t xml:space="preserve"> treated as CIAC as opposed to miscellaneous r</w:t>
      </w:r>
      <w:r w:rsidRPr="0018246A">
        <w:t>evenue</w:t>
      </w:r>
      <w:r>
        <w:t>.</w:t>
      </w:r>
      <w:r w:rsidRPr="0018246A">
        <w:t xml:space="preserve"> </w:t>
      </w:r>
    </w:p>
    <w:p w:rsidR="00747EB4" w:rsidRPr="0018246A" w:rsidRDefault="00747EB4" w:rsidP="00431D19">
      <w:pPr>
        <w:pStyle w:val="BodyText"/>
      </w:pPr>
      <w:r w:rsidRPr="0018246A">
        <w:t xml:space="preserve">Sunshine witness DeStefano agreed with the finding, and witness DeStefano’s rebuttal testimony described the reflection of the full </w:t>
      </w:r>
      <w:r>
        <w:t>t</w:t>
      </w:r>
      <w:r w:rsidRPr="0018246A">
        <w:t xml:space="preserve">est </w:t>
      </w:r>
      <w:r>
        <w:t>y</w:t>
      </w:r>
      <w:r w:rsidRPr="0018246A">
        <w:t>ear activity as an addition to CIAC – reducing rate base – and</w:t>
      </w:r>
      <w:r>
        <w:t xml:space="preserve"> an offsetting removal from m</w:t>
      </w:r>
      <w:r w:rsidRPr="0018246A">
        <w:t xml:space="preserve">iscellaneous </w:t>
      </w:r>
      <w:r>
        <w:t>r</w:t>
      </w:r>
      <w:r w:rsidRPr="0018246A">
        <w:t>evenues in the MFR Schedules</w:t>
      </w:r>
      <w:r w:rsidR="00241F05">
        <w:t>.</w:t>
      </w:r>
      <w:r w:rsidRPr="0018246A">
        <w:t xml:space="preserve"> (TR 532)</w:t>
      </w:r>
    </w:p>
    <w:p w:rsidR="00747EB4" w:rsidRDefault="00747EB4" w:rsidP="00431D19">
      <w:pPr>
        <w:pStyle w:val="BodyText"/>
      </w:pPr>
      <w:r>
        <w:t>OPC stated that all CIAC should be calculated using a 13-month average. (OPC BR 31) Pursuant to Rule 25-30.433(5), F.A.C., for Class A utilities, rate base is to be calculated using a 13-month average. As part of rate base, plant-in-service, accumulated depreciation, CIAC, and accumulated amortization of CIAC, should reflect 13-month average balances.</w:t>
      </w:r>
      <w:r>
        <w:rPr>
          <w:rStyle w:val="FootnoteReference"/>
          <w:rFonts w:ascii="TimesNewRomanPSMT" w:hAnsi="TimesNewRomanPSMT" w:cs="TimesNewRomanPSMT"/>
        </w:rPr>
        <w:footnoteReference w:id="24"/>
      </w:r>
      <w:r>
        <w:t xml:space="preserve"> OPC believes the Commission should make an adjustment to reflect a 13-month average for the miscellaneous revenue in Audit Finding No. 4 and reject the Utility’s proposed year-end method as it is inconsistent with the Commission’s Rule and ratemaking. (TR 532-545; OPC BR 32)</w:t>
      </w:r>
    </w:p>
    <w:p w:rsidR="00747EB4" w:rsidRDefault="00747EB4" w:rsidP="00431D19">
      <w:pPr>
        <w:pStyle w:val="BodyText"/>
      </w:pPr>
      <w:r>
        <w:t xml:space="preserve">A 13-month average was not calculated or provided through the audit or testimony of staff witness Mouring, any Utility witness, nor any OPC witness. During the hearing, witness DeStefano stated that making the proposed adjustment on a full-year basis would be a larger </w:t>
      </w:r>
      <w:r>
        <w:lastRenderedPageBreak/>
        <w:t xml:space="preserve">decrease than if a 13-month average was used. (TR 544-545) Consequently, staff believes accepting the adjustment to the test-year balance of CIAC as presented is appropriate. </w:t>
      </w:r>
    </w:p>
    <w:p w:rsidR="00747EB4" w:rsidRDefault="00747EB4" w:rsidP="00431D19">
      <w:pPr>
        <w:pStyle w:val="RecommendationMajorSectionHeading"/>
      </w:pPr>
      <w:r>
        <w:t>CONCLUSION</w:t>
      </w:r>
    </w:p>
    <w:p w:rsidR="00747EB4" w:rsidRPr="00222FB1" w:rsidRDefault="00747EB4" w:rsidP="00431D19">
      <w:pPr>
        <w:pStyle w:val="BodyText"/>
      </w:pPr>
      <w:r>
        <w:rPr>
          <w:rFonts w:ascii="TimesNewRomanPSMT" w:hAnsi="TimesNewRomanPSMT" w:cs="TimesNewRomanPSMT"/>
        </w:rPr>
        <w:t xml:space="preserve">Based on the above, staff recommends adjustments to increase the adjusted test year CIAC balances in the amount of $10,050 for water and in the amount of $9,345 for wastewater. All necessary adjustments to CIAC associated with pro forma additions and retirements should be made as set forth and discussed in Issue 5. </w:t>
      </w:r>
    </w:p>
    <w:p w:rsidR="00EC76AE" w:rsidRDefault="00EC76AE" w:rsidP="00E275D8">
      <w:pPr>
        <w:pStyle w:val="BodyText"/>
      </w:pPr>
    </w:p>
    <w:p w:rsidR="00EC76AE" w:rsidRDefault="00EC76AE" w:rsidP="00EC76AE">
      <w:r>
        <w:br w:type="page"/>
      </w:r>
    </w:p>
    <w:p w:rsidR="00747EB4" w:rsidRDefault="00747EB4">
      <w:pPr>
        <w:pStyle w:val="IssueHeading"/>
        <w:rPr>
          <w:vanish/>
          <w:specVanish/>
        </w:rPr>
      </w:pPr>
      <w:r w:rsidRPr="004C3641">
        <w:lastRenderedPageBreak/>
        <w:t xml:space="preserve">Issue </w:t>
      </w:r>
      <w:r>
        <w:fldChar w:fldCharType="begin"/>
      </w:r>
      <w:r>
        <w:instrText>seq issue \r 15</w:instrText>
      </w:r>
      <w:r>
        <w:fldChar w:fldCharType="separate"/>
      </w:r>
      <w:r w:rsidR="009D3FF7">
        <w:rPr>
          <w:noProof/>
        </w:rPr>
        <w:t>15</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1" w:name="_Toc196317133"/>
      <w:r w:rsidR="009D3FF7">
        <w:rPr>
          <w:noProof/>
        </w:rPr>
        <w:instrText>15</w:instrText>
      </w:r>
      <w:r>
        <w:fldChar w:fldCharType="end"/>
      </w:r>
      <w:r>
        <w:tab/>
        <w:instrText>Accumulated Amortization of CIAC (Bardin)</w:instrText>
      </w:r>
      <w:bookmarkEnd w:id="31"/>
      <w:r>
        <w:instrText xml:space="preserve">" \l 1 </w:instrText>
      </w:r>
      <w:r>
        <w:fldChar w:fldCharType="end"/>
      </w:r>
      <w:r>
        <w:t> </w:t>
      </w:r>
    </w:p>
    <w:p w:rsidR="00747EB4" w:rsidRDefault="00747EB4">
      <w:pPr>
        <w:pStyle w:val="BodyText"/>
      </w:pPr>
      <w:r>
        <w:t> Should any adjustments be made to test year accumulated amortization of CIAC?</w:t>
      </w:r>
    </w:p>
    <w:p w:rsidR="00747EB4" w:rsidRPr="004C3641" w:rsidRDefault="00747EB4">
      <w:pPr>
        <w:pStyle w:val="IssueSubsectionHeading"/>
        <w:rPr>
          <w:vanish/>
          <w:specVanish/>
        </w:rPr>
      </w:pPr>
      <w:r w:rsidRPr="004C3641">
        <w:t>Recommendation: </w:t>
      </w:r>
    </w:p>
    <w:p w:rsidR="00747EB4" w:rsidRDefault="00747EB4">
      <w:pPr>
        <w:pStyle w:val="BodyText"/>
      </w:pPr>
      <w:r>
        <w:t> </w:t>
      </w:r>
      <w:r>
        <w:rPr>
          <w:rFonts w:ascii="TimesNewRomanPSMT" w:hAnsi="TimesNewRomanPSMT" w:cs="TimesNewRomanPSMT"/>
        </w:rPr>
        <w:t>Yes. Accumulated amortization of CIAC should be increased by $251 for water and $234 for wastewater. All necessary adjustments to accumulated amortization of CIAC associated with pro forma retirements should be made as set forth and discussed in Issue 5.</w:t>
      </w:r>
      <w:r>
        <w:t xml:space="preserve"> (Bardin)</w:t>
      </w:r>
    </w:p>
    <w:p w:rsidR="00747EB4" w:rsidRPr="004C3641" w:rsidRDefault="00747EB4">
      <w:pPr>
        <w:pStyle w:val="IssueSubsectionHeading"/>
        <w:keepNext/>
        <w:rPr>
          <w:iCs w:val="0"/>
        </w:rPr>
      </w:pPr>
      <w:r w:rsidRPr="004C3641">
        <w:rPr>
          <w:iCs w:val="0"/>
        </w:rPr>
        <w:t>Position of the Parties</w:t>
      </w:r>
    </w:p>
    <w:p w:rsidR="00747EB4" w:rsidRDefault="00747EB4" w:rsidP="00431D19">
      <w:pPr>
        <w:pStyle w:val="PartyName"/>
        <w:rPr>
          <w:vanish/>
          <w:specVanish/>
        </w:rPr>
      </w:pPr>
      <w:r>
        <w:t>SUNSHINE: </w:t>
      </w:r>
    </w:p>
    <w:p w:rsidR="00747EB4" w:rsidRDefault="00747EB4">
      <w:pPr>
        <w:pStyle w:val="BodyText"/>
      </w:pPr>
      <w:r>
        <w:t> Yes. Water – $(5,360); Wastewater – $(2,845,039).</w:t>
      </w:r>
    </w:p>
    <w:p w:rsidR="00747EB4" w:rsidRDefault="00747EB4" w:rsidP="00431D19">
      <w:pPr>
        <w:pStyle w:val="PartyName"/>
        <w:rPr>
          <w:vanish/>
          <w:specVanish/>
        </w:rPr>
      </w:pPr>
      <w:r>
        <w:t>OPC: </w:t>
      </w:r>
    </w:p>
    <w:p w:rsidR="00747EB4" w:rsidRDefault="00747EB4">
      <w:pPr>
        <w:pStyle w:val="BodyText"/>
      </w:pPr>
      <w:r>
        <w:t> Without waiving the OPC’s right to appeal such an order: yes, but only if the Commission authorizes the Utility’s annualized depreciation for test year plant additions contrary to Rule and OPC’s objection. In that case 13-month average adjustments are necessary for accumulated amortization of CIAC for CIAC received during the test year.</w:t>
      </w:r>
    </w:p>
    <w:p w:rsidR="00747EB4" w:rsidRPr="004C3641" w:rsidRDefault="00747EB4">
      <w:pPr>
        <w:pStyle w:val="IssueSubsectionHeading"/>
        <w:rPr>
          <w:vanish/>
          <w:specVanish/>
        </w:rPr>
      </w:pPr>
      <w:r w:rsidRPr="004C3641">
        <w:t>Staff Analysis: </w:t>
      </w:r>
    </w:p>
    <w:p w:rsidR="00747EB4" w:rsidRPr="00E61124" w:rsidRDefault="00747EB4" w:rsidP="00431D19">
      <w:pPr>
        <w:pStyle w:val="BodyText"/>
        <w:rPr>
          <w:sz w:val="16"/>
          <w:szCs w:val="16"/>
        </w:rPr>
      </w:pPr>
      <w:r>
        <w:t> In its initial filing, the Utility’s test year adjustment to the accumulated amortization of CIAC balance included a decrease to water in the amount of $5,360 and a decrease to the wastewater in the amount of $2,845,039 to correct the over amortization of CIAC. (EXH 10, BSP C4-404) This adjustment to correct the balance was a result of a determination of over-amortization of certain CIAC accounts.</w:t>
      </w:r>
      <w:r>
        <w:rPr>
          <w:rStyle w:val="FootnoteReference"/>
          <w:rFonts w:ascii="TimesNewRomanPSMT" w:hAnsi="TimesNewRomanPSMT" w:cs="TimesNewRomanPSMT"/>
        </w:rPr>
        <w:footnoteReference w:id="25"/>
      </w:r>
      <w:r>
        <w:t xml:space="preserve"> (TR 55) As discussed in Issue 5, staff is recommending additional adjustments to accumulated amortization of CIAC to capture the Utility’s retirements associated with certain pro forma contributed plant projects. (EXH 10, BSP C4-404)</w:t>
      </w:r>
      <w:r>
        <w:rPr>
          <w:sz w:val="16"/>
          <w:szCs w:val="16"/>
        </w:rPr>
        <w:t xml:space="preserve"> </w:t>
      </w:r>
      <w:r>
        <w:t xml:space="preserve">OPC stated that adjustments to accumulated amortization should be made consistent with the adjustment to CIAC balances as discussed in Issues 13 and 14, but provided no specific testimony addressing the Utility’s balances. (OPC BR 32) </w:t>
      </w:r>
      <w:r w:rsidRPr="00714348">
        <w:t>Per Sunshine, the Test Year adjustments to Accumulated Amortization of CIAC reflect a correction to Test Year balances due to over amortization of fully amortized amounts. (Sunshine BR 14</w:t>
      </w:r>
      <w:r>
        <w:t>)</w:t>
      </w:r>
    </w:p>
    <w:p w:rsidR="00747EB4" w:rsidRDefault="00747EB4" w:rsidP="00431D19">
      <w:pPr>
        <w:pStyle w:val="BodyText"/>
      </w:pPr>
      <w:r>
        <w:t>All necessary pro forma adjustments to accumulated amortization of CIAC should be made as set forth and discussed in Issue 5. As a corresponding adjustment to staff witness Mouring’s recommended increase to CIAC, the Utility’s accumulated amortization of CIAC should also be increased by $251 and $234 for water and wastewater, respectively. As such, staff recommends</w:t>
      </w:r>
      <w:r w:rsidRPr="00625DD7">
        <w:t xml:space="preserve"> </w:t>
      </w:r>
      <w:r>
        <w:t>accumulated amortization of CIAC be increased by $251 for water and $234 for wastewater.</w:t>
      </w:r>
    </w:p>
    <w:p w:rsidR="00747EB4" w:rsidRDefault="00747EB4" w:rsidP="00431D19">
      <w:pPr>
        <w:pStyle w:val="RecommendationMajorSectionHeading"/>
      </w:pPr>
      <w:r>
        <w:t>CONCLUSION</w:t>
      </w:r>
    </w:p>
    <w:p w:rsidR="00747EB4" w:rsidRPr="004B6D39" w:rsidRDefault="00747EB4" w:rsidP="00431D19">
      <w:pPr>
        <w:pStyle w:val="BodyText"/>
      </w:pPr>
      <w:r>
        <w:rPr>
          <w:rFonts w:ascii="TimesNewRomanPSMT" w:hAnsi="TimesNewRomanPSMT" w:cs="TimesNewRomanPSMT"/>
        </w:rPr>
        <w:t>Based on the above, a</w:t>
      </w:r>
      <w:r w:rsidRPr="00E61124">
        <w:rPr>
          <w:rFonts w:ascii="TimesNewRomanPSMT" w:hAnsi="TimesNewRomanPSMT" w:cs="TimesNewRomanPSMT"/>
        </w:rPr>
        <w:t>ccumulated amortization of CIAC should be increased by $251 for water and $234 for wastewater. All necessary adjustments to accumulated amortization of CIAC associated with pro forma retirements should be made as set forth and discussed in Issue 5</w:t>
      </w:r>
      <w:r>
        <w:rPr>
          <w:rFonts w:ascii="TimesNewRomanPSMT" w:hAnsi="TimesNewRomanPSMT" w:cs="TimesNewRomanPSMT"/>
        </w:rPr>
        <w:t>.</w:t>
      </w:r>
    </w:p>
    <w:p w:rsidR="00444898" w:rsidRDefault="00444898" w:rsidP="00444898">
      <w:r>
        <w:br w:type="page"/>
      </w:r>
    </w:p>
    <w:p w:rsidR="00747EB4" w:rsidRDefault="00747EB4">
      <w:pPr>
        <w:pStyle w:val="IssueHeading"/>
        <w:rPr>
          <w:vanish/>
          <w:specVanish/>
        </w:rPr>
      </w:pPr>
      <w:r w:rsidRPr="004C3641">
        <w:lastRenderedPageBreak/>
        <w:t xml:space="preserve">Issue </w:t>
      </w:r>
      <w:r>
        <w:fldChar w:fldCharType="begin"/>
      </w:r>
      <w:r>
        <w:instrText>seq issue \r 16</w:instrText>
      </w:r>
      <w:r>
        <w:fldChar w:fldCharType="separate"/>
      </w:r>
      <w:r w:rsidR="009D3FF7">
        <w:rPr>
          <w:noProof/>
        </w:rPr>
        <w:t>16</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2" w:name="_Toc196317134"/>
      <w:r w:rsidR="009D3FF7">
        <w:rPr>
          <w:noProof/>
        </w:rPr>
        <w:instrText>16</w:instrText>
      </w:r>
      <w:r>
        <w:fldChar w:fldCharType="end"/>
      </w:r>
      <w:r>
        <w:tab/>
        <w:instrText>Working Capital (Richards, Folkman)</w:instrText>
      </w:r>
      <w:bookmarkEnd w:id="32"/>
      <w:r>
        <w:instrText xml:space="preserve">" \l 1 </w:instrText>
      </w:r>
      <w:r>
        <w:fldChar w:fldCharType="end"/>
      </w:r>
      <w:r>
        <w:t> </w:t>
      </w:r>
    </w:p>
    <w:p w:rsidR="00747EB4" w:rsidRDefault="00747EB4">
      <w:pPr>
        <w:pStyle w:val="BodyText"/>
      </w:pPr>
      <w:r>
        <w:t> What is the appropriate working capital allowance?</w:t>
      </w:r>
    </w:p>
    <w:p w:rsidR="00747EB4" w:rsidRPr="004C3641" w:rsidRDefault="00747EB4">
      <w:pPr>
        <w:pStyle w:val="IssueSubsectionHeading"/>
        <w:rPr>
          <w:vanish/>
          <w:specVanish/>
        </w:rPr>
      </w:pPr>
      <w:r w:rsidRPr="004C3641">
        <w:t>Recommendation: </w:t>
      </w:r>
    </w:p>
    <w:p w:rsidR="00747EB4" w:rsidRDefault="00747EB4">
      <w:pPr>
        <w:pStyle w:val="BodyText"/>
      </w:pPr>
      <w:r>
        <w:t> The appropriate working capital allowance is $1,740,63</w:t>
      </w:r>
      <w:r w:rsidR="00B11539">
        <w:t>5</w:t>
      </w:r>
      <w:r>
        <w:t xml:space="preserve"> for water and $2,624,00</w:t>
      </w:r>
      <w:r w:rsidR="00B11539">
        <w:t>6</w:t>
      </w:r>
      <w:r>
        <w:t xml:space="preserve"> for wastewater. As such, working capital allowance should be decreased by $6,017 for water and increased by $6,017 for wastewater. (Richards, Folkman)</w:t>
      </w:r>
    </w:p>
    <w:p w:rsidR="00747EB4" w:rsidRPr="004C3641" w:rsidRDefault="00747EB4">
      <w:pPr>
        <w:pStyle w:val="IssueSubsectionHeading"/>
        <w:keepNext/>
        <w:rPr>
          <w:iCs w:val="0"/>
        </w:rPr>
      </w:pPr>
      <w:r w:rsidRPr="004C3641">
        <w:rPr>
          <w:iCs w:val="0"/>
        </w:rPr>
        <w:t>Position of the Parties</w:t>
      </w:r>
    </w:p>
    <w:p w:rsidR="00747EB4" w:rsidRDefault="00747EB4" w:rsidP="00431D19">
      <w:pPr>
        <w:pStyle w:val="PartyName"/>
        <w:rPr>
          <w:vanish/>
          <w:specVanish/>
        </w:rPr>
      </w:pPr>
      <w:r>
        <w:t>SUNSHINE: </w:t>
      </w:r>
    </w:p>
    <w:p w:rsidR="00747EB4" w:rsidRDefault="00747EB4">
      <w:pPr>
        <w:pStyle w:val="BodyText"/>
      </w:pPr>
      <w:r>
        <w:t> Water - $2,069,513; Wastewater - $2,930,182.</w:t>
      </w:r>
    </w:p>
    <w:p w:rsidR="00747EB4" w:rsidRDefault="00747EB4" w:rsidP="00431D19">
      <w:pPr>
        <w:pStyle w:val="PartyName"/>
        <w:rPr>
          <w:vanish/>
          <w:specVanish/>
        </w:rPr>
      </w:pPr>
      <w:r>
        <w:t>OPC: </w:t>
      </w:r>
    </w:p>
    <w:p w:rsidR="00747EB4" w:rsidRDefault="00747EB4">
      <w:pPr>
        <w:pStyle w:val="BodyText"/>
      </w:pPr>
      <w:r>
        <w:t> Apart from rate case expense, all expense items being amortized should have a corresponding miscellaneous deferred debit included in the working capital allowance.</w:t>
      </w:r>
    </w:p>
    <w:p w:rsidR="00747EB4" w:rsidRPr="004C3641" w:rsidRDefault="00747EB4">
      <w:pPr>
        <w:pStyle w:val="IssueSubsectionHeading"/>
        <w:rPr>
          <w:vanish/>
          <w:specVanish/>
        </w:rPr>
      </w:pPr>
      <w:r w:rsidRPr="004C3641">
        <w:t>Staff Analysis: </w:t>
      </w:r>
    </w:p>
    <w:p w:rsidR="00747EB4" w:rsidRDefault="00747EB4" w:rsidP="00431D19">
      <w:pPr>
        <w:pStyle w:val="BodyText"/>
      </w:pPr>
      <w:r>
        <w:t> Rule 25-30.433(3), F.A.C., requires that Class A Utilities use the balance sheet method to calculate the working capital allowance. In its MFRs, the Utility recorded a working capital allowance of $1,746,652 for water and $2,617,989 for wastewater. (EXH 10, BSP C4-404)</w:t>
      </w:r>
    </w:p>
    <w:p w:rsidR="00747EB4" w:rsidRDefault="00747EB4" w:rsidP="00431D19">
      <w:pPr>
        <w:pStyle w:val="BodyText"/>
      </w:pPr>
      <w:r>
        <w:t>In rebuttal testimony, Sunshine witness DeStefano stated that “the Company agrees that the GL (General Ledger) account should be associated with NARUC 253.2” in his response to Audit Finding 2. (TR 532) Witness DeStefano went on to say “the GL account balance was not mapped to the working capital calculation on MFR Schedule A-17 and therefore has no impact on the filing or proposed revenue requirement.” (TR 532) As such, staff recommends no adjustments to working capital allowance in connection to Audit Finding 2, Notes and Accounts Payable for Associated Companies. (EXH 45, BSP C8-2192)</w:t>
      </w:r>
    </w:p>
    <w:p w:rsidR="00747EB4" w:rsidRDefault="00747EB4" w:rsidP="00431D19">
      <w:pPr>
        <w:pStyle w:val="BodyText"/>
      </w:pPr>
      <w:r>
        <w:t xml:space="preserve">In response to Audit Finding 3, Sunshine witness DeStefano acknowledged that the Utility “incorrectly mapped the water Accrued Revenues to wastewater and vice versa.” (TR 532) In its filing, the Utility recorded $213,140 for water and $267,030 for wastewater as Accrued Revenues. (EXH 10, BSP C4-430) Based on Audit Finding 3, staff recommends decreasing Accrued Revenues by $6,017 for water and increasing this account by $6,017 for wastewater. In his testimony, OPC witness Smith presented adjustments related to various legal proceedings. (TR 411-413) In response, witness DeStefano included adjustments to defer and amortize legal expenses associated with the Wekiva WWTP legal proceeding as working capital costs in his rebuttal testimony. (TR 527) These adjustments included increases of $411,356 and $382,462, or $793,818 in total, for water and wastewater, respectively, to defer its legal expenses from 2022 through 2024. (TR 527) Additionally, the Utility made adjustments reducing working capital allowance by $82,271 for water and $76,492 for wastewater to reflect a one year amortization of legal expense. (EXH 46, BSP D3-35) In total, the Utility increased working capital allowance by $329,085 ($411,356 - $82,271) for water and $305,969 ($382,462 - $76,492) for wastewater. (EXH 46, BSP D3-35) </w:t>
      </w:r>
    </w:p>
    <w:p w:rsidR="00747EB4" w:rsidRDefault="00747EB4" w:rsidP="00431D19">
      <w:pPr>
        <w:pStyle w:val="BodyText"/>
      </w:pPr>
      <w:r>
        <w:t xml:space="preserve">As part of his testimony, OPC witness Smith testified that adjustments increasing working capital allowance by $132,580 for water and $123,267 for wastewater should be made to reflect the impact of operating expense adjustments on miscellaneous deferred debits. (TR 404) These adjustments by OPC reflect corresponding miscellaneous deferred debits for prior legal expenses </w:t>
      </w:r>
      <w:r>
        <w:lastRenderedPageBreak/>
        <w:t xml:space="preserve">and weather costs; allocated at 51.82 percent to water and 48.18 percent to wastewater. (EXH 41, BSP C6-2141) </w:t>
      </w:r>
    </w:p>
    <w:p w:rsidR="00747EB4" w:rsidRDefault="00747EB4" w:rsidP="00431D19">
      <w:pPr>
        <w:pStyle w:val="BodyText"/>
      </w:pPr>
      <w:r>
        <w:t xml:space="preserve">As discussed in Issue 28, staff does not believe it is appropriate to include any legal expenses related to the Wekiva WWTP legal proceeding. Also discussed in Issue 28, staff has not recommended an adjustment related to weather and hurricane costs. As such, staff recommends no adjustment be made to working capital allowance in connection to the legal proceedings or weather costs. </w:t>
      </w:r>
    </w:p>
    <w:p w:rsidR="00747EB4" w:rsidRDefault="00747EB4" w:rsidP="00431D19">
      <w:pPr>
        <w:pStyle w:val="RecommendationMajorSectionHeading"/>
      </w:pPr>
      <w:r>
        <w:t>CONCLUSION</w:t>
      </w:r>
    </w:p>
    <w:p w:rsidR="00747EB4" w:rsidRPr="005B34FA" w:rsidRDefault="00747EB4" w:rsidP="00431D19">
      <w:pPr>
        <w:pStyle w:val="BodyText"/>
      </w:pPr>
      <w:r>
        <w:t>The appropriate working capital allowance is $1,740,63</w:t>
      </w:r>
      <w:r w:rsidR="00B11539">
        <w:t>5</w:t>
      </w:r>
      <w:r>
        <w:t xml:space="preserve"> for water and $2,624,00</w:t>
      </w:r>
      <w:r w:rsidR="00B11539">
        <w:t>6</w:t>
      </w:r>
      <w:r>
        <w:t xml:space="preserve"> for wastewater. Thus, staff is recommending a decrease of $6,017 for water and an increase of $6,017 for wastewater.</w:t>
      </w:r>
    </w:p>
    <w:p w:rsidR="008C205E" w:rsidRDefault="008C205E" w:rsidP="00E275D8">
      <w:pPr>
        <w:pStyle w:val="BodyText"/>
      </w:pPr>
    </w:p>
    <w:p w:rsidR="008C205E" w:rsidRDefault="008C205E" w:rsidP="008C205E">
      <w:r>
        <w:br w:type="page"/>
      </w:r>
    </w:p>
    <w:p w:rsidR="00747EB4" w:rsidRDefault="00747EB4">
      <w:pPr>
        <w:pStyle w:val="IssueHeading"/>
        <w:rPr>
          <w:vanish/>
          <w:specVanish/>
        </w:rPr>
      </w:pPr>
      <w:r w:rsidRPr="004C3641">
        <w:lastRenderedPageBreak/>
        <w:t xml:space="preserve">Issue </w:t>
      </w:r>
      <w:r>
        <w:fldChar w:fldCharType="begin"/>
      </w:r>
      <w:r>
        <w:instrText>seq issue \r 17</w:instrText>
      </w:r>
      <w:r>
        <w:fldChar w:fldCharType="separate"/>
      </w:r>
      <w:r w:rsidR="009D3FF7">
        <w:rPr>
          <w:noProof/>
        </w:rPr>
        <w:t>17</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3" w:name="_Toc196317135"/>
      <w:r w:rsidR="009D3FF7">
        <w:rPr>
          <w:noProof/>
        </w:rPr>
        <w:instrText>17</w:instrText>
      </w:r>
      <w:r>
        <w:fldChar w:fldCharType="end"/>
      </w:r>
      <w:r>
        <w:tab/>
        <w:instrText>Rate Base (Bardin)</w:instrText>
      </w:r>
      <w:bookmarkEnd w:id="33"/>
      <w:r>
        <w:instrText xml:space="preserve">" \l 1 </w:instrText>
      </w:r>
      <w:r>
        <w:fldChar w:fldCharType="end"/>
      </w:r>
      <w:r>
        <w:t> </w:t>
      </w:r>
    </w:p>
    <w:p w:rsidR="00747EB4" w:rsidRDefault="00747EB4">
      <w:pPr>
        <w:pStyle w:val="BodyText"/>
      </w:pPr>
      <w:r>
        <w:t> What is the appropriate rate base for the December 31, 2023 test year?</w:t>
      </w:r>
    </w:p>
    <w:p w:rsidR="00747EB4" w:rsidRPr="004C3641" w:rsidRDefault="00747EB4">
      <w:pPr>
        <w:pStyle w:val="IssueSubsectionHeading"/>
        <w:rPr>
          <w:vanish/>
          <w:specVanish/>
        </w:rPr>
      </w:pPr>
      <w:r w:rsidRPr="004C3641">
        <w:t>Recommendation: </w:t>
      </w:r>
    </w:p>
    <w:p w:rsidR="00747EB4" w:rsidRDefault="00747EB4">
      <w:pPr>
        <w:pStyle w:val="BodyText"/>
      </w:pPr>
      <w:r>
        <w:t> </w:t>
      </w:r>
      <w:r w:rsidRPr="007A0A1B">
        <w:rPr>
          <w:bCs/>
          <w:iCs/>
        </w:rPr>
        <w:t>Consistent with recommended adjustments, the appropriate rate base is $</w:t>
      </w:r>
      <w:r>
        <w:rPr>
          <w:bCs/>
          <w:iCs/>
        </w:rPr>
        <w:t>85,959,204</w:t>
      </w:r>
      <w:r w:rsidRPr="007A0A1B">
        <w:rPr>
          <w:bCs/>
          <w:iCs/>
        </w:rPr>
        <w:t xml:space="preserve"> for water and $</w:t>
      </w:r>
      <w:r>
        <w:rPr>
          <w:bCs/>
          <w:iCs/>
        </w:rPr>
        <w:t>111,439,518</w:t>
      </w:r>
      <w:r w:rsidRPr="007A0A1B">
        <w:rPr>
          <w:bCs/>
          <w:iCs/>
        </w:rPr>
        <w:t xml:space="preserve"> for wastewater</w:t>
      </w:r>
      <w:r>
        <w:rPr>
          <w:bCs/>
          <w:iCs/>
        </w:rPr>
        <w:t>.</w:t>
      </w:r>
      <w:r>
        <w:t xml:space="preserve"> (Bardin)</w:t>
      </w:r>
    </w:p>
    <w:p w:rsidR="00747EB4" w:rsidRPr="004C3641" w:rsidRDefault="00747EB4">
      <w:pPr>
        <w:pStyle w:val="IssueSubsectionHeading"/>
        <w:keepNext/>
        <w:rPr>
          <w:iCs w:val="0"/>
        </w:rPr>
      </w:pPr>
      <w:r w:rsidRPr="004C3641">
        <w:rPr>
          <w:iCs w:val="0"/>
        </w:rPr>
        <w:t>Position of the Parties</w:t>
      </w:r>
    </w:p>
    <w:p w:rsidR="00747EB4" w:rsidRDefault="00747EB4" w:rsidP="00431D19">
      <w:pPr>
        <w:pStyle w:val="PartyName"/>
        <w:rPr>
          <w:vanish/>
          <w:specVanish/>
        </w:rPr>
      </w:pPr>
      <w:r>
        <w:t>SUNSHINE: </w:t>
      </w:r>
    </w:p>
    <w:p w:rsidR="00747EB4" w:rsidRDefault="00747EB4">
      <w:pPr>
        <w:pStyle w:val="BodyText"/>
      </w:pPr>
      <w:r>
        <w:t> Water - $85,564,097; Wastewater - $104,950,629.</w:t>
      </w:r>
    </w:p>
    <w:p w:rsidR="00747EB4" w:rsidRDefault="00747EB4" w:rsidP="00431D19">
      <w:pPr>
        <w:pStyle w:val="PartyName"/>
        <w:rPr>
          <w:vanish/>
          <w:specVanish/>
        </w:rPr>
      </w:pPr>
      <w:r>
        <w:t>OPC: </w:t>
      </w:r>
    </w:p>
    <w:p w:rsidR="00747EB4" w:rsidRDefault="00747EB4">
      <w:pPr>
        <w:pStyle w:val="BodyText"/>
      </w:pPr>
      <w:r>
        <w:t> This is a fallout issue pending the resolution of issues.</w:t>
      </w:r>
    </w:p>
    <w:p w:rsidR="00747EB4" w:rsidRPr="004C3641" w:rsidRDefault="00747EB4">
      <w:pPr>
        <w:pStyle w:val="IssueSubsectionHeading"/>
        <w:rPr>
          <w:vanish/>
          <w:specVanish/>
        </w:rPr>
      </w:pPr>
      <w:r w:rsidRPr="004C3641">
        <w:t>Staff Analysis: </w:t>
      </w:r>
    </w:p>
    <w:p w:rsidR="00747EB4" w:rsidRDefault="00747EB4" w:rsidP="00431D19">
      <w:pPr>
        <w:pStyle w:val="BodyText"/>
      </w:pPr>
      <w:r>
        <w:t> </w:t>
      </w:r>
      <w:r w:rsidRPr="00D216C3">
        <w:t>In Sunshine’s initial submission, the Utility stated that the appropriate rate base is $</w:t>
      </w:r>
      <w:r w:rsidRPr="00DB34A4">
        <w:t>83,244,667</w:t>
      </w:r>
      <w:r w:rsidRPr="00D216C3">
        <w:t xml:space="preserve"> for water and $</w:t>
      </w:r>
      <w:r w:rsidRPr="00DB34A4">
        <w:t>101,573,042</w:t>
      </w:r>
      <w:r>
        <w:t xml:space="preserve"> for wastewater. (EXH 195, BSP J2-J3</w:t>
      </w:r>
      <w:r w:rsidRPr="00D216C3">
        <w:t xml:space="preserve">) </w:t>
      </w:r>
      <w:r w:rsidRPr="00970C54">
        <w:rPr>
          <w:bCs/>
        </w:rPr>
        <w:t>Per OPC, the appropriate rate base for the December 31, 2023 test year is a fallout issue pending the resolution of all other issues</w:t>
      </w:r>
      <w:r w:rsidRPr="00D216C3">
        <w:t>. (</w:t>
      </w:r>
      <w:r>
        <w:t>OPC BR 32)</w:t>
      </w:r>
    </w:p>
    <w:p w:rsidR="00747EB4" w:rsidRDefault="00747EB4" w:rsidP="00431D19">
      <w:pPr>
        <w:pStyle w:val="BodyText"/>
      </w:pPr>
      <w:r>
        <w:t xml:space="preserve">This is a fallout issue. </w:t>
      </w:r>
      <w:r w:rsidRPr="004108B7">
        <w:t xml:space="preserve">Based upon the Utility’s adjusted 13-month average test year balances and staff’s recommended adjustments, the appropriate 13-month average rate base is </w:t>
      </w:r>
      <w:r w:rsidRPr="00FD6503">
        <w:t>$</w:t>
      </w:r>
      <w:r w:rsidRPr="00DB34A4">
        <w:t>85,959,204</w:t>
      </w:r>
      <w:r w:rsidRPr="00FD6503">
        <w:t xml:space="preserve"> for water and $111,439,518</w:t>
      </w:r>
      <w:r w:rsidRPr="004108B7">
        <w:t xml:space="preserve"> for wastewater. Schedule Nos. 1-A and 1-B reflect staff’s recommended rate base calculations for each system. Staff’s proposed adjustments to rate base for each system are shown on Schedule No. 1-C</w:t>
      </w:r>
      <w:r>
        <w:t>.</w:t>
      </w:r>
    </w:p>
    <w:p w:rsidR="00747EB4" w:rsidRDefault="00747EB4" w:rsidP="00431D19">
      <w:pPr>
        <w:pStyle w:val="RecommendationMajorSectionHeading"/>
      </w:pPr>
      <w:r>
        <w:t>CONCLUSION</w:t>
      </w:r>
    </w:p>
    <w:p w:rsidR="00747EB4" w:rsidRPr="0005039B" w:rsidRDefault="00747EB4" w:rsidP="00431D19">
      <w:pPr>
        <w:pStyle w:val="BodyText"/>
      </w:pPr>
      <w:r w:rsidRPr="0005039B">
        <w:t xml:space="preserve">Consistent with recommended adjustments, the appropriate rate base is </w:t>
      </w:r>
      <w:r w:rsidRPr="00FD6503">
        <w:t>$</w:t>
      </w:r>
      <w:r w:rsidRPr="00DB34A4">
        <w:t>85,959,204</w:t>
      </w:r>
      <w:r w:rsidRPr="00FD6503">
        <w:t xml:space="preserve"> for water and $111,439,518</w:t>
      </w:r>
      <w:r w:rsidRPr="0005039B">
        <w:t xml:space="preserve"> for wastewater</w:t>
      </w:r>
      <w:r>
        <w:t>.</w:t>
      </w:r>
    </w:p>
    <w:p w:rsidR="001D350E" w:rsidRDefault="001D350E" w:rsidP="00E275D8">
      <w:pPr>
        <w:pStyle w:val="BodyText"/>
      </w:pPr>
    </w:p>
    <w:p w:rsidR="001D350E" w:rsidRDefault="001D350E" w:rsidP="001D350E">
      <w:r>
        <w:br w:type="page"/>
      </w:r>
    </w:p>
    <w:p w:rsidR="00747EB4" w:rsidRDefault="00747EB4">
      <w:pPr>
        <w:pStyle w:val="IssueHeading"/>
        <w:rPr>
          <w:vanish/>
          <w:specVanish/>
        </w:rPr>
      </w:pPr>
      <w:r w:rsidRPr="004C3641">
        <w:lastRenderedPageBreak/>
        <w:t xml:space="preserve">Issue </w:t>
      </w:r>
      <w:r>
        <w:fldChar w:fldCharType="begin"/>
      </w:r>
      <w:r>
        <w:instrText>seq issue \r 18</w:instrText>
      </w:r>
      <w:r>
        <w:fldChar w:fldCharType="separate"/>
      </w:r>
      <w:r w:rsidR="009D3FF7">
        <w:rPr>
          <w:noProof/>
        </w:rPr>
        <w:t>18</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4" w:name="_Toc196317136"/>
      <w:r w:rsidR="009D3FF7">
        <w:rPr>
          <w:noProof/>
        </w:rPr>
        <w:instrText>18</w:instrText>
      </w:r>
      <w:r>
        <w:fldChar w:fldCharType="end"/>
      </w:r>
      <w:r>
        <w:tab/>
        <w:instrText>Accumulated Deferred Income Taxes (Sewards)</w:instrText>
      </w:r>
      <w:bookmarkEnd w:id="34"/>
      <w:r>
        <w:instrText xml:space="preserve">" \l 1 </w:instrText>
      </w:r>
      <w:r>
        <w:fldChar w:fldCharType="end"/>
      </w:r>
      <w:r>
        <w:t> </w:t>
      </w:r>
    </w:p>
    <w:p w:rsidR="00747EB4" w:rsidRDefault="00747EB4">
      <w:pPr>
        <w:pStyle w:val="BodyText"/>
      </w:pPr>
      <w:r>
        <w:t> What is the appropriate amount of accumulated deferred taxes to include in the capital structure?</w:t>
      </w:r>
    </w:p>
    <w:p w:rsidR="00747EB4" w:rsidRPr="004C3641" w:rsidRDefault="00747EB4">
      <w:pPr>
        <w:pStyle w:val="IssueSubsectionHeading"/>
        <w:rPr>
          <w:vanish/>
          <w:specVanish/>
        </w:rPr>
      </w:pPr>
      <w:r w:rsidRPr="004C3641">
        <w:t>Recommendation: </w:t>
      </w:r>
    </w:p>
    <w:p w:rsidR="00747EB4" w:rsidRDefault="00747EB4" w:rsidP="00431D19">
      <w:pPr>
        <w:pStyle w:val="BodyText"/>
      </w:pPr>
      <w:r>
        <w:t xml:space="preserve"> The appropriate amount of accumulated deferred income taxes (ADITs) to include in the capital structure is </w:t>
      </w:r>
      <w:r w:rsidRPr="006548E2">
        <w:t>$5,841,592</w:t>
      </w:r>
      <w:r>
        <w:t>, plus $4,969,273 in Tax Cut and Jobs Act (TCJA) related liability. This reflects an increase of $</w:t>
      </w:r>
      <w:r w:rsidR="00B11539">
        <w:t>13,508</w:t>
      </w:r>
      <w:r>
        <w:t xml:space="preserve"> related to pro forma plant additions and a decrease of $5,218 for a corresponding adjustment related to U&amp;U, for a net increase of $7,640. (Sewards)</w:t>
      </w:r>
    </w:p>
    <w:p w:rsidR="00747EB4" w:rsidRPr="004C3641" w:rsidRDefault="00747EB4">
      <w:pPr>
        <w:pStyle w:val="IssueSubsectionHeading"/>
        <w:keepNext/>
        <w:rPr>
          <w:iCs w:val="0"/>
        </w:rPr>
      </w:pPr>
      <w:r w:rsidRPr="004C3641">
        <w:rPr>
          <w:iCs w:val="0"/>
        </w:rPr>
        <w:t>Position of the Parties</w:t>
      </w:r>
    </w:p>
    <w:p w:rsidR="00747EB4" w:rsidRDefault="00747EB4" w:rsidP="00431D19">
      <w:pPr>
        <w:pStyle w:val="PartyName"/>
        <w:rPr>
          <w:vanish/>
          <w:specVanish/>
        </w:rPr>
      </w:pPr>
      <w:r>
        <w:t>SUNSHINE: </w:t>
      </w:r>
    </w:p>
    <w:p w:rsidR="00747EB4" w:rsidRDefault="00747EB4">
      <w:pPr>
        <w:pStyle w:val="BodyText"/>
      </w:pPr>
      <w:r>
        <w:t> $5,829,204, plus $4,969,273 in TCJA-related liability.</w:t>
      </w:r>
    </w:p>
    <w:p w:rsidR="00747EB4" w:rsidRDefault="00747EB4" w:rsidP="00431D19">
      <w:pPr>
        <w:pStyle w:val="PartyName"/>
        <w:rPr>
          <w:vanish/>
          <w:specVanish/>
        </w:rPr>
      </w:pPr>
      <w:r>
        <w:t>OPC: </w:t>
      </w:r>
    </w:p>
    <w:p w:rsidR="00747EB4" w:rsidRDefault="00747EB4">
      <w:pPr>
        <w:pStyle w:val="BodyText"/>
      </w:pPr>
      <w:r>
        <w:t> The appropriate amount of accumulated deferred taxes should be calculated in compliance with provision (4) of Rule 25-30.433, F.A.C.</w:t>
      </w:r>
    </w:p>
    <w:p w:rsidR="00747EB4" w:rsidRPr="004C3641" w:rsidRDefault="00747EB4">
      <w:pPr>
        <w:pStyle w:val="IssueSubsectionHeading"/>
        <w:rPr>
          <w:vanish/>
          <w:specVanish/>
        </w:rPr>
      </w:pPr>
      <w:r w:rsidRPr="004C3641">
        <w:t>Staff Analysis: </w:t>
      </w:r>
    </w:p>
    <w:p w:rsidR="00747EB4" w:rsidRDefault="00747EB4">
      <w:pPr>
        <w:pStyle w:val="BodyText"/>
      </w:pPr>
      <w:r>
        <w:t> The ADIT</w:t>
      </w:r>
      <w:r w:rsidRPr="006E2E8B">
        <w:t xml:space="preserve"> balance for the historic </w:t>
      </w:r>
      <w:r>
        <w:t>test year ended December 31, 2023</w:t>
      </w:r>
      <w:r w:rsidRPr="006E2E8B">
        <w:t>, as refl</w:t>
      </w:r>
      <w:r>
        <w:t>ected on MFR Schedule D-1 was $5,833,302, along with a decrease of $10,469 to reflect pro forma plant additions, resulting in an adjusted total balance of $5,822,833</w:t>
      </w:r>
      <w:r w:rsidRPr="006E2E8B">
        <w:t>. (</w:t>
      </w:r>
      <w:r>
        <w:t>Sunshine BR 15; EXH 10, BSP C4-487) In rebuttal testimony, the pro forma adjustment was revised to reflect a decrease of $4,099. (Sunshine BR 15, EXH 79) Sunshine</w:t>
      </w:r>
      <w:r w:rsidRPr="006E2E8B">
        <w:t xml:space="preserve"> also included an additional amount of $</w:t>
      </w:r>
      <w:r>
        <w:t>4,969,273</w:t>
      </w:r>
      <w:r w:rsidRPr="006E2E8B">
        <w:t xml:space="preserve"> to reflect the protected ADITs that were created as a result of the TCJA</w:t>
      </w:r>
      <w:r>
        <w:t>, approved in the Utility’s 2020 Rate Case as a liability to amortize over the remaining life of the associated assets</w:t>
      </w:r>
      <w:r w:rsidRPr="006E2E8B">
        <w:t>.</w:t>
      </w:r>
      <w:r>
        <w:rPr>
          <w:rStyle w:val="FootnoteReference"/>
        </w:rPr>
        <w:footnoteReference w:id="26"/>
      </w:r>
      <w:r w:rsidRPr="006E2E8B">
        <w:t xml:space="preserve"> (</w:t>
      </w:r>
      <w:r>
        <w:t>Sunshine</w:t>
      </w:r>
      <w:r w:rsidRPr="006E2E8B">
        <w:t xml:space="preserve"> BR </w:t>
      </w:r>
      <w:r>
        <w:t>15; EXH 10)</w:t>
      </w:r>
    </w:p>
    <w:p w:rsidR="00747EB4" w:rsidRDefault="00747EB4">
      <w:pPr>
        <w:pStyle w:val="BodyText"/>
      </w:pPr>
      <w:r>
        <w:t>Although OPC did not provide any testimony contesting the ADIT balance, it argued in its brief that the balance should reflect a non-used and useful adjustment to the balance pursuant to Rule 25-30.433, F.A.C. (OPC BR 33) This same adjustment was reflected in the Utility’s 2016 Rate Case.</w:t>
      </w:r>
      <w:r>
        <w:rPr>
          <w:rStyle w:val="FootnoteReference"/>
        </w:rPr>
        <w:footnoteReference w:id="27"/>
      </w:r>
      <w:r>
        <w:t xml:space="preserve"> Consistent with the decision made in that rate case, staff agrees with OPC and calculated the ADIT impact of the non-U&amp;U adjustment for the Golden Hills/Crownwood and Sandalhaven systems. This results in a decrease of $5,218. Staff also calculated the fallout impact of the recommended pro forma plant additions reflected in Issues 4. The updated pro forma plant additions result in an increase of $13,508. In total, the Utility’s ADIT balance should be increased by $8,290, resulting in a total balance of $5,841,592, not inclusive of the TCJA liability.</w:t>
      </w:r>
    </w:p>
    <w:p w:rsidR="00747EB4" w:rsidRDefault="00747EB4" w:rsidP="00431D19">
      <w:pPr>
        <w:pStyle w:val="RecommendationMajorSectionHeading"/>
      </w:pPr>
      <w:r>
        <w:t>CONCLUSION</w:t>
      </w:r>
    </w:p>
    <w:p w:rsidR="00747EB4" w:rsidRPr="00DE1948" w:rsidRDefault="00747EB4" w:rsidP="00431D19">
      <w:pPr>
        <w:pStyle w:val="BodyText"/>
      </w:pPr>
      <w:r w:rsidRPr="00DE1948">
        <w:t xml:space="preserve">The appropriate amount of </w:t>
      </w:r>
      <w:r>
        <w:t>ADITS</w:t>
      </w:r>
      <w:r w:rsidRPr="00DE1948">
        <w:t xml:space="preserve"> to include in the capital structure is $</w:t>
      </w:r>
      <w:r w:rsidRPr="006548E2">
        <w:t>5,841,592</w:t>
      </w:r>
      <w:r w:rsidRPr="00DE1948">
        <w:t>, plus $4,969,273 in TCJA-related liability. This reflects an increase of $</w:t>
      </w:r>
      <w:r w:rsidR="00B11539" w:rsidRPr="00B11539">
        <w:t>13,508</w:t>
      </w:r>
      <w:r w:rsidRPr="00DE1948">
        <w:t xml:space="preserve"> related to pro forma plant additions and a decrease of $5,218 for a corresponding adjust</w:t>
      </w:r>
      <w:r>
        <w:t>ment related to U&amp;U, for a net</w:t>
      </w:r>
      <w:r w:rsidRPr="00DE1948">
        <w:t xml:space="preserve"> increase of $7,640</w:t>
      </w:r>
      <w:r>
        <w:t>.</w:t>
      </w:r>
    </w:p>
    <w:p w:rsidR="00984F55" w:rsidRDefault="00984F55" w:rsidP="00984F55">
      <w:r>
        <w:br w:type="page"/>
      </w:r>
    </w:p>
    <w:p w:rsidR="00747EB4" w:rsidRDefault="00747EB4">
      <w:pPr>
        <w:pStyle w:val="IssueHeading"/>
        <w:rPr>
          <w:vanish/>
          <w:specVanish/>
        </w:rPr>
      </w:pPr>
      <w:r w:rsidRPr="004C3641">
        <w:lastRenderedPageBreak/>
        <w:t xml:space="preserve">Issue </w:t>
      </w:r>
      <w:r>
        <w:fldChar w:fldCharType="begin"/>
      </w:r>
      <w:r>
        <w:instrText>seq issue \r 19</w:instrText>
      </w:r>
      <w:r>
        <w:fldChar w:fldCharType="separate"/>
      </w:r>
      <w:r w:rsidR="009D3FF7">
        <w:rPr>
          <w:noProof/>
        </w:rPr>
        <w:t>19</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5" w:name="_Toc196317137"/>
      <w:r w:rsidR="009D3FF7">
        <w:rPr>
          <w:noProof/>
        </w:rPr>
        <w:instrText>19</w:instrText>
      </w:r>
      <w:r>
        <w:fldChar w:fldCharType="end"/>
      </w:r>
      <w:r>
        <w:tab/>
        <w:instrText>STIPULATED – Customer Deposits</w:instrText>
      </w:r>
      <w:bookmarkEnd w:id="35"/>
      <w:r>
        <w:instrText xml:space="preserve">" \l 1 </w:instrText>
      </w:r>
      <w:r>
        <w:fldChar w:fldCharType="end"/>
      </w:r>
      <w:r>
        <w:t> </w:t>
      </w:r>
    </w:p>
    <w:p w:rsidR="00747EB4" w:rsidRDefault="00747EB4">
      <w:pPr>
        <w:pStyle w:val="BodyText"/>
      </w:pPr>
      <w:r>
        <w:t> What is the appropriate amount of customer deposits to include in the capital structure?</w:t>
      </w:r>
    </w:p>
    <w:p w:rsidR="00747EB4" w:rsidRPr="004C3641" w:rsidRDefault="00747EB4">
      <w:pPr>
        <w:pStyle w:val="IssueSubsectionHeading"/>
        <w:rPr>
          <w:vanish/>
          <w:specVanish/>
        </w:rPr>
      </w:pPr>
      <w:r>
        <w:t>Approved Type 2 Stipulation</w:t>
      </w:r>
      <w:r w:rsidRPr="004C3641">
        <w:t>: </w:t>
      </w:r>
    </w:p>
    <w:p w:rsidR="00747EB4" w:rsidRDefault="00747EB4">
      <w:pPr>
        <w:pStyle w:val="BodyText"/>
      </w:pPr>
      <w:r>
        <w:t xml:space="preserve"> $319,453. </w:t>
      </w:r>
    </w:p>
    <w:p w:rsidR="00333F7B" w:rsidRDefault="00333F7B" w:rsidP="00E275D8">
      <w:pPr>
        <w:pStyle w:val="BodyText"/>
      </w:pPr>
    </w:p>
    <w:p w:rsidR="00333F7B" w:rsidRDefault="00333F7B" w:rsidP="00333F7B">
      <w:r>
        <w:br w:type="page"/>
      </w:r>
    </w:p>
    <w:p w:rsidR="00747EB4" w:rsidRDefault="00747EB4">
      <w:pPr>
        <w:pStyle w:val="IssueHeading"/>
        <w:rPr>
          <w:vanish/>
          <w:specVanish/>
        </w:rPr>
      </w:pPr>
      <w:r w:rsidRPr="004C3641">
        <w:lastRenderedPageBreak/>
        <w:t xml:space="preserve">Issue </w:t>
      </w:r>
      <w:r>
        <w:fldChar w:fldCharType="begin"/>
      </w:r>
      <w:r>
        <w:instrText>seq issue \r 20</w:instrText>
      </w:r>
      <w:r>
        <w:fldChar w:fldCharType="separate"/>
      </w:r>
      <w:r w:rsidR="009D3FF7">
        <w:rPr>
          <w:noProof/>
        </w:rPr>
        <w:t>20</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6" w:name="_Toc196317138"/>
      <w:r w:rsidR="009D3FF7">
        <w:rPr>
          <w:noProof/>
        </w:rPr>
        <w:instrText>20</w:instrText>
      </w:r>
      <w:r>
        <w:fldChar w:fldCharType="end"/>
      </w:r>
      <w:r>
        <w:tab/>
        <w:instrText>STIPULATED – Short-Term Debt</w:instrText>
      </w:r>
      <w:bookmarkEnd w:id="36"/>
      <w:r>
        <w:instrText xml:space="preserve">" \l 1 </w:instrText>
      </w:r>
      <w:r>
        <w:fldChar w:fldCharType="end"/>
      </w:r>
      <w:r>
        <w:t> </w:t>
      </w:r>
    </w:p>
    <w:p w:rsidR="00747EB4" w:rsidRDefault="00747EB4">
      <w:pPr>
        <w:pStyle w:val="BodyText"/>
      </w:pPr>
      <w:r>
        <w:t> What is the appropriate cost rate for short-term debt for the test year?</w:t>
      </w:r>
    </w:p>
    <w:p w:rsidR="00747EB4" w:rsidRPr="004C3641" w:rsidRDefault="00747EB4">
      <w:pPr>
        <w:pStyle w:val="IssueSubsectionHeading"/>
        <w:rPr>
          <w:vanish/>
          <w:specVanish/>
        </w:rPr>
      </w:pPr>
      <w:r>
        <w:t>Approved Type 2 Stipulation</w:t>
      </w:r>
      <w:r w:rsidRPr="004C3641">
        <w:t>: </w:t>
      </w:r>
    </w:p>
    <w:p w:rsidR="00747EB4" w:rsidRDefault="00747EB4">
      <w:pPr>
        <w:pStyle w:val="BodyText"/>
      </w:pPr>
      <w:r>
        <w:t xml:space="preserve"> 8.25%. </w:t>
      </w:r>
    </w:p>
    <w:p w:rsidR="00301816" w:rsidRDefault="00301816" w:rsidP="00E275D8">
      <w:pPr>
        <w:pStyle w:val="BodyText"/>
      </w:pPr>
    </w:p>
    <w:p w:rsidR="00301816" w:rsidRDefault="00301816" w:rsidP="00301816">
      <w:r>
        <w:br w:type="page"/>
      </w:r>
    </w:p>
    <w:p w:rsidR="00747EB4" w:rsidRDefault="00747EB4">
      <w:pPr>
        <w:pStyle w:val="IssueHeading"/>
        <w:rPr>
          <w:vanish/>
          <w:specVanish/>
        </w:rPr>
      </w:pPr>
      <w:r w:rsidRPr="004C3641">
        <w:lastRenderedPageBreak/>
        <w:t xml:space="preserve">Issue </w:t>
      </w:r>
      <w:r>
        <w:fldChar w:fldCharType="begin"/>
      </w:r>
      <w:r>
        <w:instrText>seq issue \r 21</w:instrText>
      </w:r>
      <w:r>
        <w:fldChar w:fldCharType="separate"/>
      </w:r>
      <w:r w:rsidR="009D3FF7">
        <w:rPr>
          <w:noProof/>
        </w:rPr>
        <w:t>21</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7" w:name="_Toc196317139"/>
      <w:r w:rsidR="009D3FF7">
        <w:rPr>
          <w:noProof/>
        </w:rPr>
        <w:instrText>21</w:instrText>
      </w:r>
      <w:r>
        <w:fldChar w:fldCharType="end"/>
      </w:r>
      <w:r>
        <w:tab/>
        <w:instrText>STIPULATED – Long-Term Debt</w:instrText>
      </w:r>
      <w:bookmarkEnd w:id="37"/>
      <w:r>
        <w:instrText xml:space="preserve">" \l 1 </w:instrText>
      </w:r>
      <w:r>
        <w:fldChar w:fldCharType="end"/>
      </w:r>
      <w:r>
        <w:t> </w:t>
      </w:r>
    </w:p>
    <w:p w:rsidR="00747EB4" w:rsidRDefault="00747EB4">
      <w:pPr>
        <w:pStyle w:val="BodyText"/>
      </w:pPr>
      <w:r>
        <w:t> What is the appropriate cost rate for long-term debt for the test year?</w:t>
      </w:r>
    </w:p>
    <w:p w:rsidR="00747EB4" w:rsidRPr="004C3641" w:rsidRDefault="00747EB4">
      <w:pPr>
        <w:pStyle w:val="IssueSubsectionHeading"/>
        <w:rPr>
          <w:vanish/>
          <w:specVanish/>
        </w:rPr>
      </w:pPr>
      <w:r>
        <w:t>Approved Type 2 Stipulation</w:t>
      </w:r>
      <w:r w:rsidRPr="004C3641">
        <w:t>: </w:t>
      </w:r>
    </w:p>
    <w:p w:rsidR="00747EB4" w:rsidRDefault="00747EB4">
      <w:pPr>
        <w:pStyle w:val="BodyText"/>
      </w:pPr>
      <w:r>
        <w:t> </w:t>
      </w:r>
      <w:r>
        <w:rPr>
          <w:sz w:val="23"/>
          <w:szCs w:val="23"/>
        </w:rPr>
        <w:t xml:space="preserve">Fixed: 4.92%, Variable: 7.51%. </w:t>
      </w:r>
      <w:r>
        <w:t xml:space="preserve"> </w:t>
      </w:r>
    </w:p>
    <w:p w:rsidR="000D475A" w:rsidRDefault="000D475A" w:rsidP="00E275D8">
      <w:pPr>
        <w:pStyle w:val="BodyText"/>
      </w:pPr>
    </w:p>
    <w:p w:rsidR="000D475A" w:rsidRDefault="000D475A" w:rsidP="000D475A">
      <w:r>
        <w:br w:type="page"/>
      </w:r>
    </w:p>
    <w:p w:rsidR="00747EB4" w:rsidRDefault="00747EB4">
      <w:pPr>
        <w:pStyle w:val="IssueHeading"/>
        <w:rPr>
          <w:vanish/>
          <w:specVanish/>
        </w:rPr>
      </w:pPr>
      <w:r w:rsidRPr="004C3641">
        <w:lastRenderedPageBreak/>
        <w:t xml:space="preserve">Issue </w:t>
      </w:r>
      <w:r>
        <w:fldChar w:fldCharType="begin"/>
      </w:r>
      <w:r>
        <w:instrText>seq issue \r 22</w:instrText>
      </w:r>
      <w:r>
        <w:fldChar w:fldCharType="separate"/>
      </w:r>
      <w:r w:rsidR="009D3FF7">
        <w:rPr>
          <w:noProof/>
        </w:rPr>
        <w:t>22</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8" w:name="_Toc196317140"/>
      <w:r w:rsidR="009D3FF7">
        <w:rPr>
          <w:noProof/>
        </w:rPr>
        <w:instrText>22</w:instrText>
      </w:r>
      <w:r>
        <w:fldChar w:fldCharType="end"/>
      </w:r>
      <w:r>
        <w:tab/>
        <w:instrText>STIPULATED – Return on Equity</w:instrText>
      </w:r>
      <w:bookmarkEnd w:id="38"/>
      <w:r>
        <w:instrText xml:space="preserve">" \l 1 </w:instrText>
      </w:r>
      <w:r>
        <w:fldChar w:fldCharType="end"/>
      </w:r>
      <w:r>
        <w:t> </w:t>
      </w:r>
    </w:p>
    <w:p w:rsidR="00747EB4" w:rsidRDefault="00747EB4">
      <w:pPr>
        <w:pStyle w:val="BodyText"/>
      </w:pPr>
      <w:r>
        <w:t> What is the appropriate return on equity (ROE) for the test year?</w:t>
      </w:r>
    </w:p>
    <w:p w:rsidR="00747EB4" w:rsidRPr="004C3641" w:rsidRDefault="00747EB4">
      <w:pPr>
        <w:pStyle w:val="IssueSubsectionHeading"/>
        <w:rPr>
          <w:vanish/>
          <w:specVanish/>
        </w:rPr>
      </w:pPr>
      <w:r>
        <w:t>Approved Type 2 Stipulation</w:t>
      </w:r>
      <w:r w:rsidRPr="004C3641">
        <w:t>: </w:t>
      </w:r>
    </w:p>
    <w:p w:rsidR="00747EB4" w:rsidRDefault="00747EB4">
      <w:pPr>
        <w:pStyle w:val="BodyText"/>
      </w:pPr>
      <w:r>
        <w:t xml:space="preserve"> 10.35%. </w:t>
      </w:r>
    </w:p>
    <w:p w:rsidR="00103FE8" w:rsidRDefault="00103FE8" w:rsidP="00E275D8">
      <w:pPr>
        <w:pStyle w:val="BodyText"/>
      </w:pPr>
    </w:p>
    <w:p w:rsidR="00103FE8" w:rsidRDefault="00103FE8" w:rsidP="00103FE8">
      <w:r>
        <w:br w:type="page"/>
      </w:r>
    </w:p>
    <w:p w:rsidR="00747EB4" w:rsidRDefault="00747EB4">
      <w:pPr>
        <w:pStyle w:val="IssueHeading"/>
        <w:rPr>
          <w:vanish/>
          <w:specVanish/>
        </w:rPr>
      </w:pPr>
      <w:r w:rsidRPr="004C3641">
        <w:lastRenderedPageBreak/>
        <w:t xml:space="preserve">Issue </w:t>
      </w:r>
      <w:r>
        <w:fldChar w:fldCharType="begin"/>
      </w:r>
      <w:r>
        <w:instrText>seq issue \r 23</w:instrText>
      </w:r>
      <w:r>
        <w:fldChar w:fldCharType="separate"/>
      </w:r>
      <w:r w:rsidR="009D3FF7">
        <w:rPr>
          <w:noProof/>
        </w:rPr>
        <w:t>23</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9" w:name="_Toc196317141"/>
      <w:r w:rsidR="009D3FF7">
        <w:rPr>
          <w:noProof/>
        </w:rPr>
        <w:instrText>23</w:instrText>
      </w:r>
      <w:r>
        <w:fldChar w:fldCharType="end"/>
      </w:r>
      <w:r>
        <w:tab/>
        <w:instrText>Weighted Average Cost of Capital (Sewards)</w:instrText>
      </w:r>
      <w:bookmarkEnd w:id="39"/>
      <w:r>
        <w:instrText xml:space="preserve">" \l 1 </w:instrText>
      </w:r>
      <w:r>
        <w:fldChar w:fldCharType="end"/>
      </w:r>
      <w:r>
        <w:t> </w:t>
      </w:r>
    </w:p>
    <w:p w:rsidR="00747EB4" w:rsidRDefault="00747EB4">
      <w:pPr>
        <w:pStyle w:val="BodyText"/>
      </w:pPr>
      <w:r>
        <w:t> What is the appropriate weighted average cost of capital including the proper components, amounts, and cost rates associated with the capital structure?</w:t>
      </w:r>
    </w:p>
    <w:p w:rsidR="00747EB4" w:rsidRPr="004C3641" w:rsidRDefault="00747EB4">
      <w:pPr>
        <w:pStyle w:val="IssueSubsectionHeading"/>
        <w:rPr>
          <w:vanish/>
          <w:specVanish/>
        </w:rPr>
      </w:pPr>
      <w:r w:rsidRPr="004C3641">
        <w:t>Recommendation: </w:t>
      </w:r>
    </w:p>
    <w:p w:rsidR="00747EB4" w:rsidRDefault="00747EB4">
      <w:pPr>
        <w:pStyle w:val="BodyText"/>
      </w:pPr>
      <w:r>
        <w:t>  Based on the proper components, amounts, and cost rates associated with the capital structure for the 13-month average test year ended December 31, 2023, as discussed in Issues 18 through 22, the appropriate weighted average cost of capital for Sunshine for purposes of setting rates in this proceeding is 7.77 percent, as reflected in Schedule No. 2. (Sewards)</w:t>
      </w:r>
    </w:p>
    <w:p w:rsidR="00747EB4" w:rsidRPr="004C3641" w:rsidRDefault="00747EB4">
      <w:pPr>
        <w:pStyle w:val="IssueSubsectionHeading"/>
        <w:keepNext/>
        <w:rPr>
          <w:iCs w:val="0"/>
        </w:rPr>
      </w:pPr>
      <w:r w:rsidRPr="004C3641">
        <w:rPr>
          <w:iCs w:val="0"/>
        </w:rPr>
        <w:t>Position of the Parties</w:t>
      </w:r>
    </w:p>
    <w:p w:rsidR="00747EB4" w:rsidRDefault="00747EB4" w:rsidP="00431D19">
      <w:pPr>
        <w:pStyle w:val="PartyName"/>
        <w:rPr>
          <w:vanish/>
          <w:specVanish/>
        </w:rPr>
      </w:pPr>
      <w:r>
        <w:t>SUNSHINE: </w:t>
      </w:r>
    </w:p>
    <w:p w:rsidR="00747EB4" w:rsidRDefault="00747EB4">
      <w:pPr>
        <w:pStyle w:val="BodyText"/>
      </w:pPr>
      <w:r>
        <w:t> 7.493%</w:t>
      </w:r>
    </w:p>
    <w:p w:rsidR="00747EB4" w:rsidRDefault="00747EB4" w:rsidP="00431D19">
      <w:pPr>
        <w:pStyle w:val="PartyName"/>
        <w:rPr>
          <w:vanish/>
          <w:specVanish/>
        </w:rPr>
      </w:pPr>
      <w:r>
        <w:t>OPC: </w:t>
      </w:r>
    </w:p>
    <w:p w:rsidR="00747EB4" w:rsidRDefault="00747EB4">
      <w:pPr>
        <w:pStyle w:val="BodyText"/>
      </w:pPr>
      <w:r>
        <w:t> The appropriate weighted average cost of capital is as reflected in EXH 41 MPN C6-2135.</w:t>
      </w:r>
    </w:p>
    <w:p w:rsidR="00747EB4" w:rsidRPr="004C3641" w:rsidRDefault="00747EB4">
      <w:pPr>
        <w:pStyle w:val="IssueSubsectionHeading"/>
        <w:rPr>
          <w:vanish/>
          <w:specVanish/>
        </w:rPr>
      </w:pPr>
      <w:r w:rsidRPr="004C3641">
        <w:t>Staff Analysis: </w:t>
      </w:r>
    </w:p>
    <w:p w:rsidR="00747EB4" w:rsidRDefault="00747EB4">
      <w:pPr>
        <w:pStyle w:val="BodyText"/>
      </w:pPr>
      <w:r>
        <w:t> Sunshine stated the weighted average cost of capital (WACC) is a fallout from the determinations of other issues. (Sunshine BR 15) Similarly, adjustments to WACC presented by OPC witness Smith were a fallout from his recommended adjustments in other issues. (EXH 41, BSP C6-2135)</w:t>
      </w:r>
    </w:p>
    <w:p w:rsidR="00747EB4" w:rsidRDefault="00747EB4">
      <w:pPr>
        <w:pStyle w:val="BodyText"/>
      </w:pPr>
      <w:r>
        <w:t>In its MFRs, Sunshine requested a capital structure based on a 13-month average as of December 31, 2023, consisting of common equity in the amount of $87,447,369 (50.36 percent), long-term debt in the amount of $67,478,252 (38.86 percent), variable long-term debt in the amount of $14,725,053 (8.48 percent) and short-term debt in the amount of $3,993,823 (2.30 percent) as a percentage of investor supplied capital. (EXH 10, BSP C4-486) The ratio of the Utility’s investor supplied capital is based on the actual capital structure of Sunshine’s parent company. (EXH 10, BSP C4-486) The Utility appropriately used the 13-month average to determine the capital structure for Class A utilities as required by Rule 25-30.433(5), F.A.C., with a pro forma reduction to ADITs to reflect pro forma plant projects. Sunshine reconciled the capital structure to the rate base using only its investor sources of capital. (EXH 10, BSP C4-487)</w:t>
      </w:r>
      <w:r w:rsidR="00867957">
        <w:t xml:space="preserve"> The Utility’s request in its original</w:t>
      </w:r>
      <w:r w:rsidR="00F32909">
        <w:t xml:space="preserve"> filing is reflected in Table 23-1, including the ROE in</w:t>
      </w:r>
      <w:r w:rsidR="00867957">
        <w:t xml:space="preserve">itially reflected in the filing. </w:t>
      </w:r>
    </w:p>
    <w:p w:rsidR="00F32909" w:rsidRDefault="00F32909">
      <w:pPr>
        <w:pStyle w:val="BodyText"/>
      </w:pPr>
    </w:p>
    <w:p w:rsidR="00F32909" w:rsidRDefault="00F32909">
      <w:pPr>
        <w:pStyle w:val="BodyText"/>
      </w:pPr>
    </w:p>
    <w:p w:rsidR="00F32909" w:rsidRDefault="00F32909">
      <w:pPr>
        <w:pStyle w:val="BodyText"/>
      </w:pPr>
    </w:p>
    <w:p w:rsidR="00F32909" w:rsidRDefault="00F32909">
      <w:pPr>
        <w:pStyle w:val="BodyText"/>
      </w:pPr>
    </w:p>
    <w:p w:rsidR="00F32909" w:rsidRDefault="00F32909">
      <w:pPr>
        <w:pStyle w:val="BodyText"/>
      </w:pPr>
    </w:p>
    <w:p w:rsidR="00F32909" w:rsidRDefault="00F32909">
      <w:pPr>
        <w:pStyle w:val="BodyText"/>
      </w:pPr>
    </w:p>
    <w:p w:rsidR="00F32909" w:rsidRDefault="00F32909">
      <w:pPr>
        <w:pStyle w:val="BodyText"/>
      </w:pPr>
    </w:p>
    <w:p w:rsidR="00747EB4" w:rsidRDefault="00747EB4" w:rsidP="00431D19">
      <w:pPr>
        <w:pStyle w:val="TableNumber"/>
        <w:keepNext/>
      </w:pPr>
      <w:r>
        <w:lastRenderedPageBreak/>
        <w:t xml:space="preserve">Table </w:t>
      </w:r>
      <w:r w:rsidR="00FF5F64">
        <w:fldChar w:fldCharType="begin"/>
      </w:r>
      <w:r w:rsidR="00FF5F64">
        <w:instrText xml:space="preserve"> SEQ Issue \c </w:instrText>
      </w:r>
      <w:r w:rsidR="00FF5F64">
        <w:fldChar w:fldCharType="separate"/>
      </w:r>
      <w:r w:rsidR="009D3FF7">
        <w:rPr>
          <w:noProof/>
        </w:rPr>
        <w:t>23</w:t>
      </w:r>
      <w:r w:rsidR="00FF5F64">
        <w:rPr>
          <w:noProof/>
        </w:rPr>
        <w:fldChar w:fldCharType="end"/>
      </w:r>
      <w:r>
        <w:t>-1</w:t>
      </w:r>
    </w:p>
    <w:p w:rsidR="00747EB4" w:rsidRDefault="00747EB4" w:rsidP="00431D19">
      <w:pPr>
        <w:pStyle w:val="TableTitle"/>
        <w:keepNext/>
      </w:pPr>
      <w:r>
        <w:t>Sunshine Requested Weighted Average Cost of Capital</w:t>
      </w:r>
    </w:p>
    <w:tbl>
      <w:tblPr>
        <w:tblStyle w:val="TableGrid"/>
        <w:tblW w:w="0" w:type="auto"/>
        <w:jc w:val="center"/>
        <w:tblLook w:val="04A0" w:firstRow="1" w:lastRow="0" w:firstColumn="1" w:lastColumn="0" w:noHBand="0" w:noVBand="1"/>
      </w:tblPr>
      <w:tblGrid>
        <w:gridCol w:w="3004"/>
        <w:gridCol w:w="1536"/>
        <w:gridCol w:w="1440"/>
        <w:gridCol w:w="1440"/>
        <w:gridCol w:w="1791"/>
      </w:tblGrid>
      <w:tr w:rsidR="00747EB4" w:rsidRPr="00560F67" w:rsidTr="00431D19">
        <w:trPr>
          <w:jc w:val="center"/>
        </w:trPr>
        <w:tc>
          <w:tcPr>
            <w:tcW w:w="3004" w:type="dxa"/>
          </w:tcPr>
          <w:p w:rsidR="00747EB4" w:rsidRPr="00560F67" w:rsidRDefault="00747EB4" w:rsidP="00431D19">
            <w:pPr>
              <w:rPr>
                <w:b/>
              </w:rPr>
            </w:pPr>
            <w:r w:rsidRPr="00560F67">
              <w:rPr>
                <w:b/>
              </w:rPr>
              <w:t xml:space="preserve">Capital Component </w:t>
            </w:r>
          </w:p>
        </w:tc>
        <w:tc>
          <w:tcPr>
            <w:tcW w:w="1392" w:type="dxa"/>
          </w:tcPr>
          <w:p w:rsidR="00747EB4" w:rsidRPr="00560F67" w:rsidRDefault="00747EB4" w:rsidP="00431D19">
            <w:pPr>
              <w:jc w:val="center"/>
              <w:rPr>
                <w:b/>
              </w:rPr>
            </w:pPr>
            <w:r w:rsidRPr="00560F67">
              <w:rPr>
                <w:b/>
              </w:rPr>
              <w:t>Amount</w:t>
            </w:r>
          </w:p>
        </w:tc>
        <w:tc>
          <w:tcPr>
            <w:tcW w:w="1440" w:type="dxa"/>
          </w:tcPr>
          <w:p w:rsidR="00747EB4" w:rsidRPr="00560F67" w:rsidRDefault="00747EB4" w:rsidP="00431D19">
            <w:pPr>
              <w:jc w:val="center"/>
              <w:rPr>
                <w:b/>
              </w:rPr>
            </w:pPr>
            <w:r w:rsidRPr="00560F67">
              <w:rPr>
                <w:b/>
              </w:rPr>
              <w:t>Percentage</w:t>
            </w:r>
          </w:p>
        </w:tc>
        <w:tc>
          <w:tcPr>
            <w:tcW w:w="1440" w:type="dxa"/>
          </w:tcPr>
          <w:p w:rsidR="00747EB4" w:rsidRPr="00560F67" w:rsidRDefault="00747EB4" w:rsidP="00431D19">
            <w:pPr>
              <w:jc w:val="center"/>
              <w:rPr>
                <w:b/>
              </w:rPr>
            </w:pPr>
            <w:r w:rsidRPr="00560F67">
              <w:rPr>
                <w:b/>
              </w:rPr>
              <w:t>Cost Rate</w:t>
            </w:r>
          </w:p>
        </w:tc>
        <w:tc>
          <w:tcPr>
            <w:tcW w:w="1791" w:type="dxa"/>
          </w:tcPr>
          <w:p w:rsidR="00747EB4" w:rsidRPr="00560F67" w:rsidRDefault="00747EB4" w:rsidP="00431D19">
            <w:pPr>
              <w:jc w:val="center"/>
              <w:rPr>
                <w:b/>
              </w:rPr>
            </w:pPr>
            <w:r w:rsidRPr="00560F67">
              <w:rPr>
                <w:b/>
              </w:rPr>
              <w:t>Weighted Cost</w:t>
            </w:r>
          </w:p>
        </w:tc>
      </w:tr>
      <w:tr w:rsidR="00747EB4" w:rsidTr="00431D19">
        <w:trPr>
          <w:jc w:val="center"/>
        </w:trPr>
        <w:tc>
          <w:tcPr>
            <w:tcW w:w="3004" w:type="dxa"/>
          </w:tcPr>
          <w:p w:rsidR="00747EB4" w:rsidRDefault="00747EB4" w:rsidP="00431D19">
            <w:r>
              <w:t>Long-Term Debt</w:t>
            </w:r>
          </w:p>
        </w:tc>
        <w:tc>
          <w:tcPr>
            <w:tcW w:w="1392" w:type="dxa"/>
          </w:tcPr>
          <w:p w:rsidR="00747EB4" w:rsidRDefault="00747EB4" w:rsidP="00431D19">
            <w:pPr>
              <w:jc w:val="right"/>
            </w:pPr>
            <w:r>
              <w:t>$67,478,252</w:t>
            </w:r>
          </w:p>
        </w:tc>
        <w:tc>
          <w:tcPr>
            <w:tcW w:w="1440" w:type="dxa"/>
          </w:tcPr>
          <w:p w:rsidR="00747EB4" w:rsidRDefault="00747EB4" w:rsidP="00431D19">
            <w:pPr>
              <w:jc w:val="right"/>
            </w:pPr>
            <w:r>
              <w:t>36.51%</w:t>
            </w:r>
          </w:p>
        </w:tc>
        <w:tc>
          <w:tcPr>
            <w:tcW w:w="1440" w:type="dxa"/>
          </w:tcPr>
          <w:p w:rsidR="00747EB4" w:rsidRDefault="00747EB4" w:rsidP="00431D19">
            <w:pPr>
              <w:jc w:val="right"/>
            </w:pPr>
            <w:r>
              <w:t>4.92%</w:t>
            </w:r>
          </w:p>
        </w:tc>
        <w:tc>
          <w:tcPr>
            <w:tcW w:w="1791" w:type="dxa"/>
          </w:tcPr>
          <w:p w:rsidR="00747EB4" w:rsidRDefault="00747EB4" w:rsidP="00431D19">
            <w:pPr>
              <w:jc w:val="right"/>
            </w:pPr>
            <w:r>
              <w:t>1.796%</w:t>
            </w:r>
          </w:p>
        </w:tc>
      </w:tr>
      <w:tr w:rsidR="00747EB4" w:rsidTr="00431D19">
        <w:trPr>
          <w:jc w:val="center"/>
        </w:trPr>
        <w:tc>
          <w:tcPr>
            <w:tcW w:w="3004" w:type="dxa"/>
          </w:tcPr>
          <w:p w:rsidR="00747EB4" w:rsidRDefault="00747EB4" w:rsidP="00431D19">
            <w:r>
              <w:t xml:space="preserve">Long-Term Debt – Variable </w:t>
            </w:r>
          </w:p>
        </w:tc>
        <w:tc>
          <w:tcPr>
            <w:tcW w:w="1392" w:type="dxa"/>
          </w:tcPr>
          <w:p w:rsidR="00747EB4" w:rsidRDefault="00747EB4" w:rsidP="00431D19">
            <w:pPr>
              <w:jc w:val="right"/>
            </w:pPr>
            <w:r>
              <w:t>14,725,053</w:t>
            </w:r>
          </w:p>
        </w:tc>
        <w:tc>
          <w:tcPr>
            <w:tcW w:w="1440" w:type="dxa"/>
          </w:tcPr>
          <w:p w:rsidR="00747EB4" w:rsidRDefault="00747EB4" w:rsidP="00431D19">
            <w:pPr>
              <w:jc w:val="right"/>
            </w:pPr>
            <w:r>
              <w:t>7.97%</w:t>
            </w:r>
          </w:p>
        </w:tc>
        <w:tc>
          <w:tcPr>
            <w:tcW w:w="1440" w:type="dxa"/>
          </w:tcPr>
          <w:p w:rsidR="00747EB4" w:rsidRDefault="00747EB4" w:rsidP="00431D19">
            <w:pPr>
              <w:jc w:val="right"/>
            </w:pPr>
            <w:r>
              <w:t>7.51%</w:t>
            </w:r>
          </w:p>
        </w:tc>
        <w:tc>
          <w:tcPr>
            <w:tcW w:w="1791" w:type="dxa"/>
          </w:tcPr>
          <w:p w:rsidR="00747EB4" w:rsidRDefault="00747EB4" w:rsidP="00431D19">
            <w:pPr>
              <w:jc w:val="right"/>
            </w:pPr>
            <w:r>
              <w:t>0.599%</w:t>
            </w:r>
          </w:p>
        </w:tc>
      </w:tr>
      <w:tr w:rsidR="00747EB4" w:rsidTr="00431D19">
        <w:trPr>
          <w:jc w:val="center"/>
        </w:trPr>
        <w:tc>
          <w:tcPr>
            <w:tcW w:w="3004" w:type="dxa"/>
          </w:tcPr>
          <w:p w:rsidR="00747EB4" w:rsidRDefault="00747EB4" w:rsidP="00431D19">
            <w:r>
              <w:t>Short-Term Debt</w:t>
            </w:r>
          </w:p>
        </w:tc>
        <w:tc>
          <w:tcPr>
            <w:tcW w:w="1392" w:type="dxa"/>
          </w:tcPr>
          <w:p w:rsidR="00747EB4" w:rsidRDefault="00747EB4" w:rsidP="00431D19">
            <w:pPr>
              <w:jc w:val="right"/>
            </w:pPr>
            <w:r>
              <w:t>3,993,823</w:t>
            </w:r>
          </w:p>
        </w:tc>
        <w:tc>
          <w:tcPr>
            <w:tcW w:w="1440" w:type="dxa"/>
          </w:tcPr>
          <w:p w:rsidR="00747EB4" w:rsidRDefault="00747EB4" w:rsidP="00431D19">
            <w:pPr>
              <w:jc w:val="right"/>
            </w:pPr>
            <w:r>
              <w:t>2.16%</w:t>
            </w:r>
          </w:p>
        </w:tc>
        <w:tc>
          <w:tcPr>
            <w:tcW w:w="1440" w:type="dxa"/>
          </w:tcPr>
          <w:p w:rsidR="00747EB4" w:rsidRDefault="00747EB4" w:rsidP="00431D19">
            <w:pPr>
              <w:jc w:val="right"/>
            </w:pPr>
            <w:r>
              <w:t>8.25%</w:t>
            </w:r>
          </w:p>
        </w:tc>
        <w:tc>
          <w:tcPr>
            <w:tcW w:w="1791" w:type="dxa"/>
          </w:tcPr>
          <w:p w:rsidR="00747EB4" w:rsidRDefault="00747EB4" w:rsidP="00431D19">
            <w:pPr>
              <w:jc w:val="right"/>
            </w:pPr>
            <w:r>
              <w:t>0.178%</w:t>
            </w:r>
          </w:p>
        </w:tc>
      </w:tr>
      <w:tr w:rsidR="00747EB4" w:rsidTr="00431D19">
        <w:trPr>
          <w:jc w:val="center"/>
        </w:trPr>
        <w:tc>
          <w:tcPr>
            <w:tcW w:w="3004" w:type="dxa"/>
          </w:tcPr>
          <w:p w:rsidR="00747EB4" w:rsidRDefault="00747EB4" w:rsidP="00431D19">
            <w:r>
              <w:t>Common Equity</w:t>
            </w:r>
            <w:r w:rsidR="00867957">
              <w:rPr>
                <w:rStyle w:val="FootnoteReference"/>
              </w:rPr>
              <w:footnoteReference w:id="28"/>
            </w:r>
          </w:p>
        </w:tc>
        <w:tc>
          <w:tcPr>
            <w:tcW w:w="1392" w:type="dxa"/>
          </w:tcPr>
          <w:p w:rsidR="00747EB4" w:rsidRDefault="00747EB4" w:rsidP="00431D19">
            <w:pPr>
              <w:jc w:val="right"/>
            </w:pPr>
            <w:r>
              <w:t>87,447,369</w:t>
            </w:r>
          </w:p>
        </w:tc>
        <w:tc>
          <w:tcPr>
            <w:tcW w:w="1440" w:type="dxa"/>
          </w:tcPr>
          <w:p w:rsidR="00747EB4" w:rsidRDefault="00747EB4" w:rsidP="00431D19">
            <w:pPr>
              <w:jc w:val="right"/>
            </w:pPr>
            <w:r>
              <w:t>47.32%</w:t>
            </w:r>
          </w:p>
        </w:tc>
        <w:tc>
          <w:tcPr>
            <w:tcW w:w="1440" w:type="dxa"/>
          </w:tcPr>
          <w:p w:rsidR="00747EB4" w:rsidRDefault="00747EB4" w:rsidP="00867957">
            <w:pPr>
              <w:jc w:val="right"/>
            </w:pPr>
            <w:r>
              <w:t>10.36%</w:t>
            </w:r>
          </w:p>
        </w:tc>
        <w:tc>
          <w:tcPr>
            <w:tcW w:w="1791" w:type="dxa"/>
          </w:tcPr>
          <w:p w:rsidR="00747EB4" w:rsidRDefault="00747EB4" w:rsidP="00431D19">
            <w:pPr>
              <w:jc w:val="right"/>
            </w:pPr>
            <w:r>
              <w:t>4.902%</w:t>
            </w:r>
          </w:p>
        </w:tc>
      </w:tr>
      <w:tr w:rsidR="00747EB4" w:rsidTr="00431D19">
        <w:trPr>
          <w:jc w:val="center"/>
        </w:trPr>
        <w:tc>
          <w:tcPr>
            <w:tcW w:w="3004" w:type="dxa"/>
          </w:tcPr>
          <w:p w:rsidR="00747EB4" w:rsidRDefault="00747EB4" w:rsidP="00431D19">
            <w:r>
              <w:t>Customer Deposits</w:t>
            </w:r>
          </w:p>
        </w:tc>
        <w:tc>
          <w:tcPr>
            <w:tcW w:w="1392" w:type="dxa"/>
          </w:tcPr>
          <w:p w:rsidR="00747EB4" w:rsidRDefault="00747EB4" w:rsidP="00431D19">
            <w:pPr>
              <w:jc w:val="right"/>
            </w:pPr>
            <w:r>
              <w:t>319,453</w:t>
            </w:r>
          </w:p>
        </w:tc>
        <w:tc>
          <w:tcPr>
            <w:tcW w:w="1440" w:type="dxa"/>
          </w:tcPr>
          <w:p w:rsidR="00747EB4" w:rsidRDefault="00747EB4" w:rsidP="00431D19">
            <w:pPr>
              <w:jc w:val="right"/>
            </w:pPr>
            <w:r>
              <w:t>0.17%</w:t>
            </w:r>
          </w:p>
        </w:tc>
        <w:tc>
          <w:tcPr>
            <w:tcW w:w="1440" w:type="dxa"/>
          </w:tcPr>
          <w:p w:rsidR="00747EB4" w:rsidRDefault="00747EB4" w:rsidP="00431D19">
            <w:pPr>
              <w:jc w:val="right"/>
            </w:pPr>
            <w:r>
              <w:t>2.00%</w:t>
            </w:r>
          </w:p>
        </w:tc>
        <w:tc>
          <w:tcPr>
            <w:tcW w:w="1791" w:type="dxa"/>
          </w:tcPr>
          <w:p w:rsidR="00747EB4" w:rsidRDefault="00747EB4" w:rsidP="00431D19">
            <w:pPr>
              <w:jc w:val="right"/>
            </w:pPr>
            <w:r>
              <w:t>0.003%</w:t>
            </w:r>
          </w:p>
        </w:tc>
      </w:tr>
      <w:tr w:rsidR="00747EB4" w:rsidTr="00431D19">
        <w:trPr>
          <w:jc w:val="center"/>
        </w:trPr>
        <w:tc>
          <w:tcPr>
            <w:tcW w:w="3004" w:type="dxa"/>
          </w:tcPr>
          <w:p w:rsidR="00747EB4" w:rsidRDefault="00747EB4" w:rsidP="00431D19">
            <w:r>
              <w:t>Accum. Deferred ITCs</w:t>
            </w:r>
          </w:p>
        </w:tc>
        <w:tc>
          <w:tcPr>
            <w:tcW w:w="1392" w:type="dxa"/>
          </w:tcPr>
          <w:p w:rsidR="00747EB4" w:rsidRDefault="00747EB4" w:rsidP="00431D19">
            <w:pPr>
              <w:jc w:val="right"/>
            </w:pPr>
            <w:r>
              <w:t>61,653</w:t>
            </w:r>
          </w:p>
        </w:tc>
        <w:tc>
          <w:tcPr>
            <w:tcW w:w="1440" w:type="dxa"/>
          </w:tcPr>
          <w:p w:rsidR="00747EB4" w:rsidRDefault="00747EB4" w:rsidP="00431D19">
            <w:pPr>
              <w:jc w:val="right"/>
            </w:pPr>
            <w:r>
              <w:t>0.03%</w:t>
            </w:r>
          </w:p>
        </w:tc>
        <w:tc>
          <w:tcPr>
            <w:tcW w:w="1440" w:type="dxa"/>
          </w:tcPr>
          <w:p w:rsidR="00747EB4" w:rsidRDefault="00747EB4" w:rsidP="00431D19">
            <w:pPr>
              <w:jc w:val="right"/>
            </w:pPr>
            <w:r>
              <w:t>0.00%</w:t>
            </w:r>
          </w:p>
        </w:tc>
        <w:tc>
          <w:tcPr>
            <w:tcW w:w="1791" w:type="dxa"/>
          </w:tcPr>
          <w:p w:rsidR="00747EB4" w:rsidRDefault="00747EB4" w:rsidP="00431D19">
            <w:pPr>
              <w:jc w:val="right"/>
            </w:pPr>
            <w:r>
              <w:t>0.000%</w:t>
            </w:r>
          </w:p>
        </w:tc>
      </w:tr>
      <w:tr w:rsidR="00747EB4" w:rsidTr="00431D19">
        <w:trPr>
          <w:jc w:val="center"/>
        </w:trPr>
        <w:tc>
          <w:tcPr>
            <w:tcW w:w="3004" w:type="dxa"/>
          </w:tcPr>
          <w:p w:rsidR="00747EB4" w:rsidRDefault="00747EB4" w:rsidP="00431D19">
            <w:r>
              <w:t>ADITs</w:t>
            </w:r>
          </w:p>
        </w:tc>
        <w:tc>
          <w:tcPr>
            <w:tcW w:w="1392" w:type="dxa"/>
          </w:tcPr>
          <w:p w:rsidR="00747EB4" w:rsidRDefault="00747EB4" w:rsidP="00431D19">
            <w:pPr>
              <w:jc w:val="right"/>
            </w:pPr>
            <w:r>
              <w:t>5,822,833</w:t>
            </w:r>
          </w:p>
        </w:tc>
        <w:tc>
          <w:tcPr>
            <w:tcW w:w="1440" w:type="dxa"/>
          </w:tcPr>
          <w:p w:rsidR="00747EB4" w:rsidRDefault="00747EB4" w:rsidP="00431D19">
            <w:pPr>
              <w:jc w:val="right"/>
            </w:pPr>
            <w:r>
              <w:t>3.15%</w:t>
            </w:r>
          </w:p>
        </w:tc>
        <w:tc>
          <w:tcPr>
            <w:tcW w:w="1440" w:type="dxa"/>
          </w:tcPr>
          <w:p w:rsidR="00747EB4" w:rsidRDefault="00747EB4" w:rsidP="00431D19">
            <w:pPr>
              <w:jc w:val="right"/>
            </w:pPr>
            <w:r>
              <w:t>0.00%</w:t>
            </w:r>
          </w:p>
        </w:tc>
        <w:tc>
          <w:tcPr>
            <w:tcW w:w="1791" w:type="dxa"/>
          </w:tcPr>
          <w:p w:rsidR="00747EB4" w:rsidRDefault="00747EB4" w:rsidP="00431D19">
            <w:pPr>
              <w:jc w:val="right"/>
            </w:pPr>
            <w:r>
              <w:t>0.000%</w:t>
            </w:r>
          </w:p>
        </w:tc>
      </w:tr>
      <w:tr w:rsidR="00747EB4" w:rsidTr="00431D19">
        <w:trPr>
          <w:jc w:val="center"/>
        </w:trPr>
        <w:tc>
          <w:tcPr>
            <w:tcW w:w="3004" w:type="dxa"/>
          </w:tcPr>
          <w:p w:rsidR="00747EB4" w:rsidRDefault="00747EB4" w:rsidP="00431D19">
            <w:r>
              <w:t>ADITs – TCJA</w:t>
            </w:r>
          </w:p>
        </w:tc>
        <w:tc>
          <w:tcPr>
            <w:tcW w:w="1392" w:type="dxa"/>
          </w:tcPr>
          <w:p w:rsidR="00747EB4" w:rsidRPr="00542B3C" w:rsidRDefault="00747EB4" w:rsidP="00431D19">
            <w:pPr>
              <w:jc w:val="right"/>
              <w:rPr>
                <w:u w:val="single"/>
              </w:rPr>
            </w:pPr>
            <w:r w:rsidRPr="00542B3C">
              <w:rPr>
                <w:u w:val="single"/>
              </w:rPr>
              <w:t>4,969,273</w:t>
            </w:r>
          </w:p>
        </w:tc>
        <w:tc>
          <w:tcPr>
            <w:tcW w:w="1440" w:type="dxa"/>
          </w:tcPr>
          <w:p w:rsidR="00747EB4" w:rsidRDefault="00747EB4" w:rsidP="00431D19">
            <w:pPr>
              <w:jc w:val="right"/>
            </w:pPr>
            <w:r>
              <w:t>2.69%</w:t>
            </w:r>
          </w:p>
        </w:tc>
        <w:tc>
          <w:tcPr>
            <w:tcW w:w="1440" w:type="dxa"/>
          </w:tcPr>
          <w:p w:rsidR="00747EB4" w:rsidRDefault="00747EB4" w:rsidP="00431D19">
            <w:pPr>
              <w:jc w:val="right"/>
            </w:pPr>
            <w:r>
              <w:t>0.00%</w:t>
            </w:r>
          </w:p>
        </w:tc>
        <w:tc>
          <w:tcPr>
            <w:tcW w:w="1791" w:type="dxa"/>
          </w:tcPr>
          <w:p w:rsidR="00747EB4" w:rsidRDefault="00747EB4" w:rsidP="00431D19">
            <w:pPr>
              <w:jc w:val="right"/>
            </w:pPr>
            <w:r>
              <w:t>0.000%</w:t>
            </w:r>
          </w:p>
        </w:tc>
      </w:tr>
      <w:tr w:rsidR="00747EB4" w:rsidTr="00431D19">
        <w:trPr>
          <w:jc w:val="center"/>
        </w:trPr>
        <w:tc>
          <w:tcPr>
            <w:tcW w:w="3004" w:type="dxa"/>
          </w:tcPr>
          <w:p w:rsidR="00747EB4" w:rsidRPr="00755063" w:rsidRDefault="00747EB4" w:rsidP="00431D19">
            <w:pPr>
              <w:rPr>
                <w:b/>
              </w:rPr>
            </w:pPr>
            <w:r w:rsidRPr="00755063">
              <w:rPr>
                <w:b/>
              </w:rPr>
              <w:t xml:space="preserve">Total </w:t>
            </w:r>
          </w:p>
        </w:tc>
        <w:tc>
          <w:tcPr>
            <w:tcW w:w="1392" w:type="dxa"/>
          </w:tcPr>
          <w:p w:rsidR="00747EB4" w:rsidRPr="00542B3C" w:rsidRDefault="00747EB4" w:rsidP="00431D19">
            <w:pPr>
              <w:rPr>
                <w:b/>
                <w:u w:val="double"/>
              </w:rPr>
            </w:pPr>
            <w:r w:rsidRPr="00542B3C">
              <w:rPr>
                <w:b/>
                <w:u w:val="double"/>
              </w:rPr>
              <w:t>$184,817,710</w:t>
            </w:r>
          </w:p>
        </w:tc>
        <w:tc>
          <w:tcPr>
            <w:tcW w:w="1440" w:type="dxa"/>
          </w:tcPr>
          <w:p w:rsidR="00747EB4" w:rsidRPr="00755063" w:rsidRDefault="00747EB4" w:rsidP="00431D19">
            <w:pPr>
              <w:jc w:val="right"/>
              <w:rPr>
                <w:b/>
              </w:rPr>
            </w:pPr>
            <w:r w:rsidRPr="00755063">
              <w:rPr>
                <w:b/>
              </w:rPr>
              <w:t>100%</w:t>
            </w:r>
          </w:p>
        </w:tc>
        <w:tc>
          <w:tcPr>
            <w:tcW w:w="1440" w:type="dxa"/>
          </w:tcPr>
          <w:p w:rsidR="00747EB4" w:rsidRDefault="00747EB4" w:rsidP="00431D19"/>
        </w:tc>
        <w:tc>
          <w:tcPr>
            <w:tcW w:w="1791" w:type="dxa"/>
          </w:tcPr>
          <w:p w:rsidR="00747EB4" w:rsidRPr="002F4567" w:rsidRDefault="00747EB4" w:rsidP="00431D19">
            <w:pPr>
              <w:jc w:val="right"/>
              <w:rPr>
                <w:b/>
              </w:rPr>
            </w:pPr>
            <w:r w:rsidRPr="002F4567">
              <w:rPr>
                <w:b/>
              </w:rPr>
              <w:t>7.478%</w:t>
            </w:r>
          </w:p>
        </w:tc>
      </w:tr>
    </w:tbl>
    <w:p w:rsidR="00747EB4" w:rsidRDefault="00747EB4" w:rsidP="00431D19">
      <w:pPr>
        <w:pStyle w:val="TableSource"/>
      </w:pPr>
      <w:r>
        <w:t>Source: EXH 10, BSP C4-486</w:t>
      </w:r>
    </w:p>
    <w:p w:rsidR="00747EB4" w:rsidRDefault="00747EB4">
      <w:pPr>
        <w:pStyle w:val="BodyText"/>
      </w:pPr>
      <w:r>
        <w:t>The weighted average cost of capital is a fallout issue that combines the cost rates and amounts of the capital components into a final rate of return. For Issues 19 through 22, the cost rates for customer deposit (2.00 percent), short-term debt (8.25 percent), long term debt (4.92 percent</w:t>
      </w:r>
      <w:r w:rsidRPr="00160BC9">
        <w:t xml:space="preserve"> </w:t>
      </w:r>
      <w:r>
        <w:t>fixed, 7.51 percent</w:t>
      </w:r>
      <w:r w:rsidRPr="00160BC9">
        <w:t xml:space="preserve"> </w:t>
      </w:r>
      <w:r>
        <w:t>variable), and ROE (10.35 percent) are stipulated. However, as addressed in Issue 1, staff recommends a 15 basis point penalty for quality of service. Consistent with recent Commission decisions, staff has reconciled the capital structure to the rate base using all sources of capital.</w:t>
      </w:r>
      <w:r>
        <w:rPr>
          <w:rStyle w:val="FootnoteReference"/>
        </w:rPr>
        <w:footnoteReference w:id="29"/>
      </w:r>
      <w:r>
        <w:t xml:space="preserve"> The appropriate WACC is presented in Schedule No. 2 and in Table 23-2 below.</w:t>
      </w:r>
    </w:p>
    <w:p w:rsidR="00747EB4" w:rsidRDefault="00747EB4" w:rsidP="00431D19">
      <w:pPr>
        <w:pStyle w:val="TableNumber"/>
        <w:keepNext/>
      </w:pPr>
      <w:r>
        <w:t xml:space="preserve">Table </w:t>
      </w:r>
      <w:r w:rsidR="00FF5F64">
        <w:fldChar w:fldCharType="begin"/>
      </w:r>
      <w:r w:rsidR="00FF5F64">
        <w:instrText xml:space="preserve"> SEQ Issue \c </w:instrText>
      </w:r>
      <w:r w:rsidR="00FF5F64">
        <w:fldChar w:fldCharType="separate"/>
      </w:r>
      <w:r w:rsidR="009D3FF7">
        <w:rPr>
          <w:noProof/>
        </w:rPr>
        <w:t>23</w:t>
      </w:r>
      <w:r w:rsidR="00FF5F64">
        <w:rPr>
          <w:noProof/>
        </w:rPr>
        <w:fldChar w:fldCharType="end"/>
      </w:r>
      <w:r>
        <w:t>-2</w:t>
      </w:r>
    </w:p>
    <w:p w:rsidR="00747EB4" w:rsidRDefault="00747EB4" w:rsidP="00431D19">
      <w:pPr>
        <w:pStyle w:val="TableTitle"/>
        <w:keepNext/>
      </w:pPr>
      <w:r>
        <w:t>Staff Recommended Weighted Average Cost of Capital</w:t>
      </w:r>
    </w:p>
    <w:tbl>
      <w:tblPr>
        <w:tblStyle w:val="TableGrid"/>
        <w:tblW w:w="0" w:type="auto"/>
        <w:jc w:val="center"/>
        <w:tblLook w:val="04A0" w:firstRow="1" w:lastRow="0" w:firstColumn="1" w:lastColumn="0" w:noHBand="0" w:noVBand="1"/>
      </w:tblPr>
      <w:tblGrid>
        <w:gridCol w:w="3004"/>
        <w:gridCol w:w="1536"/>
        <w:gridCol w:w="1440"/>
        <w:gridCol w:w="1440"/>
        <w:gridCol w:w="1791"/>
      </w:tblGrid>
      <w:tr w:rsidR="00747EB4" w:rsidRPr="00560F67" w:rsidTr="00431D19">
        <w:trPr>
          <w:jc w:val="center"/>
        </w:trPr>
        <w:tc>
          <w:tcPr>
            <w:tcW w:w="3004" w:type="dxa"/>
          </w:tcPr>
          <w:p w:rsidR="00747EB4" w:rsidRPr="00560F67" w:rsidRDefault="00747EB4" w:rsidP="00431D19">
            <w:pPr>
              <w:rPr>
                <w:b/>
              </w:rPr>
            </w:pPr>
            <w:r w:rsidRPr="00560F67">
              <w:rPr>
                <w:b/>
              </w:rPr>
              <w:t xml:space="preserve">Capital Component </w:t>
            </w:r>
          </w:p>
        </w:tc>
        <w:tc>
          <w:tcPr>
            <w:tcW w:w="1392" w:type="dxa"/>
          </w:tcPr>
          <w:p w:rsidR="00747EB4" w:rsidRPr="00560F67" w:rsidRDefault="00747EB4" w:rsidP="00431D19">
            <w:pPr>
              <w:jc w:val="center"/>
              <w:rPr>
                <w:b/>
              </w:rPr>
            </w:pPr>
            <w:r w:rsidRPr="00560F67">
              <w:rPr>
                <w:b/>
              </w:rPr>
              <w:t>Amount</w:t>
            </w:r>
          </w:p>
        </w:tc>
        <w:tc>
          <w:tcPr>
            <w:tcW w:w="1440" w:type="dxa"/>
          </w:tcPr>
          <w:p w:rsidR="00747EB4" w:rsidRPr="00560F67" w:rsidRDefault="00747EB4" w:rsidP="00431D19">
            <w:pPr>
              <w:jc w:val="center"/>
              <w:rPr>
                <w:b/>
              </w:rPr>
            </w:pPr>
            <w:r w:rsidRPr="00560F67">
              <w:rPr>
                <w:b/>
              </w:rPr>
              <w:t>Percentage</w:t>
            </w:r>
          </w:p>
        </w:tc>
        <w:tc>
          <w:tcPr>
            <w:tcW w:w="1440" w:type="dxa"/>
          </w:tcPr>
          <w:p w:rsidR="00747EB4" w:rsidRPr="00560F67" w:rsidRDefault="00747EB4" w:rsidP="00431D19">
            <w:pPr>
              <w:jc w:val="center"/>
              <w:rPr>
                <w:b/>
              </w:rPr>
            </w:pPr>
            <w:r w:rsidRPr="00560F67">
              <w:rPr>
                <w:b/>
              </w:rPr>
              <w:t>Cost Rate</w:t>
            </w:r>
          </w:p>
        </w:tc>
        <w:tc>
          <w:tcPr>
            <w:tcW w:w="1791" w:type="dxa"/>
          </w:tcPr>
          <w:p w:rsidR="00747EB4" w:rsidRPr="00560F67" w:rsidRDefault="00747EB4" w:rsidP="00431D19">
            <w:pPr>
              <w:jc w:val="center"/>
              <w:rPr>
                <w:b/>
              </w:rPr>
            </w:pPr>
            <w:r w:rsidRPr="00560F67">
              <w:rPr>
                <w:b/>
              </w:rPr>
              <w:t>Weighted Cost</w:t>
            </w:r>
          </w:p>
        </w:tc>
      </w:tr>
      <w:tr w:rsidR="00747EB4" w:rsidTr="00431D19">
        <w:trPr>
          <w:jc w:val="center"/>
        </w:trPr>
        <w:tc>
          <w:tcPr>
            <w:tcW w:w="3004" w:type="dxa"/>
          </w:tcPr>
          <w:p w:rsidR="00747EB4" w:rsidRDefault="00747EB4" w:rsidP="00431D19">
            <w:r>
              <w:t>Long-Term Debt</w:t>
            </w:r>
          </w:p>
        </w:tc>
        <w:tc>
          <w:tcPr>
            <w:tcW w:w="1392" w:type="dxa"/>
          </w:tcPr>
          <w:p w:rsidR="00747EB4" w:rsidRDefault="00747EB4" w:rsidP="00431D19">
            <w:pPr>
              <w:jc w:val="right"/>
            </w:pPr>
            <w:r>
              <w:t>$75,688,021</w:t>
            </w:r>
          </w:p>
        </w:tc>
        <w:tc>
          <w:tcPr>
            <w:tcW w:w="1440" w:type="dxa"/>
          </w:tcPr>
          <w:p w:rsidR="00747EB4" w:rsidRDefault="00747EB4" w:rsidP="00431D19">
            <w:pPr>
              <w:jc w:val="right"/>
            </w:pPr>
            <w:r>
              <w:t>38.34%</w:t>
            </w:r>
          </w:p>
        </w:tc>
        <w:tc>
          <w:tcPr>
            <w:tcW w:w="1440" w:type="dxa"/>
          </w:tcPr>
          <w:p w:rsidR="00747EB4" w:rsidRDefault="00747EB4" w:rsidP="00431D19">
            <w:pPr>
              <w:jc w:val="right"/>
            </w:pPr>
            <w:r>
              <w:t>4.92%</w:t>
            </w:r>
          </w:p>
        </w:tc>
        <w:tc>
          <w:tcPr>
            <w:tcW w:w="1791" w:type="dxa"/>
          </w:tcPr>
          <w:p w:rsidR="00747EB4" w:rsidRDefault="00747EB4" w:rsidP="00431D19">
            <w:pPr>
              <w:jc w:val="right"/>
            </w:pPr>
            <w:r>
              <w:t>1.89%</w:t>
            </w:r>
          </w:p>
        </w:tc>
      </w:tr>
      <w:tr w:rsidR="00747EB4" w:rsidTr="00431D19">
        <w:trPr>
          <w:jc w:val="center"/>
        </w:trPr>
        <w:tc>
          <w:tcPr>
            <w:tcW w:w="3004" w:type="dxa"/>
          </w:tcPr>
          <w:p w:rsidR="00747EB4" w:rsidRDefault="00747EB4" w:rsidP="00431D19">
            <w:r>
              <w:t xml:space="preserve">Long-Term Debt – Variable </w:t>
            </w:r>
          </w:p>
        </w:tc>
        <w:tc>
          <w:tcPr>
            <w:tcW w:w="1392" w:type="dxa"/>
          </w:tcPr>
          <w:p w:rsidR="00747EB4" w:rsidRDefault="00747EB4" w:rsidP="00431D19">
            <w:pPr>
              <w:jc w:val="right"/>
            </w:pPr>
            <w:r>
              <w:t>16,507,007</w:t>
            </w:r>
          </w:p>
        </w:tc>
        <w:tc>
          <w:tcPr>
            <w:tcW w:w="1440" w:type="dxa"/>
          </w:tcPr>
          <w:p w:rsidR="00747EB4" w:rsidRDefault="00747EB4" w:rsidP="00431D19">
            <w:pPr>
              <w:jc w:val="right"/>
            </w:pPr>
            <w:r>
              <w:t>8.36%</w:t>
            </w:r>
          </w:p>
        </w:tc>
        <w:tc>
          <w:tcPr>
            <w:tcW w:w="1440" w:type="dxa"/>
          </w:tcPr>
          <w:p w:rsidR="00747EB4" w:rsidRDefault="00747EB4" w:rsidP="00431D19">
            <w:pPr>
              <w:jc w:val="right"/>
            </w:pPr>
            <w:r>
              <w:t>7.51%</w:t>
            </w:r>
          </w:p>
        </w:tc>
        <w:tc>
          <w:tcPr>
            <w:tcW w:w="1791" w:type="dxa"/>
          </w:tcPr>
          <w:p w:rsidR="00747EB4" w:rsidRDefault="00747EB4" w:rsidP="00431D19">
            <w:pPr>
              <w:jc w:val="right"/>
            </w:pPr>
            <w:r>
              <w:t>0.63%</w:t>
            </w:r>
          </w:p>
        </w:tc>
      </w:tr>
      <w:tr w:rsidR="00747EB4" w:rsidTr="00431D19">
        <w:trPr>
          <w:jc w:val="center"/>
        </w:trPr>
        <w:tc>
          <w:tcPr>
            <w:tcW w:w="3004" w:type="dxa"/>
          </w:tcPr>
          <w:p w:rsidR="00747EB4" w:rsidRDefault="00747EB4" w:rsidP="00431D19">
            <w:r>
              <w:t>Short-Term Debt</w:t>
            </w:r>
          </w:p>
        </w:tc>
        <w:tc>
          <w:tcPr>
            <w:tcW w:w="1392" w:type="dxa"/>
          </w:tcPr>
          <w:p w:rsidR="00747EB4" w:rsidRDefault="00747EB4" w:rsidP="00431D19">
            <w:pPr>
              <w:jc w:val="right"/>
            </w:pPr>
            <w:r>
              <w:t>4,486,288</w:t>
            </w:r>
          </w:p>
        </w:tc>
        <w:tc>
          <w:tcPr>
            <w:tcW w:w="1440" w:type="dxa"/>
          </w:tcPr>
          <w:p w:rsidR="00747EB4" w:rsidRDefault="00747EB4" w:rsidP="00431D19">
            <w:pPr>
              <w:jc w:val="right"/>
            </w:pPr>
            <w:r>
              <w:t>2.27%</w:t>
            </w:r>
          </w:p>
        </w:tc>
        <w:tc>
          <w:tcPr>
            <w:tcW w:w="1440" w:type="dxa"/>
          </w:tcPr>
          <w:p w:rsidR="00747EB4" w:rsidRDefault="00747EB4" w:rsidP="00431D19">
            <w:pPr>
              <w:jc w:val="right"/>
            </w:pPr>
            <w:r>
              <w:t>8.25%</w:t>
            </w:r>
          </w:p>
        </w:tc>
        <w:tc>
          <w:tcPr>
            <w:tcW w:w="1791" w:type="dxa"/>
          </w:tcPr>
          <w:p w:rsidR="00747EB4" w:rsidRDefault="00747EB4" w:rsidP="00431D19">
            <w:pPr>
              <w:jc w:val="right"/>
            </w:pPr>
            <w:r>
              <w:t>0.19%</w:t>
            </w:r>
          </w:p>
        </w:tc>
      </w:tr>
      <w:tr w:rsidR="00747EB4" w:rsidTr="00431D19">
        <w:trPr>
          <w:jc w:val="center"/>
        </w:trPr>
        <w:tc>
          <w:tcPr>
            <w:tcW w:w="3004" w:type="dxa"/>
          </w:tcPr>
          <w:p w:rsidR="00747EB4" w:rsidRDefault="00747EB4" w:rsidP="00431D19">
            <w:r>
              <w:t>Common Equity</w:t>
            </w:r>
          </w:p>
        </w:tc>
        <w:tc>
          <w:tcPr>
            <w:tcW w:w="1392" w:type="dxa"/>
          </w:tcPr>
          <w:p w:rsidR="00747EB4" w:rsidRDefault="00747EB4" w:rsidP="00431D19">
            <w:pPr>
              <w:jc w:val="right"/>
            </w:pPr>
            <w:r>
              <w:t>98,085,409</w:t>
            </w:r>
          </w:p>
        </w:tc>
        <w:tc>
          <w:tcPr>
            <w:tcW w:w="1440" w:type="dxa"/>
          </w:tcPr>
          <w:p w:rsidR="00747EB4" w:rsidRDefault="00747EB4" w:rsidP="00431D19">
            <w:pPr>
              <w:jc w:val="right"/>
            </w:pPr>
            <w:r>
              <w:t>49.69%</w:t>
            </w:r>
          </w:p>
        </w:tc>
        <w:tc>
          <w:tcPr>
            <w:tcW w:w="1440" w:type="dxa"/>
          </w:tcPr>
          <w:p w:rsidR="00747EB4" w:rsidRDefault="00747EB4" w:rsidP="00431D19">
            <w:pPr>
              <w:jc w:val="right"/>
            </w:pPr>
            <w:r>
              <w:t>10.20%</w:t>
            </w:r>
          </w:p>
        </w:tc>
        <w:tc>
          <w:tcPr>
            <w:tcW w:w="1791" w:type="dxa"/>
          </w:tcPr>
          <w:p w:rsidR="00747EB4" w:rsidRDefault="00747EB4" w:rsidP="00431D19">
            <w:pPr>
              <w:jc w:val="right"/>
            </w:pPr>
            <w:r>
              <w:t>5.07%</w:t>
            </w:r>
          </w:p>
        </w:tc>
      </w:tr>
      <w:tr w:rsidR="00747EB4" w:rsidTr="00431D19">
        <w:trPr>
          <w:jc w:val="center"/>
        </w:trPr>
        <w:tc>
          <w:tcPr>
            <w:tcW w:w="3004" w:type="dxa"/>
          </w:tcPr>
          <w:p w:rsidR="00747EB4" w:rsidRDefault="00747EB4" w:rsidP="00431D19">
            <w:r>
              <w:t>Customer Deposits</w:t>
            </w:r>
          </w:p>
        </w:tc>
        <w:tc>
          <w:tcPr>
            <w:tcW w:w="1392" w:type="dxa"/>
          </w:tcPr>
          <w:p w:rsidR="00747EB4" w:rsidRDefault="00747EB4" w:rsidP="00431D19">
            <w:pPr>
              <w:jc w:val="right"/>
            </w:pPr>
            <w:r>
              <w:t>75,125</w:t>
            </w:r>
          </w:p>
        </w:tc>
        <w:tc>
          <w:tcPr>
            <w:tcW w:w="1440" w:type="dxa"/>
          </w:tcPr>
          <w:p w:rsidR="00747EB4" w:rsidRDefault="00747EB4" w:rsidP="00431D19">
            <w:pPr>
              <w:jc w:val="right"/>
            </w:pPr>
            <w:r>
              <w:t>0.04%</w:t>
            </w:r>
          </w:p>
        </w:tc>
        <w:tc>
          <w:tcPr>
            <w:tcW w:w="1440" w:type="dxa"/>
          </w:tcPr>
          <w:p w:rsidR="00747EB4" w:rsidRDefault="00747EB4" w:rsidP="00431D19">
            <w:pPr>
              <w:jc w:val="right"/>
            </w:pPr>
            <w:r>
              <w:t>2.00%</w:t>
            </w:r>
          </w:p>
        </w:tc>
        <w:tc>
          <w:tcPr>
            <w:tcW w:w="1791" w:type="dxa"/>
          </w:tcPr>
          <w:p w:rsidR="00747EB4" w:rsidRDefault="00747EB4" w:rsidP="00431D19">
            <w:pPr>
              <w:jc w:val="right"/>
            </w:pPr>
            <w:r>
              <w:t>0.00%</w:t>
            </w:r>
          </w:p>
        </w:tc>
      </w:tr>
      <w:tr w:rsidR="00747EB4" w:rsidTr="00431D19">
        <w:trPr>
          <w:jc w:val="center"/>
        </w:trPr>
        <w:tc>
          <w:tcPr>
            <w:tcW w:w="3004" w:type="dxa"/>
          </w:tcPr>
          <w:p w:rsidR="00747EB4" w:rsidRDefault="00747EB4" w:rsidP="00431D19">
            <w:r>
              <w:t>Accum. Deferred ITCs</w:t>
            </w:r>
          </w:p>
        </w:tc>
        <w:tc>
          <w:tcPr>
            <w:tcW w:w="1392" w:type="dxa"/>
          </w:tcPr>
          <w:p w:rsidR="00747EB4" w:rsidRDefault="00747EB4" w:rsidP="00431D19">
            <w:pPr>
              <w:jc w:val="right"/>
            </w:pPr>
            <w:r>
              <w:t>14,499</w:t>
            </w:r>
          </w:p>
        </w:tc>
        <w:tc>
          <w:tcPr>
            <w:tcW w:w="1440" w:type="dxa"/>
          </w:tcPr>
          <w:p w:rsidR="00747EB4" w:rsidRDefault="00747EB4" w:rsidP="00431D19">
            <w:pPr>
              <w:jc w:val="right"/>
            </w:pPr>
            <w:r>
              <w:t>0.01%</w:t>
            </w:r>
          </w:p>
        </w:tc>
        <w:tc>
          <w:tcPr>
            <w:tcW w:w="1440" w:type="dxa"/>
          </w:tcPr>
          <w:p w:rsidR="00747EB4" w:rsidRDefault="00747EB4" w:rsidP="00431D19">
            <w:pPr>
              <w:jc w:val="right"/>
            </w:pPr>
            <w:r>
              <w:t>0.00%</w:t>
            </w:r>
          </w:p>
        </w:tc>
        <w:tc>
          <w:tcPr>
            <w:tcW w:w="1791" w:type="dxa"/>
          </w:tcPr>
          <w:p w:rsidR="00747EB4" w:rsidRDefault="00747EB4" w:rsidP="00431D19">
            <w:pPr>
              <w:jc w:val="right"/>
            </w:pPr>
            <w:r>
              <w:t>0.00%</w:t>
            </w:r>
          </w:p>
        </w:tc>
      </w:tr>
      <w:tr w:rsidR="00747EB4" w:rsidTr="00431D19">
        <w:trPr>
          <w:jc w:val="center"/>
        </w:trPr>
        <w:tc>
          <w:tcPr>
            <w:tcW w:w="3004" w:type="dxa"/>
          </w:tcPr>
          <w:p w:rsidR="00747EB4" w:rsidRDefault="00747EB4" w:rsidP="00431D19">
            <w:r>
              <w:t>ADITs</w:t>
            </w:r>
          </w:p>
        </w:tc>
        <w:tc>
          <w:tcPr>
            <w:tcW w:w="1392" w:type="dxa"/>
          </w:tcPr>
          <w:p w:rsidR="00747EB4" w:rsidRDefault="00747EB4" w:rsidP="00431D19">
            <w:pPr>
              <w:jc w:val="right"/>
            </w:pPr>
            <w:r>
              <w:t>1,373,757</w:t>
            </w:r>
          </w:p>
        </w:tc>
        <w:tc>
          <w:tcPr>
            <w:tcW w:w="1440" w:type="dxa"/>
          </w:tcPr>
          <w:p w:rsidR="00747EB4" w:rsidRDefault="00747EB4" w:rsidP="00431D19">
            <w:pPr>
              <w:jc w:val="right"/>
            </w:pPr>
            <w:r>
              <w:t>0.70%</w:t>
            </w:r>
          </w:p>
        </w:tc>
        <w:tc>
          <w:tcPr>
            <w:tcW w:w="1440" w:type="dxa"/>
          </w:tcPr>
          <w:p w:rsidR="00747EB4" w:rsidRDefault="00747EB4" w:rsidP="00431D19">
            <w:pPr>
              <w:jc w:val="right"/>
            </w:pPr>
            <w:r>
              <w:t>0.00%</w:t>
            </w:r>
          </w:p>
        </w:tc>
        <w:tc>
          <w:tcPr>
            <w:tcW w:w="1791" w:type="dxa"/>
          </w:tcPr>
          <w:p w:rsidR="00747EB4" w:rsidRDefault="00747EB4" w:rsidP="00431D19">
            <w:pPr>
              <w:jc w:val="right"/>
            </w:pPr>
            <w:r>
              <w:t>0.00%</w:t>
            </w:r>
          </w:p>
        </w:tc>
      </w:tr>
      <w:tr w:rsidR="00747EB4" w:rsidTr="00431D19">
        <w:trPr>
          <w:jc w:val="center"/>
        </w:trPr>
        <w:tc>
          <w:tcPr>
            <w:tcW w:w="3004" w:type="dxa"/>
          </w:tcPr>
          <w:p w:rsidR="00747EB4" w:rsidRDefault="00747EB4" w:rsidP="00431D19">
            <w:r>
              <w:t>ADITs – TCJA</w:t>
            </w:r>
          </w:p>
        </w:tc>
        <w:tc>
          <w:tcPr>
            <w:tcW w:w="1392" w:type="dxa"/>
          </w:tcPr>
          <w:p w:rsidR="00747EB4" w:rsidRPr="00542B3C" w:rsidRDefault="00747EB4" w:rsidP="00431D19">
            <w:pPr>
              <w:jc w:val="right"/>
              <w:rPr>
                <w:u w:val="single"/>
              </w:rPr>
            </w:pPr>
            <w:r w:rsidRPr="00542B3C">
              <w:rPr>
                <w:u w:val="single"/>
              </w:rPr>
              <w:t>1,</w:t>
            </w:r>
            <w:r>
              <w:rPr>
                <w:u w:val="single"/>
              </w:rPr>
              <w:t>168,616</w:t>
            </w:r>
          </w:p>
        </w:tc>
        <w:tc>
          <w:tcPr>
            <w:tcW w:w="1440" w:type="dxa"/>
          </w:tcPr>
          <w:p w:rsidR="00747EB4" w:rsidRPr="00DF4F8C" w:rsidRDefault="00747EB4" w:rsidP="00431D19">
            <w:pPr>
              <w:jc w:val="right"/>
              <w:rPr>
                <w:u w:val="single"/>
              </w:rPr>
            </w:pPr>
            <w:r w:rsidRPr="00DF4F8C">
              <w:rPr>
                <w:u w:val="single"/>
              </w:rPr>
              <w:t>0.59%</w:t>
            </w:r>
          </w:p>
        </w:tc>
        <w:tc>
          <w:tcPr>
            <w:tcW w:w="1440" w:type="dxa"/>
          </w:tcPr>
          <w:p w:rsidR="00747EB4" w:rsidRDefault="00747EB4" w:rsidP="00431D19">
            <w:pPr>
              <w:jc w:val="right"/>
            </w:pPr>
            <w:r>
              <w:t>0.00%</w:t>
            </w:r>
          </w:p>
        </w:tc>
        <w:tc>
          <w:tcPr>
            <w:tcW w:w="1791" w:type="dxa"/>
          </w:tcPr>
          <w:p w:rsidR="00747EB4" w:rsidRPr="00DF4F8C" w:rsidRDefault="00747EB4" w:rsidP="00431D19">
            <w:pPr>
              <w:jc w:val="right"/>
              <w:rPr>
                <w:u w:val="single"/>
              </w:rPr>
            </w:pPr>
            <w:r w:rsidRPr="00DF4F8C">
              <w:rPr>
                <w:u w:val="single"/>
              </w:rPr>
              <w:t>0.00%</w:t>
            </w:r>
          </w:p>
        </w:tc>
      </w:tr>
      <w:tr w:rsidR="00747EB4" w:rsidTr="00431D19">
        <w:trPr>
          <w:trHeight w:val="54"/>
          <w:jc w:val="center"/>
        </w:trPr>
        <w:tc>
          <w:tcPr>
            <w:tcW w:w="3004" w:type="dxa"/>
          </w:tcPr>
          <w:p w:rsidR="00747EB4" w:rsidRPr="00755063" w:rsidRDefault="00747EB4" w:rsidP="00431D19">
            <w:pPr>
              <w:rPr>
                <w:b/>
              </w:rPr>
            </w:pPr>
            <w:r w:rsidRPr="00755063">
              <w:rPr>
                <w:b/>
              </w:rPr>
              <w:t xml:space="preserve">Total </w:t>
            </w:r>
          </w:p>
        </w:tc>
        <w:tc>
          <w:tcPr>
            <w:tcW w:w="1392" w:type="dxa"/>
          </w:tcPr>
          <w:p w:rsidR="00747EB4" w:rsidRPr="00755063" w:rsidRDefault="00747EB4" w:rsidP="00431D19">
            <w:pPr>
              <w:jc w:val="right"/>
              <w:rPr>
                <w:b/>
              </w:rPr>
            </w:pPr>
            <w:r>
              <w:rPr>
                <w:b/>
              </w:rPr>
              <w:t>$197,398,722</w:t>
            </w:r>
          </w:p>
        </w:tc>
        <w:tc>
          <w:tcPr>
            <w:tcW w:w="1440" w:type="dxa"/>
          </w:tcPr>
          <w:p w:rsidR="00747EB4" w:rsidRPr="00755063" w:rsidRDefault="00747EB4" w:rsidP="00431D19">
            <w:pPr>
              <w:jc w:val="right"/>
              <w:rPr>
                <w:b/>
              </w:rPr>
            </w:pPr>
            <w:r w:rsidRPr="00755063">
              <w:rPr>
                <w:b/>
              </w:rPr>
              <w:t>100%</w:t>
            </w:r>
          </w:p>
        </w:tc>
        <w:tc>
          <w:tcPr>
            <w:tcW w:w="1440" w:type="dxa"/>
          </w:tcPr>
          <w:p w:rsidR="00747EB4" w:rsidRDefault="00747EB4" w:rsidP="00431D19"/>
        </w:tc>
        <w:tc>
          <w:tcPr>
            <w:tcW w:w="1791" w:type="dxa"/>
          </w:tcPr>
          <w:p w:rsidR="00747EB4" w:rsidRPr="002F4567" w:rsidRDefault="00747EB4" w:rsidP="00431D19">
            <w:pPr>
              <w:jc w:val="right"/>
              <w:rPr>
                <w:b/>
              </w:rPr>
            </w:pPr>
            <w:r>
              <w:rPr>
                <w:b/>
              </w:rPr>
              <w:t>7.77</w:t>
            </w:r>
            <w:r w:rsidRPr="002F4567">
              <w:rPr>
                <w:b/>
              </w:rPr>
              <w:t>%</w:t>
            </w:r>
          </w:p>
        </w:tc>
      </w:tr>
    </w:tbl>
    <w:p w:rsidR="00747EB4" w:rsidRDefault="00747EB4">
      <w:pPr>
        <w:pStyle w:val="BodyText"/>
      </w:pPr>
    </w:p>
    <w:p w:rsidR="00747EB4" w:rsidRDefault="00747EB4" w:rsidP="00431D19">
      <w:pPr>
        <w:pStyle w:val="RecommendationMajorSectionHeading"/>
      </w:pPr>
      <w:r>
        <w:lastRenderedPageBreak/>
        <w:t>CONCLUSION</w:t>
      </w:r>
    </w:p>
    <w:p w:rsidR="00747EB4" w:rsidRDefault="00747EB4">
      <w:pPr>
        <w:pStyle w:val="BodyText"/>
      </w:pPr>
      <w:r>
        <w:t>Based on the proper components, amounts, and cost rates associated with the capital structure for the 13-month average test year ended December 31, 2023, as discussed in Issues 18 through 22, the appropriate weighted average cost of capital for Sunshine for purposes of setting rates in this proceeding is 7.77 percent, as reflected in Schedule No. 2.</w:t>
      </w:r>
    </w:p>
    <w:p w:rsidR="00333F4C" w:rsidRDefault="00333F4C" w:rsidP="00E275D8">
      <w:pPr>
        <w:pStyle w:val="BodyText"/>
      </w:pPr>
    </w:p>
    <w:p w:rsidR="00333F4C" w:rsidRDefault="00333F4C" w:rsidP="00333F4C">
      <w:r>
        <w:br w:type="page"/>
      </w:r>
    </w:p>
    <w:p w:rsidR="00747EB4" w:rsidRDefault="00747EB4">
      <w:pPr>
        <w:pStyle w:val="IssueHeading"/>
        <w:rPr>
          <w:vanish/>
          <w:specVanish/>
        </w:rPr>
      </w:pPr>
      <w:r w:rsidRPr="004C3641">
        <w:lastRenderedPageBreak/>
        <w:t xml:space="preserve">Issue </w:t>
      </w:r>
      <w:r>
        <w:fldChar w:fldCharType="begin"/>
      </w:r>
      <w:r>
        <w:instrText>seq issue \r 24</w:instrText>
      </w:r>
      <w:r>
        <w:fldChar w:fldCharType="separate"/>
      </w:r>
      <w:r w:rsidR="009D3FF7">
        <w:rPr>
          <w:noProof/>
        </w:rPr>
        <w:t>24</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0" w:name="_Toc196317142"/>
      <w:r w:rsidR="009D3FF7">
        <w:rPr>
          <w:noProof/>
        </w:rPr>
        <w:instrText>24</w:instrText>
      </w:r>
      <w:r>
        <w:fldChar w:fldCharType="end"/>
      </w:r>
      <w:r>
        <w:tab/>
        <w:instrText>Test Year Revenues (Bethea, Sibley)</w:instrText>
      </w:r>
      <w:bookmarkEnd w:id="40"/>
      <w:r>
        <w:instrText xml:space="preserve">" \l 1 </w:instrText>
      </w:r>
      <w:r>
        <w:fldChar w:fldCharType="end"/>
      </w:r>
      <w:r>
        <w:t> </w:t>
      </w:r>
    </w:p>
    <w:p w:rsidR="00747EB4" w:rsidRDefault="00747EB4">
      <w:pPr>
        <w:pStyle w:val="BodyText"/>
      </w:pPr>
      <w:r>
        <w:t> What are the appropriate test year revenues?</w:t>
      </w:r>
    </w:p>
    <w:p w:rsidR="00747EB4" w:rsidRPr="004C3641" w:rsidRDefault="00747EB4">
      <w:pPr>
        <w:pStyle w:val="IssueSubsectionHeading"/>
        <w:rPr>
          <w:vanish/>
          <w:specVanish/>
        </w:rPr>
      </w:pPr>
      <w:r w:rsidRPr="004C3641">
        <w:t>Recommendation: </w:t>
      </w:r>
    </w:p>
    <w:p w:rsidR="00747EB4" w:rsidRDefault="00747EB4">
      <w:pPr>
        <w:pStyle w:val="BodyText"/>
      </w:pPr>
      <w:r>
        <w:t> </w:t>
      </w:r>
      <w:r w:rsidRPr="007F0763">
        <w:t xml:space="preserve">The appropriate test year revenues for Sunshine’s water and wastewater systems are $22,918,285 and $29,617,031, respectively. </w:t>
      </w:r>
      <w:r>
        <w:t xml:space="preserve">Therefore, </w:t>
      </w:r>
      <w:r w:rsidRPr="007F0763">
        <w:t xml:space="preserve">the Utility’s adjusted test year revenues </w:t>
      </w:r>
      <w:r>
        <w:t xml:space="preserve">should </w:t>
      </w:r>
      <w:r w:rsidRPr="007F0763">
        <w:t>be decreased by $2,234 for water and decreased by $2,045 for wastewater</w:t>
      </w:r>
      <w:r>
        <w:t>. (Bethea, Sibley)</w:t>
      </w:r>
    </w:p>
    <w:p w:rsidR="00747EB4" w:rsidRPr="004C3641" w:rsidRDefault="00747EB4">
      <w:pPr>
        <w:pStyle w:val="IssueSubsectionHeading"/>
        <w:keepNext/>
        <w:rPr>
          <w:iCs w:val="0"/>
        </w:rPr>
      </w:pPr>
      <w:r w:rsidRPr="004C3641">
        <w:rPr>
          <w:iCs w:val="0"/>
        </w:rPr>
        <w:t>Position of the Parties</w:t>
      </w:r>
    </w:p>
    <w:p w:rsidR="00747EB4" w:rsidRDefault="00747EB4" w:rsidP="00431D19">
      <w:pPr>
        <w:pStyle w:val="PartyName"/>
        <w:rPr>
          <w:vanish/>
          <w:specVanish/>
        </w:rPr>
      </w:pPr>
      <w:r>
        <w:t>SUNSHINE: </w:t>
      </w:r>
    </w:p>
    <w:p w:rsidR="00747EB4" w:rsidRDefault="00747EB4">
      <w:pPr>
        <w:pStyle w:val="BodyText"/>
      </w:pPr>
      <w:r>
        <w:t> Water - $22,918,286; Wastewater - $29,617,000.</w:t>
      </w:r>
    </w:p>
    <w:p w:rsidR="00747EB4" w:rsidRDefault="00747EB4" w:rsidP="00431D19">
      <w:pPr>
        <w:pStyle w:val="PartyName"/>
        <w:rPr>
          <w:vanish/>
          <w:specVanish/>
        </w:rPr>
      </w:pPr>
      <w:r>
        <w:t>OPC: </w:t>
      </w:r>
    </w:p>
    <w:p w:rsidR="00747EB4" w:rsidRDefault="00747EB4">
      <w:pPr>
        <w:pStyle w:val="BodyText"/>
      </w:pPr>
      <w:r>
        <w:t> With the exception of revenues from AFPI charges, the Company’s proposed test year revenues should be adjusted as reflected in EXH 41 MPN C6-2160-62.</w:t>
      </w:r>
    </w:p>
    <w:p w:rsidR="00747EB4" w:rsidRPr="004C3641" w:rsidRDefault="00747EB4">
      <w:pPr>
        <w:pStyle w:val="IssueSubsectionHeading"/>
        <w:rPr>
          <w:vanish/>
          <w:specVanish/>
        </w:rPr>
      </w:pPr>
      <w:r w:rsidRPr="004C3641">
        <w:t>Staff Analysis: </w:t>
      </w:r>
    </w:p>
    <w:p w:rsidR="00747EB4" w:rsidRDefault="00747EB4">
      <w:pPr>
        <w:pStyle w:val="BodyText"/>
      </w:pPr>
      <w:r>
        <w:t> </w:t>
      </w:r>
    </w:p>
    <w:p w:rsidR="00747EB4" w:rsidRDefault="00747EB4" w:rsidP="00431D19">
      <w:pPr>
        <w:pStyle w:val="First-LevelSubheading"/>
      </w:pPr>
      <w:r>
        <w:t>Water</w:t>
      </w:r>
    </w:p>
    <w:p w:rsidR="00747EB4" w:rsidRDefault="00747EB4" w:rsidP="00431D19">
      <w:pPr>
        <w:pStyle w:val="BodyText"/>
      </w:pPr>
      <w:r>
        <w:t>In its revised MFRs, the Utility reflected adjusted test year revenues of $22,920,518. The test year revenues consisted of service revenues of $22,649,755 and miscellaneous revenues of $270,764 for water. (EXH 212, BSP J153) The Utility’s service revenues included a decrease of $715,273 to reflect the reversal of an accrual. In addition, the Utility’s service revenues included an increase of $1,103,616 to account for annualizing a price index increase implemented subsequent to the test year. By annualizing the service revenues, staff determined the Utility’s adjustment to be appropriate and agrees that the service revenues are $22,649,755.</w:t>
      </w:r>
    </w:p>
    <w:p w:rsidR="00747EB4" w:rsidRDefault="00747EB4" w:rsidP="00431D19">
      <w:pPr>
        <w:pStyle w:val="BodyText"/>
      </w:pPr>
      <w:r>
        <w:t xml:space="preserve">OPC Witness Smith stated that Sunshine’s test year miscellaneous service charges were based on rates set years ago and did not reflect increases related to inflation. (TR 417; TR 506). According to witness Swain’s rebuttal testimony, the Utility was not entitled to price index increases in 2020 or 2021. (TR 506) However, the Utility indicated that price index increases were approved by the Commission each year since Sunshine’s last rate case in 2020 (TR 506). The Utility had a price index increase that became effective on June 2, 2024, subsequent to the test year, which resulted in an increase to rates and miscellaneous service charges. Witness Swain’s rebuttal testimony indicated that the Utility annualized service revenues; however, the utility did not annualize the impact of the price index rate changes for miscellaneous service charges. The Utility made an adjustment to increase miscellaneous revenues by $7,817 for water to reflect annualizing the increase in miscellaneous service charges. (TR 506) </w:t>
      </w:r>
      <w:r w:rsidR="0035310A">
        <w:t xml:space="preserve">In its brief, OPC indicated water miscellaneous revenues should be increased by $7,817 as reflected in its exhibit and is consistent with </w:t>
      </w:r>
      <w:r>
        <w:t>witness Swain’s adjustment. (</w:t>
      </w:r>
      <w:r w:rsidR="0035310A">
        <w:t xml:space="preserve">OPC BR 33; </w:t>
      </w:r>
      <w:r>
        <w:t>EXH 41, BSP C6-2162) Staff also agrees with the Utility’s adjustment and recommends that miscellaneous revenues for water be increased by $7,81</w:t>
      </w:r>
      <w:r w:rsidR="0035310A">
        <w:t>7</w:t>
      </w:r>
      <w:r>
        <w:t>.</w:t>
      </w:r>
    </w:p>
    <w:p w:rsidR="00747EB4" w:rsidRDefault="00747EB4" w:rsidP="00431D19">
      <w:pPr>
        <w:pStyle w:val="BodyText"/>
      </w:pPr>
      <w:r>
        <w:t>Further, pursuant to staff’s audit report, planning and inspection charges of $10,050 were included in miscellaneous revenues, which should have been classified as CIAC. (EXH 45, BSP C8-2194; Sunshine BR 14) The Utility agreed with staff’s audit finding. (Sunshine BR 14) The adjustment to remove CIAC from miscellaneous revenues reflects a decrease of $10,050. (Sunshine BR 14) The net adjustment to miscellaneous revenues is a decrease of $2,234 ($7,817-$10,050), resulting in test year miscellaneous revenues of $268,530 ($270,764 - $2,234).</w:t>
      </w:r>
    </w:p>
    <w:p w:rsidR="00A513CD" w:rsidRDefault="00A513CD" w:rsidP="00431D19">
      <w:pPr>
        <w:pStyle w:val="BodyText"/>
      </w:pPr>
    </w:p>
    <w:p w:rsidR="00747EB4" w:rsidRDefault="00747EB4" w:rsidP="00431D19">
      <w:pPr>
        <w:pStyle w:val="First-LevelSubheading"/>
      </w:pPr>
      <w:r>
        <w:t>Wastewater</w:t>
      </w:r>
    </w:p>
    <w:p w:rsidR="00747EB4" w:rsidRDefault="00747EB4" w:rsidP="00431D19">
      <w:pPr>
        <w:pStyle w:val="BodyText"/>
      </w:pPr>
      <w:r>
        <w:t xml:space="preserve">In its revised MFRs, the Utility reflected test year revenues of $29,619,077. The test year revenues consisted of service revenues of $29,367,332 and miscellaneous revenues of $251,744. (EXH 212, BSP J155) The Utility’s service revenues included an adjustments to reverse an accrual of $79,153. (EXH 201, BSP J82) In addition, the Utility’s adjusted service revenues included an increase of $1,469,073 to account for annualizing a price index increase implemented subsequent to the test year. By annualizing the service revenues, staff determined the annualized revenue adjustment to be to be $1,469,105. As a result, service revenues should be increased by $32, resulting in adjusted test year service revenues of $29,367,364. </w:t>
      </w:r>
    </w:p>
    <w:p w:rsidR="00747EB4" w:rsidRDefault="00747EB4" w:rsidP="00431D19">
      <w:pPr>
        <w:pStyle w:val="BodyText"/>
      </w:pPr>
      <w:r>
        <w:t xml:space="preserve">As discussed above for the water system, the Utility made an adjustment to account for the impact of the price index increase that became effective on June 2, 2024, subsequent to the test year. The Utility made an adjustment to increase miscellaneous revenues by $7,268 for wastewater to reflect annualizing the increase in miscellaneous service charges. (TR 506) </w:t>
      </w:r>
      <w:r w:rsidR="00B02E25" w:rsidRPr="00B02E25">
        <w:t>In its brief, OPC indicated wastewater miscellaneous revenues should be increased by $7,268 as reflected in its exhibit and is consistent with witness Swain’s adjustment</w:t>
      </w:r>
      <w:r>
        <w:t>. (</w:t>
      </w:r>
      <w:r w:rsidR="00B02E25">
        <w:t xml:space="preserve">OPC BR 33; </w:t>
      </w:r>
      <w:r>
        <w:t>EXH 41, BSP C6-2162) Staff also agrees with the Utility’s adjustment and recommends that miscellaneous revenues for wastewater be increased by $7,268.</w:t>
      </w:r>
    </w:p>
    <w:p w:rsidR="00747EB4" w:rsidRDefault="00747EB4" w:rsidP="00431D19">
      <w:pPr>
        <w:pStyle w:val="BodyText"/>
      </w:pPr>
      <w:r>
        <w:t>Further, pursuant to staff’s audit report, planning and inspection charges of $9,345 were included in miscellaneous revenues, which should have been classified as CIAC. (EXH 45, BSP C8-2194; Sunshine BR 14) The Utility agrees with staff’s audit finding. (Sunshine BR 14) The adjustment to remove CIAC from miscellaneous revenues reflect a decrease of $9,345. (Sunshine BR 14) The net adjustment to miscellaneous revenues is a decrease of $2,077 ($7,268 - $9,345), resulting in test year miscellaneous revenues of $249,667 ($251,744 - $2,077).</w:t>
      </w:r>
    </w:p>
    <w:p w:rsidR="00747EB4" w:rsidRDefault="00747EB4" w:rsidP="00431D19">
      <w:pPr>
        <w:pStyle w:val="BodyText"/>
      </w:pPr>
      <w:r>
        <w:t xml:space="preserve">Finally, the Utility removed allowance for funds prudently invested (AFPI) of $38,529 and guaranteed revenues of $8,903 from its test year revenues, which totaled $47,333. (EXH 201, BSP J82) In witness Smith’s testimony, OPC increased wastewater test year revenues by $47,333 to add AFPI and guaranteed revenue back to test year revenues. (EXH 41, BSP C6-2160; TR 463-464) In its brief, the Utility indicated that AFPI and guaranteed revenues are associated with non-used and useful plant costs and should not be included in operating revenue. (TR 505; Sunshine BR 16) Although, OPC witness Smith subsequently agreed with witness Swain’s approach of not including AFPI in operating revenues; OPC </w:t>
      </w:r>
      <w:r w:rsidR="00B02E25">
        <w:t>witness Smith indicat</w:t>
      </w:r>
      <w:r>
        <w:t xml:space="preserve">ed that guaranteed revenues should be recorded above the line as operating revenues. (EXH 41, BSP 2326, TR 463-464, 505) </w:t>
      </w:r>
    </w:p>
    <w:p w:rsidR="00747EB4" w:rsidRDefault="00747EB4" w:rsidP="00431D19">
      <w:pPr>
        <w:pStyle w:val="BodyText"/>
      </w:pPr>
      <w:r>
        <w:t xml:space="preserve">Furthermore, witness Smith agreed that guaranteed revenues had been treated below the line in other Sunshine rate cases, but believes it is appropriate to record these revenues above the line. </w:t>
      </w:r>
      <w:r w:rsidR="00B02E25" w:rsidRPr="00B02E25">
        <w:t>Witness Smith said, “…the Commission hasn’t been totally consistent among all water utilities that have guaranteed revenues as to how they should be treated in the revenue requirement. And had it not been for that recent case that treated it above the line, I think we probably would not have been recommending that it be treated above the line in the current case</w:t>
      </w:r>
      <w:r>
        <w:t>.</w:t>
      </w:r>
      <w:r w:rsidR="00B02E25">
        <w:t>”</w:t>
      </w:r>
      <w:r>
        <w:t xml:space="preserve"> (TR 462)</w:t>
      </w:r>
    </w:p>
    <w:p w:rsidR="00747EB4" w:rsidRDefault="00747EB4" w:rsidP="00431D19">
      <w:pPr>
        <w:pStyle w:val="BodyText"/>
      </w:pPr>
      <w:r>
        <w:lastRenderedPageBreak/>
        <w:t xml:space="preserve">Staff agrees that there has been some inconsistency in the treatment of guaranteed revenues. Rule 25-30.515, F.A.C., defines a guaranteed revenue charge as a charge designed to cover the utility’s costs including, but not limited to the costs of operation, maintenance, depreciation, and any taxes, and to provide a reasonable return to the utility for facilities, a portion of which may not be used and useful to the utility or its existing customers and are not included in rates. By definition, the guaranteed revenue charge is similar to AFPI charge in that it is designed to recover non-used and useful components that are not part of the revenue requirement. </w:t>
      </w:r>
      <w:r w:rsidR="00B02E25">
        <w:t>S</w:t>
      </w:r>
      <w:r>
        <w:t>taff believes it is appropriate to maintain the same ratemaking treatment for guaranteed revenue as for AFPI revenue. Therefore, staff agrees with the Utility that guaranteed revenues should not be included in operating revenues for rate setting purposes and OPC’s adjustment to add back guaranteed revenue of $8,903 should not be reflected.</w:t>
      </w:r>
    </w:p>
    <w:p w:rsidR="00747EB4" w:rsidRDefault="00747EB4" w:rsidP="00431D19">
      <w:pPr>
        <w:pStyle w:val="RecommendationMajorSectionHeading"/>
      </w:pPr>
      <w:r>
        <w:t>CONCLUSION</w:t>
      </w:r>
    </w:p>
    <w:p w:rsidR="00747EB4" w:rsidRPr="006E0AB8" w:rsidRDefault="00747EB4" w:rsidP="00431D19">
      <w:pPr>
        <w:pStyle w:val="BodyText"/>
      </w:pPr>
      <w:r>
        <w:t>Based on the above, the appropriate test year revenues for Sunshine’s water and wastewater systems are $22,918,285 ($22,649,755 + $268,530) and $29,617,031 ($29,367,364 + $249,667) respectively; therefore, the Utility’s adjusted test year revenues should be decreased by $2,234 for water and decreased by $2,045 ($32 - $2,077) for wastewater.</w:t>
      </w:r>
    </w:p>
    <w:p w:rsidR="007012C5" w:rsidRDefault="007012C5" w:rsidP="00E275D8">
      <w:pPr>
        <w:pStyle w:val="BodyText"/>
      </w:pPr>
    </w:p>
    <w:p w:rsidR="007012C5" w:rsidRDefault="007012C5" w:rsidP="007012C5">
      <w:r>
        <w:br w:type="page"/>
      </w:r>
    </w:p>
    <w:p w:rsidR="00747EB4" w:rsidRDefault="00747EB4">
      <w:pPr>
        <w:pStyle w:val="IssueHeading"/>
        <w:rPr>
          <w:vanish/>
          <w:specVanish/>
        </w:rPr>
      </w:pPr>
      <w:r w:rsidRPr="004C3641">
        <w:lastRenderedPageBreak/>
        <w:t xml:space="preserve">Issue </w:t>
      </w:r>
      <w:r>
        <w:fldChar w:fldCharType="begin"/>
      </w:r>
      <w:r>
        <w:instrText>seq issue \r 25</w:instrText>
      </w:r>
      <w:r>
        <w:fldChar w:fldCharType="separate"/>
      </w:r>
      <w:r w:rsidR="009D3FF7">
        <w:rPr>
          <w:noProof/>
        </w:rPr>
        <w:t>25</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1" w:name="_Toc196317143"/>
      <w:r w:rsidR="009D3FF7">
        <w:rPr>
          <w:noProof/>
        </w:rPr>
        <w:instrText>25</w:instrText>
      </w:r>
      <w:r>
        <w:fldChar w:fldCharType="end"/>
      </w:r>
      <w:r>
        <w:tab/>
        <w:instrText>Rate Case Expense (Sewards)</w:instrText>
      </w:r>
      <w:bookmarkEnd w:id="41"/>
      <w:r>
        <w:instrText xml:space="preserve">" \l 1 </w:instrText>
      </w:r>
      <w:r>
        <w:fldChar w:fldCharType="end"/>
      </w:r>
      <w:r>
        <w:t> </w:t>
      </w:r>
    </w:p>
    <w:p w:rsidR="00747EB4" w:rsidRDefault="00747EB4">
      <w:pPr>
        <w:pStyle w:val="BodyText"/>
      </w:pPr>
      <w:r>
        <w:t> What is the appropriate amount of rate case expense?</w:t>
      </w:r>
    </w:p>
    <w:p w:rsidR="00747EB4" w:rsidRPr="004C3641" w:rsidRDefault="00747EB4">
      <w:pPr>
        <w:pStyle w:val="IssueSubsectionHeading"/>
        <w:rPr>
          <w:vanish/>
          <w:specVanish/>
        </w:rPr>
      </w:pPr>
      <w:r w:rsidRPr="004C3641">
        <w:t>Recommendation: </w:t>
      </w:r>
    </w:p>
    <w:p w:rsidR="00747EB4" w:rsidRDefault="00747EB4">
      <w:pPr>
        <w:pStyle w:val="BodyText"/>
      </w:pPr>
      <w:r>
        <w:t> The appropriate amount of rate case expense is $570,877. This expense should be amortized over four years for an annual expense of $73,952 for water and $68,767 for wastewater. Based on the Utility’s original filing, the annual amortization of rate case expense should be decreased by $13,622 for water and $12,667 for wastewater. (Sewards)</w:t>
      </w:r>
    </w:p>
    <w:p w:rsidR="00747EB4" w:rsidRPr="004C3641" w:rsidRDefault="00747EB4">
      <w:pPr>
        <w:pStyle w:val="IssueSubsectionHeading"/>
        <w:keepNext/>
        <w:rPr>
          <w:iCs w:val="0"/>
        </w:rPr>
      </w:pPr>
      <w:r w:rsidRPr="004C3641">
        <w:rPr>
          <w:iCs w:val="0"/>
        </w:rPr>
        <w:t>Position of the Parties</w:t>
      </w:r>
    </w:p>
    <w:p w:rsidR="00747EB4" w:rsidRDefault="00747EB4" w:rsidP="00431D19">
      <w:pPr>
        <w:pStyle w:val="PartyName"/>
        <w:rPr>
          <w:vanish/>
          <w:specVanish/>
        </w:rPr>
      </w:pPr>
      <w:r>
        <w:t>SUNSHINE: </w:t>
      </w:r>
    </w:p>
    <w:p w:rsidR="00747EB4" w:rsidRDefault="00747EB4">
      <w:pPr>
        <w:pStyle w:val="BodyText"/>
      </w:pPr>
      <w:r>
        <w:t> The appropriate amount of rate case expense is $676,030 with 51.8168% allocated to water revenues and 48.1832% allocated to wastewater revenues.</w:t>
      </w:r>
    </w:p>
    <w:p w:rsidR="00747EB4" w:rsidRDefault="00747EB4" w:rsidP="00431D19">
      <w:pPr>
        <w:pStyle w:val="PartyName"/>
        <w:rPr>
          <w:vanish/>
          <w:specVanish/>
        </w:rPr>
      </w:pPr>
      <w:r>
        <w:t>OPC: </w:t>
      </w:r>
    </w:p>
    <w:p w:rsidR="00747EB4" w:rsidRDefault="00747EB4">
      <w:pPr>
        <w:pStyle w:val="BodyText"/>
      </w:pPr>
      <w:r>
        <w:t> Any rate case expense associated with MFR deficiencies or other imprudent costs should be disallowed. Rate case expense for the irresponsible replacement of Mid-County and LUSI by the unnecessary AMI project should be eliminated by a percentage of the total ask reflected by the $20 Million ask for AMI.</w:t>
      </w:r>
    </w:p>
    <w:p w:rsidR="00747EB4" w:rsidRPr="004C3641" w:rsidRDefault="00747EB4">
      <w:pPr>
        <w:pStyle w:val="IssueSubsectionHeading"/>
        <w:rPr>
          <w:vanish/>
          <w:specVanish/>
        </w:rPr>
      </w:pPr>
      <w:r w:rsidRPr="004C3641">
        <w:t>Staff Analysis: </w:t>
      </w:r>
    </w:p>
    <w:p w:rsidR="00747EB4" w:rsidRDefault="00747EB4">
      <w:pPr>
        <w:pStyle w:val="BodyText"/>
      </w:pPr>
      <w:r>
        <w:t> </w:t>
      </w:r>
      <w:r w:rsidRPr="00706EBC">
        <w:t>In its MFRs, the Utility requested $676,030 for rate case expense. (</w:t>
      </w:r>
      <w:r>
        <w:t>EXH 10, BSP C4-452</w:t>
      </w:r>
      <w:r w:rsidRPr="00706EBC">
        <w:t>)</w:t>
      </w:r>
      <w:r>
        <w:t xml:space="preserve"> In its brief, Sunshine also stated the appropriate amount of rate case expense is $676,030. (Sunshine BR 16) However, s</w:t>
      </w:r>
      <w:r w:rsidRPr="00706EBC">
        <w:t xml:space="preserve">taff requested an update of the actual rate case expense incurred, with supporting documentation, as well as the estimated amount to complete the case. On October 8, 2024, the Utility submitted its </w:t>
      </w:r>
      <w:r>
        <w:t>support documentation.</w:t>
      </w:r>
      <w:r w:rsidRPr="00706EBC">
        <w:t xml:space="preserve"> (</w:t>
      </w:r>
      <w:r>
        <w:t>EXH 84, BSP E15174 – E15330</w:t>
      </w:r>
      <w:r w:rsidRPr="00706EBC">
        <w:t xml:space="preserve">) A breakdown of </w:t>
      </w:r>
      <w:r>
        <w:t xml:space="preserve">staff’s calculation of </w:t>
      </w:r>
      <w:r w:rsidRPr="00706EBC">
        <w:t xml:space="preserve">the Utility’s </w:t>
      </w:r>
      <w:r>
        <w:t>revised</w:t>
      </w:r>
      <w:r w:rsidRPr="00706EBC">
        <w:t xml:space="preserve"> rate case expense is as follows</w:t>
      </w:r>
      <w:r>
        <w:t>:</w:t>
      </w:r>
    </w:p>
    <w:p w:rsidR="00747EB4" w:rsidRDefault="00747EB4" w:rsidP="00431D19">
      <w:pPr>
        <w:pStyle w:val="TableNumber"/>
        <w:keepNext/>
      </w:pPr>
      <w:r>
        <w:t xml:space="preserve">Table </w:t>
      </w:r>
      <w:r w:rsidR="00FF5F64">
        <w:fldChar w:fldCharType="begin"/>
      </w:r>
      <w:r w:rsidR="00FF5F64">
        <w:instrText xml:space="preserve"> SEQ Issue \c </w:instrText>
      </w:r>
      <w:r w:rsidR="00FF5F64">
        <w:fldChar w:fldCharType="separate"/>
      </w:r>
      <w:r w:rsidR="009D3FF7">
        <w:rPr>
          <w:noProof/>
        </w:rPr>
        <w:t>25</w:t>
      </w:r>
      <w:r w:rsidR="00FF5F64">
        <w:rPr>
          <w:noProof/>
        </w:rPr>
        <w:fldChar w:fldCharType="end"/>
      </w:r>
      <w:r>
        <w:t>-1</w:t>
      </w:r>
    </w:p>
    <w:p w:rsidR="00747EB4" w:rsidRDefault="00747EB4" w:rsidP="00431D19">
      <w:pPr>
        <w:pStyle w:val="TableTitle"/>
        <w:keepNext/>
      </w:pPr>
      <w:r>
        <w:t>Sunshine’s Revised Rate Case Expense Request</w:t>
      </w:r>
    </w:p>
    <w:tbl>
      <w:tblPr>
        <w:tblStyle w:val="TableGrid"/>
        <w:tblW w:w="0" w:type="auto"/>
        <w:jc w:val="center"/>
        <w:tblLook w:val="04A0" w:firstRow="1" w:lastRow="0" w:firstColumn="1" w:lastColumn="0" w:noHBand="0" w:noVBand="1"/>
      </w:tblPr>
      <w:tblGrid>
        <w:gridCol w:w="3708"/>
        <w:gridCol w:w="1350"/>
        <w:gridCol w:w="1440"/>
        <w:gridCol w:w="1440"/>
      </w:tblGrid>
      <w:tr w:rsidR="00747EB4" w:rsidTr="00431D19">
        <w:trPr>
          <w:jc w:val="center"/>
        </w:trPr>
        <w:tc>
          <w:tcPr>
            <w:tcW w:w="3708" w:type="dxa"/>
          </w:tcPr>
          <w:p w:rsidR="00747EB4" w:rsidRDefault="00747EB4" w:rsidP="00431D19"/>
        </w:tc>
        <w:tc>
          <w:tcPr>
            <w:tcW w:w="1350" w:type="dxa"/>
            <w:vAlign w:val="center"/>
          </w:tcPr>
          <w:p w:rsidR="00747EB4" w:rsidRPr="00965B6D" w:rsidRDefault="00747EB4" w:rsidP="00431D19">
            <w:pPr>
              <w:jc w:val="center"/>
              <w:rPr>
                <w:b/>
              </w:rPr>
            </w:pPr>
            <w:r w:rsidRPr="00965B6D">
              <w:rPr>
                <w:b/>
              </w:rPr>
              <w:t>Actual</w:t>
            </w:r>
          </w:p>
        </w:tc>
        <w:tc>
          <w:tcPr>
            <w:tcW w:w="1440" w:type="dxa"/>
          </w:tcPr>
          <w:p w:rsidR="00747EB4" w:rsidRPr="00965B6D" w:rsidRDefault="00747EB4" w:rsidP="00431D19">
            <w:pPr>
              <w:jc w:val="center"/>
              <w:rPr>
                <w:b/>
              </w:rPr>
            </w:pPr>
            <w:r w:rsidRPr="00965B6D">
              <w:rPr>
                <w:b/>
              </w:rPr>
              <w:t>Additional Estimated</w:t>
            </w:r>
          </w:p>
        </w:tc>
        <w:tc>
          <w:tcPr>
            <w:tcW w:w="1440" w:type="dxa"/>
          </w:tcPr>
          <w:p w:rsidR="00747EB4" w:rsidRPr="00965B6D" w:rsidRDefault="00747EB4" w:rsidP="00431D19">
            <w:pPr>
              <w:jc w:val="center"/>
              <w:rPr>
                <w:b/>
              </w:rPr>
            </w:pPr>
            <w:r w:rsidRPr="00965B6D">
              <w:rPr>
                <w:b/>
              </w:rPr>
              <w:t>Revised Total</w:t>
            </w:r>
          </w:p>
        </w:tc>
      </w:tr>
      <w:tr w:rsidR="00747EB4" w:rsidTr="00431D19">
        <w:trPr>
          <w:jc w:val="center"/>
        </w:trPr>
        <w:tc>
          <w:tcPr>
            <w:tcW w:w="3708" w:type="dxa"/>
          </w:tcPr>
          <w:p w:rsidR="00747EB4" w:rsidRDefault="00747EB4" w:rsidP="00431D19">
            <w:r>
              <w:t>Dean, Mead, Egerton, Bloodworth, Capouano &amp; Bozarth, P.A.</w:t>
            </w:r>
          </w:p>
        </w:tc>
        <w:tc>
          <w:tcPr>
            <w:tcW w:w="1350" w:type="dxa"/>
            <w:vAlign w:val="bottom"/>
          </w:tcPr>
          <w:p w:rsidR="00747EB4" w:rsidRDefault="00747EB4" w:rsidP="00431D19">
            <w:pPr>
              <w:jc w:val="right"/>
            </w:pPr>
            <w:r>
              <w:t>$47,102</w:t>
            </w:r>
          </w:p>
        </w:tc>
        <w:tc>
          <w:tcPr>
            <w:tcW w:w="1440" w:type="dxa"/>
            <w:vAlign w:val="bottom"/>
          </w:tcPr>
          <w:p w:rsidR="00747EB4" w:rsidRDefault="00747EB4" w:rsidP="00431D19">
            <w:pPr>
              <w:jc w:val="right"/>
            </w:pPr>
            <w:r>
              <w:t>$108,259</w:t>
            </w:r>
          </w:p>
        </w:tc>
        <w:tc>
          <w:tcPr>
            <w:tcW w:w="1440" w:type="dxa"/>
            <w:vAlign w:val="bottom"/>
          </w:tcPr>
          <w:p w:rsidR="00747EB4" w:rsidRDefault="00747EB4" w:rsidP="00431D19">
            <w:pPr>
              <w:jc w:val="right"/>
            </w:pPr>
            <w:r>
              <w:t>$155,361</w:t>
            </w:r>
          </w:p>
        </w:tc>
      </w:tr>
      <w:tr w:rsidR="00747EB4" w:rsidTr="00431D19">
        <w:trPr>
          <w:jc w:val="center"/>
        </w:trPr>
        <w:tc>
          <w:tcPr>
            <w:tcW w:w="3708" w:type="dxa"/>
          </w:tcPr>
          <w:p w:rsidR="00747EB4" w:rsidRDefault="00747EB4" w:rsidP="00431D19">
            <w:r>
              <w:t>Milian, Swain &amp; Associates</w:t>
            </w:r>
          </w:p>
        </w:tc>
        <w:tc>
          <w:tcPr>
            <w:tcW w:w="1350" w:type="dxa"/>
          </w:tcPr>
          <w:p w:rsidR="00747EB4" w:rsidRDefault="00747EB4" w:rsidP="00431D19">
            <w:pPr>
              <w:jc w:val="right"/>
            </w:pPr>
            <w:r>
              <w:t>113,850</w:t>
            </w:r>
          </w:p>
        </w:tc>
        <w:tc>
          <w:tcPr>
            <w:tcW w:w="1440" w:type="dxa"/>
          </w:tcPr>
          <w:p w:rsidR="00747EB4" w:rsidRDefault="00747EB4" w:rsidP="00431D19">
            <w:pPr>
              <w:jc w:val="right"/>
            </w:pPr>
            <w:r>
              <w:t>131,588</w:t>
            </w:r>
          </w:p>
        </w:tc>
        <w:tc>
          <w:tcPr>
            <w:tcW w:w="1440" w:type="dxa"/>
          </w:tcPr>
          <w:p w:rsidR="00747EB4" w:rsidRDefault="00747EB4" w:rsidP="00431D19">
            <w:pPr>
              <w:jc w:val="right"/>
            </w:pPr>
            <w:r>
              <w:t>245,438</w:t>
            </w:r>
          </w:p>
        </w:tc>
      </w:tr>
      <w:tr w:rsidR="00747EB4" w:rsidTr="00431D19">
        <w:trPr>
          <w:jc w:val="center"/>
        </w:trPr>
        <w:tc>
          <w:tcPr>
            <w:tcW w:w="3708" w:type="dxa"/>
          </w:tcPr>
          <w:p w:rsidR="00747EB4" w:rsidRDefault="00747EB4" w:rsidP="00431D19">
            <w:r>
              <w:t>M&amp;R Consultants</w:t>
            </w:r>
          </w:p>
        </w:tc>
        <w:tc>
          <w:tcPr>
            <w:tcW w:w="1350" w:type="dxa"/>
          </w:tcPr>
          <w:p w:rsidR="00747EB4" w:rsidRDefault="00747EB4" w:rsidP="00431D19">
            <w:pPr>
              <w:jc w:val="right"/>
            </w:pPr>
            <w:r>
              <w:t>38,015</w:t>
            </w:r>
          </w:p>
        </w:tc>
        <w:tc>
          <w:tcPr>
            <w:tcW w:w="1440" w:type="dxa"/>
          </w:tcPr>
          <w:p w:rsidR="00747EB4" w:rsidRDefault="00747EB4" w:rsidP="00431D19">
            <w:pPr>
              <w:jc w:val="right"/>
            </w:pPr>
            <w:r>
              <w:t>13,500</w:t>
            </w:r>
          </w:p>
        </w:tc>
        <w:tc>
          <w:tcPr>
            <w:tcW w:w="1440" w:type="dxa"/>
          </w:tcPr>
          <w:p w:rsidR="00747EB4" w:rsidRDefault="00747EB4" w:rsidP="00431D19">
            <w:pPr>
              <w:jc w:val="right"/>
            </w:pPr>
            <w:r>
              <w:t>51,515</w:t>
            </w:r>
          </w:p>
        </w:tc>
      </w:tr>
      <w:tr w:rsidR="00747EB4" w:rsidTr="00431D19">
        <w:trPr>
          <w:jc w:val="center"/>
        </w:trPr>
        <w:tc>
          <w:tcPr>
            <w:tcW w:w="3708" w:type="dxa"/>
          </w:tcPr>
          <w:p w:rsidR="00747EB4" w:rsidRDefault="00747EB4" w:rsidP="00431D19">
            <w:r>
              <w:t>Commission Filing Fee</w:t>
            </w:r>
          </w:p>
        </w:tc>
        <w:tc>
          <w:tcPr>
            <w:tcW w:w="1350" w:type="dxa"/>
          </w:tcPr>
          <w:p w:rsidR="00747EB4" w:rsidRDefault="00747EB4" w:rsidP="00431D19">
            <w:pPr>
              <w:jc w:val="right"/>
            </w:pPr>
            <w:r>
              <w:t>9,000</w:t>
            </w:r>
          </w:p>
        </w:tc>
        <w:tc>
          <w:tcPr>
            <w:tcW w:w="1440" w:type="dxa"/>
          </w:tcPr>
          <w:p w:rsidR="00747EB4" w:rsidRDefault="00747EB4" w:rsidP="00431D19">
            <w:pPr>
              <w:jc w:val="right"/>
            </w:pPr>
            <w:r>
              <w:t>0</w:t>
            </w:r>
          </w:p>
        </w:tc>
        <w:tc>
          <w:tcPr>
            <w:tcW w:w="1440" w:type="dxa"/>
          </w:tcPr>
          <w:p w:rsidR="00747EB4" w:rsidRDefault="00747EB4" w:rsidP="00431D19">
            <w:pPr>
              <w:jc w:val="right"/>
            </w:pPr>
            <w:r>
              <w:t>9,000</w:t>
            </w:r>
          </w:p>
        </w:tc>
      </w:tr>
      <w:tr w:rsidR="00747EB4" w:rsidTr="00431D19">
        <w:trPr>
          <w:jc w:val="center"/>
        </w:trPr>
        <w:tc>
          <w:tcPr>
            <w:tcW w:w="3708" w:type="dxa"/>
          </w:tcPr>
          <w:p w:rsidR="00747EB4" w:rsidRDefault="00747EB4" w:rsidP="00431D19">
            <w:r>
              <w:t>Kimley Horn</w:t>
            </w:r>
          </w:p>
        </w:tc>
        <w:tc>
          <w:tcPr>
            <w:tcW w:w="1350" w:type="dxa"/>
          </w:tcPr>
          <w:p w:rsidR="00747EB4" w:rsidRDefault="00747EB4" w:rsidP="00431D19">
            <w:pPr>
              <w:jc w:val="right"/>
            </w:pPr>
            <w:r>
              <w:t>8,417</w:t>
            </w:r>
          </w:p>
        </w:tc>
        <w:tc>
          <w:tcPr>
            <w:tcW w:w="1440" w:type="dxa"/>
          </w:tcPr>
          <w:p w:rsidR="00747EB4" w:rsidRDefault="00747EB4" w:rsidP="00431D19">
            <w:pPr>
              <w:jc w:val="right"/>
            </w:pPr>
            <w:r>
              <w:t>8,417</w:t>
            </w:r>
          </w:p>
        </w:tc>
        <w:tc>
          <w:tcPr>
            <w:tcW w:w="1440" w:type="dxa"/>
          </w:tcPr>
          <w:p w:rsidR="00747EB4" w:rsidRDefault="00747EB4" w:rsidP="00431D19">
            <w:pPr>
              <w:jc w:val="right"/>
            </w:pPr>
            <w:r>
              <w:t>16,835</w:t>
            </w:r>
          </w:p>
        </w:tc>
      </w:tr>
      <w:tr w:rsidR="00747EB4" w:rsidTr="00431D19">
        <w:trPr>
          <w:jc w:val="center"/>
        </w:trPr>
        <w:tc>
          <w:tcPr>
            <w:tcW w:w="3708" w:type="dxa"/>
          </w:tcPr>
          <w:p w:rsidR="00747EB4" w:rsidRDefault="00747EB4" w:rsidP="00431D19">
            <w:r>
              <w:t>Sunshine Water Services Company</w:t>
            </w:r>
          </w:p>
        </w:tc>
        <w:tc>
          <w:tcPr>
            <w:tcW w:w="1350" w:type="dxa"/>
          </w:tcPr>
          <w:p w:rsidR="00747EB4" w:rsidRDefault="00747EB4" w:rsidP="00431D19">
            <w:pPr>
              <w:jc w:val="right"/>
            </w:pPr>
            <w:r>
              <w:t>0</w:t>
            </w:r>
          </w:p>
        </w:tc>
        <w:tc>
          <w:tcPr>
            <w:tcW w:w="1440" w:type="dxa"/>
          </w:tcPr>
          <w:p w:rsidR="00747EB4" w:rsidRDefault="00747EB4" w:rsidP="00431D19">
            <w:pPr>
              <w:jc w:val="right"/>
            </w:pPr>
            <w:r>
              <w:t>12,000</w:t>
            </w:r>
          </w:p>
        </w:tc>
        <w:tc>
          <w:tcPr>
            <w:tcW w:w="1440" w:type="dxa"/>
          </w:tcPr>
          <w:p w:rsidR="00747EB4" w:rsidRDefault="00747EB4" w:rsidP="00431D19">
            <w:pPr>
              <w:jc w:val="right"/>
            </w:pPr>
            <w:r>
              <w:t>12,000</w:t>
            </w:r>
          </w:p>
        </w:tc>
      </w:tr>
      <w:tr w:rsidR="00747EB4" w:rsidTr="00431D19">
        <w:trPr>
          <w:jc w:val="center"/>
        </w:trPr>
        <w:tc>
          <w:tcPr>
            <w:tcW w:w="3708" w:type="dxa"/>
          </w:tcPr>
          <w:p w:rsidR="00747EB4" w:rsidRDefault="00747EB4" w:rsidP="00431D19">
            <w:r>
              <w:t>Noticing &amp; Supplies</w:t>
            </w:r>
          </w:p>
        </w:tc>
        <w:tc>
          <w:tcPr>
            <w:tcW w:w="1350" w:type="dxa"/>
          </w:tcPr>
          <w:p w:rsidR="00747EB4" w:rsidRPr="007161F6" w:rsidRDefault="00747EB4" w:rsidP="00431D19">
            <w:pPr>
              <w:jc w:val="right"/>
              <w:rPr>
                <w:u w:val="single"/>
              </w:rPr>
            </w:pPr>
            <w:r>
              <w:rPr>
                <w:u w:val="single"/>
              </w:rPr>
              <w:t>950</w:t>
            </w:r>
          </w:p>
        </w:tc>
        <w:tc>
          <w:tcPr>
            <w:tcW w:w="1440" w:type="dxa"/>
          </w:tcPr>
          <w:p w:rsidR="00747EB4" w:rsidRPr="007161F6" w:rsidRDefault="00747EB4" w:rsidP="00431D19">
            <w:pPr>
              <w:jc w:val="right"/>
              <w:rPr>
                <w:u w:val="single"/>
              </w:rPr>
            </w:pPr>
            <w:r w:rsidRPr="007161F6">
              <w:rPr>
                <w:u w:val="single"/>
              </w:rPr>
              <w:t>102,050</w:t>
            </w:r>
          </w:p>
        </w:tc>
        <w:tc>
          <w:tcPr>
            <w:tcW w:w="1440" w:type="dxa"/>
          </w:tcPr>
          <w:p w:rsidR="00747EB4" w:rsidRPr="007161F6" w:rsidRDefault="00747EB4" w:rsidP="00431D19">
            <w:pPr>
              <w:jc w:val="right"/>
              <w:rPr>
                <w:u w:val="single"/>
              </w:rPr>
            </w:pPr>
            <w:r w:rsidRPr="007161F6">
              <w:rPr>
                <w:u w:val="single"/>
              </w:rPr>
              <w:t>10</w:t>
            </w:r>
            <w:r>
              <w:rPr>
                <w:u w:val="single"/>
              </w:rPr>
              <w:t>3,000</w:t>
            </w:r>
          </w:p>
        </w:tc>
      </w:tr>
      <w:tr w:rsidR="00747EB4" w:rsidTr="00431D19">
        <w:trPr>
          <w:jc w:val="center"/>
        </w:trPr>
        <w:tc>
          <w:tcPr>
            <w:tcW w:w="3708" w:type="dxa"/>
          </w:tcPr>
          <w:p w:rsidR="00747EB4" w:rsidRPr="00DE2E4B" w:rsidRDefault="00747EB4" w:rsidP="00431D19">
            <w:pPr>
              <w:rPr>
                <w:b/>
              </w:rPr>
            </w:pPr>
            <w:r w:rsidRPr="00DE2E4B">
              <w:rPr>
                <w:b/>
              </w:rPr>
              <w:t>Total</w:t>
            </w:r>
          </w:p>
        </w:tc>
        <w:tc>
          <w:tcPr>
            <w:tcW w:w="1350" w:type="dxa"/>
          </w:tcPr>
          <w:p w:rsidR="00747EB4" w:rsidRPr="007161F6" w:rsidRDefault="00747EB4" w:rsidP="00431D19">
            <w:pPr>
              <w:jc w:val="right"/>
              <w:rPr>
                <w:b/>
                <w:u w:val="double"/>
              </w:rPr>
            </w:pPr>
            <w:r>
              <w:rPr>
                <w:b/>
                <w:u w:val="double"/>
              </w:rPr>
              <w:t>$217,334</w:t>
            </w:r>
          </w:p>
        </w:tc>
        <w:tc>
          <w:tcPr>
            <w:tcW w:w="1440" w:type="dxa"/>
          </w:tcPr>
          <w:p w:rsidR="00747EB4" w:rsidRPr="007161F6" w:rsidRDefault="00747EB4" w:rsidP="00431D19">
            <w:pPr>
              <w:jc w:val="right"/>
              <w:rPr>
                <w:b/>
                <w:u w:val="double"/>
              </w:rPr>
            </w:pPr>
            <w:r>
              <w:rPr>
                <w:b/>
                <w:u w:val="double"/>
              </w:rPr>
              <w:t>$375,814</w:t>
            </w:r>
          </w:p>
        </w:tc>
        <w:tc>
          <w:tcPr>
            <w:tcW w:w="1440" w:type="dxa"/>
          </w:tcPr>
          <w:p w:rsidR="00747EB4" w:rsidRPr="007161F6" w:rsidRDefault="00747EB4" w:rsidP="00431D19">
            <w:pPr>
              <w:jc w:val="right"/>
              <w:rPr>
                <w:b/>
                <w:u w:val="double"/>
              </w:rPr>
            </w:pPr>
            <w:r w:rsidRPr="007161F6">
              <w:rPr>
                <w:b/>
                <w:u w:val="double"/>
              </w:rPr>
              <w:t>$</w:t>
            </w:r>
            <w:r>
              <w:rPr>
                <w:b/>
                <w:u w:val="double"/>
              </w:rPr>
              <w:t>593,149</w:t>
            </w:r>
          </w:p>
        </w:tc>
      </w:tr>
    </w:tbl>
    <w:p w:rsidR="00747EB4" w:rsidRDefault="00747EB4" w:rsidP="00431D19">
      <w:pPr>
        <w:pStyle w:val="TableSource"/>
      </w:pPr>
      <w:r>
        <w:t>Source: (EXH 84, BSP E15174 – E15330)</w:t>
      </w:r>
    </w:p>
    <w:p w:rsidR="00747EB4" w:rsidRDefault="00747EB4" w:rsidP="00431D19">
      <w:pPr>
        <w:pStyle w:val="BodyText"/>
      </w:pPr>
      <w:r>
        <w:t xml:space="preserve">In its brief, OPC stated several adjustments should be made to remove rate case expense for MFR deficiency review, the AMI project, legal expenses related to the Wekiva Hunt Club WWTP, and Sunshine witness Seidman’s projected remaining expenses. (OPC BR 33-34) As discussed in Issue 4A, staff has recommended approval of the AMI project, as such, staff does not believe any adjustments should be made to remove related rate case expense. In reference to </w:t>
      </w:r>
      <w:r>
        <w:lastRenderedPageBreak/>
        <w:t>the Wekiva Hunt Club WWTP, staff has reviewed the invoices provided and believes the legal expenses presented are the direct result of activities performed for this rate case, including preparation and responses to inquiries, and are appropriate for recovery. (EXH 84, BSP E15175 – E15208) Adjustments for MFR deficiency review and witness Seidman are discussed further below.</w:t>
      </w:r>
    </w:p>
    <w:p w:rsidR="00747EB4" w:rsidRPr="00F01396" w:rsidRDefault="00747EB4" w:rsidP="00431D19">
      <w:pPr>
        <w:pStyle w:val="BodyText"/>
      </w:pPr>
      <w:r w:rsidRPr="00F01396">
        <w:t>Pursuant to Section 367.081(7), F.S., the Commission shall determine the reasonableness of rate case expense and shall disallow all rate case expense determined to be unreasonable. Staff has examined the requested actual expenses, supporting documentation, and estimated expenses as listed above for the current rate case. Based on its review, staff believes the following adjustments to Sunshine’s requested rate case expense are appropriate</w:t>
      </w:r>
      <w:r>
        <w:t>.</w:t>
      </w:r>
    </w:p>
    <w:p w:rsidR="00747EB4" w:rsidRDefault="00747EB4" w:rsidP="00431D19">
      <w:pPr>
        <w:pStyle w:val="First-LevelSubheading"/>
      </w:pPr>
      <w:r>
        <w:t>Dean, Mead, Egerton, Bloodworth, Capouano &amp; Bozarth, P.A.</w:t>
      </w:r>
    </w:p>
    <w:p w:rsidR="00747EB4" w:rsidRPr="008B6114" w:rsidRDefault="00747EB4" w:rsidP="00431D19">
      <w:pPr>
        <w:pStyle w:val="BodyText"/>
      </w:pPr>
      <w:r>
        <w:t xml:space="preserve">In its MFRs, Sunshine included $246,000 in estimated legal fees and $10,000 in estimated expenses. (EXH 10, BSP C4-452) </w:t>
      </w:r>
      <w:r w:rsidRPr="008B6114">
        <w:t xml:space="preserve">The Utility provided </w:t>
      </w:r>
      <w:r>
        <w:t>updated documentation detailing</w:t>
      </w:r>
      <w:r w:rsidRPr="008B6114">
        <w:t xml:space="preserve"> rate case expense</w:t>
      </w:r>
      <w:r>
        <w:t xml:space="preserve"> for the law firm</w:t>
      </w:r>
      <w:r w:rsidRPr="008B6114">
        <w:t xml:space="preserve"> on October 8, 2024.</w:t>
      </w:r>
      <w:r>
        <w:t xml:space="preserve"> (EXH 84, BSP E15175 – E15208)</w:t>
      </w:r>
      <w:r w:rsidRPr="008B6114">
        <w:t xml:space="preserve"> </w:t>
      </w:r>
      <w:r>
        <w:t>Using the supporting documentation provided, staff calculated $41,021 in incurred legal fees and $6,081 in expenses</w:t>
      </w:r>
      <w:r w:rsidRPr="008B6114">
        <w:t xml:space="preserve">. Sunshine estimated the remaining costs for </w:t>
      </w:r>
      <w:r>
        <w:t>the law firm</w:t>
      </w:r>
      <w:r w:rsidRPr="008B6114">
        <w:t xml:space="preserve"> to be </w:t>
      </w:r>
      <w:r>
        <w:t>$104,960 in legal fees and $3,299 in expenses</w:t>
      </w:r>
      <w:r w:rsidRPr="007B62D2">
        <w:t xml:space="preserve"> </w:t>
      </w:r>
      <w:r>
        <w:t>over the remainder of the case.</w:t>
      </w:r>
      <w:r w:rsidRPr="008B6114">
        <w:t xml:space="preserve"> (</w:t>
      </w:r>
      <w:r>
        <w:t>EXH 84, BSP E15202</w:t>
      </w:r>
      <w:r w:rsidRPr="008B6114">
        <w:t>)</w:t>
      </w:r>
    </w:p>
    <w:p w:rsidR="00747EB4" w:rsidRDefault="00747EB4" w:rsidP="00431D19">
      <w:pPr>
        <w:pStyle w:val="BodyText"/>
      </w:pPr>
      <w:r w:rsidRPr="008B6114">
        <w:t xml:space="preserve">Staff reviewed supporting documentation and found </w:t>
      </w:r>
      <w:r>
        <w:t>2.2</w:t>
      </w:r>
      <w:r w:rsidRPr="008B6114">
        <w:t xml:space="preserve"> hours, equaling $</w:t>
      </w:r>
      <w:r>
        <w:t>902</w:t>
      </w:r>
      <w:r w:rsidRPr="008B6114">
        <w:t xml:space="preserve"> in legal fees, related to correcting deficiencies. The Commission has previously disallowed rate case expense associated with correcting MFR d</w:t>
      </w:r>
      <w:r>
        <w:t>eficiencies because of duplication of</w:t>
      </w:r>
      <w:r w:rsidRPr="008B6114">
        <w:t xml:space="preserve"> filing costs.</w:t>
      </w:r>
      <w:r>
        <w:rPr>
          <w:rStyle w:val="FootnoteReference"/>
        </w:rPr>
        <w:footnoteReference w:id="30"/>
      </w:r>
      <w:r>
        <w:t xml:space="preserve"> As such, staff recommends an adjustment to reduce legal fees by $902.</w:t>
      </w:r>
    </w:p>
    <w:p w:rsidR="00747EB4" w:rsidRPr="008B6114" w:rsidRDefault="00747EB4" w:rsidP="00431D19">
      <w:pPr>
        <w:pStyle w:val="BodyText"/>
      </w:pPr>
      <w:r>
        <w:t>The law firm also included an estimated 88 hours for two attorneys to travel to and from Tallahassee for the hearing, one day preparation, and three days for the final hearing. Based on the transcripts the hearing was only two days long. Staff has made an adjustment to remove 16 hours (8 hours x 2 attorneys) from the estimated time to recognize one less day for the final hearing. This represents a reduction of $6,560. Based on the above, staff recommends a total adjustment to reduce legal fees by $7,462 ($6,560 + $902).</w:t>
      </w:r>
    </w:p>
    <w:p w:rsidR="00747EB4" w:rsidRDefault="00747EB4" w:rsidP="00431D19">
      <w:pPr>
        <w:pStyle w:val="First-LevelSubheading"/>
      </w:pPr>
      <w:r>
        <w:t>Milian, Swain &amp; Associates</w:t>
      </w:r>
    </w:p>
    <w:p w:rsidR="00747EB4" w:rsidRDefault="00747EB4" w:rsidP="00431D19">
      <w:pPr>
        <w:pStyle w:val="BodyText"/>
      </w:pPr>
      <w:r>
        <w:t xml:space="preserve">In its MFRs, the Utility included $242,800 in estimated fees and $2,500 in expenses to be paid to Milian, Swain &amp; Associates over the course of the rate case to assist with the MFRs, discovery responses, audit review, recommendation review, and the final hearing. (EXH 10, BSP C4-452) </w:t>
      </w:r>
      <w:r w:rsidRPr="008B6114">
        <w:t xml:space="preserve">The Utility provided </w:t>
      </w:r>
      <w:r>
        <w:t>updated documentation detailing</w:t>
      </w:r>
      <w:r w:rsidRPr="008B6114">
        <w:t xml:space="preserve"> rate case expense</w:t>
      </w:r>
      <w:r>
        <w:t xml:space="preserve"> for Milian, Swain &amp; Associates</w:t>
      </w:r>
      <w:r w:rsidRPr="008B6114">
        <w:t xml:space="preserve"> on October 8, 2024.</w:t>
      </w:r>
      <w:r>
        <w:t xml:space="preserve"> (EXH 84, BSP E15217 – E15239) Using the supporting documentation provided, staff calculated $113,850 in incurred fees. The Utility estimated $131,588 to be paid to Milian, Swain &amp; Associates over the remainder of the case for responses to the audit and discovery, as well as the final hearing. (EXH 84, BSP E15239) Staff reviewed the support documentation and verified that there were no hours related to correcting deficiencies included in the requested recovery of fees. Staff believes the incurred fees and estimate to complete are reasonable and therefore recommends no adjustment.</w:t>
      </w:r>
    </w:p>
    <w:p w:rsidR="00747EB4" w:rsidRDefault="00747EB4" w:rsidP="00431D19">
      <w:pPr>
        <w:pStyle w:val="First-LevelSubheading"/>
      </w:pPr>
      <w:r>
        <w:lastRenderedPageBreak/>
        <w:t>M&amp;R Consultants</w:t>
      </w:r>
    </w:p>
    <w:p w:rsidR="00747EB4" w:rsidRDefault="00747EB4" w:rsidP="00431D19">
      <w:pPr>
        <w:pStyle w:val="BodyText"/>
      </w:pPr>
      <w:r w:rsidRPr="00D74235">
        <w:t xml:space="preserve">In its MFRs, the Utility included </w:t>
      </w:r>
      <w:r>
        <w:t xml:space="preserve">a total of $50,730 in expense from M&amp;R Consultants, which included </w:t>
      </w:r>
      <w:r w:rsidRPr="00D74235">
        <w:t xml:space="preserve">$49,980 </w:t>
      </w:r>
      <w:r>
        <w:t>in estimated fees</w:t>
      </w:r>
      <w:r w:rsidRPr="00D74235">
        <w:t xml:space="preserve"> </w:t>
      </w:r>
      <w:r>
        <w:t xml:space="preserve">and $750 in expenses </w:t>
      </w:r>
      <w:r w:rsidRPr="00D74235">
        <w:t xml:space="preserve">to be paid to M&amp;R Consultants over the course of the rate case to assist with U&amp;U analysis, MFRs, data requests, audit </w:t>
      </w:r>
      <w:r>
        <w:t>facilitation, and the hearing</w:t>
      </w:r>
      <w:r w:rsidRPr="00D74235">
        <w:t>. (</w:t>
      </w:r>
      <w:r>
        <w:t>EXH 10, BSP C4-452</w:t>
      </w:r>
      <w:r w:rsidRPr="00D74235">
        <w:t xml:space="preserve">) </w:t>
      </w:r>
      <w:r w:rsidRPr="008B6114">
        <w:t xml:space="preserve">The Utility provided </w:t>
      </w:r>
      <w:r>
        <w:t>updated documentation detailing</w:t>
      </w:r>
      <w:r w:rsidRPr="008B6114">
        <w:t xml:space="preserve"> rate case expense</w:t>
      </w:r>
      <w:r>
        <w:t xml:space="preserve"> for M&amp;R Consultants</w:t>
      </w:r>
      <w:r w:rsidRPr="008B6114">
        <w:t xml:space="preserve"> on October 8, 2024.</w:t>
      </w:r>
      <w:r>
        <w:t xml:space="preserve"> (EXH 84, BSP E15209 – E15216) Using the supporting documentation provided, staff calculated $38,015 in incurred fees. The Utility estimated $12,750 in estimated fees and $750 in estimated costs to be paid to M&amp;R Consultants over the remainder of the case for response to discovery, preparation and attending the final hearing, and to prepare rebuttal testimony. (EXH 84, BSP E15216) The Utility’s updated rate case expense, actual and estimated, totaled $51,515. </w:t>
      </w:r>
    </w:p>
    <w:p w:rsidR="00747EB4" w:rsidRDefault="00747EB4" w:rsidP="00431D19">
      <w:pPr>
        <w:pStyle w:val="BodyText"/>
      </w:pPr>
      <w:r>
        <w:t xml:space="preserve">However, as discussed in OPC’s brief, Sunshine witness Seidman did not file rebuttal testimony and was excused from the final hearing. Further, OPC stated that witness Seidman only responded to two discovery questions following the provided rate case expense update and suggested an allotment of two hours for the responses. (OPC BR 34) Staff believes this is a reasonable estimate for the information provided in response to the two discovery questions. Based on the above, staff believes the estimate to complete is overstated and should be reduced to $340 (2 hours x $170), which reflects a reduction of $12,410 to the Utility’s estimate. Staff recommends total rate case expense for M&amp;R Consultants of $39,105 ($38,015 + $340 + $750), which is total reduction of $11,635 from the Utility’s original request. </w:t>
      </w:r>
    </w:p>
    <w:p w:rsidR="00747EB4" w:rsidRDefault="00747EB4" w:rsidP="00431D19">
      <w:pPr>
        <w:pStyle w:val="First-LevelSubheading"/>
      </w:pPr>
      <w:r>
        <w:t>Filing Fee</w:t>
      </w:r>
    </w:p>
    <w:p w:rsidR="00747EB4" w:rsidRPr="00040027" w:rsidRDefault="00747EB4" w:rsidP="00431D19">
      <w:pPr>
        <w:pStyle w:val="BodyText"/>
      </w:pPr>
      <w:r>
        <w:t xml:space="preserve">The Utility included $9,000 in its MFRs for the filing fee. </w:t>
      </w:r>
      <w:r w:rsidRPr="00D74235">
        <w:t>(</w:t>
      </w:r>
      <w:r>
        <w:t>EXH 10, BSP C4-452</w:t>
      </w:r>
      <w:r w:rsidRPr="00D74235">
        <w:t>)</w:t>
      </w:r>
      <w:r>
        <w:t xml:space="preserve"> Staff has verified that this is the correct amount under Rule 25-30.020, F.A.C. Staff recommends no adjustment.</w:t>
      </w:r>
    </w:p>
    <w:p w:rsidR="00747EB4" w:rsidRDefault="00747EB4" w:rsidP="00431D19">
      <w:pPr>
        <w:pStyle w:val="First-LevelSubheading"/>
      </w:pPr>
      <w:r>
        <w:t>Kimley Horn</w:t>
      </w:r>
    </w:p>
    <w:p w:rsidR="00747EB4" w:rsidRDefault="00747EB4" w:rsidP="00431D19">
      <w:pPr>
        <w:pStyle w:val="BodyText"/>
      </w:pPr>
      <w:r>
        <w:t xml:space="preserve">Sunshine did not include an estimate for engineering costs from Kimley Horn in its MFRs. </w:t>
      </w:r>
      <w:r w:rsidRPr="008B6114">
        <w:t xml:space="preserve">The Utility provided </w:t>
      </w:r>
      <w:r>
        <w:t>updated documentation detailing</w:t>
      </w:r>
      <w:r w:rsidRPr="008B6114">
        <w:t xml:space="preserve"> rate case expense</w:t>
      </w:r>
      <w:r>
        <w:t xml:space="preserve"> for Kimley Horn totaling $8,417</w:t>
      </w:r>
      <w:r w:rsidRPr="008B6114">
        <w:t xml:space="preserve"> on October 8, 2024.</w:t>
      </w:r>
      <w:r>
        <w:t xml:space="preserve"> (EXH 84, BSP E15240 – E15245) In addition to the provided documentation, Sunshine also stated Kimley Horn was engaged to assist with pro forma project updates and discovery responses. (EXH 67, BSP E637) It also provided an estimate to complete of $8,417. Staff believes the incurred fees and estimate to complete is reasonable and therefore recommends no adjustment.</w:t>
      </w:r>
    </w:p>
    <w:p w:rsidR="00747EB4" w:rsidRDefault="00747EB4" w:rsidP="00431D19">
      <w:pPr>
        <w:pStyle w:val="First-LevelSubheading"/>
      </w:pPr>
      <w:r>
        <w:t>Sunshine Water Services Company Travel Fees</w:t>
      </w:r>
    </w:p>
    <w:p w:rsidR="00747EB4" w:rsidRDefault="00747EB4" w:rsidP="00431D19">
      <w:pPr>
        <w:pStyle w:val="BodyText"/>
      </w:pPr>
      <w:r>
        <w:t xml:space="preserve">In its MFRs, the Utility included $12,000 in estimated travel fees for five witnesses to the final hearing. </w:t>
      </w:r>
      <w:r w:rsidRPr="00D74235">
        <w:t>(</w:t>
      </w:r>
      <w:r>
        <w:t>EXH 10, BSP C4-452</w:t>
      </w:r>
      <w:r w:rsidRPr="00D74235">
        <w:t>)</w:t>
      </w:r>
      <w:r>
        <w:t xml:space="preserve"> As discussed previously, witness Seidman was excused and did not travel to the hearing. Staff believes an adjustment to remove 1/5 of travel fees associated with witness Seidman’s travel expenses is necessary. Staff has estimated $2,400 in travel fees associated with witness Seidman ($12,000 / 5 witnesses). As such, staff recommends reducing travel fees by $2,400.</w:t>
      </w:r>
    </w:p>
    <w:p w:rsidR="00747EB4" w:rsidRDefault="00747EB4" w:rsidP="00431D19">
      <w:pPr>
        <w:pStyle w:val="First-LevelSubheading"/>
      </w:pPr>
      <w:r>
        <w:t>Noticing &amp; Supplies</w:t>
      </w:r>
    </w:p>
    <w:p w:rsidR="00747EB4" w:rsidRPr="00653FFD" w:rsidRDefault="00747EB4" w:rsidP="00431D19">
      <w:pPr>
        <w:pStyle w:val="BodyText"/>
      </w:pPr>
      <w:r>
        <w:t xml:space="preserve">In its MFRs, Sunshine included $103,000 in estimated noticing and supplies expenses. </w:t>
      </w:r>
      <w:r w:rsidRPr="00D74235">
        <w:t>(</w:t>
      </w:r>
      <w:r>
        <w:t>EXH 10, BSP C4-452</w:t>
      </w:r>
      <w:r w:rsidRPr="00D74235">
        <w:t>)</w:t>
      </w:r>
      <w:r w:rsidRPr="00DC75BD">
        <w:t xml:space="preserve"> </w:t>
      </w:r>
      <w:r>
        <w:t xml:space="preserve">The estimate was based on the amount spent for noticing in the 2020 rate case, </w:t>
      </w:r>
      <w:r>
        <w:lastRenderedPageBreak/>
        <w:t xml:space="preserve">increased by approximate CPI and customer growth values. (EXH 67, BSP E637) </w:t>
      </w:r>
      <w:r w:rsidRPr="008B6114">
        <w:t xml:space="preserve">The Utility provided </w:t>
      </w:r>
      <w:r>
        <w:t>updated documentation detailing</w:t>
      </w:r>
      <w:r w:rsidRPr="008B6114">
        <w:t xml:space="preserve"> rate case expense</w:t>
      </w:r>
      <w:r>
        <w:t xml:space="preserve"> for noticing totaling $950</w:t>
      </w:r>
      <w:r w:rsidRPr="008B6114">
        <w:t xml:space="preserve"> on October 8, 2024.</w:t>
      </w:r>
      <w:r>
        <w:t xml:space="preserve"> (EXH 84, BSP E15247, E15290) Sunshine estimated $102,050 in noticing and supplies expense over the remainder of the case covering the initial customer notice, the service and technical hearing notice, and the final customer notice. Staff believes the incurred fees and estimate to complete are reasonable and therefore recommends no adjustment.</w:t>
      </w:r>
    </w:p>
    <w:p w:rsidR="00747EB4" w:rsidRDefault="00747EB4" w:rsidP="00431D19">
      <w:pPr>
        <w:pStyle w:val="RecommendationMajorSectionHeading"/>
      </w:pPr>
      <w:r>
        <w:t>CONCLUSION</w:t>
      </w:r>
    </w:p>
    <w:p w:rsidR="00747EB4" w:rsidRPr="00831E09" w:rsidRDefault="00747EB4" w:rsidP="00431D19">
      <w:pPr>
        <w:pStyle w:val="BodyText"/>
      </w:pPr>
      <w:r>
        <w:t>Based on the adjustments discussed above, staff recommends that Sunshine’s revised rate case expense of $593,149 be decreased by $22,272 to reflect staff’s adjustments, for a total of $570,877. A breakdown of staff’s recommended rate case expense is in Table 25-2 below.</w:t>
      </w:r>
    </w:p>
    <w:p w:rsidR="00747EB4" w:rsidRDefault="00747EB4" w:rsidP="00431D19">
      <w:pPr>
        <w:pStyle w:val="TableNumber"/>
        <w:keepNext/>
      </w:pPr>
      <w:r>
        <w:t xml:space="preserve">Table </w:t>
      </w:r>
      <w:r w:rsidR="00FF5F64">
        <w:fldChar w:fldCharType="begin"/>
      </w:r>
      <w:r w:rsidR="00FF5F64">
        <w:instrText xml:space="preserve"> SEQ Issue \c </w:instrText>
      </w:r>
      <w:r w:rsidR="00FF5F64">
        <w:fldChar w:fldCharType="separate"/>
      </w:r>
      <w:r w:rsidR="009D3FF7">
        <w:rPr>
          <w:noProof/>
        </w:rPr>
        <w:t>25</w:t>
      </w:r>
      <w:r w:rsidR="00FF5F64">
        <w:rPr>
          <w:noProof/>
        </w:rPr>
        <w:fldChar w:fldCharType="end"/>
      </w:r>
      <w:r>
        <w:t>-2</w:t>
      </w:r>
    </w:p>
    <w:p w:rsidR="00747EB4" w:rsidRDefault="00747EB4" w:rsidP="00431D19">
      <w:pPr>
        <w:pStyle w:val="TableTitle"/>
        <w:keepNext/>
      </w:pPr>
      <w:r>
        <w:t>Staff Recommended Rate Case Expense</w:t>
      </w:r>
    </w:p>
    <w:tbl>
      <w:tblPr>
        <w:tblStyle w:val="TableGrid"/>
        <w:tblW w:w="0" w:type="auto"/>
        <w:jc w:val="center"/>
        <w:tblLook w:val="04A0" w:firstRow="1" w:lastRow="0" w:firstColumn="1" w:lastColumn="0" w:noHBand="0" w:noVBand="1"/>
      </w:tblPr>
      <w:tblGrid>
        <w:gridCol w:w="3611"/>
        <w:gridCol w:w="1695"/>
        <w:gridCol w:w="1620"/>
        <w:gridCol w:w="1736"/>
      </w:tblGrid>
      <w:tr w:rsidR="00747EB4" w:rsidTr="00431D19">
        <w:trPr>
          <w:jc w:val="center"/>
        </w:trPr>
        <w:tc>
          <w:tcPr>
            <w:tcW w:w="3611" w:type="dxa"/>
            <w:vAlign w:val="center"/>
          </w:tcPr>
          <w:p w:rsidR="00747EB4" w:rsidRPr="00831E09" w:rsidRDefault="00747EB4" w:rsidP="00431D19">
            <w:pPr>
              <w:jc w:val="center"/>
              <w:rPr>
                <w:b/>
              </w:rPr>
            </w:pPr>
            <w:r w:rsidRPr="00831E09">
              <w:rPr>
                <w:b/>
              </w:rPr>
              <w:t>Description</w:t>
            </w:r>
          </w:p>
        </w:tc>
        <w:tc>
          <w:tcPr>
            <w:tcW w:w="1695" w:type="dxa"/>
            <w:vAlign w:val="center"/>
          </w:tcPr>
          <w:p w:rsidR="00747EB4" w:rsidRPr="00831E09" w:rsidRDefault="00747EB4" w:rsidP="00431D19">
            <w:pPr>
              <w:jc w:val="center"/>
              <w:rPr>
                <w:b/>
              </w:rPr>
            </w:pPr>
            <w:r w:rsidRPr="00831E09">
              <w:rPr>
                <w:b/>
              </w:rPr>
              <w:t>Utility Revised Actual &amp; Estimate</w:t>
            </w:r>
          </w:p>
        </w:tc>
        <w:tc>
          <w:tcPr>
            <w:tcW w:w="1620" w:type="dxa"/>
            <w:vAlign w:val="center"/>
          </w:tcPr>
          <w:p w:rsidR="00747EB4" w:rsidRPr="00831E09" w:rsidRDefault="00747EB4" w:rsidP="00431D19">
            <w:pPr>
              <w:jc w:val="center"/>
              <w:rPr>
                <w:b/>
              </w:rPr>
            </w:pPr>
            <w:r w:rsidRPr="00831E09">
              <w:rPr>
                <w:b/>
              </w:rPr>
              <w:t>Staff Adjustments</w:t>
            </w:r>
          </w:p>
        </w:tc>
        <w:tc>
          <w:tcPr>
            <w:tcW w:w="1736" w:type="dxa"/>
            <w:vAlign w:val="center"/>
          </w:tcPr>
          <w:p w:rsidR="00747EB4" w:rsidRPr="00831E09" w:rsidRDefault="00747EB4" w:rsidP="00431D19">
            <w:pPr>
              <w:jc w:val="center"/>
              <w:rPr>
                <w:b/>
              </w:rPr>
            </w:pPr>
            <w:r w:rsidRPr="00831E09">
              <w:rPr>
                <w:b/>
              </w:rPr>
              <w:t>Recommended Total</w:t>
            </w:r>
          </w:p>
        </w:tc>
      </w:tr>
      <w:tr w:rsidR="00747EB4" w:rsidTr="00431D19">
        <w:trPr>
          <w:jc w:val="center"/>
        </w:trPr>
        <w:tc>
          <w:tcPr>
            <w:tcW w:w="3611" w:type="dxa"/>
          </w:tcPr>
          <w:p w:rsidR="00747EB4" w:rsidRDefault="00747EB4" w:rsidP="00431D19">
            <w:r>
              <w:t>Dean, Mead, Egerton, Bloodworth, Capouano &amp; Bozarth, P.A.</w:t>
            </w:r>
          </w:p>
        </w:tc>
        <w:tc>
          <w:tcPr>
            <w:tcW w:w="1695" w:type="dxa"/>
            <w:vAlign w:val="bottom"/>
          </w:tcPr>
          <w:p w:rsidR="00747EB4" w:rsidRDefault="00747EB4" w:rsidP="00431D19">
            <w:pPr>
              <w:jc w:val="right"/>
            </w:pPr>
            <w:r>
              <w:t>$155,361</w:t>
            </w:r>
          </w:p>
        </w:tc>
        <w:tc>
          <w:tcPr>
            <w:tcW w:w="1620" w:type="dxa"/>
            <w:vAlign w:val="bottom"/>
          </w:tcPr>
          <w:p w:rsidR="00747EB4" w:rsidRDefault="00747EB4" w:rsidP="00431D19">
            <w:pPr>
              <w:jc w:val="right"/>
            </w:pPr>
            <w:r>
              <w:t>($7,462)</w:t>
            </w:r>
          </w:p>
        </w:tc>
        <w:tc>
          <w:tcPr>
            <w:tcW w:w="1736" w:type="dxa"/>
            <w:vAlign w:val="bottom"/>
          </w:tcPr>
          <w:p w:rsidR="00747EB4" w:rsidRDefault="00747EB4" w:rsidP="00431D19">
            <w:pPr>
              <w:jc w:val="right"/>
            </w:pPr>
            <w:r>
              <w:t>$138,519</w:t>
            </w:r>
          </w:p>
        </w:tc>
      </w:tr>
      <w:tr w:rsidR="00747EB4" w:rsidTr="00431D19">
        <w:trPr>
          <w:jc w:val="center"/>
        </w:trPr>
        <w:tc>
          <w:tcPr>
            <w:tcW w:w="3611" w:type="dxa"/>
          </w:tcPr>
          <w:p w:rsidR="00747EB4" w:rsidRDefault="00747EB4" w:rsidP="00431D19">
            <w:r>
              <w:t>Milian, Swain &amp; Associates</w:t>
            </w:r>
          </w:p>
        </w:tc>
        <w:tc>
          <w:tcPr>
            <w:tcW w:w="1695" w:type="dxa"/>
          </w:tcPr>
          <w:p w:rsidR="00747EB4" w:rsidRDefault="00747EB4" w:rsidP="00431D19">
            <w:pPr>
              <w:jc w:val="right"/>
            </w:pPr>
            <w:r>
              <w:t>245,438</w:t>
            </w:r>
          </w:p>
        </w:tc>
        <w:tc>
          <w:tcPr>
            <w:tcW w:w="1620" w:type="dxa"/>
          </w:tcPr>
          <w:p w:rsidR="00747EB4" w:rsidRDefault="00747EB4" w:rsidP="00431D19">
            <w:pPr>
              <w:jc w:val="right"/>
            </w:pPr>
            <w:r>
              <w:t>0</w:t>
            </w:r>
          </w:p>
        </w:tc>
        <w:tc>
          <w:tcPr>
            <w:tcW w:w="1736" w:type="dxa"/>
          </w:tcPr>
          <w:p w:rsidR="00747EB4" w:rsidRDefault="00747EB4" w:rsidP="00431D19">
            <w:pPr>
              <w:jc w:val="right"/>
            </w:pPr>
            <w:r>
              <w:t>245,438</w:t>
            </w:r>
          </w:p>
        </w:tc>
      </w:tr>
      <w:tr w:rsidR="00747EB4" w:rsidTr="00431D19">
        <w:trPr>
          <w:jc w:val="center"/>
        </w:trPr>
        <w:tc>
          <w:tcPr>
            <w:tcW w:w="3611" w:type="dxa"/>
          </w:tcPr>
          <w:p w:rsidR="00747EB4" w:rsidRDefault="00747EB4" w:rsidP="00431D19">
            <w:r>
              <w:t>M&amp;R Consultants</w:t>
            </w:r>
          </w:p>
        </w:tc>
        <w:tc>
          <w:tcPr>
            <w:tcW w:w="1695" w:type="dxa"/>
          </w:tcPr>
          <w:p w:rsidR="00747EB4" w:rsidRDefault="00747EB4" w:rsidP="00431D19">
            <w:pPr>
              <w:jc w:val="right"/>
            </w:pPr>
            <w:r>
              <w:t>51,515</w:t>
            </w:r>
          </w:p>
        </w:tc>
        <w:tc>
          <w:tcPr>
            <w:tcW w:w="1620" w:type="dxa"/>
          </w:tcPr>
          <w:p w:rsidR="00747EB4" w:rsidRDefault="00747EB4" w:rsidP="00431D19">
            <w:pPr>
              <w:jc w:val="right"/>
            </w:pPr>
            <w:r>
              <w:t>(12,410)</w:t>
            </w:r>
          </w:p>
        </w:tc>
        <w:tc>
          <w:tcPr>
            <w:tcW w:w="1736" w:type="dxa"/>
          </w:tcPr>
          <w:p w:rsidR="00747EB4" w:rsidRDefault="00747EB4" w:rsidP="00431D19">
            <w:pPr>
              <w:jc w:val="right"/>
            </w:pPr>
            <w:r>
              <w:t>38,355</w:t>
            </w:r>
          </w:p>
        </w:tc>
      </w:tr>
      <w:tr w:rsidR="00747EB4" w:rsidTr="00431D19">
        <w:trPr>
          <w:jc w:val="center"/>
        </w:trPr>
        <w:tc>
          <w:tcPr>
            <w:tcW w:w="3611" w:type="dxa"/>
          </w:tcPr>
          <w:p w:rsidR="00747EB4" w:rsidRDefault="00747EB4" w:rsidP="00431D19">
            <w:r>
              <w:t>Commission Filing Fee</w:t>
            </w:r>
          </w:p>
        </w:tc>
        <w:tc>
          <w:tcPr>
            <w:tcW w:w="1695" w:type="dxa"/>
          </w:tcPr>
          <w:p w:rsidR="00747EB4" w:rsidRDefault="00747EB4" w:rsidP="00431D19">
            <w:pPr>
              <w:jc w:val="right"/>
            </w:pPr>
            <w:r>
              <w:t>9,000</w:t>
            </w:r>
          </w:p>
        </w:tc>
        <w:tc>
          <w:tcPr>
            <w:tcW w:w="1620" w:type="dxa"/>
          </w:tcPr>
          <w:p w:rsidR="00747EB4" w:rsidRDefault="00747EB4" w:rsidP="00431D19">
            <w:pPr>
              <w:jc w:val="right"/>
            </w:pPr>
            <w:r>
              <w:t>0</w:t>
            </w:r>
          </w:p>
        </w:tc>
        <w:tc>
          <w:tcPr>
            <w:tcW w:w="1736" w:type="dxa"/>
          </w:tcPr>
          <w:p w:rsidR="00747EB4" w:rsidRDefault="00747EB4" w:rsidP="00431D19">
            <w:pPr>
              <w:jc w:val="right"/>
            </w:pPr>
            <w:r>
              <w:t>9,000</w:t>
            </w:r>
          </w:p>
        </w:tc>
      </w:tr>
      <w:tr w:rsidR="00747EB4" w:rsidTr="00431D19">
        <w:trPr>
          <w:jc w:val="center"/>
        </w:trPr>
        <w:tc>
          <w:tcPr>
            <w:tcW w:w="3611" w:type="dxa"/>
          </w:tcPr>
          <w:p w:rsidR="00747EB4" w:rsidRDefault="00747EB4" w:rsidP="00431D19">
            <w:r>
              <w:t>Kimley Horn</w:t>
            </w:r>
          </w:p>
        </w:tc>
        <w:tc>
          <w:tcPr>
            <w:tcW w:w="1695" w:type="dxa"/>
          </w:tcPr>
          <w:p w:rsidR="00747EB4" w:rsidRDefault="00747EB4" w:rsidP="00431D19">
            <w:pPr>
              <w:jc w:val="right"/>
            </w:pPr>
            <w:r>
              <w:t>16,835</w:t>
            </w:r>
          </w:p>
        </w:tc>
        <w:tc>
          <w:tcPr>
            <w:tcW w:w="1620" w:type="dxa"/>
          </w:tcPr>
          <w:p w:rsidR="00747EB4" w:rsidRDefault="00747EB4" w:rsidP="00431D19">
            <w:pPr>
              <w:jc w:val="right"/>
            </w:pPr>
            <w:r>
              <w:t>0</w:t>
            </w:r>
          </w:p>
        </w:tc>
        <w:tc>
          <w:tcPr>
            <w:tcW w:w="1736" w:type="dxa"/>
          </w:tcPr>
          <w:p w:rsidR="00747EB4" w:rsidRDefault="00747EB4" w:rsidP="00431D19">
            <w:pPr>
              <w:jc w:val="right"/>
            </w:pPr>
            <w:r>
              <w:t>16,835</w:t>
            </w:r>
          </w:p>
        </w:tc>
      </w:tr>
      <w:tr w:rsidR="00747EB4" w:rsidTr="00431D19">
        <w:trPr>
          <w:jc w:val="center"/>
        </w:trPr>
        <w:tc>
          <w:tcPr>
            <w:tcW w:w="3611" w:type="dxa"/>
          </w:tcPr>
          <w:p w:rsidR="00747EB4" w:rsidRDefault="00747EB4" w:rsidP="00431D19">
            <w:r>
              <w:t>Sunshine Water Services Company</w:t>
            </w:r>
          </w:p>
        </w:tc>
        <w:tc>
          <w:tcPr>
            <w:tcW w:w="1695" w:type="dxa"/>
          </w:tcPr>
          <w:p w:rsidR="00747EB4" w:rsidRDefault="00747EB4" w:rsidP="00431D19">
            <w:pPr>
              <w:jc w:val="right"/>
            </w:pPr>
            <w:r>
              <w:t>12,000</w:t>
            </w:r>
          </w:p>
        </w:tc>
        <w:tc>
          <w:tcPr>
            <w:tcW w:w="1620" w:type="dxa"/>
          </w:tcPr>
          <w:p w:rsidR="00747EB4" w:rsidRDefault="00747EB4" w:rsidP="00431D19">
            <w:pPr>
              <w:jc w:val="right"/>
            </w:pPr>
            <w:r>
              <w:t>(2,400)</w:t>
            </w:r>
          </w:p>
        </w:tc>
        <w:tc>
          <w:tcPr>
            <w:tcW w:w="1736" w:type="dxa"/>
          </w:tcPr>
          <w:p w:rsidR="00747EB4" w:rsidRDefault="00747EB4" w:rsidP="00431D19">
            <w:pPr>
              <w:jc w:val="right"/>
            </w:pPr>
            <w:r>
              <w:t>9,600</w:t>
            </w:r>
          </w:p>
        </w:tc>
      </w:tr>
      <w:tr w:rsidR="00747EB4" w:rsidTr="00431D19">
        <w:trPr>
          <w:jc w:val="center"/>
        </w:trPr>
        <w:tc>
          <w:tcPr>
            <w:tcW w:w="3611" w:type="dxa"/>
          </w:tcPr>
          <w:p w:rsidR="00747EB4" w:rsidRDefault="00747EB4" w:rsidP="00431D19">
            <w:r>
              <w:t>Noticing &amp; Supplies</w:t>
            </w:r>
          </w:p>
        </w:tc>
        <w:tc>
          <w:tcPr>
            <w:tcW w:w="1695" w:type="dxa"/>
          </w:tcPr>
          <w:p w:rsidR="00747EB4" w:rsidRPr="007161F6" w:rsidRDefault="00747EB4" w:rsidP="00431D19">
            <w:pPr>
              <w:jc w:val="right"/>
              <w:rPr>
                <w:u w:val="single"/>
              </w:rPr>
            </w:pPr>
            <w:r w:rsidRPr="007161F6">
              <w:rPr>
                <w:u w:val="single"/>
              </w:rPr>
              <w:t>10</w:t>
            </w:r>
            <w:r>
              <w:rPr>
                <w:u w:val="single"/>
              </w:rPr>
              <w:t>3,000</w:t>
            </w:r>
          </w:p>
        </w:tc>
        <w:tc>
          <w:tcPr>
            <w:tcW w:w="1620" w:type="dxa"/>
          </w:tcPr>
          <w:p w:rsidR="00747EB4" w:rsidRPr="00A31DCB" w:rsidRDefault="00747EB4" w:rsidP="00431D19">
            <w:pPr>
              <w:jc w:val="right"/>
              <w:rPr>
                <w:u w:val="single"/>
              </w:rPr>
            </w:pPr>
            <w:r w:rsidRPr="00A31DCB">
              <w:rPr>
                <w:u w:val="single"/>
              </w:rPr>
              <w:t>0</w:t>
            </w:r>
          </w:p>
        </w:tc>
        <w:tc>
          <w:tcPr>
            <w:tcW w:w="1736" w:type="dxa"/>
          </w:tcPr>
          <w:p w:rsidR="00747EB4" w:rsidRPr="00A31DCB" w:rsidRDefault="00747EB4" w:rsidP="00431D19">
            <w:pPr>
              <w:jc w:val="right"/>
              <w:rPr>
                <w:u w:val="single"/>
              </w:rPr>
            </w:pPr>
            <w:r w:rsidRPr="00A31DCB">
              <w:rPr>
                <w:u w:val="single"/>
              </w:rPr>
              <w:t>103,000</w:t>
            </w:r>
          </w:p>
        </w:tc>
      </w:tr>
      <w:tr w:rsidR="00747EB4" w:rsidTr="00431D19">
        <w:trPr>
          <w:jc w:val="center"/>
        </w:trPr>
        <w:tc>
          <w:tcPr>
            <w:tcW w:w="3611" w:type="dxa"/>
          </w:tcPr>
          <w:p w:rsidR="00747EB4" w:rsidRPr="00DE2E4B" w:rsidRDefault="00747EB4" w:rsidP="00431D19">
            <w:pPr>
              <w:rPr>
                <w:b/>
              </w:rPr>
            </w:pPr>
            <w:r w:rsidRPr="00DE2E4B">
              <w:rPr>
                <w:b/>
              </w:rPr>
              <w:t>Total</w:t>
            </w:r>
          </w:p>
        </w:tc>
        <w:tc>
          <w:tcPr>
            <w:tcW w:w="1695" w:type="dxa"/>
          </w:tcPr>
          <w:p w:rsidR="00747EB4" w:rsidRPr="007161F6" w:rsidRDefault="00747EB4" w:rsidP="00431D19">
            <w:pPr>
              <w:jc w:val="right"/>
              <w:rPr>
                <w:b/>
                <w:u w:val="double"/>
              </w:rPr>
            </w:pPr>
            <w:r w:rsidRPr="007161F6">
              <w:rPr>
                <w:b/>
                <w:u w:val="double"/>
              </w:rPr>
              <w:t>$</w:t>
            </w:r>
            <w:r>
              <w:rPr>
                <w:b/>
                <w:u w:val="double"/>
              </w:rPr>
              <w:t>593,149</w:t>
            </w:r>
          </w:p>
        </w:tc>
        <w:tc>
          <w:tcPr>
            <w:tcW w:w="1620" w:type="dxa"/>
          </w:tcPr>
          <w:p w:rsidR="00747EB4" w:rsidRPr="00A31DCB" w:rsidRDefault="00747EB4" w:rsidP="00431D19">
            <w:pPr>
              <w:jc w:val="right"/>
              <w:rPr>
                <w:b/>
                <w:u w:val="double"/>
              </w:rPr>
            </w:pPr>
            <w:r w:rsidRPr="00A31DCB">
              <w:rPr>
                <w:b/>
                <w:u w:val="double"/>
              </w:rPr>
              <w:t>($22,272)</w:t>
            </w:r>
          </w:p>
        </w:tc>
        <w:tc>
          <w:tcPr>
            <w:tcW w:w="1736" w:type="dxa"/>
          </w:tcPr>
          <w:p w:rsidR="00747EB4" w:rsidRPr="00A31DCB" w:rsidRDefault="00747EB4" w:rsidP="00431D19">
            <w:pPr>
              <w:jc w:val="right"/>
              <w:rPr>
                <w:b/>
                <w:u w:val="double"/>
              </w:rPr>
            </w:pPr>
            <w:r w:rsidRPr="00A31DCB">
              <w:rPr>
                <w:b/>
                <w:u w:val="double"/>
              </w:rPr>
              <w:t>$570,877</w:t>
            </w:r>
          </w:p>
        </w:tc>
      </w:tr>
    </w:tbl>
    <w:p w:rsidR="00747EB4" w:rsidRDefault="00747EB4" w:rsidP="00431D19">
      <w:pPr>
        <w:pStyle w:val="TableSource"/>
      </w:pPr>
      <w:r>
        <w:t>Source: (EXH 84, BSP E15174 – E15330)</w:t>
      </w:r>
    </w:p>
    <w:p w:rsidR="00747EB4" w:rsidRPr="002C0BA8" w:rsidRDefault="00747EB4" w:rsidP="00431D19">
      <w:pPr>
        <w:pStyle w:val="BodyText"/>
      </w:pPr>
      <w:r>
        <w:t xml:space="preserve">The recommended total rate case expense is $570,877. Pursuant to Section 367.081(8) F.S., rate case expense should be amortized over four years unless a longer period can be justified and is in the public interest. A longer period was not requested by the Utility, nor proposed by OPC. As such, this represents an annual expense of $142,719. In its MFRs, Sunshine requested $676,030, with an annual amortization amount of $169,008. </w:t>
      </w:r>
      <w:r w:rsidRPr="00D74235">
        <w:t>(</w:t>
      </w:r>
      <w:r>
        <w:t>EXH 10, BSP C4-452</w:t>
      </w:r>
      <w:r w:rsidRPr="00D74235">
        <w:t>)</w:t>
      </w:r>
      <w:r>
        <w:t xml:space="preserve"> Based on the Utility’s original filing, the annual amortization of rate case expense should be decreased by $26,288 ($142,719 – $169,008).</w:t>
      </w:r>
      <w:r w:rsidRPr="00D864A9">
        <w:t xml:space="preserve"> </w:t>
      </w:r>
      <w:r>
        <w:t>As such, staff recommends an annual expense of $73,952 for water and $68,767 for wastewater. Based on the Utility’s original filing, the annual amortization of rate case expense should be decreased by $13,622 for water and $12,667 for wastewater.</w:t>
      </w:r>
    </w:p>
    <w:p w:rsidR="0019248E" w:rsidRDefault="0019248E" w:rsidP="0019248E">
      <w:r>
        <w:br w:type="page"/>
      </w:r>
    </w:p>
    <w:p w:rsidR="00747EB4" w:rsidRDefault="00747EB4">
      <w:pPr>
        <w:pStyle w:val="IssueHeading"/>
        <w:rPr>
          <w:vanish/>
          <w:specVanish/>
        </w:rPr>
      </w:pPr>
      <w:r w:rsidRPr="004C3641">
        <w:lastRenderedPageBreak/>
        <w:t xml:space="preserve">Issue </w:t>
      </w:r>
      <w:r>
        <w:fldChar w:fldCharType="begin"/>
      </w:r>
      <w:r>
        <w:instrText>seq issue \r 26</w:instrText>
      </w:r>
      <w:r>
        <w:fldChar w:fldCharType="separate"/>
      </w:r>
      <w:r w:rsidR="009D3FF7">
        <w:rPr>
          <w:noProof/>
        </w:rPr>
        <w:t>26</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2" w:name="_Toc196317144"/>
      <w:r w:rsidR="009D3FF7">
        <w:rPr>
          <w:noProof/>
        </w:rPr>
        <w:instrText>26</w:instrText>
      </w:r>
      <w:r>
        <w:fldChar w:fldCharType="end"/>
      </w:r>
      <w:r>
        <w:tab/>
        <w:instrText>Pro Forma O&amp;M Expense (</w:instrText>
      </w:r>
      <w:r w:rsidRPr="00A442E5">
        <w:instrText>Przygocki, Sanchez</w:instrText>
      </w:r>
      <w:r>
        <w:instrText>,</w:instrText>
      </w:r>
      <w:r w:rsidRPr="00A442E5">
        <w:instrText xml:space="preserve"> Chambliss</w:instrText>
      </w:r>
      <w:r>
        <w:instrText>)</w:instrText>
      </w:r>
      <w:bookmarkEnd w:id="42"/>
      <w:r>
        <w:instrText xml:space="preserve">" \l 1 </w:instrText>
      </w:r>
      <w:r>
        <w:fldChar w:fldCharType="end"/>
      </w:r>
      <w:r>
        <w:t> </w:t>
      </w:r>
    </w:p>
    <w:p w:rsidR="00747EB4" w:rsidRDefault="00747EB4">
      <w:pPr>
        <w:pStyle w:val="BodyText"/>
      </w:pPr>
      <w:r>
        <w:t> Should any adjustment be made to the Utility's proposed pro forma expenses?</w:t>
      </w:r>
    </w:p>
    <w:p w:rsidR="00747EB4" w:rsidRPr="004C3641" w:rsidRDefault="00747EB4">
      <w:pPr>
        <w:pStyle w:val="IssueSubsectionHeading"/>
        <w:rPr>
          <w:vanish/>
          <w:specVanish/>
        </w:rPr>
      </w:pPr>
      <w:r w:rsidRPr="004C3641">
        <w:t>Recommendation: </w:t>
      </w:r>
    </w:p>
    <w:p w:rsidR="00747EB4" w:rsidRDefault="00747EB4">
      <w:pPr>
        <w:pStyle w:val="BodyText"/>
      </w:pPr>
      <w:r>
        <w:t> Yes. Pro forma expenses should be decreased by $467,149 for water and $203,524 for wastewater. (Przygocki, Chambliss, Sanchez)</w:t>
      </w:r>
    </w:p>
    <w:p w:rsidR="00747EB4" w:rsidRPr="004C3641" w:rsidRDefault="00747EB4">
      <w:pPr>
        <w:pStyle w:val="IssueSubsectionHeading"/>
        <w:keepNext/>
        <w:rPr>
          <w:iCs w:val="0"/>
        </w:rPr>
      </w:pPr>
      <w:r w:rsidRPr="004C3641">
        <w:rPr>
          <w:iCs w:val="0"/>
        </w:rPr>
        <w:t>Position of the Parties</w:t>
      </w:r>
    </w:p>
    <w:p w:rsidR="00747EB4" w:rsidRDefault="00747EB4" w:rsidP="00431D19">
      <w:pPr>
        <w:pStyle w:val="PartyName"/>
        <w:rPr>
          <w:vanish/>
          <w:specVanish/>
        </w:rPr>
      </w:pPr>
      <w:r>
        <w:t>SUNSHINE: </w:t>
      </w:r>
    </w:p>
    <w:p w:rsidR="00747EB4" w:rsidRDefault="00747EB4">
      <w:pPr>
        <w:pStyle w:val="BodyText"/>
      </w:pPr>
      <w:r>
        <w:t> </w:t>
      </w:r>
      <w:r>
        <w:rPr>
          <w:rFonts w:eastAsia="Calibri"/>
        </w:rPr>
        <w:t>Yes, with a repression adjustment made to wastewater rates, an adjustment to wastewater expenses totaling $(35,770) for purchased wastewater, sludge disposal, purchased power and chemical expenses should be made.</w:t>
      </w:r>
    </w:p>
    <w:p w:rsidR="00747EB4" w:rsidRDefault="00747EB4" w:rsidP="00431D19">
      <w:pPr>
        <w:pStyle w:val="PartyName"/>
        <w:rPr>
          <w:vanish/>
          <w:specVanish/>
        </w:rPr>
      </w:pPr>
      <w:r>
        <w:t>OPC: </w:t>
      </w:r>
    </w:p>
    <w:p w:rsidR="00747EB4" w:rsidRDefault="00747EB4">
      <w:pPr>
        <w:pStyle w:val="BodyText"/>
      </w:pPr>
      <w:r>
        <w:t> Yes. Several adjustments to the Company’s expense claims should be made, as discussed in OPC witness Smith’s testimony and his EXH 41. Fees for third-party payment convenience, Directors and Officers Liability insurance Premiums, and certain legal fees.</w:t>
      </w:r>
    </w:p>
    <w:p w:rsidR="00747EB4" w:rsidRPr="004C3641" w:rsidRDefault="00747EB4">
      <w:pPr>
        <w:pStyle w:val="IssueSubsectionHeading"/>
        <w:rPr>
          <w:vanish/>
          <w:specVanish/>
        </w:rPr>
      </w:pPr>
      <w:r w:rsidRPr="004C3641">
        <w:t>Staff Analysis: </w:t>
      </w:r>
    </w:p>
    <w:p w:rsidR="00747EB4" w:rsidRDefault="00747EB4" w:rsidP="00431D19">
      <w:pPr>
        <w:pStyle w:val="BodyText"/>
      </w:pPr>
      <w:r>
        <w:t> Sunshine requested several pro form</w:t>
      </w:r>
      <w:r w:rsidR="00241F05">
        <w:t>a</w:t>
      </w:r>
      <w:r>
        <w:t xml:space="preserve"> O&amp;M adjustments in its initial filing, including several annualization adjustments for increases in rates for purchased water, sewer, sludge hauling, and chemicals. (EXH 10) Staff evaluated the requests and recommends several adjustments, as discussed below. </w:t>
      </w:r>
    </w:p>
    <w:p w:rsidR="00747EB4" w:rsidRDefault="00747EB4" w:rsidP="00431D19">
      <w:pPr>
        <w:pStyle w:val="First-LevelSubheading"/>
      </w:pPr>
      <w:r>
        <w:t>Salaries &amp; Wages</w:t>
      </w:r>
    </w:p>
    <w:p w:rsidR="00747EB4" w:rsidRDefault="00747EB4" w:rsidP="00431D19">
      <w:pPr>
        <w:pStyle w:val="BodyText"/>
      </w:pPr>
      <w:r>
        <w:t>Sunshine</w:t>
      </w:r>
      <w:r w:rsidRPr="00E7434A">
        <w:t xml:space="preserve"> witness DeStefano stated the Utility compared the payroll and benefits data in the test year to the updated </w:t>
      </w:r>
      <w:r>
        <w:t>employee listing for those filled and vacant positions</w:t>
      </w:r>
      <w:r w:rsidRPr="00E7434A">
        <w:t xml:space="preserve"> at the time of filing. </w:t>
      </w:r>
      <w:r>
        <w:t>(TR 113) Sunshine</w:t>
      </w:r>
      <w:r w:rsidRPr="00E7434A">
        <w:t xml:space="preserve"> used the d</w:t>
      </w:r>
      <w:r>
        <w:t>ifference to calculate</w:t>
      </w:r>
      <w:r w:rsidRPr="00E7434A">
        <w:t xml:space="preserve"> a pro forma salaries &amp; wages adjustment of $449,762 for water and $418,580 for wastewater to Account</w:t>
      </w:r>
      <w:r>
        <w:t xml:space="preserve"> Nos.</w:t>
      </w:r>
      <w:r w:rsidRPr="00E7434A">
        <w:t xml:space="preserve"> 601</w:t>
      </w:r>
      <w:r>
        <w:t>/701 – Salaries &amp; Wages – Employees</w:t>
      </w:r>
      <w:r w:rsidRPr="00E7434A">
        <w:t xml:space="preserve">. The Utility also calculated a pro forma increase of $62,733 for water and $58,357 for wastewater in </w:t>
      </w:r>
      <w:r>
        <w:t>A</w:t>
      </w:r>
      <w:r w:rsidRPr="00E7434A">
        <w:t>ccount</w:t>
      </w:r>
      <w:r>
        <w:t xml:space="preserve"> Nos.</w:t>
      </w:r>
      <w:r w:rsidRPr="00E7434A">
        <w:t xml:space="preserve"> 604/704 – Employee Pensions and Benefits. </w:t>
      </w:r>
      <w:r>
        <w:t>(EXH 10, BSP C4-439)</w:t>
      </w:r>
      <w:r w:rsidRPr="00E7434A">
        <w:t xml:space="preserve"> OPC did not </w:t>
      </w:r>
      <w:r>
        <w:t>dispute</w:t>
      </w:r>
      <w:r w:rsidRPr="00E7434A">
        <w:t xml:space="preserve"> th</w:t>
      </w:r>
      <w:r>
        <w:t>ese</w:t>
      </w:r>
      <w:r w:rsidRPr="00E7434A">
        <w:t xml:space="preserve"> adjustment</w:t>
      </w:r>
      <w:r>
        <w:t>s</w:t>
      </w:r>
      <w:r w:rsidRPr="00E7434A">
        <w:t xml:space="preserve">. Staff </w:t>
      </w:r>
      <w:r>
        <w:t xml:space="preserve">believes this is a reasonable method to capture and represent the most current employee information available. </w:t>
      </w:r>
    </w:p>
    <w:p w:rsidR="00747EB4" w:rsidRDefault="00747EB4" w:rsidP="00431D19">
      <w:pPr>
        <w:pStyle w:val="First-LevelSubheading"/>
      </w:pPr>
      <w:r>
        <w:t>Insurance Expense</w:t>
      </w:r>
    </w:p>
    <w:p w:rsidR="00747EB4" w:rsidRPr="00E7434A" w:rsidRDefault="00747EB4" w:rsidP="00431D19">
      <w:pPr>
        <w:pStyle w:val="BodyText"/>
      </w:pPr>
      <w:r>
        <w:t>W</w:t>
      </w:r>
      <w:r w:rsidRPr="00E7434A">
        <w:t>itness DeStefano argued the Utility adjusted the insurance expense for known changes in the policy premiums that became known or went into effect during or after the test year.</w:t>
      </w:r>
      <w:r>
        <w:t xml:space="preserve"> (TR 113)</w:t>
      </w:r>
      <w:r w:rsidRPr="00E7434A">
        <w:t xml:space="preserve"> The Utility also calculated the portion of annualized policy premiums allocable to Sunshine. </w:t>
      </w:r>
      <w:r>
        <w:t xml:space="preserve">(TR 113) </w:t>
      </w:r>
      <w:r w:rsidRPr="00E7434A">
        <w:t xml:space="preserve">The pro forma insurance expense adjustment was calculated to be $97,358 across accounts 656 to 659 for water </w:t>
      </w:r>
      <w:r>
        <w:t xml:space="preserve">and </w:t>
      </w:r>
      <w:r w:rsidRPr="00E7434A">
        <w:t xml:space="preserve">$75,055 across accounts 756 to 759 for wastewater. </w:t>
      </w:r>
      <w:r>
        <w:t>(TR 113)</w:t>
      </w:r>
      <w:r w:rsidRPr="00E7434A">
        <w:t xml:space="preserve"> OPC did not </w:t>
      </w:r>
      <w:r>
        <w:t>dispute</w:t>
      </w:r>
      <w:r w:rsidRPr="00E7434A">
        <w:t xml:space="preserve"> th</w:t>
      </w:r>
      <w:r>
        <w:t>ese</w:t>
      </w:r>
      <w:r w:rsidRPr="00E7434A">
        <w:t xml:space="preserve"> adjustment</w:t>
      </w:r>
      <w:r>
        <w:t>s</w:t>
      </w:r>
      <w:r w:rsidRPr="00E7434A">
        <w:t xml:space="preserve">. Staff </w:t>
      </w:r>
      <w:r>
        <w:t>believes this is a reasonable method to capture and represent the most current insurance information available</w:t>
      </w:r>
      <w:r w:rsidRPr="00E7434A">
        <w:t>.</w:t>
      </w:r>
      <w:r>
        <w:t xml:space="preserve"> </w:t>
      </w:r>
    </w:p>
    <w:p w:rsidR="00747EB4" w:rsidRDefault="00747EB4" w:rsidP="00431D19">
      <w:pPr>
        <w:pStyle w:val="First-LevelSubheading"/>
      </w:pPr>
      <w:r>
        <w:t>Payment Convenience Processing Fees</w:t>
      </w:r>
    </w:p>
    <w:p w:rsidR="00747EB4" w:rsidRDefault="00747EB4" w:rsidP="00431D19">
      <w:pPr>
        <w:pStyle w:val="BodyText"/>
      </w:pPr>
      <w:r>
        <w:t xml:space="preserve">In witness DeStefano’s testimony, the Utility proposed to recover $386,919 of third-party vendor payment processing charges in its revenue requirement. (TR 118) Witness DeStefano proposed that First Billing Services, which is the third-party vendor, would directly bill the Utility for the transaction charges rather than directly charge the customers. (TR 117) In witness DeStefano’s testimony, the Utility stated that its customers are charged a fee based on the payment amount, customer classification, and payment method (echeck, debit/credit) when paying their bill electronically. (TR 115) In its briefs, the Utility asserted that since its last test year there has been </w:t>
      </w:r>
      <w:r>
        <w:lastRenderedPageBreak/>
        <w:t xml:space="preserve">an increase in customer’s use of electronic payment methods. (Sunshine BR 16) Witness DeStefano testimony indicated that customers have a growing expectation for fee-free electronic transactions. (TR 116) Therefore, witness DeStefano believed it is appropriate to offer fully fee-free payment options for its customers by recovering the costs to process payments through its cost of service. In response to staff’s interrogatories, the Utility asserted that approximately 40.7 percent of its customer base that choose to use the electronic payment method. (EXH 66, BSP 456, Sunshine BR 16) </w:t>
      </w:r>
    </w:p>
    <w:p w:rsidR="00747EB4" w:rsidRDefault="00747EB4" w:rsidP="00431D19">
      <w:pPr>
        <w:pStyle w:val="BodyText"/>
      </w:pPr>
      <w:r>
        <w:t>In witness DeStefano’s testimony, the Utility believed that its customers would be able to choose the best method of payment for their situation. (TR 116) The Utility argued a few benefits as to why fee-free payment options would be beneficial for its customers. Witness DeStefano stated that its customers would be able to take advantage of incentives such as rewards or cashback with their credit card provider as well as automate their payment to better manage their budget and avoid payment delays. (TR 116-117) In witness DeStefano’s testimony, the Utility argued the benefits for the Utility as well, such as: better options to make a payment, improve the adoption of electronic and paperless billing practices, and lesser need for calls and contacts with the Utility’s customer experience team. (TR 118) In its briefs, the Utility asserted that the cost for payment options included in the revenue requirement would be fair and reasonable. (Sunshine BR 16-17)</w:t>
      </w:r>
    </w:p>
    <w:p w:rsidR="00747EB4" w:rsidRDefault="00747EB4" w:rsidP="00431D19">
      <w:pPr>
        <w:pStyle w:val="BodyText"/>
      </w:pPr>
      <w:r>
        <w:t xml:space="preserve">OPC witness Smith rejected the Utility’s proposal of recovering $368,919 of third-party payment processing charges in its revenue requirement. (TR 405-406; OPC BR 36) Witness Smith argued that regardless of how a customer chooses to pay their bill electronically, the charges that are associated with the convenient forms of payment should be charged by the cost-causer. (TR 405) In witness Smith’s testimony, OPC indicated that pursuant to the cost-causer, cost-payer principle, the Commission has required water and sewer utility customers using payment methods for convenience which encompass additional charges to pay for those additional fees, instead of having the additional convenient payment charges be socialized and borne by all the Utility’s customers. (TR 405) </w:t>
      </w:r>
    </w:p>
    <w:p w:rsidR="00747EB4" w:rsidRDefault="00747EB4" w:rsidP="00431D19">
      <w:pPr>
        <w:pStyle w:val="BodyText"/>
      </w:pPr>
      <w:r>
        <w:t xml:space="preserve">During the hearing, witness DeStefano was asked if he agreed that the cost causer principle is that customers who cause costs to the system should pay for the costs. (TR 125) Witness DeStefano agreed that’s the general principle, but stated that in the 2016 consolidated rate case, for instance, consolidated rates would override that principle because of the benefits. (TR 125) </w:t>
      </w:r>
    </w:p>
    <w:p w:rsidR="00747EB4" w:rsidRDefault="00747EB4" w:rsidP="00431D19">
      <w:pPr>
        <w:pStyle w:val="BodyText"/>
      </w:pPr>
      <w:r>
        <w:t>OPC in its brief stated that the consolidation of multiple water and wastewater system is fundamentally different than a payment option chosen by a single customer and when systems consolidate, the customers are entitled to reasonably equal water and wastewater services and should pay the same rates for the same services rendered. OPC in its brief further argued that subsidizing and socializing payment transaction fees incurred by an individual’s choice does not provide any of those benefits or align with the Commission’s practice and that the Commission should “draw the line” when the cost causer incurs a cost for their own convenience. (OPC BR 35)</w:t>
      </w:r>
    </w:p>
    <w:p w:rsidR="00747EB4" w:rsidRDefault="00747EB4" w:rsidP="00431D19">
      <w:pPr>
        <w:pStyle w:val="BodyText"/>
      </w:pPr>
      <w:r>
        <w:t xml:space="preserve">Witness DeStefano stated that some of the payment options have charges while some do not. (TR 125) Overall, the Utility’s customers have the option to pay their bill electronically; the Utility does not plan to change any of its payment options. (Sunshine BR 35) Witness Smith indicated </w:t>
      </w:r>
      <w:r>
        <w:lastRenderedPageBreak/>
        <w:t xml:space="preserve">that when customers choose to pay their bill electronically is a convenience of their own and the charges incurred for that convenience should be the cost causer’s responsibility and not the general body of customers. </w:t>
      </w:r>
    </w:p>
    <w:p w:rsidR="00747EB4" w:rsidRDefault="00747EB4" w:rsidP="00431D19">
      <w:pPr>
        <w:pStyle w:val="BodyText"/>
      </w:pPr>
      <w:r>
        <w:t>At the hearing, witness DeStefano indicated that allowing the Utility to recover the transaction charges in the revenue requirement will benefit the customers and allow them to select the payment of their choice without the burden of charges. (TR 120) As stated earlier, approximately 40 percent of the customer base choose to use the electronic payment method when paying their bill. This is more than half of the customer base that should not have to bear the costs to have a fee-free payment method. Staff believes that this is not a sufficient amount of customers that choose to use electronic payment method. OPC recommends that the Commission not approve Sunshine’s proposal of fee-free electronic payment method of transaction charges, which would socialize and subsidize transaction charges to all customers, regardless of the payment method to justify the cost being subsidized by the general body of customers. (OPC BR 34) Staff agrees with OPC’s recommendation, because there is insufficient subscription to the electronic payment method to justify spreading the cost to all ratepayers. Furthermore, it has been the Commission’s practice to place the burden of such charges on the cost causer rather than the general body of customers. Therefore, staff recommends that the Commission not approve the Utility’s proposal to recover $386,919 of third-party payment processing charges in its revenue requirement. Therefore, the revenue requirement should be reduced by $200,501 for water and $186,418 for wastewater.</w:t>
      </w:r>
    </w:p>
    <w:p w:rsidR="00747EB4" w:rsidRDefault="00747EB4" w:rsidP="00431D19">
      <w:pPr>
        <w:pStyle w:val="First-LevelSubheading"/>
      </w:pPr>
      <w:r>
        <w:t>Pro Forma Capitalized Labor</w:t>
      </w:r>
    </w:p>
    <w:p w:rsidR="00747EB4" w:rsidRDefault="00747EB4" w:rsidP="00431D19">
      <w:pPr>
        <w:pStyle w:val="BodyText"/>
      </w:pPr>
      <w:r>
        <w:t>Based on staff’s recommended adjustments to the Utility’s pro forma plant request in Issue 4, a corresponding adjustment should be made for capitalized labor. O&amp;M expense should be increased by $14,014 for water and decreased by $17,106 for wastewater to reflect staff’s recommended pro forma plant additions.</w:t>
      </w:r>
    </w:p>
    <w:p w:rsidR="00747EB4" w:rsidRDefault="00241F05" w:rsidP="00431D19">
      <w:pPr>
        <w:pStyle w:val="First-LevelSubheading"/>
      </w:pPr>
      <w:r>
        <w:t>Pro Forma AMI Project Expense</w:t>
      </w:r>
    </w:p>
    <w:p w:rsidR="00747EB4" w:rsidRDefault="00747EB4" w:rsidP="00431D19">
      <w:pPr>
        <w:pStyle w:val="BodyText"/>
      </w:pPr>
      <w:r>
        <w:t>As discussed in Issue 4A, Sunshine is requesting cost recovery for the replacement of its existing water meters for all customers within its service territory and the installation of 47 communication towers to utilize the new technology. The installation of AMI meters offers operational savings associated with the reduction in meter reading staffing, whereas pro forma costs are associated with the requisite software to create a web portal and related offerings based on the AMI technology. The Utility included in its MFRs, an additional $45,080 in annual cellular service subscription costs. (EXH 76, BSP E1926)</w:t>
      </w:r>
    </w:p>
    <w:p w:rsidR="00747EB4" w:rsidRDefault="00747EB4" w:rsidP="00431D19">
      <w:pPr>
        <w:pStyle w:val="BodyText"/>
      </w:pPr>
      <w:r>
        <w:t xml:space="preserve">Witness Twomey has stated that Sunshine currently employs six full-time employees and one part-time employee that are dedicated to meter reading. Once the project is complete, only two full-time employees and one part-time employees are expected to be dedicated to maintaining the AMI hardware and software. (EXH 76, BSP E1926) The Utility expects this project to generate annual operation expense savings of approximately $280,662 per annum by the reassignment of four meter readers, along with compensation, benefits, and vehicle expenses. (TR 561; EXH 76, BSP E1927) Sunshine did not opt to make an adjustment for this reduction in expenses, stating that Sunshine would reassign the existing employees to operations, growth, and preventative </w:t>
      </w:r>
      <w:r>
        <w:lastRenderedPageBreak/>
        <w:t>maintenance tasks in order to maintain current staffing levels to avoid the risk of service issues in coming years. (TR 562-565)</w:t>
      </w:r>
    </w:p>
    <w:p w:rsidR="00747EB4" w:rsidRDefault="00747EB4" w:rsidP="00431D19">
      <w:pPr>
        <w:pStyle w:val="BodyText"/>
      </w:pPr>
      <w:r>
        <w:t>While OPC witness Smith argued that operational savings from AMI meters are speculative, he also argued that the Utility created a mismatch by including the cost of the project being included in base rates but not the benefits associated with it. (TR 401) Witness Smith stated that any related cost savings or other benefits of the project, if materialized, would occur in periods beyond 2025. (TR 401) In his rebuttal testimony, witness Twomey acknowledged that any savings that might materialize would occur beyond 2025 and potential benefits from the project are not known and measurable, and therefore such speculative savings were not included in the revenue requirement of the project. (TR 561) Staff believes that inclusion of the ST-20 project associated costs in rate base and O&amp;M expenses should also result in inclusion of both the O&amp;M savings associated with it as well. Therefore, staff recommends an adjustment to reduce O&amp;M by $280,662 associated with the reduction in meter reading expenses. A corresponding reduction to payroll taxes is addressed in Issue 29.</w:t>
      </w:r>
    </w:p>
    <w:p w:rsidR="00747EB4" w:rsidRDefault="00747EB4" w:rsidP="00431D19">
      <w:pPr>
        <w:pStyle w:val="RecommendationMajorSectionHeading"/>
      </w:pPr>
      <w:r>
        <w:t>CONCLUSION</w:t>
      </w:r>
    </w:p>
    <w:p w:rsidR="00747EB4" w:rsidRDefault="00747EB4" w:rsidP="00431D19">
      <w:pPr>
        <w:pStyle w:val="BodyText"/>
      </w:pPr>
      <w:r>
        <w:t>Based on the adjustments discussed above, staff recommends adjustments to decrease pro forma O&amp;M expenses by a total of $</w:t>
      </w:r>
      <w:r w:rsidRPr="006451B8">
        <w:t>4</w:t>
      </w:r>
      <w:r>
        <w:t>67,149</w:t>
      </w:r>
      <w:r w:rsidRPr="006451B8">
        <w:t xml:space="preserve"> </w:t>
      </w:r>
      <w:r>
        <w:t>(-$200,501 + $14,014 - $280,662) for water and $203,524 (-$186,418 - $17,106) for wastewater.</w:t>
      </w:r>
    </w:p>
    <w:p w:rsidR="00502E06" w:rsidRDefault="00502E06" w:rsidP="00E275D8">
      <w:pPr>
        <w:pStyle w:val="BodyText"/>
      </w:pPr>
    </w:p>
    <w:p w:rsidR="00502E06" w:rsidRDefault="00502E06" w:rsidP="00502E06">
      <w:r>
        <w:br w:type="page"/>
      </w:r>
    </w:p>
    <w:p w:rsidR="00747EB4" w:rsidRDefault="00747EB4">
      <w:pPr>
        <w:pStyle w:val="IssueHeading"/>
        <w:rPr>
          <w:vanish/>
          <w:specVanish/>
        </w:rPr>
      </w:pPr>
      <w:r>
        <w:lastRenderedPageBreak/>
        <w:t xml:space="preserve"> </w:t>
      </w:r>
      <w:r w:rsidRPr="004C3641">
        <w:t xml:space="preserve">Issue </w:t>
      </w:r>
      <w:r>
        <w:fldChar w:fldCharType="begin"/>
      </w:r>
      <w:r>
        <w:instrText>seq issue \r 27</w:instrText>
      </w:r>
      <w:r>
        <w:fldChar w:fldCharType="separate"/>
      </w:r>
      <w:r w:rsidR="009D3FF7">
        <w:rPr>
          <w:noProof/>
        </w:rPr>
        <w:t>27</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3" w:name="_Toc196317145"/>
      <w:r w:rsidR="009D3FF7">
        <w:rPr>
          <w:noProof/>
        </w:rPr>
        <w:instrText>27</w:instrText>
      </w:r>
      <w:r>
        <w:fldChar w:fldCharType="end"/>
      </w:r>
      <w:r>
        <w:tab/>
        <w:instrText>Management Expenses (Bardin)</w:instrText>
      </w:r>
      <w:bookmarkEnd w:id="43"/>
      <w:r>
        <w:instrText xml:space="preserve">" \l 1 </w:instrText>
      </w:r>
      <w:r>
        <w:fldChar w:fldCharType="end"/>
      </w:r>
      <w:r>
        <w:t> </w:t>
      </w:r>
    </w:p>
    <w:p w:rsidR="00747EB4" w:rsidRDefault="00747EB4">
      <w:pPr>
        <w:pStyle w:val="BodyText"/>
      </w:pPr>
      <w:r>
        <w:t> Should any adjustment be made to the Utility's proposed management expenses?</w:t>
      </w:r>
    </w:p>
    <w:p w:rsidR="00747EB4" w:rsidRPr="004C3641" w:rsidRDefault="00747EB4">
      <w:pPr>
        <w:pStyle w:val="IssueSubsectionHeading"/>
        <w:rPr>
          <w:vanish/>
          <w:specVanish/>
        </w:rPr>
      </w:pPr>
      <w:r w:rsidRPr="004C3641">
        <w:t>Recommendation: </w:t>
      </w:r>
    </w:p>
    <w:p w:rsidR="00747EB4" w:rsidRDefault="00747EB4">
      <w:pPr>
        <w:pStyle w:val="BodyText"/>
      </w:pPr>
      <w:r>
        <w:t> S</w:t>
      </w:r>
      <w:r w:rsidRPr="00B73E57">
        <w:t>taff recommends test year management fees (Contractual Services – Management/Corporate/Regional Allocation) should be decreased by $</w:t>
      </w:r>
      <w:r>
        <w:t xml:space="preserve">33,768 </w:t>
      </w:r>
      <w:r w:rsidRPr="00B73E57">
        <w:t>for water and $</w:t>
      </w:r>
      <w:r>
        <w:t>31,393</w:t>
      </w:r>
      <w:r w:rsidRPr="00B73E57">
        <w:t xml:space="preserve"> for wastewater</w:t>
      </w:r>
      <w:r>
        <w:t>. (Bardin)</w:t>
      </w:r>
    </w:p>
    <w:p w:rsidR="00747EB4" w:rsidRPr="004C3641" w:rsidRDefault="00747EB4">
      <w:pPr>
        <w:pStyle w:val="IssueSubsectionHeading"/>
        <w:keepNext/>
        <w:rPr>
          <w:iCs w:val="0"/>
        </w:rPr>
      </w:pPr>
      <w:r w:rsidRPr="004C3641">
        <w:rPr>
          <w:iCs w:val="0"/>
        </w:rPr>
        <w:t>Position of the Parties</w:t>
      </w:r>
    </w:p>
    <w:p w:rsidR="00747EB4" w:rsidRDefault="00747EB4" w:rsidP="00431D19">
      <w:pPr>
        <w:pStyle w:val="PartyName"/>
        <w:rPr>
          <w:vanish/>
          <w:specVanish/>
        </w:rPr>
      </w:pPr>
      <w:r>
        <w:t>SUNSHINE: </w:t>
      </w:r>
    </w:p>
    <w:p w:rsidR="00747EB4" w:rsidRDefault="00747EB4">
      <w:pPr>
        <w:pStyle w:val="BodyText"/>
      </w:pPr>
      <w:r>
        <w:t> No.</w:t>
      </w:r>
    </w:p>
    <w:p w:rsidR="00747EB4" w:rsidRDefault="00747EB4" w:rsidP="00431D19">
      <w:pPr>
        <w:pStyle w:val="PartyName"/>
        <w:rPr>
          <w:vanish/>
          <w:specVanish/>
        </w:rPr>
      </w:pPr>
      <w:r>
        <w:t>OPC: </w:t>
      </w:r>
    </w:p>
    <w:p w:rsidR="00747EB4" w:rsidRDefault="00747EB4">
      <w:pPr>
        <w:pStyle w:val="BodyText"/>
      </w:pPr>
      <w:r>
        <w:t> Yes. Several adjustments to the Company’s expense claims should be made, as discussed in OPC witness Smith’s testimony and his EXH 41.</w:t>
      </w:r>
    </w:p>
    <w:p w:rsidR="00747EB4" w:rsidRPr="004C3641" w:rsidRDefault="00747EB4">
      <w:pPr>
        <w:pStyle w:val="IssueSubsectionHeading"/>
        <w:rPr>
          <w:vanish/>
          <w:specVanish/>
        </w:rPr>
      </w:pPr>
      <w:r w:rsidRPr="004C3641">
        <w:t>Staff Analysis: </w:t>
      </w:r>
    </w:p>
    <w:p w:rsidR="00747EB4" w:rsidRDefault="00747EB4" w:rsidP="00431D19">
      <w:pPr>
        <w:autoSpaceDE w:val="0"/>
        <w:autoSpaceDN w:val="0"/>
        <w:adjustRightInd w:val="0"/>
        <w:jc w:val="both"/>
      </w:pPr>
      <w:r>
        <w:t> </w:t>
      </w:r>
      <w:r w:rsidRPr="00B73E57">
        <w:rPr>
          <w:bCs/>
        </w:rPr>
        <w:t xml:space="preserve">Sunshine </w:t>
      </w:r>
      <w:r>
        <w:rPr>
          <w:bCs/>
        </w:rPr>
        <w:t>recommended that</w:t>
      </w:r>
      <w:r w:rsidRPr="00B73E57">
        <w:rPr>
          <w:bCs/>
        </w:rPr>
        <w:t xml:space="preserve"> no adjust</w:t>
      </w:r>
      <w:r>
        <w:rPr>
          <w:bCs/>
        </w:rPr>
        <w:t xml:space="preserve">ments be made to the test year management fees. </w:t>
      </w:r>
      <w:r>
        <w:t xml:space="preserve">OPC recommended that several expenses incorporated in the proposed management fees be reduced. (EXH 41, BSP C6-2122) </w:t>
      </w:r>
      <w:r w:rsidRPr="00517E3D">
        <w:t>On April 1, 2024, Sunshine’s parent closed on a merger with the parent of Southwest Water Company. As the result of the merger, in the future there will be an integration of administrative and general functions that support water and wastewater operations (Sunshine BR 23</w:t>
      </w:r>
      <w:r>
        <w:t>) Due to the finalization of the merger between CII and Nexus Water Group, there has been a consolidation of the board of directors, the elimination of three executive leadership positions in addition to office leases and insurance cost reductions. OPC stated that these saving should be reflected in this rate case. (OPC BR 38)</w:t>
      </w:r>
    </w:p>
    <w:p w:rsidR="00747EB4" w:rsidRPr="0014427E" w:rsidRDefault="00747EB4" w:rsidP="00431D19">
      <w:pPr>
        <w:autoSpaceDE w:val="0"/>
        <w:autoSpaceDN w:val="0"/>
        <w:adjustRightInd w:val="0"/>
        <w:jc w:val="both"/>
      </w:pPr>
    </w:p>
    <w:p w:rsidR="00747EB4" w:rsidRDefault="00747EB4" w:rsidP="00431D19">
      <w:pPr>
        <w:pStyle w:val="BodyText"/>
      </w:pPr>
      <w:r w:rsidRPr="0015027C">
        <w:t xml:space="preserve">Based on a review of the test year payments </w:t>
      </w:r>
      <w:r>
        <w:t xml:space="preserve">that </w:t>
      </w:r>
      <w:r w:rsidRPr="0015027C">
        <w:t>compris</w:t>
      </w:r>
      <w:r>
        <w:t>ed</w:t>
      </w:r>
      <w:r w:rsidRPr="0015027C">
        <w:t xml:space="preserve"> the allocated expenses for both</w:t>
      </w:r>
      <w:r>
        <w:t xml:space="preserve"> </w:t>
      </w:r>
      <w:r w:rsidRPr="0015027C">
        <w:t xml:space="preserve">CII and </w:t>
      </w:r>
      <w:r>
        <w:t>Water Service Corporation (</w:t>
      </w:r>
      <w:r w:rsidRPr="0015027C">
        <w:t>WSC</w:t>
      </w:r>
      <w:r>
        <w:t>)</w:t>
      </w:r>
      <w:r w:rsidRPr="0015027C">
        <w:t xml:space="preserve">, staff recommends a number of </w:t>
      </w:r>
      <w:r>
        <w:t xml:space="preserve">additional </w:t>
      </w:r>
      <w:r w:rsidRPr="0015027C">
        <w:t xml:space="preserve">adjustments for expenses that </w:t>
      </w:r>
      <w:r>
        <w:t>we</w:t>
      </w:r>
      <w:r w:rsidRPr="0015027C">
        <w:t>re included in the management fees. All reductions recommended were calculated using the allocation percentages provided by witness DeStefano</w:t>
      </w:r>
      <w:r>
        <w:t>, as reflected in the table below.</w:t>
      </w:r>
      <w:r w:rsidRPr="0015027C">
        <w:t xml:space="preserve"> (EX</w:t>
      </w:r>
      <w:r>
        <w:t xml:space="preserve">H 66, BSP E 546) </w:t>
      </w:r>
    </w:p>
    <w:p w:rsidR="00747EB4" w:rsidRPr="00945519" w:rsidRDefault="00747EB4" w:rsidP="00431D19">
      <w:pPr>
        <w:pStyle w:val="TableNumber"/>
        <w:keepNext/>
      </w:pPr>
      <w:r w:rsidRPr="00945519">
        <w:t xml:space="preserve">Table </w:t>
      </w:r>
      <w:r w:rsidR="00FF5F64">
        <w:fldChar w:fldCharType="begin"/>
      </w:r>
      <w:r w:rsidR="00FF5F64">
        <w:instrText xml:space="preserve"> SEQ Issue \c </w:instrText>
      </w:r>
      <w:r w:rsidR="00FF5F64">
        <w:fldChar w:fldCharType="separate"/>
      </w:r>
      <w:r w:rsidR="009D3FF7">
        <w:rPr>
          <w:noProof/>
        </w:rPr>
        <w:t>27</w:t>
      </w:r>
      <w:r w:rsidR="00FF5F64">
        <w:rPr>
          <w:noProof/>
        </w:rPr>
        <w:fldChar w:fldCharType="end"/>
      </w:r>
      <w:r w:rsidRPr="00945519">
        <w:t>-1</w:t>
      </w:r>
    </w:p>
    <w:p w:rsidR="00747EB4" w:rsidRPr="00945519" w:rsidRDefault="00747EB4" w:rsidP="00431D19">
      <w:pPr>
        <w:pStyle w:val="TableTitle"/>
        <w:keepNext/>
      </w:pPr>
      <w:r w:rsidRPr="00945519">
        <w:t>Sunshine Allocation</w:t>
      </w:r>
    </w:p>
    <w:tbl>
      <w:tblPr>
        <w:tblStyle w:val="TableGrid"/>
        <w:tblW w:w="0" w:type="auto"/>
        <w:jc w:val="center"/>
        <w:tblLook w:val="04A0" w:firstRow="1" w:lastRow="0" w:firstColumn="1" w:lastColumn="0" w:noHBand="0" w:noVBand="1"/>
      </w:tblPr>
      <w:tblGrid>
        <w:gridCol w:w="2304"/>
        <w:gridCol w:w="1440"/>
      </w:tblGrid>
      <w:tr w:rsidR="00747EB4" w:rsidRPr="00945519" w:rsidTr="00431D19">
        <w:trPr>
          <w:jc w:val="center"/>
        </w:trPr>
        <w:tc>
          <w:tcPr>
            <w:tcW w:w="2304" w:type="dxa"/>
            <w:vAlign w:val="bottom"/>
          </w:tcPr>
          <w:p w:rsidR="00747EB4" w:rsidRPr="00945519" w:rsidRDefault="00747EB4" w:rsidP="00431D19">
            <w:pPr>
              <w:jc w:val="center"/>
              <w:rPr>
                <w:b/>
              </w:rPr>
            </w:pPr>
            <w:r w:rsidRPr="00945519">
              <w:rPr>
                <w:b/>
              </w:rPr>
              <w:t xml:space="preserve">Allocation </w:t>
            </w:r>
          </w:p>
        </w:tc>
        <w:tc>
          <w:tcPr>
            <w:tcW w:w="1440" w:type="dxa"/>
            <w:vAlign w:val="bottom"/>
          </w:tcPr>
          <w:p w:rsidR="00747EB4" w:rsidRPr="00945519" w:rsidRDefault="00747EB4" w:rsidP="00431D19">
            <w:pPr>
              <w:jc w:val="center"/>
              <w:rPr>
                <w:b/>
              </w:rPr>
            </w:pPr>
            <w:r w:rsidRPr="00945519">
              <w:rPr>
                <w:b/>
              </w:rPr>
              <w:t>Percentage Allocation</w:t>
            </w:r>
          </w:p>
        </w:tc>
      </w:tr>
      <w:tr w:rsidR="00747EB4" w:rsidRPr="00945519" w:rsidTr="00431D19">
        <w:trPr>
          <w:jc w:val="center"/>
        </w:trPr>
        <w:tc>
          <w:tcPr>
            <w:tcW w:w="2304" w:type="dxa"/>
          </w:tcPr>
          <w:p w:rsidR="00747EB4" w:rsidRPr="00945519" w:rsidRDefault="00747EB4" w:rsidP="00431D19">
            <w:r w:rsidRPr="00945519">
              <w:t xml:space="preserve">Tier 1 </w:t>
            </w:r>
          </w:p>
        </w:tc>
        <w:tc>
          <w:tcPr>
            <w:tcW w:w="1440" w:type="dxa"/>
          </w:tcPr>
          <w:p w:rsidR="00747EB4" w:rsidRPr="00945519" w:rsidRDefault="00747EB4" w:rsidP="00431D19">
            <w:pPr>
              <w:jc w:val="right"/>
            </w:pPr>
            <w:r w:rsidRPr="00945519">
              <w:t>70.86%</w:t>
            </w:r>
          </w:p>
        </w:tc>
      </w:tr>
      <w:tr w:rsidR="00747EB4" w:rsidRPr="00945519" w:rsidTr="00431D19">
        <w:trPr>
          <w:jc w:val="center"/>
        </w:trPr>
        <w:tc>
          <w:tcPr>
            <w:tcW w:w="2304" w:type="dxa"/>
          </w:tcPr>
          <w:p w:rsidR="00747EB4" w:rsidRPr="00945519" w:rsidRDefault="00747EB4" w:rsidP="00431D19">
            <w:r w:rsidRPr="00945519">
              <w:t>Tier 2</w:t>
            </w:r>
          </w:p>
        </w:tc>
        <w:tc>
          <w:tcPr>
            <w:tcW w:w="1440" w:type="dxa"/>
          </w:tcPr>
          <w:p w:rsidR="00747EB4" w:rsidRPr="00945519" w:rsidRDefault="00747EB4" w:rsidP="00431D19">
            <w:pPr>
              <w:jc w:val="right"/>
              <w:rPr>
                <w:u w:val="single"/>
              </w:rPr>
            </w:pPr>
            <w:r w:rsidRPr="00945519">
              <w:rPr>
                <w:u w:val="single"/>
              </w:rPr>
              <w:t>23.73%</w:t>
            </w:r>
          </w:p>
        </w:tc>
      </w:tr>
      <w:tr w:rsidR="00747EB4" w:rsidRPr="00945519" w:rsidTr="00431D19">
        <w:trPr>
          <w:jc w:val="center"/>
        </w:trPr>
        <w:tc>
          <w:tcPr>
            <w:tcW w:w="2304" w:type="dxa"/>
          </w:tcPr>
          <w:p w:rsidR="00747EB4" w:rsidRPr="00945519" w:rsidRDefault="00747EB4" w:rsidP="00431D19">
            <w:r w:rsidRPr="00945519">
              <w:t>Sunshine (Tier 1 x 2)</w:t>
            </w:r>
          </w:p>
        </w:tc>
        <w:tc>
          <w:tcPr>
            <w:tcW w:w="1440" w:type="dxa"/>
          </w:tcPr>
          <w:p w:rsidR="00747EB4" w:rsidRPr="00945519" w:rsidRDefault="00747EB4" w:rsidP="00431D19">
            <w:pPr>
              <w:jc w:val="right"/>
            </w:pPr>
            <w:r w:rsidRPr="00945519">
              <w:t>16.81%</w:t>
            </w:r>
          </w:p>
        </w:tc>
      </w:tr>
    </w:tbl>
    <w:p w:rsidR="00747EB4" w:rsidRPr="00945519" w:rsidRDefault="00747EB4" w:rsidP="00431D19">
      <w:pPr>
        <w:pStyle w:val="BodyText"/>
      </w:pPr>
    </w:p>
    <w:p w:rsidR="00747EB4" w:rsidRPr="00945519" w:rsidRDefault="00747EB4" w:rsidP="00431D19">
      <w:pPr>
        <w:pStyle w:val="First-LevelSubheading"/>
      </w:pPr>
      <w:r w:rsidRPr="00945519">
        <w:t>Salaries/Wages</w:t>
      </w:r>
    </w:p>
    <w:p w:rsidR="00747EB4" w:rsidRPr="00945519" w:rsidRDefault="00747EB4" w:rsidP="00431D19">
      <w:pPr>
        <w:pStyle w:val="BodyText"/>
      </w:pPr>
      <w:r w:rsidRPr="00945519">
        <w:rPr>
          <w:bCs/>
        </w:rPr>
        <w:t xml:space="preserve">OPC proposed that several </w:t>
      </w:r>
      <w:r w:rsidRPr="00945519">
        <w:t>adjustments to the Utility’s expense claims should be made, as discussed in OPC witness Smith’s testimony. Witness Smith recommends that an adjustment should be made to remove $16,056 from operating expenses (included in the management fees) for an estimated portion of Senior Vice President of Rates, Regulatory and Legislative Affairs for Nexus W</w:t>
      </w:r>
      <w:r>
        <w:t>ater Group, Steven Lubertozzi’s</w:t>
      </w:r>
      <w:r w:rsidRPr="00945519">
        <w:t xml:space="preserve"> salary related to lobbying and legislative advocacy. (EXH 41</w:t>
      </w:r>
      <w:r>
        <w:t>, BSP C6-2155</w:t>
      </w:r>
      <w:r w:rsidRPr="00945519">
        <w:t xml:space="preserve">) Using the mid-point level of confidential salary information, witness Smith estimated an allocated amount for the position and calculated the adjustment as a third of </w:t>
      </w:r>
      <w:r w:rsidRPr="00945519">
        <w:lastRenderedPageBreak/>
        <w:t>the allocated salary, benefits, and payroll tax, based on the position title referencing three areas (rates, regulatory and legislative affairs). (EXH 41</w:t>
      </w:r>
      <w:r>
        <w:t>, BSP C6-2155</w:t>
      </w:r>
      <w:r w:rsidRPr="00945519">
        <w:t>)</w:t>
      </w:r>
    </w:p>
    <w:p w:rsidR="00747EB4" w:rsidRPr="00945519" w:rsidRDefault="00747EB4" w:rsidP="00431D19">
      <w:pPr>
        <w:pStyle w:val="BodyText"/>
      </w:pPr>
      <w:r w:rsidRPr="00945519">
        <w:t xml:space="preserve">Per Sunshine witness Lubertozzi’s testimony, he is not registered as a lobbyist in any jurisdiction nor did he spend any time during the test year lobbying. (TR 487-488)  Per Sunshine witness Elicegui, Mr. Lubertozzi reviewed his calendar and estimated that for the test year of 2023, he spent approximately 80 hours in supporting lobbying activity, or approximately 3.9 percent of a 2,040-hour work year. (TR 490-491) </w:t>
      </w:r>
    </w:p>
    <w:p w:rsidR="00747EB4" w:rsidRDefault="00747EB4" w:rsidP="00431D19">
      <w:pPr>
        <w:pStyle w:val="BodyText"/>
      </w:pPr>
      <w:r w:rsidRPr="00945519">
        <w:t xml:space="preserve">Staff agrees that an adjustment should be made to reduce salary and benefits to reflect time identified as lobbying support. However, Sunshine identified and assigned time associated with these </w:t>
      </w:r>
      <w:r w:rsidR="00E41CCF" w:rsidRPr="00945519">
        <w:t>activities</w:t>
      </w:r>
      <w:r w:rsidRPr="00945519">
        <w:t>, which more accurate than the adjustment estimated by witness Smith. Based on OPC’s allocated salary, benefits, and payroll tax, an adjustment of 3.9 percent would amount to $1,878. As such staff recommends reducing manag</w:t>
      </w:r>
      <w:r w:rsidR="00E41CCF">
        <w:t>ement</w:t>
      </w:r>
      <w:r w:rsidRPr="00945519">
        <w:t xml:space="preserve"> expenses by $975 and $904 for water and wastewater, respectively.</w:t>
      </w:r>
    </w:p>
    <w:p w:rsidR="00747EB4" w:rsidRPr="00B73E57" w:rsidRDefault="00747EB4" w:rsidP="00431D19">
      <w:pPr>
        <w:pStyle w:val="BodyText"/>
      </w:pPr>
      <w:r>
        <w:t>OPC also recommended that cost savings due to the elimination of several positions as a result of the merger with Nexus Water Group should be reflected. (OPC BR 38-39; TR 46) Staff believes that any merger savings would be best included in the requested deferral accounts which would contain all benefits and costs, including the salary reductions.</w:t>
      </w:r>
    </w:p>
    <w:p w:rsidR="00747EB4" w:rsidRPr="00401B32" w:rsidRDefault="00747EB4" w:rsidP="00431D19">
      <w:pPr>
        <w:pStyle w:val="First-LevelSubheading"/>
      </w:pPr>
      <w:r w:rsidRPr="00401B32">
        <w:t>Vacation Expenses</w:t>
      </w:r>
    </w:p>
    <w:p w:rsidR="00747EB4" w:rsidRDefault="00747EB4" w:rsidP="00431D19">
      <w:pPr>
        <w:pStyle w:val="BodyText"/>
      </w:pPr>
      <w:r>
        <w:t>Per Sunshine, the v</w:t>
      </w:r>
      <w:r w:rsidRPr="00B73E57">
        <w:t xml:space="preserve">acation </w:t>
      </w:r>
      <w:r>
        <w:t>e</w:t>
      </w:r>
      <w:r w:rsidRPr="00B73E57">
        <w:t xml:space="preserve">xpenses reflect the accrual of vacation “bank” and use of banked vacation time for CII. The costs are determined by the per-hour rate of the applicable employees’ times the net of their vacation hours accrued/used in a given period. </w:t>
      </w:r>
      <w:r w:rsidRPr="00A013B7">
        <w:t>(EXH 77</w:t>
      </w:r>
      <w:r>
        <w:t>, BSP E1954</w:t>
      </w:r>
      <w:r w:rsidRPr="00A013B7">
        <w:t>)</w:t>
      </w:r>
      <w:r w:rsidRPr="00B73E57">
        <w:t xml:space="preserve"> </w:t>
      </w:r>
      <w:r>
        <w:t>CII has 15 cost centers that had salary and wages expenses, and a</w:t>
      </w:r>
      <w:r w:rsidRPr="00B73E57">
        <w:t xml:space="preserve">ll but one </w:t>
      </w:r>
      <w:r>
        <w:t xml:space="preserve">of these 15 </w:t>
      </w:r>
      <w:r w:rsidRPr="00B73E57">
        <w:t>cost center</w:t>
      </w:r>
      <w:r>
        <w:t>s</w:t>
      </w:r>
      <w:r w:rsidRPr="00B73E57">
        <w:t xml:space="preserve"> received vacation expenses</w:t>
      </w:r>
      <w:r>
        <w:t>.</w:t>
      </w:r>
      <w:r w:rsidRPr="00B73E57">
        <w:t xml:space="preserve"> </w:t>
      </w:r>
      <w:r>
        <w:t xml:space="preserve">No vacation expenses were recorded for WSC or Sunshine. </w:t>
      </w:r>
    </w:p>
    <w:p w:rsidR="00747EB4" w:rsidRPr="00DF09FF" w:rsidRDefault="00747EB4" w:rsidP="00431D19">
      <w:pPr>
        <w:pStyle w:val="BodyText"/>
      </w:pPr>
      <w:r w:rsidRPr="00B73E57">
        <w:t xml:space="preserve">If the vacation expenses reflect the accrual of vacation banked and used vacation time as Sunshine explained in one of the staff’s interrogatory questions, this implies that no other employees in WSC or Sunshine receive </w:t>
      </w:r>
      <w:r>
        <w:t>any vacation time. No clarification has been provided to explain why these used vacation expenses were not reflected in the payroll. As such, staff recommends that the vacation expenses should be removed from the management fees which would result in a decrease for water of $18,984 and a decrease for wastewater of $17,651. (</w:t>
      </w:r>
      <w:r w:rsidRPr="00411E89">
        <w:t>EXH 87, BSP E27213-E27214</w:t>
      </w:r>
      <w:r>
        <w:t>)</w:t>
      </w:r>
    </w:p>
    <w:p w:rsidR="00747EB4" w:rsidRPr="00401B32" w:rsidRDefault="00747EB4" w:rsidP="00431D19">
      <w:pPr>
        <w:pStyle w:val="First-LevelSubheading"/>
      </w:pPr>
      <w:r w:rsidRPr="00401B32">
        <w:t>Director and Board Fees</w:t>
      </w:r>
    </w:p>
    <w:p w:rsidR="00747EB4" w:rsidRPr="00DF09FF" w:rsidRDefault="00747EB4" w:rsidP="00431D19">
      <w:pPr>
        <w:pStyle w:val="BodyText"/>
      </w:pPr>
      <w:r>
        <w:t>Per Sunshine, t</w:t>
      </w:r>
      <w:r w:rsidRPr="00B73E57">
        <w:t xml:space="preserve">he amounts recorded to CII Director and Board Fees reflect fees paid to the five independent directors who served as members of the board of directors of </w:t>
      </w:r>
      <w:r>
        <w:t>CII</w:t>
      </w:r>
      <w:r w:rsidRPr="00B73E57">
        <w:t xml:space="preserve">. </w:t>
      </w:r>
      <w:r>
        <w:t xml:space="preserve">(EXH 77, BSP E1952) </w:t>
      </w:r>
      <w:r w:rsidRPr="00E8040D">
        <w:t xml:space="preserve">OPC witness Smith recommends that one-half of the director and board fees should be removed due to the savings in board of directors fees that have resulted from the </w:t>
      </w:r>
      <w:r>
        <w:t>merger with Nexus Water Group</w:t>
      </w:r>
      <w:r w:rsidRPr="00E8040D">
        <w:t xml:space="preserve">. </w:t>
      </w:r>
      <w:r>
        <w:t xml:space="preserve">He recommends an </w:t>
      </w:r>
      <w:r w:rsidRPr="00E8040D">
        <w:rPr>
          <w:rFonts w:ascii="TimesNewRomanPSMT" w:hAnsi="TimesNewRomanPSMT" w:cs="TimesNewRomanPSMT"/>
        </w:rPr>
        <w:t xml:space="preserve">adjustment </w:t>
      </w:r>
      <w:r>
        <w:rPr>
          <w:rFonts w:ascii="TimesNewRomanPSMT" w:hAnsi="TimesNewRomanPSMT" w:cs="TimesNewRomanPSMT"/>
        </w:rPr>
        <w:t xml:space="preserve">that </w:t>
      </w:r>
      <w:r w:rsidRPr="00E8040D">
        <w:rPr>
          <w:rFonts w:ascii="TimesNewRomanPSMT" w:hAnsi="TimesNewRomanPSMT" w:cs="TimesNewRomanPSMT"/>
        </w:rPr>
        <w:t>decreases water utility expense by $30,327 and decreases wastewater utility expense by $28,120 to reflect th</w:t>
      </w:r>
      <w:r>
        <w:rPr>
          <w:rFonts w:ascii="TimesNewRomanPSMT" w:hAnsi="TimesNewRomanPSMT" w:cs="TimesNewRomanPSMT"/>
        </w:rPr>
        <w:t>is</w:t>
      </w:r>
      <w:r w:rsidRPr="00E8040D">
        <w:rPr>
          <w:rFonts w:ascii="TimesNewRomanPSMT" w:hAnsi="TimesNewRomanPSMT" w:cs="TimesNewRomanPSMT"/>
        </w:rPr>
        <w:t xml:space="preserve"> savings. (TR 415</w:t>
      </w:r>
      <w:r>
        <w:rPr>
          <w:rFonts w:ascii="TimesNewRomanPSMT" w:hAnsi="TimesNewRomanPSMT" w:cs="TimesNewRomanPSMT"/>
        </w:rPr>
        <w:t xml:space="preserve">; </w:t>
      </w:r>
      <w:r w:rsidRPr="00E8040D">
        <w:rPr>
          <w:rFonts w:ascii="TimesNewRomanPSMT" w:hAnsi="TimesNewRomanPSMT" w:cs="TimesNewRomanPSMT"/>
        </w:rPr>
        <w:t>EXH 41</w:t>
      </w:r>
      <w:r>
        <w:rPr>
          <w:rFonts w:ascii="TimesNewRomanPSMT" w:hAnsi="TimesNewRomanPSMT" w:cs="TimesNewRomanPSMT"/>
        </w:rPr>
        <w:t>, BSP C6-2128, BSP C6-2133</w:t>
      </w:r>
      <w:r w:rsidRPr="00E8040D">
        <w:rPr>
          <w:rFonts w:ascii="TimesNewRomanPSMT" w:hAnsi="TimesNewRomanPSMT" w:cs="TimesNewRomanPSMT"/>
        </w:rPr>
        <w:t>)</w:t>
      </w:r>
    </w:p>
    <w:p w:rsidR="00747EB4" w:rsidRPr="00B73E57" w:rsidRDefault="00747EB4" w:rsidP="00431D19">
      <w:pPr>
        <w:pStyle w:val="BodyText"/>
      </w:pPr>
      <w:r w:rsidRPr="00B73E57">
        <w:t xml:space="preserve">Per witness Lubertozzi’s testimony, the </w:t>
      </w:r>
      <w:r>
        <w:t>m</w:t>
      </w:r>
      <w:r w:rsidRPr="00B73E57">
        <w:t xml:space="preserve">erger is expected to produce financial benefits, and the </w:t>
      </w:r>
      <w:r>
        <w:t>m</w:t>
      </w:r>
      <w:r w:rsidRPr="00B73E57">
        <w:t xml:space="preserve">erger </w:t>
      </w:r>
      <w:r>
        <w:t>p</w:t>
      </w:r>
      <w:r w:rsidRPr="00B73E57">
        <w:t xml:space="preserve">arties have taken and will continue to take a deliberate approach to planning for </w:t>
      </w:r>
      <w:r w:rsidRPr="00B73E57">
        <w:lastRenderedPageBreak/>
        <w:t xml:space="preserve">integration, and then executing on integration plans to mitigate potential risks to customers. Sunshine’s proposed deferrals are designed to protect customers and ensure that the proper amount of net benefits flows to Sunshine’s customers. Sunshine’s proposed deferrals capture identified benefits of integration, as well as any costs to achieve those benefits, which, if allowed in the current case  – with a historic test year and limited information on </w:t>
      </w:r>
      <w:r>
        <w:t>m</w:t>
      </w:r>
      <w:r w:rsidRPr="00B73E57">
        <w:t>erger benefits – would establish the deferrals for disposition in a future proceeding and avoid piecemeal or inconsistent reflection of merger impacts</w:t>
      </w:r>
      <w:r w:rsidRPr="00436BEA">
        <w:t>. (</w:t>
      </w:r>
      <w:r>
        <w:t>TR 488-489) Staff agrees with witness Lubertozzi that any merger savings would be best included in the requested deferral accounts which would include all benefits and costs, including the future director and board fees.</w:t>
      </w:r>
    </w:p>
    <w:p w:rsidR="00747EB4" w:rsidRPr="00490D63" w:rsidRDefault="00747EB4" w:rsidP="00431D19">
      <w:pPr>
        <w:pStyle w:val="First-LevelSubheading"/>
      </w:pPr>
      <w:r w:rsidRPr="00490D63">
        <w:t xml:space="preserve">Memberships </w:t>
      </w:r>
    </w:p>
    <w:p w:rsidR="00747EB4" w:rsidRPr="00B73E57" w:rsidRDefault="00747EB4" w:rsidP="00431D19">
      <w:pPr>
        <w:pStyle w:val="BodyText"/>
      </w:pPr>
      <w:r w:rsidRPr="00B73E57">
        <w:t>Memberships for CII total $44,95</w:t>
      </w:r>
      <w:r>
        <w:t>2</w:t>
      </w:r>
      <w:r w:rsidRPr="00B73E57">
        <w:t xml:space="preserve">. Of this amount, staff recommends that $33,410 be excluded as the charges for various economic clubs, capital market clubs, business counsels, and board and event management software </w:t>
      </w:r>
      <w:r>
        <w:t xml:space="preserve">are not directly related to water/wastewater utilities nor </w:t>
      </w:r>
      <w:r w:rsidRPr="00B73E57">
        <w:t xml:space="preserve">do </w:t>
      </w:r>
      <w:r>
        <w:t>they</w:t>
      </w:r>
      <w:r w:rsidRPr="00B73E57">
        <w:t xml:space="preserve"> represent costs that direct</w:t>
      </w:r>
      <w:r>
        <w:t>ly</w:t>
      </w:r>
      <w:r w:rsidRPr="00B73E57">
        <w:t xml:space="preserve"> benefit the Utility’s customers</w:t>
      </w:r>
      <w:r>
        <w:t>,</w:t>
      </w:r>
      <w:r w:rsidRPr="00B73E57">
        <w:t xml:space="preserve"> and </w:t>
      </w:r>
      <w:r>
        <w:t xml:space="preserve">as such, </w:t>
      </w:r>
      <w:r w:rsidRPr="00B73E57">
        <w:t xml:space="preserve">should not be borne by </w:t>
      </w:r>
      <w:r>
        <w:t>customers</w:t>
      </w:r>
      <w:r w:rsidRPr="00B73E57">
        <w:t>.</w:t>
      </w:r>
      <w:r>
        <w:t xml:space="preserve"> (</w:t>
      </w:r>
      <w:r w:rsidRPr="00411E89">
        <w:t>EXH 87, BSP E27213-E27214</w:t>
      </w:r>
      <w:r>
        <w:t>)</w:t>
      </w:r>
    </w:p>
    <w:p w:rsidR="00747EB4" w:rsidRPr="00B73E57" w:rsidRDefault="00747EB4" w:rsidP="00431D19">
      <w:pPr>
        <w:pStyle w:val="BodyText"/>
      </w:pPr>
      <w:r w:rsidRPr="00B73E57">
        <w:t>Memb</w:t>
      </w:r>
      <w:r>
        <w:t xml:space="preserve">erships for WSC total $64,739. </w:t>
      </w:r>
      <w:r w:rsidRPr="00B73E57">
        <w:t xml:space="preserve">Of this amount, staff recommends that $24,802 be excluded as the various charges include social leadership club memberships, a percentage of lobbying for one of the memberships, and several unidentifiable membership charges that </w:t>
      </w:r>
      <w:r>
        <w:t xml:space="preserve">are not directly related to water/wastewater utilities nor </w:t>
      </w:r>
      <w:r w:rsidRPr="00B73E57">
        <w:t xml:space="preserve">do </w:t>
      </w:r>
      <w:r>
        <w:t>they</w:t>
      </w:r>
      <w:r w:rsidRPr="00B73E57">
        <w:t xml:space="preserve"> represent costs that direct</w:t>
      </w:r>
      <w:r>
        <w:t>ly</w:t>
      </w:r>
      <w:r w:rsidRPr="00B73E57">
        <w:t xml:space="preserve"> benefit the Utility’s customers</w:t>
      </w:r>
      <w:r>
        <w:t>,</w:t>
      </w:r>
      <w:r w:rsidRPr="00B73E57">
        <w:t xml:space="preserve"> and </w:t>
      </w:r>
      <w:r>
        <w:t xml:space="preserve">as such, </w:t>
      </w:r>
      <w:r w:rsidRPr="00B73E57">
        <w:t xml:space="preserve">should not be borne by </w:t>
      </w:r>
      <w:r>
        <w:t>customers</w:t>
      </w:r>
      <w:r w:rsidRPr="00B73E57">
        <w:t>.</w:t>
      </w:r>
      <w:r>
        <w:t xml:space="preserve"> (</w:t>
      </w:r>
      <w:r w:rsidRPr="00411E89">
        <w:t>EXH 87, BSP E27213-E27214</w:t>
      </w:r>
      <w:r>
        <w:t>)</w:t>
      </w:r>
    </w:p>
    <w:p w:rsidR="00747EB4" w:rsidRPr="00B73E57" w:rsidRDefault="00747EB4" w:rsidP="00431D19">
      <w:pPr>
        <w:pStyle w:val="BodyText"/>
        <w:rPr>
          <w:b/>
        </w:rPr>
      </w:pPr>
      <w:r w:rsidRPr="00A013B7">
        <w:t>Therefore, staff recommends excluding $58,212 ($33,410 + $24,802)</w:t>
      </w:r>
      <w:r>
        <w:t xml:space="preserve"> in memberships</w:t>
      </w:r>
      <w:r w:rsidRPr="00A013B7">
        <w:t xml:space="preserve"> which results in decreasing the management fee expenses by $5,071 for water and $4,715 for wastewater.</w:t>
      </w:r>
    </w:p>
    <w:p w:rsidR="00747EB4" w:rsidRPr="00490D63" w:rsidRDefault="00747EB4" w:rsidP="00431D19">
      <w:pPr>
        <w:pStyle w:val="First-LevelSubheading"/>
      </w:pPr>
      <w:r w:rsidRPr="00490D63">
        <w:t>Penalties and Fines</w:t>
      </w:r>
    </w:p>
    <w:p w:rsidR="00747EB4" w:rsidRPr="00B73E57" w:rsidRDefault="00747EB4" w:rsidP="00431D19">
      <w:pPr>
        <w:pStyle w:val="BodyText"/>
        <w:rPr>
          <w:b/>
          <w:bCs/>
        </w:rPr>
      </w:pPr>
      <w:r w:rsidRPr="00B73E57">
        <w:t xml:space="preserve">Staff recommends that costs for penalties and fines should be removed as these expenses should </w:t>
      </w:r>
      <w:r w:rsidRPr="00F46A3F">
        <w:t xml:space="preserve">not be borne by the </w:t>
      </w:r>
      <w:r>
        <w:t>customers</w:t>
      </w:r>
      <w:r w:rsidRPr="00F46A3F">
        <w:t xml:space="preserve"> and should be removed. Therefore, staff recommends decreasing the management fee expenses by $1,703 for water and $1,583 for wastewater.</w:t>
      </w:r>
      <w:r>
        <w:t xml:space="preserve"> (</w:t>
      </w:r>
      <w:r w:rsidRPr="00411E89">
        <w:t>EXH 87, BSP E27213-E27214</w:t>
      </w:r>
      <w:r>
        <w:t>)</w:t>
      </w:r>
    </w:p>
    <w:p w:rsidR="00747EB4" w:rsidRPr="00490D63" w:rsidRDefault="00747EB4" w:rsidP="00431D19">
      <w:pPr>
        <w:pStyle w:val="First-LevelSubheading"/>
      </w:pPr>
      <w:r w:rsidRPr="00490D63">
        <w:t>Entertainment – Non-Deductible</w:t>
      </w:r>
    </w:p>
    <w:p w:rsidR="00747EB4" w:rsidRPr="00B73E57" w:rsidRDefault="00747EB4" w:rsidP="00431D19">
      <w:pPr>
        <w:pStyle w:val="BodyText"/>
        <w:rPr>
          <w:b/>
          <w:bCs/>
        </w:rPr>
      </w:pPr>
      <w:r w:rsidRPr="00B73E57">
        <w:t xml:space="preserve">Staff recommends that costs for entertainment should be removed as these expenses should not </w:t>
      </w:r>
      <w:r w:rsidRPr="00F46A3F">
        <w:t xml:space="preserve">be borne by the </w:t>
      </w:r>
      <w:r>
        <w:t>customers</w:t>
      </w:r>
      <w:r w:rsidRPr="00F46A3F">
        <w:t xml:space="preserve"> and should be removed. Therefore, staff recommends decreasing management fee expenses by $40 for water and $37 for wastewater.</w:t>
      </w:r>
      <w:r>
        <w:t xml:space="preserve"> (</w:t>
      </w:r>
      <w:r w:rsidRPr="00411E89">
        <w:t>EXH 87, BSP E27213-E27214</w:t>
      </w:r>
      <w:r>
        <w:t>)</w:t>
      </w:r>
    </w:p>
    <w:p w:rsidR="00747EB4" w:rsidRPr="00B73E57" w:rsidRDefault="00747EB4" w:rsidP="00431D19">
      <w:pPr>
        <w:pStyle w:val="First-LevelSubheading"/>
      </w:pPr>
      <w:r w:rsidRPr="00490D63">
        <w:t>Late Fees</w:t>
      </w:r>
    </w:p>
    <w:p w:rsidR="00747EB4" w:rsidRDefault="00747EB4" w:rsidP="00431D19">
      <w:pPr>
        <w:pStyle w:val="BodyText"/>
      </w:pPr>
      <w:r w:rsidRPr="00F46A3F">
        <w:t xml:space="preserve">Staff recommends that costs for late fees should be removed as these expenses should not be borne by </w:t>
      </w:r>
      <w:r>
        <w:t>customers</w:t>
      </w:r>
      <w:r w:rsidRPr="00F46A3F">
        <w:t xml:space="preserve"> and should be removed. Staff recommends decreasing management fee expenses by $40 for water and $37 for wastewater.</w:t>
      </w:r>
      <w:r>
        <w:t xml:space="preserve"> (</w:t>
      </w:r>
      <w:r w:rsidRPr="00411E89">
        <w:t>EXH 87, BSP E27213-E27214</w:t>
      </w:r>
      <w:r>
        <w:t>)</w:t>
      </w:r>
    </w:p>
    <w:p w:rsidR="005D0303" w:rsidRPr="00B73E57" w:rsidRDefault="005D0303" w:rsidP="00431D19">
      <w:pPr>
        <w:pStyle w:val="BodyText"/>
        <w:rPr>
          <w:b/>
          <w:bCs/>
        </w:rPr>
      </w:pPr>
    </w:p>
    <w:p w:rsidR="00747EB4" w:rsidRPr="00490D63" w:rsidRDefault="00747EB4" w:rsidP="00431D19">
      <w:pPr>
        <w:pStyle w:val="First-LevelSubheading"/>
      </w:pPr>
      <w:r w:rsidRPr="00490D63">
        <w:lastRenderedPageBreak/>
        <w:t>Holiday Events</w:t>
      </w:r>
    </w:p>
    <w:p w:rsidR="00747EB4" w:rsidRPr="00B73E57" w:rsidRDefault="00747EB4" w:rsidP="00431D19">
      <w:pPr>
        <w:pStyle w:val="BodyText"/>
        <w:rPr>
          <w:b/>
          <w:bCs/>
        </w:rPr>
      </w:pPr>
      <w:r w:rsidRPr="00F46A3F">
        <w:t>Staff recommends that costs for holiday and social events should be removed as these costs should be born</w:t>
      </w:r>
      <w:r>
        <w:t>e</w:t>
      </w:r>
      <w:r w:rsidRPr="00F46A3F">
        <w:t xml:space="preserve"> by shareholders instead of </w:t>
      </w:r>
      <w:r>
        <w:t>customers</w:t>
      </w:r>
      <w:r w:rsidRPr="00F46A3F">
        <w:t>, as these expenses are not a direct benefit to the Utility’s customers. Therefore, staff recommends decreasing management fees by $2,867 for water and $2,666 for wastewater.</w:t>
      </w:r>
      <w:r>
        <w:t xml:space="preserve"> (</w:t>
      </w:r>
      <w:r w:rsidRPr="00411E89">
        <w:t>EXH 87, BSP E27213-E27214</w:t>
      </w:r>
      <w:r>
        <w:t>)</w:t>
      </w:r>
    </w:p>
    <w:p w:rsidR="00747EB4" w:rsidRPr="00490D63" w:rsidRDefault="00747EB4" w:rsidP="00431D19">
      <w:pPr>
        <w:pStyle w:val="First-LevelSubheading"/>
      </w:pPr>
      <w:r w:rsidRPr="00490D63">
        <w:t>Credit Card Expense Clearing</w:t>
      </w:r>
    </w:p>
    <w:p w:rsidR="00747EB4" w:rsidRDefault="00747EB4" w:rsidP="00431D19">
      <w:pPr>
        <w:pStyle w:val="BodyText"/>
      </w:pPr>
      <w:r w:rsidRPr="00B73E57">
        <w:t xml:space="preserve">A clearing account is defined as a temporary account containing costs or amounts to be transferred to another account. A review of </w:t>
      </w:r>
      <w:r>
        <w:t>CII’s and WSC</w:t>
      </w:r>
      <w:r w:rsidRPr="00B73E57">
        <w:t>’s general ledger</w:t>
      </w:r>
      <w:r>
        <w:t>s</w:t>
      </w:r>
      <w:r w:rsidRPr="00B73E57">
        <w:t xml:space="preserve"> indicates that the purchasing card charges are recorded in this clearing account until the detailed information is received and the expenses can be properly classified and charged to the appropriate expense </w:t>
      </w:r>
      <w:r w:rsidRPr="00F46A3F">
        <w:t>object code. Due to the fact that the correct expense account cannot be determined, it is unclear whether the expenses in the credit card clearing account should be allowable for the expenses used in the rate determination. Without a clearly identified expense, we cannot determine whether these expenses are non-utility related, reasonable, or prudent. As such, these expenses should be removed. Therefore, staff recommends decreasing management fees by $4,088 for water and $3,801 for wastewater.</w:t>
      </w:r>
      <w:r>
        <w:t xml:space="preserve"> (</w:t>
      </w:r>
      <w:r w:rsidRPr="00411E89">
        <w:t>EXH 87, BSP E27213-E27214</w:t>
      </w:r>
      <w:r>
        <w:t>)</w:t>
      </w:r>
    </w:p>
    <w:p w:rsidR="00747EB4" w:rsidRPr="00490D63" w:rsidRDefault="00747EB4" w:rsidP="00431D19">
      <w:pPr>
        <w:pStyle w:val="First-LevelSubheading"/>
      </w:pPr>
      <w:r w:rsidRPr="00490D63">
        <w:t xml:space="preserve">Legal Fees </w:t>
      </w:r>
    </w:p>
    <w:p w:rsidR="00747EB4" w:rsidRPr="00B73E57" w:rsidRDefault="00747EB4" w:rsidP="00431D19">
      <w:pPr>
        <w:pStyle w:val="BodyText"/>
      </w:pPr>
      <w:r>
        <w:t>OPC w</w:t>
      </w:r>
      <w:r w:rsidRPr="00B73E57">
        <w:t xml:space="preserve">itness Smith </w:t>
      </w:r>
      <w:r>
        <w:t>addressed two legal cases for which he recommend</w:t>
      </w:r>
      <w:r w:rsidRPr="00B73E57">
        <w:t>ed adjustment</w:t>
      </w:r>
      <w:r>
        <w:t xml:space="preserve">s. One of the cases was for the retired executive benefits case. </w:t>
      </w:r>
      <w:r w:rsidRPr="00B73E57">
        <w:t xml:space="preserve">This case relates to multiple parties claiming to be the intended beneficiary of a Corix employee who passed away. </w:t>
      </w:r>
      <w:r>
        <w:t>Witness Smith stated that t</w:t>
      </w:r>
      <w:r w:rsidRPr="00B73E57">
        <w:t xml:space="preserve">he customers should not pay legal costs associated with the failure of a former Corix employee to identify beneficiaries associated with their 401k plan or life insurance because this has nothing to do with the provision of water or wastewater services. As such, </w:t>
      </w:r>
      <w:r>
        <w:t xml:space="preserve">he argued that </w:t>
      </w:r>
      <w:r w:rsidRPr="00B73E57">
        <w:t>the legal costs associated with this case should be excluded in the instant case. (</w:t>
      </w:r>
      <w:r>
        <w:t>EXH 41, BSP C6-2152; TR 413)</w:t>
      </w:r>
      <w:r w:rsidRPr="00B73E57">
        <w:t xml:space="preserve"> </w:t>
      </w:r>
      <w:r>
        <w:t>He recommended that</w:t>
      </w:r>
      <w:r w:rsidRPr="00B73E57">
        <w:t xml:space="preserve"> $9,220 in legal expenses </w:t>
      </w:r>
      <w:r>
        <w:t xml:space="preserve">be removed </w:t>
      </w:r>
      <w:r w:rsidRPr="00B73E57">
        <w:t xml:space="preserve">from operating expenses. This adjustment allocated to water and wastewater results in a decrease of $4,784 from water and $4,436 from wastewater. </w:t>
      </w:r>
      <w:r>
        <w:t>(EXH 41,</w:t>
      </w:r>
      <w:r w:rsidRPr="00517E3D">
        <w:t xml:space="preserve"> B</w:t>
      </w:r>
      <w:r>
        <w:t xml:space="preserve">SP C6-2127, C6-2132, C6-2152; </w:t>
      </w:r>
      <w:r w:rsidRPr="00517E3D">
        <w:t>TR 413</w:t>
      </w:r>
      <w:r>
        <w:t>)</w:t>
      </w:r>
    </w:p>
    <w:p w:rsidR="00747EB4" w:rsidRPr="00B73E57" w:rsidRDefault="00747EB4" w:rsidP="00431D19">
      <w:pPr>
        <w:pStyle w:val="BodyText"/>
        <w:rPr>
          <w:b/>
        </w:rPr>
      </w:pPr>
      <w:r w:rsidRPr="00B73E57">
        <w:t>Per S</w:t>
      </w:r>
      <w:r>
        <w:t>unshine w</w:t>
      </w:r>
      <w:r w:rsidRPr="00B73E57">
        <w:t>itness DeStefano</w:t>
      </w:r>
      <w:r>
        <w:t>, w</w:t>
      </w:r>
      <w:r w:rsidRPr="00B73E57">
        <w:t>itness Smith claim</w:t>
      </w:r>
      <w:r>
        <w:t>ed</w:t>
      </w:r>
      <w:r w:rsidRPr="00B73E57">
        <w:t xml:space="preserve"> </w:t>
      </w:r>
      <w:r>
        <w:t xml:space="preserve">that </w:t>
      </w:r>
      <w:r w:rsidRPr="00B73E57">
        <w:t xml:space="preserve">the costs should be removed as the legal efforts are not related to the provision of utility service. However, the benefits plans offered by </w:t>
      </w:r>
      <w:r>
        <w:t>CII</w:t>
      </w:r>
      <w:r w:rsidRPr="00B73E57">
        <w:t xml:space="preserve"> are relevant to the provision of service to customers, as the benefit plan costs are included in the </w:t>
      </w:r>
      <w:r>
        <w:t>Utility</w:t>
      </w:r>
      <w:r w:rsidRPr="00B73E57">
        <w:t xml:space="preserve">’s cost of service. Corix is also the plan sponsor of the benefit plans, and therefore is unable to avoid involvement in disputes or litigation related to the benefit plans. For this claim, Corix petitioned to transfer the balances in dispute to the court to limit its involvement and fulfill its plan sponsor administrative duty. Therefore, Corix’s involvement in the legal dispute was limited to its responsibilities as plan sponsor of benefit plans it makes available to employees, and therefore is a prudently incurred cost. It was also noted that </w:t>
      </w:r>
      <w:r>
        <w:t>w</w:t>
      </w:r>
      <w:r w:rsidRPr="00B73E57">
        <w:t xml:space="preserve">itness Smith’s calculation of the Sunshine portion of the Benefits case costs omits the Tier 1 portion of the cost allocation process. The calculation of the Benefits case costs for the Test Year applicable to Sunshine is $6,546. </w:t>
      </w:r>
      <w:r>
        <w:t>(TR 524-525; TR 542-543)</w:t>
      </w:r>
    </w:p>
    <w:p w:rsidR="00747EB4" w:rsidRDefault="00747EB4" w:rsidP="00431D19">
      <w:pPr>
        <w:pStyle w:val="BodyText"/>
      </w:pPr>
      <w:r w:rsidRPr="00B73E57">
        <w:t xml:space="preserve">Witness Smith </w:t>
      </w:r>
      <w:r>
        <w:t xml:space="preserve">also </w:t>
      </w:r>
      <w:r w:rsidRPr="00B73E57">
        <w:t>recommended an adjustment to remove</w:t>
      </w:r>
      <w:r>
        <w:t xml:space="preserve"> legal expenses for the PFAS case.</w:t>
      </w:r>
      <w:r w:rsidRPr="00B73E57">
        <w:t xml:space="preserve"> This class-action case relates to PFAS contamination from aqueous film-forming foams for which the </w:t>
      </w:r>
      <w:r>
        <w:t>Utility</w:t>
      </w:r>
      <w:r w:rsidRPr="00B73E57">
        <w:t xml:space="preserve">’s sister and service company, </w:t>
      </w:r>
      <w:r>
        <w:t>WSC</w:t>
      </w:r>
      <w:r w:rsidRPr="00B73E57">
        <w:t xml:space="preserve">, is one among many plaintiffs. The damage </w:t>
      </w:r>
      <w:r w:rsidRPr="00B73E57">
        <w:lastRenderedPageBreak/>
        <w:t>award amount, if any, and whether the Water Service Corporation could be awarded attorney’s fees</w:t>
      </w:r>
      <w:r>
        <w:t>,</w:t>
      </w:r>
      <w:r w:rsidRPr="00B73E57">
        <w:t xml:space="preserve"> are still open issues. For these reasons, the legal costs associated with this case should be excluded from this proceeding.</w:t>
      </w:r>
      <w:r>
        <w:t xml:space="preserve"> He recommends removing </w:t>
      </w:r>
      <w:r w:rsidRPr="00B73E57">
        <w:t>$209 in legal e</w:t>
      </w:r>
      <w:r>
        <w:t xml:space="preserve">xpenses from operating expenses, which results in an </w:t>
      </w:r>
      <w:r w:rsidRPr="00B73E57">
        <w:t xml:space="preserve">adjustment </w:t>
      </w:r>
      <w:r>
        <w:t xml:space="preserve">of </w:t>
      </w:r>
      <w:r w:rsidRPr="00B73E57">
        <w:t xml:space="preserve">a decrease of $109 from water and </w:t>
      </w:r>
      <w:r>
        <w:t xml:space="preserve">a decrease of </w:t>
      </w:r>
      <w:r w:rsidRPr="00B73E57">
        <w:t>$101 from wastewater.</w:t>
      </w:r>
      <w:r>
        <w:t xml:space="preserve"> (EXH 41, </w:t>
      </w:r>
      <w:r w:rsidRPr="00517E3D">
        <w:t>BSP C6-2127, C6-2132, C6-2153</w:t>
      </w:r>
      <w:r>
        <w:t>; TR 413)</w:t>
      </w:r>
    </w:p>
    <w:p w:rsidR="00747EB4" w:rsidRPr="00B73E57" w:rsidRDefault="00747EB4" w:rsidP="00431D19">
      <w:pPr>
        <w:pStyle w:val="BodyText"/>
        <w:rPr>
          <w:b/>
        </w:rPr>
      </w:pPr>
      <w:r w:rsidRPr="00B73E57">
        <w:t>S</w:t>
      </w:r>
      <w:r>
        <w:t>unshine</w:t>
      </w:r>
      <w:r w:rsidRPr="00B73E57">
        <w:t xml:space="preserve"> </w:t>
      </w:r>
      <w:r>
        <w:t>w</w:t>
      </w:r>
      <w:r w:rsidRPr="00B73E57">
        <w:t xml:space="preserve">itness DeStefano </w:t>
      </w:r>
      <w:r>
        <w:t>stated that w</w:t>
      </w:r>
      <w:r w:rsidRPr="00B73E57">
        <w:t>itness Smith also claim</w:t>
      </w:r>
      <w:r>
        <w:t>ed</w:t>
      </w:r>
      <w:r w:rsidRPr="00B73E57">
        <w:t xml:space="preserve"> the PFAS case has an uncertain outcome and the potential for attorney fee recovery is unknown. </w:t>
      </w:r>
      <w:r>
        <w:t xml:space="preserve">Per witness DeStefano, </w:t>
      </w:r>
      <w:r w:rsidRPr="00B73E57">
        <w:t xml:space="preserve">the potential outcome of a legal proceeding has no bearing on the prudency of the costs incurred by the </w:t>
      </w:r>
      <w:r>
        <w:t>Utility</w:t>
      </w:r>
      <w:r w:rsidRPr="00B73E57">
        <w:t xml:space="preserve">. </w:t>
      </w:r>
      <w:r>
        <w:t xml:space="preserve">Witness DeStefano also provided information from his legal counsel </w:t>
      </w:r>
      <w:r w:rsidRPr="00B73E57">
        <w:t>that any claims recovery in this class action suit wo</w:t>
      </w:r>
      <w:r>
        <w:t>uld not make the plaintiffs 100 percent</w:t>
      </w:r>
      <w:r w:rsidRPr="00B73E57">
        <w:t xml:space="preserve"> whole, </w:t>
      </w:r>
      <w:r>
        <w:t xml:space="preserve">and </w:t>
      </w:r>
      <w:r w:rsidRPr="00B73E57">
        <w:t xml:space="preserve">therefore recovery of attorney’s fees is not likely. </w:t>
      </w:r>
      <w:r>
        <w:t>T</w:t>
      </w:r>
      <w:r w:rsidRPr="00B73E57">
        <w:t xml:space="preserve">he potential for recovery of legal fees related to the case is not known and measurable. </w:t>
      </w:r>
      <w:r>
        <w:t xml:space="preserve">Witness DeStefano </w:t>
      </w:r>
      <w:r w:rsidRPr="00B73E57">
        <w:t>also note</w:t>
      </w:r>
      <w:r>
        <w:t>d</w:t>
      </w:r>
      <w:r w:rsidRPr="00B73E57">
        <w:t xml:space="preserve"> that </w:t>
      </w:r>
      <w:r>
        <w:t>w</w:t>
      </w:r>
      <w:r w:rsidRPr="00B73E57">
        <w:t>itness Smith’s calculation of the Sunshine portion of the PFAS case costs miscalculates the Tier 1 portion of the cost allocation process. The calculation of the PFAS case costs for the Test Year applicable to Sunshine is $297.</w:t>
      </w:r>
      <w:r>
        <w:t xml:space="preserve"> </w:t>
      </w:r>
      <w:r w:rsidRPr="00436BEA">
        <w:t>(TR 525)</w:t>
      </w:r>
      <w:r w:rsidRPr="00B73E57">
        <w:t xml:space="preserve"> </w:t>
      </w:r>
    </w:p>
    <w:p w:rsidR="00747EB4" w:rsidRPr="00FA2EB0" w:rsidRDefault="00747EB4" w:rsidP="00431D19">
      <w:pPr>
        <w:pStyle w:val="BodyText"/>
      </w:pPr>
      <w:r>
        <w:t xml:space="preserve">Staff agrees with the Utility and believes that both of these cases represent normal legal expenses and given their overall immateriality, </w:t>
      </w:r>
      <w:r w:rsidRPr="00FA2EB0">
        <w:t>recommends that these legal costs remain in the test year.</w:t>
      </w:r>
    </w:p>
    <w:p w:rsidR="00747EB4" w:rsidRPr="00FA2EB0" w:rsidRDefault="00747EB4" w:rsidP="00431D19">
      <w:pPr>
        <w:pStyle w:val="RecommendationMajorSectionHeading"/>
      </w:pPr>
      <w:r w:rsidRPr="00FA2EB0">
        <w:t>CONCLUSION</w:t>
      </w:r>
    </w:p>
    <w:p w:rsidR="00747EB4" w:rsidRDefault="00747EB4" w:rsidP="00431D19">
      <w:pPr>
        <w:pStyle w:val="BodyText"/>
      </w:pPr>
      <w:r w:rsidRPr="00FA2EB0">
        <w:t>Based on the above, staff recommends test year management fees (Contractual Services – Management/Corporate/Regional Allocation) should be decrea</w:t>
      </w:r>
      <w:r w:rsidR="00E41CCF">
        <w:t xml:space="preserve">sed by $33,768 ($975 + $18,984 </w:t>
      </w:r>
      <w:r w:rsidRPr="00FA2EB0">
        <w:t>+ $5,071 +$1,703 + $40 + $40 + $2,867 + $4,088) for water and $31,393 ($904 + $17,651 + $4,715 + $1,583 + $37 + $37 + $2,666 + $3,801) for wastewater.</w:t>
      </w:r>
    </w:p>
    <w:p w:rsidR="00B531D4" w:rsidRDefault="00B531D4" w:rsidP="00E275D8">
      <w:pPr>
        <w:pStyle w:val="BodyText"/>
      </w:pPr>
    </w:p>
    <w:p w:rsidR="00B531D4" w:rsidRDefault="00B531D4" w:rsidP="00B531D4">
      <w:r>
        <w:br w:type="page"/>
      </w:r>
    </w:p>
    <w:p w:rsidR="00747EB4" w:rsidRDefault="00747EB4">
      <w:pPr>
        <w:pStyle w:val="IssueHeading"/>
        <w:rPr>
          <w:vanish/>
          <w:specVanish/>
        </w:rPr>
      </w:pPr>
      <w:r w:rsidRPr="004C3641">
        <w:lastRenderedPageBreak/>
        <w:t xml:space="preserve">Issue </w:t>
      </w:r>
      <w:r>
        <w:fldChar w:fldCharType="begin"/>
      </w:r>
      <w:r>
        <w:instrText>seq issue \r 28</w:instrText>
      </w:r>
      <w:r>
        <w:fldChar w:fldCharType="separate"/>
      </w:r>
      <w:r w:rsidR="009D3FF7">
        <w:rPr>
          <w:noProof/>
        </w:rPr>
        <w:t>28</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4" w:name="_Toc196317146"/>
      <w:r w:rsidR="009D3FF7">
        <w:rPr>
          <w:noProof/>
        </w:rPr>
        <w:instrText>28</w:instrText>
      </w:r>
      <w:r>
        <w:fldChar w:fldCharType="end"/>
      </w:r>
      <w:r>
        <w:tab/>
        <w:instrText>Test Year O&amp;M Expense (Przygocki)</w:instrText>
      </w:r>
      <w:bookmarkEnd w:id="44"/>
      <w:r>
        <w:instrText xml:space="preserve">" \l 1 </w:instrText>
      </w:r>
      <w:r>
        <w:fldChar w:fldCharType="end"/>
      </w:r>
      <w:r>
        <w:t> </w:t>
      </w:r>
    </w:p>
    <w:p w:rsidR="00747EB4" w:rsidRDefault="00747EB4">
      <w:pPr>
        <w:pStyle w:val="BodyText"/>
      </w:pPr>
      <w:r>
        <w:t> Should any further adjustments be made to the Utility's test year (O&amp;M) expenses?</w:t>
      </w:r>
    </w:p>
    <w:p w:rsidR="00747EB4" w:rsidRPr="004C3641" w:rsidRDefault="00747EB4">
      <w:pPr>
        <w:pStyle w:val="IssueSubsectionHeading"/>
        <w:rPr>
          <w:vanish/>
          <w:specVanish/>
        </w:rPr>
      </w:pPr>
      <w:r w:rsidRPr="004C3641">
        <w:t>Recommendation: </w:t>
      </w:r>
    </w:p>
    <w:p w:rsidR="00747EB4" w:rsidRDefault="00747EB4">
      <w:pPr>
        <w:pStyle w:val="BodyText"/>
      </w:pPr>
      <w:r>
        <w:t> Yes. Test year O&amp;M expense should be reduced by $247,752 for water and $606,196 for wastewater. (Przygocki)</w:t>
      </w:r>
    </w:p>
    <w:p w:rsidR="00747EB4" w:rsidRPr="004C3641" w:rsidRDefault="00747EB4">
      <w:pPr>
        <w:pStyle w:val="IssueSubsectionHeading"/>
        <w:keepNext/>
        <w:rPr>
          <w:iCs w:val="0"/>
        </w:rPr>
      </w:pPr>
      <w:r w:rsidRPr="004C3641">
        <w:rPr>
          <w:iCs w:val="0"/>
        </w:rPr>
        <w:t>Position of the Parties</w:t>
      </w:r>
    </w:p>
    <w:p w:rsidR="00747EB4" w:rsidRDefault="00747EB4" w:rsidP="00431D19">
      <w:pPr>
        <w:pStyle w:val="PartyName"/>
        <w:rPr>
          <w:vanish/>
          <w:specVanish/>
        </w:rPr>
      </w:pPr>
      <w:r>
        <w:t>SUNSHINE: </w:t>
      </w:r>
    </w:p>
    <w:p w:rsidR="00747EB4" w:rsidRDefault="00747EB4">
      <w:pPr>
        <w:pStyle w:val="BodyText"/>
      </w:pPr>
      <w:r>
        <w:t> Yes. Water - ($100,047) plus $43,442 audit adjustments and ($289,946) for portion of OPC adjustments accepted and $6,993 for repression due to Sunshine’s reduction to the water rate increase requested; Wastewater - ($140,229) plus $42,383 audit adjustments and ($299,458) for portion of OPC adjustments accepted by Sunshine.</w:t>
      </w:r>
    </w:p>
    <w:p w:rsidR="00747EB4" w:rsidRDefault="00747EB4" w:rsidP="00431D19">
      <w:pPr>
        <w:pStyle w:val="PartyName"/>
        <w:rPr>
          <w:vanish/>
          <w:specVanish/>
        </w:rPr>
      </w:pPr>
      <w:r>
        <w:t>OPC: </w:t>
      </w:r>
    </w:p>
    <w:p w:rsidR="00747EB4" w:rsidRDefault="00747EB4">
      <w:pPr>
        <w:pStyle w:val="BodyText"/>
      </w:pPr>
      <w:r>
        <w:t> Yes. Several adjustments to the Company’s expense claims should be made, as discussed in OPC witness Smith’s testimony and his EXH 41.</w:t>
      </w:r>
    </w:p>
    <w:p w:rsidR="00747EB4" w:rsidRPr="004C3641" w:rsidRDefault="00747EB4">
      <w:pPr>
        <w:pStyle w:val="IssueSubsectionHeading"/>
        <w:rPr>
          <w:vanish/>
          <w:specVanish/>
        </w:rPr>
      </w:pPr>
      <w:r w:rsidRPr="004C3641">
        <w:t>Staff Analysis: </w:t>
      </w:r>
    </w:p>
    <w:p w:rsidR="00747EB4" w:rsidRDefault="00747EB4" w:rsidP="00431D19">
      <w:pPr>
        <w:pStyle w:val="BodyText"/>
      </w:pPr>
      <w:r>
        <w:t> </w:t>
      </w:r>
      <w:r w:rsidRPr="001F271F">
        <w:t xml:space="preserve">In its MFRs, </w:t>
      </w:r>
      <w:r>
        <w:t xml:space="preserve">Sunshine requested Operation and Maintenance (O&amp;M) expense of $13,286,795 for water and $15,625,735 for wastewater. </w:t>
      </w:r>
      <w:r w:rsidRPr="001F271F">
        <w:t>(EXH 10</w:t>
      </w:r>
      <w:r>
        <w:t xml:space="preserve"> BSP C4-435, C4-436</w:t>
      </w:r>
      <w:r w:rsidRPr="001F271F">
        <w:t>)</w:t>
      </w:r>
      <w:r>
        <w:t xml:space="preserve"> Sunshine made several adjustments to test year O&amp;M expenses. </w:t>
      </w:r>
      <w:r w:rsidRPr="001F271F">
        <w:t xml:space="preserve">Staff’s adjustments to the Utility’s test year O&amp;M </w:t>
      </w:r>
      <w:r>
        <w:t xml:space="preserve">expenses </w:t>
      </w:r>
      <w:r w:rsidRPr="001F271F">
        <w:t>are discussed below.</w:t>
      </w:r>
    </w:p>
    <w:p w:rsidR="00747EB4" w:rsidRDefault="00747EB4" w:rsidP="00431D19">
      <w:pPr>
        <w:pStyle w:val="First-LevelSubheading"/>
      </w:pPr>
      <w:r>
        <w:t>Audit Finding No. 9</w:t>
      </w:r>
    </w:p>
    <w:p w:rsidR="00747EB4" w:rsidRDefault="00747EB4" w:rsidP="00431D19">
      <w:pPr>
        <w:pStyle w:val="BodyText"/>
      </w:pPr>
      <w:r>
        <w:t>As discussed in staff’s witness Mouring’s testimony and associated audit report, O&amp;M should be decreased by $2,823 for water and $17,160 for wastewater. For water, Account 636 (Contractual Services – Other) should be decreased by $408, Account 635 (Contractual Services – Testing) should be decreased by $2,415, Account 631 (Contractual Services – Engineering) should be decreased by $46,000, Account 633 (Contractual Services – Legal) should be decreased by $45,491, Account 615 (Purchased Power) should be decreased by $53.64, and $426.85 should be reclassified from Account 642 (Rental of equipment) to Account 340 (Office Furniture and Equipment). For wastewater, Account 736 (Contractual Services – Other) should be decreased by $45, Account 735 (Contractual Services – Testing) should be decreased by $2,064, and Account 710 (Purchased Wastewater Treatment) should be decreased by $15,051. (EXH 45)</w:t>
      </w:r>
    </w:p>
    <w:p w:rsidR="00747EB4" w:rsidRDefault="00747EB4" w:rsidP="00431D19">
      <w:pPr>
        <w:pStyle w:val="BodyText"/>
      </w:pPr>
      <w:r>
        <w:t xml:space="preserve">The adjustments made to Accounts 631, 636, 635, and 735 were to remove out of period invoices from O&amp;M accounts. The adjustments made to Account 633 were to remove out of period invoices and to remove attorney fees. The adjustment to Account 736 was made to remove late fees. The adjustment to Account 614 was to remove customer late payment charges. The adjustments made to Account 710 were to remove out of period invoices and to remove a Utility bill that includes water and wastewater charges but the line item only includes water service. (EXH 45) </w:t>
      </w:r>
    </w:p>
    <w:p w:rsidR="00747EB4" w:rsidRPr="001F271F" w:rsidRDefault="00747EB4" w:rsidP="00431D19">
      <w:pPr>
        <w:pStyle w:val="BodyText"/>
      </w:pPr>
      <w:r>
        <w:t xml:space="preserve">For Account 631, the Utility argued that $53,000 of audit staff’s adjustment is a credit amount representing items moved from Account 631 to construction work in progress (CWIP) projects during the test year. (TR 534) The invoices were originally from prior to 2023, therefore the items are credits to expense in 2023. (TR 534) The Utility stated that $53,000 of credits to expense should be removed, increasing O&amp;M by that amount. The remaining reduction of $7,000 of the adjustment should not be made. (TR 534-535) For Account 633, the Utility argued that, for reasons already discussed in reference to Account 631, a credit to expenses of $35,491 </w:t>
      </w:r>
      <w:r>
        <w:lastRenderedPageBreak/>
        <w:t xml:space="preserve">should be removed from O&amp;M expenses. (TR 535) The $10,000 of legal fees were from December 2023 and were reclassified to a CWIP project at the end of that month. (TR 535) Therefore, no adjustment is needed. For Account 636, the Utility argued the adjustments were regarding invoices for services performed in 2023, thus not out of period activity. The Utility stated no adjustment is needed. (TR 535) The Utility agreed with the adjustments to Accounts 736 and 635. (TR 535-536) For Account 735, the Utility explained that the finding is regarding 3 separate transactions. $1,857 of the adjustment total was for work performed in December 2022. </w:t>
      </w:r>
      <w:r w:rsidRPr="008D51D6">
        <w:t>(TR 535-536)</w:t>
      </w:r>
      <w:r>
        <w:t xml:space="preserve"> This invoice is one of the 12 monthly invoices in the test year. Therefore, it should remain in the test year to represent a full 12 months. The second part of this adjustment is a credit in the amount of $260, reflecting the reversal of a prior year receipt. Because this transaction is non-recurring and out of the test period, it should therefore be removed. The last part of this adjustment is also a non-recurring invoice occurring outside of the test year in the amount of $467. </w:t>
      </w:r>
      <w:r w:rsidRPr="002206C1">
        <w:t xml:space="preserve">(TR 536) </w:t>
      </w:r>
      <w:r>
        <w:t>This should also be removed. The Utility stated the adjustment to Account 615 represents customer late payment charges. (TR 536) This is an appropriate entry for this account and this item should not be removed. For Account 710, the $15,051 invoice from January 2023 was for service in December 2022. The invoice was accrued in December 2022, and the accrual reversed in January 2022. The Utility argued that this is standard accrual accounting practice and there is no need for this adjustment. The $13,244 amount is from the water portion of a water and wastewater combined invoice. This amount was originally posted to Account 710, but was later reclassified to 610 in the same month. Therefore, the Utility argued there is no need to make this adjustment. (TR 536) Lastly, the Utility identified that an invoice in the amount of $427 for office supplies should be reflected in Account 675 and not reclassified to Account 340, as the items purchases do not classify as an asset. (TR 536-537) Staff agrees with the Utility’s position on these audit adjustments. In total, O&amp;M expenses should be increased by $43,442 and $42,383 for water and wastewater, respectively, to reflect the corrections for Audit Finding 9.</w:t>
      </w:r>
    </w:p>
    <w:p w:rsidR="00747EB4" w:rsidRDefault="00747EB4" w:rsidP="00431D19">
      <w:pPr>
        <w:pStyle w:val="First-LevelSubheading"/>
      </w:pPr>
      <w:r>
        <w:t>Directors and Officers (D&amp;O) Insurance</w:t>
      </w:r>
    </w:p>
    <w:p w:rsidR="00747EB4" w:rsidRDefault="00747EB4" w:rsidP="00431D19">
      <w:pPr>
        <w:pStyle w:val="BodyText"/>
      </w:pPr>
      <w:r w:rsidRPr="001F271F">
        <w:t xml:space="preserve">OPC witness Smith proposed an adjustment of $22,467, $11,637 from water and $10,790 from wastewater, to reduce directors and </w:t>
      </w:r>
      <w:r>
        <w:t>officers</w:t>
      </w:r>
      <w:r w:rsidRPr="001F271F">
        <w:t xml:space="preserve"> liability</w:t>
      </w:r>
      <w:r>
        <w:t xml:space="preserve"> (DOL)</w:t>
      </w:r>
      <w:r w:rsidRPr="001F271F">
        <w:t xml:space="preserve"> insurance expense.</w:t>
      </w:r>
      <w:r>
        <w:t xml:space="preserve"> (OPC BR 37)</w:t>
      </w:r>
      <w:r w:rsidRPr="001F271F">
        <w:t xml:space="preserve"> This insurance protects shareholders from the decisions they made when they hired the Company’s Board of Directors and the Board of Directors in turn hired the officers of the Company. Witness Smith stated the DOL insurance is primarily a benefit to the shareholders, therefore they should be responsible for the costs associated with this insurance coverage. (TR 406-407) OPC proposed this adjustment to remove half of the costs from the expenses. (OPC BR 36) </w:t>
      </w:r>
      <w:r>
        <w:t xml:space="preserve">Sunshine witness DeStefano argued the DOL insurance is not primarily a benefit to the shareholders. Witness DeStefano stated shareholders are not the beneficiaries or insured parties of the DOL policy. (TR 529) Witness DeStefano also argued this type of insurance has long been expected for these director and officer positions. Without the protection of the insurance policies, potential employees for these positions could possibly reject employment opportunities or request much higher pay. (TR 529) In its brief, Sunshine stated that DOL insurance is essential to obtain and retain qualified individuals for leadership positions. Therefore, it is a benefit to the customers. (Sunshine BR 17) However, </w:t>
      </w:r>
      <w:r w:rsidRPr="001F271F">
        <w:t>in</w:t>
      </w:r>
      <w:r>
        <w:t xml:space="preserve"> previous rate cases, the C</w:t>
      </w:r>
      <w:r w:rsidRPr="001F271F">
        <w:t xml:space="preserve">ommission has allowed half </w:t>
      </w:r>
      <w:r w:rsidRPr="001F271F">
        <w:lastRenderedPageBreak/>
        <w:t>of the cost of DOL insurance to stay in test year expenses.</w:t>
      </w:r>
      <w:r>
        <w:rPr>
          <w:rStyle w:val="FootnoteReference"/>
        </w:rPr>
        <w:footnoteReference w:id="31"/>
      </w:r>
      <w:r w:rsidRPr="001F271F">
        <w:t xml:space="preserve"> </w:t>
      </w:r>
      <w:r>
        <w:t>S</w:t>
      </w:r>
      <w:r w:rsidRPr="001F271F">
        <w:t xml:space="preserve">taff agrees with OPC’s </w:t>
      </w:r>
      <w:r>
        <w:t xml:space="preserve">argument and </w:t>
      </w:r>
      <w:r w:rsidRPr="001F271F">
        <w:t>adjustment to remove half of the DOL insurance from expenses.</w:t>
      </w:r>
      <w:r>
        <w:t xml:space="preserve"> As such, staff recommends decreasing O&amp;M expenses by </w:t>
      </w:r>
      <w:r w:rsidRPr="00132FF8">
        <w:t>$11,637 from water and $10,790 from wastewater</w:t>
      </w:r>
      <w:r>
        <w:t>.</w:t>
      </w:r>
    </w:p>
    <w:p w:rsidR="00747EB4" w:rsidRDefault="00747EB4" w:rsidP="00431D19">
      <w:pPr>
        <w:pStyle w:val="First-LevelSubheading"/>
      </w:pPr>
      <w:r>
        <w:t>DEP Penalty</w:t>
      </w:r>
    </w:p>
    <w:p w:rsidR="00747EB4" w:rsidRDefault="00747EB4" w:rsidP="00431D19">
      <w:pPr>
        <w:pStyle w:val="BodyText"/>
      </w:pPr>
      <w:r w:rsidRPr="001F271F">
        <w:t>In response to staff discovery, the Utility stated that it had incorrectly included a Florida DEP penalty accrual as an expense. (EXH 64</w:t>
      </w:r>
      <w:r>
        <w:t xml:space="preserve"> BSP E3-E4</w:t>
      </w:r>
      <w:r w:rsidRPr="001F271F">
        <w:t xml:space="preserve">) OPC witness Smith also identified this as an adjustment that needed to be made. The adjustment to remove this penalty from O&amp;M expenses consists of $165,188 for water and $153,584 for wastewater. (TR 406) </w:t>
      </w:r>
      <w:r>
        <w:t>In Utility witness DeStefano’s rebuttal testimony, he stated the Utility</w:t>
      </w:r>
      <w:r w:rsidRPr="001F271F">
        <w:t xml:space="preserve"> agreed with this adjustment. (TR 523) Therefore, staff recommends </w:t>
      </w:r>
      <w:r>
        <w:t xml:space="preserve">a reduction of </w:t>
      </w:r>
      <w:r w:rsidRPr="001F271F">
        <w:t>$165,188 for water and $153,584 for wastewater be made.</w:t>
      </w:r>
    </w:p>
    <w:p w:rsidR="00747EB4" w:rsidRDefault="00747EB4" w:rsidP="00431D19">
      <w:pPr>
        <w:pStyle w:val="First-LevelSubheading"/>
      </w:pPr>
      <w:r>
        <w:t>Wekiva Legal Expenses</w:t>
      </w:r>
    </w:p>
    <w:p w:rsidR="00747EB4" w:rsidRDefault="00747EB4" w:rsidP="00431D19">
      <w:pPr>
        <w:pStyle w:val="BodyText"/>
      </w:pPr>
      <w:r w:rsidRPr="001F271F">
        <w:t>OPC proposed the removal of $210,838 in legal expenses fro</w:t>
      </w:r>
      <w:r>
        <w:t>m the Utility’s wastewater O&amp;M e</w:t>
      </w:r>
      <w:r w:rsidRPr="001F271F">
        <w:t>xpenses. This proposed ad</w:t>
      </w:r>
      <w:r>
        <w:t>justment comes from the Wekiva legal p</w:t>
      </w:r>
      <w:r w:rsidRPr="001F271F">
        <w:t xml:space="preserve">roceeding. </w:t>
      </w:r>
      <w:r>
        <w:t>The proceeding concerns</w:t>
      </w:r>
      <w:r w:rsidRPr="002206C1">
        <w:t xml:space="preserve"> multiple inspections conducted by the DEP in March and April of 2022. After those inspections, DEP issued a Warning Letter in April 2022 alleging violations of Florida Law. This Warning Letter represents the initiation of a civil proceeding. The proceeding is then finished if DEP finds the response to be agreeable. DEP and Sunshine conducted multiple meetings and reached a resolution with a Consent Order on May 23, 2024</w:t>
      </w:r>
      <w:r>
        <w:t xml:space="preserve">. </w:t>
      </w:r>
      <w:r w:rsidRPr="00350959">
        <w:t>At the time of these inspections, a special agent from DEP’s criminal division was in attendance. Sunshine was then notified a criminal investigation was also ongoing. Sunshine hired criminal counsel to protect itself. Sunshine has not received any more formal requests after April 2023 and no formal proceeding has been filed. At this time, many of the relevant statute of limitations have passed. Sunshine assumes the case has been closed, but has not received any official notice of closure. (EXH 166 BSP F2-2553, F2-2554</w:t>
      </w:r>
      <w:r>
        <w:t>)</w:t>
      </w:r>
    </w:p>
    <w:p w:rsidR="00747EB4" w:rsidRDefault="00747EB4" w:rsidP="00431D19">
      <w:pPr>
        <w:pStyle w:val="BodyText"/>
      </w:pPr>
      <w:r>
        <w:t xml:space="preserve">In </w:t>
      </w:r>
      <w:r w:rsidRPr="001F271F">
        <w:t xml:space="preserve">OPC </w:t>
      </w:r>
      <w:r>
        <w:t xml:space="preserve">witness Smith’s direct testimony, he </w:t>
      </w:r>
      <w:r w:rsidRPr="001F271F">
        <w:t xml:space="preserve">argued that these costs are not recurring and therefore should not be included in O&amp;M expenses and should be amortized over 5 years. </w:t>
      </w:r>
      <w:r>
        <w:t>(T</w:t>
      </w:r>
      <w:r w:rsidRPr="001F271F">
        <w:t>R 411-412) The Utility agreed with this adjustment being made and the amortization of the amount over 5 years. (</w:t>
      </w:r>
      <w:r w:rsidRPr="00E05D18">
        <w:t>Sunshine BR 17</w:t>
      </w:r>
      <w:r>
        <w:t>; TR 527</w:t>
      </w:r>
      <w:r w:rsidRPr="001F271F">
        <w:t>) In its brief, OPC stated customers should not be forced to pay the legal defense costs for mismanagement of a system that led to the need to fend off possible criminal charges against management employees.</w:t>
      </w:r>
      <w:r>
        <w:t xml:space="preserve"> (OPC BR 37)</w:t>
      </w:r>
      <w:r w:rsidRPr="001F271F">
        <w:t xml:space="preserve"> </w:t>
      </w:r>
      <w:r>
        <w:t xml:space="preserve">Staff agrees that customers should not be responsible for expenses related to management issues associated with the Wekiva WWTP. </w:t>
      </w:r>
      <w:r w:rsidRPr="001F271F">
        <w:t>OPC stated the entire amount of $777,225 should be denied, with $320,657 coming from the 2022 amount and $347,991 coming from the 2023 test year amount. (OPC BR 37</w:t>
      </w:r>
      <w:r>
        <w:t>-38</w:t>
      </w:r>
      <w:r w:rsidRPr="001F271F">
        <w:t xml:space="preserve">) </w:t>
      </w:r>
      <w:r>
        <w:t>As such, wastewater O&amp;M expenses for the historic test year should be decreased $347,991 to reflect the removal of the legal expenses.</w:t>
      </w:r>
    </w:p>
    <w:p w:rsidR="00747EB4" w:rsidRDefault="00747EB4" w:rsidP="00431D19">
      <w:pPr>
        <w:pStyle w:val="First-LevelSubheading"/>
      </w:pPr>
      <w:r>
        <w:t>Lamelza Legal Expenses</w:t>
      </w:r>
    </w:p>
    <w:p w:rsidR="00747EB4" w:rsidRDefault="00747EB4" w:rsidP="00431D19">
      <w:pPr>
        <w:pStyle w:val="BodyText"/>
      </w:pPr>
      <w:r w:rsidRPr="001F271F">
        <w:t>OPC proposed a removal of $6,933 in legal expenses ($3,597 for water and $3,336 for wastewater). This proposed adjustment is from the Lamelza case</w:t>
      </w:r>
      <w:r>
        <w:t xml:space="preserve">, which involved an individual </w:t>
      </w:r>
      <w:r>
        <w:lastRenderedPageBreak/>
        <w:t xml:space="preserve">who </w:t>
      </w:r>
      <w:r w:rsidRPr="00B44120">
        <w:t xml:space="preserve">allegedly broke her ankle after walking into </w:t>
      </w:r>
      <w:r>
        <w:t>a</w:t>
      </w:r>
      <w:r w:rsidRPr="00B44120">
        <w:t xml:space="preserve"> water utility box in the back of a </w:t>
      </w:r>
      <w:r>
        <w:t>property in a development.</w:t>
      </w:r>
      <w:r w:rsidRPr="00B44120">
        <w:t xml:space="preserve"> </w:t>
      </w:r>
      <w:r>
        <w:t xml:space="preserve">The plaintiff </w:t>
      </w:r>
      <w:r w:rsidRPr="00B44120">
        <w:t xml:space="preserve">sued multiple parties in an attempt to find the party responsible for the equipment that </w:t>
      </w:r>
      <w:r>
        <w:t xml:space="preserve">allegedly caused </w:t>
      </w:r>
      <w:r w:rsidRPr="00B44120">
        <w:t>injury. (EXH 168</w:t>
      </w:r>
      <w:r>
        <w:t xml:space="preserve">) </w:t>
      </w:r>
      <w:r w:rsidRPr="001F271F">
        <w:t>OPC argued that this case remains ongoing and the outcome is uncertain. (TR 412) In its brief, OPC stated the legal and operating expenses from this case do not provide benefits to Florida customers and are inappropriate for ratemaking. (OPC BR 38)</w:t>
      </w:r>
      <w:r>
        <w:t xml:space="preserve"> The Utility argued that it was named a defendant therefore, it had to defend itself. (TR 524) The Utility also argued the costs from this case are part of a representative level of test year expenses and not eligible to be recovered via the awarding of attorneys fees. (TR 526) Based on the materiality and status of the case, staff recommends not removing the $6,933 from the historic test year. </w:t>
      </w:r>
    </w:p>
    <w:p w:rsidR="00747EB4" w:rsidRDefault="00747EB4" w:rsidP="00431D19">
      <w:pPr>
        <w:pStyle w:val="First-LevelSubheading"/>
      </w:pPr>
      <w:r>
        <w:t xml:space="preserve">Charitable Contributions </w:t>
      </w:r>
    </w:p>
    <w:p w:rsidR="00747EB4" w:rsidRDefault="00747EB4" w:rsidP="00431D19">
      <w:pPr>
        <w:pStyle w:val="BodyText"/>
      </w:pPr>
      <w:r>
        <w:t>Witness Smith stated that he decreased O&amp;M expenses by $20,243, with $10,490 for water and $9,754 for wastewater. This adjustment was to remove charitable contributions from the Utility’s O&amp;M expenses. OPC argued that the shareholders, not the customers, should be responsible for the cost of charitable donations. (TR 414) In Utility witness DeStefano’s rebuttal testimony, he stated the Utility</w:t>
      </w:r>
      <w:r w:rsidRPr="001F271F">
        <w:t xml:space="preserve"> agreed with this adjustment. (TR 523)</w:t>
      </w:r>
      <w:r>
        <w:t xml:space="preserve"> Therefore, staff recommends reducing water and wastewater O&amp;M expenses by $10,490 and $9,754, respectively.</w:t>
      </w:r>
    </w:p>
    <w:p w:rsidR="00747EB4" w:rsidRDefault="00747EB4" w:rsidP="00431D19">
      <w:pPr>
        <w:pStyle w:val="First-LevelSubheading"/>
      </w:pPr>
      <w:r>
        <w:t>Chamber of Commerce Dues</w:t>
      </w:r>
    </w:p>
    <w:p w:rsidR="00747EB4" w:rsidRPr="001F271F" w:rsidRDefault="00747EB4" w:rsidP="00431D19">
      <w:pPr>
        <w:pStyle w:val="BodyText"/>
      </w:pPr>
      <w:r>
        <w:t xml:space="preserve">In </w:t>
      </w:r>
      <w:r w:rsidRPr="005220BB">
        <w:t xml:space="preserve">OPC </w:t>
      </w:r>
      <w:r>
        <w:t>witness Smith’s direct testimony, he</w:t>
      </w:r>
      <w:r w:rsidRPr="005220BB">
        <w:t xml:space="preserve"> identified an adjustment to remove $10,000, $5,189 from water and $4,811 from wastewater, from O&amp;M expenses for a charitable contribution to the Florida Chamber Foundation. (TR 408-409) The Utility also paid amounts of $3,000, $1,200, and $489 to the Florida Chamber of Commerce, Inc., Seminole County Regional Chamber, and South Lake Chamber of Commerce, respectively. (TR 409) </w:t>
      </w:r>
      <w:r>
        <w:t>In total, the recommended reduction for the dues was $7,612 for water and $7,077 for wastewater. In Utility witness DeStefano’s rebuttal testimony, he stated the Utility</w:t>
      </w:r>
      <w:r w:rsidRPr="001F271F">
        <w:t xml:space="preserve"> agreed with this adjustment. (TR 523)</w:t>
      </w:r>
      <w:r w:rsidRPr="005220BB">
        <w:t xml:space="preserve"> </w:t>
      </w:r>
      <w:r>
        <w:t>S</w:t>
      </w:r>
      <w:r w:rsidRPr="005220BB">
        <w:t>taff recommends reducing water and wastewater O&amp;M expenses by $</w:t>
      </w:r>
      <w:r>
        <w:t>7,612</w:t>
      </w:r>
      <w:r w:rsidRPr="005220BB">
        <w:t xml:space="preserve"> and $</w:t>
      </w:r>
      <w:r>
        <w:t>7,007</w:t>
      </w:r>
      <w:r w:rsidRPr="005220BB">
        <w:t>, respectively</w:t>
      </w:r>
    </w:p>
    <w:p w:rsidR="00747EB4" w:rsidRDefault="00747EB4" w:rsidP="00431D19">
      <w:pPr>
        <w:pStyle w:val="First-LevelSubheading"/>
      </w:pPr>
      <w:r>
        <w:t>Sewer Maintenance Repairs</w:t>
      </w:r>
    </w:p>
    <w:p w:rsidR="00747EB4" w:rsidRPr="001F271F" w:rsidRDefault="00747EB4" w:rsidP="00431D19">
      <w:pPr>
        <w:pStyle w:val="BodyText"/>
      </w:pPr>
      <w:r w:rsidRPr="001F271F">
        <w:t xml:space="preserve">OPC witness Smith proposed an adjustment to decrease wastewater O&amp;M expense by $29,879 to remove sewer maintenance repairs expense related to the pro forma Wekiva </w:t>
      </w:r>
      <w:r>
        <w:t xml:space="preserve">Hunt Club </w:t>
      </w:r>
      <w:r w:rsidRPr="001F271F">
        <w:t>WWT</w:t>
      </w:r>
      <w:r>
        <w:t>P</w:t>
      </w:r>
      <w:r w:rsidRPr="001F271F">
        <w:t xml:space="preserve"> Aerator Installation project. (TR 416) OPC argued this amount was also included in the pro forma Wekiva</w:t>
      </w:r>
      <w:r>
        <w:t xml:space="preserve"> Hunt Club</w:t>
      </w:r>
      <w:r w:rsidRPr="001F271F">
        <w:t xml:space="preserve"> WWT</w:t>
      </w:r>
      <w:r>
        <w:t>P</w:t>
      </w:r>
      <w:r w:rsidRPr="001F271F">
        <w:t xml:space="preserve"> Aerator Installation project</w:t>
      </w:r>
      <w:r>
        <w:t>,</w:t>
      </w:r>
      <w:r w:rsidRPr="001F271F">
        <w:t xml:space="preserve"> and therefore </w:t>
      </w:r>
      <w:r>
        <w:t xml:space="preserve">was duplicative and </w:t>
      </w:r>
      <w:r w:rsidRPr="001F271F">
        <w:t>should be removed from expenses. (TR 416; EXH 69</w:t>
      </w:r>
      <w:r>
        <w:t xml:space="preserve"> BSP E711</w:t>
      </w:r>
      <w:r w:rsidRPr="001F271F">
        <w:t>) The Utility agreed with this adjustment. (TR 523-524) Staff rec</w:t>
      </w:r>
      <w:r>
        <w:t>ommends this adjustment be made to reduce wastewater O&amp;M expenses by $29,879.</w:t>
      </w:r>
    </w:p>
    <w:p w:rsidR="00747EB4" w:rsidRDefault="00747EB4" w:rsidP="00431D19">
      <w:pPr>
        <w:pStyle w:val="First-LevelSubheading"/>
      </w:pPr>
      <w:r>
        <w:t>Weather and Hurricane Costs</w:t>
      </w:r>
    </w:p>
    <w:p w:rsidR="00747EB4" w:rsidRDefault="00747EB4" w:rsidP="00431D19">
      <w:pPr>
        <w:pStyle w:val="BodyText"/>
      </w:pPr>
      <w:r w:rsidRPr="001F271F">
        <w:t xml:space="preserve">OPC witness Smith proposed an adjustment decreasing O&amp;M expenses by $26,978 for water and $25,014 for wastewater, to reflect the amortization over a five-year period of costs associated with hurricanes or other weather-related events. (TR 416) Utility witness DeStefano argued that these costs related to storms are commonly incurred. These costs represent fuel purchases for generators and vehicles during the multiple weather events that occur each year. Witness DeStefano also noted that the Utility incurred an unrepresentative level of weather related costs from the impacts of Hurricane Ian and began amortizing those costs over a five-year period. (TR </w:t>
      </w:r>
      <w:r w:rsidRPr="001F271F">
        <w:lastRenderedPageBreak/>
        <w:t>525-526) Staff accepts the Utility’s explanation and understands it can be expected that one or more weather events will happen each year. Staff recommends no adjustment is needed.</w:t>
      </w:r>
    </w:p>
    <w:p w:rsidR="00747EB4" w:rsidRDefault="00747EB4" w:rsidP="00431D19">
      <w:pPr>
        <w:pStyle w:val="First-LevelSubheading"/>
      </w:pPr>
      <w:r>
        <w:t>Amortization of Rate Case Expense</w:t>
      </w:r>
    </w:p>
    <w:p w:rsidR="00747EB4" w:rsidRDefault="00747EB4" w:rsidP="00431D19">
      <w:pPr>
        <w:pStyle w:val="BodyText"/>
      </w:pPr>
      <w:r>
        <w:t xml:space="preserve">Test year O&amp;M expense should also be reduced by </w:t>
      </w:r>
      <w:r w:rsidRPr="00E226C1">
        <w:t>$96,267 for water and $89,504 for wastewater</w:t>
      </w:r>
      <w:r>
        <w:t xml:space="preserve"> to reflect the removal of Rate Case Expense amortization granted to the Utility in its 2020 Rate Case. Under Section 367.081(8), F.S., the expiration of the amortization and reduction to rates is scheduled to coincide with the timing of rates in the instant docket</w:t>
      </w:r>
      <w:r w:rsidRPr="00E226C1">
        <w:t xml:space="preserve">. </w:t>
      </w:r>
      <w:r>
        <w:t>With this adjustment, the requirement to remove fully amortize a rate case expense will be met.</w:t>
      </w:r>
    </w:p>
    <w:p w:rsidR="00747EB4" w:rsidRDefault="00747EB4" w:rsidP="00431D19">
      <w:pPr>
        <w:pStyle w:val="RecommendationMajorSectionHeading"/>
      </w:pPr>
      <w:r>
        <w:t>CONCLUSION</w:t>
      </w:r>
    </w:p>
    <w:p w:rsidR="00747EB4" w:rsidRDefault="00747EB4" w:rsidP="00431D19">
      <w:pPr>
        <w:pStyle w:val="BodyText"/>
      </w:pPr>
      <w:r w:rsidRPr="002A2135">
        <w:t xml:space="preserve">Based on the above, staff recommends test year O&amp;M expenses should be decreased </w:t>
      </w:r>
      <w:r>
        <w:t>by $247,752 ($43,442 - $11,637 - $165,188 - $10,490 - $96,267) for water and $140,228 ($42,383 - $10,790 - $153,584 - $347,991 - $9,754 - $28,879 $89,504) for wastewater</w:t>
      </w:r>
      <w:r w:rsidRPr="002A2135">
        <w:t>.</w:t>
      </w:r>
    </w:p>
    <w:p w:rsidR="00D20FAC" w:rsidRDefault="00D20FAC" w:rsidP="00E275D8">
      <w:pPr>
        <w:pStyle w:val="BodyText"/>
      </w:pPr>
    </w:p>
    <w:p w:rsidR="00D20FAC" w:rsidRDefault="00D20FAC" w:rsidP="00D20FAC">
      <w:r>
        <w:br w:type="page"/>
      </w:r>
    </w:p>
    <w:p w:rsidR="00747EB4" w:rsidRDefault="00747EB4">
      <w:pPr>
        <w:pStyle w:val="IssueHeading"/>
        <w:rPr>
          <w:vanish/>
          <w:specVanish/>
        </w:rPr>
      </w:pPr>
      <w:r w:rsidRPr="004C3641">
        <w:lastRenderedPageBreak/>
        <w:t xml:space="preserve">Issue </w:t>
      </w:r>
      <w:r>
        <w:fldChar w:fldCharType="begin"/>
      </w:r>
      <w:r>
        <w:instrText>seq issue \r 29</w:instrText>
      </w:r>
      <w:r>
        <w:fldChar w:fldCharType="separate"/>
      </w:r>
      <w:r w:rsidR="009D3FF7">
        <w:rPr>
          <w:noProof/>
        </w:rPr>
        <w:t>29</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5" w:name="_Toc196317147"/>
      <w:r w:rsidR="009D3FF7">
        <w:rPr>
          <w:noProof/>
        </w:rPr>
        <w:instrText>29</w:instrText>
      </w:r>
      <w:r>
        <w:fldChar w:fldCharType="end"/>
      </w:r>
      <w:r>
        <w:tab/>
        <w:instrText>TOTI (Przygocki)</w:instrText>
      </w:r>
      <w:bookmarkEnd w:id="45"/>
      <w:r>
        <w:instrText xml:space="preserve">" \l 1 </w:instrText>
      </w:r>
      <w:r>
        <w:fldChar w:fldCharType="end"/>
      </w:r>
      <w:r>
        <w:t> </w:t>
      </w:r>
    </w:p>
    <w:p w:rsidR="00747EB4" w:rsidRDefault="00747EB4">
      <w:pPr>
        <w:pStyle w:val="BodyText"/>
      </w:pPr>
      <w:r>
        <w:t> Should any adjustments be made to test year taxes other than income?</w:t>
      </w:r>
    </w:p>
    <w:p w:rsidR="00747EB4" w:rsidRPr="004C3641" w:rsidRDefault="00747EB4">
      <w:pPr>
        <w:pStyle w:val="IssueSubsectionHeading"/>
        <w:rPr>
          <w:vanish/>
          <w:specVanish/>
        </w:rPr>
      </w:pPr>
      <w:r w:rsidRPr="004C3641">
        <w:t>Recommendation: </w:t>
      </w:r>
    </w:p>
    <w:p w:rsidR="00747EB4" w:rsidRDefault="00747EB4">
      <w:pPr>
        <w:pStyle w:val="BodyText"/>
      </w:pPr>
      <w:r>
        <w:t xml:space="preserve"> Yes. TOTI should be decreased by </w:t>
      </w:r>
      <w:r w:rsidRPr="002E2513">
        <w:t>$226,574 for water and $193,229 for wastewater</w:t>
      </w:r>
      <w:r>
        <w:t>. (Przygocki)</w:t>
      </w:r>
    </w:p>
    <w:p w:rsidR="00747EB4" w:rsidRPr="004C3641" w:rsidRDefault="00747EB4">
      <w:pPr>
        <w:pStyle w:val="IssueSubsectionHeading"/>
        <w:keepNext/>
        <w:rPr>
          <w:iCs w:val="0"/>
        </w:rPr>
      </w:pPr>
      <w:r w:rsidRPr="004C3641">
        <w:rPr>
          <w:iCs w:val="0"/>
        </w:rPr>
        <w:t>Position of the Parties</w:t>
      </w:r>
    </w:p>
    <w:p w:rsidR="00747EB4" w:rsidRDefault="00747EB4" w:rsidP="00431D19">
      <w:pPr>
        <w:pStyle w:val="PartyName"/>
        <w:rPr>
          <w:vanish/>
          <w:specVanish/>
        </w:rPr>
      </w:pPr>
      <w:r>
        <w:t>SUNSHINE: </w:t>
      </w:r>
    </w:p>
    <w:p w:rsidR="00747EB4" w:rsidRDefault="00747EB4">
      <w:pPr>
        <w:pStyle w:val="BodyText"/>
      </w:pPr>
      <w:r>
        <w:t> Yes. Water - $3,600; Wastewater - $43,155.</w:t>
      </w:r>
    </w:p>
    <w:p w:rsidR="00747EB4" w:rsidRDefault="00747EB4" w:rsidP="00431D19">
      <w:pPr>
        <w:pStyle w:val="PartyName"/>
        <w:rPr>
          <w:vanish/>
          <w:specVanish/>
        </w:rPr>
      </w:pPr>
      <w:r>
        <w:t>OPC: </w:t>
      </w:r>
    </w:p>
    <w:p w:rsidR="00747EB4" w:rsidRDefault="00747EB4">
      <w:pPr>
        <w:pStyle w:val="BodyText"/>
      </w:pPr>
      <w:r>
        <w:t> Yes, adjustments consistent with the removal of AMI Meter Installation Project and any other associated property taxes and along with fallout from any other pro forma investment should be made.</w:t>
      </w:r>
    </w:p>
    <w:p w:rsidR="00747EB4" w:rsidRPr="004C3641" w:rsidRDefault="00747EB4">
      <w:pPr>
        <w:pStyle w:val="IssueSubsectionHeading"/>
        <w:rPr>
          <w:vanish/>
          <w:specVanish/>
        </w:rPr>
      </w:pPr>
      <w:r w:rsidRPr="004C3641">
        <w:t>Staff Analysis: </w:t>
      </w:r>
    </w:p>
    <w:p w:rsidR="00747EB4" w:rsidRDefault="00747EB4" w:rsidP="00431D19">
      <w:pPr>
        <w:pStyle w:val="BodyText"/>
      </w:pPr>
      <w:r>
        <w:t> This is a fall</w:t>
      </w:r>
      <w:r w:rsidRPr="0018213D">
        <w:t xml:space="preserve">out issue. Based on staff’s adjustments to test year revenues </w:t>
      </w:r>
      <w:r>
        <w:t xml:space="preserve">and to remove the Utility’s requested increase, </w:t>
      </w:r>
      <w:r w:rsidRPr="0018213D">
        <w:t xml:space="preserve">regulatory assessment fees (RAFs) should be reduced </w:t>
      </w:r>
      <w:r w:rsidRPr="00DB089E">
        <w:t>by $</w:t>
      </w:r>
      <w:r>
        <w:t>232,992</w:t>
      </w:r>
      <w:r w:rsidRPr="00DB089E">
        <w:t xml:space="preserve"> for water and $</w:t>
      </w:r>
      <w:r>
        <w:t>211,654</w:t>
      </w:r>
      <w:r w:rsidRPr="00DB089E">
        <w:t xml:space="preserve"> for wastewater. To reflect staff’s recommended adjustment to pro forma </w:t>
      </w:r>
      <w:r>
        <w:t>capitalized labor in Issue 4</w:t>
      </w:r>
      <w:r w:rsidRPr="00DB089E">
        <w:t>, payroll taxes should be increased by $</w:t>
      </w:r>
      <w:r>
        <w:t>1,072</w:t>
      </w:r>
      <w:r w:rsidRPr="00DB089E">
        <w:t xml:space="preserve"> for water and </w:t>
      </w:r>
      <w:r>
        <w:t xml:space="preserve">decreased by </w:t>
      </w:r>
      <w:r w:rsidRPr="00DB089E">
        <w:t>$</w:t>
      </w:r>
      <w:r>
        <w:t>1,309</w:t>
      </w:r>
      <w:r w:rsidRPr="00DB089E">
        <w:t xml:space="preserve"> for wastewater. </w:t>
      </w:r>
      <w:r>
        <w:t xml:space="preserve">Payroll taxes for water should be further reduced by $13,221 to reflect corresponding adjustment to staff’s recommended O&amp;M adjustments for AMI meter replacements in Issue 26. </w:t>
      </w:r>
      <w:r w:rsidRPr="00DB089E">
        <w:t>To reflect staff’s recommended adjustments to pro forma plant</w:t>
      </w:r>
      <w:r>
        <w:t xml:space="preserve"> in Issue 4</w:t>
      </w:r>
      <w:r w:rsidRPr="00DB089E">
        <w:t>, property taxes should be increased by $</w:t>
      </w:r>
      <w:r>
        <w:t>18,568</w:t>
      </w:r>
      <w:r w:rsidRPr="00DB089E">
        <w:t xml:space="preserve"> for water and $21</w:t>
      </w:r>
      <w:r>
        <w:t>,007</w:t>
      </w:r>
      <w:r w:rsidRPr="00DB089E">
        <w:t xml:space="preserve"> for wastewater. There should also be a decrease of </w:t>
      </w:r>
      <w:r>
        <w:t>$1,273</w:t>
      </w:r>
      <w:r w:rsidRPr="00DB089E">
        <w:t xml:space="preserve"> for wastewater to reflect </w:t>
      </w:r>
      <w:r>
        <w:t>the correct non U&amp;U property tax adjustment to correspond to the stipulation in Issue 11</w:t>
      </w:r>
      <w:r w:rsidRPr="00DB089E">
        <w:t>. In to</w:t>
      </w:r>
      <w:r>
        <w:t>tal, test year TOTI should be de</w:t>
      </w:r>
      <w:r w:rsidRPr="00DB089E">
        <w:t>creased by $</w:t>
      </w:r>
      <w:r>
        <w:t>226,574</w:t>
      </w:r>
      <w:r w:rsidRPr="00DB089E">
        <w:t xml:space="preserve"> </w:t>
      </w:r>
      <w:r>
        <w:t xml:space="preserve">(-$232,992 + $1,072 - $13,221 + $18,568) </w:t>
      </w:r>
      <w:r w:rsidRPr="00DB089E">
        <w:t>for water and $</w:t>
      </w:r>
      <w:r>
        <w:t>193,229</w:t>
      </w:r>
      <w:r w:rsidRPr="00DB089E">
        <w:t xml:space="preserve"> </w:t>
      </w:r>
      <w:r>
        <w:t xml:space="preserve">(-$211,654 - $1,309 + $21,007 - $1,273) </w:t>
      </w:r>
      <w:r w:rsidRPr="00DB089E">
        <w:t>for wastewater.</w:t>
      </w:r>
    </w:p>
    <w:p w:rsidR="00747EB4" w:rsidRDefault="00747EB4" w:rsidP="00431D19">
      <w:pPr>
        <w:pStyle w:val="RecommendationMajorSectionHeading"/>
      </w:pPr>
      <w:r>
        <w:t>CONCLUSION</w:t>
      </w:r>
    </w:p>
    <w:p w:rsidR="00747EB4" w:rsidRPr="00BF156E" w:rsidRDefault="00747EB4" w:rsidP="00431D19">
      <w:pPr>
        <w:pStyle w:val="BodyText"/>
      </w:pPr>
      <w:r>
        <w:t>In total, t</w:t>
      </w:r>
      <w:r w:rsidRPr="00BF156E">
        <w:t xml:space="preserve">est year </w:t>
      </w:r>
      <w:r>
        <w:t>TOTI</w:t>
      </w:r>
      <w:r w:rsidRPr="00BF156E">
        <w:t xml:space="preserve"> should be </w:t>
      </w:r>
      <w:r>
        <w:t>de</w:t>
      </w:r>
      <w:r w:rsidRPr="00BF156E">
        <w:t>creased by $226,574 for water and $193,229 for wastewater</w:t>
      </w:r>
      <w:r>
        <w:t>.</w:t>
      </w:r>
    </w:p>
    <w:p w:rsidR="00101ACA" w:rsidRDefault="00101ACA" w:rsidP="00E275D8">
      <w:pPr>
        <w:pStyle w:val="BodyText"/>
      </w:pPr>
    </w:p>
    <w:p w:rsidR="00101ACA" w:rsidRDefault="00101ACA" w:rsidP="00101ACA">
      <w:r>
        <w:br w:type="page"/>
      </w:r>
    </w:p>
    <w:p w:rsidR="00747EB4" w:rsidRDefault="00747EB4">
      <w:pPr>
        <w:pStyle w:val="IssueHeading"/>
        <w:rPr>
          <w:vanish/>
          <w:specVanish/>
        </w:rPr>
      </w:pPr>
      <w:r w:rsidRPr="004C3641">
        <w:lastRenderedPageBreak/>
        <w:t xml:space="preserve">Issue </w:t>
      </w:r>
      <w:r>
        <w:fldChar w:fldCharType="begin"/>
      </w:r>
      <w:r>
        <w:instrText>seq issue \r 30</w:instrText>
      </w:r>
      <w:r>
        <w:fldChar w:fldCharType="separate"/>
      </w:r>
      <w:r w:rsidR="009D3FF7">
        <w:rPr>
          <w:noProof/>
        </w:rPr>
        <w:t>30</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6" w:name="_Toc196317148"/>
      <w:r w:rsidR="009D3FF7">
        <w:rPr>
          <w:noProof/>
        </w:rPr>
        <w:instrText>30</w:instrText>
      </w:r>
      <w:r>
        <w:fldChar w:fldCharType="end"/>
      </w:r>
      <w:r>
        <w:tab/>
        <w:instrText>Depreciation Expense (York, Sewards)</w:instrText>
      </w:r>
      <w:bookmarkEnd w:id="46"/>
      <w:r>
        <w:instrText xml:space="preserve">" \l 1 </w:instrText>
      </w:r>
      <w:r>
        <w:fldChar w:fldCharType="end"/>
      </w:r>
      <w:r>
        <w:t> </w:t>
      </w:r>
    </w:p>
    <w:p w:rsidR="00747EB4" w:rsidRDefault="00747EB4">
      <w:pPr>
        <w:pStyle w:val="BodyText"/>
      </w:pPr>
      <w:r>
        <w:t> Should any adjustments be made to test year depreciation expense?</w:t>
      </w:r>
    </w:p>
    <w:p w:rsidR="00747EB4" w:rsidRPr="004C3641" w:rsidRDefault="00747EB4">
      <w:pPr>
        <w:pStyle w:val="IssueSubsectionHeading"/>
        <w:rPr>
          <w:vanish/>
          <w:specVanish/>
        </w:rPr>
      </w:pPr>
      <w:r w:rsidRPr="004C3641">
        <w:t>Recommendation: </w:t>
      </w:r>
    </w:p>
    <w:p w:rsidR="00747EB4" w:rsidRDefault="00747EB4">
      <w:pPr>
        <w:pStyle w:val="BodyText"/>
      </w:pPr>
      <w:r>
        <w:t> In addition to the depreciation expense adjustments recommended in Issues 4 and 5, depreciation expense should be reduced by $35,830 and $44,458 for water and wastewater, respectively. (York, Sewards)</w:t>
      </w:r>
    </w:p>
    <w:p w:rsidR="00747EB4" w:rsidRPr="004C3641" w:rsidRDefault="00747EB4">
      <w:pPr>
        <w:pStyle w:val="IssueSubsectionHeading"/>
        <w:keepNext/>
        <w:rPr>
          <w:iCs w:val="0"/>
        </w:rPr>
      </w:pPr>
      <w:r w:rsidRPr="004C3641">
        <w:rPr>
          <w:iCs w:val="0"/>
        </w:rPr>
        <w:t>Position of the Parties</w:t>
      </w:r>
    </w:p>
    <w:p w:rsidR="00747EB4" w:rsidRDefault="00747EB4" w:rsidP="00431D19">
      <w:pPr>
        <w:pStyle w:val="PartyName"/>
        <w:rPr>
          <w:vanish/>
          <w:specVanish/>
        </w:rPr>
      </w:pPr>
      <w:r>
        <w:t>SUNSHINE: </w:t>
      </w:r>
    </w:p>
    <w:p w:rsidR="00747EB4" w:rsidRDefault="00747EB4" w:rsidP="00431D19">
      <w:pPr>
        <w:pStyle w:val="BodyText"/>
      </w:pPr>
      <w:r>
        <w:t> Yes. Water - $(46,704); Wastewater - $(317,297) for test year corrections and non-used and useful plant, plus 16,229 for audit adjustments.</w:t>
      </w:r>
    </w:p>
    <w:p w:rsidR="00747EB4" w:rsidRDefault="00747EB4" w:rsidP="00431D19">
      <w:pPr>
        <w:pStyle w:val="PartyName"/>
        <w:rPr>
          <w:vanish/>
          <w:specVanish/>
        </w:rPr>
      </w:pPr>
      <w:r>
        <w:t>OPC: </w:t>
      </w:r>
    </w:p>
    <w:p w:rsidR="00747EB4" w:rsidRDefault="00747EB4" w:rsidP="00431D19">
      <w:pPr>
        <w:pStyle w:val="BodyText"/>
      </w:pPr>
      <w:r>
        <w:t> Yes. As reflected in EXH 41, adjustments should be made to depreciation expenses relating to the AMI Meter Installation Project, reversing meter retirements, and test year depreciation annualization. Also, adjustments should be made for incorrect net salvage percentage-driven depreciation rates in violation of Rule 25-30.140, F.A.C.</w:t>
      </w:r>
    </w:p>
    <w:p w:rsidR="00747EB4" w:rsidRPr="004C3641" w:rsidRDefault="00747EB4">
      <w:pPr>
        <w:pStyle w:val="IssueSubsectionHeading"/>
        <w:rPr>
          <w:vanish/>
          <w:specVanish/>
        </w:rPr>
      </w:pPr>
      <w:r w:rsidRPr="004C3641">
        <w:t>Staff Analysis: </w:t>
      </w:r>
    </w:p>
    <w:p w:rsidR="00747EB4" w:rsidRDefault="00747EB4" w:rsidP="00431D19">
      <w:pPr>
        <w:pStyle w:val="BodyText"/>
      </w:pPr>
      <w:r>
        <w:t xml:space="preserve"> This is a fallout issue. </w:t>
      </w:r>
      <w:r w:rsidRPr="00B97B08">
        <w:t xml:space="preserve">In addition to the depreciation expense adjustments recommended in Issues 4 and 5, </w:t>
      </w:r>
      <w:r>
        <w:t xml:space="preserve">which address AMI meters, corresponding adjustments should be made to reduce depreciation expense and reflect staff’s recommendation in Issues 13 and 14. To reflect staff’s recommended adjustment for net salvage value in Issue 13, depreciation expense should be reduced by $35,380 for water and $37,410 for wastewater. To reflect Audit Finding No. 6 addressed in Issue 13, wastewater depreciation expense should be reduced by $7,048. In total, depreciation expense should be </w:t>
      </w:r>
      <w:r w:rsidRPr="009B35C0">
        <w:t>reduced by $</w:t>
      </w:r>
      <w:r w:rsidRPr="00DF6F05">
        <w:t>35,830</w:t>
      </w:r>
      <w:r w:rsidRPr="009B35C0">
        <w:t xml:space="preserve"> </w:t>
      </w:r>
      <w:r>
        <w:t xml:space="preserve">and </w:t>
      </w:r>
      <w:r w:rsidRPr="00DF6F05">
        <w:t>$44,458</w:t>
      </w:r>
      <w:r>
        <w:t xml:space="preserve"> (-$37,410 - $7,048) f</w:t>
      </w:r>
      <w:r w:rsidRPr="009B35C0">
        <w:t>or water and wastewater, respectively</w:t>
      </w:r>
      <w:r>
        <w:t>.</w:t>
      </w:r>
    </w:p>
    <w:p w:rsidR="00747EB4" w:rsidRDefault="00747EB4" w:rsidP="00431D19">
      <w:pPr>
        <w:pStyle w:val="RecommendationMajorSectionHeading"/>
      </w:pPr>
      <w:r>
        <w:t>CONCLUSION</w:t>
      </w:r>
    </w:p>
    <w:p w:rsidR="00747EB4" w:rsidRPr="00B97B08" w:rsidRDefault="00747EB4" w:rsidP="00431D19">
      <w:pPr>
        <w:pStyle w:val="BodyText"/>
      </w:pPr>
      <w:r w:rsidRPr="00B97B08">
        <w:t xml:space="preserve">In addition to the depreciation expense adjustments recommended in Issues 4 and 5, depreciation expense should be reduced by </w:t>
      </w:r>
      <w:r w:rsidRPr="00DF6F05">
        <w:t>$35,830 and $44,458</w:t>
      </w:r>
      <w:r w:rsidRPr="00B97B08">
        <w:t xml:space="preserve"> for water and wastewater, respectively</w:t>
      </w:r>
      <w:r>
        <w:t>.</w:t>
      </w:r>
    </w:p>
    <w:p w:rsidR="001D19AE" w:rsidRDefault="001D19AE" w:rsidP="00E275D8">
      <w:pPr>
        <w:pStyle w:val="BodyText"/>
      </w:pPr>
    </w:p>
    <w:p w:rsidR="001D19AE" w:rsidRDefault="001D19AE" w:rsidP="001D19AE">
      <w:r>
        <w:br w:type="page"/>
      </w:r>
    </w:p>
    <w:p w:rsidR="00747EB4" w:rsidRDefault="00747EB4">
      <w:pPr>
        <w:pStyle w:val="IssueHeading"/>
        <w:rPr>
          <w:vanish/>
          <w:specVanish/>
        </w:rPr>
      </w:pPr>
      <w:r w:rsidRPr="004C3641">
        <w:lastRenderedPageBreak/>
        <w:t xml:space="preserve">Issue </w:t>
      </w:r>
      <w:r>
        <w:fldChar w:fldCharType="begin"/>
      </w:r>
      <w:r>
        <w:instrText>seq issue \r 31</w:instrText>
      </w:r>
      <w:r>
        <w:fldChar w:fldCharType="separate"/>
      </w:r>
      <w:r w:rsidR="009D3FF7">
        <w:rPr>
          <w:noProof/>
        </w:rPr>
        <w:t>31</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7" w:name="_Toc196317149"/>
      <w:r w:rsidR="009D3FF7">
        <w:rPr>
          <w:noProof/>
        </w:rPr>
        <w:instrText>31</w:instrText>
      </w:r>
      <w:r>
        <w:fldChar w:fldCharType="end"/>
      </w:r>
      <w:r>
        <w:tab/>
        <w:instrText>CIAC Amortiztion Expense (Przygocki)</w:instrText>
      </w:r>
      <w:bookmarkEnd w:id="47"/>
      <w:r>
        <w:instrText xml:space="preserve">" \l 1 </w:instrText>
      </w:r>
      <w:r>
        <w:fldChar w:fldCharType="end"/>
      </w:r>
      <w:r>
        <w:t> </w:t>
      </w:r>
    </w:p>
    <w:p w:rsidR="00747EB4" w:rsidRDefault="00747EB4">
      <w:pPr>
        <w:pStyle w:val="BodyText"/>
      </w:pPr>
      <w:r>
        <w:t> Should any adjustments be made to test year amortization of CIAC expense?</w:t>
      </w:r>
    </w:p>
    <w:p w:rsidR="00747EB4" w:rsidRPr="004C3641" w:rsidRDefault="00747EB4">
      <w:pPr>
        <w:pStyle w:val="IssueSubsectionHeading"/>
        <w:rPr>
          <w:vanish/>
          <w:specVanish/>
        </w:rPr>
      </w:pPr>
      <w:r w:rsidRPr="004C3641">
        <w:t>Recommendation: </w:t>
      </w:r>
    </w:p>
    <w:p w:rsidR="00747EB4" w:rsidRDefault="00747EB4">
      <w:pPr>
        <w:pStyle w:val="BodyText"/>
      </w:pPr>
      <w:r>
        <w:t> Staff recommends an adjustment to increase test year CIAC amortization for water and wastewater by $251 and $234, respectively. All necessary adjustments to CIAC amortization should be made as set forth in Issue 5. (Przygocki)</w:t>
      </w:r>
    </w:p>
    <w:p w:rsidR="00747EB4" w:rsidRPr="004C3641" w:rsidRDefault="00747EB4">
      <w:pPr>
        <w:pStyle w:val="IssueSubsectionHeading"/>
        <w:keepNext/>
        <w:rPr>
          <w:iCs w:val="0"/>
        </w:rPr>
      </w:pPr>
      <w:r w:rsidRPr="004C3641">
        <w:rPr>
          <w:iCs w:val="0"/>
        </w:rPr>
        <w:t>Position of the Parties</w:t>
      </w:r>
    </w:p>
    <w:p w:rsidR="00747EB4" w:rsidRDefault="00747EB4" w:rsidP="00431D19">
      <w:pPr>
        <w:pStyle w:val="PartyName"/>
        <w:rPr>
          <w:vanish/>
          <w:specVanish/>
        </w:rPr>
      </w:pPr>
      <w:r>
        <w:t>SUNSHINE: </w:t>
      </w:r>
    </w:p>
    <w:p w:rsidR="00747EB4" w:rsidRDefault="00747EB4">
      <w:pPr>
        <w:pStyle w:val="BodyText"/>
      </w:pPr>
      <w:r>
        <w:t> Yes. Water - $1,134; Wastewater - $350,917 for correction of over-amortization of CIAC and ($19,406) for non-used and useful CIAC.</w:t>
      </w:r>
    </w:p>
    <w:p w:rsidR="00747EB4" w:rsidRDefault="00747EB4" w:rsidP="00431D19">
      <w:pPr>
        <w:pStyle w:val="PartyName"/>
        <w:rPr>
          <w:vanish/>
          <w:specVanish/>
        </w:rPr>
      </w:pPr>
      <w:r>
        <w:t>OPC: </w:t>
      </w:r>
    </w:p>
    <w:p w:rsidR="00747EB4" w:rsidRDefault="00747EB4">
      <w:pPr>
        <w:pStyle w:val="BodyText"/>
      </w:pPr>
      <w:r>
        <w:t> Without waiving the OPC’s right to appeal such an order, if the Commission authorizes the Utility’s annualized depreciation for test year plant additions, then matching adjustments are necessary for CIAC amortization expense for CIAC received during the test year. Further, any adjustments to test year amortization of CIAC expense should be made consistent with the adjustment to CIAC discussed in Issues 13, 14, and 15.</w:t>
      </w:r>
      <w:r>
        <w:rPr>
          <w:rStyle w:val="FootnoteReference"/>
        </w:rPr>
        <w:footnoteReference w:id="32"/>
      </w:r>
      <w:r>
        <w:t xml:space="preserve"> </w:t>
      </w:r>
    </w:p>
    <w:p w:rsidR="00747EB4" w:rsidRPr="004C3641" w:rsidRDefault="00747EB4">
      <w:pPr>
        <w:pStyle w:val="IssueSubsectionHeading"/>
        <w:rPr>
          <w:vanish/>
          <w:specVanish/>
        </w:rPr>
      </w:pPr>
      <w:r w:rsidRPr="004C3641">
        <w:t>Staff Analysis: </w:t>
      </w:r>
    </w:p>
    <w:p w:rsidR="00747EB4" w:rsidRDefault="00747EB4" w:rsidP="00431D19">
      <w:pPr>
        <w:pStyle w:val="BodyText"/>
      </w:pPr>
      <w:r>
        <w:t> </w:t>
      </w:r>
      <w:r w:rsidRPr="007A7CAC">
        <w:t>In its original filing, the Utility made an adjustment</w:t>
      </w:r>
      <w:r>
        <w:t xml:space="preserve"> of $1,134 for water and $350,917 for wastewater</w:t>
      </w:r>
      <w:r w:rsidRPr="007A7CAC">
        <w:t xml:space="preserve"> to </w:t>
      </w:r>
      <w:r>
        <w:t>correct</w:t>
      </w:r>
      <w:r w:rsidRPr="007A7CAC">
        <w:t xml:space="preserve"> the over-amortization CIAC expense. This adjustment was made to the same three systems in the Utility’s 2017 rate case, as well as the same three systems in the Utility’s last rate case</w:t>
      </w:r>
      <w:r>
        <w:t>.</w:t>
      </w:r>
      <w:r>
        <w:rPr>
          <w:rStyle w:val="FootnoteReference"/>
        </w:rPr>
        <w:footnoteReference w:id="33"/>
      </w:r>
      <w:r w:rsidRPr="007A7CAC">
        <w:t xml:space="preserve"> The remaining adjustments to CIAC amortization in the Utility’s original filing are related to retirements associated with pro forma plant projects. Pro forma p</w:t>
      </w:r>
      <w:r>
        <w:t>lant project retirements are addressed in I</w:t>
      </w:r>
      <w:r w:rsidRPr="007A7CAC">
        <w:t xml:space="preserve">ssue 5. </w:t>
      </w:r>
      <w:r w:rsidRPr="006C6D20">
        <w:t>A final corresponding adjustment should be made to increase CIAC amortization for water and wastewater by $251 and $234, respectively, to reflect Audit Finding No. 4 addressed in Issue 14</w:t>
      </w:r>
      <w:r>
        <w:t>.</w:t>
      </w:r>
    </w:p>
    <w:p w:rsidR="00747EB4" w:rsidRDefault="00747EB4" w:rsidP="00431D19">
      <w:pPr>
        <w:pStyle w:val="RecommendationMajorSectionHeading"/>
      </w:pPr>
      <w:r>
        <w:t>CONCLUSION</w:t>
      </w:r>
    </w:p>
    <w:p w:rsidR="00747EB4" w:rsidRPr="00D60CBF" w:rsidRDefault="00747EB4" w:rsidP="00431D19">
      <w:pPr>
        <w:pStyle w:val="BodyText"/>
      </w:pPr>
      <w:r w:rsidRPr="006C6D20">
        <w:t>Staff recommends an adjustment to increase test year CIAC amortization for water and wastewater by $251 and $234, respectively</w:t>
      </w:r>
      <w:r w:rsidRPr="00D60CBF">
        <w:t>. All necessary adjustments to CIAC amortization should be made as set forth in Issue 5</w:t>
      </w:r>
      <w:r>
        <w:t>.</w:t>
      </w:r>
    </w:p>
    <w:p w:rsidR="00F73FFF" w:rsidRDefault="00F73FFF" w:rsidP="00E275D8">
      <w:pPr>
        <w:pStyle w:val="BodyText"/>
      </w:pPr>
    </w:p>
    <w:p w:rsidR="00F73FFF" w:rsidRDefault="00F73FFF" w:rsidP="00F73FFF">
      <w:r>
        <w:br w:type="page"/>
      </w:r>
    </w:p>
    <w:p w:rsidR="00747EB4" w:rsidRDefault="00747EB4">
      <w:pPr>
        <w:pStyle w:val="IssueHeading"/>
        <w:rPr>
          <w:vanish/>
          <w:specVanish/>
        </w:rPr>
      </w:pPr>
      <w:r w:rsidRPr="004C3641">
        <w:lastRenderedPageBreak/>
        <w:t xml:space="preserve">Issue </w:t>
      </w:r>
      <w:r>
        <w:fldChar w:fldCharType="begin"/>
      </w:r>
      <w:r>
        <w:instrText>seq issue \r 32</w:instrText>
      </w:r>
      <w:r>
        <w:fldChar w:fldCharType="separate"/>
      </w:r>
      <w:r w:rsidR="009D3FF7">
        <w:rPr>
          <w:noProof/>
        </w:rPr>
        <w:t>32</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8" w:name="_Toc196317150"/>
      <w:r w:rsidR="009D3FF7">
        <w:rPr>
          <w:noProof/>
        </w:rPr>
        <w:instrText>32</w:instrText>
      </w:r>
      <w:r>
        <w:fldChar w:fldCharType="end"/>
      </w:r>
      <w:r>
        <w:tab/>
        <w:instrText>Income Tax Expense (Sewards)</w:instrText>
      </w:r>
      <w:bookmarkEnd w:id="48"/>
      <w:r>
        <w:instrText xml:space="preserve">" \l 1 </w:instrText>
      </w:r>
      <w:r>
        <w:fldChar w:fldCharType="end"/>
      </w:r>
      <w:r>
        <w:t> </w:t>
      </w:r>
    </w:p>
    <w:p w:rsidR="00747EB4" w:rsidRDefault="00747EB4">
      <w:pPr>
        <w:pStyle w:val="BodyText"/>
      </w:pPr>
      <w:r>
        <w:t> What is the appropriate amount of test year income taxes?</w:t>
      </w:r>
    </w:p>
    <w:p w:rsidR="00747EB4" w:rsidRPr="004C3641" w:rsidRDefault="00747EB4">
      <w:pPr>
        <w:pStyle w:val="IssueSubsectionHeading"/>
        <w:rPr>
          <w:vanish/>
          <w:specVanish/>
        </w:rPr>
      </w:pPr>
      <w:r w:rsidRPr="004C3641">
        <w:t>Recommendation: </w:t>
      </w:r>
    </w:p>
    <w:p w:rsidR="00747EB4" w:rsidRDefault="00747EB4">
      <w:pPr>
        <w:pStyle w:val="BodyText"/>
      </w:pPr>
      <w:r>
        <w:t>The appropriate amount of test year income taxes is $3</w:t>
      </w:r>
      <w:r w:rsidR="002155AF">
        <w:t>62,100</w:t>
      </w:r>
      <w:r>
        <w:t xml:space="preserve"> for water and $718,</w:t>
      </w:r>
      <w:r w:rsidR="002155AF">
        <w:t>759</w:t>
      </w:r>
      <w:r>
        <w:t xml:space="preserve"> for wastewater. Income taxes should be increased by </w:t>
      </w:r>
      <w:r w:rsidRPr="00DF7D8F">
        <w:t>$1,104,551 for water and $1,138,438</w:t>
      </w:r>
      <w:r>
        <w:t xml:space="preserve"> for wastewater to reflect the change in revenues, resulting in total income tax expense of $1,4</w:t>
      </w:r>
      <w:r w:rsidR="002155AF">
        <w:t>66,652</w:t>
      </w:r>
      <w:r>
        <w:t xml:space="preserve"> for water and $1,85</w:t>
      </w:r>
      <w:r w:rsidR="002155AF">
        <w:t>7,197</w:t>
      </w:r>
      <w:r>
        <w:t xml:space="preserve"> for wastewater. (Sewards)</w:t>
      </w:r>
    </w:p>
    <w:p w:rsidR="00747EB4" w:rsidRPr="004C3641" w:rsidRDefault="00747EB4">
      <w:pPr>
        <w:pStyle w:val="IssueSubsectionHeading"/>
        <w:keepNext/>
        <w:rPr>
          <w:iCs w:val="0"/>
        </w:rPr>
      </w:pPr>
      <w:r w:rsidRPr="004C3641">
        <w:rPr>
          <w:iCs w:val="0"/>
        </w:rPr>
        <w:t>Position of the Parties</w:t>
      </w:r>
    </w:p>
    <w:p w:rsidR="00747EB4" w:rsidRDefault="00747EB4" w:rsidP="00431D19">
      <w:pPr>
        <w:pStyle w:val="PartyName"/>
        <w:rPr>
          <w:vanish/>
          <w:specVanish/>
        </w:rPr>
      </w:pPr>
      <w:r>
        <w:t>SUNSHINE: </w:t>
      </w:r>
    </w:p>
    <w:p w:rsidR="00747EB4" w:rsidRDefault="00747EB4">
      <w:pPr>
        <w:pStyle w:val="BodyText"/>
      </w:pPr>
      <w:r>
        <w:t> Test Year Water - $193,522; Wastewater - $616,464; Pro Forma Test Year – Water - $1,295,652, Wastewater - $1,749,929.</w:t>
      </w:r>
    </w:p>
    <w:p w:rsidR="00747EB4" w:rsidRDefault="00747EB4" w:rsidP="00431D19">
      <w:pPr>
        <w:pStyle w:val="PartyName"/>
        <w:rPr>
          <w:vanish/>
          <w:specVanish/>
        </w:rPr>
      </w:pPr>
      <w:r>
        <w:t>OPC: </w:t>
      </w:r>
    </w:p>
    <w:p w:rsidR="00747EB4" w:rsidRDefault="00747EB4">
      <w:pPr>
        <w:pStyle w:val="BodyText"/>
      </w:pPr>
      <w:r>
        <w:t> Pending the resolution of other issues, the income taxes will depend upon the specific level of revenues authorized by the Commission.</w:t>
      </w:r>
    </w:p>
    <w:p w:rsidR="00747EB4" w:rsidRPr="004C3641" w:rsidRDefault="00747EB4">
      <w:pPr>
        <w:pStyle w:val="IssueSubsectionHeading"/>
        <w:rPr>
          <w:vanish/>
          <w:specVanish/>
        </w:rPr>
      </w:pPr>
      <w:r w:rsidRPr="004C3641">
        <w:t>Staff Analysis: </w:t>
      </w:r>
    </w:p>
    <w:p w:rsidR="00747EB4" w:rsidRDefault="00747EB4">
      <w:pPr>
        <w:pStyle w:val="BodyText"/>
      </w:pPr>
      <w:r>
        <w:t> In its brief, Sunshine stated income tax will depend upon the specific level of revenues authorized by the Commission. (Sunshine BR 19) Likewise, OPC included the same statement in its brief. (OPC BR 44) The Utility also noted a correction that was made to the calculation of income taxes through the rebuttal testimony of witness Swain. (TR 504-505) Witness Swain testified that the calculation of interest expense did not include the long-term variable debt. (TR 504-505) Staff agrees with the Utility’s adjustment and has included long-term variable debt in its calculation of interest expense.</w:t>
      </w:r>
    </w:p>
    <w:p w:rsidR="00747EB4" w:rsidRDefault="00747EB4">
      <w:pPr>
        <w:pStyle w:val="BodyText"/>
      </w:pPr>
      <w:r>
        <w:t xml:space="preserve">As a result of staff’s recommended adjustments, the appropriate amount of test year income taxes is </w:t>
      </w:r>
      <w:r w:rsidRPr="00DF7D8F">
        <w:t>$</w:t>
      </w:r>
      <w:r w:rsidR="00AA632D" w:rsidRPr="00AA632D">
        <w:t>362,100 for water and $718,759</w:t>
      </w:r>
      <w:r>
        <w:t xml:space="preserve"> for wastewater. As discussed in Issue 33, staff has calculated a revenue increase of $4,563,417 for water and $4,703,419 for wastewater. As a result, income taxes should be increased by $</w:t>
      </w:r>
      <w:r w:rsidRPr="00FC2355">
        <w:t>1,104,551 for water and $1,138,438</w:t>
      </w:r>
      <w:r>
        <w:t xml:space="preserve"> for wastewater to reflect the change in revenues.</w:t>
      </w:r>
    </w:p>
    <w:p w:rsidR="00747EB4" w:rsidRDefault="00747EB4" w:rsidP="00431D19">
      <w:pPr>
        <w:pStyle w:val="RecommendationMajorSectionHeading"/>
      </w:pPr>
      <w:r>
        <w:t>CONCLUSION</w:t>
      </w:r>
    </w:p>
    <w:p w:rsidR="00747EB4" w:rsidRPr="00F60B1D" w:rsidRDefault="00747EB4" w:rsidP="00431D19">
      <w:pPr>
        <w:pStyle w:val="BodyText"/>
      </w:pPr>
      <w:r w:rsidRPr="00F60B1D">
        <w:t xml:space="preserve">The appropriate amount of test year income taxes is </w:t>
      </w:r>
      <w:r w:rsidRPr="00DF7D8F">
        <w:t>$</w:t>
      </w:r>
      <w:r w:rsidR="002155AF" w:rsidRPr="002155AF">
        <w:t>362,100 for water and $718,759 for wastewater. Income taxes should be increased by $1,104,551 for water and $1,138,438 for wastewater to reflect the change in revenues, resulting in total income tax expense of $1,466,652 for water and $1,857,197</w:t>
      </w:r>
      <w:r w:rsidRPr="00DF7D8F">
        <w:t xml:space="preserve"> for wastewater</w:t>
      </w:r>
      <w:r>
        <w:t>.</w:t>
      </w:r>
    </w:p>
    <w:p w:rsidR="008E3CBD" w:rsidRDefault="008E3CBD" w:rsidP="00E275D8">
      <w:pPr>
        <w:pStyle w:val="BodyText"/>
      </w:pPr>
    </w:p>
    <w:p w:rsidR="008E3CBD" w:rsidRDefault="008E3CBD" w:rsidP="008E3CBD">
      <w:r>
        <w:br w:type="page"/>
      </w:r>
    </w:p>
    <w:p w:rsidR="00747EB4" w:rsidRDefault="00747EB4">
      <w:pPr>
        <w:pStyle w:val="IssueHeading"/>
        <w:rPr>
          <w:vanish/>
          <w:specVanish/>
        </w:rPr>
      </w:pPr>
      <w:r w:rsidRPr="004C3641">
        <w:lastRenderedPageBreak/>
        <w:t xml:space="preserve">Issue </w:t>
      </w:r>
      <w:r>
        <w:fldChar w:fldCharType="begin"/>
      </w:r>
      <w:r>
        <w:instrText>seq issue \r 33</w:instrText>
      </w:r>
      <w:r>
        <w:fldChar w:fldCharType="separate"/>
      </w:r>
      <w:r w:rsidR="009D3FF7">
        <w:rPr>
          <w:noProof/>
        </w:rPr>
        <w:t>33</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9" w:name="_Toc196317151"/>
      <w:r w:rsidR="009D3FF7">
        <w:rPr>
          <w:noProof/>
        </w:rPr>
        <w:instrText>33</w:instrText>
      </w:r>
      <w:r>
        <w:fldChar w:fldCharType="end"/>
      </w:r>
      <w:r>
        <w:tab/>
        <w:instrText>Revenue Requirement (Przygocki)</w:instrText>
      </w:r>
      <w:bookmarkEnd w:id="49"/>
      <w:r>
        <w:instrText xml:space="preserve">" \l 1 </w:instrText>
      </w:r>
      <w:r>
        <w:fldChar w:fldCharType="end"/>
      </w:r>
      <w:r>
        <w:t> </w:t>
      </w:r>
    </w:p>
    <w:p w:rsidR="00747EB4" w:rsidRDefault="00747EB4">
      <w:pPr>
        <w:pStyle w:val="BodyText"/>
      </w:pPr>
      <w:r>
        <w:t> What is the appropriate revenue requirement for the December 31, 2023 test year?</w:t>
      </w:r>
    </w:p>
    <w:p w:rsidR="00747EB4" w:rsidRPr="004C3641" w:rsidRDefault="00747EB4">
      <w:pPr>
        <w:pStyle w:val="IssueSubsectionHeading"/>
        <w:rPr>
          <w:vanish/>
          <w:specVanish/>
        </w:rPr>
      </w:pPr>
      <w:r w:rsidRPr="004C3641">
        <w:t>Recommendation: </w:t>
      </w:r>
    </w:p>
    <w:p w:rsidR="00747EB4" w:rsidRDefault="00747EB4">
      <w:pPr>
        <w:pStyle w:val="BodyText"/>
      </w:pPr>
      <w:r>
        <w:t> The appropriate revenue requirement is $27,481,702 for water and $34,320,450 for wastewater. (Przygocki)</w:t>
      </w:r>
    </w:p>
    <w:p w:rsidR="00747EB4" w:rsidRPr="004C3641" w:rsidRDefault="00747EB4">
      <w:pPr>
        <w:pStyle w:val="IssueSubsectionHeading"/>
        <w:keepNext/>
        <w:rPr>
          <w:iCs w:val="0"/>
        </w:rPr>
      </w:pPr>
      <w:r w:rsidRPr="004C3641">
        <w:rPr>
          <w:iCs w:val="0"/>
        </w:rPr>
        <w:t>Position of the Parties</w:t>
      </w:r>
    </w:p>
    <w:p w:rsidR="00747EB4" w:rsidRDefault="00747EB4" w:rsidP="00431D19">
      <w:pPr>
        <w:pStyle w:val="PartyName"/>
        <w:rPr>
          <w:vanish/>
          <w:specVanish/>
        </w:rPr>
      </w:pPr>
      <w:r>
        <w:t>SUNSHINE: </w:t>
      </w:r>
    </w:p>
    <w:p w:rsidR="00747EB4" w:rsidRDefault="00747EB4">
      <w:pPr>
        <w:pStyle w:val="BodyText"/>
      </w:pPr>
      <w:r>
        <w:t> Annual water operating revenues in the amount of $28,013,305 and annual wastewater operating revenues in the amount of $34,299,872. However, Sunshine proposes the water rate increase be limited so that it does not result in more than a 19.9% increase.</w:t>
      </w:r>
    </w:p>
    <w:p w:rsidR="00747EB4" w:rsidRDefault="00747EB4" w:rsidP="00431D19">
      <w:pPr>
        <w:pStyle w:val="PartyName"/>
        <w:rPr>
          <w:vanish/>
          <w:specVanish/>
        </w:rPr>
      </w:pPr>
      <w:r>
        <w:t>OPC: </w:t>
      </w:r>
    </w:p>
    <w:p w:rsidR="00747EB4" w:rsidRDefault="00747EB4">
      <w:pPr>
        <w:pStyle w:val="BodyText"/>
      </w:pPr>
      <w:r>
        <w:t> The revenue requirement issue is a fallout issue and is subject to change based on the resolution of other issues.</w:t>
      </w:r>
    </w:p>
    <w:p w:rsidR="00747EB4" w:rsidRPr="004C3641" w:rsidRDefault="00747EB4">
      <w:pPr>
        <w:pStyle w:val="IssueSubsectionHeading"/>
        <w:rPr>
          <w:vanish/>
          <w:specVanish/>
        </w:rPr>
      </w:pPr>
      <w:r w:rsidRPr="004C3641">
        <w:t>Staff Analysis: </w:t>
      </w:r>
    </w:p>
    <w:p w:rsidR="00747EB4" w:rsidRDefault="00747EB4" w:rsidP="00431D19">
      <w:pPr>
        <w:pStyle w:val="BodyText"/>
      </w:pPr>
      <w:r w:rsidRPr="002F2426">
        <w:t xml:space="preserve"> </w:t>
      </w:r>
      <w:r>
        <w:t>This is a fall</w:t>
      </w:r>
      <w:r w:rsidRPr="002F2426">
        <w:t>out issue. In its filing, Sunshine requested a revenue requirement to gen</w:t>
      </w:r>
      <w:r>
        <w:t>erate annual revenue of $28,095,894 for water</w:t>
      </w:r>
      <w:r w:rsidRPr="002F2426">
        <w:t xml:space="preserve">, representing a revenue increase of </w:t>
      </w:r>
      <w:r>
        <w:t>$5,175,674</w:t>
      </w:r>
      <w:r w:rsidRPr="002F2426">
        <w:t xml:space="preserve">, or </w:t>
      </w:r>
      <w:r>
        <w:t>22.58</w:t>
      </w:r>
      <w:r w:rsidRPr="002F2426">
        <w:t xml:space="preserve"> percent</w:t>
      </w:r>
      <w:r>
        <w:t>. The Utility limited its increase to 19.9 percent with a $614,491 reduction to the revenue increase, reflecting an adjusted requested water reven</w:t>
      </w:r>
      <w:r w:rsidR="00E41CCF">
        <w:t xml:space="preserve">ue requirement of $27,481,702. </w:t>
      </w:r>
      <w:r>
        <w:t>Sunshine requested a revenue requirement of $34,320,450 for wastewater</w:t>
      </w:r>
      <w:r w:rsidRPr="002F2426">
        <w:t xml:space="preserve">, representing a revenue increase of </w:t>
      </w:r>
      <w:r>
        <w:t>$4,714,928</w:t>
      </w:r>
      <w:r w:rsidRPr="002F2426">
        <w:t xml:space="preserve">, or </w:t>
      </w:r>
      <w:r>
        <w:t>15.9</w:t>
      </w:r>
      <w:r w:rsidRPr="002F2426">
        <w:t xml:space="preserve"> percen</w:t>
      </w:r>
      <w:r>
        <w:t>t.</w:t>
      </w:r>
      <w:r w:rsidRPr="002F2426">
        <w:t xml:space="preserve"> </w:t>
      </w:r>
    </w:p>
    <w:p w:rsidR="00747EB4" w:rsidRDefault="00747EB4" w:rsidP="00431D19">
      <w:pPr>
        <w:pStyle w:val="BodyText"/>
      </w:pPr>
      <w:r w:rsidRPr="002F2426">
        <w:t>Consistent with</w:t>
      </w:r>
      <w:r>
        <w:t xml:space="preserve"> staff’s recommendation</w:t>
      </w:r>
      <w:r w:rsidRPr="002F2426">
        <w:t xml:space="preserve"> regarding rate base, cost of capital, and operating income issues, the appropriate revenue requirement is </w:t>
      </w:r>
      <w:r>
        <w:t>$27,533,700 for water and $34,570,491 for wastewater</w:t>
      </w:r>
      <w:r w:rsidRPr="002F2426">
        <w:t xml:space="preserve">. </w:t>
      </w:r>
      <w:r>
        <w:t>However, Commission practice is to limit a utility to the revenue requirement requested in its initial filing.</w:t>
      </w:r>
      <w:r>
        <w:rPr>
          <w:rStyle w:val="FootnoteReference"/>
        </w:rPr>
        <w:footnoteReference w:id="34"/>
      </w:r>
      <w:r>
        <w:t xml:space="preserve"> Therefore, staff recommends the appropriate reduced revenue requirements for water and wastewater to be $27,481,702 and </w:t>
      </w:r>
      <w:r w:rsidRPr="00AD188E">
        <w:t>$34,320,450</w:t>
      </w:r>
      <w:r>
        <w:t xml:space="preserve">, respectively. Staff’s recommended </w:t>
      </w:r>
      <w:r w:rsidRPr="002F2426">
        <w:t>revenue requirement for water is</w:t>
      </w:r>
      <w:r>
        <w:t xml:space="preserve"> $4,563,417</w:t>
      </w:r>
      <w:r w:rsidRPr="002F2426">
        <w:t xml:space="preserve"> greater than </w:t>
      </w:r>
      <w:r>
        <w:t>the recommended</w:t>
      </w:r>
      <w:r w:rsidRPr="002F2426">
        <w:t xml:space="preserve"> test year revenues of </w:t>
      </w:r>
      <w:r>
        <w:t>$22,918,285</w:t>
      </w:r>
      <w:r w:rsidRPr="002F2426">
        <w:t xml:space="preserve"> or an increase of </w:t>
      </w:r>
      <w:r>
        <w:t>19.9</w:t>
      </w:r>
      <w:r w:rsidRPr="002F2426">
        <w:t xml:space="preserve"> percent. </w:t>
      </w:r>
      <w:r>
        <w:t>Staff’s recommended</w:t>
      </w:r>
      <w:r w:rsidRPr="002F2426">
        <w:t xml:space="preserve"> revenue requirement for wastewater is </w:t>
      </w:r>
      <w:r>
        <w:t>$4,703,419</w:t>
      </w:r>
      <w:r w:rsidRPr="002F2426">
        <w:t xml:space="preserve"> greater than </w:t>
      </w:r>
      <w:r>
        <w:t>the recommended</w:t>
      </w:r>
      <w:r w:rsidRPr="002F2426">
        <w:t xml:space="preserve"> test year revenues of $</w:t>
      </w:r>
      <w:r>
        <w:t>29,617,031</w:t>
      </w:r>
      <w:r w:rsidRPr="002F2426">
        <w:t xml:space="preserve">, or an increase of </w:t>
      </w:r>
      <w:r>
        <w:t>15.9</w:t>
      </w:r>
      <w:r w:rsidRPr="002F2426">
        <w:t xml:space="preserve"> percent. Schedule Nos. 3-A and 3-B reflect </w:t>
      </w:r>
      <w:r>
        <w:t>staff’s recommended</w:t>
      </w:r>
      <w:r w:rsidRPr="002F2426">
        <w:t xml:space="preserve"> net operating income and resulting revenue requirement. </w:t>
      </w:r>
      <w:r>
        <w:t>Staff’s recommended</w:t>
      </w:r>
      <w:r w:rsidRPr="002F2426">
        <w:t xml:space="preserve"> adjustments to net operating income are shown on Schedule No. 3-C.</w:t>
      </w:r>
    </w:p>
    <w:p w:rsidR="00747EB4" w:rsidRDefault="00747EB4" w:rsidP="00431D19">
      <w:pPr>
        <w:pStyle w:val="RecommendationMajorSectionHeading"/>
      </w:pPr>
      <w:r>
        <w:t>CONCLUSION</w:t>
      </w:r>
    </w:p>
    <w:p w:rsidR="00747EB4" w:rsidRPr="00AD188E" w:rsidRDefault="00747EB4" w:rsidP="00431D19">
      <w:pPr>
        <w:pStyle w:val="BodyText"/>
      </w:pPr>
      <w:r w:rsidRPr="00AD188E">
        <w:t>The appropriate revenue requirement is $27,481,702 for water and $34,320,450 for wastewater</w:t>
      </w:r>
      <w:r>
        <w:t xml:space="preserve">. </w:t>
      </w:r>
    </w:p>
    <w:p w:rsidR="00B33B2D" w:rsidRDefault="00B33B2D" w:rsidP="00B33B2D">
      <w:r>
        <w:br w:type="page"/>
      </w:r>
    </w:p>
    <w:p w:rsidR="00747EB4" w:rsidRDefault="00747EB4">
      <w:pPr>
        <w:pStyle w:val="IssueHeading"/>
        <w:rPr>
          <w:vanish/>
          <w:specVanish/>
        </w:rPr>
      </w:pPr>
      <w:r w:rsidRPr="004C3641">
        <w:lastRenderedPageBreak/>
        <w:t xml:space="preserve">Issue </w:t>
      </w:r>
      <w:r>
        <w:fldChar w:fldCharType="begin"/>
      </w:r>
      <w:r>
        <w:instrText>seq issue \r 34</w:instrText>
      </w:r>
      <w:r>
        <w:fldChar w:fldCharType="separate"/>
      </w:r>
      <w:r w:rsidR="009D3FF7">
        <w:rPr>
          <w:noProof/>
        </w:rPr>
        <w:t>34</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0" w:name="_Toc196317152"/>
      <w:r w:rsidR="009D3FF7">
        <w:rPr>
          <w:noProof/>
        </w:rPr>
        <w:instrText>34</w:instrText>
      </w:r>
      <w:r>
        <w:fldChar w:fldCharType="end"/>
      </w:r>
      <w:r>
        <w:tab/>
        <w:instrText>Water Rate Structures &amp; Rates (Bethea)</w:instrText>
      </w:r>
      <w:bookmarkEnd w:id="50"/>
      <w:r>
        <w:instrText xml:space="preserve">" \l 1 </w:instrText>
      </w:r>
      <w:r>
        <w:fldChar w:fldCharType="end"/>
      </w:r>
      <w:r>
        <w:t> </w:t>
      </w:r>
    </w:p>
    <w:p w:rsidR="00747EB4" w:rsidRDefault="00747EB4">
      <w:pPr>
        <w:pStyle w:val="BodyText"/>
      </w:pPr>
      <w:r>
        <w:t> What are the appropriate rate structures and rates for the water systems?</w:t>
      </w:r>
    </w:p>
    <w:p w:rsidR="00747EB4" w:rsidRPr="004C3641" w:rsidRDefault="00747EB4">
      <w:pPr>
        <w:pStyle w:val="IssueSubsectionHeading"/>
        <w:rPr>
          <w:vanish/>
          <w:specVanish/>
        </w:rPr>
      </w:pPr>
      <w:r w:rsidRPr="004C3641">
        <w:t>Recommendation: </w:t>
      </w:r>
    </w:p>
    <w:p w:rsidR="00747EB4" w:rsidRDefault="00747EB4">
      <w:pPr>
        <w:pStyle w:val="BodyText"/>
      </w:pPr>
      <w:r>
        <w:t> </w:t>
      </w:r>
      <w:r w:rsidRPr="00EF0F02">
        <w:t xml:space="preserve">The recommended rate structures and monthly water rates are </w:t>
      </w:r>
      <w:r>
        <w:t>shown</w:t>
      </w:r>
      <w:r w:rsidRPr="00EF0F02">
        <w:t xml:space="preserve"> in Schedule No. 4</w:t>
      </w:r>
      <w:r>
        <w:t>-A</w:t>
      </w:r>
      <w:r w:rsidRPr="00EF0F02">
        <w:t>. The Utility should file revised tariff sheets and proposed customer notices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notices and the notices have been received by the customers. The Utility should provide proof of the date notice was given within 10 days of the date of the notice</w:t>
      </w:r>
      <w:r>
        <w:t>. (Bethea)</w:t>
      </w:r>
    </w:p>
    <w:p w:rsidR="00747EB4" w:rsidRPr="004C3641" w:rsidRDefault="00747EB4">
      <w:pPr>
        <w:pStyle w:val="IssueSubsectionHeading"/>
        <w:keepNext/>
        <w:rPr>
          <w:iCs w:val="0"/>
        </w:rPr>
      </w:pPr>
      <w:r w:rsidRPr="004C3641">
        <w:rPr>
          <w:iCs w:val="0"/>
        </w:rPr>
        <w:t>Position of the Parties</w:t>
      </w:r>
    </w:p>
    <w:p w:rsidR="00747EB4" w:rsidRDefault="00747EB4" w:rsidP="00431D19">
      <w:pPr>
        <w:pStyle w:val="PartyName"/>
        <w:rPr>
          <w:vanish/>
          <w:specVanish/>
        </w:rPr>
      </w:pPr>
      <w:r>
        <w:t>SUNSHINE: </w:t>
      </w:r>
    </w:p>
    <w:p w:rsidR="00747EB4" w:rsidRDefault="00747EB4">
      <w:pPr>
        <w:pStyle w:val="BodyText"/>
      </w:pPr>
      <w:r>
        <w:t> The current water rates should be increased by the percentage increase in water revenues, adjusted for repression in a manner consistent with Commission practice.</w:t>
      </w:r>
    </w:p>
    <w:p w:rsidR="00747EB4" w:rsidRDefault="00747EB4" w:rsidP="00431D19">
      <w:pPr>
        <w:pStyle w:val="PartyName"/>
        <w:rPr>
          <w:vanish/>
          <w:specVanish/>
        </w:rPr>
      </w:pPr>
      <w:r>
        <w:t>OPC: </w:t>
      </w:r>
    </w:p>
    <w:p w:rsidR="00747EB4" w:rsidRDefault="00747EB4">
      <w:pPr>
        <w:pStyle w:val="BodyText"/>
      </w:pPr>
      <w:r>
        <w:t> No position.</w:t>
      </w:r>
    </w:p>
    <w:p w:rsidR="00747EB4" w:rsidRPr="004C3641" w:rsidRDefault="00747EB4">
      <w:pPr>
        <w:pStyle w:val="IssueSubsectionHeading"/>
        <w:rPr>
          <w:vanish/>
          <w:specVanish/>
        </w:rPr>
      </w:pPr>
      <w:r w:rsidRPr="004C3641">
        <w:t>Staff Analysis: </w:t>
      </w:r>
    </w:p>
    <w:p w:rsidR="00747EB4" w:rsidRDefault="00747EB4" w:rsidP="00431D19">
      <w:pPr>
        <w:pStyle w:val="BodyText"/>
      </w:pPr>
      <w:r>
        <w:t> </w:t>
      </w:r>
      <w:r w:rsidRPr="00B3498D">
        <w:t>In its revised MFRs, Sunshine</w:t>
      </w:r>
      <w:r>
        <w:t>’s</w:t>
      </w:r>
      <w:r w:rsidRPr="00B3498D">
        <w:t xml:space="preserve"> proposed water rates are a result of the requested water revenue increase applied as an across the board increase to its existing rates. (TR 60</w:t>
      </w:r>
      <w:r>
        <w:t>) Those proposed rates included a repression adjustment to discretionary usage based on a reduction of 2 percent for every 10 percent increase in revenue. Sunshine witness Swain stated that this is consistent with the repression adjustment requested and allowed in Order No. PSC-2017-0361-FOF-WS.</w:t>
      </w:r>
      <w:r>
        <w:rPr>
          <w:rStyle w:val="FootnoteReference"/>
        </w:rPr>
        <w:footnoteReference w:id="35"/>
      </w:r>
      <w:r>
        <w:t xml:space="preserve"> (TR 60-61) Sunshine proposed a revenue increase of approximately 19.9 percent in water revenues and reduction in discretionary consumption based upon the increase would be a 3.98 percent to discretionary consumption, resulting in a reduction to overall consumption of 2.3128 percent. (TR 60-61). </w:t>
      </w:r>
    </w:p>
    <w:p w:rsidR="00747EB4" w:rsidRDefault="00747EB4" w:rsidP="00431D19">
      <w:pPr>
        <w:pStyle w:val="BodyText"/>
      </w:pPr>
      <w:r>
        <w:t>As discussed in Issue 33, staff recommends that the Utility’s reduced revenue requirement of $27,481,702 is appropriate. As such, staff recommends that rate</w:t>
      </w:r>
      <w:r w:rsidR="00B02E25">
        <w:t>s</w:t>
      </w:r>
      <w:r>
        <w:t xml:space="preserve"> should be designed to recover the recommended revenue requirement as proposed by Sunshine. Staff believes the Utility’s proposed repression adjustment is reasonable in this case for recognizing a reduction to residential discretionary usage. </w:t>
      </w:r>
    </w:p>
    <w:p w:rsidR="00747EB4" w:rsidRDefault="00747EB4" w:rsidP="00431D19">
      <w:pPr>
        <w:pStyle w:val="BodyText"/>
      </w:pPr>
      <w:r>
        <w:t>The Utility’s proposed rates are consistent with its proposed limited revenue requirement. However, adjustments were made to decrease miscellaneous revenues, which result in an increase of revenues to be recovered from service rates and a decrease of revenues recovered through miscellaneous service charges. Staff calculated rates based on the reallocation. Staff recommends rates as shown on Schedule No. 4-A.</w:t>
      </w:r>
    </w:p>
    <w:p w:rsidR="00747EB4" w:rsidRDefault="00747EB4" w:rsidP="00431D19">
      <w:pPr>
        <w:pStyle w:val="RecommendationMajorSectionHeading"/>
      </w:pPr>
      <w:r>
        <w:t>CONCLUSION</w:t>
      </w:r>
    </w:p>
    <w:p w:rsidR="00747EB4" w:rsidRPr="0089238A" w:rsidRDefault="00747EB4" w:rsidP="00431D19">
      <w:pPr>
        <w:pStyle w:val="BodyText"/>
      </w:pPr>
      <w:r>
        <w:t>Based on the above, t</w:t>
      </w:r>
      <w:r w:rsidRPr="0094229F">
        <w:t xml:space="preserve">he recommended rate structures and monthly water rates are </w:t>
      </w:r>
      <w:r>
        <w:t>shown</w:t>
      </w:r>
      <w:r w:rsidRPr="0094229F">
        <w:t xml:space="preserve"> in Schedule No. 4</w:t>
      </w:r>
      <w:r>
        <w:t>-A</w:t>
      </w:r>
      <w:r w:rsidRPr="0094229F">
        <w:t xml:space="preserve">. The Utility should file revised tariff sheets and proposed customer notices to </w:t>
      </w:r>
      <w:r w:rsidRPr="0094229F">
        <w:lastRenderedPageBreak/>
        <w:t>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notices and the notices have been received by the customers. The Utility should provide proof of the date notice was given within 10 days of the date of the notice</w:t>
      </w:r>
      <w:r>
        <w:t>.</w:t>
      </w:r>
    </w:p>
    <w:p w:rsidR="004B321C" w:rsidRDefault="004B321C" w:rsidP="00E275D8">
      <w:pPr>
        <w:pStyle w:val="BodyText"/>
      </w:pPr>
    </w:p>
    <w:p w:rsidR="004B321C" w:rsidRDefault="004B321C" w:rsidP="004B321C">
      <w:r>
        <w:br w:type="page"/>
      </w:r>
    </w:p>
    <w:p w:rsidR="00747EB4" w:rsidRDefault="00747EB4">
      <w:pPr>
        <w:pStyle w:val="IssueHeading"/>
        <w:rPr>
          <w:vanish/>
          <w:specVanish/>
        </w:rPr>
      </w:pPr>
      <w:r w:rsidRPr="004C3641">
        <w:lastRenderedPageBreak/>
        <w:t xml:space="preserve">Issue </w:t>
      </w:r>
      <w:r>
        <w:fldChar w:fldCharType="begin"/>
      </w:r>
      <w:r>
        <w:instrText>seq issue \r 35</w:instrText>
      </w:r>
      <w:r>
        <w:fldChar w:fldCharType="separate"/>
      </w:r>
      <w:r w:rsidR="009D3FF7">
        <w:rPr>
          <w:noProof/>
        </w:rPr>
        <w:t>35</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1" w:name="_Toc196317153"/>
      <w:r w:rsidR="009D3FF7">
        <w:rPr>
          <w:noProof/>
        </w:rPr>
        <w:instrText>35</w:instrText>
      </w:r>
      <w:r>
        <w:fldChar w:fldCharType="end"/>
      </w:r>
      <w:r>
        <w:tab/>
        <w:instrText>STIPULATED – Private Fire Protection</w:instrText>
      </w:r>
      <w:bookmarkEnd w:id="51"/>
      <w:r>
        <w:instrText xml:space="preserve">" \l 1 </w:instrText>
      </w:r>
      <w:r>
        <w:fldChar w:fldCharType="end"/>
      </w:r>
      <w:r>
        <w:t> </w:t>
      </w:r>
    </w:p>
    <w:p w:rsidR="00747EB4" w:rsidRDefault="00747EB4">
      <w:pPr>
        <w:pStyle w:val="BodyText"/>
      </w:pPr>
      <w:r>
        <w:t> What are the appropriate private fire protection charges?</w:t>
      </w:r>
    </w:p>
    <w:p w:rsidR="00747EB4" w:rsidRPr="004C3641" w:rsidRDefault="00747EB4">
      <w:pPr>
        <w:pStyle w:val="IssueSubsectionHeading"/>
        <w:rPr>
          <w:vanish/>
          <w:specVanish/>
        </w:rPr>
      </w:pPr>
      <w:r>
        <w:t>Approved Type 1 Stipulation</w:t>
      </w:r>
      <w:r w:rsidRPr="004C3641">
        <w:t>: </w:t>
      </w:r>
    </w:p>
    <w:p w:rsidR="00747EB4" w:rsidRDefault="00747EB4" w:rsidP="0084699D">
      <w:pPr>
        <w:pStyle w:val="BodyText"/>
      </w:pPr>
      <w:r>
        <w:t xml:space="preserve"> The fire protection rate should be established pursuant to Rule 25-30.465, F.A.C.  </w:t>
      </w:r>
    </w:p>
    <w:p w:rsidR="002721C1" w:rsidRDefault="002721C1" w:rsidP="00E275D8">
      <w:pPr>
        <w:pStyle w:val="BodyText"/>
      </w:pPr>
    </w:p>
    <w:p w:rsidR="002721C1" w:rsidRDefault="002721C1" w:rsidP="002721C1">
      <w:r>
        <w:br w:type="page"/>
      </w:r>
    </w:p>
    <w:p w:rsidR="00747EB4" w:rsidRDefault="00747EB4">
      <w:pPr>
        <w:pStyle w:val="IssueHeading"/>
        <w:rPr>
          <w:vanish/>
          <w:specVanish/>
        </w:rPr>
      </w:pPr>
      <w:r w:rsidRPr="004C3641">
        <w:lastRenderedPageBreak/>
        <w:t xml:space="preserve">Issue </w:t>
      </w:r>
      <w:r>
        <w:fldChar w:fldCharType="begin"/>
      </w:r>
      <w:r>
        <w:instrText>seq issue \r 36</w:instrText>
      </w:r>
      <w:r>
        <w:fldChar w:fldCharType="separate"/>
      </w:r>
      <w:r w:rsidR="009D3FF7">
        <w:rPr>
          <w:noProof/>
        </w:rPr>
        <w:t>36</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2" w:name="_Toc196317154"/>
      <w:r w:rsidR="009D3FF7">
        <w:rPr>
          <w:noProof/>
        </w:rPr>
        <w:instrText>36</w:instrText>
      </w:r>
      <w:r>
        <w:fldChar w:fldCharType="end"/>
      </w:r>
      <w:r>
        <w:tab/>
        <w:instrText>Wastewater Rate Structures &amp; Rates (Sibley)</w:instrText>
      </w:r>
      <w:bookmarkEnd w:id="52"/>
      <w:r>
        <w:instrText xml:space="preserve">" \l 1 </w:instrText>
      </w:r>
      <w:r>
        <w:fldChar w:fldCharType="end"/>
      </w:r>
      <w:r>
        <w:t> </w:t>
      </w:r>
    </w:p>
    <w:p w:rsidR="00747EB4" w:rsidRDefault="00747EB4">
      <w:pPr>
        <w:pStyle w:val="BodyText"/>
      </w:pPr>
      <w:r>
        <w:t> What are the appropriate rate structures and rates for the wastewater systems?</w:t>
      </w:r>
    </w:p>
    <w:p w:rsidR="00747EB4" w:rsidRPr="004C3641" w:rsidRDefault="00747EB4">
      <w:pPr>
        <w:pStyle w:val="IssueSubsectionHeading"/>
        <w:rPr>
          <w:vanish/>
          <w:specVanish/>
        </w:rPr>
      </w:pPr>
      <w:r w:rsidRPr="004C3641">
        <w:t>Recommendation: </w:t>
      </w:r>
    </w:p>
    <w:p w:rsidR="00747EB4" w:rsidRDefault="00747EB4">
      <w:pPr>
        <w:pStyle w:val="BodyText"/>
      </w:pPr>
      <w:r>
        <w:t> The</w:t>
      </w:r>
      <w:r w:rsidRPr="005B2351">
        <w:t xml:space="preserve"> recommended </w:t>
      </w:r>
      <w:r>
        <w:t xml:space="preserve">rate structures and monthly </w:t>
      </w:r>
      <w:r w:rsidRPr="005B2351">
        <w:t xml:space="preserve">wastewater rates are shown on Schedule No. 4-B. The Utility should file revised tariff sheets and a proposed customer notice to reflect the Commission-approved rates. The approved rates should be effective for service rendered on or after the stamped approval date on the tariff sheets provided customers have received notice pursuant to Rule 25-30.475, F.A.C. </w:t>
      </w:r>
      <w:r w:rsidRPr="00A257A4">
        <w:t>In addition, the approved rates should not be implemented until staff has approved the proposed customer notices and the notices have been received by the customers. The Utility should provide proof of the date notice was given within 10 days of the date of the notice.</w:t>
      </w:r>
      <w:r>
        <w:t xml:space="preserve"> (Sibley)</w:t>
      </w:r>
    </w:p>
    <w:p w:rsidR="00747EB4" w:rsidRPr="004C3641" w:rsidRDefault="00747EB4">
      <w:pPr>
        <w:pStyle w:val="IssueSubsectionHeading"/>
        <w:keepNext/>
        <w:rPr>
          <w:iCs w:val="0"/>
        </w:rPr>
      </w:pPr>
      <w:r w:rsidRPr="004C3641">
        <w:rPr>
          <w:iCs w:val="0"/>
        </w:rPr>
        <w:t>Position of the Parties</w:t>
      </w:r>
    </w:p>
    <w:p w:rsidR="00747EB4" w:rsidRDefault="00747EB4" w:rsidP="00431D19">
      <w:pPr>
        <w:pStyle w:val="PartyName"/>
        <w:rPr>
          <w:vanish/>
          <w:specVanish/>
        </w:rPr>
      </w:pPr>
      <w:r>
        <w:t>SUNSHINE: </w:t>
      </w:r>
    </w:p>
    <w:p w:rsidR="00747EB4" w:rsidRDefault="00747EB4">
      <w:pPr>
        <w:pStyle w:val="BodyText"/>
      </w:pPr>
      <w:r>
        <w:t> The current wastewater rates should be increased by the percentage increase in wastewater revenues, adjusted for repression.</w:t>
      </w:r>
    </w:p>
    <w:p w:rsidR="00747EB4" w:rsidRDefault="00747EB4" w:rsidP="00431D19">
      <w:pPr>
        <w:pStyle w:val="PartyName"/>
        <w:rPr>
          <w:vanish/>
          <w:specVanish/>
        </w:rPr>
      </w:pPr>
      <w:r>
        <w:t>OPC: </w:t>
      </w:r>
    </w:p>
    <w:p w:rsidR="00747EB4" w:rsidRDefault="00747EB4">
      <w:pPr>
        <w:pStyle w:val="BodyText"/>
      </w:pPr>
      <w:r>
        <w:t> No position.</w:t>
      </w:r>
    </w:p>
    <w:p w:rsidR="00747EB4" w:rsidRPr="004C3641" w:rsidRDefault="00747EB4">
      <w:pPr>
        <w:pStyle w:val="IssueSubsectionHeading"/>
        <w:rPr>
          <w:vanish/>
          <w:specVanish/>
        </w:rPr>
      </w:pPr>
      <w:r w:rsidRPr="004C3641">
        <w:t>Staff Analysis: </w:t>
      </w:r>
    </w:p>
    <w:p w:rsidR="00747EB4" w:rsidRDefault="00747EB4" w:rsidP="00431D19">
      <w:pPr>
        <w:pStyle w:val="BodyText"/>
      </w:pPr>
      <w:r>
        <w:t> In its revised MFRs, Sunshine proposed wastewater rates are a result of the requested wastewater revenue increase applied as an across the board increase to its existing rates. (TR 60) Sunshine witness Swain indicated that she inadvertently did not include a repression adjustment to the calculation of the wastewater rates in the original filing. (TR 506) Witness Swain cited Order No. PSC-2017-0361-FOF-WS wherein one of the Utility’s prior rate cases the Commission approved a repression adjustment to the wastewater billing determinants to account for the expected decline in water demand. (TR 507) Consistent with witness Swain’s proposed water repression adjustment, the wastewater repression adjustment is based on a two percent reduction in discretionary consumption for every 10 percent increase in revenue. (TR 508) Witness Swain asserted that in order to compensate for the anticipated 3.16 percent reduction in discretionary billable water, an across the board reduction of .310 percent should be applied to the wastewater gallonage charge. (507)</w:t>
      </w:r>
    </w:p>
    <w:p w:rsidR="00747EB4" w:rsidRDefault="00747EB4" w:rsidP="00431D19">
      <w:pPr>
        <w:pStyle w:val="BodyText"/>
      </w:pPr>
      <w:r>
        <w:t>As discussed in Issue 34, staff is recommending that the Utility’s revenue requirement be limited to its request in its petition of $34,320,450. As such, staff recommends that rates should be design to recover the recommended revenue requirement as does Sunshine’s proposed rates. Staff does not agree with witness Swain’s methodology for calculating the wastewater repression adjustment. In formulating the repression adjustment, witness Swain used the wastewater revenue increase to determine the adjustment. However, the Commission does not recognize an adjustment due to an increase in the price of wastewater, but only recognizes the effect of an increase in the price of water on customer demand. It is Commission practice that an increase in the price of water is the catalyst for whether or not there is a repression adjustment which would ultimately flow through to wastewater.</w:t>
      </w:r>
      <w:r w:rsidR="00B02E25">
        <w:rPr>
          <w:rStyle w:val="FootnoteReference"/>
        </w:rPr>
        <w:footnoteReference w:id="36"/>
      </w:r>
      <w:r>
        <w:t xml:space="preserve"> Based on the Commission practice, staff used witness Swain reduction in water gallons to determine the appropriate wastewater repression. This </w:t>
      </w:r>
      <w:r>
        <w:lastRenderedPageBreak/>
        <w:t xml:space="preserve">resulted in a wastewater repression adjustment that was de minimis. Therefore, staff recommends no repression adjustment for wastewater. </w:t>
      </w:r>
    </w:p>
    <w:p w:rsidR="00747EB4" w:rsidRDefault="00747EB4" w:rsidP="00431D19">
      <w:pPr>
        <w:pStyle w:val="BodyText"/>
      </w:pPr>
      <w:r>
        <w:t>The Utility’s proposed rates are consisted with its proposed limited revenue requirement. However, adjustments were made to decrease miscellaneous revenues, which result in a</w:t>
      </w:r>
      <w:r w:rsidR="00E41CCF">
        <w:t>n</w:t>
      </w:r>
      <w:r>
        <w:t xml:space="preserve"> increase of revenues to be recovered from service rates and a decrease of revenues recovered through miscellaneous service charges. Staff calculated rates based on the reallocation. Staff recommends rates as shown on Schedule No. 4-B. </w:t>
      </w:r>
    </w:p>
    <w:p w:rsidR="00747EB4" w:rsidRDefault="00747EB4" w:rsidP="00431D19">
      <w:pPr>
        <w:pStyle w:val="RecommendationMajorSectionHeading"/>
      </w:pPr>
      <w:r>
        <w:t>CONCLUSION</w:t>
      </w:r>
    </w:p>
    <w:p w:rsidR="00747EB4" w:rsidRPr="00D752AE" w:rsidRDefault="00747EB4" w:rsidP="00431D19">
      <w:pPr>
        <w:pStyle w:val="BodyText"/>
      </w:pPr>
      <w:r w:rsidRPr="00A257A4">
        <w:t>The recommended rate structures and monthly wastewater rates are shown on Schedule No. 4-B. The Utility should file revised tariff sheets and a proposed customer notice to reflect the Commission-approved rates. The approved rates should be effective for service rendered on or after the stamped approval date on the tariff sheets provided customers have received notice pursuant to Rule 25-30.475, F.A.C. In addition, the approved rates should not be implemented until staff has approved the proposed customer notices and the notices have been received by the customers. The Utility should provide proof of the date notice was given within 10 days of the date of the notice</w:t>
      </w:r>
      <w:r>
        <w:t>.</w:t>
      </w:r>
    </w:p>
    <w:p w:rsidR="004F21E6" w:rsidRDefault="004F21E6" w:rsidP="00E275D8">
      <w:pPr>
        <w:pStyle w:val="BodyText"/>
      </w:pPr>
    </w:p>
    <w:p w:rsidR="004F21E6" w:rsidRDefault="004F21E6" w:rsidP="004F21E6">
      <w:r>
        <w:br w:type="page"/>
      </w:r>
    </w:p>
    <w:p w:rsidR="00747EB4" w:rsidRDefault="00747EB4">
      <w:pPr>
        <w:pStyle w:val="IssueHeading"/>
        <w:rPr>
          <w:vanish/>
          <w:specVanish/>
        </w:rPr>
      </w:pPr>
      <w:r w:rsidRPr="004C3641">
        <w:lastRenderedPageBreak/>
        <w:t xml:space="preserve">Issue </w:t>
      </w:r>
      <w:r>
        <w:fldChar w:fldCharType="begin"/>
      </w:r>
      <w:r>
        <w:instrText>seq issue \r 37</w:instrText>
      </w:r>
      <w:r>
        <w:fldChar w:fldCharType="separate"/>
      </w:r>
      <w:r w:rsidR="009D3FF7">
        <w:rPr>
          <w:noProof/>
        </w:rPr>
        <w:t>37</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3" w:name="_Toc196317155"/>
      <w:r w:rsidR="009D3FF7">
        <w:rPr>
          <w:noProof/>
        </w:rPr>
        <w:instrText>37</w:instrText>
      </w:r>
      <w:r>
        <w:fldChar w:fldCharType="end"/>
      </w:r>
      <w:r>
        <w:tab/>
        <w:instrText>Reuse Rates (Sibley)</w:instrText>
      </w:r>
      <w:bookmarkEnd w:id="53"/>
      <w:r>
        <w:instrText xml:space="preserve">" \l 1 </w:instrText>
      </w:r>
      <w:r>
        <w:fldChar w:fldCharType="end"/>
      </w:r>
      <w:r>
        <w:t> </w:t>
      </w:r>
    </w:p>
    <w:p w:rsidR="00747EB4" w:rsidRDefault="00747EB4">
      <w:pPr>
        <w:pStyle w:val="BodyText"/>
      </w:pPr>
      <w:r>
        <w:t> What are the appropriate reuse rates?</w:t>
      </w:r>
    </w:p>
    <w:p w:rsidR="00747EB4" w:rsidRPr="004C3641" w:rsidRDefault="00747EB4">
      <w:pPr>
        <w:pStyle w:val="IssueSubsectionHeading"/>
        <w:rPr>
          <w:vanish/>
          <w:specVanish/>
        </w:rPr>
      </w:pPr>
      <w:r w:rsidRPr="004C3641">
        <w:t>Recommendation: </w:t>
      </w:r>
    </w:p>
    <w:p w:rsidR="00747EB4" w:rsidRDefault="00747EB4">
      <w:pPr>
        <w:pStyle w:val="BodyText"/>
      </w:pPr>
      <w:r>
        <w:t> </w:t>
      </w:r>
      <w:r w:rsidRPr="00DF31B2">
        <w:t>The appropriate reuse rate</w:t>
      </w:r>
      <w:r>
        <w:t>s</w:t>
      </w:r>
      <w:r w:rsidRPr="00DF31B2">
        <w:t xml:space="preserve"> for wastewat</w:t>
      </w:r>
      <w:r w:rsidR="00E41CCF">
        <w:t xml:space="preserve">er is shown on Schedule No. 2. </w:t>
      </w:r>
      <w:r w:rsidRPr="00DF31B2">
        <w:t>The Utility should file a revised tariff sheet and a proposed customer notice to reflect the Commission-approve</w:t>
      </w:r>
      <w:r w:rsidR="00E41CCF">
        <w:t xml:space="preserve">d rate. </w:t>
      </w:r>
      <w:r w:rsidRPr="00DF31B2">
        <w:t>The approved reuse rate should be effective for services rendered on or after the stamped approval date on the tariff sheet pursuant to Rule 25-30.475, F.A.C. In addition, the approved rates should not be implemented until staff has approved the proposed customer notice and the notice has b</w:t>
      </w:r>
      <w:r w:rsidR="00E41CCF">
        <w:t xml:space="preserve">een received by the customers. </w:t>
      </w:r>
      <w:r w:rsidRPr="00DF31B2">
        <w:t>The Utility should provide proof of the date notice was given within 10 days of the date of the notice</w:t>
      </w:r>
      <w:r>
        <w:t>. (Sibley)</w:t>
      </w:r>
    </w:p>
    <w:p w:rsidR="00747EB4" w:rsidRPr="004C3641" w:rsidRDefault="00747EB4">
      <w:pPr>
        <w:pStyle w:val="IssueSubsectionHeading"/>
        <w:keepNext/>
        <w:rPr>
          <w:iCs w:val="0"/>
        </w:rPr>
      </w:pPr>
      <w:r w:rsidRPr="004C3641">
        <w:rPr>
          <w:iCs w:val="0"/>
        </w:rPr>
        <w:t>Position of the Parties</w:t>
      </w:r>
    </w:p>
    <w:p w:rsidR="00747EB4" w:rsidRDefault="00747EB4" w:rsidP="00431D19">
      <w:pPr>
        <w:pStyle w:val="PartyName"/>
        <w:rPr>
          <w:vanish/>
          <w:specVanish/>
        </w:rPr>
      </w:pPr>
      <w:r>
        <w:t>SUNSHINE: </w:t>
      </w:r>
    </w:p>
    <w:p w:rsidR="00747EB4" w:rsidRDefault="00747EB4">
      <w:pPr>
        <w:pStyle w:val="BodyText"/>
      </w:pPr>
      <w:r>
        <w:t> The current reuse rates should be increased by the percentage increase in wastewater revenues.</w:t>
      </w:r>
    </w:p>
    <w:p w:rsidR="00747EB4" w:rsidRDefault="00747EB4" w:rsidP="00431D19">
      <w:pPr>
        <w:pStyle w:val="PartyName"/>
        <w:rPr>
          <w:vanish/>
          <w:specVanish/>
        </w:rPr>
      </w:pPr>
      <w:r>
        <w:t>OPC: </w:t>
      </w:r>
    </w:p>
    <w:p w:rsidR="00747EB4" w:rsidRDefault="00747EB4">
      <w:pPr>
        <w:pStyle w:val="BodyText"/>
      </w:pPr>
      <w:r>
        <w:t> The appropriate reuse rates are as reflected on EXH 41 MPN C6-2161.</w:t>
      </w:r>
    </w:p>
    <w:p w:rsidR="00747EB4" w:rsidRPr="004C3641" w:rsidRDefault="00747EB4">
      <w:pPr>
        <w:pStyle w:val="IssueSubsectionHeading"/>
        <w:rPr>
          <w:vanish/>
          <w:specVanish/>
        </w:rPr>
      </w:pPr>
      <w:r w:rsidRPr="004C3641">
        <w:t>Staff Analysis: </w:t>
      </w:r>
    </w:p>
    <w:p w:rsidR="00747EB4" w:rsidRDefault="00747EB4">
      <w:pPr>
        <w:pStyle w:val="BodyText"/>
      </w:pPr>
      <w:r>
        <w:t> </w:t>
      </w:r>
      <w:r w:rsidRPr="00DF31B2">
        <w:t>In its revised MFRs, the Utility reflected proposed residential reuse rates of $11.84 for t</w:t>
      </w:r>
      <w:r>
        <w:t>he BFC and $2.23 for the gallon</w:t>
      </w:r>
      <w:r w:rsidRPr="00DF31B2">
        <w:t xml:space="preserve">age charge. (EXH 212, BSP </w:t>
      </w:r>
      <w:r>
        <w:t>J</w:t>
      </w:r>
      <w:r w:rsidRPr="00DF31B2">
        <w:t>122) Sunshine’s proposed reuse rates are a product of applying the Utility’s requested wastewater percentage increase of 16 percent to its existing reuse rates. OPC witness Smith proposed reuse rates of $12.51 for the BFC and $2.35 for the gallonage charge</w:t>
      </w:r>
      <w:r>
        <w:t>. (EXH 41, BSP C6-2161)</w:t>
      </w:r>
    </w:p>
    <w:p w:rsidR="00747EB4" w:rsidRDefault="00747EB4" w:rsidP="00431D19">
      <w:pPr>
        <w:pStyle w:val="BodyText"/>
      </w:pPr>
      <w:r w:rsidRPr="00DF31B2">
        <w:t xml:space="preserve">Commission practice with respect to setting reuse rates does not include a cost based justification. Instead, the charge is typically set to reflect that sales of reuse as a lower cost alternative disposal method. Witness Smith indicated that </w:t>
      </w:r>
      <w:r>
        <w:t xml:space="preserve">current ratio of the reuse BFC to the potable water BFC is </w:t>
      </w:r>
      <w:r w:rsidRPr="00DF31B2">
        <w:t xml:space="preserve">75.24 percent ($10.21/$13.57) and current </w:t>
      </w:r>
      <w:r>
        <w:t xml:space="preserve">ratio of the reuse </w:t>
      </w:r>
      <w:r w:rsidRPr="00DF31B2">
        <w:t xml:space="preserve">gallonage charge </w:t>
      </w:r>
      <w:r>
        <w:t xml:space="preserve">to the lowest tier of the potable water gallonage charges is </w:t>
      </w:r>
      <w:r w:rsidR="00E41CCF">
        <w:t xml:space="preserve">101.05 </w:t>
      </w:r>
      <w:r w:rsidRPr="00DF31B2">
        <w:t>percent</w:t>
      </w:r>
      <w:r>
        <w:t xml:space="preserve"> </w:t>
      </w:r>
      <w:r w:rsidRPr="00DF31B2">
        <w:t xml:space="preserve">($1.92/$1.90). (EXH 41, BSP </w:t>
      </w:r>
      <w:r>
        <w:t>C6-2161</w:t>
      </w:r>
      <w:r w:rsidRPr="00DF31B2">
        <w:t xml:space="preserve">) For the Utility’s proposed rates, the ratio of the BFC charge for reuse </w:t>
      </w:r>
      <w:r>
        <w:t xml:space="preserve">to potable water </w:t>
      </w:r>
      <w:r w:rsidRPr="00DF31B2">
        <w:t xml:space="preserve">is 71.20 </w:t>
      </w:r>
      <w:r>
        <w:t xml:space="preserve">percent </w:t>
      </w:r>
      <w:r w:rsidRPr="00DF31B2">
        <w:t xml:space="preserve">($11.84/$16.63) and the proposed gallonage charge for reuse </w:t>
      </w:r>
      <w:r>
        <w:t xml:space="preserve">to the lowest tier of the potable water usage </w:t>
      </w:r>
      <w:r w:rsidRPr="00DF31B2">
        <w:t>is 95.71 percent</w:t>
      </w:r>
      <w:r>
        <w:t xml:space="preserve"> </w:t>
      </w:r>
      <w:r w:rsidRPr="00DF31B2">
        <w:t xml:space="preserve">($2.23/$2.33). (EXH 41, BSP </w:t>
      </w:r>
      <w:r w:rsidRPr="00333FAF">
        <w:t>C6-2161</w:t>
      </w:r>
      <w:r w:rsidRPr="00DF31B2">
        <w:t>) Witness Smith argued that consistent with OPC’s proposed reuse rates the current parity should be maintained that exists between the wastewater reuse rates and the rates for the lowest of tier of potable water usage. (TR 472) Witness Smith explained that keeping the reuse rates on a parity level with potable water that makes reuse the better option is in the public interest. (TR 472) As a result of OPC’s proposed reuse rates, witness Smith asserts that reuse water revenues should be increased $25,639 to reflect the proposed higher reuse rates</w:t>
      </w:r>
      <w:r>
        <w:t>. (TR 417; EXH 110, BSP E41995 – E41996)</w:t>
      </w:r>
    </w:p>
    <w:p w:rsidR="00747EB4" w:rsidRDefault="00747EB4" w:rsidP="00431D19">
      <w:pPr>
        <w:pStyle w:val="BodyText"/>
      </w:pPr>
      <w:r w:rsidRPr="00DF31B2">
        <w:t>There was some disagreement between OPC and Sunshine on the nature of witness Smith’s adjustment as to whether it was a rate design issue or a revenue requirement issue. Witness Smith argued that the adjustment involves some aspects of both</w:t>
      </w:r>
      <w:r>
        <w:t xml:space="preserve"> while witness Swain attested that the adjustment is a rate design issue. (TR 473, TR 510) Staff agrees with witness Swain. The wastewater revenue requirement encompasses both wastewater and reuse water. The portion of the wastewater revenue requirement recovered through the reuse rates is subtracted from the wastewater revenue requirement to determine the appropriate portion of the wastewater revenue to be used to design the wastewater rates. Staff agrees with witness Smith that the proposed </w:t>
      </w:r>
      <w:r>
        <w:lastRenderedPageBreak/>
        <w:t>adjustment of $25,639 to increase reuse revenues has the effect of reducing the amount of wastewater revenue requirement for designing the wastewater rates. (TR 473) However, staff does not agree with witness Smith’s proposed reuse rates and its corresponding adjustment.</w:t>
      </w:r>
    </w:p>
    <w:p w:rsidR="00747EB4" w:rsidRDefault="00747EB4" w:rsidP="00431D19">
      <w:pPr>
        <w:pStyle w:val="BodyText"/>
      </w:pPr>
      <w:r>
        <w:t>Witness Smith indicated that reuse rates should be designed such that it is the cheaper option than potable water. (TR 472) Witness Smith proposed reuse rates are a cheaper option than the potable water, but they are higher than the Utility’s proposed reuse rates. Staff believes OPC proposed reuse rates move closer to the potable water rates than the Utility’s proposed reuse rates, which is coun</w:t>
      </w:r>
      <w:r w:rsidR="00E41CCF">
        <w:t xml:space="preserve">terintuitive to reuse pricing. </w:t>
      </w:r>
      <w:r>
        <w:t>Bills based on proposed rates at a 4,000 gallon consumption level would be $25.95 for potable water, $20.76 for reuse under Utility rates, and $21.91 for reuse under OPC rates. Staff believes the Utility’s proposed reuse rates are priced such that they incentivize customers to choose the reuse wa</w:t>
      </w:r>
      <w:r w:rsidR="00E41CCF">
        <w:t xml:space="preserve">ter rather than potable water. </w:t>
      </w:r>
      <w:r>
        <w:t>Overall, customer chose reuse water when it’s available because it avoids them also having to pay for irrigation gallons up to the Utility’s cap on their wastewater bill if they use the potable water. Consistent with Issue 36, staff is recommending that the Utility’s proposed residential reuse rate be approved.</w:t>
      </w:r>
    </w:p>
    <w:p w:rsidR="00747EB4" w:rsidRDefault="00747EB4" w:rsidP="00431D19">
      <w:pPr>
        <w:pStyle w:val="RecommendationMajorSectionHeading"/>
      </w:pPr>
      <w:r>
        <w:t>CONCLUSION</w:t>
      </w:r>
    </w:p>
    <w:p w:rsidR="00747EB4" w:rsidRPr="00556373" w:rsidRDefault="00747EB4" w:rsidP="00431D19">
      <w:pPr>
        <w:pStyle w:val="BodyText"/>
      </w:pPr>
      <w:r>
        <w:t>Based on the above, t</w:t>
      </w:r>
      <w:r w:rsidRPr="00847756">
        <w:t>he appropriate reuse rates for wastewater is sh</w:t>
      </w:r>
      <w:r w:rsidR="00E41CCF">
        <w:t xml:space="preserve">own on Schedule No. 2. </w:t>
      </w:r>
      <w:r w:rsidRPr="00847756">
        <w:t>The Utility should file a revised tariff sheet and a proposed customer notice to reflect</w:t>
      </w:r>
      <w:r w:rsidR="00E41CCF">
        <w:t xml:space="preserve"> the Commission-approved rate. </w:t>
      </w:r>
      <w:r w:rsidRPr="00847756">
        <w:t>The approved reuse rate should be effective for services rendered on or after the stamped approval date on the tariff sheet pursuant to Rule 25-30.475, F.A.C. In addition, the approved rates should not be implemented until staff has approved the proposed customer notice and the notice has b</w:t>
      </w:r>
      <w:r w:rsidR="00E41CCF">
        <w:t xml:space="preserve">een received by the customers. </w:t>
      </w:r>
      <w:r w:rsidRPr="00847756">
        <w:t>The Utility should provide proof of the date notice was given within 10 days of the date of the notice</w:t>
      </w:r>
      <w:r>
        <w:t>.</w:t>
      </w:r>
    </w:p>
    <w:p w:rsidR="00021CAA" w:rsidRDefault="00021CAA" w:rsidP="00E275D8">
      <w:pPr>
        <w:pStyle w:val="BodyText"/>
      </w:pPr>
    </w:p>
    <w:p w:rsidR="00021CAA" w:rsidRDefault="00021CAA" w:rsidP="00021CAA">
      <w:r>
        <w:br w:type="page"/>
      </w:r>
    </w:p>
    <w:p w:rsidR="00747EB4" w:rsidRDefault="00747EB4">
      <w:pPr>
        <w:pStyle w:val="IssueHeading"/>
        <w:rPr>
          <w:vanish/>
          <w:specVanish/>
        </w:rPr>
      </w:pPr>
      <w:r w:rsidRPr="004C3641">
        <w:lastRenderedPageBreak/>
        <w:t xml:space="preserve">Issue </w:t>
      </w:r>
      <w:r>
        <w:fldChar w:fldCharType="begin"/>
      </w:r>
      <w:r>
        <w:instrText>seq issue \r 38</w:instrText>
      </w:r>
      <w:r>
        <w:fldChar w:fldCharType="separate"/>
      </w:r>
      <w:r w:rsidR="009D3FF7">
        <w:rPr>
          <w:noProof/>
        </w:rPr>
        <w:t>38</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4" w:name="_Toc196317156"/>
      <w:r w:rsidR="009D3FF7">
        <w:rPr>
          <w:noProof/>
        </w:rPr>
        <w:instrText>38</w:instrText>
      </w:r>
      <w:r>
        <w:fldChar w:fldCharType="end"/>
      </w:r>
      <w:r>
        <w:tab/>
        <w:instrText>STIPULATED – Customer Deposit Charge</w:instrText>
      </w:r>
      <w:bookmarkEnd w:id="54"/>
      <w:r>
        <w:instrText xml:space="preserve">" \l 1 </w:instrText>
      </w:r>
      <w:r>
        <w:fldChar w:fldCharType="end"/>
      </w:r>
      <w:r>
        <w:t> </w:t>
      </w:r>
    </w:p>
    <w:p w:rsidR="00747EB4" w:rsidRDefault="00747EB4">
      <w:pPr>
        <w:pStyle w:val="BodyText"/>
      </w:pPr>
      <w:r>
        <w:t> What are the appropriate customer deposits?</w:t>
      </w:r>
    </w:p>
    <w:p w:rsidR="00747EB4" w:rsidRPr="004C3641" w:rsidRDefault="00747EB4">
      <w:pPr>
        <w:pStyle w:val="IssueSubsectionHeading"/>
        <w:rPr>
          <w:vanish/>
          <w:specVanish/>
        </w:rPr>
      </w:pPr>
      <w:r>
        <w:t>Approved Type 1 Stipulation</w:t>
      </w:r>
      <w:r w:rsidRPr="004C3641">
        <w:t>: </w:t>
      </w:r>
    </w:p>
    <w:p w:rsidR="00747EB4" w:rsidRDefault="00747EB4">
      <w:pPr>
        <w:pStyle w:val="BodyText"/>
      </w:pPr>
      <w:r>
        <w:t> </w:t>
      </w:r>
      <w:r>
        <w:rPr>
          <w:sz w:val="23"/>
          <w:szCs w:val="23"/>
        </w:rPr>
        <w:t xml:space="preserve">The amount of customer deposits should be established pursuant to Rule 25-30.311, F.A.C. </w:t>
      </w:r>
      <w:r>
        <w:t xml:space="preserve"> </w:t>
      </w:r>
    </w:p>
    <w:p w:rsidR="00747EB4" w:rsidRPr="005265BA" w:rsidRDefault="00747EB4" w:rsidP="00431D19"/>
    <w:p w:rsidR="003B1A51" w:rsidRDefault="003B1A51" w:rsidP="00E275D8">
      <w:pPr>
        <w:pStyle w:val="BodyText"/>
      </w:pPr>
    </w:p>
    <w:p w:rsidR="003B1A51" w:rsidRDefault="003B1A51" w:rsidP="003B1A51">
      <w:r>
        <w:br w:type="page"/>
      </w:r>
    </w:p>
    <w:p w:rsidR="00747EB4" w:rsidRDefault="00747EB4">
      <w:pPr>
        <w:pStyle w:val="IssueHeading"/>
        <w:rPr>
          <w:vanish/>
          <w:specVanish/>
        </w:rPr>
      </w:pPr>
      <w:r w:rsidRPr="004C3641">
        <w:lastRenderedPageBreak/>
        <w:t xml:space="preserve">Issue </w:t>
      </w:r>
      <w:r>
        <w:fldChar w:fldCharType="begin"/>
      </w:r>
      <w:r>
        <w:instrText>seq issue \r 39</w:instrText>
      </w:r>
      <w:r>
        <w:fldChar w:fldCharType="separate"/>
      </w:r>
      <w:r w:rsidR="009D3FF7">
        <w:rPr>
          <w:noProof/>
        </w:rPr>
        <w:t>39</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5" w:name="_Toc196317157"/>
      <w:r w:rsidR="009D3FF7">
        <w:rPr>
          <w:noProof/>
        </w:rPr>
        <w:instrText>39</w:instrText>
      </w:r>
      <w:r>
        <w:fldChar w:fldCharType="end"/>
      </w:r>
      <w:r>
        <w:tab/>
        <w:instrText>Miscellaneous Service Charges (Chambliss)</w:instrText>
      </w:r>
      <w:bookmarkEnd w:id="55"/>
      <w:r>
        <w:instrText xml:space="preserve">" \l 1 </w:instrText>
      </w:r>
      <w:r>
        <w:fldChar w:fldCharType="end"/>
      </w:r>
      <w:r>
        <w:t> </w:t>
      </w:r>
    </w:p>
    <w:p w:rsidR="00747EB4" w:rsidRDefault="00747EB4">
      <w:pPr>
        <w:pStyle w:val="BodyText"/>
      </w:pPr>
      <w:r>
        <w:t> What are the appropriate miscellaneous service charges?</w:t>
      </w:r>
    </w:p>
    <w:p w:rsidR="00747EB4" w:rsidRPr="004C3641" w:rsidRDefault="00747EB4">
      <w:pPr>
        <w:pStyle w:val="IssueSubsectionHeading"/>
        <w:rPr>
          <w:vanish/>
          <w:specVanish/>
        </w:rPr>
      </w:pPr>
      <w:r w:rsidRPr="004C3641">
        <w:t>Recommendation: </w:t>
      </w:r>
    </w:p>
    <w:p w:rsidR="00747EB4" w:rsidRDefault="00747EB4">
      <w:pPr>
        <w:pStyle w:val="BodyText"/>
      </w:pPr>
      <w:r>
        <w:t> </w:t>
      </w:r>
      <w:r w:rsidRPr="00072C99">
        <w:t xml:space="preserve">The appropriate miscellaneous service charges </w:t>
      </w:r>
      <w:r>
        <w:t>should reflect the removal of the initial connection and normal reconnection charges</w:t>
      </w:r>
      <w:r w:rsidRPr="00072C99">
        <w:t>.</w:t>
      </w:r>
      <w:r>
        <w:t xml:space="preserve"> The premises visit charge definition should be updated consistent with Rule 25-30.460 F.A.C.</w:t>
      </w:r>
      <w:r w:rsidRPr="00072C99">
        <w:t xml:space="preserve"> The Utility should be required to file a proposed customer notice to reflect the Commission-approved charges. The approved charges should be effective for service rendered or connections made on or after the stamped approval date on the tariff sheet pursuant to Rule 25-30.475(1), F.A.C. In addition, the approved charges should not be implemented until staff has approved the proposed customer notice and the notice has been received by customers. The Utility should provide proof of the date notice was given no less than 10 days after the date of the notice</w:t>
      </w:r>
      <w:r>
        <w:t>. (Chambliss)</w:t>
      </w:r>
    </w:p>
    <w:p w:rsidR="00747EB4" w:rsidRPr="004C3641" w:rsidRDefault="00747EB4">
      <w:pPr>
        <w:pStyle w:val="IssueSubsectionHeading"/>
        <w:keepNext/>
        <w:rPr>
          <w:iCs w:val="0"/>
        </w:rPr>
      </w:pPr>
      <w:r w:rsidRPr="004C3641">
        <w:rPr>
          <w:iCs w:val="0"/>
        </w:rPr>
        <w:t>Position of the Parties</w:t>
      </w:r>
    </w:p>
    <w:p w:rsidR="00747EB4" w:rsidRDefault="00747EB4" w:rsidP="00431D19">
      <w:pPr>
        <w:pStyle w:val="PartyName"/>
        <w:rPr>
          <w:vanish/>
          <w:specVanish/>
        </w:rPr>
      </w:pPr>
      <w:r>
        <w:t>SUNSHINE: </w:t>
      </w:r>
    </w:p>
    <w:p w:rsidR="00747EB4" w:rsidRDefault="00747EB4">
      <w:pPr>
        <w:pStyle w:val="BodyText"/>
      </w:pPr>
      <w:r>
        <w:t> The miscellaneous service charges should remain unchanged.</w:t>
      </w:r>
    </w:p>
    <w:p w:rsidR="00747EB4" w:rsidRDefault="00747EB4" w:rsidP="00431D19">
      <w:pPr>
        <w:pStyle w:val="PartyName"/>
        <w:rPr>
          <w:vanish/>
          <w:specVanish/>
        </w:rPr>
      </w:pPr>
      <w:r>
        <w:t>OPC: </w:t>
      </w:r>
    </w:p>
    <w:p w:rsidR="00747EB4" w:rsidRDefault="00747EB4">
      <w:pPr>
        <w:pStyle w:val="BodyText"/>
      </w:pPr>
      <w:r>
        <w:t> The appropriate miscellaneous service charges should be calculated with OPC witness Smith’s adjustments in EXH 41 MPN C6-2162.</w:t>
      </w:r>
    </w:p>
    <w:p w:rsidR="00747EB4" w:rsidRPr="004C3641" w:rsidRDefault="00747EB4">
      <w:pPr>
        <w:pStyle w:val="IssueSubsectionHeading"/>
        <w:rPr>
          <w:vanish/>
          <w:specVanish/>
        </w:rPr>
      </w:pPr>
      <w:r w:rsidRPr="004C3641">
        <w:t>Staff Analysis: </w:t>
      </w:r>
    </w:p>
    <w:p w:rsidR="00747EB4" w:rsidRDefault="00747EB4" w:rsidP="00431D19">
      <w:pPr>
        <w:pStyle w:val="BodyText"/>
      </w:pPr>
      <w:r>
        <w:t> </w:t>
      </w:r>
      <w:r w:rsidRPr="00072C99">
        <w:t>The Utility did not request to revise its existing miscellaneous service charges. (Sunshine BR 21) Section 367.091, F.S., authorizes the Commission to establish, increase, or change a rate or charge other than monthly rates or service availability charges. Some of the Utility’s existing charges</w:t>
      </w:r>
      <w:r>
        <w:t xml:space="preserve"> do not c</w:t>
      </w:r>
      <w:r w:rsidRPr="00072C99">
        <w:t xml:space="preserve">onform to </w:t>
      </w:r>
      <w:r>
        <w:t>Rule 25-30.460, F.A.C</w:t>
      </w:r>
      <w:r w:rsidRPr="00072C99">
        <w:t xml:space="preserve">. </w:t>
      </w:r>
      <w:r w:rsidRPr="00C619C3">
        <w:t>In its brief, OPC indicated that the appropriate miscellaneous service charges should be calculated based on Witness Smith’s adjustments shown in EXH 41MPN C6-2162.</w:t>
      </w:r>
      <w:r>
        <w:t xml:space="preserve"> (OPC BR 45)</w:t>
      </w:r>
      <w:r w:rsidRPr="00C619C3">
        <w:t xml:space="preserve"> Witness Smith’s adjustments reflect an annualization of the impa</w:t>
      </w:r>
      <w:r>
        <w:t xml:space="preserve">ct on miscellaneous revenues </w:t>
      </w:r>
      <w:r w:rsidRPr="00C619C3">
        <w:t>of the price index increases to miscellaneous service charges during the test year. This adjustment was made in Issu</w:t>
      </w:r>
      <w:r>
        <w:t xml:space="preserve">e 24 for water and wastewater. This has no impact on </w:t>
      </w:r>
      <w:r w:rsidRPr="00C619C3">
        <w:t>the miscellaneous service charges</w:t>
      </w:r>
      <w:r>
        <w:t>.</w:t>
      </w:r>
    </w:p>
    <w:p w:rsidR="00747EB4" w:rsidRDefault="00747EB4" w:rsidP="00431D19">
      <w:pPr>
        <w:pStyle w:val="BodyText"/>
      </w:pPr>
      <w:r>
        <w:t>T</w:t>
      </w:r>
      <w:r w:rsidRPr="00072C99">
        <w:t>he Utility currently has an initial connection charge, a normal reconnection charge, a violation reconnection charge, and a premises visit charge of $40.06 during business hours. The Utility also has after-hour charges of $49.62 as well as actual cost for the same charges during business hours. Pursuant to Rule 25-30.460, F.A.C., initial and reconnection charges are obsolete and are subsumed in the definition of the premises visit charge. Therefore, staff recommends that the initial and reconnection charges are obsolete and should be removed. Nonetheless, staff recommends that the definition for the premises visit charge be updated to comply with Rule 25-30.460, F.A.C.</w:t>
      </w:r>
    </w:p>
    <w:p w:rsidR="00747EB4" w:rsidRDefault="00747EB4" w:rsidP="00431D19">
      <w:pPr>
        <w:pStyle w:val="RecommendationMajorSectionHeading"/>
      </w:pPr>
      <w:r>
        <w:t>CONCLUSION</w:t>
      </w:r>
    </w:p>
    <w:p w:rsidR="00747EB4" w:rsidRPr="00AE76D9" w:rsidRDefault="00747EB4" w:rsidP="00431D19">
      <w:pPr>
        <w:jc w:val="both"/>
      </w:pPr>
      <w:r w:rsidRPr="00072C99">
        <w:t>Based on the above, the appropriate miscellaneous service charges</w:t>
      </w:r>
      <w:r>
        <w:t xml:space="preserve"> should reflect the removal of the initial connection and normal reconnection charges. The premises visit charge definition should be updated consistent with Rule 25-30.460 F.A.C. </w:t>
      </w:r>
      <w:r w:rsidRPr="00072C99">
        <w:t xml:space="preserve">The Utility should be required to file a proposed customer notice to reflect the Commission-approved charges. The approved charges should be effective for service rendered or connections made on or after the stamped approval date on the tariff sheet pursuant to Rule 25-30.475(1), F.A.C. In addition, the approved charges should not be implemented until staff has approved the proposed customer notice and the notice </w:t>
      </w:r>
      <w:r w:rsidRPr="00072C99">
        <w:lastRenderedPageBreak/>
        <w:t>has been received by customers. The Utility should provide proof of the date notice was given no less than 10 days after the date of the notice</w:t>
      </w:r>
      <w:r>
        <w:t>.</w:t>
      </w:r>
    </w:p>
    <w:p w:rsidR="009102F3" w:rsidRDefault="009102F3" w:rsidP="00E275D8">
      <w:pPr>
        <w:pStyle w:val="BodyText"/>
      </w:pPr>
    </w:p>
    <w:p w:rsidR="009102F3" w:rsidRDefault="009102F3" w:rsidP="009102F3">
      <w:r>
        <w:br w:type="page"/>
      </w:r>
    </w:p>
    <w:p w:rsidR="00747EB4" w:rsidRDefault="00747EB4">
      <w:pPr>
        <w:pStyle w:val="IssueHeading"/>
        <w:rPr>
          <w:vanish/>
          <w:specVanish/>
        </w:rPr>
      </w:pPr>
      <w:r w:rsidRPr="004C3641">
        <w:lastRenderedPageBreak/>
        <w:t xml:space="preserve">Issue </w:t>
      </w:r>
      <w:r>
        <w:fldChar w:fldCharType="begin"/>
      </w:r>
      <w:r>
        <w:instrText>seq issue \r 40</w:instrText>
      </w:r>
      <w:r>
        <w:fldChar w:fldCharType="separate"/>
      </w:r>
      <w:r w:rsidR="009D3FF7">
        <w:rPr>
          <w:noProof/>
        </w:rPr>
        <w:t>40</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6" w:name="_Toc196317158"/>
      <w:r w:rsidR="009D3FF7">
        <w:rPr>
          <w:noProof/>
        </w:rPr>
        <w:instrText>40</w:instrText>
      </w:r>
      <w:r>
        <w:fldChar w:fldCharType="end"/>
      </w:r>
      <w:r>
        <w:tab/>
        <w:instrText>Guaranteed Revenue Charges (Bethea)</w:instrText>
      </w:r>
      <w:bookmarkEnd w:id="56"/>
      <w:r>
        <w:instrText xml:space="preserve">" \l 1 </w:instrText>
      </w:r>
      <w:r>
        <w:fldChar w:fldCharType="end"/>
      </w:r>
      <w:r>
        <w:t> </w:t>
      </w:r>
    </w:p>
    <w:p w:rsidR="00747EB4" w:rsidRDefault="00747EB4">
      <w:pPr>
        <w:pStyle w:val="BodyText"/>
      </w:pPr>
      <w:r>
        <w:t> What are the appropriate guaranteed revenue charges?</w:t>
      </w:r>
    </w:p>
    <w:p w:rsidR="00747EB4" w:rsidRPr="004C3641" w:rsidRDefault="00747EB4">
      <w:pPr>
        <w:pStyle w:val="IssueSubsectionHeading"/>
        <w:rPr>
          <w:vanish/>
          <w:specVanish/>
        </w:rPr>
      </w:pPr>
      <w:r w:rsidRPr="004C3641">
        <w:t>Recommendation: </w:t>
      </w:r>
    </w:p>
    <w:p w:rsidR="00747EB4" w:rsidRDefault="00747EB4">
      <w:pPr>
        <w:pStyle w:val="BodyText"/>
      </w:pPr>
      <w:r>
        <w:t xml:space="preserve"> The appropriate guaranteed revenue charge </w:t>
      </w:r>
      <w:r w:rsidRPr="005F3578">
        <w:t xml:space="preserve">is </w:t>
      </w:r>
      <w:r w:rsidRPr="00094F8D">
        <w:t>the existin</w:t>
      </w:r>
      <w:r>
        <w:t xml:space="preserve">g charge of $25.35. Therefore, </w:t>
      </w:r>
      <w:r w:rsidRPr="00094F8D">
        <w:t>the guaranteed revenue charge should remain unchanged</w:t>
      </w:r>
      <w:r>
        <w:t>. (Bethea)</w:t>
      </w:r>
    </w:p>
    <w:p w:rsidR="00747EB4" w:rsidRPr="004C3641" w:rsidRDefault="00747EB4">
      <w:pPr>
        <w:pStyle w:val="IssueSubsectionHeading"/>
        <w:keepNext/>
        <w:rPr>
          <w:iCs w:val="0"/>
        </w:rPr>
      </w:pPr>
      <w:r w:rsidRPr="004C3641">
        <w:rPr>
          <w:iCs w:val="0"/>
        </w:rPr>
        <w:t>Position of the Parties</w:t>
      </w:r>
    </w:p>
    <w:p w:rsidR="00747EB4" w:rsidRDefault="00747EB4" w:rsidP="00431D19">
      <w:pPr>
        <w:pStyle w:val="PartyName"/>
        <w:rPr>
          <w:vanish/>
          <w:specVanish/>
        </w:rPr>
      </w:pPr>
      <w:r>
        <w:t>SUNSHINE: </w:t>
      </w:r>
    </w:p>
    <w:p w:rsidR="00747EB4" w:rsidRDefault="00747EB4">
      <w:pPr>
        <w:pStyle w:val="BodyText"/>
      </w:pPr>
      <w:r>
        <w:t> The guaranteed revenue charges should remain unchanged.</w:t>
      </w:r>
    </w:p>
    <w:p w:rsidR="00747EB4" w:rsidRDefault="00747EB4" w:rsidP="00431D19">
      <w:pPr>
        <w:pStyle w:val="PartyName"/>
        <w:rPr>
          <w:vanish/>
          <w:specVanish/>
        </w:rPr>
      </w:pPr>
      <w:r>
        <w:t>OPC: </w:t>
      </w:r>
    </w:p>
    <w:p w:rsidR="00747EB4" w:rsidRDefault="00747EB4">
      <w:pPr>
        <w:pStyle w:val="BodyText"/>
      </w:pPr>
      <w:r>
        <w:t> These charges are dependent on the resolution of other issues.</w:t>
      </w:r>
    </w:p>
    <w:p w:rsidR="00747EB4" w:rsidRPr="004C3641" w:rsidRDefault="00747EB4">
      <w:pPr>
        <w:pStyle w:val="IssueSubsectionHeading"/>
        <w:rPr>
          <w:vanish/>
          <w:specVanish/>
        </w:rPr>
      </w:pPr>
      <w:r w:rsidRPr="004C3641">
        <w:t>Staff Analysis: </w:t>
      </w:r>
    </w:p>
    <w:p w:rsidR="00747EB4" w:rsidRDefault="00747EB4" w:rsidP="00431D19">
      <w:pPr>
        <w:pStyle w:val="BodyText"/>
      </w:pPr>
      <w:r>
        <w:t xml:space="preserve"> In its revised MFRs, </w:t>
      </w:r>
      <w:r w:rsidRPr="00094F8D">
        <w:t xml:space="preserve">the Utility </w:t>
      </w:r>
      <w:r>
        <w:t>did not request a change to its guaranteed revenue charge. (Sunshine BR 22) Rule 25-30.515(9), F.A.C., defines a guaranteed revenue charge as a charge designed to cover the utility’s costs including, but not limited to, the cost of operation, maintenance, depreciation, and any tads, and to provide a reasonable return to a utility for facilities, a port of which may not be used or useful to a utility or its existing customers. The charge is designed to help a utility recover a portion of its cost from the time capacity is reserved until a customer begins to pay monthly service rates.</w:t>
      </w:r>
    </w:p>
    <w:p w:rsidR="00747EB4" w:rsidRDefault="00747EB4" w:rsidP="00431D19">
      <w:pPr>
        <w:pStyle w:val="BodyText"/>
      </w:pPr>
      <w:r w:rsidRPr="00094F8D">
        <w:t>OPC indicated that the guaranteed revenue charge is dependent on the resolution of other issues. (OPC BR 45) Staff disagrees with OPC that the appropriate charge is dependent upon other issues in the case</w:t>
      </w:r>
      <w:r>
        <w:t xml:space="preserve">. </w:t>
      </w:r>
      <w:r w:rsidRPr="00094F8D">
        <w:t>In prior Commission cases, the guaranteed revenue charge has been based on a charge that is equal to a utility’s approved BFC for one ERC.</w:t>
      </w:r>
      <w:r w:rsidR="00B02E25">
        <w:rPr>
          <w:rStyle w:val="FootnoteReference"/>
        </w:rPr>
        <w:footnoteReference w:id="37"/>
      </w:r>
      <w:r w:rsidRPr="00094F8D">
        <w:t xml:space="preserve"> Although the recommended BFC for one ERC is higher than Sunshine’s guaranteed revenue charge, the Utility did not request the guaranteed revenue charge be change</w:t>
      </w:r>
      <w:r w:rsidR="00D00AB9">
        <w:t>d</w:t>
      </w:r>
      <w:r w:rsidRPr="00094F8D">
        <w:t>. As a result, staff recommends the appropriate guaranteed revenue charge is the existing charge of $</w:t>
      </w:r>
      <w:r>
        <w:t>25.35</w:t>
      </w:r>
      <w:r w:rsidRPr="00094F8D">
        <w:t>. Therefore, the guaranteed revenue charge should remain unchanged</w:t>
      </w:r>
      <w:r>
        <w:t>.</w:t>
      </w:r>
    </w:p>
    <w:p w:rsidR="008C161A" w:rsidRDefault="008C161A" w:rsidP="00431D19">
      <w:pPr>
        <w:pStyle w:val="BodyText"/>
      </w:pPr>
      <w:r>
        <w:br w:type="page"/>
      </w:r>
    </w:p>
    <w:p w:rsidR="00747EB4" w:rsidRDefault="00747EB4">
      <w:pPr>
        <w:pStyle w:val="IssueHeading"/>
        <w:rPr>
          <w:vanish/>
          <w:specVanish/>
        </w:rPr>
      </w:pPr>
      <w:r w:rsidRPr="004C3641">
        <w:lastRenderedPageBreak/>
        <w:t xml:space="preserve">Issue </w:t>
      </w:r>
      <w:r>
        <w:fldChar w:fldCharType="begin"/>
      </w:r>
      <w:r>
        <w:instrText>seq issue \r 41</w:instrText>
      </w:r>
      <w:r>
        <w:fldChar w:fldCharType="separate"/>
      </w:r>
      <w:r w:rsidR="009D3FF7">
        <w:rPr>
          <w:noProof/>
        </w:rPr>
        <w:t>41</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7" w:name="_Toc196317159"/>
      <w:r w:rsidR="009D3FF7">
        <w:rPr>
          <w:noProof/>
        </w:rPr>
        <w:instrText>41</w:instrText>
      </w:r>
      <w:r>
        <w:fldChar w:fldCharType="end"/>
      </w:r>
      <w:r>
        <w:tab/>
        <w:instrText>Meter Installation Charges (Lenberg)</w:instrText>
      </w:r>
      <w:bookmarkEnd w:id="57"/>
      <w:r>
        <w:instrText xml:space="preserve">" \l 1 </w:instrText>
      </w:r>
      <w:r>
        <w:fldChar w:fldCharType="end"/>
      </w:r>
      <w:r>
        <w:t> </w:t>
      </w:r>
    </w:p>
    <w:p w:rsidR="00747EB4" w:rsidRDefault="00747EB4">
      <w:pPr>
        <w:pStyle w:val="BodyText"/>
      </w:pPr>
      <w:r>
        <w:t> What are the appropriate meter installation charges?</w:t>
      </w:r>
    </w:p>
    <w:p w:rsidR="00747EB4" w:rsidRPr="004C3641" w:rsidRDefault="00747EB4">
      <w:pPr>
        <w:pStyle w:val="IssueSubsectionHeading"/>
        <w:rPr>
          <w:vanish/>
          <w:specVanish/>
        </w:rPr>
      </w:pPr>
      <w:r w:rsidRPr="004C3641">
        <w:t>Recommendation: </w:t>
      </w:r>
    </w:p>
    <w:p w:rsidR="00747EB4" w:rsidRDefault="00747EB4">
      <w:pPr>
        <w:pStyle w:val="BodyText"/>
      </w:pPr>
      <w:r>
        <w:t> </w:t>
      </w:r>
      <w:r w:rsidRPr="00BF5155">
        <w:t>Staff recommends that a meter installation cha</w:t>
      </w:r>
      <w:r>
        <w:t xml:space="preserve">rge of $591.83 for a 5/8 inch x </w:t>
      </w:r>
      <w:r w:rsidRPr="00BF5155">
        <w:t>3/4 inch meter size and actual costs for all other meter sizes be approved. The Utility should be required to file a proposed customer notice to reflect the Commission-approved charges. The approved charges should be effective for service rendered or connections made on or after the stamped approval date on the tariff sheet pursuant to Rule 25-30.475(1), F.A.C. In addition, the approved charges should not be implemented until staff has approved the proposed customer notice and the notice has been received by customers. The Utility should provide proof of the date notice was given no less than 10 days after the date of the notice</w:t>
      </w:r>
      <w:r>
        <w:t>. (Lenberg)</w:t>
      </w:r>
    </w:p>
    <w:p w:rsidR="00747EB4" w:rsidRPr="004C3641" w:rsidRDefault="00747EB4">
      <w:pPr>
        <w:pStyle w:val="IssueSubsectionHeading"/>
        <w:keepNext/>
        <w:rPr>
          <w:iCs w:val="0"/>
        </w:rPr>
      </w:pPr>
      <w:r w:rsidRPr="004C3641">
        <w:rPr>
          <w:iCs w:val="0"/>
        </w:rPr>
        <w:t>Position of the Parties</w:t>
      </w:r>
    </w:p>
    <w:p w:rsidR="00747EB4" w:rsidRDefault="00747EB4" w:rsidP="00431D19">
      <w:pPr>
        <w:pStyle w:val="PartyName"/>
        <w:rPr>
          <w:vanish/>
          <w:specVanish/>
        </w:rPr>
      </w:pPr>
      <w:r>
        <w:t>SUNSHINE: </w:t>
      </w:r>
    </w:p>
    <w:p w:rsidR="00747EB4" w:rsidRDefault="00747EB4">
      <w:pPr>
        <w:pStyle w:val="BodyText"/>
      </w:pPr>
      <w:r>
        <w:t> Meter installation charges shall be updated for 5/8” x 3/4" meters to $591.83 and to reflect actual costs for other meters.</w:t>
      </w:r>
    </w:p>
    <w:p w:rsidR="00747EB4" w:rsidRDefault="00747EB4" w:rsidP="00431D19">
      <w:pPr>
        <w:pStyle w:val="PartyName"/>
        <w:rPr>
          <w:vanish/>
          <w:specVanish/>
        </w:rPr>
      </w:pPr>
      <w:r>
        <w:t>OPC: </w:t>
      </w:r>
    </w:p>
    <w:p w:rsidR="00747EB4" w:rsidRDefault="00747EB4">
      <w:pPr>
        <w:pStyle w:val="BodyText"/>
      </w:pPr>
      <w:r>
        <w:t> The Utility has not justified its proposed 194% increase to its current meter installation charge increasing the present 5/8” x 3/4” Meter Installation Charge from $201.21 to a proposed $591.83.</w:t>
      </w:r>
    </w:p>
    <w:p w:rsidR="00747EB4" w:rsidRPr="004C3641" w:rsidRDefault="00747EB4">
      <w:pPr>
        <w:pStyle w:val="IssueSubsectionHeading"/>
        <w:rPr>
          <w:vanish/>
          <w:specVanish/>
        </w:rPr>
      </w:pPr>
      <w:r w:rsidRPr="004C3641">
        <w:t>Staff Analysis: </w:t>
      </w:r>
    </w:p>
    <w:p w:rsidR="00747EB4" w:rsidRDefault="00747EB4" w:rsidP="00431D19">
      <w:pPr>
        <w:pStyle w:val="BodyText"/>
      </w:pPr>
      <w:r>
        <w:t> In witness DeStefano’s testimony, the Utility proposed to upgrade its current meters to an AMI metering system. (Sunshine BR 5) The Utility proposed to increase its meter installation charge of $201.21 to $591.83 for a 5/8 inch x 3/4 inch meter size and actual cost for all other meter sizes. (EXH 6, BSP C1-43; TR 118; Sunshine BR 22) A meter installation charge is designed to recover the cost of the meter and the installation. In witness DeStefano’s testimony, the Utility provided a cost justification. (EXH 6, BSP C1-43) In its briefs, OPC asserted that the Utility did not justify its proposed 194 percent increase to its current meter installation charge. OPC asserted that the Utility’s proposal is expensive and unnecessary. Furthermore, OPC indicated that the cost of the meter was not included in the filing and believes that the disallowance of AMI would remove the cellular connector charge of $144.45, which would be a savings for future customers. Therefore, OPC recommends that the Commission deny the Utility’s proposal to revise its meter installation charge. (OPC BR 45-46)</w:t>
      </w:r>
    </w:p>
    <w:p w:rsidR="00747EB4" w:rsidRDefault="00747EB4" w:rsidP="00431D19">
      <w:pPr>
        <w:pStyle w:val="BodyText"/>
      </w:pPr>
      <w:r w:rsidRPr="00924090">
        <w:t>Despite OPC’s assertion that the cost per meter was not included in the Utility’s filing</w:t>
      </w:r>
      <w:r>
        <w:t xml:space="preserve">, staff’s review of the Utility’s cost justification provided indicates that all the components and costs of the 5/8 inch x 3/4 inch meter size were included. </w:t>
      </w:r>
      <w:r w:rsidRPr="00924090">
        <w:t>The cost justification also indicate the cost and components of other meter sizes as well, which are all</w:t>
      </w:r>
      <w:r>
        <w:t xml:space="preserve"> shown in Exhibit DMD-2. (EXH 6, BSP C1-43) Staff believes that the cost justification is appropriate and </w:t>
      </w:r>
      <w:r w:rsidRPr="00924090">
        <w:t xml:space="preserve">the Utility’s proposed meter installation charge for the 5/8 inch </w:t>
      </w:r>
      <w:r>
        <w:t>x</w:t>
      </w:r>
      <w:r w:rsidRPr="00924090">
        <w:t xml:space="preserve"> 3/4 inch </w:t>
      </w:r>
      <w:r>
        <w:t>falls within the Commission’s recent approval of a meter installation charge of $674.</w:t>
      </w:r>
      <w:r>
        <w:rPr>
          <w:rStyle w:val="FootnoteReference"/>
        </w:rPr>
        <w:footnoteReference w:id="38"/>
      </w:r>
      <w:r>
        <w:t xml:space="preserve"> Therefore, staff disagree with OPC’s recommendation to deny the Utility’s proposed meter installation charges. Based on staff’s recommendation in Issue 4A to approve the AMI infrastructure, the Utility’s meter installation charge of $591.83 for the 5/8 inch x 3/4 inch meter size and all other meter sizes at actual costs is appropriate. If the </w:t>
      </w:r>
      <w:r>
        <w:lastRenderedPageBreak/>
        <w:t>Commission denies the AMI infrastructure in Issue 4A, then the cellular connector charge of $144.45 should be removed from the meter installation charge, consistent with OPC’s position.</w:t>
      </w:r>
    </w:p>
    <w:p w:rsidR="00747EB4" w:rsidRDefault="00747EB4" w:rsidP="00431D19">
      <w:pPr>
        <w:pStyle w:val="RecommendationMajorSectionHeading"/>
      </w:pPr>
      <w:r>
        <w:t>CONCLUSION</w:t>
      </w:r>
    </w:p>
    <w:p w:rsidR="00747EB4" w:rsidRDefault="00747EB4" w:rsidP="00431D19">
      <w:pPr>
        <w:pStyle w:val="BodyText"/>
      </w:pPr>
      <w:r>
        <w:t>Based on the above, staff recommends that a meter installation charge of $591.83 for a 5/8 inch x 3/4 inch meter size and actual costs for all other meter sizes be approved. The Utility should be required to file a proposed customer notice to reflect the Commission-approved charges. The approved charges should be effective for service rendered or connections made on or after the stamped approval date on the tariff sheet pursuant to Rule 25-30.475(1), F.A.C. In addition, the approved charges should not be implemented until staff has approved the proposed customer notice and the notice has been received by customers. The Utility should provide proof of the date notice was given no less than 10 days after the date of the notice.</w:t>
      </w:r>
    </w:p>
    <w:p w:rsidR="00BE569D" w:rsidRDefault="00BE569D" w:rsidP="00431D19">
      <w:pPr>
        <w:pStyle w:val="BodyText"/>
      </w:pPr>
    </w:p>
    <w:p w:rsidR="00BE569D" w:rsidRDefault="00BE569D" w:rsidP="00E275D8">
      <w:pPr>
        <w:pStyle w:val="BodyText"/>
        <w:sectPr w:rsidR="00BE569D" w:rsidSect="00BF5423">
          <w:headerReference w:type="default" r:id="rId17"/>
          <w:type w:val="continuous"/>
          <w:pgSz w:w="12240" w:h="15840" w:code="1"/>
          <w:pgMar w:top="1584" w:right="1440" w:bottom="1440" w:left="1440" w:header="720" w:footer="720" w:gutter="0"/>
          <w:cols w:space="720"/>
          <w:formProt w:val="0"/>
          <w:docGrid w:linePitch="360"/>
        </w:sectPr>
      </w:pPr>
    </w:p>
    <w:p w:rsidR="007D6568" w:rsidRDefault="007D6568" w:rsidP="007D6568">
      <w:r>
        <w:br w:type="page"/>
      </w:r>
    </w:p>
    <w:p w:rsidR="00747EB4" w:rsidRDefault="00747EB4">
      <w:pPr>
        <w:pStyle w:val="IssueHeading"/>
        <w:rPr>
          <w:vanish/>
          <w:specVanish/>
        </w:rPr>
      </w:pPr>
      <w:r w:rsidRPr="004C3641">
        <w:lastRenderedPageBreak/>
        <w:t xml:space="preserve">Issue </w:t>
      </w:r>
      <w:r>
        <w:fldChar w:fldCharType="begin"/>
      </w:r>
      <w:r>
        <w:instrText>seq issue \r 41</w:instrText>
      </w:r>
      <w:r>
        <w:fldChar w:fldCharType="separate"/>
      </w:r>
      <w:r w:rsidR="009D3FF7">
        <w:rPr>
          <w:noProof/>
        </w:rPr>
        <w:t>41</w:t>
      </w:r>
      <w:r>
        <w:rPr>
          <w:noProof/>
        </w:rPr>
        <w:fldChar w:fldCharType="end"/>
      </w:r>
      <w:r>
        <w:rPr>
          <w:noProof/>
        </w:rPr>
        <w:t>A</w:t>
      </w:r>
      <w:r w:rsidRPr="004C3641">
        <w:t>:</w:t>
      </w:r>
      <w:r>
        <w:fldChar w:fldCharType="begin"/>
      </w:r>
      <w:r>
        <w:instrText xml:space="preserve"> TC "</w:instrText>
      </w:r>
      <w:r>
        <w:fldChar w:fldCharType="begin"/>
      </w:r>
      <w:r>
        <w:instrText xml:space="preserve"> SEQ issue \c </w:instrText>
      </w:r>
      <w:r>
        <w:fldChar w:fldCharType="separate"/>
      </w:r>
      <w:bookmarkStart w:id="58" w:name="_Toc196317160"/>
      <w:r w:rsidR="009D3FF7">
        <w:rPr>
          <w:noProof/>
        </w:rPr>
        <w:instrText>41</w:instrText>
      </w:r>
      <w:r>
        <w:fldChar w:fldCharType="end"/>
      </w:r>
      <w:r>
        <w:instrText>A</w:instrText>
      </w:r>
      <w:r>
        <w:tab/>
        <w:instrText>Affordability (Sandy, Farooqi)</w:instrText>
      </w:r>
      <w:bookmarkEnd w:id="58"/>
      <w:r>
        <w:instrText xml:space="preserve">" \l 1 </w:instrText>
      </w:r>
      <w:r>
        <w:fldChar w:fldCharType="end"/>
      </w:r>
      <w:r>
        <w:t> </w:t>
      </w:r>
    </w:p>
    <w:p w:rsidR="00747EB4" w:rsidRDefault="00747EB4">
      <w:pPr>
        <w:pStyle w:val="BodyText"/>
      </w:pPr>
      <w:r>
        <w:t> Are the resulting rates affordable within the meaning of fair, just, and reasonable pursuant to Sections 367.081 and 367.121 Florida Statutes?</w:t>
      </w:r>
    </w:p>
    <w:p w:rsidR="00747EB4" w:rsidRPr="004C3641" w:rsidRDefault="00747EB4">
      <w:pPr>
        <w:pStyle w:val="IssueSubsectionHeading"/>
        <w:rPr>
          <w:vanish/>
          <w:specVanish/>
        </w:rPr>
      </w:pPr>
      <w:r w:rsidRPr="004C3641">
        <w:t>Recommendation: </w:t>
      </w:r>
    </w:p>
    <w:p w:rsidR="00747EB4" w:rsidRDefault="00747EB4" w:rsidP="00431D19">
      <w:pPr>
        <w:pStyle w:val="BodyText"/>
      </w:pPr>
      <w:r>
        <w:t> </w:t>
      </w:r>
      <w:r w:rsidR="00E6431B">
        <w:t>The Commission has broad discretion to carry out its legislative mandate of ensuring rates are just, reasonable, compensatory, and not unfairly discriminatory. However, there exists no statutory authority to infer a specific definition of affordability absent express legislative authorization. To the extent the Commission can consider the “affordability” of customer bills, it must do so within the context of its governing statutes in Chapter 367, F.S</w:t>
      </w:r>
      <w:r w:rsidRPr="007D4CE7">
        <w:t>.</w:t>
      </w:r>
      <w:r>
        <w:t xml:space="preserve"> (Farooqi)</w:t>
      </w:r>
    </w:p>
    <w:p w:rsidR="00747EB4" w:rsidRPr="004C3641" w:rsidRDefault="00747EB4">
      <w:pPr>
        <w:pStyle w:val="IssueSubsectionHeading"/>
        <w:keepNext/>
        <w:rPr>
          <w:iCs w:val="0"/>
        </w:rPr>
      </w:pPr>
      <w:r w:rsidRPr="004C3641">
        <w:rPr>
          <w:iCs w:val="0"/>
        </w:rPr>
        <w:t>Position of the Parties</w:t>
      </w:r>
    </w:p>
    <w:p w:rsidR="00747EB4" w:rsidRDefault="00747EB4" w:rsidP="00431D19">
      <w:pPr>
        <w:pStyle w:val="PartyName"/>
        <w:rPr>
          <w:vanish/>
          <w:specVanish/>
        </w:rPr>
      </w:pPr>
      <w:r>
        <w:t>SUNSHINE: </w:t>
      </w:r>
    </w:p>
    <w:p w:rsidR="00747EB4" w:rsidRDefault="00747EB4">
      <w:pPr>
        <w:pStyle w:val="BodyText"/>
      </w:pPr>
      <w:r>
        <w:t> Since there is no objective standard of affordability, Sunshine is unable to take a substantive position. However, Sunshine does provide affordable service as this standard has been interpreted by the Commission in prior Orders.</w:t>
      </w:r>
    </w:p>
    <w:p w:rsidR="00747EB4" w:rsidRDefault="00747EB4" w:rsidP="00431D19">
      <w:pPr>
        <w:pStyle w:val="PartyName"/>
        <w:rPr>
          <w:vanish/>
          <w:specVanish/>
        </w:rPr>
      </w:pPr>
      <w:r>
        <w:t>OPC: </w:t>
      </w:r>
    </w:p>
    <w:p w:rsidR="00747EB4" w:rsidRDefault="00747EB4">
      <w:pPr>
        <w:pStyle w:val="BodyText"/>
      </w:pPr>
      <w:r>
        <w:t> The Commission should consider affordability in this proceeding, and all future water and wastewater utility base rate proceedings, in evaluating rate increase requests consistent with the trends in other U.S. regulatory jurisdictions.</w:t>
      </w:r>
    </w:p>
    <w:p w:rsidR="00747EB4" w:rsidRPr="004C3641" w:rsidRDefault="00747EB4">
      <w:pPr>
        <w:pStyle w:val="IssueSubsectionHeading"/>
        <w:rPr>
          <w:vanish/>
          <w:specVanish/>
        </w:rPr>
      </w:pPr>
      <w:r w:rsidRPr="004C3641">
        <w:t>Staff Analysis: </w:t>
      </w:r>
    </w:p>
    <w:p w:rsidR="00E6431B" w:rsidRDefault="00747EB4" w:rsidP="00E6431B">
      <w:pPr>
        <w:pStyle w:val="BodyText"/>
        <w:rPr>
          <w:szCs w:val="22"/>
        </w:rPr>
      </w:pPr>
      <w:r>
        <w:t> </w:t>
      </w:r>
      <w:r w:rsidR="00E6431B">
        <w:t>Section 367.081, F.S., sets forth the factors the Commission must consider in a water and wastewater rate case. However, there is no mention of “affordability” in Chapter 367. (Sunshine BR 22) What the statutes explicitly require is for the Commission to approve rates that are “just, reasonable, compensatory, and not unfairly discriminatory.” Section 367.081(2)(a)1., F.S.</w:t>
      </w:r>
      <w:r w:rsidR="00E6431B">
        <w:rPr>
          <w:rStyle w:val="FootnoteReference"/>
        </w:rPr>
        <w:footnoteReference w:id="39"/>
      </w:r>
      <w:r w:rsidR="00E6431B">
        <w:t xml:space="preserve"> In order to effectuate a determination of “just, reasonable, compensatory, and not unfairly discriminatory rates,” the Commission considers a number of factors, the weight of which may vary slightly from one rate proceeding to another. For example, the Commission must consider and weigh evidence on the value and quality of the service,</w:t>
      </w:r>
      <w:r w:rsidR="00E6431B">
        <w:rPr>
          <w:rStyle w:val="FootnoteReference"/>
        </w:rPr>
        <w:footnoteReference w:id="40"/>
      </w:r>
      <w:r w:rsidR="00E6431B">
        <w:t xml:space="preserve"> as well as the ability for the utility to recover a fair return on its investment of utility in property that is used and useful in the public service.</w:t>
      </w:r>
      <w:r w:rsidR="00E6431B">
        <w:rPr>
          <w:rStyle w:val="FootnoteReference"/>
        </w:rPr>
        <w:footnoteReference w:id="41"/>
      </w:r>
      <w:r w:rsidR="00E6431B">
        <w:t xml:space="preserve"> Furthermore, pursuant to Section 367.081(2)(a)2.c., F.S., the Commission must approve certain expenses that are associated with </w:t>
      </w:r>
      <w:r w:rsidR="00E6431B">
        <w:rPr>
          <w:shd w:val="clear" w:color="auto" w:fill="FFFFFF"/>
        </w:rPr>
        <w:t>“environmental compliance costs,” as well as allow cost recovery for “reasonable rate case expense incurred during a rate proceeding.”</w:t>
      </w:r>
      <w:r w:rsidR="00E6431B">
        <w:t xml:space="preserve"> These factors are typically discrete issues supported by testimony and evidence. </w:t>
      </w:r>
    </w:p>
    <w:p w:rsidR="00E6431B" w:rsidRDefault="00E6431B" w:rsidP="00E6431B">
      <w:pPr>
        <w:pStyle w:val="BodyText"/>
      </w:pPr>
      <w:r>
        <w:t xml:space="preserve">OPC is attempting to create an additional factor or standard in this case for the Commission to weigh—“affordability,” requesting the Commission to create a standard for affordability and ultimately to make a finding on affordability in its final order. OPC asserts that the Commission </w:t>
      </w:r>
      <w:r>
        <w:lastRenderedPageBreak/>
        <w:t xml:space="preserve">should consider affordability to be consistent with other U.S. regulatory jurisdictions. OPC also claims affordability is an issue in this case because Sunshine’s Witness Twomey used the word “affordable” in a line of his testimony, thereby opening the door to the issue. (OPC BR 46; TR 155). OPC argues that a rate would be unreasonable and prohibitive if it is in excess of what the consumer can afford to pay. (OPC BR 47) </w:t>
      </w:r>
    </w:p>
    <w:p w:rsidR="00E6431B" w:rsidRDefault="00E6431B" w:rsidP="00E6431B">
      <w:pPr>
        <w:pStyle w:val="BodyText"/>
      </w:pPr>
      <w:r>
        <w:t xml:space="preserve">OPC asserts in its brief that the Commission should consider affordability as a factor in this case, but it fails to adequately address the fact that the word “affordable” is not defined, let alone referenced, in Chapter 367, F.S. The Commission does not have such enabling legislation, because nowhere in Chapter 367, F.S., is “affordability” mentioned as a factor that the Commission can or should consider when setting rates. </w:t>
      </w:r>
    </w:p>
    <w:p w:rsidR="00E6431B" w:rsidRDefault="00E6431B" w:rsidP="00E6431B">
      <w:pPr>
        <w:pStyle w:val="BodyText"/>
      </w:pPr>
      <w:r>
        <w:t>OPC also asserts that because Sunshine’s Witness Twomey used the word “affordability” in a line of his testimony, “affordability” became an issue in this case.</w:t>
      </w:r>
      <w:r>
        <w:rPr>
          <w:rStyle w:val="FootnoteReference"/>
        </w:rPr>
        <w:footnoteReference w:id="42"/>
      </w:r>
      <w:r>
        <w:t xml:space="preserve"> (OPC BR 47) However, merely mentioning a word or concept in testimony does not make it an issue that Commission has the authority to consider. </w:t>
      </w:r>
    </w:p>
    <w:p w:rsidR="00E6431B" w:rsidRDefault="00E6431B" w:rsidP="00E6431B">
      <w:pPr>
        <w:pStyle w:val="BodyText"/>
      </w:pPr>
      <w:r>
        <w:t>In its post-hearing position, OPC contends that the Commission should consider affordability to be consistent with the trends in the other U.S. regulatory jurisdictions in this proceeding, and all future water and wastewater utility base rate proceedings in evaluating rate increase requests. OPC maintained a similar position in Tampa Electric Company’s (TECO) recent rate case, in which OPC argued that “affordability” should also be an issue.</w:t>
      </w:r>
      <w:r>
        <w:rPr>
          <w:rStyle w:val="FootnoteReference"/>
        </w:rPr>
        <w:footnoteReference w:id="43"/>
      </w:r>
      <w:r>
        <w:t xml:space="preserve"> However, in that case the Commission found that unlike Florida, those other states had express statutory authorization to consider affordability when setting rates.</w:t>
      </w:r>
      <w:r>
        <w:rPr>
          <w:rStyle w:val="FootnoteReference"/>
        </w:rPr>
        <w:footnoteReference w:id="44"/>
      </w:r>
      <w:r>
        <w:t xml:space="preserve"> The Commission also addressed the subjective nature of the term “affordability” in the TECO case, and found that while the Commission had broad discretion to carry out its legislative mandate of ensuring rates are fair, just, and reasonable, “there exists no statutory authority to infer a specific definition of affordability absent express legislative authorization.” </w:t>
      </w:r>
      <w:r>
        <w:rPr>
          <w:i/>
        </w:rPr>
        <w:t>Id.</w:t>
      </w:r>
      <w:r>
        <w:t xml:space="preserve"> at 184-186.</w:t>
      </w:r>
    </w:p>
    <w:p w:rsidR="00747EB4" w:rsidRDefault="00E6431B" w:rsidP="00E6431B">
      <w:pPr>
        <w:pStyle w:val="BodyText"/>
      </w:pPr>
      <w:r>
        <w:t xml:space="preserve">The record in this case does not support findings on “affordability” nor does it allow for the Commission to weigh testimony or evidence on affordability. As argued by Sunshine, the Commission has previously found that affordability is subjective in nature – what constitutes affordability to one person may represent unaffordability to another person. (Sunshine BR 22) In other words, affordability is subjective because utility bills vary depending on many factors beyond the control of a utility or the Commission, such as the customer’s personal utility usage choices, income levels, financial obligations, and spending priorities, as well as overall economic factors such as inflation. Nowhere in this record did the OPC or the Utility establish a clear </w:t>
      </w:r>
      <w:r>
        <w:lastRenderedPageBreak/>
        <w:t>standard or measure for what could constitute “affordability” for Sunshine’s customers. (Sunshine BR 23)</w:t>
      </w:r>
    </w:p>
    <w:p w:rsidR="00747EB4" w:rsidRDefault="00747EB4" w:rsidP="00431D19">
      <w:pPr>
        <w:pStyle w:val="RecommendationMajorSectionHeading"/>
      </w:pPr>
      <w:r w:rsidRPr="009E4772">
        <w:t>CONCLUSION</w:t>
      </w:r>
    </w:p>
    <w:p w:rsidR="00747EB4" w:rsidRDefault="00E6431B" w:rsidP="00431D19">
      <w:pPr>
        <w:pStyle w:val="BodyText"/>
      </w:pPr>
      <w:r>
        <w:t>The Commission has broad discretion to carry out its legislative mandate of ensuring rates are just, reasonable, compensatory, and not unfairly discriminatory. However, there exists no statutory authority to infer a specific definition of affordability absent express legislative authorization. To the extent the Commission can consider the “affordability” of customer bills, it must do so within the context of its governing statutes in Chapter 367, F.S</w:t>
      </w:r>
      <w:r w:rsidR="00747EB4" w:rsidRPr="007D4CE7">
        <w:t>.</w:t>
      </w:r>
    </w:p>
    <w:p w:rsidR="00ED12D1" w:rsidRDefault="00ED12D1" w:rsidP="00ED12D1"/>
    <w:p w:rsidR="00ED12D1" w:rsidRDefault="00ED12D1" w:rsidP="00ED12D1"/>
    <w:p w:rsidR="00ED12D1" w:rsidRDefault="00ED12D1" w:rsidP="00ED12D1">
      <w:pPr>
        <w:sectPr w:rsidR="00ED12D1" w:rsidSect="00BF5423">
          <w:headerReference w:type="default" r:id="rId18"/>
          <w:type w:val="continuous"/>
          <w:pgSz w:w="12240" w:h="15840" w:code="1"/>
          <w:pgMar w:top="1584" w:right="1440" w:bottom="1440" w:left="1440" w:header="720" w:footer="720" w:gutter="0"/>
          <w:cols w:space="720"/>
          <w:formProt w:val="0"/>
          <w:docGrid w:linePitch="360"/>
        </w:sectPr>
      </w:pPr>
    </w:p>
    <w:p w:rsidR="00ED12D1" w:rsidRDefault="00ED12D1" w:rsidP="00B5514E">
      <w:r>
        <w:br w:type="page"/>
      </w:r>
    </w:p>
    <w:p w:rsidR="00747EB4" w:rsidRDefault="00747EB4">
      <w:pPr>
        <w:pStyle w:val="IssueHeading"/>
        <w:rPr>
          <w:vanish/>
          <w:specVanish/>
        </w:rPr>
      </w:pPr>
      <w:r w:rsidRPr="004C3641">
        <w:lastRenderedPageBreak/>
        <w:t xml:space="preserve">Issue </w:t>
      </w:r>
      <w:r>
        <w:fldChar w:fldCharType="begin"/>
      </w:r>
      <w:r>
        <w:instrText>seq issue \r 42</w:instrText>
      </w:r>
      <w:r>
        <w:fldChar w:fldCharType="separate"/>
      </w:r>
      <w:r w:rsidR="009D3FF7">
        <w:rPr>
          <w:noProof/>
        </w:rPr>
        <w:t>42</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9" w:name="_Toc196317161"/>
      <w:r w:rsidR="009D3FF7">
        <w:rPr>
          <w:noProof/>
        </w:rPr>
        <w:instrText>42</w:instrText>
      </w:r>
      <w:r>
        <w:fldChar w:fldCharType="end"/>
      </w:r>
      <w:r>
        <w:tab/>
        <w:instrText>Merger Deferral Accounts (Bardin, Sewards)</w:instrText>
      </w:r>
      <w:bookmarkEnd w:id="59"/>
      <w:r>
        <w:instrText xml:space="preserve">" \l 1 </w:instrText>
      </w:r>
      <w:r>
        <w:fldChar w:fldCharType="end"/>
      </w:r>
      <w:r>
        <w:t> </w:t>
      </w:r>
    </w:p>
    <w:p w:rsidR="00747EB4" w:rsidRDefault="00747EB4">
      <w:pPr>
        <w:pStyle w:val="BodyText"/>
      </w:pPr>
      <w:r>
        <w:t> Should the Utility's request to establish deferral accounts related to the Corix Infrastructure Inc. and SW Merger Acquisition Corp. merger be approved?</w:t>
      </w:r>
    </w:p>
    <w:p w:rsidR="00747EB4" w:rsidRPr="004C3641" w:rsidRDefault="00747EB4">
      <w:pPr>
        <w:pStyle w:val="IssueSubsectionHeading"/>
        <w:rPr>
          <w:vanish/>
          <w:specVanish/>
        </w:rPr>
      </w:pPr>
      <w:r w:rsidRPr="004C3641">
        <w:t>Recommendation: </w:t>
      </w:r>
    </w:p>
    <w:p w:rsidR="00747EB4" w:rsidRDefault="00747EB4" w:rsidP="00431D19">
      <w:pPr>
        <w:pStyle w:val="BodyText"/>
      </w:pPr>
      <w:r>
        <w:t> Yes. T</w:t>
      </w:r>
      <w:r w:rsidRPr="004F29F3">
        <w:t xml:space="preserve">he </w:t>
      </w:r>
      <w:r>
        <w:t xml:space="preserve">Commission should approve the </w:t>
      </w:r>
      <w:r w:rsidRPr="004F29F3">
        <w:t>Util</w:t>
      </w:r>
      <w:r>
        <w:t xml:space="preserve">ity’s request to establish </w:t>
      </w:r>
      <w:r w:rsidRPr="004F29F3">
        <w:t xml:space="preserve">deferral accounts </w:t>
      </w:r>
      <w:r w:rsidRPr="00EB4E60">
        <w:t xml:space="preserve">for recording </w:t>
      </w:r>
      <w:r>
        <w:t xml:space="preserve">benefits that result from integration efforts and </w:t>
      </w:r>
      <w:r w:rsidRPr="00EB4E60">
        <w:t>costs</w:t>
      </w:r>
      <w:r>
        <w:t xml:space="preserve"> related to achieving the integration benefits directly related</w:t>
      </w:r>
      <w:r w:rsidRPr="00EB4E60">
        <w:t xml:space="preserve"> to </w:t>
      </w:r>
      <w:r>
        <w:t>the merger. The approval to establish the deferral accounts</w:t>
      </w:r>
      <w:r w:rsidRPr="006D2FE3">
        <w:t xml:space="preserve">, for accounting purposes, does not limit the Commission’s ability to review the amounts, recovery method, recovery period, and other related matters for reasonableness in a future proceeding in which the </w:t>
      </w:r>
      <w:r>
        <w:t>deferral accounts are</w:t>
      </w:r>
      <w:r w:rsidRPr="006D2FE3">
        <w:t xml:space="preserve"> included</w:t>
      </w:r>
      <w:r>
        <w:t>.</w:t>
      </w:r>
    </w:p>
    <w:p w:rsidR="00747EB4" w:rsidRDefault="00747EB4">
      <w:pPr>
        <w:pStyle w:val="BodyText"/>
      </w:pPr>
      <w:r>
        <w:t>Sunshine should be required to record and maintain t</w:t>
      </w:r>
      <w:r w:rsidRPr="00EB4E60">
        <w:t xml:space="preserve">he </w:t>
      </w:r>
      <w:r>
        <w:t>deferral accounts</w:t>
      </w:r>
      <w:r w:rsidRPr="00EB4E60">
        <w:t xml:space="preserve"> in a detailed manner that will allow costs and benefits to be readily identifiable in a future proceeding. In addition, </w:t>
      </w:r>
      <w:r>
        <w:t>Sunshine</w:t>
      </w:r>
      <w:r w:rsidRPr="00EB4E60">
        <w:t xml:space="preserve"> should be prepared to explain what actions and efforts it has undertaken to reduce or minimi</w:t>
      </w:r>
      <w:r>
        <w:t>ze these costs and to maximize</w:t>
      </w:r>
      <w:r w:rsidRPr="00EB4E60">
        <w:t xml:space="preserve"> any </w:t>
      </w:r>
      <w:r>
        <w:t xml:space="preserve">available </w:t>
      </w:r>
      <w:r w:rsidRPr="00EB4E60">
        <w:t>benefits</w:t>
      </w:r>
      <w:r>
        <w:t>. (Bardin, Sewards)</w:t>
      </w:r>
    </w:p>
    <w:p w:rsidR="00747EB4" w:rsidRPr="004C3641" w:rsidRDefault="00747EB4">
      <w:pPr>
        <w:pStyle w:val="IssueSubsectionHeading"/>
        <w:keepNext/>
        <w:rPr>
          <w:iCs w:val="0"/>
        </w:rPr>
      </w:pPr>
      <w:r w:rsidRPr="004C3641">
        <w:rPr>
          <w:iCs w:val="0"/>
        </w:rPr>
        <w:t>Position of the Parties</w:t>
      </w:r>
    </w:p>
    <w:p w:rsidR="00747EB4" w:rsidRDefault="00747EB4" w:rsidP="00431D19">
      <w:pPr>
        <w:pStyle w:val="PartyName"/>
        <w:rPr>
          <w:vanish/>
          <w:specVanish/>
        </w:rPr>
      </w:pPr>
      <w:r>
        <w:t>SUNSHINE: </w:t>
      </w:r>
    </w:p>
    <w:p w:rsidR="00747EB4" w:rsidRDefault="00747EB4">
      <w:pPr>
        <w:pStyle w:val="BodyText"/>
      </w:pPr>
      <w:r>
        <w:t> Yes.</w:t>
      </w:r>
    </w:p>
    <w:p w:rsidR="00747EB4" w:rsidRDefault="00747EB4" w:rsidP="00431D19">
      <w:pPr>
        <w:pStyle w:val="PartyName"/>
        <w:rPr>
          <w:vanish/>
          <w:specVanish/>
        </w:rPr>
      </w:pPr>
      <w:r>
        <w:t>OPC: </w:t>
      </w:r>
    </w:p>
    <w:p w:rsidR="00747EB4" w:rsidRDefault="00747EB4">
      <w:pPr>
        <w:pStyle w:val="BodyText"/>
      </w:pPr>
      <w:r>
        <w:t> No.</w:t>
      </w:r>
    </w:p>
    <w:p w:rsidR="00747EB4" w:rsidRPr="004C3641" w:rsidRDefault="00747EB4">
      <w:pPr>
        <w:pStyle w:val="IssueSubsectionHeading"/>
        <w:rPr>
          <w:vanish/>
          <w:specVanish/>
        </w:rPr>
      </w:pPr>
      <w:r w:rsidRPr="004C3641">
        <w:t>Staff Analysis: </w:t>
      </w:r>
    </w:p>
    <w:p w:rsidR="00747EB4" w:rsidRDefault="00747EB4" w:rsidP="00431D19">
      <w:pPr>
        <w:pStyle w:val="BodyText"/>
      </w:pPr>
      <w:r>
        <w:t> </w:t>
      </w:r>
      <w:r w:rsidRPr="004F29F3">
        <w:t xml:space="preserve">Sunshine has requested permission to establish deferral accounts to properly account for both the savings and the expenses related specifically to the </w:t>
      </w:r>
      <w:r>
        <w:t>M</w:t>
      </w:r>
      <w:r w:rsidRPr="004F29F3">
        <w:t xml:space="preserve">erger </w:t>
      </w:r>
      <w:r>
        <w:t xml:space="preserve">of Sunshine’s parent company </w:t>
      </w:r>
      <w:r w:rsidRPr="004F29F3">
        <w:t xml:space="preserve">with </w:t>
      </w:r>
      <w:r>
        <w:rPr>
          <w:sz w:val="23"/>
          <w:szCs w:val="23"/>
        </w:rPr>
        <w:t>the parent of Southwest Water Company</w:t>
      </w:r>
      <w:r w:rsidRPr="004F29F3">
        <w:t xml:space="preserve">. </w:t>
      </w:r>
      <w:r w:rsidRPr="00EB4E60">
        <w:t>The concept of deferral accounting allows companies to defer costs</w:t>
      </w:r>
      <w:r>
        <w:t xml:space="preserve"> and benefits</w:t>
      </w:r>
      <w:r w:rsidRPr="00EB4E60">
        <w:t xml:space="preserve"> due to </w:t>
      </w:r>
      <w:r>
        <w:t xml:space="preserve">ongoing </w:t>
      </w:r>
      <w:r w:rsidRPr="00EB4E60">
        <w:t xml:space="preserve">events </w:t>
      </w:r>
      <w:r>
        <w:t>such as the merger</w:t>
      </w:r>
      <w:r w:rsidRPr="00EB4E60">
        <w:t xml:space="preserve"> and seek recovery through rates at a later time</w:t>
      </w:r>
      <w:r>
        <w:t xml:space="preserve"> if warranted</w:t>
      </w:r>
      <w:r w:rsidRPr="00EB4E60">
        <w:t xml:space="preserve">. If the subject costs </w:t>
      </w:r>
      <w:r>
        <w:t xml:space="preserve">and/or benefits </w:t>
      </w:r>
      <w:r w:rsidRPr="00EB4E60">
        <w:t>are significant, the alternative would be for a company to seek a rate proceeding</w:t>
      </w:r>
      <w:r>
        <w:t xml:space="preserve"> each time it experiences a large exogenous</w:t>
      </w:r>
      <w:r w:rsidRPr="00EB4E60">
        <w:t xml:space="preserve"> event. </w:t>
      </w:r>
    </w:p>
    <w:p w:rsidR="00747EB4" w:rsidRPr="00A17BA9" w:rsidRDefault="00747EB4" w:rsidP="00431D19">
      <w:pPr>
        <w:pStyle w:val="BodyText"/>
      </w:pPr>
      <w:r w:rsidRPr="00EB4E60">
        <w:t xml:space="preserve">Due to the </w:t>
      </w:r>
      <w:r>
        <w:t>ongoing nature of the merger</w:t>
      </w:r>
      <w:r w:rsidRPr="00EB4E60">
        <w:t>,</w:t>
      </w:r>
      <w:r>
        <w:t xml:space="preserve"> Sunshine W</w:t>
      </w:r>
      <w:r w:rsidRPr="004F29F3">
        <w:t>itne</w:t>
      </w:r>
      <w:r>
        <w:t>ss Lubertozzi</w:t>
      </w:r>
      <w:r w:rsidRPr="004F29F3">
        <w:t xml:space="preserve"> </w:t>
      </w:r>
      <w:r>
        <w:t xml:space="preserve">has </w:t>
      </w:r>
      <w:r w:rsidRPr="004F29F3">
        <w:t>propose</w:t>
      </w:r>
      <w:r>
        <w:t>d</w:t>
      </w:r>
      <w:r w:rsidRPr="004F29F3">
        <w:t xml:space="preserve"> establishing two deferral accounts to track the benefits and costs to achieve benefits related to the Merger. </w:t>
      </w:r>
      <w:r>
        <w:t xml:space="preserve">(TR 36, TR 39) </w:t>
      </w:r>
      <w:r w:rsidRPr="004F29F3">
        <w:t>He propose</w:t>
      </w:r>
      <w:r>
        <w:t>d that in a future rate case, Sunshine</w:t>
      </w:r>
      <w:r w:rsidRPr="004F29F3">
        <w:t xml:space="preserve"> may request recovery of the costs </w:t>
      </w:r>
      <w:r>
        <w:t>incurred which result in achieving</w:t>
      </w:r>
      <w:r w:rsidRPr="004F29F3">
        <w:t xml:space="preserve"> benefits</w:t>
      </w:r>
      <w:r>
        <w:t xml:space="preserve"> to customers</w:t>
      </w:r>
      <w:r w:rsidRPr="004F29F3">
        <w:t xml:space="preserve">, but only up to the amount of the related merger benefits. </w:t>
      </w:r>
      <w:r>
        <w:t xml:space="preserve">(TR 39) </w:t>
      </w:r>
      <w:r w:rsidRPr="004F29F3">
        <w:t>He indicate</w:t>
      </w:r>
      <w:r>
        <w:t>d</w:t>
      </w:r>
      <w:r w:rsidRPr="004F29F3">
        <w:t xml:space="preserve"> that the deferrals would be reviewed in each S</w:t>
      </w:r>
      <w:r>
        <w:t xml:space="preserve">unshine </w:t>
      </w:r>
      <w:r w:rsidRPr="004F29F3">
        <w:t>rate case, culminating in a final review in the first S</w:t>
      </w:r>
      <w:r>
        <w:t>unshine</w:t>
      </w:r>
      <w:r w:rsidRPr="004F29F3">
        <w:t xml:space="preserve"> rate case filing after the completion of the five-year period following the merger closing. </w:t>
      </w:r>
      <w:r>
        <w:t xml:space="preserve">(TR 39) </w:t>
      </w:r>
      <w:r w:rsidRPr="004F29F3">
        <w:t>He indicate</w:t>
      </w:r>
      <w:r>
        <w:t>d</w:t>
      </w:r>
      <w:r w:rsidRPr="004F29F3">
        <w:t xml:space="preserve"> that S</w:t>
      </w:r>
      <w:r>
        <w:t>unshine</w:t>
      </w:r>
      <w:r w:rsidRPr="004F29F3">
        <w:t xml:space="preserve"> will not request recovery of net costs and will propose to return any deferred net </w:t>
      </w:r>
      <w:r>
        <w:t>m</w:t>
      </w:r>
      <w:r w:rsidRPr="004F29F3">
        <w:t xml:space="preserve">erger benefit to customers in future rate cases. </w:t>
      </w:r>
      <w:r>
        <w:t>(TR 39) W</w:t>
      </w:r>
      <w:r w:rsidRPr="004F29F3">
        <w:t>itness Lubertozzi stated that S</w:t>
      </w:r>
      <w:r>
        <w:t>unshine</w:t>
      </w:r>
      <w:r w:rsidRPr="004F29F3">
        <w:t xml:space="preserve"> intends to defer costs that were incurred prior to the consummation of the Merger. </w:t>
      </w:r>
      <w:r>
        <w:t xml:space="preserve">(TR 489) OPC </w:t>
      </w:r>
      <w:r w:rsidRPr="00A17BA9">
        <w:t>witness Smith agreed that without a deferral, the savings would benefit the Utility and not flow to customers. (TR 465)</w:t>
      </w:r>
    </w:p>
    <w:p w:rsidR="00747EB4" w:rsidRDefault="00747EB4" w:rsidP="00431D19">
      <w:pPr>
        <w:pStyle w:val="BodyText"/>
        <w:rPr>
          <w:rFonts w:ascii="TimesNewRomanPSMT" w:hAnsi="TimesNewRomanPSMT" w:cs="TimesNewRomanPSMT"/>
        </w:rPr>
      </w:pPr>
      <w:r w:rsidRPr="004F29F3">
        <w:t xml:space="preserve">OPC </w:t>
      </w:r>
      <w:r>
        <w:t xml:space="preserve">argues that the Commission </w:t>
      </w:r>
      <w:r>
        <w:rPr>
          <w:rFonts w:ascii="TimesNewRomanPSMT" w:hAnsi="TimesNewRomanPSMT" w:cs="TimesNewRomanPSMT"/>
        </w:rPr>
        <w:t xml:space="preserve">should deny the Utility’s request to establish any deferral accounts, stating that Sunshine failed to identify any cost categories or accounts to be included in the requested regulatory deferral accounts. (OPC BR 48; TR 45) Further, the Utility failed to provide any evidence of what costs, benefits, categories, or accounts are associated with these regulatory asset deferral accounts. (OPC BR 48; TR 39, 45) OPC contends the Commission </w:t>
      </w:r>
      <w:r>
        <w:rPr>
          <w:rFonts w:ascii="TimesNewRomanPSMT" w:hAnsi="TimesNewRomanPSMT" w:cs="TimesNewRomanPSMT"/>
        </w:rPr>
        <w:lastRenderedPageBreak/>
        <w:t>should deny these deferral accounts as there has been no competent substantial evidence to support the Utility’s request that can be cited to, except for the name of the regulatory asset, and that the Utility “believes the proposed deferral accounts provide customer protection for unknown scale or timing of potential impacts of the merger.” (OPC BR 48; TR 39)</w:t>
      </w:r>
    </w:p>
    <w:p w:rsidR="00747EB4" w:rsidRDefault="00747EB4" w:rsidP="00431D19">
      <w:pPr>
        <w:pStyle w:val="BodyText"/>
      </w:pPr>
      <w:r>
        <w:t xml:space="preserve">In response to discovery, the Utility explained any benefits that result from integration efforts, such as the consolidation of executive board fees, would be recorded in the deferral accounts. (EXH 71, BSP E724) Likewise, Sunshine has requested to track only costs specifically related to achieving the integration benefits, such as severance pay for eliminated positions. (EXH 71, BSP E727) The Utility has not requested to recover transaction costs, such as legal and consultant fees directly related to the merger transaction. (EXH 71, BSP E727) </w:t>
      </w:r>
      <w:r w:rsidRPr="00EB4E60">
        <w:t xml:space="preserve">Because of the unique circumstances resulting from </w:t>
      </w:r>
      <w:r>
        <w:t>the merger</w:t>
      </w:r>
      <w:r w:rsidRPr="00EB4E60">
        <w:t xml:space="preserve">, staff recommends that the Commission approve </w:t>
      </w:r>
      <w:r>
        <w:t>Sunshine’s</w:t>
      </w:r>
      <w:r w:rsidRPr="00EB4E60">
        <w:t xml:space="preserve"> request to establish</w:t>
      </w:r>
      <w:r>
        <w:t xml:space="preserve"> deferral accounts</w:t>
      </w:r>
      <w:r w:rsidRPr="00EB4E60">
        <w:t xml:space="preserve"> for recording </w:t>
      </w:r>
      <w:r>
        <w:t xml:space="preserve">benefits that result from integration efforts and </w:t>
      </w:r>
      <w:r w:rsidRPr="00EB4E60">
        <w:t>costs</w:t>
      </w:r>
      <w:r>
        <w:t xml:space="preserve"> related to achieving the integration benefits directly related</w:t>
      </w:r>
      <w:r w:rsidRPr="00EB4E60">
        <w:t xml:space="preserve"> to </w:t>
      </w:r>
      <w:r>
        <w:t>the Merger</w:t>
      </w:r>
      <w:r w:rsidRPr="00EB4E60">
        <w:t xml:space="preserve"> and defer Commission consideration of the potential recovery of the amounts recorded in the </w:t>
      </w:r>
      <w:r>
        <w:t>accounts</w:t>
      </w:r>
      <w:r w:rsidRPr="00EB4E60">
        <w:t xml:space="preserve"> to a future proceeding. For the same reasons, it is too early to determine if the total amount and/or all types of the proposed costs </w:t>
      </w:r>
      <w:r>
        <w:t xml:space="preserve">and benefits that </w:t>
      </w:r>
      <w:r w:rsidRPr="00EB4E60">
        <w:t>will be permissible for recovery.</w:t>
      </w:r>
    </w:p>
    <w:p w:rsidR="00747EB4" w:rsidRPr="00EB4E60" w:rsidRDefault="00747EB4" w:rsidP="00431D19">
      <w:pPr>
        <w:pStyle w:val="BodyText"/>
      </w:pPr>
      <w:r w:rsidRPr="00EB4E60">
        <w:t xml:space="preserve">The approval to establish </w:t>
      </w:r>
      <w:r>
        <w:t>the</w:t>
      </w:r>
      <w:r w:rsidRPr="00EB4E60">
        <w:t xml:space="preserve"> </w:t>
      </w:r>
      <w:r>
        <w:t>deferral accounts</w:t>
      </w:r>
      <w:r w:rsidRPr="00EB4E60">
        <w:t xml:space="preserve">, for accounting purposes, does not limit the Commission’s ability to review the amounts, recovery method, recovery period, and other related matters for reasonableness in a future proceeding in which the </w:t>
      </w:r>
      <w:r>
        <w:t>deferral accounts are included.</w:t>
      </w:r>
      <w:r w:rsidRPr="00EB4E60">
        <w:t xml:space="preserve"> An adversely affected party’s point of entry to request an evidentiary hearing before the Commission will be afforded in a future proceeding addressing cost recovery of the </w:t>
      </w:r>
      <w:r>
        <w:t>deferral accounts</w:t>
      </w:r>
      <w:r w:rsidRPr="00EB4E60">
        <w:t xml:space="preserve">. </w:t>
      </w:r>
    </w:p>
    <w:p w:rsidR="00747EB4" w:rsidRDefault="00747EB4" w:rsidP="00431D19">
      <w:pPr>
        <w:pStyle w:val="BodyText"/>
      </w:pPr>
      <w:r w:rsidRPr="00EB4E60">
        <w:t xml:space="preserve">The </w:t>
      </w:r>
      <w:r>
        <w:t>deferral account</w:t>
      </w:r>
      <w:r w:rsidRPr="00EB4E60">
        <w:t xml:space="preserve"> costs and </w:t>
      </w:r>
      <w:r>
        <w:t>benefits</w:t>
      </w:r>
      <w:r w:rsidRPr="00EB4E60">
        <w:t xml:space="preserve"> should be recorded and maintained in a detailed manner that will allow costs and benefits to be readily identifiable in a future proceeding. In addition, </w:t>
      </w:r>
      <w:r>
        <w:t>Sunshine</w:t>
      </w:r>
      <w:r w:rsidRPr="00EB4E60">
        <w:t xml:space="preserve"> should be prepared to explain what actions and efforts it has undertaken to reduce or minimi</w:t>
      </w:r>
      <w:r>
        <w:t>ze these costs and to maximize</w:t>
      </w:r>
      <w:r w:rsidRPr="00EB4E60">
        <w:t xml:space="preserve"> any </w:t>
      </w:r>
      <w:r>
        <w:t xml:space="preserve">available </w:t>
      </w:r>
      <w:r w:rsidRPr="00EB4E60">
        <w:t>benefits</w:t>
      </w:r>
      <w:r>
        <w:t>.</w:t>
      </w:r>
    </w:p>
    <w:p w:rsidR="00747EB4" w:rsidRPr="004F29F3" w:rsidRDefault="00747EB4" w:rsidP="00431D19">
      <w:pPr>
        <w:pStyle w:val="RecommendationMajorSectionHeading"/>
      </w:pPr>
      <w:r w:rsidRPr="004F29F3">
        <w:t>CONCLUSION</w:t>
      </w:r>
    </w:p>
    <w:p w:rsidR="00747EB4" w:rsidRDefault="00747EB4" w:rsidP="00431D19">
      <w:pPr>
        <w:pStyle w:val="BodyText"/>
      </w:pPr>
      <w:r w:rsidRPr="004F29F3">
        <w:t xml:space="preserve">Staff recommends </w:t>
      </w:r>
      <w:r>
        <w:t>approval of the</w:t>
      </w:r>
      <w:r w:rsidRPr="004F29F3">
        <w:t xml:space="preserve"> Util</w:t>
      </w:r>
      <w:r>
        <w:t xml:space="preserve">ity’s request to establish </w:t>
      </w:r>
      <w:r w:rsidRPr="004F29F3">
        <w:t xml:space="preserve">deferral accounts </w:t>
      </w:r>
      <w:r w:rsidRPr="00EB4E60">
        <w:t xml:space="preserve">for recording </w:t>
      </w:r>
      <w:r>
        <w:t xml:space="preserve">benefits that result from integration efforts and </w:t>
      </w:r>
      <w:r w:rsidRPr="00EB4E60">
        <w:t>costs</w:t>
      </w:r>
      <w:r>
        <w:t xml:space="preserve"> related to achieving the integration benefits directly related</w:t>
      </w:r>
      <w:r w:rsidRPr="00EB4E60">
        <w:t xml:space="preserve"> to </w:t>
      </w:r>
      <w:r>
        <w:t>the merger. The approval to establish the deferral accounts</w:t>
      </w:r>
      <w:r w:rsidRPr="006D2FE3">
        <w:t xml:space="preserve">, for accounting purposes, does not limit the Commission’s ability to review the amounts, recovery method, recovery period, and other related matters for reasonableness in a future proceeding in which the </w:t>
      </w:r>
      <w:r>
        <w:t>deferral accounts are</w:t>
      </w:r>
      <w:r w:rsidRPr="006D2FE3">
        <w:t xml:space="preserve"> included</w:t>
      </w:r>
      <w:r>
        <w:t>.</w:t>
      </w:r>
    </w:p>
    <w:p w:rsidR="00747EB4" w:rsidRDefault="00747EB4" w:rsidP="00431D19">
      <w:pPr>
        <w:pStyle w:val="BodyText"/>
      </w:pPr>
      <w:r>
        <w:t>Sunshine should be required to record and maintain t</w:t>
      </w:r>
      <w:r w:rsidRPr="00EB4E60">
        <w:t xml:space="preserve">he </w:t>
      </w:r>
      <w:r>
        <w:t>deferral accounts</w:t>
      </w:r>
      <w:r w:rsidRPr="00EB4E60">
        <w:t xml:space="preserve"> in a detailed manner that will allow costs and benefits to be readily identifiable in a future proceeding. In addition, </w:t>
      </w:r>
      <w:r>
        <w:t>Sunshine</w:t>
      </w:r>
      <w:r w:rsidRPr="00EB4E60">
        <w:t xml:space="preserve"> should be prepared to explain what actions and efforts it has undertaken to reduce or minimi</w:t>
      </w:r>
      <w:r>
        <w:t>ze these costs and to maximize</w:t>
      </w:r>
      <w:r w:rsidRPr="00EB4E60">
        <w:t xml:space="preserve"> any </w:t>
      </w:r>
      <w:r>
        <w:t xml:space="preserve">available </w:t>
      </w:r>
      <w:r w:rsidRPr="00EB4E60">
        <w:t>benefits</w:t>
      </w:r>
      <w:r>
        <w:t>.</w:t>
      </w:r>
    </w:p>
    <w:p w:rsidR="00093CDC" w:rsidRDefault="00093CDC" w:rsidP="00093CDC">
      <w:r>
        <w:br w:type="page"/>
      </w:r>
    </w:p>
    <w:p w:rsidR="00747EB4" w:rsidRDefault="00747EB4">
      <w:pPr>
        <w:pStyle w:val="IssueHeading"/>
        <w:rPr>
          <w:vanish/>
          <w:specVanish/>
        </w:rPr>
      </w:pPr>
      <w:r w:rsidRPr="004C3641">
        <w:lastRenderedPageBreak/>
        <w:t xml:space="preserve">Issue </w:t>
      </w:r>
      <w:r>
        <w:fldChar w:fldCharType="begin"/>
      </w:r>
      <w:r>
        <w:instrText>seq issue \r 43</w:instrText>
      </w:r>
      <w:r>
        <w:fldChar w:fldCharType="separate"/>
      </w:r>
      <w:r w:rsidR="009D3FF7">
        <w:rPr>
          <w:noProof/>
        </w:rPr>
        <w:t>43</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60" w:name="_Toc196317162"/>
      <w:r w:rsidR="009D3FF7">
        <w:rPr>
          <w:noProof/>
        </w:rPr>
        <w:instrText>43</w:instrText>
      </w:r>
      <w:r>
        <w:fldChar w:fldCharType="end"/>
      </w:r>
      <w:r>
        <w:tab/>
        <w:instrText>Rate Case Expense Amortization (Sewards)</w:instrText>
      </w:r>
      <w:bookmarkEnd w:id="60"/>
      <w:r>
        <w:instrText xml:space="preserve">" \l 1 </w:instrText>
      </w:r>
      <w:r>
        <w:fldChar w:fldCharType="end"/>
      </w:r>
      <w:r>
        <w:t> </w:t>
      </w:r>
    </w:p>
    <w:p w:rsidR="00747EB4" w:rsidRDefault="00747EB4">
      <w:pPr>
        <w:pStyle w:val="BodyText"/>
      </w:pPr>
      <w:r>
        <w:t> What is the appropriate amount by which rates should be reduced after the established effective date to reflect the removal of the amortized rate case expense?</w:t>
      </w:r>
    </w:p>
    <w:p w:rsidR="00747EB4" w:rsidRPr="004C3641" w:rsidRDefault="00747EB4">
      <w:pPr>
        <w:pStyle w:val="IssueSubsectionHeading"/>
        <w:rPr>
          <w:vanish/>
          <w:specVanish/>
        </w:rPr>
      </w:pPr>
      <w:r w:rsidRPr="004C3641">
        <w:t>Recommendation: </w:t>
      </w:r>
    </w:p>
    <w:p w:rsidR="00747EB4" w:rsidRDefault="00747EB4">
      <w:pPr>
        <w:pStyle w:val="BodyText"/>
      </w:pPr>
      <w:r>
        <w:t> Sunshine’s</w:t>
      </w:r>
      <w:r w:rsidRPr="00DA64E3">
        <w:t xml:space="preserve"> water and wastewater rates should be reduced as shown on Schedule Nos. 4-A and 4-B, respectively. This is to remove rate case expense, grossed up for RAFs, which is being amortized over a four-year period and will result in a reduction of $</w:t>
      </w:r>
      <w:r>
        <w:t>77,437</w:t>
      </w:r>
      <w:r w:rsidRPr="00DA64E3">
        <w:t xml:space="preserve"> for water and $</w:t>
      </w:r>
      <w:r>
        <w:t>72,007</w:t>
      </w:r>
      <w:r w:rsidRPr="00DA64E3">
        <w:t xml:space="preserve"> for wastewater. The decrease in rates should become effective immediately following the expiration of the four-year rate case expense recovery period pursuant to Section 367.081(8), F.S. </w:t>
      </w:r>
      <w:r>
        <w:t>Sunshine</w:t>
      </w:r>
      <w:r w:rsidRPr="00DA64E3">
        <w:t xml:space="preserve"> should be required to file revised tariff sheets no later than one month prior to the actual date of the required rate reduction. The Utility should also be required to file a proposed customer notice of the lower rates and the reason for the reduction. If </w:t>
      </w:r>
      <w:r>
        <w:t>Sunshine</w:t>
      </w:r>
      <w:r w:rsidRPr="00DA64E3">
        <w:t xml:space="preserve"> files this reduction in conjunction with a price index or pass-through rate adjustment, separate data should be filed for the price index and/or pass-through increase, and the reduction in the rates due to the amortized rate case expense</w:t>
      </w:r>
      <w:r>
        <w:t>. (Sewards)</w:t>
      </w:r>
    </w:p>
    <w:p w:rsidR="00747EB4" w:rsidRPr="004C3641" w:rsidRDefault="00747EB4">
      <w:pPr>
        <w:pStyle w:val="IssueSubsectionHeading"/>
        <w:keepNext/>
        <w:rPr>
          <w:iCs w:val="0"/>
        </w:rPr>
      </w:pPr>
      <w:r w:rsidRPr="004C3641">
        <w:rPr>
          <w:iCs w:val="0"/>
        </w:rPr>
        <w:t>Position of the Parties</w:t>
      </w:r>
    </w:p>
    <w:p w:rsidR="00747EB4" w:rsidRDefault="00747EB4" w:rsidP="00431D19">
      <w:pPr>
        <w:pStyle w:val="PartyName"/>
        <w:rPr>
          <w:vanish/>
          <w:specVanish/>
        </w:rPr>
      </w:pPr>
      <w:r>
        <w:t>SUNSHINE: </w:t>
      </w:r>
    </w:p>
    <w:p w:rsidR="00747EB4" w:rsidRDefault="00747EB4">
      <w:pPr>
        <w:pStyle w:val="BodyText"/>
      </w:pPr>
      <w:r>
        <w:t> $169,008, with 51.8168% allocated to water revenues and 48.1832% allocated to wastewater revenues.</w:t>
      </w:r>
    </w:p>
    <w:p w:rsidR="00747EB4" w:rsidRDefault="00747EB4" w:rsidP="00431D19">
      <w:pPr>
        <w:pStyle w:val="PartyName"/>
        <w:rPr>
          <w:vanish/>
          <w:specVanish/>
        </w:rPr>
      </w:pPr>
      <w:r>
        <w:t>OPC: </w:t>
      </w:r>
    </w:p>
    <w:p w:rsidR="00747EB4" w:rsidRDefault="00747EB4">
      <w:pPr>
        <w:pStyle w:val="BodyText"/>
      </w:pPr>
      <w:r>
        <w:t> This is a fallout issue pending the resolution of Issue 25.</w:t>
      </w:r>
    </w:p>
    <w:p w:rsidR="00747EB4" w:rsidRPr="004C3641" w:rsidRDefault="00747EB4">
      <w:pPr>
        <w:pStyle w:val="IssueSubsectionHeading"/>
        <w:rPr>
          <w:vanish/>
          <w:specVanish/>
        </w:rPr>
      </w:pPr>
      <w:r w:rsidRPr="004C3641">
        <w:t>Staff Analysis: </w:t>
      </w:r>
    </w:p>
    <w:p w:rsidR="00747EB4" w:rsidRDefault="00747EB4">
      <w:pPr>
        <w:pStyle w:val="BodyText"/>
      </w:pPr>
      <w:r>
        <w:t> </w:t>
      </w:r>
      <w:r w:rsidRPr="00DA64E3">
        <w:t>Section 367.081(8), F.S., requires that rates be reduced immediately following the expiration of the determined amortization period by the amount of the rate case expense previously included in rates. After weighing the evidence put forth in the record, staff believes that a four-year amortization period is appropriate. The reduction in revenues will result in the rate decrease as shown on Schedule Nos. 4-A and 4-B, which will remove rate case expense grossed-up for RAFs of $</w:t>
      </w:r>
      <w:r>
        <w:t>77,437</w:t>
      </w:r>
      <w:r w:rsidRPr="00DA64E3">
        <w:t xml:space="preserve"> for water and $</w:t>
      </w:r>
      <w:r>
        <w:t>72,007</w:t>
      </w:r>
      <w:r w:rsidRPr="00DA64E3">
        <w:t xml:space="preserve"> for wastewater</w:t>
      </w:r>
      <w:r>
        <w:t>.</w:t>
      </w:r>
    </w:p>
    <w:p w:rsidR="00747EB4" w:rsidRDefault="00747EB4" w:rsidP="00431D19">
      <w:pPr>
        <w:pStyle w:val="IssueHeading"/>
        <w:jc w:val="center"/>
        <w:rPr>
          <w:i w:val="0"/>
        </w:rPr>
      </w:pPr>
      <w:r w:rsidRPr="00DA64E3">
        <w:rPr>
          <w:i w:val="0"/>
        </w:rPr>
        <w:t>C</w:t>
      </w:r>
      <w:r>
        <w:rPr>
          <w:i w:val="0"/>
        </w:rPr>
        <w:t>ONCLUSION</w:t>
      </w:r>
    </w:p>
    <w:p w:rsidR="00747EB4" w:rsidRPr="00DA64E3" w:rsidRDefault="00747EB4" w:rsidP="00431D19">
      <w:pPr>
        <w:pStyle w:val="BodyText"/>
      </w:pPr>
      <w:r>
        <w:t>Sunshine’s</w:t>
      </w:r>
      <w:r w:rsidRPr="00DA64E3">
        <w:t xml:space="preserve"> water and wastewater rates should be reduced as shown on Schedule Nos. 4-A and 4-B, respectively. This is to remove rate case expense, grossed up for RAFs, which is being amortized over a four-year period and will result in a reduction of $</w:t>
      </w:r>
      <w:r>
        <w:t>77,437</w:t>
      </w:r>
      <w:r w:rsidRPr="00DA64E3">
        <w:t xml:space="preserve"> for water and $</w:t>
      </w:r>
      <w:r>
        <w:t>72,007</w:t>
      </w:r>
      <w:r w:rsidRPr="00DA64E3">
        <w:t xml:space="preserve"> for wastewater. The decrease in rates should become effective immediately following the expiration of the four-year rate case expense recovery period pursuant to Section 367.081(8), F.S. </w:t>
      </w:r>
      <w:r>
        <w:t>Sunshine</w:t>
      </w:r>
      <w:r w:rsidRPr="00DA64E3">
        <w:t xml:space="preserve"> should be required to file revised tariff sheets no later than one month prior to the actual date of the required rate reduction. The Utility should also be required to file a proposed customer notice of the lower rates and the reason for the reduction. If </w:t>
      </w:r>
      <w:r>
        <w:t>Sunshine</w:t>
      </w:r>
      <w:r w:rsidRPr="00DA64E3">
        <w:t xml:space="preserve"> files this reduction in conjunction with a price index or pass-through rate adjustment, separate data should be filed for the price index and/or pass-through increase, and the reduction in the rates due to the amortized rate case expense</w:t>
      </w:r>
      <w:r>
        <w:t>.</w:t>
      </w:r>
    </w:p>
    <w:p w:rsidR="00170A33" w:rsidRDefault="00170A33" w:rsidP="00E275D8">
      <w:pPr>
        <w:pStyle w:val="BodyText"/>
      </w:pPr>
    </w:p>
    <w:p w:rsidR="00170A33" w:rsidRDefault="00170A33" w:rsidP="00170A33">
      <w:r>
        <w:br w:type="page"/>
      </w:r>
    </w:p>
    <w:p w:rsidR="00747EB4" w:rsidRDefault="00747EB4">
      <w:pPr>
        <w:pStyle w:val="IssueHeading"/>
        <w:rPr>
          <w:vanish/>
          <w:specVanish/>
        </w:rPr>
      </w:pPr>
      <w:r w:rsidRPr="004C3641">
        <w:lastRenderedPageBreak/>
        <w:t xml:space="preserve">Issue </w:t>
      </w:r>
      <w:r>
        <w:fldChar w:fldCharType="begin"/>
      </w:r>
      <w:r>
        <w:instrText>seq issue \r 44</w:instrText>
      </w:r>
      <w:r>
        <w:fldChar w:fldCharType="separate"/>
      </w:r>
      <w:r w:rsidR="009D3FF7">
        <w:rPr>
          <w:noProof/>
        </w:rPr>
        <w:t>44</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61" w:name="_Toc196317163"/>
      <w:r w:rsidR="009D3FF7">
        <w:rPr>
          <w:noProof/>
        </w:rPr>
        <w:instrText>44</w:instrText>
      </w:r>
      <w:r>
        <w:fldChar w:fldCharType="end"/>
      </w:r>
      <w:r>
        <w:tab/>
        <w:instrText>Commission Ordered Adjustments (Przygocki)</w:instrText>
      </w:r>
      <w:bookmarkEnd w:id="61"/>
      <w:r>
        <w:instrText xml:space="preserve">" \l 1 </w:instrText>
      </w:r>
      <w:r>
        <w:fldChar w:fldCharType="end"/>
      </w:r>
      <w:r>
        <w:t> </w:t>
      </w:r>
    </w:p>
    <w:p w:rsidR="00747EB4" w:rsidRDefault="00747EB4">
      <w:pPr>
        <w:pStyle w:val="BodyText"/>
      </w:pPr>
      <w:r>
        <w:t> Should the Utility be required to notify, within 90 days of an effective order finalizing this docket, that it has adjusted its books for all the applicable National Association of Regulatory Utility Commissioners (NARUC) Uniform System of Accounts (USOA) associated with the Commission approved adjustments?</w:t>
      </w:r>
    </w:p>
    <w:p w:rsidR="00747EB4" w:rsidRPr="004C3641" w:rsidRDefault="00747EB4">
      <w:pPr>
        <w:pStyle w:val="IssueSubsectionHeading"/>
        <w:rPr>
          <w:vanish/>
          <w:specVanish/>
        </w:rPr>
      </w:pPr>
      <w:r w:rsidRPr="004C3641">
        <w:t>Recommendation: </w:t>
      </w:r>
    </w:p>
    <w:p w:rsidR="00747EB4" w:rsidRDefault="00747EB4">
      <w:pPr>
        <w:pStyle w:val="BodyText"/>
      </w:pPr>
      <w:r>
        <w:t> Yes. The Utility should be required to notify the Commission, in writing that it has adjusted its books in accordance with any Commission ordered adjustments. Sunshine should submit a letter within 90 days of the final order in this docket confirming that the adjustments to all applicable NARUC USOA accounts have been made to the Utility’s books and records. In the event that the Utility needs additional time to complete the adjustments, notice should be provided within seven days prior to the deadline. Upon providing good cause, staff should be given administrative authority to grant an extension of up to 60 days. (Przygocki)</w:t>
      </w:r>
    </w:p>
    <w:p w:rsidR="00747EB4" w:rsidRPr="004C3641" w:rsidRDefault="00747EB4">
      <w:pPr>
        <w:pStyle w:val="IssueSubsectionHeading"/>
        <w:keepNext/>
        <w:rPr>
          <w:iCs w:val="0"/>
        </w:rPr>
      </w:pPr>
      <w:r w:rsidRPr="004C3641">
        <w:rPr>
          <w:iCs w:val="0"/>
        </w:rPr>
        <w:t>Position of the Parties</w:t>
      </w:r>
    </w:p>
    <w:p w:rsidR="00747EB4" w:rsidRDefault="00747EB4" w:rsidP="00431D19">
      <w:pPr>
        <w:pStyle w:val="PartyName"/>
        <w:rPr>
          <w:vanish/>
          <w:specVanish/>
        </w:rPr>
      </w:pPr>
      <w:r>
        <w:t>SUNSHINE: </w:t>
      </w:r>
    </w:p>
    <w:p w:rsidR="00747EB4" w:rsidRDefault="00747EB4">
      <w:pPr>
        <w:pStyle w:val="BodyText"/>
      </w:pPr>
      <w:r>
        <w:t> Yes.</w:t>
      </w:r>
    </w:p>
    <w:p w:rsidR="00747EB4" w:rsidRDefault="00747EB4" w:rsidP="00431D19">
      <w:pPr>
        <w:pStyle w:val="PartyName"/>
        <w:rPr>
          <w:vanish/>
          <w:specVanish/>
        </w:rPr>
      </w:pPr>
      <w:r>
        <w:t>OPC: </w:t>
      </w:r>
    </w:p>
    <w:p w:rsidR="00747EB4" w:rsidRDefault="00747EB4">
      <w:pPr>
        <w:pStyle w:val="BodyText"/>
      </w:pPr>
      <w:r>
        <w:t> Yes. The Utility should be required to notify the Commission in writing that it has adjusted its books in accordance with any Commission ordered adjustments. Sunshine should submit a letter within 90 days of the final order in this docket confirming that the adjustments to all applicable NARUC USOA accounts have been made to the Utility’s books and records.</w:t>
      </w:r>
    </w:p>
    <w:p w:rsidR="00747EB4" w:rsidRPr="004C3641" w:rsidRDefault="00747EB4">
      <w:pPr>
        <w:pStyle w:val="IssueSubsectionHeading"/>
        <w:rPr>
          <w:vanish/>
          <w:specVanish/>
        </w:rPr>
      </w:pPr>
      <w:r w:rsidRPr="004C3641">
        <w:t>Staff Analysis: </w:t>
      </w:r>
    </w:p>
    <w:p w:rsidR="00747EB4" w:rsidRDefault="00747EB4">
      <w:pPr>
        <w:pStyle w:val="BodyText"/>
      </w:pPr>
      <w:r>
        <w:t> </w:t>
      </w:r>
      <w:r w:rsidRPr="00585AB7">
        <w:t>The Utility should be required to notify the Commission, in writing that it has adjusted its books in accordance with any Commission ordered adjustments. Sunshine should submit a letter within 90 days of the final order in this docket confirming that the adjustments to all applicable NARUC USOA accounts have been made to the Utility’s books and records. In the event that the Utility needs additional time to complete the adjustments, notice should be provided within seven days prior to the deadline. Upon providing good cause, staff should be given administrative authority to grant an extension of up to 60 days.</w:t>
      </w:r>
    </w:p>
    <w:p w:rsidR="00B11870" w:rsidRDefault="00B11870" w:rsidP="00E275D8">
      <w:pPr>
        <w:pStyle w:val="BodyText"/>
      </w:pPr>
    </w:p>
    <w:p w:rsidR="00B11870" w:rsidRDefault="00B11870" w:rsidP="00B11870">
      <w:r>
        <w:br w:type="page"/>
      </w:r>
    </w:p>
    <w:p w:rsidR="00747EB4" w:rsidRDefault="00747EB4">
      <w:pPr>
        <w:pStyle w:val="IssueHeading"/>
        <w:rPr>
          <w:vanish/>
          <w:specVanish/>
        </w:rPr>
      </w:pPr>
      <w:r w:rsidRPr="004C3641">
        <w:lastRenderedPageBreak/>
        <w:t xml:space="preserve">Issue </w:t>
      </w:r>
      <w:r>
        <w:fldChar w:fldCharType="begin"/>
      </w:r>
      <w:r>
        <w:instrText>seq issue \r 45</w:instrText>
      </w:r>
      <w:r>
        <w:fldChar w:fldCharType="separate"/>
      </w:r>
      <w:r w:rsidR="009D3FF7">
        <w:rPr>
          <w:noProof/>
        </w:rPr>
        <w:t>45</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62" w:name="_Toc196317164"/>
      <w:r w:rsidR="009D3FF7">
        <w:rPr>
          <w:noProof/>
        </w:rPr>
        <w:instrText>45</w:instrText>
      </w:r>
      <w:r>
        <w:fldChar w:fldCharType="end"/>
      </w:r>
      <w:r>
        <w:tab/>
        <w:instrText>Close Docket (Sandy, Farooqi)</w:instrText>
      </w:r>
      <w:bookmarkEnd w:id="62"/>
      <w:r>
        <w:instrText xml:space="preserve">" \l 1 </w:instrText>
      </w:r>
      <w:r>
        <w:fldChar w:fldCharType="end"/>
      </w:r>
      <w:r>
        <w:t> </w:t>
      </w:r>
    </w:p>
    <w:p w:rsidR="00747EB4" w:rsidRDefault="00747EB4">
      <w:pPr>
        <w:pStyle w:val="BodyText"/>
      </w:pPr>
      <w:r>
        <w:t> Should this docket be closed?</w:t>
      </w:r>
    </w:p>
    <w:p w:rsidR="00747EB4" w:rsidRPr="004C3641" w:rsidRDefault="00747EB4">
      <w:pPr>
        <w:pStyle w:val="IssueSubsectionHeading"/>
        <w:rPr>
          <w:vanish/>
          <w:specVanish/>
        </w:rPr>
      </w:pPr>
      <w:r w:rsidRPr="004C3641">
        <w:t>Recommendation: </w:t>
      </w:r>
    </w:p>
    <w:p w:rsidR="00747EB4" w:rsidRDefault="00747EB4">
      <w:pPr>
        <w:pStyle w:val="BodyText"/>
      </w:pPr>
      <w:r>
        <w:t> </w:t>
      </w:r>
      <w:r w:rsidRPr="00CF0F11">
        <w:t xml:space="preserve">No. This docket should remain open for staff’s verification that the Utility has </w:t>
      </w:r>
      <w:r>
        <w:t>filed</w:t>
      </w:r>
      <w:r w:rsidRPr="00CF0F11">
        <w:t xml:space="preserve"> the revised tariff sheets, </w:t>
      </w:r>
      <w:r>
        <w:t>customer notices have been filed,</w:t>
      </w:r>
      <w:r w:rsidRPr="00CF0F11">
        <w:t xml:space="preserve"> and that the Utility has notified the Commission in writing that the adjustments </w:t>
      </w:r>
      <w:r>
        <w:t>set forth herein</w:t>
      </w:r>
      <w:r w:rsidRPr="00CF0F11">
        <w:t xml:space="preserve"> have been made. Once these actions are complete, this docket should be closed administratively</w:t>
      </w:r>
      <w:r>
        <w:t>. (Sandy, Farooqi)</w:t>
      </w:r>
    </w:p>
    <w:p w:rsidR="00747EB4" w:rsidRPr="004C3641" w:rsidRDefault="00747EB4">
      <w:pPr>
        <w:pStyle w:val="IssueSubsectionHeading"/>
        <w:keepNext/>
        <w:rPr>
          <w:iCs w:val="0"/>
        </w:rPr>
      </w:pPr>
      <w:r w:rsidRPr="004C3641">
        <w:rPr>
          <w:iCs w:val="0"/>
        </w:rPr>
        <w:t>Position of the Parties</w:t>
      </w:r>
    </w:p>
    <w:p w:rsidR="00747EB4" w:rsidRDefault="00747EB4" w:rsidP="00431D19">
      <w:pPr>
        <w:pStyle w:val="PartyName"/>
        <w:rPr>
          <w:vanish/>
          <w:specVanish/>
        </w:rPr>
      </w:pPr>
      <w:r>
        <w:t>SUNSHINE: </w:t>
      </w:r>
    </w:p>
    <w:p w:rsidR="00747EB4" w:rsidRDefault="00747EB4">
      <w:pPr>
        <w:pStyle w:val="BodyText"/>
      </w:pPr>
      <w:r>
        <w:t> Yes, after confirmation that adjustments have been made.</w:t>
      </w:r>
    </w:p>
    <w:p w:rsidR="00747EB4" w:rsidRDefault="00747EB4" w:rsidP="00431D19">
      <w:pPr>
        <w:pStyle w:val="PartyName"/>
        <w:rPr>
          <w:vanish/>
          <w:specVanish/>
        </w:rPr>
      </w:pPr>
      <w:r>
        <w:t>OPC: </w:t>
      </w:r>
    </w:p>
    <w:p w:rsidR="00747EB4" w:rsidRDefault="00747EB4">
      <w:pPr>
        <w:pStyle w:val="BodyText"/>
      </w:pPr>
      <w:r>
        <w:t> Not at this time.</w:t>
      </w:r>
    </w:p>
    <w:p w:rsidR="00747EB4" w:rsidRPr="004C3641" w:rsidRDefault="00747EB4">
      <w:pPr>
        <w:pStyle w:val="IssueSubsectionHeading"/>
        <w:rPr>
          <w:vanish/>
          <w:specVanish/>
        </w:rPr>
      </w:pPr>
      <w:r w:rsidRPr="004C3641">
        <w:t>Staff Analysis: </w:t>
      </w:r>
    </w:p>
    <w:p w:rsidR="00747EB4" w:rsidRDefault="00747EB4" w:rsidP="00431D19">
      <w:pPr>
        <w:pStyle w:val="BodyText"/>
      </w:pPr>
      <w:r>
        <w:t> </w:t>
      </w:r>
      <w:r w:rsidRPr="00CF0F11">
        <w:t xml:space="preserve">No. This docket should remain open for staff’s verification that the Utility has </w:t>
      </w:r>
      <w:r>
        <w:t>filed</w:t>
      </w:r>
      <w:r w:rsidRPr="00CF0F11">
        <w:t xml:space="preserve"> the revised tariff sheets, </w:t>
      </w:r>
      <w:r>
        <w:t>customer notices have been filed,</w:t>
      </w:r>
      <w:r w:rsidRPr="00CF0F11">
        <w:t xml:space="preserve"> and that the Utility has notified the Commission in writing that the adjustments </w:t>
      </w:r>
      <w:r>
        <w:t>set forth herein</w:t>
      </w:r>
      <w:r w:rsidRPr="00CF0F11">
        <w:t xml:space="preserve"> have been made. Once these actions are complete, this docket should be closed administratively</w:t>
      </w:r>
      <w:r>
        <w:t>.</w:t>
      </w:r>
    </w:p>
    <w:p w:rsidR="004355D6" w:rsidRDefault="004355D6" w:rsidP="00E275D8">
      <w:pPr>
        <w:pStyle w:val="BodyText"/>
      </w:pPr>
    </w:p>
    <w:p w:rsidR="004E6B77" w:rsidRDefault="004E6B77" w:rsidP="00E275D8">
      <w:pPr>
        <w:pStyle w:val="BodyText"/>
        <w:sectPr w:rsidR="004E6B77" w:rsidSect="00BF5423">
          <w:headerReference w:type="default" r:id="rId19"/>
          <w:type w:val="continuous"/>
          <w:pgSz w:w="12240" w:h="15840" w:code="1"/>
          <w:pgMar w:top="1584" w:right="1440" w:bottom="1440" w:left="1440" w:header="720" w:footer="720" w:gutter="0"/>
          <w:cols w:space="720"/>
          <w:formProt w:val="0"/>
          <w:docGrid w:linePitch="360"/>
        </w:sectPr>
      </w:pPr>
    </w:p>
    <w:tbl>
      <w:tblPr>
        <w:tblW w:w="9840" w:type="dxa"/>
        <w:jc w:val="center"/>
        <w:tblLook w:val="04A0" w:firstRow="1" w:lastRow="0" w:firstColumn="1" w:lastColumn="0" w:noHBand="0" w:noVBand="1"/>
      </w:tblPr>
      <w:tblGrid>
        <w:gridCol w:w="480"/>
        <w:gridCol w:w="3260"/>
        <w:gridCol w:w="1316"/>
        <w:gridCol w:w="1250"/>
        <w:gridCol w:w="1316"/>
        <w:gridCol w:w="1220"/>
        <w:gridCol w:w="1316"/>
      </w:tblGrid>
      <w:tr w:rsidR="00305B83" w:rsidTr="00305B83">
        <w:trPr>
          <w:trHeight w:val="260"/>
          <w:jc w:val="center"/>
        </w:trPr>
        <w:tc>
          <w:tcPr>
            <w:tcW w:w="480" w:type="dxa"/>
            <w:tcBorders>
              <w:top w:val="single" w:sz="4" w:space="0" w:color="auto"/>
              <w:left w:val="single" w:sz="4" w:space="0" w:color="auto"/>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lastRenderedPageBreak/>
              <w:t> </w:t>
            </w:r>
          </w:p>
        </w:tc>
        <w:tc>
          <w:tcPr>
            <w:tcW w:w="3260" w:type="dxa"/>
            <w:tcBorders>
              <w:top w:val="single" w:sz="4" w:space="0" w:color="auto"/>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220" w:type="dxa"/>
            <w:tcBorders>
              <w:top w:val="single" w:sz="4" w:space="0" w:color="auto"/>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single" w:sz="4" w:space="0" w:color="auto"/>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single" w:sz="4" w:space="0" w:color="auto"/>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single" w:sz="4" w:space="0" w:color="auto"/>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220" w:type="dxa"/>
            <w:tcBorders>
              <w:top w:val="single" w:sz="4" w:space="0" w:color="auto"/>
              <w:left w:val="nil"/>
              <w:bottom w:val="nil"/>
              <w:right w:val="single" w:sz="4" w:space="0" w:color="auto"/>
            </w:tcBorders>
            <w:shd w:val="clear" w:color="000000" w:fill="FFFFFF"/>
            <w:noWrap/>
            <w:vAlign w:val="bottom"/>
            <w:hideMark/>
          </w:tcPr>
          <w:p w:rsidR="00305B83" w:rsidRDefault="00305B83">
            <w:pPr>
              <w:rPr>
                <w:color w:val="000000"/>
                <w:sz w:val="20"/>
                <w:szCs w:val="20"/>
              </w:rPr>
            </w:pPr>
            <w:r>
              <w:rPr>
                <w:color w:val="000000"/>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4480" w:type="dxa"/>
            <w:gridSpan w:val="2"/>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Sunshine Water Services Company</w:t>
            </w:r>
          </w:p>
        </w:tc>
        <w:tc>
          <w:tcPr>
            <w:tcW w:w="12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2440" w:type="dxa"/>
            <w:gridSpan w:val="2"/>
            <w:tcBorders>
              <w:top w:val="nil"/>
              <w:left w:val="nil"/>
              <w:bottom w:val="nil"/>
              <w:right w:val="single" w:sz="4" w:space="0" w:color="000000"/>
            </w:tcBorders>
            <w:shd w:val="clear" w:color="000000" w:fill="FFFFFF"/>
            <w:noWrap/>
            <w:vAlign w:val="bottom"/>
            <w:hideMark/>
          </w:tcPr>
          <w:p w:rsidR="00305B83" w:rsidRDefault="00305B83">
            <w:pPr>
              <w:jc w:val="right"/>
              <w:rPr>
                <w:b/>
                <w:bCs/>
                <w:sz w:val="20"/>
                <w:szCs w:val="20"/>
              </w:rPr>
            </w:pPr>
            <w:r>
              <w:rPr>
                <w:b/>
                <w:bCs/>
                <w:sz w:val="20"/>
                <w:szCs w:val="20"/>
              </w:rPr>
              <w:t>Schedule No. 1-A</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326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Schedule of Water Rate Base</w:t>
            </w:r>
          </w:p>
        </w:tc>
        <w:tc>
          <w:tcPr>
            <w:tcW w:w="12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2440" w:type="dxa"/>
            <w:gridSpan w:val="2"/>
            <w:tcBorders>
              <w:top w:val="nil"/>
              <w:left w:val="nil"/>
              <w:bottom w:val="nil"/>
              <w:right w:val="single" w:sz="4" w:space="0" w:color="000000"/>
            </w:tcBorders>
            <w:shd w:val="clear" w:color="000000" w:fill="FFFFFF"/>
            <w:noWrap/>
            <w:vAlign w:val="bottom"/>
            <w:hideMark/>
          </w:tcPr>
          <w:p w:rsidR="00305B83" w:rsidRDefault="00305B83">
            <w:pPr>
              <w:jc w:val="right"/>
              <w:rPr>
                <w:b/>
                <w:bCs/>
                <w:sz w:val="20"/>
                <w:szCs w:val="20"/>
              </w:rPr>
            </w:pPr>
            <w:r>
              <w:rPr>
                <w:b/>
                <w:bCs/>
                <w:sz w:val="20"/>
                <w:szCs w:val="20"/>
              </w:rPr>
              <w:t>Docket No. 20240068-WS</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326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Test Year Ended 12/31/2023</w:t>
            </w:r>
          </w:p>
        </w:tc>
        <w:tc>
          <w:tcPr>
            <w:tcW w:w="12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326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single" w:sz="4" w:space="0" w:color="000000"/>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3260" w:type="dxa"/>
            <w:tcBorders>
              <w:top w:val="single" w:sz="4" w:space="0" w:color="000000"/>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000000"/>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326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Test Year</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Utility</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Adjusted</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Staff</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center"/>
              <w:rPr>
                <w:b/>
                <w:bCs/>
                <w:sz w:val="20"/>
                <w:szCs w:val="20"/>
              </w:rPr>
            </w:pPr>
            <w:r>
              <w:rPr>
                <w:b/>
                <w:bCs/>
                <w:sz w:val="20"/>
                <w:szCs w:val="20"/>
              </w:rPr>
              <w:t>Staff</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326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Per</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Adjust-</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Test Year</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Adjust-</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center"/>
              <w:rPr>
                <w:b/>
                <w:bCs/>
                <w:sz w:val="20"/>
                <w:szCs w:val="20"/>
              </w:rPr>
            </w:pPr>
            <w:r>
              <w:rPr>
                <w:b/>
                <w:bCs/>
                <w:sz w:val="20"/>
                <w:szCs w:val="20"/>
              </w:rPr>
              <w:t>Adjusted</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326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Description</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Utility</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ments</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Per Utility</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ments</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center"/>
              <w:rPr>
                <w:b/>
                <w:bCs/>
                <w:sz w:val="20"/>
                <w:szCs w:val="20"/>
              </w:rPr>
            </w:pPr>
            <w:r>
              <w:rPr>
                <w:b/>
                <w:bCs/>
                <w:sz w:val="20"/>
                <w:szCs w:val="20"/>
              </w:rPr>
              <w:t>Test Year</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32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single" w:sz="4" w:space="0" w:color="000000"/>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3260" w:type="dxa"/>
            <w:tcBorders>
              <w:top w:val="single" w:sz="4" w:space="0" w:color="000000"/>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000000"/>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1</w:t>
            </w:r>
          </w:p>
        </w:tc>
        <w:tc>
          <w:tcPr>
            <w:tcW w:w="32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Plant in Service</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$154,450,166</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$21,500,216</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$175,950,382</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$2,246,605</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$178,196,987</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326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2</w:t>
            </w:r>
          </w:p>
        </w:tc>
        <w:tc>
          <w:tcPr>
            <w:tcW w:w="32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Land and Land Rights</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345,317 </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(46,750)</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298,567 </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(29,570)</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 xml:space="preserve">268,997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326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3</w:t>
            </w:r>
          </w:p>
        </w:tc>
        <w:tc>
          <w:tcPr>
            <w:tcW w:w="32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Non-used and Useful Components</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0 </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0 </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0 </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0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 xml:space="preserve">0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326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4</w:t>
            </w:r>
          </w:p>
        </w:tc>
        <w:tc>
          <w:tcPr>
            <w:tcW w:w="32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Construction Work in Progress</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10,702,753 </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(10,702,753)</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0 </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0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326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5</w:t>
            </w:r>
          </w:p>
        </w:tc>
        <w:tc>
          <w:tcPr>
            <w:tcW w:w="32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Accumulated Depreciation</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(72,724,166)</w:t>
            </w:r>
          </w:p>
        </w:tc>
        <w:tc>
          <w:tcPr>
            <w:tcW w:w="1220" w:type="dxa"/>
            <w:tcBorders>
              <w:top w:val="nil"/>
              <w:left w:val="nil"/>
              <w:bottom w:val="nil"/>
              <w:right w:val="nil"/>
            </w:tcBorders>
            <w:shd w:val="clear" w:color="000000" w:fill="FFFFFF"/>
            <w:noWrap/>
            <w:vAlign w:val="bottom"/>
            <w:hideMark/>
          </w:tcPr>
          <w:p w:rsidR="00305B83" w:rsidRDefault="00305B83" w:rsidP="007B1FB1">
            <w:pPr>
              <w:jc w:val="right"/>
              <w:rPr>
                <w:sz w:val="20"/>
                <w:szCs w:val="20"/>
              </w:rPr>
            </w:pPr>
            <w:r>
              <w:rPr>
                <w:sz w:val="20"/>
                <w:szCs w:val="20"/>
              </w:rPr>
              <w:t>10,25</w:t>
            </w:r>
            <w:r w:rsidR="007B1FB1">
              <w:rPr>
                <w:sz w:val="20"/>
                <w:szCs w:val="20"/>
              </w:rPr>
              <w:t>3,994</w:t>
            </w:r>
            <w:r>
              <w:rPr>
                <w:sz w:val="20"/>
                <w:szCs w:val="20"/>
              </w:rPr>
              <w:t xml:space="preserve"> </w:t>
            </w:r>
          </w:p>
        </w:tc>
        <w:tc>
          <w:tcPr>
            <w:tcW w:w="1220" w:type="dxa"/>
            <w:tcBorders>
              <w:top w:val="nil"/>
              <w:left w:val="nil"/>
              <w:bottom w:val="nil"/>
              <w:right w:val="nil"/>
            </w:tcBorders>
            <w:shd w:val="clear" w:color="000000" w:fill="FFFFFF"/>
            <w:noWrap/>
            <w:vAlign w:val="bottom"/>
            <w:hideMark/>
          </w:tcPr>
          <w:p w:rsidR="00305B83" w:rsidRDefault="00305B83" w:rsidP="007B1FB1">
            <w:pPr>
              <w:jc w:val="right"/>
              <w:rPr>
                <w:sz w:val="20"/>
                <w:szCs w:val="20"/>
              </w:rPr>
            </w:pPr>
            <w:r>
              <w:rPr>
                <w:sz w:val="20"/>
                <w:szCs w:val="20"/>
              </w:rPr>
              <w:t>(62,47</w:t>
            </w:r>
            <w:r w:rsidR="007B1FB1">
              <w:rPr>
                <w:sz w:val="20"/>
                <w:szCs w:val="20"/>
              </w:rPr>
              <w:t>0,172</w:t>
            </w:r>
            <w:r>
              <w:rPr>
                <w:sz w:val="20"/>
                <w:szCs w:val="20"/>
              </w:rPr>
              <w:t>)</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513,318 </w:t>
            </w:r>
          </w:p>
        </w:tc>
        <w:tc>
          <w:tcPr>
            <w:tcW w:w="1220" w:type="dxa"/>
            <w:tcBorders>
              <w:top w:val="nil"/>
              <w:left w:val="nil"/>
              <w:bottom w:val="nil"/>
              <w:right w:val="single" w:sz="4" w:space="0" w:color="auto"/>
            </w:tcBorders>
            <w:shd w:val="clear" w:color="000000" w:fill="FFFFFF"/>
            <w:noWrap/>
            <w:vAlign w:val="bottom"/>
            <w:hideMark/>
          </w:tcPr>
          <w:p w:rsidR="00305B83" w:rsidRDefault="00305B83" w:rsidP="007B1FB1">
            <w:pPr>
              <w:jc w:val="right"/>
              <w:rPr>
                <w:sz w:val="20"/>
                <w:szCs w:val="20"/>
              </w:rPr>
            </w:pPr>
            <w:r>
              <w:rPr>
                <w:sz w:val="20"/>
                <w:szCs w:val="20"/>
              </w:rPr>
              <w:t>(61,95</w:t>
            </w:r>
            <w:r w:rsidR="007B1FB1">
              <w:rPr>
                <w:sz w:val="20"/>
                <w:szCs w:val="20"/>
              </w:rPr>
              <w:t>6,854</w:t>
            </w:r>
            <w:r>
              <w:rPr>
                <w:sz w:val="20"/>
                <w:szCs w:val="20"/>
              </w:rPr>
              <w:t>)</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326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6</w:t>
            </w:r>
          </w:p>
        </w:tc>
        <w:tc>
          <w:tcPr>
            <w:tcW w:w="32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CIAC</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(64,533,345)</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451,677 </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(64,081,668)</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(193,877)</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(64,275,545)</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326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7</w:t>
            </w:r>
          </w:p>
        </w:tc>
        <w:tc>
          <w:tcPr>
            <w:tcW w:w="32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Amortization of CIAC</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32,293,395 </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(457,037)</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31,836,358 </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184,078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 xml:space="preserve">32,020,436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326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8</w:t>
            </w:r>
          </w:p>
        </w:tc>
        <w:tc>
          <w:tcPr>
            <w:tcW w:w="32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Acquisition Adjustments</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1,292,816 </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(1,292,816)</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0 </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0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 xml:space="preserve">0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326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9</w:t>
            </w:r>
          </w:p>
        </w:tc>
        <w:tc>
          <w:tcPr>
            <w:tcW w:w="32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AA of Acquisition Adjustment</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114,806 </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(114,806)</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0 </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0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 xml:space="preserve">0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326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10</w:t>
            </w:r>
          </w:p>
        </w:tc>
        <w:tc>
          <w:tcPr>
            <w:tcW w:w="32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Advances for Construction</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(35,452)</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0 </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(35,452)</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0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(35,452)</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326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11</w:t>
            </w:r>
          </w:p>
        </w:tc>
        <w:tc>
          <w:tcPr>
            <w:tcW w:w="32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Working Capital Allowance</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0</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1,746,652</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1,746,652</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(6,017)</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u w:val="single"/>
              </w:rPr>
            </w:pPr>
            <w:r>
              <w:rPr>
                <w:sz w:val="20"/>
                <w:szCs w:val="20"/>
                <w:u w:val="single"/>
              </w:rPr>
              <w:t>1,740,635</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326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12</w:t>
            </w:r>
          </w:p>
        </w:tc>
        <w:tc>
          <w:tcPr>
            <w:tcW w:w="326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Rate Base</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double"/>
              </w:rPr>
            </w:pPr>
            <w:r>
              <w:rPr>
                <w:sz w:val="20"/>
                <w:szCs w:val="20"/>
                <w:u w:val="double"/>
              </w:rPr>
              <w:t>$61,906,290</w:t>
            </w:r>
          </w:p>
        </w:tc>
        <w:tc>
          <w:tcPr>
            <w:tcW w:w="1220" w:type="dxa"/>
            <w:tcBorders>
              <w:top w:val="nil"/>
              <w:left w:val="nil"/>
              <w:bottom w:val="nil"/>
              <w:right w:val="nil"/>
            </w:tcBorders>
            <w:shd w:val="clear" w:color="000000" w:fill="FFFFFF"/>
            <w:noWrap/>
            <w:vAlign w:val="bottom"/>
            <w:hideMark/>
          </w:tcPr>
          <w:p w:rsidR="00305B83" w:rsidRDefault="00305B83" w:rsidP="00FE58D3">
            <w:pPr>
              <w:jc w:val="right"/>
              <w:rPr>
                <w:sz w:val="20"/>
                <w:szCs w:val="20"/>
                <w:u w:val="double"/>
              </w:rPr>
            </w:pPr>
            <w:r>
              <w:rPr>
                <w:sz w:val="20"/>
                <w:szCs w:val="20"/>
                <w:u w:val="double"/>
              </w:rPr>
              <w:t>$21,33</w:t>
            </w:r>
            <w:r w:rsidR="00FE58D3">
              <w:rPr>
                <w:sz w:val="20"/>
                <w:szCs w:val="20"/>
                <w:u w:val="double"/>
              </w:rPr>
              <w:t>8,377</w:t>
            </w:r>
          </w:p>
        </w:tc>
        <w:tc>
          <w:tcPr>
            <w:tcW w:w="1220" w:type="dxa"/>
            <w:tcBorders>
              <w:top w:val="nil"/>
              <w:left w:val="nil"/>
              <w:bottom w:val="nil"/>
              <w:right w:val="nil"/>
            </w:tcBorders>
            <w:shd w:val="clear" w:color="000000" w:fill="FFFFFF"/>
            <w:noWrap/>
            <w:vAlign w:val="bottom"/>
            <w:hideMark/>
          </w:tcPr>
          <w:p w:rsidR="00305B83" w:rsidRDefault="00305B83" w:rsidP="007B1FB1">
            <w:pPr>
              <w:jc w:val="right"/>
              <w:rPr>
                <w:sz w:val="20"/>
                <w:szCs w:val="20"/>
                <w:u w:val="double"/>
              </w:rPr>
            </w:pPr>
            <w:r>
              <w:rPr>
                <w:sz w:val="20"/>
                <w:szCs w:val="20"/>
                <w:u w:val="double"/>
              </w:rPr>
              <w:t>$83,24</w:t>
            </w:r>
            <w:r w:rsidR="007B1FB1">
              <w:rPr>
                <w:sz w:val="20"/>
                <w:szCs w:val="20"/>
                <w:u w:val="double"/>
              </w:rPr>
              <w:t>4,667</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double"/>
              </w:rPr>
            </w:pPr>
            <w:r>
              <w:rPr>
                <w:sz w:val="20"/>
                <w:szCs w:val="20"/>
                <w:u w:val="double"/>
              </w:rPr>
              <w:t>$2,714,537</w:t>
            </w:r>
          </w:p>
        </w:tc>
        <w:tc>
          <w:tcPr>
            <w:tcW w:w="1220" w:type="dxa"/>
            <w:tcBorders>
              <w:top w:val="nil"/>
              <w:left w:val="nil"/>
              <w:bottom w:val="nil"/>
              <w:right w:val="single" w:sz="4" w:space="0" w:color="auto"/>
            </w:tcBorders>
            <w:shd w:val="clear" w:color="000000" w:fill="FFFFFF"/>
            <w:noWrap/>
            <w:vAlign w:val="bottom"/>
            <w:hideMark/>
          </w:tcPr>
          <w:p w:rsidR="00305B83" w:rsidRDefault="00305B83" w:rsidP="007B1FB1">
            <w:pPr>
              <w:jc w:val="right"/>
              <w:rPr>
                <w:sz w:val="20"/>
                <w:szCs w:val="20"/>
                <w:u w:val="double"/>
              </w:rPr>
            </w:pPr>
            <w:r>
              <w:rPr>
                <w:sz w:val="20"/>
                <w:szCs w:val="20"/>
                <w:u w:val="double"/>
              </w:rPr>
              <w:t>$85,95</w:t>
            </w:r>
            <w:r w:rsidR="007B1FB1">
              <w:rPr>
                <w:sz w:val="20"/>
                <w:szCs w:val="20"/>
                <w:u w:val="double"/>
              </w:rPr>
              <w:t>9,204</w:t>
            </w:r>
          </w:p>
        </w:tc>
      </w:tr>
      <w:tr w:rsidR="00305B83" w:rsidTr="00305B83">
        <w:trPr>
          <w:trHeight w:val="260"/>
          <w:jc w:val="center"/>
        </w:trPr>
        <w:tc>
          <w:tcPr>
            <w:tcW w:w="480" w:type="dxa"/>
            <w:tcBorders>
              <w:top w:val="nil"/>
              <w:left w:val="single" w:sz="4" w:space="0" w:color="auto"/>
              <w:bottom w:val="single" w:sz="4" w:space="0" w:color="auto"/>
              <w:right w:val="nil"/>
            </w:tcBorders>
            <w:shd w:val="clear" w:color="000000" w:fill="FFFFFF"/>
            <w:noWrap/>
            <w:vAlign w:val="bottom"/>
            <w:hideMark/>
          </w:tcPr>
          <w:p w:rsidR="00305B83" w:rsidRDefault="00305B83">
            <w:pPr>
              <w:rPr>
                <w:sz w:val="20"/>
                <w:szCs w:val="20"/>
                <w:u w:val="single"/>
              </w:rPr>
            </w:pPr>
          </w:p>
        </w:tc>
        <w:tc>
          <w:tcPr>
            <w:tcW w:w="3260" w:type="dxa"/>
            <w:tcBorders>
              <w:top w:val="nil"/>
              <w:left w:val="nil"/>
              <w:bottom w:val="single" w:sz="4" w:space="0" w:color="auto"/>
              <w:right w:val="nil"/>
            </w:tcBorders>
            <w:shd w:val="clear" w:color="000000" w:fill="FFFFFF"/>
            <w:noWrap/>
            <w:vAlign w:val="bottom"/>
            <w:hideMark/>
          </w:tcPr>
          <w:p w:rsidR="00305B83" w:rsidRDefault="00305B83">
            <w:pPr>
              <w:rPr>
                <w:sz w:val="20"/>
                <w:szCs w:val="20"/>
                <w:u w:val="single"/>
              </w:rPr>
            </w:pPr>
          </w:p>
        </w:tc>
        <w:tc>
          <w:tcPr>
            <w:tcW w:w="1220" w:type="dxa"/>
            <w:tcBorders>
              <w:top w:val="nil"/>
              <w:left w:val="nil"/>
              <w:bottom w:val="single" w:sz="4" w:space="0" w:color="auto"/>
              <w:right w:val="nil"/>
            </w:tcBorders>
            <w:shd w:val="clear" w:color="000000" w:fill="FFFFFF"/>
            <w:noWrap/>
            <w:vAlign w:val="bottom"/>
            <w:hideMark/>
          </w:tcPr>
          <w:p w:rsidR="00305B83" w:rsidRDefault="00305B83">
            <w:pPr>
              <w:rPr>
                <w:sz w:val="20"/>
                <w:szCs w:val="20"/>
                <w:u w:val="single"/>
              </w:rPr>
            </w:pPr>
          </w:p>
        </w:tc>
        <w:tc>
          <w:tcPr>
            <w:tcW w:w="1220" w:type="dxa"/>
            <w:tcBorders>
              <w:top w:val="nil"/>
              <w:left w:val="nil"/>
              <w:bottom w:val="single" w:sz="4" w:space="0" w:color="auto"/>
              <w:right w:val="nil"/>
            </w:tcBorders>
            <w:shd w:val="clear" w:color="000000" w:fill="FFFFFF"/>
            <w:noWrap/>
            <w:vAlign w:val="bottom"/>
            <w:hideMark/>
          </w:tcPr>
          <w:p w:rsidR="00305B83" w:rsidRDefault="00305B83">
            <w:pPr>
              <w:rPr>
                <w:sz w:val="20"/>
                <w:szCs w:val="20"/>
                <w:u w:val="single"/>
              </w:rPr>
            </w:pPr>
          </w:p>
        </w:tc>
        <w:tc>
          <w:tcPr>
            <w:tcW w:w="1220" w:type="dxa"/>
            <w:tcBorders>
              <w:top w:val="nil"/>
              <w:left w:val="nil"/>
              <w:bottom w:val="single" w:sz="4" w:space="0" w:color="auto"/>
              <w:right w:val="nil"/>
            </w:tcBorders>
            <w:shd w:val="clear" w:color="000000" w:fill="FFFFFF"/>
            <w:noWrap/>
            <w:vAlign w:val="bottom"/>
            <w:hideMark/>
          </w:tcPr>
          <w:p w:rsidR="00305B83" w:rsidRDefault="00305B83">
            <w:pPr>
              <w:rPr>
                <w:sz w:val="20"/>
                <w:szCs w:val="20"/>
                <w:u w:val="single"/>
              </w:rPr>
            </w:pPr>
          </w:p>
        </w:tc>
        <w:tc>
          <w:tcPr>
            <w:tcW w:w="1220" w:type="dxa"/>
            <w:tcBorders>
              <w:top w:val="nil"/>
              <w:left w:val="nil"/>
              <w:bottom w:val="single" w:sz="4" w:space="0" w:color="auto"/>
              <w:right w:val="nil"/>
            </w:tcBorders>
            <w:shd w:val="clear" w:color="000000" w:fill="FFFFFF"/>
            <w:noWrap/>
            <w:vAlign w:val="bottom"/>
            <w:hideMark/>
          </w:tcPr>
          <w:p w:rsidR="00305B83" w:rsidRDefault="00305B83">
            <w:pPr>
              <w:rPr>
                <w:sz w:val="20"/>
                <w:szCs w:val="20"/>
                <w:u w:val="single"/>
              </w:rPr>
            </w:pPr>
          </w:p>
        </w:tc>
        <w:tc>
          <w:tcPr>
            <w:tcW w:w="1220" w:type="dxa"/>
            <w:tcBorders>
              <w:top w:val="nil"/>
              <w:left w:val="nil"/>
              <w:bottom w:val="single" w:sz="4" w:space="0" w:color="auto"/>
              <w:right w:val="single" w:sz="4" w:space="0" w:color="auto"/>
            </w:tcBorders>
            <w:shd w:val="clear" w:color="000000" w:fill="FFFFFF"/>
            <w:noWrap/>
            <w:vAlign w:val="bottom"/>
            <w:hideMark/>
          </w:tcPr>
          <w:p w:rsidR="00305B83" w:rsidRDefault="00305B83">
            <w:pPr>
              <w:rPr>
                <w:sz w:val="20"/>
                <w:szCs w:val="20"/>
                <w:u w:val="single"/>
              </w:rPr>
            </w:pPr>
          </w:p>
        </w:tc>
      </w:tr>
    </w:tbl>
    <w:p w:rsidR="004355D6" w:rsidRDefault="0055278F" w:rsidP="00E275D8">
      <w:pPr>
        <w:pStyle w:val="BodyText"/>
      </w:pPr>
      <w:r>
        <w:fldChar w:fldCharType="begin"/>
      </w:r>
      <w:r>
        <w:instrText xml:space="preserve"> TC "</w:instrText>
      </w:r>
      <w:bookmarkStart w:id="63" w:name="_Toc196317165"/>
      <w:r>
        <w:tab/>
        <w:instrText>Schedule No. 1-A</w:instrText>
      </w:r>
      <w:bookmarkEnd w:id="63"/>
      <w:r>
        <w:instrText xml:space="preserve">" \l 1 </w:instrText>
      </w:r>
      <w:r>
        <w:fldChar w:fldCharType="end"/>
      </w:r>
    </w:p>
    <w:p w:rsidR="004355D6" w:rsidRDefault="004355D6" w:rsidP="00E275D8">
      <w:pPr>
        <w:pStyle w:val="BodyText"/>
        <w:sectPr w:rsidR="004355D6" w:rsidSect="0068481F">
          <w:headerReference w:type="default" r:id="rId20"/>
          <w:pgSz w:w="12240" w:h="15840" w:code="1"/>
          <w:pgMar w:top="1584" w:right="1440" w:bottom="1440" w:left="1440" w:header="720" w:footer="720" w:gutter="0"/>
          <w:cols w:space="720"/>
          <w:formProt w:val="0"/>
          <w:docGrid w:linePitch="360"/>
        </w:sectPr>
      </w:pPr>
    </w:p>
    <w:tbl>
      <w:tblPr>
        <w:tblW w:w="9840" w:type="dxa"/>
        <w:jc w:val="center"/>
        <w:tblLook w:val="04A0" w:firstRow="1" w:lastRow="0" w:firstColumn="1" w:lastColumn="0" w:noHBand="0" w:noVBand="1"/>
      </w:tblPr>
      <w:tblGrid>
        <w:gridCol w:w="480"/>
        <w:gridCol w:w="3260"/>
        <w:gridCol w:w="1316"/>
        <w:gridCol w:w="1250"/>
        <w:gridCol w:w="1316"/>
        <w:gridCol w:w="1220"/>
        <w:gridCol w:w="1316"/>
      </w:tblGrid>
      <w:tr w:rsidR="00305B83" w:rsidTr="00305B83">
        <w:trPr>
          <w:trHeight w:val="260"/>
          <w:jc w:val="center"/>
        </w:trPr>
        <w:tc>
          <w:tcPr>
            <w:tcW w:w="480" w:type="dxa"/>
            <w:tcBorders>
              <w:top w:val="single" w:sz="4" w:space="0" w:color="auto"/>
              <w:left w:val="single" w:sz="4" w:space="0" w:color="auto"/>
              <w:bottom w:val="nil"/>
              <w:right w:val="nil"/>
            </w:tcBorders>
            <w:shd w:val="clear" w:color="000000" w:fill="FFFFFF"/>
            <w:noWrap/>
            <w:vAlign w:val="bottom"/>
            <w:hideMark/>
          </w:tcPr>
          <w:p w:rsidR="00305B83" w:rsidRDefault="00305B83">
            <w:pPr>
              <w:rPr>
                <w:sz w:val="20"/>
                <w:szCs w:val="20"/>
              </w:rPr>
            </w:pPr>
            <w:bookmarkStart w:id="64" w:name="RANGE!A44:G73"/>
            <w:r>
              <w:rPr>
                <w:sz w:val="20"/>
                <w:szCs w:val="20"/>
              </w:rPr>
              <w:lastRenderedPageBreak/>
              <w:t> </w:t>
            </w:r>
            <w:bookmarkEnd w:id="64"/>
          </w:p>
        </w:tc>
        <w:tc>
          <w:tcPr>
            <w:tcW w:w="3260" w:type="dxa"/>
            <w:tcBorders>
              <w:top w:val="single" w:sz="4" w:space="0" w:color="auto"/>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auto"/>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auto"/>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auto"/>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auto"/>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auto"/>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4480" w:type="dxa"/>
            <w:gridSpan w:val="2"/>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Sunshine Water Services Company</w:t>
            </w:r>
          </w:p>
        </w:tc>
        <w:tc>
          <w:tcPr>
            <w:tcW w:w="12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2440" w:type="dxa"/>
            <w:gridSpan w:val="2"/>
            <w:tcBorders>
              <w:top w:val="nil"/>
              <w:left w:val="nil"/>
              <w:bottom w:val="nil"/>
              <w:right w:val="single" w:sz="4" w:space="0" w:color="000000"/>
            </w:tcBorders>
            <w:shd w:val="clear" w:color="000000" w:fill="FFFFFF"/>
            <w:noWrap/>
            <w:vAlign w:val="bottom"/>
            <w:hideMark/>
          </w:tcPr>
          <w:p w:rsidR="00305B83" w:rsidRDefault="00305B83">
            <w:pPr>
              <w:jc w:val="right"/>
              <w:rPr>
                <w:b/>
                <w:bCs/>
                <w:sz w:val="20"/>
                <w:szCs w:val="20"/>
              </w:rPr>
            </w:pPr>
            <w:r>
              <w:rPr>
                <w:b/>
                <w:bCs/>
                <w:sz w:val="20"/>
                <w:szCs w:val="20"/>
              </w:rPr>
              <w:t>Schedule No. 1-B</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326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Schedule of Wastewater Rate Base</w:t>
            </w:r>
          </w:p>
        </w:tc>
        <w:tc>
          <w:tcPr>
            <w:tcW w:w="12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2440" w:type="dxa"/>
            <w:gridSpan w:val="2"/>
            <w:tcBorders>
              <w:top w:val="nil"/>
              <w:left w:val="nil"/>
              <w:bottom w:val="nil"/>
              <w:right w:val="single" w:sz="4" w:space="0" w:color="000000"/>
            </w:tcBorders>
            <w:shd w:val="clear" w:color="000000" w:fill="FFFFFF"/>
            <w:noWrap/>
            <w:vAlign w:val="bottom"/>
            <w:hideMark/>
          </w:tcPr>
          <w:p w:rsidR="00305B83" w:rsidRDefault="00305B83">
            <w:pPr>
              <w:jc w:val="right"/>
              <w:rPr>
                <w:b/>
                <w:bCs/>
                <w:sz w:val="20"/>
                <w:szCs w:val="20"/>
              </w:rPr>
            </w:pPr>
            <w:r>
              <w:rPr>
                <w:b/>
                <w:bCs/>
                <w:sz w:val="20"/>
                <w:szCs w:val="20"/>
              </w:rPr>
              <w:t>Docket No. 20240068-WS</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326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Test Year Ended 12/31/2023</w:t>
            </w:r>
          </w:p>
        </w:tc>
        <w:tc>
          <w:tcPr>
            <w:tcW w:w="12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326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single" w:sz="4" w:space="0" w:color="000000"/>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3260" w:type="dxa"/>
            <w:tcBorders>
              <w:top w:val="single" w:sz="4" w:space="0" w:color="000000"/>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000000"/>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326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Test Year</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Utility</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Adjusted</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Staff</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center"/>
              <w:rPr>
                <w:b/>
                <w:bCs/>
                <w:sz w:val="20"/>
                <w:szCs w:val="20"/>
              </w:rPr>
            </w:pPr>
            <w:r>
              <w:rPr>
                <w:b/>
                <w:bCs/>
                <w:sz w:val="20"/>
                <w:szCs w:val="20"/>
              </w:rPr>
              <w:t>Staff</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326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Per</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Adjust-</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Test Year</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Adjust-</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center"/>
              <w:rPr>
                <w:b/>
                <w:bCs/>
                <w:sz w:val="20"/>
                <w:szCs w:val="20"/>
              </w:rPr>
            </w:pPr>
            <w:r>
              <w:rPr>
                <w:b/>
                <w:bCs/>
                <w:sz w:val="20"/>
                <w:szCs w:val="20"/>
              </w:rPr>
              <w:t>Adjusted</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326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Description</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Utility</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ments</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Per Utility</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ments</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center"/>
              <w:rPr>
                <w:b/>
                <w:bCs/>
                <w:sz w:val="20"/>
                <w:szCs w:val="20"/>
              </w:rPr>
            </w:pPr>
            <w:r>
              <w:rPr>
                <w:b/>
                <w:bCs/>
                <w:sz w:val="20"/>
                <w:szCs w:val="20"/>
              </w:rPr>
              <w:t>Test Year</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32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single" w:sz="4" w:space="0" w:color="000000"/>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3260" w:type="dxa"/>
            <w:tcBorders>
              <w:top w:val="single" w:sz="4" w:space="0" w:color="000000"/>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single" w:sz="4" w:space="0" w:color="000000"/>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326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1</w:t>
            </w:r>
          </w:p>
        </w:tc>
        <w:tc>
          <w:tcPr>
            <w:tcW w:w="32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Plant in Service</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$153,190,867</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$31,399,624</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$184,590,491</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$9,565,370</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$194,155,861</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326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2</w:t>
            </w:r>
          </w:p>
        </w:tc>
        <w:tc>
          <w:tcPr>
            <w:tcW w:w="32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Land and Land Rights</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510,063</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46,750</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556,813</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(27,486)</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529,327</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326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3</w:t>
            </w:r>
          </w:p>
        </w:tc>
        <w:tc>
          <w:tcPr>
            <w:tcW w:w="32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Non-used and Useful Components</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0 </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(140,657)</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(140,657)</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0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(140,657)</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326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4</w:t>
            </w:r>
          </w:p>
        </w:tc>
        <w:tc>
          <w:tcPr>
            <w:tcW w:w="32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Construction Work in Progress</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14,693,009 </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(14,693,009)</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0 </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0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0</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326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5</w:t>
            </w:r>
          </w:p>
        </w:tc>
        <w:tc>
          <w:tcPr>
            <w:tcW w:w="32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Accumulated Depreciation</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(67,120,600)</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(8,198,980)</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(75,319,580)</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331,687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(74,987,893)</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326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6</w:t>
            </w:r>
          </w:p>
        </w:tc>
        <w:tc>
          <w:tcPr>
            <w:tcW w:w="32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CIAC</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(37,475,393)</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240,934 </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(37,234,459)</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20,166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(37,214,293)</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326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7</w:t>
            </w:r>
          </w:p>
        </w:tc>
        <w:tc>
          <w:tcPr>
            <w:tcW w:w="32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Amortization of CIAC</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29,588,418 </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(3,085,974)</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26,502,444 </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(29,277)</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 xml:space="preserve">26,473,167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326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8</w:t>
            </w:r>
          </w:p>
        </w:tc>
        <w:tc>
          <w:tcPr>
            <w:tcW w:w="32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Working Capital Allowance</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0</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2,617,989</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2,617,989</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6,017</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u w:val="single"/>
              </w:rPr>
            </w:pPr>
            <w:r>
              <w:rPr>
                <w:sz w:val="20"/>
                <w:szCs w:val="20"/>
                <w:u w:val="single"/>
              </w:rPr>
              <w:t>2,624,006</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326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9</w:t>
            </w:r>
          </w:p>
        </w:tc>
        <w:tc>
          <w:tcPr>
            <w:tcW w:w="326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Rate Base</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double"/>
              </w:rPr>
            </w:pPr>
            <w:r>
              <w:rPr>
                <w:sz w:val="20"/>
                <w:szCs w:val="20"/>
                <w:u w:val="double"/>
              </w:rPr>
              <w:t>$93,386,364</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double"/>
              </w:rPr>
            </w:pPr>
            <w:r>
              <w:rPr>
                <w:sz w:val="20"/>
                <w:szCs w:val="20"/>
                <w:u w:val="double"/>
              </w:rPr>
              <w:t>$8,186,677</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double"/>
              </w:rPr>
            </w:pPr>
            <w:r>
              <w:rPr>
                <w:sz w:val="20"/>
                <w:szCs w:val="20"/>
                <w:u w:val="double"/>
              </w:rPr>
              <w:t>$101,573,041</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double"/>
              </w:rPr>
            </w:pPr>
            <w:r>
              <w:rPr>
                <w:sz w:val="20"/>
                <w:szCs w:val="20"/>
                <w:u w:val="double"/>
              </w:rPr>
              <w:t>$9,866,477</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u w:val="double"/>
              </w:rPr>
            </w:pPr>
            <w:r>
              <w:rPr>
                <w:sz w:val="20"/>
                <w:szCs w:val="20"/>
                <w:u w:val="double"/>
              </w:rPr>
              <w:t>$111,439,518</w:t>
            </w:r>
          </w:p>
        </w:tc>
      </w:tr>
      <w:tr w:rsidR="00305B83" w:rsidTr="00305B83">
        <w:trPr>
          <w:trHeight w:val="260"/>
          <w:jc w:val="center"/>
        </w:trPr>
        <w:tc>
          <w:tcPr>
            <w:tcW w:w="480" w:type="dxa"/>
            <w:tcBorders>
              <w:top w:val="nil"/>
              <w:left w:val="single" w:sz="4" w:space="0" w:color="auto"/>
              <w:bottom w:val="single" w:sz="4" w:space="0" w:color="auto"/>
              <w:right w:val="nil"/>
            </w:tcBorders>
            <w:shd w:val="clear" w:color="000000" w:fill="FFFFFF"/>
            <w:noWrap/>
            <w:vAlign w:val="bottom"/>
            <w:hideMark/>
          </w:tcPr>
          <w:p w:rsidR="00305B83" w:rsidRDefault="00305B83">
            <w:pPr>
              <w:rPr>
                <w:sz w:val="20"/>
                <w:szCs w:val="20"/>
              </w:rPr>
            </w:pPr>
            <w:r>
              <w:rPr>
                <w:sz w:val="20"/>
                <w:szCs w:val="20"/>
              </w:rPr>
              <w:t> </w:t>
            </w:r>
          </w:p>
        </w:tc>
        <w:tc>
          <w:tcPr>
            <w:tcW w:w="3260" w:type="dxa"/>
            <w:tcBorders>
              <w:top w:val="nil"/>
              <w:left w:val="nil"/>
              <w:bottom w:val="single" w:sz="4" w:space="0" w:color="auto"/>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single" w:sz="4" w:space="0" w:color="auto"/>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single" w:sz="4" w:space="0" w:color="auto"/>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single" w:sz="4" w:space="0" w:color="auto"/>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single" w:sz="4" w:space="0" w:color="auto"/>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single" w:sz="4" w:space="0" w:color="auto"/>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bl>
    <w:p w:rsidR="004355D6" w:rsidRDefault="00305B83" w:rsidP="00E275D8">
      <w:pPr>
        <w:pStyle w:val="BodyText"/>
        <w:sectPr w:rsidR="004355D6" w:rsidSect="0068481F">
          <w:headerReference w:type="default" r:id="rId21"/>
          <w:pgSz w:w="12240" w:h="15840" w:code="1"/>
          <w:pgMar w:top="1584" w:right="1440" w:bottom="1440" w:left="1440" w:header="720" w:footer="720" w:gutter="0"/>
          <w:cols w:space="720"/>
          <w:formProt w:val="0"/>
          <w:docGrid w:linePitch="360"/>
        </w:sectPr>
      </w:pPr>
      <w:r>
        <w:fldChar w:fldCharType="begin"/>
      </w:r>
      <w:r>
        <w:instrText xml:space="preserve"> TC "</w:instrText>
      </w:r>
      <w:bookmarkStart w:id="65" w:name="_Toc196317166"/>
      <w:r>
        <w:tab/>
        <w:instrText>Schedule No. 1-B</w:instrText>
      </w:r>
      <w:bookmarkEnd w:id="65"/>
      <w:r>
        <w:instrText xml:space="preserve">" \l 1 </w:instrText>
      </w:r>
      <w:r>
        <w:fldChar w:fldCharType="end"/>
      </w:r>
    </w:p>
    <w:tbl>
      <w:tblPr>
        <w:tblW w:w="9600" w:type="dxa"/>
        <w:jc w:val="center"/>
        <w:tblLook w:val="04A0" w:firstRow="1" w:lastRow="0" w:firstColumn="1" w:lastColumn="0" w:noHBand="0" w:noVBand="1"/>
      </w:tblPr>
      <w:tblGrid>
        <w:gridCol w:w="480"/>
        <w:gridCol w:w="5940"/>
        <w:gridCol w:w="1520"/>
        <w:gridCol w:w="1660"/>
      </w:tblGrid>
      <w:tr w:rsidR="0051516D" w:rsidTr="0051516D">
        <w:trPr>
          <w:trHeight w:val="260"/>
          <w:jc w:val="center"/>
        </w:trPr>
        <w:tc>
          <w:tcPr>
            <w:tcW w:w="480" w:type="dxa"/>
            <w:tcBorders>
              <w:top w:val="single" w:sz="4" w:space="0" w:color="auto"/>
              <w:left w:val="single" w:sz="4" w:space="0" w:color="auto"/>
              <w:bottom w:val="nil"/>
              <w:right w:val="nil"/>
            </w:tcBorders>
            <w:shd w:val="clear" w:color="000000" w:fill="FFFFFF"/>
            <w:noWrap/>
            <w:vAlign w:val="bottom"/>
            <w:hideMark/>
          </w:tcPr>
          <w:p w:rsidR="0051516D" w:rsidRDefault="0051516D">
            <w:pPr>
              <w:rPr>
                <w:sz w:val="20"/>
                <w:szCs w:val="20"/>
              </w:rPr>
            </w:pPr>
            <w:bookmarkStart w:id="66" w:name="RANGE!B5:E46"/>
            <w:r>
              <w:rPr>
                <w:sz w:val="20"/>
                <w:szCs w:val="20"/>
              </w:rPr>
              <w:lastRenderedPageBreak/>
              <w:t> </w:t>
            </w:r>
            <w:bookmarkEnd w:id="66"/>
          </w:p>
        </w:tc>
        <w:tc>
          <w:tcPr>
            <w:tcW w:w="5940" w:type="dxa"/>
            <w:tcBorders>
              <w:top w:val="single" w:sz="4" w:space="0" w:color="auto"/>
              <w:left w:val="nil"/>
              <w:bottom w:val="nil"/>
              <w:right w:val="nil"/>
            </w:tcBorders>
            <w:shd w:val="clear" w:color="000000" w:fill="FFFFFF"/>
            <w:noWrap/>
            <w:vAlign w:val="bottom"/>
            <w:hideMark/>
          </w:tcPr>
          <w:p w:rsidR="0051516D" w:rsidRDefault="0051516D">
            <w:pPr>
              <w:rPr>
                <w:sz w:val="20"/>
                <w:szCs w:val="20"/>
              </w:rPr>
            </w:pPr>
            <w:r>
              <w:rPr>
                <w:sz w:val="20"/>
                <w:szCs w:val="20"/>
              </w:rPr>
              <w:t> </w:t>
            </w:r>
          </w:p>
        </w:tc>
        <w:tc>
          <w:tcPr>
            <w:tcW w:w="1520" w:type="dxa"/>
            <w:tcBorders>
              <w:top w:val="single" w:sz="4" w:space="0" w:color="auto"/>
              <w:left w:val="nil"/>
              <w:bottom w:val="nil"/>
              <w:right w:val="nil"/>
            </w:tcBorders>
            <w:shd w:val="clear" w:color="000000" w:fill="FFFFFF"/>
            <w:noWrap/>
            <w:vAlign w:val="bottom"/>
            <w:hideMark/>
          </w:tcPr>
          <w:p w:rsidR="0051516D" w:rsidRDefault="0051516D">
            <w:pPr>
              <w:rPr>
                <w:sz w:val="20"/>
                <w:szCs w:val="20"/>
              </w:rPr>
            </w:pPr>
            <w:r>
              <w:rPr>
                <w:sz w:val="20"/>
                <w:szCs w:val="20"/>
              </w:rPr>
              <w:t> </w:t>
            </w:r>
          </w:p>
        </w:tc>
        <w:tc>
          <w:tcPr>
            <w:tcW w:w="1660" w:type="dxa"/>
            <w:tcBorders>
              <w:top w:val="single" w:sz="4" w:space="0" w:color="auto"/>
              <w:left w:val="nil"/>
              <w:bottom w:val="nil"/>
              <w:right w:val="single" w:sz="4" w:space="0" w:color="auto"/>
            </w:tcBorders>
            <w:shd w:val="clear" w:color="000000" w:fill="FFFFFF"/>
            <w:noWrap/>
            <w:vAlign w:val="bottom"/>
            <w:hideMark/>
          </w:tcPr>
          <w:p w:rsidR="0051516D" w:rsidRDefault="0051516D">
            <w:pPr>
              <w:rPr>
                <w:sz w:val="20"/>
                <w:szCs w:val="20"/>
              </w:rPr>
            </w:pPr>
            <w:r>
              <w:rPr>
                <w:sz w:val="20"/>
                <w:szCs w:val="20"/>
              </w:rPr>
              <w:t> </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51516D" w:rsidRDefault="0051516D">
            <w:pPr>
              <w:rPr>
                <w:b/>
                <w:bCs/>
                <w:sz w:val="20"/>
                <w:szCs w:val="20"/>
              </w:rPr>
            </w:pPr>
            <w:r>
              <w:rPr>
                <w:b/>
                <w:bCs/>
                <w:sz w:val="20"/>
                <w:szCs w:val="20"/>
              </w:rPr>
              <w:t>Sunshine Water Services Company</w:t>
            </w:r>
          </w:p>
        </w:tc>
        <w:tc>
          <w:tcPr>
            <w:tcW w:w="3180" w:type="dxa"/>
            <w:gridSpan w:val="2"/>
            <w:tcBorders>
              <w:top w:val="nil"/>
              <w:left w:val="nil"/>
              <w:bottom w:val="nil"/>
              <w:right w:val="single" w:sz="4" w:space="0" w:color="auto"/>
            </w:tcBorders>
            <w:shd w:val="clear" w:color="000000" w:fill="FFFFFF"/>
            <w:noWrap/>
            <w:vAlign w:val="bottom"/>
            <w:hideMark/>
          </w:tcPr>
          <w:p w:rsidR="0051516D" w:rsidRDefault="0051516D">
            <w:pPr>
              <w:jc w:val="right"/>
              <w:rPr>
                <w:b/>
                <w:bCs/>
                <w:sz w:val="20"/>
                <w:szCs w:val="20"/>
              </w:rPr>
            </w:pPr>
            <w:r>
              <w:rPr>
                <w:b/>
                <w:bCs/>
                <w:sz w:val="20"/>
                <w:szCs w:val="20"/>
              </w:rPr>
              <w:t>Schedule No. 1-C</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51516D" w:rsidRDefault="0051516D">
            <w:pPr>
              <w:rPr>
                <w:b/>
                <w:bCs/>
                <w:sz w:val="20"/>
                <w:szCs w:val="20"/>
              </w:rPr>
            </w:pPr>
            <w:r>
              <w:rPr>
                <w:b/>
                <w:bCs/>
                <w:sz w:val="20"/>
                <w:szCs w:val="20"/>
              </w:rPr>
              <w:t>Adjustments to Rate Base</w:t>
            </w:r>
          </w:p>
        </w:tc>
        <w:tc>
          <w:tcPr>
            <w:tcW w:w="3180" w:type="dxa"/>
            <w:gridSpan w:val="2"/>
            <w:tcBorders>
              <w:top w:val="nil"/>
              <w:left w:val="nil"/>
              <w:bottom w:val="nil"/>
              <w:right w:val="single" w:sz="4" w:space="0" w:color="auto"/>
            </w:tcBorders>
            <w:shd w:val="clear" w:color="000000" w:fill="FFFFFF"/>
            <w:noWrap/>
            <w:vAlign w:val="bottom"/>
            <w:hideMark/>
          </w:tcPr>
          <w:p w:rsidR="0051516D" w:rsidRDefault="0051516D">
            <w:pPr>
              <w:jc w:val="right"/>
              <w:rPr>
                <w:b/>
                <w:bCs/>
                <w:sz w:val="20"/>
                <w:szCs w:val="20"/>
              </w:rPr>
            </w:pPr>
            <w:r>
              <w:rPr>
                <w:b/>
                <w:bCs/>
                <w:sz w:val="20"/>
                <w:szCs w:val="20"/>
              </w:rPr>
              <w:t>Docket No. 20240068-WS</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51516D" w:rsidRDefault="0051516D">
            <w:pPr>
              <w:rPr>
                <w:b/>
                <w:bCs/>
                <w:sz w:val="20"/>
                <w:szCs w:val="20"/>
              </w:rPr>
            </w:pPr>
            <w:r>
              <w:rPr>
                <w:b/>
                <w:bCs/>
                <w:sz w:val="20"/>
                <w:szCs w:val="20"/>
              </w:rPr>
              <w:t>Test Year Ended 12/31/2023</w:t>
            </w:r>
          </w:p>
        </w:tc>
        <w:tc>
          <w:tcPr>
            <w:tcW w:w="1520" w:type="dxa"/>
            <w:tcBorders>
              <w:top w:val="nil"/>
              <w:left w:val="nil"/>
              <w:bottom w:val="nil"/>
              <w:right w:val="nil"/>
            </w:tcBorders>
            <w:shd w:val="clear" w:color="000000" w:fill="FFFFFF"/>
            <w:noWrap/>
            <w:vAlign w:val="bottom"/>
            <w:hideMark/>
          </w:tcPr>
          <w:p w:rsidR="0051516D" w:rsidRDefault="0051516D">
            <w:pPr>
              <w:jc w:val="right"/>
              <w:rPr>
                <w:b/>
                <w:bCs/>
                <w:sz w:val="20"/>
                <w:szCs w:val="20"/>
              </w:rPr>
            </w:pPr>
            <w:r>
              <w:rPr>
                <w:b/>
                <w:bCs/>
                <w:sz w:val="20"/>
                <w:szCs w:val="20"/>
              </w:rPr>
              <w:t> </w:t>
            </w:r>
          </w:p>
        </w:tc>
        <w:tc>
          <w:tcPr>
            <w:tcW w:w="1660" w:type="dxa"/>
            <w:tcBorders>
              <w:top w:val="nil"/>
              <w:left w:val="nil"/>
              <w:bottom w:val="nil"/>
              <w:right w:val="single" w:sz="4" w:space="0" w:color="auto"/>
            </w:tcBorders>
            <w:shd w:val="clear" w:color="000000" w:fill="FFFFFF"/>
            <w:noWrap/>
            <w:vAlign w:val="bottom"/>
            <w:hideMark/>
          </w:tcPr>
          <w:p w:rsidR="0051516D" w:rsidRDefault="0051516D">
            <w:pPr>
              <w:rPr>
                <w:b/>
                <w:bCs/>
                <w:sz w:val="20"/>
                <w:szCs w:val="20"/>
              </w:rPr>
            </w:pPr>
            <w:r>
              <w:rPr>
                <w:b/>
                <w:bCs/>
                <w:sz w:val="20"/>
                <w:szCs w:val="20"/>
              </w:rPr>
              <w:t> </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 </w:t>
            </w:r>
          </w:p>
        </w:tc>
        <w:tc>
          <w:tcPr>
            <w:tcW w:w="152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 </w:t>
            </w:r>
          </w:p>
        </w:tc>
        <w:tc>
          <w:tcPr>
            <w:tcW w:w="1660" w:type="dxa"/>
            <w:tcBorders>
              <w:top w:val="nil"/>
              <w:left w:val="nil"/>
              <w:bottom w:val="nil"/>
              <w:right w:val="single" w:sz="4" w:space="0" w:color="auto"/>
            </w:tcBorders>
            <w:shd w:val="clear" w:color="000000" w:fill="FFFFFF"/>
            <w:noWrap/>
            <w:vAlign w:val="bottom"/>
            <w:hideMark/>
          </w:tcPr>
          <w:p w:rsidR="0051516D" w:rsidRDefault="0051516D">
            <w:pPr>
              <w:rPr>
                <w:sz w:val="20"/>
                <w:szCs w:val="20"/>
              </w:rPr>
            </w:pPr>
            <w:r>
              <w:rPr>
                <w:sz w:val="20"/>
                <w:szCs w:val="20"/>
              </w:rPr>
              <w:t> </w:t>
            </w:r>
          </w:p>
        </w:tc>
      </w:tr>
      <w:tr w:rsidR="0051516D" w:rsidTr="0051516D">
        <w:trPr>
          <w:trHeight w:val="260"/>
          <w:jc w:val="center"/>
        </w:trPr>
        <w:tc>
          <w:tcPr>
            <w:tcW w:w="480" w:type="dxa"/>
            <w:tcBorders>
              <w:top w:val="single" w:sz="4" w:space="0" w:color="000000"/>
              <w:left w:val="single" w:sz="4" w:space="0" w:color="auto"/>
              <w:bottom w:val="nil"/>
              <w:right w:val="nil"/>
            </w:tcBorders>
            <w:shd w:val="clear" w:color="000000" w:fill="FFFFFF"/>
            <w:noWrap/>
            <w:vAlign w:val="bottom"/>
            <w:hideMark/>
          </w:tcPr>
          <w:p w:rsidR="0051516D" w:rsidRDefault="0051516D">
            <w:pPr>
              <w:rPr>
                <w:sz w:val="20"/>
                <w:szCs w:val="20"/>
              </w:rPr>
            </w:pPr>
            <w:r>
              <w:rPr>
                <w:sz w:val="20"/>
                <w:szCs w:val="20"/>
              </w:rPr>
              <w:t> </w:t>
            </w:r>
          </w:p>
        </w:tc>
        <w:tc>
          <w:tcPr>
            <w:tcW w:w="5940" w:type="dxa"/>
            <w:tcBorders>
              <w:top w:val="single" w:sz="4" w:space="0" w:color="000000"/>
              <w:left w:val="nil"/>
              <w:bottom w:val="nil"/>
              <w:right w:val="nil"/>
            </w:tcBorders>
            <w:shd w:val="clear" w:color="000000" w:fill="FFFFFF"/>
            <w:noWrap/>
            <w:vAlign w:val="bottom"/>
            <w:hideMark/>
          </w:tcPr>
          <w:p w:rsidR="0051516D" w:rsidRDefault="0051516D">
            <w:pPr>
              <w:rPr>
                <w:sz w:val="20"/>
                <w:szCs w:val="20"/>
              </w:rPr>
            </w:pPr>
            <w:r>
              <w:rPr>
                <w:sz w:val="20"/>
                <w:szCs w:val="20"/>
              </w:rPr>
              <w:t> </w:t>
            </w:r>
          </w:p>
        </w:tc>
        <w:tc>
          <w:tcPr>
            <w:tcW w:w="1520" w:type="dxa"/>
            <w:tcBorders>
              <w:top w:val="single" w:sz="4" w:space="0" w:color="000000"/>
              <w:left w:val="nil"/>
              <w:bottom w:val="nil"/>
              <w:right w:val="nil"/>
            </w:tcBorders>
            <w:shd w:val="clear" w:color="000000" w:fill="FFFFFF"/>
            <w:noWrap/>
            <w:vAlign w:val="bottom"/>
            <w:hideMark/>
          </w:tcPr>
          <w:p w:rsidR="0051516D" w:rsidRDefault="0051516D">
            <w:pPr>
              <w:rPr>
                <w:sz w:val="20"/>
                <w:szCs w:val="20"/>
              </w:rPr>
            </w:pPr>
            <w:r>
              <w:rPr>
                <w:sz w:val="20"/>
                <w:szCs w:val="20"/>
              </w:rPr>
              <w:t> </w:t>
            </w:r>
          </w:p>
        </w:tc>
        <w:tc>
          <w:tcPr>
            <w:tcW w:w="1660" w:type="dxa"/>
            <w:tcBorders>
              <w:top w:val="single" w:sz="4" w:space="0" w:color="000000"/>
              <w:left w:val="nil"/>
              <w:bottom w:val="nil"/>
              <w:right w:val="single" w:sz="4" w:space="0" w:color="auto"/>
            </w:tcBorders>
            <w:shd w:val="clear" w:color="000000" w:fill="FFFFFF"/>
            <w:noWrap/>
            <w:vAlign w:val="bottom"/>
            <w:hideMark/>
          </w:tcPr>
          <w:p w:rsidR="0051516D" w:rsidRDefault="0051516D">
            <w:pPr>
              <w:rPr>
                <w:sz w:val="20"/>
                <w:szCs w:val="20"/>
              </w:rPr>
            </w:pPr>
            <w:r>
              <w:rPr>
                <w:sz w:val="20"/>
                <w:szCs w:val="20"/>
              </w:rPr>
              <w:t> </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51516D" w:rsidRDefault="0051516D">
            <w:pPr>
              <w:rPr>
                <w:b/>
                <w:bCs/>
                <w:sz w:val="20"/>
                <w:szCs w:val="20"/>
              </w:rPr>
            </w:pPr>
            <w:r>
              <w:rPr>
                <w:b/>
                <w:bCs/>
                <w:sz w:val="20"/>
                <w:szCs w:val="20"/>
              </w:rPr>
              <w:t>Explanation</w:t>
            </w:r>
          </w:p>
        </w:tc>
        <w:tc>
          <w:tcPr>
            <w:tcW w:w="1520" w:type="dxa"/>
            <w:tcBorders>
              <w:top w:val="nil"/>
              <w:left w:val="nil"/>
              <w:bottom w:val="nil"/>
              <w:right w:val="nil"/>
            </w:tcBorders>
            <w:shd w:val="clear" w:color="000000" w:fill="FFFFFF"/>
            <w:noWrap/>
            <w:vAlign w:val="bottom"/>
            <w:hideMark/>
          </w:tcPr>
          <w:p w:rsidR="0051516D" w:rsidRDefault="0051516D">
            <w:pPr>
              <w:jc w:val="center"/>
              <w:rPr>
                <w:b/>
                <w:bCs/>
                <w:sz w:val="20"/>
                <w:szCs w:val="20"/>
              </w:rPr>
            </w:pPr>
            <w:r>
              <w:rPr>
                <w:b/>
                <w:bCs/>
                <w:sz w:val="20"/>
                <w:szCs w:val="20"/>
              </w:rPr>
              <w:t>Water</w:t>
            </w:r>
          </w:p>
        </w:tc>
        <w:tc>
          <w:tcPr>
            <w:tcW w:w="1660" w:type="dxa"/>
            <w:tcBorders>
              <w:top w:val="nil"/>
              <w:left w:val="nil"/>
              <w:bottom w:val="nil"/>
              <w:right w:val="single" w:sz="4" w:space="0" w:color="auto"/>
            </w:tcBorders>
            <w:shd w:val="clear" w:color="000000" w:fill="FFFFFF"/>
            <w:noWrap/>
            <w:vAlign w:val="bottom"/>
            <w:hideMark/>
          </w:tcPr>
          <w:p w:rsidR="0051516D" w:rsidRDefault="0051516D">
            <w:pPr>
              <w:jc w:val="center"/>
              <w:rPr>
                <w:b/>
                <w:bCs/>
                <w:sz w:val="20"/>
                <w:szCs w:val="20"/>
              </w:rPr>
            </w:pPr>
            <w:r>
              <w:rPr>
                <w:b/>
                <w:bCs/>
                <w:sz w:val="20"/>
                <w:szCs w:val="20"/>
              </w:rPr>
              <w:t>Wastewater</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 </w:t>
            </w:r>
          </w:p>
        </w:tc>
        <w:tc>
          <w:tcPr>
            <w:tcW w:w="152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 </w:t>
            </w:r>
          </w:p>
        </w:tc>
        <w:tc>
          <w:tcPr>
            <w:tcW w:w="1660" w:type="dxa"/>
            <w:tcBorders>
              <w:top w:val="nil"/>
              <w:left w:val="nil"/>
              <w:bottom w:val="nil"/>
              <w:right w:val="single" w:sz="4" w:space="0" w:color="auto"/>
            </w:tcBorders>
            <w:shd w:val="clear" w:color="000000" w:fill="FFFFFF"/>
            <w:noWrap/>
            <w:vAlign w:val="bottom"/>
            <w:hideMark/>
          </w:tcPr>
          <w:p w:rsidR="0051516D" w:rsidRDefault="0051516D">
            <w:pPr>
              <w:rPr>
                <w:sz w:val="20"/>
                <w:szCs w:val="20"/>
              </w:rPr>
            </w:pPr>
            <w:r>
              <w:rPr>
                <w:sz w:val="20"/>
                <w:szCs w:val="20"/>
              </w:rPr>
              <w:t> </w:t>
            </w:r>
          </w:p>
        </w:tc>
      </w:tr>
      <w:tr w:rsidR="0051516D" w:rsidTr="0051516D">
        <w:trPr>
          <w:trHeight w:val="260"/>
          <w:jc w:val="center"/>
        </w:trPr>
        <w:tc>
          <w:tcPr>
            <w:tcW w:w="480" w:type="dxa"/>
            <w:tcBorders>
              <w:top w:val="single" w:sz="4" w:space="0" w:color="000000"/>
              <w:left w:val="single" w:sz="4" w:space="0" w:color="auto"/>
              <w:bottom w:val="nil"/>
              <w:right w:val="nil"/>
            </w:tcBorders>
            <w:shd w:val="clear" w:color="000000" w:fill="FFFFFF"/>
            <w:noWrap/>
            <w:vAlign w:val="bottom"/>
            <w:hideMark/>
          </w:tcPr>
          <w:p w:rsidR="0051516D" w:rsidRDefault="0051516D">
            <w:pPr>
              <w:jc w:val="center"/>
              <w:rPr>
                <w:sz w:val="20"/>
                <w:szCs w:val="20"/>
              </w:rPr>
            </w:pPr>
            <w:r>
              <w:rPr>
                <w:sz w:val="20"/>
                <w:szCs w:val="20"/>
              </w:rPr>
              <w:t> </w:t>
            </w:r>
          </w:p>
        </w:tc>
        <w:tc>
          <w:tcPr>
            <w:tcW w:w="5940" w:type="dxa"/>
            <w:tcBorders>
              <w:top w:val="single" w:sz="4" w:space="0" w:color="000000"/>
              <w:left w:val="nil"/>
              <w:bottom w:val="nil"/>
              <w:right w:val="nil"/>
            </w:tcBorders>
            <w:shd w:val="clear" w:color="000000" w:fill="FFFFFF"/>
            <w:noWrap/>
            <w:vAlign w:val="bottom"/>
            <w:hideMark/>
          </w:tcPr>
          <w:p w:rsidR="0051516D" w:rsidRDefault="0051516D">
            <w:pPr>
              <w:rPr>
                <w:sz w:val="20"/>
                <w:szCs w:val="20"/>
              </w:rPr>
            </w:pPr>
            <w:r>
              <w:rPr>
                <w:sz w:val="20"/>
                <w:szCs w:val="20"/>
              </w:rPr>
              <w:t> </w:t>
            </w:r>
          </w:p>
        </w:tc>
        <w:tc>
          <w:tcPr>
            <w:tcW w:w="1520" w:type="dxa"/>
            <w:tcBorders>
              <w:top w:val="single" w:sz="4" w:space="0" w:color="000000"/>
              <w:left w:val="nil"/>
              <w:bottom w:val="nil"/>
              <w:right w:val="nil"/>
            </w:tcBorders>
            <w:shd w:val="clear" w:color="000000" w:fill="FFFFFF"/>
            <w:noWrap/>
            <w:vAlign w:val="bottom"/>
            <w:hideMark/>
          </w:tcPr>
          <w:p w:rsidR="0051516D" w:rsidRDefault="0051516D">
            <w:pPr>
              <w:rPr>
                <w:sz w:val="20"/>
                <w:szCs w:val="20"/>
              </w:rPr>
            </w:pPr>
            <w:r>
              <w:rPr>
                <w:sz w:val="20"/>
                <w:szCs w:val="20"/>
              </w:rPr>
              <w:t> </w:t>
            </w:r>
          </w:p>
        </w:tc>
        <w:tc>
          <w:tcPr>
            <w:tcW w:w="1660" w:type="dxa"/>
            <w:tcBorders>
              <w:top w:val="single" w:sz="4" w:space="0" w:color="000000"/>
              <w:left w:val="nil"/>
              <w:bottom w:val="nil"/>
              <w:right w:val="single" w:sz="4" w:space="0" w:color="auto"/>
            </w:tcBorders>
            <w:shd w:val="clear" w:color="000000" w:fill="FFFFFF"/>
            <w:noWrap/>
            <w:vAlign w:val="bottom"/>
            <w:hideMark/>
          </w:tcPr>
          <w:p w:rsidR="0051516D" w:rsidRDefault="0051516D">
            <w:pPr>
              <w:rPr>
                <w:sz w:val="20"/>
                <w:szCs w:val="20"/>
              </w:rPr>
            </w:pPr>
            <w:r>
              <w:rPr>
                <w:sz w:val="20"/>
                <w:szCs w:val="20"/>
              </w:rPr>
              <w:t> </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jc w:val="cente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51516D" w:rsidRDefault="0051516D">
            <w:pPr>
              <w:rPr>
                <w:sz w:val="20"/>
                <w:szCs w:val="20"/>
                <w:u w:val="single"/>
              </w:rPr>
            </w:pPr>
            <w:r>
              <w:rPr>
                <w:sz w:val="20"/>
                <w:szCs w:val="20"/>
                <w:u w:val="single"/>
              </w:rPr>
              <w:t>Plant In Service</w:t>
            </w:r>
          </w:p>
        </w:tc>
        <w:tc>
          <w:tcPr>
            <w:tcW w:w="152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 </w:t>
            </w:r>
          </w:p>
        </w:tc>
        <w:tc>
          <w:tcPr>
            <w:tcW w:w="1660" w:type="dxa"/>
            <w:tcBorders>
              <w:top w:val="nil"/>
              <w:left w:val="nil"/>
              <w:bottom w:val="nil"/>
              <w:right w:val="single" w:sz="4" w:space="0" w:color="auto"/>
            </w:tcBorders>
            <w:shd w:val="clear" w:color="000000" w:fill="FFFFFF"/>
            <w:noWrap/>
            <w:vAlign w:val="bottom"/>
            <w:hideMark/>
          </w:tcPr>
          <w:p w:rsidR="0051516D" w:rsidRDefault="0051516D">
            <w:pPr>
              <w:rPr>
                <w:sz w:val="20"/>
                <w:szCs w:val="20"/>
              </w:rPr>
            </w:pPr>
            <w:r>
              <w:rPr>
                <w:sz w:val="20"/>
                <w:szCs w:val="20"/>
              </w:rPr>
              <w:t> </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jc w:val="center"/>
              <w:rPr>
                <w:sz w:val="20"/>
                <w:szCs w:val="20"/>
              </w:rPr>
            </w:pPr>
            <w:r>
              <w:rPr>
                <w:sz w:val="20"/>
                <w:szCs w:val="20"/>
              </w:rPr>
              <w:t>1</w:t>
            </w:r>
          </w:p>
        </w:tc>
        <w:tc>
          <w:tcPr>
            <w:tcW w:w="594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To reflect recommended pro forma plant. (I-4)</w:t>
            </w:r>
          </w:p>
        </w:tc>
        <w:tc>
          <w:tcPr>
            <w:tcW w:w="1520" w:type="dxa"/>
            <w:tcBorders>
              <w:top w:val="nil"/>
              <w:left w:val="nil"/>
              <w:bottom w:val="nil"/>
              <w:right w:val="nil"/>
            </w:tcBorders>
            <w:shd w:val="clear" w:color="000000" w:fill="FFFFFF"/>
            <w:noWrap/>
            <w:vAlign w:val="bottom"/>
            <w:hideMark/>
          </w:tcPr>
          <w:p w:rsidR="0051516D" w:rsidRDefault="0051516D">
            <w:pPr>
              <w:jc w:val="right"/>
              <w:rPr>
                <w:sz w:val="20"/>
                <w:szCs w:val="20"/>
              </w:rPr>
            </w:pPr>
            <w:r>
              <w:rPr>
                <w:sz w:val="20"/>
                <w:szCs w:val="20"/>
              </w:rPr>
              <w:t>($1,310,997)</w:t>
            </w:r>
          </w:p>
        </w:tc>
        <w:tc>
          <w:tcPr>
            <w:tcW w:w="1660" w:type="dxa"/>
            <w:tcBorders>
              <w:top w:val="nil"/>
              <w:left w:val="nil"/>
              <w:bottom w:val="nil"/>
              <w:right w:val="single" w:sz="4" w:space="0" w:color="auto"/>
            </w:tcBorders>
            <w:shd w:val="clear" w:color="000000" w:fill="FFFFFF"/>
            <w:noWrap/>
            <w:vAlign w:val="bottom"/>
            <w:hideMark/>
          </w:tcPr>
          <w:p w:rsidR="0051516D" w:rsidRDefault="0051516D">
            <w:pPr>
              <w:jc w:val="right"/>
              <w:rPr>
                <w:sz w:val="20"/>
                <w:szCs w:val="20"/>
              </w:rPr>
            </w:pPr>
            <w:r>
              <w:rPr>
                <w:sz w:val="20"/>
                <w:szCs w:val="20"/>
              </w:rPr>
              <w:t xml:space="preserve">$1,600,372 </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jc w:val="center"/>
              <w:rPr>
                <w:sz w:val="20"/>
                <w:szCs w:val="20"/>
              </w:rPr>
            </w:pPr>
            <w:r>
              <w:rPr>
                <w:sz w:val="20"/>
                <w:szCs w:val="20"/>
              </w:rPr>
              <w:t>2</w:t>
            </w:r>
          </w:p>
        </w:tc>
        <w:tc>
          <w:tcPr>
            <w:tcW w:w="594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To reflect updated pro forma retirements. (I-5)</w:t>
            </w:r>
          </w:p>
        </w:tc>
        <w:tc>
          <w:tcPr>
            <w:tcW w:w="1520" w:type="dxa"/>
            <w:tcBorders>
              <w:top w:val="nil"/>
              <w:left w:val="nil"/>
              <w:bottom w:val="nil"/>
              <w:right w:val="nil"/>
            </w:tcBorders>
            <w:shd w:val="clear" w:color="000000" w:fill="FFFFFF"/>
            <w:noWrap/>
            <w:vAlign w:val="bottom"/>
            <w:hideMark/>
          </w:tcPr>
          <w:p w:rsidR="0051516D" w:rsidRDefault="0051516D">
            <w:pPr>
              <w:jc w:val="right"/>
              <w:rPr>
                <w:sz w:val="20"/>
                <w:szCs w:val="20"/>
              </w:rPr>
            </w:pPr>
            <w:r>
              <w:rPr>
                <w:sz w:val="20"/>
                <w:szCs w:val="20"/>
              </w:rPr>
              <w:t>(361,118)</w:t>
            </w:r>
          </w:p>
        </w:tc>
        <w:tc>
          <w:tcPr>
            <w:tcW w:w="1660" w:type="dxa"/>
            <w:tcBorders>
              <w:top w:val="nil"/>
              <w:left w:val="nil"/>
              <w:bottom w:val="nil"/>
              <w:right w:val="single" w:sz="4" w:space="0" w:color="auto"/>
            </w:tcBorders>
            <w:shd w:val="clear" w:color="000000" w:fill="FFFFFF"/>
            <w:noWrap/>
            <w:vAlign w:val="bottom"/>
            <w:hideMark/>
          </w:tcPr>
          <w:p w:rsidR="0051516D" w:rsidRDefault="0051516D">
            <w:pPr>
              <w:jc w:val="right"/>
              <w:rPr>
                <w:sz w:val="20"/>
                <w:szCs w:val="20"/>
              </w:rPr>
            </w:pPr>
            <w:r>
              <w:rPr>
                <w:sz w:val="20"/>
                <w:szCs w:val="20"/>
              </w:rPr>
              <w:t>(320,367)</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jc w:val="center"/>
              <w:rPr>
                <w:sz w:val="20"/>
                <w:szCs w:val="20"/>
              </w:rPr>
            </w:pPr>
            <w:r>
              <w:rPr>
                <w:sz w:val="20"/>
                <w:szCs w:val="20"/>
              </w:rPr>
              <w:t>3</w:t>
            </w:r>
          </w:p>
        </w:tc>
        <w:tc>
          <w:tcPr>
            <w:tcW w:w="594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To reflect annualization of test year plant additions. (I-3)</w:t>
            </w:r>
          </w:p>
        </w:tc>
        <w:tc>
          <w:tcPr>
            <w:tcW w:w="1520" w:type="dxa"/>
            <w:tcBorders>
              <w:top w:val="nil"/>
              <w:left w:val="nil"/>
              <w:bottom w:val="nil"/>
              <w:right w:val="nil"/>
            </w:tcBorders>
            <w:shd w:val="clear" w:color="000000" w:fill="FFFFFF"/>
            <w:noWrap/>
            <w:vAlign w:val="bottom"/>
            <w:hideMark/>
          </w:tcPr>
          <w:p w:rsidR="0051516D" w:rsidRDefault="0051516D">
            <w:pPr>
              <w:jc w:val="right"/>
              <w:rPr>
                <w:sz w:val="20"/>
                <w:szCs w:val="20"/>
                <w:u w:val="single"/>
              </w:rPr>
            </w:pPr>
            <w:r>
              <w:rPr>
                <w:sz w:val="20"/>
                <w:szCs w:val="20"/>
                <w:u w:val="single"/>
              </w:rPr>
              <w:t xml:space="preserve">3,918,720 </w:t>
            </w:r>
          </w:p>
        </w:tc>
        <w:tc>
          <w:tcPr>
            <w:tcW w:w="1660" w:type="dxa"/>
            <w:tcBorders>
              <w:top w:val="nil"/>
              <w:left w:val="nil"/>
              <w:bottom w:val="nil"/>
              <w:right w:val="single" w:sz="4" w:space="0" w:color="auto"/>
            </w:tcBorders>
            <w:shd w:val="clear" w:color="000000" w:fill="FFFFFF"/>
            <w:noWrap/>
            <w:vAlign w:val="bottom"/>
            <w:hideMark/>
          </w:tcPr>
          <w:p w:rsidR="0051516D" w:rsidRDefault="0051516D">
            <w:pPr>
              <w:jc w:val="right"/>
              <w:rPr>
                <w:sz w:val="20"/>
                <w:szCs w:val="20"/>
                <w:u w:val="single"/>
              </w:rPr>
            </w:pPr>
            <w:r>
              <w:rPr>
                <w:sz w:val="20"/>
                <w:szCs w:val="20"/>
                <w:u w:val="single"/>
              </w:rPr>
              <w:t xml:space="preserve">8,285,365 </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jc w:val="cente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 xml:space="preserve">    Total</w:t>
            </w:r>
          </w:p>
        </w:tc>
        <w:tc>
          <w:tcPr>
            <w:tcW w:w="1520" w:type="dxa"/>
            <w:tcBorders>
              <w:top w:val="nil"/>
              <w:left w:val="nil"/>
              <w:bottom w:val="nil"/>
              <w:right w:val="nil"/>
            </w:tcBorders>
            <w:shd w:val="clear" w:color="000000" w:fill="FFFFFF"/>
            <w:noWrap/>
            <w:vAlign w:val="bottom"/>
            <w:hideMark/>
          </w:tcPr>
          <w:p w:rsidR="0051516D" w:rsidRDefault="0051516D">
            <w:pPr>
              <w:jc w:val="right"/>
              <w:rPr>
                <w:sz w:val="20"/>
                <w:szCs w:val="20"/>
                <w:u w:val="double"/>
              </w:rPr>
            </w:pPr>
            <w:r>
              <w:rPr>
                <w:sz w:val="20"/>
                <w:szCs w:val="20"/>
                <w:u w:val="double"/>
              </w:rPr>
              <w:t xml:space="preserve">$2,246,605 </w:t>
            </w:r>
          </w:p>
        </w:tc>
        <w:tc>
          <w:tcPr>
            <w:tcW w:w="1660" w:type="dxa"/>
            <w:tcBorders>
              <w:top w:val="nil"/>
              <w:left w:val="nil"/>
              <w:bottom w:val="nil"/>
              <w:right w:val="single" w:sz="4" w:space="0" w:color="auto"/>
            </w:tcBorders>
            <w:shd w:val="clear" w:color="000000" w:fill="FFFFFF"/>
            <w:noWrap/>
            <w:vAlign w:val="bottom"/>
            <w:hideMark/>
          </w:tcPr>
          <w:p w:rsidR="0051516D" w:rsidRDefault="0051516D">
            <w:pPr>
              <w:jc w:val="right"/>
              <w:rPr>
                <w:sz w:val="20"/>
                <w:szCs w:val="20"/>
                <w:u w:val="double"/>
              </w:rPr>
            </w:pPr>
            <w:r>
              <w:rPr>
                <w:sz w:val="20"/>
                <w:szCs w:val="20"/>
                <w:u w:val="double"/>
              </w:rPr>
              <w:t xml:space="preserve">$9,565,370 </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jc w:val="cente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 </w:t>
            </w:r>
          </w:p>
        </w:tc>
        <w:tc>
          <w:tcPr>
            <w:tcW w:w="152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 </w:t>
            </w:r>
          </w:p>
        </w:tc>
        <w:tc>
          <w:tcPr>
            <w:tcW w:w="1660" w:type="dxa"/>
            <w:tcBorders>
              <w:top w:val="nil"/>
              <w:left w:val="nil"/>
              <w:bottom w:val="nil"/>
              <w:right w:val="single" w:sz="4" w:space="0" w:color="auto"/>
            </w:tcBorders>
            <w:shd w:val="clear" w:color="000000" w:fill="FFFFFF"/>
            <w:noWrap/>
            <w:vAlign w:val="bottom"/>
            <w:hideMark/>
          </w:tcPr>
          <w:p w:rsidR="0051516D" w:rsidRDefault="0051516D">
            <w:pPr>
              <w:rPr>
                <w:sz w:val="20"/>
                <w:szCs w:val="20"/>
              </w:rPr>
            </w:pPr>
            <w:r>
              <w:rPr>
                <w:sz w:val="20"/>
                <w:szCs w:val="20"/>
              </w:rPr>
              <w:t> </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jc w:val="cente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51516D" w:rsidRDefault="0051516D">
            <w:pPr>
              <w:rPr>
                <w:sz w:val="20"/>
                <w:szCs w:val="20"/>
                <w:u w:val="single"/>
              </w:rPr>
            </w:pPr>
            <w:r>
              <w:rPr>
                <w:sz w:val="20"/>
                <w:szCs w:val="20"/>
                <w:u w:val="single"/>
              </w:rPr>
              <w:t>Land</w:t>
            </w:r>
          </w:p>
        </w:tc>
        <w:tc>
          <w:tcPr>
            <w:tcW w:w="152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 </w:t>
            </w:r>
          </w:p>
        </w:tc>
        <w:tc>
          <w:tcPr>
            <w:tcW w:w="1660" w:type="dxa"/>
            <w:tcBorders>
              <w:top w:val="nil"/>
              <w:left w:val="nil"/>
              <w:bottom w:val="nil"/>
              <w:right w:val="single" w:sz="4" w:space="0" w:color="auto"/>
            </w:tcBorders>
            <w:shd w:val="clear" w:color="000000" w:fill="FFFFFF"/>
            <w:noWrap/>
            <w:vAlign w:val="bottom"/>
            <w:hideMark/>
          </w:tcPr>
          <w:p w:rsidR="0051516D" w:rsidRDefault="0051516D">
            <w:pPr>
              <w:rPr>
                <w:sz w:val="20"/>
                <w:szCs w:val="20"/>
              </w:rPr>
            </w:pPr>
            <w:r>
              <w:rPr>
                <w:sz w:val="20"/>
                <w:szCs w:val="20"/>
              </w:rPr>
              <w:t> </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jc w:val="center"/>
              <w:rPr>
                <w:sz w:val="20"/>
                <w:szCs w:val="20"/>
              </w:rPr>
            </w:pPr>
            <w:r>
              <w:rPr>
                <w:sz w:val="20"/>
                <w:szCs w:val="20"/>
              </w:rPr>
              <w:t>1</w:t>
            </w:r>
          </w:p>
        </w:tc>
        <w:tc>
          <w:tcPr>
            <w:tcW w:w="594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To reflect Audit Finding No. 7. (I-3)</w:t>
            </w:r>
          </w:p>
        </w:tc>
        <w:tc>
          <w:tcPr>
            <w:tcW w:w="1520" w:type="dxa"/>
            <w:tcBorders>
              <w:top w:val="nil"/>
              <w:left w:val="nil"/>
              <w:bottom w:val="nil"/>
              <w:right w:val="nil"/>
            </w:tcBorders>
            <w:shd w:val="clear" w:color="000000" w:fill="FFFFFF"/>
            <w:noWrap/>
            <w:vAlign w:val="bottom"/>
            <w:hideMark/>
          </w:tcPr>
          <w:p w:rsidR="0051516D" w:rsidRDefault="0051516D">
            <w:pPr>
              <w:jc w:val="right"/>
              <w:rPr>
                <w:sz w:val="20"/>
                <w:szCs w:val="20"/>
                <w:u w:val="single"/>
              </w:rPr>
            </w:pPr>
            <w:r>
              <w:rPr>
                <w:sz w:val="20"/>
                <w:szCs w:val="20"/>
                <w:u w:val="single"/>
              </w:rPr>
              <w:t>($29,570)</w:t>
            </w:r>
          </w:p>
        </w:tc>
        <w:tc>
          <w:tcPr>
            <w:tcW w:w="1660" w:type="dxa"/>
            <w:tcBorders>
              <w:top w:val="nil"/>
              <w:left w:val="nil"/>
              <w:bottom w:val="nil"/>
              <w:right w:val="single" w:sz="4" w:space="0" w:color="auto"/>
            </w:tcBorders>
            <w:shd w:val="clear" w:color="000000" w:fill="FFFFFF"/>
            <w:noWrap/>
            <w:vAlign w:val="bottom"/>
            <w:hideMark/>
          </w:tcPr>
          <w:p w:rsidR="0051516D" w:rsidRDefault="0051516D">
            <w:pPr>
              <w:jc w:val="right"/>
              <w:rPr>
                <w:sz w:val="20"/>
                <w:szCs w:val="20"/>
                <w:u w:val="single"/>
              </w:rPr>
            </w:pPr>
            <w:r>
              <w:rPr>
                <w:sz w:val="20"/>
                <w:szCs w:val="20"/>
                <w:u w:val="single"/>
              </w:rPr>
              <w:t>($27,486)</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jc w:val="cente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 xml:space="preserve">    Total</w:t>
            </w:r>
          </w:p>
        </w:tc>
        <w:tc>
          <w:tcPr>
            <w:tcW w:w="1520" w:type="dxa"/>
            <w:tcBorders>
              <w:top w:val="nil"/>
              <w:left w:val="nil"/>
              <w:bottom w:val="nil"/>
              <w:right w:val="nil"/>
            </w:tcBorders>
            <w:shd w:val="clear" w:color="000000" w:fill="FFFFFF"/>
            <w:noWrap/>
            <w:vAlign w:val="bottom"/>
            <w:hideMark/>
          </w:tcPr>
          <w:p w:rsidR="0051516D" w:rsidRDefault="0051516D">
            <w:pPr>
              <w:jc w:val="right"/>
              <w:rPr>
                <w:sz w:val="20"/>
                <w:szCs w:val="20"/>
                <w:u w:val="double"/>
              </w:rPr>
            </w:pPr>
            <w:r>
              <w:rPr>
                <w:sz w:val="20"/>
                <w:szCs w:val="20"/>
                <w:u w:val="double"/>
              </w:rPr>
              <w:t>($29,570)</w:t>
            </w:r>
          </w:p>
        </w:tc>
        <w:tc>
          <w:tcPr>
            <w:tcW w:w="1660" w:type="dxa"/>
            <w:tcBorders>
              <w:top w:val="nil"/>
              <w:left w:val="nil"/>
              <w:bottom w:val="nil"/>
              <w:right w:val="single" w:sz="4" w:space="0" w:color="auto"/>
            </w:tcBorders>
            <w:shd w:val="clear" w:color="000000" w:fill="FFFFFF"/>
            <w:noWrap/>
            <w:vAlign w:val="bottom"/>
            <w:hideMark/>
          </w:tcPr>
          <w:p w:rsidR="0051516D" w:rsidRDefault="0051516D">
            <w:pPr>
              <w:jc w:val="right"/>
              <w:rPr>
                <w:sz w:val="20"/>
                <w:szCs w:val="20"/>
                <w:u w:val="double"/>
              </w:rPr>
            </w:pPr>
            <w:r>
              <w:rPr>
                <w:sz w:val="20"/>
                <w:szCs w:val="20"/>
                <w:u w:val="double"/>
              </w:rPr>
              <w:t>($27,486)</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jc w:val="cente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 </w:t>
            </w:r>
          </w:p>
        </w:tc>
        <w:tc>
          <w:tcPr>
            <w:tcW w:w="152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 </w:t>
            </w:r>
          </w:p>
        </w:tc>
        <w:tc>
          <w:tcPr>
            <w:tcW w:w="1660" w:type="dxa"/>
            <w:tcBorders>
              <w:top w:val="nil"/>
              <w:left w:val="nil"/>
              <w:bottom w:val="nil"/>
              <w:right w:val="single" w:sz="4" w:space="0" w:color="auto"/>
            </w:tcBorders>
            <w:shd w:val="clear" w:color="000000" w:fill="FFFFFF"/>
            <w:noWrap/>
            <w:vAlign w:val="bottom"/>
            <w:hideMark/>
          </w:tcPr>
          <w:p w:rsidR="0051516D" w:rsidRDefault="0051516D">
            <w:pPr>
              <w:rPr>
                <w:sz w:val="20"/>
                <w:szCs w:val="20"/>
              </w:rPr>
            </w:pPr>
            <w:r>
              <w:rPr>
                <w:sz w:val="20"/>
                <w:szCs w:val="20"/>
              </w:rPr>
              <w:t> </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jc w:val="cente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51516D" w:rsidRDefault="0051516D">
            <w:pPr>
              <w:rPr>
                <w:sz w:val="20"/>
                <w:szCs w:val="20"/>
                <w:u w:val="single"/>
              </w:rPr>
            </w:pPr>
            <w:r>
              <w:rPr>
                <w:sz w:val="20"/>
                <w:szCs w:val="20"/>
                <w:u w:val="single"/>
              </w:rPr>
              <w:t>Non-used and Useful</w:t>
            </w:r>
          </w:p>
        </w:tc>
        <w:tc>
          <w:tcPr>
            <w:tcW w:w="152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 </w:t>
            </w:r>
          </w:p>
        </w:tc>
        <w:tc>
          <w:tcPr>
            <w:tcW w:w="1660" w:type="dxa"/>
            <w:tcBorders>
              <w:top w:val="nil"/>
              <w:left w:val="nil"/>
              <w:bottom w:val="nil"/>
              <w:right w:val="single" w:sz="4" w:space="0" w:color="auto"/>
            </w:tcBorders>
            <w:shd w:val="clear" w:color="000000" w:fill="FFFFFF"/>
            <w:noWrap/>
            <w:vAlign w:val="bottom"/>
            <w:hideMark/>
          </w:tcPr>
          <w:p w:rsidR="0051516D" w:rsidRDefault="0051516D">
            <w:pPr>
              <w:rPr>
                <w:sz w:val="20"/>
                <w:szCs w:val="20"/>
              </w:rPr>
            </w:pPr>
            <w:r>
              <w:rPr>
                <w:sz w:val="20"/>
                <w:szCs w:val="20"/>
              </w:rPr>
              <w:t> </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jc w:val="cente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To reflect net non-used and useful adjustment</w:t>
            </w:r>
          </w:p>
        </w:tc>
        <w:tc>
          <w:tcPr>
            <w:tcW w:w="1520" w:type="dxa"/>
            <w:tcBorders>
              <w:top w:val="nil"/>
              <w:left w:val="nil"/>
              <w:bottom w:val="nil"/>
              <w:right w:val="nil"/>
            </w:tcBorders>
            <w:shd w:val="clear" w:color="000000" w:fill="FFFFFF"/>
            <w:noWrap/>
            <w:vAlign w:val="bottom"/>
            <w:hideMark/>
          </w:tcPr>
          <w:p w:rsidR="0051516D" w:rsidRDefault="0051516D">
            <w:pPr>
              <w:jc w:val="right"/>
              <w:rPr>
                <w:sz w:val="20"/>
                <w:szCs w:val="20"/>
                <w:u w:val="double"/>
              </w:rPr>
            </w:pPr>
            <w:r>
              <w:rPr>
                <w:sz w:val="20"/>
                <w:szCs w:val="20"/>
                <w:u w:val="double"/>
              </w:rPr>
              <w:t xml:space="preserve">$0 </w:t>
            </w:r>
          </w:p>
        </w:tc>
        <w:tc>
          <w:tcPr>
            <w:tcW w:w="1660" w:type="dxa"/>
            <w:tcBorders>
              <w:top w:val="nil"/>
              <w:left w:val="nil"/>
              <w:bottom w:val="nil"/>
              <w:right w:val="single" w:sz="4" w:space="0" w:color="auto"/>
            </w:tcBorders>
            <w:shd w:val="clear" w:color="000000" w:fill="FFFFFF"/>
            <w:noWrap/>
            <w:vAlign w:val="bottom"/>
            <w:hideMark/>
          </w:tcPr>
          <w:p w:rsidR="0051516D" w:rsidRDefault="0051516D">
            <w:pPr>
              <w:jc w:val="right"/>
              <w:rPr>
                <w:sz w:val="20"/>
                <w:szCs w:val="20"/>
                <w:u w:val="double"/>
              </w:rPr>
            </w:pPr>
            <w:r>
              <w:rPr>
                <w:sz w:val="20"/>
                <w:szCs w:val="20"/>
                <w:u w:val="double"/>
              </w:rPr>
              <w:t xml:space="preserve">$0 </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jc w:val="cente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 </w:t>
            </w:r>
          </w:p>
        </w:tc>
        <w:tc>
          <w:tcPr>
            <w:tcW w:w="152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 </w:t>
            </w:r>
          </w:p>
        </w:tc>
        <w:tc>
          <w:tcPr>
            <w:tcW w:w="1660" w:type="dxa"/>
            <w:tcBorders>
              <w:top w:val="nil"/>
              <w:left w:val="nil"/>
              <w:bottom w:val="nil"/>
              <w:right w:val="single" w:sz="4" w:space="0" w:color="auto"/>
            </w:tcBorders>
            <w:shd w:val="clear" w:color="000000" w:fill="FFFFFF"/>
            <w:noWrap/>
            <w:vAlign w:val="bottom"/>
            <w:hideMark/>
          </w:tcPr>
          <w:p w:rsidR="0051516D" w:rsidRDefault="0051516D">
            <w:pPr>
              <w:rPr>
                <w:sz w:val="20"/>
                <w:szCs w:val="20"/>
              </w:rPr>
            </w:pPr>
            <w:r>
              <w:rPr>
                <w:sz w:val="20"/>
                <w:szCs w:val="20"/>
              </w:rPr>
              <w:t> </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jc w:val="cente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51516D" w:rsidRDefault="0051516D">
            <w:pPr>
              <w:rPr>
                <w:sz w:val="20"/>
                <w:szCs w:val="20"/>
                <w:u w:val="single"/>
              </w:rPr>
            </w:pPr>
            <w:r>
              <w:rPr>
                <w:sz w:val="20"/>
                <w:szCs w:val="20"/>
                <w:u w:val="single"/>
              </w:rPr>
              <w:t>Accumulated Depreciation</w:t>
            </w:r>
          </w:p>
        </w:tc>
        <w:tc>
          <w:tcPr>
            <w:tcW w:w="152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 </w:t>
            </w:r>
          </w:p>
        </w:tc>
        <w:tc>
          <w:tcPr>
            <w:tcW w:w="1660" w:type="dxa"/>
            <w:tcBorders>
              <w:top w:val="nil"/>
              <w:left w:val="nil"/>
              <w:bottom w:val="nil"/>
              <w:right w:val="single" w:sz="4" w:space="0" w:color="auto"/>
            </w:tcBorders>
            <w:shd w:val="clear" w:color="000000" w:fill="FFFFFF"/>
            <w:noWrap/>
            <w:vAlign w:val="bottom"/>
            <w:hideMark/>
          </w:tcPr>
          <w:p w:rsidR="0051516D" w:rsidRDefault="0051516D">
            <w:pPr>
              <w:rPr>
                <w:sz w:val="20"/>
                <w:szCs w:val="20"/>
              </w:rPr>
            </w:pPr>
            <w:r>
              <w:rPr>
                <w:sz w:val="20"/>
                <w:szCs w:val="20"/>
              </w:rPr>
              <w:t> </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jc w:val="center"/>
              <w:rPr>
                <w:sz w:val="20"/>
                <w:szCs w:val="20"/>
              </w:rPr>
            </w:pPr>
            <w:r>
              <w:rPr>
                <w:sz w:val="20"/>
                <w:szCs w:val="20"/>
              </w:rPr>
              <w:t>1</w:t>
            </w:r>
          </w:p>
        </w:tc>
        <w:tc>
          <w:tcPr>
            <w:tcW w:w="594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Correction for Net Salvage Value. (I-3)</w:t>
            </w:r>
          </w:p>
        </w:tc>
        <w:tc>
          <w:tcPr>
            <w:tcW w:w="1520" w:type="dxa"/>
            <w:tcBorders>
              <w:top w:val="nil"/>
              <w:left w:val="nil"/>
              <w:bottom w:val="nil"/>
              <w:right w:val="nil"/>
            </w:tcBorders>
            <w:shd w:val="clear" w:color="000000" w:fill="FFFFFF"/>
            <w:noWrap/>
            <w:vAlign w:val="bottom"/>
            <w:hideMark/>
          </w:tcPr>
          <w:p w:rsidR="0051516D" w:rsidRDefault="0051516D">
            <w:pPr>
              <w:jc w:val="right"/>
              <w:rPr>
                <w:sz w:val="20"/>
                <w:szCs w:val="20"/>
              </w:rPr>
            </w:pPr>
            <w:r>
              <w:rPr>
                <w:sz w:val="20"/>
                <w:szCs w:val="20"/>
              </w:rPr>
              <w:t xml:space="preserve">$35,830 </w:t>
            </w:r>
          </w:p>
        </w:tc>
        <w:tc>
          <w:tcPr>
            <w:tcW w:w="1660" w:type="dxa"/>
            <w:tcBorders>
              <w:top w:val="nil"/>
              <w:left w:val="nil"/>
              <w:bottom w:val="nil"/>
              <w:right w:val="single" w:sz="4" w:space="0" w:color="auto"/>
            </w:tcBorders>
            <w:shd w:val="clear" w:color="000000" w:fill="FFFFFF"/>
            <w:noWrap/>
            <w:vAlign w:val="bottom"/>
            <w:hideMark/>
          </w:tcPr>
          <w:p w:rsidR="0051516D" w:rsidRDefault="0051516D">
            <w:pPr>
              <w:jc w:val="right"/>
              <w:rPr>
                <w:sz w:val="20"/>
                <w:szCs w:val="20"/>
              </w:rPr>
            </w:pPr>
            <w:r>
              <w:rPr>
                <w:sz w:val="20"/>
                <w:szCs w:val="20"/>
              </w:rPr>
              <w:t xml:space="preserve">$37,410 </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jc w:val="center"/>
              <w:rPr>
                <w:sz w:val="20"/>
                <w:szCs w:val="20"/>
              </w:rPr>
            </w:pPr>
            <w:r>
              <w:rPr>
                <w:sz w:val="20"/>
                <w:szCs w:val="20"/>
              </w:rPr>
              <w:t>2</w:t>
            </w:r>
          </w:p>
        </w:tc>
        <w:tc>
          <w:tcPr>
            <w:tcW w:w="594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To reflect recommended pro forma plant. (I-4)</w:t>
            </w:r>
          </w:p>
        </w:tc>
        <w:tc>
          <w:tcPr>
            <w:tcW w:w="1520" w:type="dxa"/>
            <w:tcBorders>
              <w:top w:val="nil"/>
              <w:left w:val="nil"/>
              <w:bottom w:val="nil"/>
              <w:right w:val="nil"/>
            </w:tcBorders>
            <w:shd w:val="clear" w:color="000000" w:fill="FFFFFF"/>
            <w:noWrap/>
            <w:vAlign w:val="bottom"/>
            <w:hideMark/>
          </w:tcPr>
          <w:p w:rsidR="0051516D" w:rsidRDefault="0051516D">
            <w:pPr>
              <w:jc w:val="right"/>
              <w:rPr>
                <w:sz w:val="20"/>
                <w:szCs w:val="20"/>
              </w:rPr>
            </w:pPr>
            <w:r>
              <w:rPr>
                <w:sz w:val="20"/>
                <w:szCs w:val="20"/>
              </w:rPr>
              <w:t xml:space="preserve">116,370 </w:t>
            </w:r>
          </w:p>
        </w:tc>
        <w:tc>
          <w:tcPr>
            <w:tcW w:w="1660" w:type="dxa"/>
            <w:tcBorders>
              <w:top w:val="nil"/>
              <w:left w:val="nil"/>
              <w:bottom w:val="nil"/>
              <w:right w:val="single" w:sz="4" w:space="0" w:color="auto"/>
            </w:tcBorders>
            <w:shd w:val="clear" w:color="000000" w:fill="FFFFFF"/>
            <w:noWrap/>
            <w:vAlign w:val="bottom"/>
            <w:hideMark/>
          </w:tcPr>
          <w:p w:rsidR="0051516D" w:rsidRDefault="0051516D">
            <w:pPr>
              <w:jc w:val="right"/>
              <w:rPr>
                <w:sz w:val="20"/>
                <w:szCs w:val="20"/>
              </w:rPr>
            </w:pPr>
            <w:r>
              <w:rPr>
                <w:sz w:val="20"/>
                <w:szCs w:val="20"/>
              </w:rPr>
              <w:t>(42,319)</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jc w:val="center"/>
              <w:rPr>
                <w:sz w:val="20"/>
                <w:szCs w:val="20"/>
              </w:rPr>
            </w:pPr>
            <w:r>
              <w:rPr>
                <w:sz w:val="20"/>
                <w:szCs w:val="20"/>
              </w:rPr>
              <w:t>3</w:t>
            </w:r>
          </w:p>
        </w:tc>
        <w:tc>
          <w:tcPr>
            <w:tcW w:w="594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To reflect updated pro forma retirements. (I-5)</w:t>
            </w:r>
          </w:p>
        </w:tc>
        <w:tc>
          <w:tcPr>
            <w:tcW w:w="1520" w:type="dxa"/>
            <w:tcBorders>
              <w:top w:val="nil"/>
              <w:left w:val="nil"/>
              <w:bottom w:val="nil"/>
              <w:right w:val="nil"/>
            </w:tcBorders>
            <w:shd w:val="clear" w:color="000000" w:fill="FFFFFF"/>
            <w:noWrap/>
            <w:vAlign w:val="bottom"/>
            <w:hideMark/>
          </w:tcPr>
          <w:p w:rsidR="0051516D" w:rsidRDefault="0051516D">
            <w:pPr>
              <w:jc w:val="right"/>
              <w:rPr>
                <w:sz w:val="20"/>
                <w:szCs w:val="20"/>
              </w:rPr>
            </w:pPr>
            <w:r>
              <w:rPr>
                <w:sz w:val="20"/>
                <w:szCs w:val="20"/>
              </w:rPr>
              <w:t xml:space="preserve">361,118 </w:t>
            </w:r>
          </w:p>
        </w:tc>
        <w:tc>
          <w:tcPr>
            <w:tcW w:w="1660" w:type="dxa"/>
            <w:tcBorders>
              <w:top w:val="nil"/>
              <w:left w:val="nil"/>
              <w:bottom w:val="nil"/>
              <w:right w:val="single" w:sz="4" w:space="0" w:color="auto"/>
            </w:tcBorders>
            <w:shd w:val="clear" w:color="000000" w:fill="FFFFFF"/>
            <w:noWrap/>
            <w:vAlign w:val="bottom"/>
            <w:hideMark/>
          </w:tcPr>
          <w:p w:rsidR="0051516D" w:rsidRDefault="0051516D">
            <w:pPr>
              <w:jc w:val="right"/>
              <w:rPr>
                <w:sz w:val="20"/>
                <w:szCs w:val="20"/>
              </w:rPr>
            </w:pPr>
            <w:r>
              <w:rPr>
                <w:sz w:val="20"/>
                <w:szCs w:val="20"/>
              </w:rPr>
              <w:t xml:space="preserve">320,367 </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jc w:val="center"/>
              <w:rPr>
                <w:sz w:val="20"/>
                <w:szCs w:val="20"/>
              </w:rPr>
            </w:pPr>
            <w:r>
              <w:rPr>
                <w:sz w:val="20"/>
                <w:szCs w:val="20"/>
              </w:rPr>
              <w:t>4</w:t>
            </w:r>
          </w:p>
        </w:tc>
        <w:tc>
          <w:tcPr>
            <w:tcW w:w="594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To reflect Audit Finding No. 6. (I-13)</w:t>
            </w:r>
          </w:p>
        </w:tc>
        <w:tc>
          <w:tcPr>
            <w:tcW w:w="1520" w:type="dxa"/>
            <w:tcBorders>
              <w:top w:val="nil"/>
              <w:left w:val="nil"/>
              <w:bottom w:val="nil"/>
              <w:right w:val="nil"/>
            </w:tcBorders>
            <w:shd w:val="clear" w:color="000000" w:fill="FFFFFF"/>
            <w:noWrap/>
            <w:vAlign w:val="bottom"/>
            <w:hideMark/>
          </w:tcPr>
          <w:p w:rsidR="0051516D" w:rsidRDefault="0051516D">
            <w:pPr>
              <w:jc w:val="right"/>
              <w:rPr>
                <w:sz w:val="20"/>
                <w:szCs w:val="20"/>
                <w:u w:val="single"/>
              </w:rPr>
            </w:pPr>
            <w:r>
              <w:rPr>
                <w:sz w:val="20"/>
                <w:szCs w:val="20"/>
                <w:u w:val="single"/>
              </w:rPr>
              <w:t xml:space="preserve">0 </w:t>
            </w:r>
          </w:p>
        </w:tc>
        <w:tc>
          <w:tcPr>
            <w:tcW w:w="1660" w:type="dxa"/>
            <w:tcBorders>
              <w:top w:val="nil"/>
              <w:left w:val="nil"/>
              <w:bottom w:val="nil"/>
              <w:right w:val="single" w:sz="4" w:space="0" w:color="auto"/>
            </w:tcBorders>
            <w:shd w:val="clear" w:color="000000" w:fill="FFFFFF"/>
            <w:noWrap/>
            <w:vAlign w:val="bottom"/>
            <w:hideMark/>
          </w:tcPr>
          <w:p w:rsidR="0051516D" w:rsidRDefault="0051516D">
            <w:pPr>
              <w:jc w:val="right"/>
              <w:rPr>
                <w:sz w:val="20"/>
                <w:szCs w:val="20"/>
                <w:u w:val="single"/>
              </w:rPr>
            </w:pPr>
            <w:r>
              <w:rPr>
                <w:sz w:val="20"/>
                <w:szCs w:val="20"/>
                <w:u w:val="single"/>
              </w:rPr>
              <w:t xml:space="preserve">16,229 </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jc w:val="cente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 xml:space="preserve">    Total</w:t>
            </w:r>
          </w:p>
        </w:tc>
        <w:tc>
          <w:tcPr>
            <w:tcW w:w="1520" w:type="dxa"/>
            <w:tcBorders>
              <w:top w:val="nil"/>
              <w:left w:val="nil"/>
              <w:bottom w:val="nil"/>
              <w:right w:val="nil"/>
            </w:tcBorders>
            <w:shd w:val="clear" w:color="000000" w:fill="FFFFFF"/>
            <w:noWrap/>
            <w:vAlign w:val="bottom"/>
            <w:hideMark/>
          </w:tcPr>
          <w:p w:rsidR="0051516D" w:rsidRDefault="0051516D">
            <w:pPr>
              <w:jc w:val="right"/>
              <w:rPr>
                <w:sz w:val="20"/>
                <w:szCs w:val="20"/>
                <w:u w:val="double"/>
              </w:rPr>
            </w:pPr>
            <w:r>
              <w:rPr>
                <w:sz w:val="20"/>
                <w:szCs w:val="20"/>
                <w:u w:val="double"/>
              </w:rPr>
              <w:t xml:space="preserve">$513,318 </w:t>
            </w:r>
          </w:p>
        </w:tc>
        <w:tc>
          <w:tcPr>
            <w:tcW w:w="1660" w:type="dxa"/>
            <w:tcBorders>
              <w:top w:val="nil"/>
              <w:left w:val="nil"/>
              <w:bottom w:val="nil"/>
              <w:right w:val="single" w:sz="4" w:space="0" w:color="auto"/>
            </w:tcBorders>
            <w:shd w:val="clear" w:color="000000" w:fill="FFFFFF"/>
            <w:noWrap/>
            <w:vAlign w:val="bottom"/>
            <w:hideMark/>
          </w:tcPr>
          <w:p w:rsidR="0051516D" w:rsidRDefault="0051516D">
            <w:pPr>
              <w:jc w:val="right"/>
              <w:rPr>
                <w:sz w:val="20"/>
                <w:szCs w:val="20"/>
                <w:u w:val="double"/>
              </w:rPr>
            </w:pPr>
            <w:r>
              <w:rPr>
                <w:sz w:val="20"/>
                <w:szCs w:val="20"/>
                <w:u w:val="double"/>
              </w:rPr>
              <w:t xml:space="preserve">$331,687 </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jc w:val="cente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 </w:t>
            </w:r>
          </w:p>
        </w:tc>
        <w:tc>
          <w:tcPr>
            <w:tcW w:w="152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 </w:t>
            </w:r>
          </w:p>
        </w:tc>
        <w:tc>
          <w:tcPr>
            <w:tcW w:w="1660" w:type="dxa"/>
            <w:tcBorders>
              <w:top w:val="nil"/>
              <w:left w:val="nil"/>
              <w:bottom w:val="nil"/>
              <w:right w:val="single" w:sz="4" w:space="0" w:color="auto"/>
            </w:tcBorders>
            <w:shd w:val="clear" w:color="000000" w:fill="FFFFFF"/>
            <w:noWrap/>
            <w:vAlign w:val="bottom"/>
            <w:hideMark/>
          </w:tcPr>
          <w:p w:rsidR="0051516D" w:rsidRDefault="0051516D">
            <w:pPr>
              <w:rPr>
                <w:sz w:val="20"/>
                <w:szCs w:val="20"/>
              </w:rPr>
            </w:pPr>
            <w:r>
              <w:rPr>
                <w:sz w:val="20"/>
                <w:szCs w:val="20"/>
              </w:rPr>
              <w:t> </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jc w:val="cente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51516D" w:rsidRDefault="0051516D">
            <w:pPr>
              <w:rPr>
                <w:sz w:val="20"/>
                <w:szCs w:val="20"/>
                <w:u w:val="single"/>
              </w:rPr>
            </w:pPr>
            <w:r>
              <w:rPr>
                <w:sz w:val="20"/>
                <w:szCs w:val="20"/>
                <w:u w:val="single"/>
              </w:rPr>
              <w:t>CIAC</w:t>
            </w:r>
          </w:p>
        </w:tc>
        <w:tc>
          <w:tcPr>
            <w:tcW w:w="152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 </w:t>
            </w:r>
          </w:p>
        </w:tc>
        <w:tc>
          <w:tcPr>
            <w:tcW w:w="1660" w:type="dxa"/>
            <w:tcBorders>
              <w:top w:val="nil"/>
              <w:left w:val="nil"/>
              <w:bottom w:val="nil"/>
              <w:right w:val="single" w:sz="4" w:space="0" w:color="auto"/>
            </w:tcBorders>
            <w:shd w:val="clear" w:color="000000" w:fill="FFFFFF"/>
            <w:noWrap/>
            <w:vAlign w:val="bottom"/>
            <w:hideMark/>
          </w:tcPr>
          <w:p w:rsidR="0051516D" w:rsidRDefault="0051516D">
            <w:pPr>
              <w:rPr>
                <w:sz w:val="20"/>
                <w:szCs w:val="20"/>
              </w:rPr>
            </w:pPr>
            <w:r>
              <w:rPr>
                <w:sz w:val="20"/>
                <w:szCs w:val="20"/>
              </w:rPr>
              <w:t> </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jc w:val="center"/>
              <w:rPr>
                <w:sz w:val="20"/>
                <w:szCs w:val="20"/>
              </w:rPr>
            </w:pPr>
            <w:r>
              <w:rPr>
                <w:sz w:val="20"/>
                <w:szCs w:val="20"/>
              </w:rPr>
              <w:t>1</w:t>
            </w:r>
          </w:p>
        </w:tc>
        <w:tc>
          <w:tcPr>
            <w:tcW w:w="594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To reflect Audit Finding No. 4. (I-14)</w:t>
            </w:r>
          </w:p>
        </w:tc>
        <w:tc>
          <w:tcPr>
            <w:tcW w:w="1520" w:type="dxa"/>
            <w:tcBorders>
              <w:top w:val="nil"/>
              <w:left w:val="nil"/>
              <w:bottom w:val="nil"/>
              <w:right w:val="nil"/>
            </w:tcBorders>
            <w:shd w:val="clear" w:color="000000" w:fill="FFFFFF"/>
            <w:noWrap/>
            <w:vAlign w:val="bottom"/>
            <w:hideMark/>
          </w:tcPr>
          <w:p w:rsidR="0051516D" w:rsidRDefault="0051516D">
            <w:pPr>
              <w:jc w:val="right"/>
              <w:rPr>
                <w:sz w:val="20"/>
                <w:szCs w:val="20"/>
              </w:rPr>
            </w:pPr>
            <w:r>
              <w:rPr>
                <w:sz w:val="20"/>
                <w:szCs w:val="20"/>
              </w:rPr>
              <w:t>($10,050)</w:t>
            </w:r>
          </w:p>
        </w:tc>
        <w:tc>
          <w:tcPr>
            <w:tcW w:w="1660" w:type="dxa"/>
            <w:tcBorders>
              <w:top w:val="nil"/>
              <w:left w:val="nil"/>
              <w:bottom w:val="nil"/>
              <w:right w:val="single" w:sz="4" w:space="0" w:color="auto"/>
            </w:tcBorders>
            <w:shd w:val="clear" w:color="000000" w:fill="FFFFFF"/>
            <w:noWrap/>
            <w:vAlign w:val="bottom"/>
            <w:hideMark/>
          </w:tcPr>
          <w:p w:rsidR="0051516D" w:rsidRDefault="0051516D">
            <w:pPr>
              <w:jc w:val="right"/>
              <w:rPr>
                <w:sz w:val="20"/>
                <w:szCs w:val="20"/>
              </w:rPr>
            </w:pPr>
            <w:r>
              <w:rPr>
                <w:sz w:val="20"/>
                <w:szCs w:val="20"/>
              </w:rPr>
              <w:t>($9,345)</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jc w:val="center"/>
              <w:rPr>
                <w:sz w:val="20"/>
                <w:szCs w:val="20"/>
              </w:rPr>
            </w:pPr>
            <w:r>
              <w:rPr>
                <w:sz w:val="20"/>
                <w:szCs w:val="20"/>
              </w:rPr>
              <w:t>2</w:t>
            </w:r>
          </w:p>
        </w:tc>
        <w:tc>
          <w:tcPr>
            <w:tcW w:w="594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To reflect updated pro forma retirements. (I-5)</w:t>
            </w:r>
          </w:p>
        </w:tc>
        <w:tc>
          <w:tcPr>
            <w:tcW w:w="1520" w:type="dxa"/>
            <w:tcBorders>
              <w:top w:val="nil"/>
              <w:left w:val="nil"/>
              <w:bottom w:val="nil"/>
              <w:right w:val="nil"/>
            </w:tcBorders>
            <w:shd w:val="clear" w:color="000000" w:fill="FFFFFF"/>
            <w:noWrap/>
            <w:vAlign w:val="bottom"/>
            <w:hideMark/>
          </w:tcPr>
          <w:p w:rsidR="0051516D" w:rsidRDefault="0051516D">
            <w:pPr>
              <w:jc w:val="right"/>
              <w:rPr>
                <w:sz w:val="20"/>
                <w:szCs w:val="20"/>
                <w:u w:val="single"/>
              </w:rPr>
            </w:pPr>
            <w:r>
              <w:rPr>
                <w:sz w:val="20"/>
                <w:szCs w:val="20"/>
                <w:u w:val="single"/>
              </w:rPr>
              <w:t>(183,827)</w:t>
            </w:r>
          </w:p>
        </w:tc>
        <w:tc>
          <w:tcPr>
            <w:tcW w:w="1660" w:type="dxa"/>
            <w:tcBorders>
              <w:top w:val="nil"/>
              <w:left w:val="nil"/>
              <w:bottom w:val="nil"/>
              <w:right w:val="single" w:sz="4" w:space="0" w:color="auto"/>
            </w:tcBorders>
            <w:shd w:val="clear" w:color="000000" w:fill="FFFFFF"/>
            <w:noWrap/>
            <w:vAlign w:val="bottom"/>
            <w:hideMark/>
          </w:tcPr>
          <w:p w:rsidR="0051516D" w:rsidRDefault="0051516D">
            <w:pPr>
              <w:jc w:val="right"/>
              <w:rPr>
                <w:sz w:val="20"/>
                <w:szCs w:val="20"/>
                <w:u w:val="single"/>
              </w:rPr>
            </w:pPr>
            <w:r>
              <w:rPr>
                <w:sz w:val="20"/>
                <w:szCs w:val="20"/>
                <w:u w:val="single"/>
              </w:rPr>
              <w:t xml:space="preserve">29,511 </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jc w:val="cente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 xml:space="preserve">    Total</w:t>
            </w:r>
          </w:p>
        </w:tc>
        <w:tc>
          <w:tcPr>
            <w:tcW w:w="1520" w:type="dxa"/>
            <w:tcBorders>
              <w:top w:val="nil"/>
              <w:left w:val="nil"/>
              <w:bottom w:val="nil"/>
              <w:right w:val="nil"/>
            </w:tcBorders>
            <w:shd w:val="clear" w:color="000000" w:fill="FFFFFF"/>
            <w:noWrap/>
            <w:vAlign w:val="bottom"/>
            <w:hideMark/>
          </w:tcPr>
          <w:p w:rsidR="0051516D" w:rsidRDefault="0051516D">
            <w:pPr>
              <w:jc w:val="right"/>
              <w:rPr>
                <w:sz w:val="20"/>
                <w:szCs w:val="20"/>
                <w:u w:val="double"/>
              </w:rPr>
            </w:pPr>
            <w:r>
              <w:rPr>
                <w:sz w:val="20"/>
                <w:szCs w:val="20"/>
                <w:u w:val="double"/>
              </w:rPr>
              <w:t>($193,877)</w:t>
            </w:r>
          </w:p>
        </w:tc>
        <w:tc>
          <w:tcPr>
            <w:tcW w:w="1660" w:type="dxa"/>
            <w:tcBorders>
              <w:top w:val="nil"/>
              <w:left w:val="nil"/>
              <w:bottom w:val="nil"/>
              <w:right w:val="single" w:sz="4" w:space="0" w:color="auto"/>
            </w:tcBorders>
            <w:shd w:val="clear" w:color="000000" w:fill="FFFFFF"/>
            <w:noWrap/>
            <w:vAlign w:val="bottom"/>
            <w:hideMark/>
          </w:tcPr>
          <w:p w:rsidR="0051516D" w:rsidRDefault="0051516D">
            <w:pPr>
              <w:jc w:val="right"/>
              <w:rPr>
                <w:sz w:val="20"/>
                <w:szCs w:val="20"/>
                <w:u w:val="double"/>
              </w:rPr>
            </w:pPr>
            <w:r>
              <w:rPr>
                <w:sz w:val="20"/>
                <w:szCs w:val="20"/>
                <w:u w:val="double"/>
              </w:rPr>
              <w:t xml:space="preserve">$20,166 </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jc w:val="cente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 </w:t>
            </w:r>
          </w:p>
        </w:tc>
        <w:tc>
          <w:tcPr>
            <w:tcW w:w="152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 </w:t>
            </w:r>
          </w:p>
        </w:tc>
        <w:tc>
          <w:tcPr>
            <w:tcW w:w="1660" w:type="dxa"/>
            <w:tcBorders>
              <w:top w:val="nil"/>
              <w:left w:val="nil"/>
              <w:bottom w:val="nil"/>
              <w:right w:val="single" w:sz="4" w:space="0" w:color="auto"/>
            </w:tcBorders>
            <w:shd w:val="clear" w:color="000000" w:fill="FFFFFF"/>
            <w:noWrap/>
            <w:vAlign w:val="bottom"/>
            <w:hideMark/>
          </w:tcPr>
          <w:p w:rsidR="0051516D" w:rsidRDefault="0051516D">
            <w:pPr>
              <w:rPr>
                <w:sz w:val="20"/>
                <w:szCs w:val="20"/>
              </w:rPr>
            </w:pPr>
            <w:r>
              <w:rPr>
                <w:sz w:val="20"/>
                <w:szCs w:val="20"/>
              </w:rPr>
              <w:t> </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jc w:val="cente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51516D" w:rsidRDefault="0051516D">
            <w:pPr>
              <w:rPr>
                <w:sz w:val="20"/>
                <w:szCs w:val="20"/>
                <w:u w:val="single"/>
              </w:rPr>
            </w:pPr>
            <w:r>
              <w:rPr>
                <w:sz w:val="20"/>
                <w:szCs w:val="20"/>
                <w:u w:val="single"/>
              </w:rPr>
              <w:t>Accumulated Amortization of CIAC</w:t>
            </w:r>
          </w:p>
        </w:tc>
        <w:tc>
          <w:tcPr>
            <w:tcW w:w="152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 </w:t>
            </w:r>
          </w:p>
        </w:tc>
        <w:tc>
          <w:tcPr>
            <w:tcW w:w="1660" w:type="dxa"/>
            <w:tcBorders>
              <w:top w:val="nil"/>
              <w:left w:val="nil"/>
              <w:bottom w:val="nil"/>
              <w:right w:val="single" w:sz="4" w:space="0" w:color="auto"/>
            </w:tcBorders>
            <w:shd w:val="clear" w:color="000000" w:fill="FFFFFF"/>
            <w:noWrap/>
            <w:vAlign w:val="bottom"/>
            <w:hideMark/>
          </w:tcPr>
          <w:p w:rsidR="0051516D" w:rsidRDefault="0051516D">
            <w:pPr>
              <w:rPr>
                <w:sz w:val="20"/>
                <w:szCs w:val="20"/>
              </w:rPr>
            </w:pPr>
            <w:r>
              <w:rPr>
                <w:sz w:val="20"/>
                <w:szCs w:val="20"/>
              </w:rPr>
              <w:t> </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jc w:val="center"/>
              <w:rPr>
                <w:sz w:val="20"/>
                <w:szCs w:val="20"/>
              </w:rPr>
            </w:pPr>
            <w:r>
              <w:rPr>
                <w:sz w:val="20"/>
                <w:szCs w:val="20"/>
              </w:rPr>
              <w:t>1</w:t>
            </w:r>
          </w:p>
        </w:tc>
        <w:tc>
          <w:tcPr>
            <w:tcW w:w="594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To reflect Audit Finding No. 4. (I-15)</w:t>
            </w:r>
          </w:p>
        </w:tc>
        <w:tc>
          <w:tcPr>
            <w:tcW w:w="1520" w:type="dxa"/>
            <w:tcBorders>
              <w:top w:val="nil"/>
              <w:left w:val="nil"/>
              <w:bottom w:val="nil"/>
              <w:right w:val="nil"/>
            </w:tcBorders>
            <w:shd w:val="clear" w:color="000000" w:fill="FFFFFF"/>
            <w:noWrap/>
            <w:vAlign w:val="bottom"/>
            <w:hideMark/>
          </w:tcPr>
          <w:p w:rsidR="0051516D" w:rsidRDefault="0051516D">
            <w:pPr>
              <w:jc w:val="right"/>
              <w:rPr>
                <w:sz w:val="20"/>
                <w:szCs w:val="20"/>
              </w:rPr>
            </w:pPr>
            <w:r>
              <w:rPr>
                <w:sz w:val="20"/>
                <w:szCs w:val="20"/>
              </w:rPr>
              <w:t xml:space="preserve">$251 </w:t>
            </w:r>
          </w:p>
        </w:tc>
        <w:tc>
          <w:tcPr>
            <w:tcW w:w="1660" w:type="dxa"/>
            <w:tcBorders>
              <w:top w:val="nil"/>
              <w:left w:val="nil"/>
              <w:bottom w:val="nil"/>
              <w:right w:val="single" w:sz="4" w:space="0" w:color="auto"/>
            </w:tcBorders>
            <w:shd w:val="clear" w:color="000000" w:fill="FFFFFF"/>
            <w:noWrap/>
            <w:vAlign w:val="bottom"/>
            <w:hideMark/>
          </w:tcPr>
          <w:p w:rsidR="0051516D" w:rsidRDefault="0051516D">
            <w:pPr>
              <w:jc w:val="right"/>
              <w:rPr>
                <w:sz w:val="20"/>
                <w:szCs w:val="20"/>
              </w:rPr>
            </w:pPr>
            <w:r>
              <w:rPr>
                <w:sz w:val="20"/>
                <w:szCs w:val="20"/>
              </w:rPr>
              <w:t xml:space="preserve">$234 </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jc w:val="center"/>
              <w:rPr>
                <w:sz w:val="20"/>
                <w:szCs w:val="20"/>
              </w:rPr>
            </w:pPr>
            <w:r>
              <w:rPr>
                <w:sz w:val="20"/>
                <w:szCs w:val="20"/>
              </w:rPr>
              <w:t>2</w:t>
            </w:r>
          </w:p>
        </w:tc>
        <w:tc>
          <w:tcPr>
            <w:tcW w:w="594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To reflect updated pro forma retirements. (I-5)</w:t>
            </w:r>
          </w:p>
        </w:tc>
        <w:tc>
          <w:tcPr>
            <w:tcW w:w="1520" w:type="dxa"/>
            <w:tcBorders>
              <w:top w:val="nil"/>
              <w:left w:val="nil"/>
              <w:bottom w:val="nil"/>
              <w:right w:val="nil"/>
            </w:tcBorders>
            <w:shd w:val="clear" w:color="000000" w:fill="FFFFFF"/>
            <w:noWrap/>
            <w:vAlign w:val="bottom"/>
            <w:hideMark/>
          </w:tcPr>
          <w:p w:rsidR="0051516D" w:rsidRDefault="0051516D">
            <w:pPr>
              <w:jc w:val="right"/>
              <w:rPr>
                <w:sz w:val="20"/>
                <w:szCs w:val="20"/>
                <w:u w:val="single"/>
              </w:rPr>
            </w:pPr>
            <w:r>
              <w:rPr>
                <w:sz w:val="20"/>
                <w:szCs w:val="20"/>
                <w:u w:val="single"/>
              </w:rPr>
              <w:t xml:space="preserve">183,827 </w:t>
            </w:r>
          </w:p>
        </w:tc>
        <w:tc>
          <w:tcPr>
            <w:tcW w:w="1660" w:type="dxa"/>
            <w:tcBorders>
              <w:top w:val="nil"/>
              <w:left w:val="nil"/>
              <w:bottom w:val="nil"/>
              <w:right w:val="single" w:sz="4" w:space="0" w:color="auto"/>
            </w:tcBorders>
            <w:shd w:val="clear" w:color="000000" w:fill="FFFFFF"/>
            <w:noWrap/>
            <w:vAlign w:val="bottom"/>
            <w:hideMark/>
          </w:tcPr>
          <w:p w:rsidR="0051516D" w:rsidRDefault="0051516D">
            <w:pPr>
              <w:jc w:val="right"/>
              <w:rPr>
                <w:sz w:val="20"/>
                <w:szCs w:val="20"/>
                <w:u w:val="single"/>
              </w:rPr>
            </w:pPr>
            <w:r>
              <w:rPr>
                <w:sz w:val="20"/>
                <w:szCs w:val="20"/>
                <w:u w:val="single"/>
              </w:rPr>
              <w:t>(29,511)</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jc w:val="cente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 xml:space="preserve">    Total</w:t>
            </w:r>
          </w:p>
        </w:tc>
        <w:tc>
          <w:tcPr>
            <w:tcW w:w="1520" w:type="dxa"/>
            <w:tcBorders>
              <w:top w:val="nil"/>
              <w:left w:val="nil"/>
              <w:bottom w:val="nil"/>
              <w:right w:val="nil"/>
            </w:tcBorders>
            <w:shd w:val="clear" w:color="000000" w:fill="FFFFFF"/>
            <w:noWrap/>
            <w:vAlign w:val="bottom"/>
            <w:hideMark/>
          </w:tcPr>
          <w:p w:rsidR="0051516D" w:rsidRDefault="0051516D">
            <w:pPr>
              <w:jc w:val="right"/>
              <w:rPr>
                <w:sz w:val="20"/>
                <w:szCs w:val="20"/>
                <w:u w:val="double"/>
              </w:rPr>
            </w:pPr>
            <w:r>
              <w:rPr>
                <w:sz w:val="20"/>
                <w:szCs w:val="20"/>
                <w:u w:val="double"/>
              </w:rPr>
              <w:t xml:space="preserve">$184,078 </w:t>
            </w:r>
          </w:p>
        </w:tc>
        <w:tc>
          <w:tcPr>
            <w:tcW w:w="1660" w:type="dxa"/>
            <w:tcBorders>
              <w:top w:val="nil"/>
              <w:left w:val="nil"/>
              <w:bottom w:val="nil"/>
              <w:right w:val="single" w:sz="4" w:space="0" w:color="auto"/>
            </w:tcBorders>
            <w:shd w:val="clear" w:color="000000" w:fill="FFFFFF"/>
            <w:noWrap/>
            <w:vAlign w:val="bottom"/>
            <w:hideMark/>
          </w:tcPr>
          <w:p w:rsidR="0051516D" w:rsidRDefault="0051516D">
            <w:pPr>
              <w:jc w:val="right"/>
              <w:rPr>
                <w:sz w:val="20"/>
                <w:szCs w:val="20"/>
                <w:u w:val="double"/>
              </w:rPr>
            </w:pPr>
            <w:r>
              <w:rPr>
                <w:sz w:val="20"/>
                <w:szCs w:val="20"/>
                <w:u w:val="double"/>
              </w:rPr>
              <w:t>($29,277)</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jc w:val="cente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 </w:t>
            </w:r>
          </w:p>
        </w:tc>
        <w:tc>
          <w:tcPr>
            <w:tcW w:w="152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 </w:t>
            </w:r>
          </w:p>
        </w:tc>
        <w:tc>
          <w:tcPr>
            <w:tcW w:w="1660" w:type="dxa"/>
            <w:tcBorders>
              <w:top w:val="nil"/>
              <w:left w:val="nil"/>
              <w:bottom w:val="nil"/>
              <w:right w:val="single" w:sz="4" w:space="0" w:color="auto"/>
            </w:tcBorders>
            <w:shd w:val="clear" w:color="000000" w:fill="FFFFFF"/>
            <w:noWrap/>
            <w:vAlign w:val="bottom"/>
            <w:hideMark/>
          </w:tcPr>
          <w:p w:rsidR="0051516D" w:rsidRDefault="0051516D">
            <w:pPr>
              <w:rPr>
                <w:sz w:val="20"/>
                <w:szCs w:val="20"/>
              </w:rPr>
            </w:pPr>
            <w:r>
              <w:rPr>
                <w:sz w:val="20"/>
                <w:szCs w:val="20"/>
              </w:rPr>
              <w:t> </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jc w:val="cente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51516D" w:rsidRDefault="0051516D">
            <w:pPr>
              <w:rPr>
                <w:sz w:val="20"/>
                <w:szCs w:val="20"/>
                <w:u w:val="single"/>
              </w:rPr>
            </w:pPr>
            <w:r>
              <w:rPr>
                <w:sz w:val="20"/>
                <w:szCs w:val="20"/>
                <w:u w:val="single"/>
              </w:rPr>
              <w:t>Working Capital</w:t>
            </w:r>
          </w:p>
        </w:tc>
        <w:tc>
          <w:tcPr>
            <w:tcW w:w="152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 </w:t>
            </w:r>
          </w:p>
        </w:tc>
        <w:tc>
          <w:tcPr>
            <w:tcW w:w="1660" w:type="dxa"/>
            <w:tcBorders>
              <w:top w:val="nil"/>
              <w:left w:val="nil"/>
              <w:bottom w:val="nil"/>
              <w:right w:val="single" w:sz="4" w:space="0" w:color="auto"/>
            </w:tcBorders>
            <w:shd w:val="clear" w:color="000000" w:fill="FFFFFF"/>
            <w:noWrap/>
            <w:vAlign w:val="bottom"/>
            <w:hideMark/>
          </w:tcPr>
          <w:p w:rsidR="0051516D" w:rsidRDefault="0051516D">
            <w:pPr>
              <w:rPr>
                <w:sz w:val="20"/>
                <w:szCs w:val="20"/>
              </w:rPr>
            </w:pPr>
            <w:r>
              <w:rPr>
                <w:sz w:val="20"/>
                <w:szCs w:val="20"/>
              </w:rPr>
              <w:t> </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jc w:val="center"/>
              <w:rPr>
                <w:sz w:val="20"/>
                <w:szCs w:val="20"/>
              </w:rPr>
            </w:pPr>
            <w:r>
              <w:rPr>
                <w:sz w:val="20"/>
                <w:szCs w:val="20"/>
              </w:rPr>
              <w:t>1</w:t>
            </w:r>
          </w:p>
        </w:tc>
        <w:tc>
          <w:tcPr>
            <w:tcW w:w="594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To reflect Audit Finding No. 3 modified via Rebuttal. (I-16)</w:t>
            </w:r>
          </w:p>
        </w:tc>
        <w:tc>
          <w:tcPr>
            <w:tcW w:w="1520" w:type="dxa"/>
            <w:tcBorders>
              <w:top w:val="nil"/>
              <w:left w:val="nil"/>
              <w:bottom w:val="nil"/>
              <w:right w:val="nil"/>
            </w:tcBorders>
            <w:shd w:val="clear" w:color="000000" w:fill="FFFFFF"/>
            <w:noWrap/>
            <w:vAlign w:val="bottom"/>
            <w:hideMark/>
          </w:tcPr>
          <w:p w:rsidR="0051516D" w:rsidRDefault="0051516D">
            <w:pPr>
              <w:jc w:val="right"/>
              <w:rPr>
                <w:sz w:val="20"/>
                <w:szCs w:val="20"/>
                <w:u w:val="single"/>
              </w:rPr>
            </w:pPr>
            <w:r>
              <w:rPr>
                <w:sz w:val="20"/>
                <w:szCs w:val="20"/>
                <w:u w:val="single"/>
              </w:rPr>
              <w:t>($6,017)</w:t>
            </w:r>
          </w:p>
        </w:tc>
        <w:tc>
          <w:tcPr>
            <w:tcW w:w="1660" w:type="dxa"/>
            <w:tcBorders>
              <w:top w:val="nil"/>
              <w:left w:val="nil"/>
              <w:bottom w:val="nil"/>
              <w:right w:val="single" w:sz="4" w:space="0" w:color="auto"/>
            </w:tcBorders>
            <w:shd w:val="clear" w:color="000000" w:fill="FFFFFF"/>
            <w:noWrap/>
            <w:vAlign w:val="bottom"/>
            <w:hideMark/>
          </w:tcPr>
          <w:p w:rsidR="0051516D" w:rsidRDefault="0051516D">
            <w:pPr>
              <w:jc w:val="right"/>
              <w:rPr>
                <w:sz w:val="20"/>
                <w:szCs w:val="20"/>
                <w:u w:val="single"/>
              </w:rPr>
            </w:pPr>
            <w:r>
              <w:rPr>
                <w:sz w:val="20"/>
                <w:szCs w:val="20"/>
                <w:u w:val="single"/>
              </w:rPr>
              <w:t xml:space="preserve">$6,017 </w:t>
            </w:r>
          </w:p>
        </w:tc>
      </w:tr>
      <w:tr w:rsidR="0051516D" w:rsidTr="0051516D">
        <w:trPr>
          <w:trHeight w:val="260"/>
          <w:jc w:val="center"/>
        </w:trPr>
        <w:tc>
          <w:tcPr>
            <w:tcW w:w="480" w:type="dxa"/>
            <w:tcBorders>
              <w:top w:val="nil"/>
              <w:left w:val="single" w:sz="4" w:space="0" w:color="auto"/>
              <w:bottom w:val="nil"/>
              <w:right w:val="nil"/>
            </w:tcBorders>
            <w:shd w:val="clear" w:color="000000" w:fill="FFFFFF"/>
            <w:noWrap/>
            <w:vAlign w:val="bottom"/>
            <w:hideMark/>
          </w:tcPr>
          <w:p w:rsidR="0051516D" w:rsidRDefault="0051516D">
            <w:pPr>
              <w:jc w:val="cente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51516D" w:rsidRDefault="0051516D">
            <w:pPr>
              <w:rPr>
                <w:sz w:val="20"/>
                <w:szCs w:val="20"/>
              </w:rPr>
            </w:pPr>
            <w:r>
              <w:rPr>
                <w:sz w:val="20"/>
                <w:szCs w:val="20"/>
              </w:rPr>
              <w:t xml:space="preserve">    Total</w:t>
            </w:r>
          </w:p>
        </w:tc>
        <w:tc>
          <w:tcPr>
            <w:tcW w:w="1520" w:type="dxa"/>
            <w:tcBorders>
              <w:top w:val="nil"/>
              <w:left w:val="nil"/>
              <w:bottom w:val="nil"/>
              <w:right w:val="nil"/>
            </w:tcBorders>
            <w:shd w:val="clear" w:color="000000" w:fill="FFFFFF"/>
            <w:noWrap/>
            <w:vAlign w:val="bottom"/>
            <w:hideMark/>
          </w:tcPr>
          <w:p w:rsidR="0051516D" w:rsidRDefault="0051516D">
            <w:pPr>
              <w:jc w:val="right"/>
              <w:rPr>
                <w:sz w:val="20"/>
                <w:szCs w:val="20"/>
                <w:u w:val="double"/>
              </w:rPr>
            </w:pPr>
            <w:r>
              <w:rPr>
                <w:sz w:val="20"/>
                <w:szCs w:val="20"/>
                <w:u w:val="double"/>
              </w:rPr>
              <w:t>($6,017)</w:t>
            </w:r>
          </w:p>
        </w:tc>
        <w:tc>
          <w:tcPr>
            <w:tcW w:w="1660" w:type="dxa"/>
            <w:tcBorders>
              <w:top w:val="nil"/>
              <w:left w:val="nil"/>
              <w:bottom w:val="nil"/>
              <w:right w:val="single" w:sz="4" w:space="0" w:color="auto"/>
            </w:tcBorders>
            <w:shd w:val="clear" w:color="000000" w:fill="FFFFFF"/>
            <w:noWrap/>
            <w:vAlign w:val="bottom"/>
            <w:hideMark/>
          </w:tcPr>
          <w:p w:rsidR="0051516D" w:rsidRDefault="0051516D">
            <w:pPr>
              <w:jc w:val="right"/>
              <w:rPr>
                <w:sz w:val="20"/>
                <w:szCs w:val="20"/>
                <w:u w:val="double"/>
              </w:rPr>
            </w:pPr>
            <w:r>
              <w:rPr>
                <w:sz w:val="20"/>
                <w:szCs w:val="20"/>
                <w:u w:val="double"/>
              </w:rPr>
              <w:t xml:space="preserve">$6,017 </w:t>
            </w:r>
          </w:p>
        </w:tc>
      </w:tr>
      <w:tr w:rsidR="0051516D" w:rsidTr="0051516D">
        <w:trPr>
          <w:trHeight w:val="260"/>
          <w:jc w:val="center"/>
        </w:trPr>
        <w:tc>
          <w:tcPr>
            <w:tcW w:w="480" w:type="dxa"/>
            <w:tcBorders>
              <w:top w:val="nil"/>
              <w:left w:val="single" w:sz="4" w:space="0" w:color="auto"/>
              <w:bottom w:val="single" w:sz="4" w:space="0" w:color="auto"/>
              <w:right w:val="nil"/>
            </w:tcBorders>
            <w:shd w:val="clear" w:color="000000" w:fill="FFFFFF"/>
            <w:noWrap/>
            <w:vAlign w:val="bottom"/>
            <w:hideMark/>
          </w:tcPr>
          <w:p w:rsidR="0051516D" w:rsidRDefault="0051516D">
            <w:pPr>
              <w:jc w:val="center"/>
              <w:rPr>
                <w:sz w:val="20"/>
                <w:szCs w:val="20"/>
              </w:rPr>
            </w:pPr>
            <w:r>
              <w:rPr>
                <w:sz w:val="20"/>
                <w:szCs w:val="20"/>
              </w:rPr>
              <w:t> </w:t>
            </w:r>
          </w:p>
        </w:tc>
        <w:tc>
          <w:tcPr>
            <w:tcW w:w="5940" w:type="dxa"/>
            <w:tcBorders>
              <w:top w:val="nil"/>
              <w:left w:val="nil"/>
              <w:bottom w:val="single" w:sz="4" w:space="0" w:color="auto"/>
              <w:right w:val="nil"/>
            </w:tcBorders>
            <w:shd w:val="clear" w:color="000000" w:fill="FFFFFF"/>
            <w:noWrap/>
            <w:vAlign w:val="bottom"/>
            <w:hideMark/>
          </w:tcPr>
          <w:p w:rsidR="0051516D" w:rsidRDefault="0051516D">
            <w:pPr>
              <w:rPr>
                <w:sz w:val="20"/>
                <w:szCs w:val="20"/>
              </w:rPr>
            </w:pPr>
            <w:r>
              <w:rPr>
                <w:sz w:val="20"/>
                <w:szCs w:val="20"/>
              </w:rPr>
              <w:t> </w:t>
            </w:r>
          </w:p>
        </w:tc>
        <w:tc>
          <w:tcPr>
            <w:tcW w:w="1520" w:type="dxa"/>
            <w:tcBorders>
              <w:top w:val="nil"/>
              <w:left w:val="nil"/>
              <w:bottom w:val="single" w:sz="4" w:space="0" w:color="auto"/>
              <w:right w:val="nil"/>
            </w:tcBorders>
            <w:shd w:val="clear" w:color="000000" w:fill="FFFFFF"/>
            <w:noWrap/>
            <w:vAlign w:val="bottom"/>
            <w:hideMark/>
          </w:tcPr>
          <w:p w:rsidR="0051516D" w:rsidRDefault="0051516D">
            <w:pPr>
              <w:rPr>
                <w:sz w:val="20"/>
                <w:szCs w:val="20"/>
              </w:rPr>
            </w:pPr>
            <w:r>
              <w:rPr>
                <w:sz w:val="20"/>
                <w:szCs w:val="20"/>
              </w:rPr>
              <w:t> </w:t>
            </w:r>
          </w:p>
        </w:tc>
        <w:tc>
          <w:tcPr>
            <w:tcW w:w="1660" w:type="dxa"/>
            <w:tcBorders>
              <w:top w:val="nil"/>
              <w:left w:val="nil"/>
              <w:bottom w:val="single" w:sz="4" w:space="0" w:color="auto"/>
              <w:right w:val="single" w:sz="4" w:space="0" w:color="auto"/>
            </w:tcBorders>
            <w:shd w:val="clear" w:color="000000" w:fill="FFFFFF"/>
            <w:noWrap/>
            <w:vAlign w:val="bottom"/>
            <w:hideMark/>
          </w:tcPr>
          <w:p w:rsidR="0051516D" w:rsidRDefault="0051516D">
            <w:pPr>
              <w:rPr>
                <w:sz w:val="20"/>
                <w:szCs w:val="20"/>
              </w:rPr>
            </w:pPr>
            <w:r>
              <w:rPr>
                <w:sz w:val="20"/>
                <w:szCs w:val="20"/>
              </w:rPr>
              <w:t> </w:t>
            </w:r>
          </w:p>
        </w:tc>
      </w:tr>
    </w:tbl>
    <w:p w:rsidR="008F1F2D" w:rsidRDefault="00305B83" w:rsidP="00E275D8">
      <w:pPr>
        <w:pStyle w:val="BodyText"/>
      </w:pPr>
      <w:r>
        <w:fldChar w:fldCharType="begin"/>
      </w:r>
      <w:r>
        <w:instrText xml:space="preserve"> TC "</w:instrText>
      </w:r>
      <w:bookmarkStart w:id="67" w:name="_Toc196317167"/>
      <w:r>
        <w:tab/>
        <w:instrText>Schedule No. 1-C</w:instrText>
      </w:r>
      <w:bookmarkEnd w:id="67"/>
      <w:r>
        <w:instrText xml:space="preserve">" \l 1 </w:instrText>
      </w:r>
      <w:r>
        <w:fldChar w:fldCharType="end"/>
      </w:r>
    </w:p>
    <w:p w:rsidR="004355D6" w:rsidRDefault="004355D6" w:rsidP="008F1F2D">
      <w:pPr>
        <w:sectPr w:rsidR="004355D6" w:rsidSect="0068481F">
          <w:headerReference w:type="default" r:id="rId22"/>
          <w:pgSz w:w="12240" w:h="15840" w:code="1"/>
          <w:pgMar w:top="1584" w:right="1440" w:bottom="1440" w:left="1440" w:header="720" w:footer="720" w:gutter="0"/>
          <w:cols w:space="720"/>
          <w:formProt w:val="0"/>
          <w:docGrid w:linePitch="360"/>
        </w:sectPr>
      </w:pPr>
    </w:p>
    <w:tbl>
      <w:tblPr>
        <w:tblW w:w="13731" w:type="dxa"/>
        <w:jc w:val="center"/>
        <w:tblLook w:val="04A0" w:firstRow="1" w:lastRow="0" w:firstColumn="1" w:lastColumn="0" w:noHBand="0" w:noVBand="1"/>
      </w:tblPr>
      <w:tblGrid>
        <w:gridCol w:w="480"/>
        <w:gridCol w:w="3440"/>
        <w:gridCol w:w="1316"/>
        <w:gridCol w:w="1000"/>
        <w:gridCol w:w="1520"/>
        <w:gridCol w:w="1520"/>
        <w:gridCol w:w="1520"/>
        <w:gridCol w:w="933"/>
        <w:gridCol w:w="963"/>
        <w:gridCol w:w="1039"/>
      </w:tblGrid>
      <w:tr w:rsidR="00305B83" w:rsidTr="009D3FF7">
        <w:trPr>
          <w:trHeight w:val="260"/>
          <w:jc w:val="center"/>
        </w:trPr>
        <w:tc>
          <w:tcPr>
            <w:tcW w:w="480" w:type="dxa"/>
            <w:tcBorders>
              <w:top w:val="single" w:sz="4" w:space="0" w:color="auto"/>
              <w:left w:val="single" w:sz="4" w:space="0" w:color="auto"/>
              <w:bottom w:val="nil"/>
              <w:right w:val="nil"/>
            </w:tcBorders>
            <w:shd w:val="clear" w:color="000000" w:fill="FFFFFF"/>
            <w:noWrap/>
            <w:vAlign w:val="bottom"/>
            <w:hideMark/>
          </w:tcPr>
          <w:p w:rsidR="00305B83" w:rsidRDefault="00305B83">
            <w:pPr>
              <w:rPr>
                <w:color w:val="000000"/>
                <w:sz w:val="20"/>
                <w:szCs w:val="20"/>
              </w:rPr>
            </w:pPr>
            <w:bookmarkStart w:id="68" w:name="RANGE!A4:J37"/>
            <w:r>
              <w:rPr>
                <w:color w:val="000000"/>
                <w:sz w:val="20"/>
                <w:szCs w:val="20"/>
              </w:rPr>
              <w:lastRenderedPageBreak/>
              <w:t> </w:t>
            </w:r>
            <w:bookmarkEnd w:id="68"/>
          </w:p>
        </w:tc>
        <w:tc>
          <w:tcPr>
            <w:tcW w:w="4756" w:type="dxa"/>
            <w:gridSpan w:val="2"/>
            <w:tcBorders>
              <w:top w:val="single" w:sz="4" w:space="0" w:color="auto"/>
              <w:left w:val="nil"/>
              <w:bottom w:val="nil"/>
              <w:right w:val="nil"/>
            </w:tcBorders>
            <w:shd w:val="clear" w:color="000000" w:fill="FFFFFF"/>
            <w:noWrap/>
            <w:vAlign w:val="bottom"/>
            <w:hideMark/>
          </w:tcPr>
          <w:p w:rsidR="00305B83" w:rsidRDefault="00305B83">
            <w:pPr>
              <w:rPr>
                <w:b/>
                <w:bCs/>
                <w:sz w:val="20"/>
                <w:szCs w:val="20"/>
              </w:rPr>
            </w:pPr>
            <w:r>
              <w:rPr>
                <w:b/>
                <w:bCs/>
                <w:sz w:val="20"/>
                <w:szCs w:val="20"/>
              </w:rPr>
              <w:t>Sunshine Water Services Company</w:t>
            </w:r>
          </w:p>
        </w:tc>
        <w:tc>
          <w:tcPr>
            <w:tcW w:w="1000" w:type="dxa"/>
            <w:tcBorders>
              <w:top w:val="single" w:sz="4" w:space="0" w:color="auto"/>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520" w:type="dxa"/>
            <w:tcBorders>
              <w:top w:val="single" w:sz="4" w:space="0" w:color="auto"/>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520" w:type="dxa"/>
            <w:tcBorders>
              <w:top w:val="single" w:sz="4" w:space="0" w:color="auto"/>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520" w:type="dxa"/>
            <w:tcBorders>
              <w:top w:val="single" w:sz="4" w:space="0" w:color="auto"/>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2935" w:type="dxa"/>
            <w:gridSpan w:val="3"/>
            <w:tcBorders>
              <w:top w:val="single" w:sz="4" w:space="0" w:color="auto"/>
              <w:left w:val="nil"/>
              <w:bottom w:val="nil"/>
              <w:right w:val="single" w:sz="4" w:space="0" w:color="000000"/>
            </w:tcBorders>
            <w:shd w:val="clear" w:color="000000" w:fill="FFFFFF"/>
            <w:noWrap/>
            <w:vAlign w:val="bottom"/>
            <w:hideMark/>
          </w:tcPr>
          <w:p w:rsidR="00305B83" w:rsidRDefault="00305B83">
            <w:pPr>
              <w:jc w:val="right"/>
              <w:rPr>
                <w:b/>
                <w:bCs/>
                <w:sz w:val="20"/>
                <w:szCs w:val="20"/>
              </w:rPr>
            </w:pPr>
            <w:r>
              <w:rPr>
                <w:b/>
                <w:bCs/>
                <w:sz w:val="20"/>
                <w:szCs w:val="20"/>
              </w:rPr>
              <w:t>Schedule No. 2</w:t>
            </w:r>
          </w:p>
        </w:tc>
      </w:tr>
      <w:tr w:rsidR="00305B83" w:rsidTr="009D3FF7">
        <w:trPr>
          <w:trHeight w:val="260"/>
          <w:jc w:val="center"/>
        </w:trPr>
        <w:tc>
          <w:tcPr>
            <w:tcW w:w="480" w:type="dxa"/>
            <w:tcBorders>
              <w:top w:val="nil"/>
              <w:left w:val="single" w:sz="4" w:space="0" w:color="auto"/>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3440" w:type="dxa"/>
            <w:tcBorders>
              <w:top w:val="nil"/>
              <w:left w:val="nil"/>
              <w:right w:val="nil"/>
            </w:tcBorders>
            <w:shd w:val="clear" w:color="000000" w:fill="FFFFFF"/>
            <w:noWrap/>
            <w:vAlign w:val="bottom"/>
            <w:hideMark/>
          </w:tcPr>
          <w:p w:rsidR="00305B83" w:rsidRDefault="00305B83">
            <w:pPr>
              <w:rPr>
                <w:b/>
                <w:bCs/>
                <w:sz w:val="20"/>
                <w:szCs w:val="20"/>
              </w:rPr>
            </w:pPr>
            <w:r>
              <w:rPr>
                <w:b/>
                <w:bCs/>
                <w:sz w:val="20"/>
                <w:szCs w:val="20"/>
              </w:rPr>
              <w:t xml:space="preserve">Capital Structure </w:t>
            </w:r>
          </w:p>
        </w:tc>
        <w:tc>
          <w:tcPr>
            <w:tcW w:w="1316" w:type="dxa"/>
            <w:tcBorders>
              <w:top w:val="nil"/>
              <w:left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000" w:type="dxa"/>
            <w:tcBorders>
              <w:top w:val="nil"/>
              <w:left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520" w:type="dxa"/>
            <w:tcBorders>
              <w:top w:val="nil"/>
              <w:left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520" w:type="dxa"/>
            <w:tcBorders>
              <w:top w:val="nil"/>
              <w:left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520" w:type="dxa"/>
            <w:tcBorders>
              <w:top w:val="nil"/>
              <w:left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2935" w:type="dxa"/>
            <w:gridSpan w:val="3"/>
            <w:tcBorders>
              <w:top w:val="nil"/>
              <w:left w:val="nil"/>
              <w:right w:val="single" w:sz="4" w:space="0" w:color="000000"/>
            </w:tcBorders>
            <w:shd w:val="clear" w:color="000000" w:fill="FFFFFF"/>
            <w:noWrap/>
            <w:vAlign w:val="bottom"/>
            <w:hideMark/>
          </w:tcPr>
          <w:p w:rsidR="00305B83" w:rsidRDefault="00305B83">
            <w:pPr>
              <w:jc w:val="right"/>
              <w:rPr>
                <w:b/>
                <w:bCs/>
                <w:sz w:val="20"/>
                <w:szCs w:val="20"/>
              </w:rPr>
            </w:pPr>
            <w:r>
              <w:rPr>
                <w:b/>
                <w:bCs/>
                <w:sz w:val="20"/>
                <w:szCs w:val="20"/>
              </w:rPr>
              <w:t>Docket No. 20240068-WS</w:t>
            </w:r>
          </w:p>
        </w:tc>
      </w:tr>
      <w:tr w:rsidR="00305B83" w:rsidTr="009D3FF7">
        <w:trPr>
          <w:trHeight w:val="260"/>
          <w:jc w:val="center"/>
        </w:trPr>
        <w:tc>
          <w:tcPr>
            <w:tcW w:w="480" w:type="dxa"/>
            <w:tcBorders>
              <w:top w:val="nil"/>
              <w:left w:val="single" w:sz="4" w:space="0" w:color="auto"/>
              <w:bottom w:val="single" w:sz="4" w:space="0" w:color="auto"/>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3440" w:type="dxa"/>
            <w:tcBorders>
              <w:top w:val="nil"/>
              <w:left w:val="nil"/>
              <w:bottom w:val="single" w:sz="4" w:space="0" w:color="auto"/>
              <w:right w:val="nil"/>
            </w:tcBorders>
            <w:shd w:val="clear" w:color="000000" w:fill="FFFFFF"/>
            <w:noWrap/>
            <w:vAlign w:val="bottom"/>
            <w:hideMark/>
          </w:tcPr>
          <w:p w:rsidR="00305B83" w:rsidRDefault="00305B83">
            <w:pPr>
              <w:rPr>
                <w:b/>
                <w:bCs/>
                <w:sz w:val="20"/>
                <w:szCs w:val="20"/>
              </w:rPr>
            </w:pPr>
            <w:r>
              <w:rPr>
                <w:b/>
                <w:bCs/>
                <w:sz w:val="20"/>
                <w:szCs w:val="20"/>
              </w:rPr>
              <w:t>Test Year Ended 12/31/2023</w:t>
            </w:r>
          </w:p>
        </w:tc>
        <w:tc>
          <w:tcPr>
            <w:tcW w:w="1316" w:type="dxa"/>
            <w:tcBorders>
              <w:top w:val="nil"/>
              <w:left w:val="nil"/>
              <w:bottom w:val="single" w:sz="4" w:space="0" w:color="auto"/>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000" w:type="dxa"/>
            <w:tcBorders>
              <w:top w:val="nil"/>
              <w:left w:val="nil"/>
              <w:bottom w:val="single" w:sz="4" w:space="0" w:color="auto"/>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520" w:type="dxa"/>
            <w:tcBorders>
              <w:top w:val="nil"/>
              <w:left w:val="nil"/>
              <w:bottom w:val="single" w:sz="4" w:space="0" w:color="auto"/>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520" w:type="dxa"/>
            <w:tcBorders>
              <w:top w:val="nil"/>
              <w:left w:val="nil"/>
              <w:bottom w:val="single" w:sz="4" w:space="0" w:color="auto"/>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520" w:type="dxa"/>
            <w:tcBorders>
              <w:top w:val="nil"/>
              <w:left w:val="nil"/>
              <w:bottom w:val="single" w:sz="4" w:space="0" w:color="auto"/>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933" w:type="dxa"/>
            <w:tcBorders>
              <w:top w:val="nil"/>
              <w:left w:val="nil"/>
              <w:bottom w:val="single" w:sz="4" w:space="0" w:color="auto"/>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963" w:type="dxa"/>
            <w:tcBorders>
              <w:top w:val="nil"/>
              <w:left w:val="nil"/>
              <w:bottom w:val="single" w:sz="4" w:space="0" w:color="auto"/>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039" w:type="dxa"/>
            <w:tcBorders>
              <w:top w:val="nil"/>
              <w:left w:val="nil"/>
              <w:bottom w:val="single" w:sz="4" w:space="0" w:color="auto"/>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9D3FF7">
        <w:trPr>
          <w:trHeight w:val="260"/>
          <w:jc w:val="center"/>
        </w:trPr>
        <w:tc>
          <w:tcPr>
            <w:tcW w:w="480" w:type="dxa"/>
            <w:tcBorders>
              <w:top w:val="single" w:sz="4" w:space="0" w:color="auto"/>
              <w:left w:val="single" w:sz="4" w:space="0" w:color="auto"/>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3440" w:type="dxa"/>
            <w:tcBorders>
              <w:top w:val="single" w:sz="4" w:space="0" w:color="auto"/>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316" w:type="dxa"/>
            <w:tcBorders>
              <w:top w:val="single" w:sz="4" w:space="0" w:color="auto"/>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000" w:type="dxa"/>
            <w:tcBorders>
              <w:top w:val="single" w:sz="4" w:space="0" w:color="auto"/>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Specific</w:t>
            </w:r>
          </w:p>
        </w:tc>
        <w:tc>
          <w:tcPr>
            <w:tcW w:w="1520" w:type="dxa"/>
            <w:tcBorders>
              <w:top w:val="single" w:sz="4" w:space="0" w:color="auto"/>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Subtotal</w:t>
            </w:r>
          </w:p>
        </w:tc>
        <w:tc>
          <w:tcPr>
            <w:tcW w:w="1520" w:type="dxa"/>
            <w:tcBorders>
              <w:top w:val="single" w:sz="4" w:space="0" w:color="auto"/>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Prorata</w:t>
            </w:r>
          </w:p>
        </w:tc>
        <w:tc>
          <w:tcPr>
            <w:tcW w:w="1520" w:type="dxa"/>
            <w:tcBorders>
              <w:top w:val="single" w:sz="4" w:space="0" w:color="auto"/>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Capital</w:t>
            </w:r>
          </w:p>
        </w:tc>
        <w:tc>
          <w:tcPr>
            <w:tcW w:w="933" w:type="dxa"/>
            <w:tcBorders>
              <w:top w:val="single" w:sz="4" w:space="0" w:color="auto"/>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963" w:type="dxa"/>
            <w:tcBorders>
              <w:top w:val="single" w:sz="4" w:space="0" w:color="auto"/>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039" w:type="dxa"/>
            <w:tcBorders>
              <w:top w:val="single" w:sz="4" w:space="0" w:color="auto"/>
              <w:left w:val="nil"/>
              <w:bottom w:val="nil"/>
              <w:right w:val="single" w:sz="4" w:space="0" w:color="auto"/>
            </w:tcBorders>
            <w:shd w:val="clear" w:color="000000" w:fill="FFFFFF"/>
            <w:noWrap/>
            <w:vAlign w:val="bottom"/>
            <w:hideMark/>
          </w:tcPr>
          <w:p w:rsidR="00305B83" w:rsidRDefault="00305B83">
            <w:pPr>
              <w:rPr>
                <w:b/>
                <w:bCs/>
                <w:sz w:val="20"/>
                <w:szCs w:val="20"/>
              </w:rPr>
            </w:pPr>
            <w:r>
              <w:rPr>
                <w:b/>
                <w:bCs/>
                <w:sz w:val="20"/>
                <w:szCs w:val="20"/>
              </w:rPr>
              <w:t> </w:t>
            </w:r>
          </w:p>
        </w:tc>
      </w:tr>
      <w:tr w:rsidR="00305B83" w:rsidTr="009D3FF7">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344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316"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Total</w:t>
            </w:r>
          </w:p>
        </w:tc>
        <w:tc>
          <w:tcPr>
            <w:tcW w:w="100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Adjust-</w:t>
            </w:r>
          </w:p>
        </w:tc>
        <w:tc>
          <w:tcPr>
            <w:tcW w:w="15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Adjusted</w:t>
            </w:r>
          </w:p>
        </w:tc>
        <w:tc>
          <w:tcPr>
            <w:tcW w:w="15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Adjust-</w:t>
            </w:r>
          </w:p>
        </w:tc>
        <w:tc>
          <w:tcPr>
            <w:tcW w:w="15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Reconciled</w:t>
            </w:r>
          </w:p>
        </w:tc>
        <w:tc>
          <w:tcPr>
            <w:tcW w:w="933"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963"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Cost</w:t>
            </w:r>
          </w:p>
        </w:tc>
        <w:tc>
          <w:tcPr>
            <w:tcW w:w="1039" w:type="dxa"/>
            <w:tcBorders>
              <w:top w:val="nil"/>
              <w:left w:val="nil"/>
              <w:bottom w:val="nil"/>
              <w:right w:val="single" w:sz="4" w:space="0" w:color="auto"/>
            </w:tcBorders>
            <w:shd w:val="clear" w:color="000000" w:fill="FFFFFF"/>
            <w:noWrap/>
            <w:vAlign w:val="bottom"/>
            <w:hideMark/>
          </w:tcPr>
          <w:p w:rsidR="00305B83" w:rsidRDefault="00305B83">
            <w:pPr>
              <w:jc w:val="center"/>
              <w:rPr>
                <w:b/>
                <w:bCs/>
                <w:sz w:val="20"/>
                <w:szCs w:val="20"/>
              </w:rPr>
            </w:pPr>
            <w:r>
              <w:rPr>
                <w:b/>
                <w:bCs/>
                <w:sz w:val="20"/>
                <w:szCs w:val="20"/>
              </w:rPr>
              <w:t>Weighted</w:t>
            </w:r>
          </w:p>
        </w:tc>
      </w:tr>
      <w:tr w:rsidR="00305B83" w:rsidTr="009D3FF7">
        <w:trPr>
          <w:trHeight w:val="260"/>
          <w:jc w:val="center"/>
        </w:trPr>
        <w:tc>
          <w:tcPr>
            <w:tcW w:w="480" w:type="dxa"/>
            <w:tcBorders>
              <w:top w:val="nil"/>
              <w:left w:val="single" w:sz="4" w:space="0" w:color="auto"/>
              <w:bottom w:val="single" w:sz="4" w:space="0" w:color="auto"/>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3440" w:type="dxa"/>
            <w:tcBorders>
              <w:top w:val="nil"/>
              <w:left w:val="nil"/>
              <w:bottom w:val="single" w:sz="4" w:space="0" w:color="auto"/>
              <w:right w:val="nil"/>
            </w:tcBorders>
            <w:shd w:val="clear" w:color="000000" w:fill="FFFFFF"/>
            <w:noWrap/>
            <w:vAlign w:val="bottom"/>
            <w:hideMark/>
          </w:tcPr>
          <w:p w:rsidR="00305B83" w:rsidRDefault="00305B83">
            <w:pPr>
              <w:jc w:val="center"/>
              <w:rPr>
                <w:b/>
                <w:bCs/>
                <w:sz w:val="20"/>
                <w:szCs w:val="20"/>
              </w:rPr>
            </w:pPr>
            <w:r>
              <w:rPr>
                <w:b/>
                <w:bCs/>
                <w:sz w:val="20"/>
                <w:szCs w:val="20"/>
              </w:rPr>
              <w:t>Description</w:t>
            </w:r>
          </w:p>
        </w:tc>
        <w:tc>
          <w:tcPr>
            <w:tcW w:w="1316" w:type="dxa"/>
            <w:tcBorders>
              <w:top w:val="nil"/>
              <w:left w:val="nil"/>
              <w:bottom w:val="single" w:sz="4" w:space="0" w:color="auto"/>
              <w:right w:val="nil"/>
            </w:tcBorders>
            <w:shd w:val="clear" w:color="000000" w:fill="FFFFFF"/>
            <w:noWrap/>
            <w:vAlign w:val="bottom"/>
            <w:hideMark/>
          </w:tcPr>
          <w:p w:rsidR="00305B83" w:rsidRDefault="00305B83">
            <w:pPr>
              <w:jc w:val="center"/>
              <w:rPr>
                <w:b/>
                <w:bCs/>
                <w:sz w:val="20"/>
                <w:szCs w:val="20"/>
              </w:rPr>
            </w:pPr>
            <w:r>
              <w:rPr>
                <w:b/>
                <w:bCs/>
                <w:sz w:val="20"/>
                <w:szCs w:val="20"/>
              </w:rPr>
              <w:t>Capital</w:t>
            </w:r>
          </w:p>
        </w:tc>
        <w:tc>
          <w:tcPr>
            <w:tcW w:w="1000" w:type="dxa"/>
            <w:tcBorders>
              <w:top w:val="nil"/>
              <w:left w:val="nil"/>
              <w:bottom w:val="single" w:sz="4" w:space="0" w:color="auto"/>
              <w:right w:val="nil"/>
            </w:tcBorders>
            <w:shd w:val="clear" w:color="000000" w:fill="FFFFFF"/>
            <w:noWrap/>
            <w:vAlign w:val="bottom"/>
            <w:hideMark/>
          </w:tcPr>
          <w:p w:rsidR="00305B83" w:rsidRDefault="00305B83">
            <w:pPr>
              <w:jc w:val="center"/>
              <w:rPr>
                <w:b/>
                <w:bCs/>
                <w:sz w:val="20"/>
                <w:szCs w:val="20"/>
              </w:rPr>
            </w:pPr>
            <w:r>
              <w:rPr>
                <w:b/>
                <w:bCs/>
                <w:sz w:val="20"/>
                <w:szCs w:val="20"/>
              </w:rPr>
              <w:t>ments</w:t>
            </w:r>
          </w:p>
        </w:tc>
        <w:tc>
          <w:tcPr>
            <w:tcW w:w="1520" w:type="dxa"/>
            <w:tcBorders>
              <w:top w:val="nil"/>
              <w:left w:val="nil"/>
              <w:bottom w:val="single" w:sz="4" w:space="0" w:color="auto"/>
              <w:right w:val="nil"/>
            </w:tcBorders>
            <w:shd w:val="clear" w:color="000000" w:fill="FFFFFF"/>
            <w:noWrap/>
            <w:vAlign w:val="bottom"/>
            <w:hideMark/>
          </w:tcPr>
          <w:p w:rsidR="00305B83" w:rsidRDefault="00305B83">
            <w:pPr>
              <w:jc w:val="center"/>
              <w:rPr>
                <w:b/>
                <w:bCs/>
                <w:sz w:val="20"/>
                <w:szCs w:val="20"/>
              </w:rPr>
            </w:pPr>
            <w:r>
              <w:rPr>
                <w:b/>
                <w:bCs/>
                <w:sz w:val="20"/>
                <w:szCs w:val="20"/>
              </w:rPr>
              <w:t>Capital</w:t>
            </w:r>
          </w:p>
        </w:tc>
        <w:tc>
          <w:tcPr>
            <w:tcW w:w="1520" w:type="dxa"/>
            <w:tcBorders>
              <w:top w:val="nil"/>
              <w:left w:val="nil"/>
              <w:bottom w:val="single" w:sz="4" w:space="0" w:color="auto"/>
              <w:right w:val="nil"/>
            </w:tcBorders>
            <w:shd w:val="clear" w:color="000000" w:fill="FFFFFF"/>
            <w:noWrap/>
            <w:vAlign w:val="bottom"/>
            <w:hideMark/>
          </w:tcPr>
          <w:p w:rsidR="00305B83" w:rsidRDefault="00305B83">
            <w:pPr>
              <w:jc w:val="center"/>
              <w:rPr>
                <w:b/>
                <w:bCs/>
                <w:sz w:val="20"/>
                <w:szCs w:val="20"/>
              </w:rPr>
            </w:pPr>
            <w:r>
              <w:rPr>
                <w:b/>
                <w:bCs/>
                <w:sz w:val="20"/>
                <w:szCs w:val="20"/>
              </w:rPr>
              <w:t>ments</w:t>
            </w:r>
          </w:p>
        </w:tc>
        <w:tc>
          <w:tcPr>
            <w:tcW w:w="1520" w:type="dxa"/>
            <w:tcBorders>
              <w:top w:val="nil"/>
              <w:left w:val="nil"/>
              <w:bottom w:val="single" w:sz="4" w:space="0" w:color="auto"/>
              <w:right w:val="nil"/>
            </w:tcBorders>
            <w:shd w:val="clear" w:color="000000" w:fill="FFFFFF"/>
            <w:noWrap/>
            <w:vAlign w:val="bottom"/>
            <w:hideMark/>
          </w:tcPr>
          <w:p w:rsidR="00305B83" w:rsidRDefault="00305B83">
            <w:pPr>
              <w:jc w:val="center"/>
              <w:rPr>
                <w:b/>
                <w:bCs/>
                <w:sz w:val="20"/>
                <w:szCs w:val="20"/>
              </w:rPr>
            </w:pPr>
            <w:r>
              <w:rPr>
                <w:b/>
                <w:bCs/>
                <w:sz w:val="20"/>
                <w:szCs w:val="20"/>
              </w:rPr>
              <w:t>to Rate Base</w:t>
            </w:r>
          </w:p>
        </w:tc>
        <w:tc>
          <w:tcPr>
            <w:tcW w:w="933" w:type="dxa"/>
            <w:tcBorders>
              <w:top w:val="nil"/>
              <w:left w:val="nil"/>
              <w:bottom w:val="single" w:sz="4" w:space="0" w:color="auto"/>
              <w:right w:val="nil"/>
            </w:tcBorders>
            <w:shd w:val="clear" w:color="000000" w:fill="FFFFFF"/>
            <w:noWrap/>
            <w:vAlign w:val="bottom"/>
            <w:hideMark/>
          </w:tcPr>
          <w:p w:rsidR="00305B83" w:rsidRDefault="00305B83">
            <w:pPr>
              <w:jc w:val="center"/>
              <w:rPr>
                <w:b/>
                <w:bCs/>
                <w:sz w:val="20"/>
                <w:szCs w:val="20"/>
              </w:rPr>
            </w:pPr>
            <w:r>
              <w:rPr>
                <w:b/>
                <w:bCs/>
                <w:sz w:val="20"/>
                <w:szCs w:val="20"/>
              </w:rPr>
              <w:t>Ratio</w:t>
            </w:r>
          </w:p>
        </w:tc>
        <w:tc>
          <w:tcPr>
            <w:tcW w:w="963" w:type="dxa"/>
            <w:tcBorders>
              <w:top w:val="nil"/>
              <w:left w:val="nil"/>
              <w:bottom w:val="single" w:sz="4" w:space="0" w:color="auto"/>
              <w:right w:val="nil"/>
            </w:tcBorders>
            <w:shd w:val="clear" w:color="000000" w:fill="FFFFFF"/>
            <w:noWrap/>
            <w:vAlign w:val="bottom"/>
            <w:hideMark/>
          </w:tcPr>
          <w:p w:rsidR="00305B83" w:rsidRDefault="00305B83">
            <w:pPr>
              <w:jc w:val="center"/>
              <w:rPr>
                <w:b/>
                <w:bCs/>
                <w:sz w:val="20"/>
                <w:szCs w:val="20"/>
              </w:rPr>
            </w:pPr>
            <w:r>
              <w:rPr>
                <w:b/>
                <w:bCs/>
                <w:sz w:val="20"/>
                <w:szCs w:val="20"/>
              </w:rPr>
              <w:t>Rate</w:t>
            </w:r>
          </w:p>
        </w:tc>
        <w:tc>
          <w:tcPr>
            <w:tcW w:w="1039" w:type="dxa"/>
            <w:tcBorders>
              <w:top w:val="nil"/>
              <w:left w:val="nil"/>
              <w:bottom w:val="single" w:sz="4" w:space="0" w:color="auto"/>
              <w:right w:val="single" w:sz="4" w:space="0" w:color="auto"/>
            </w:tcBorders>
            <w:shd w:val="clear" w:color="000000" w:fill="FFFFFF"/>
            <w:noWrap/>
            <w:vAlign w:val="bottom"/>
            <w:hideMark/>
          </w:tcPr>
          <w:p w:rsidR="00305B83" w:rsidRDefault="00305B83">
            <w:pPr>
              <w:jc w:val="center"/>
              <w:rPr>
                <w:b/>
                <w:bCs/>
                <w:sz w:val="20"/>
                <w:szCs w:val="20"/>
              </w:rPr>
            </w:pPr>
            <w:r>
              <w:rPr>
                <w:b/>
                <w:bCs/>
                <w:sz w:val="20"/>
                <w:szCs w:val="20"/>
              </w:rPr>
              <w:t>Cost</w:t>
            </w:r>
          </w:p>
        </w:tc>
      </w:tr>
      <w:tr w:rsidR="00305B83" w:rsidTr="009D3FF7">
        <w:trPr>
          <w:trHeight w:val="260"/>
          <w:jc w:val="center"/>
        </w:trPr>
        <w:tc>
          <w:tcPr>
            <w:tcW w:w="3920" w:type="dxa"/>
            <w:gridSpan w:val="2"/>
            <w:tcBorders>
              <w:top w:val="nil"/>
              <w:left w:val="single" w:sz="4" w:space="0" w:color="auto"/>
              <w:bottom w:val="nil"/>
              <w:right w:val="nil"/>
            </w:tcBorders>
            <w:shd w:val="clear" w:color="000000" w:fill="FFFFFF"/>
            <w:noWrap/>
            <w:vAlign w:val="bottom"/>
            <w:hideMark/>
          </w:tcPr>
          <w:p w:rsidR="00305B83" w:rsidRDefault="00305B83">
            <w:pPr>
              <w:rPr>
                <w:b/>
                <w:bCs/>
                <w:sz w:val="20"/>
                <w:szCs w:val="20"/>
              </w:rPr>
            </w:pPr>
            <w:r>
              <w:rPr>
                <w:b/>
                <w:bCs/>
                <w:sz w:val="20"/>
                <w:szCs w:val="20"/>
              </w:rPr>
              <w:t>Per Utility</w:t>
            </w:r>
          </w:p>
        </w:tc>
        <w:tc>
          <w:tcPr>
            <w:tcW w:w="1316"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00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5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5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5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933"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963"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039"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9D3FF7">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1</w:t>
            </w:r>
          </w:p>
        </w:tc>
        <w:tc>
          <w:tcPr>
            <w:tcW w:w="34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Long-term Debt</w:t>
            </w:r>
          </w:p>
        </w:tc>
        <w:tc>
          <w:tcPr>
            <w:tcW w:w="1316"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$321,846,154</w:t>
            </w:r>
          </w:p>
        </w:tc>
        <w:tc>
          <w:tcPr>
            <w:tcW w:w="100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$0</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$321,846,154</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($254,367,902)</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$67,478,252</w:t>
            </w:r>
          </w:p>
        </w:tc>
        <w:tc>
          <w:tcPr>
            <w:tcW w:w="933"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36.51%</w:t>
            </w:r>
          </w:p>
        </w:tc>
        <w:tc>
          <w:tcPr>
            <w:tcW w:w="963"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4.92%</w:t>
            </w:r>
          </w:p>
        </w:tc>
        <w:tc>
          <w:tcPr>
            <w:tcW w:w="1039"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1.80%</w:t>
            </w:r>
          </w:p>
        </w:tc>
      </w:tr>
      <w:tr w:rsidR="00305B83" w:rsidTr="009D3FF7">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2</w:t>
            </w:r>
          </w:p>
        </w:tc>
        <w:tc>
          <w:tcPr>
            <w:tcW w:w="34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Long-Term Debt - Variable</w:t>
            </w:r>
          </w:p>
        </w:tc>
        <w:tc>
          <w:tcPr>
            <w:tcW w:w="1316"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70,192,308 </w:t>
            </w:r>
          </w:p>
        </w:tc>
        <w:tc>
          <w:tcPr>
            <w:tcW w:w="100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0 </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70,192,308 </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(55,467,254)</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14,725,054 </w:t>
            </w:r>
          </w:p>
        </w:tc>
        <w:tc>
          <w:tcPr>
            <w:tcW w:w="933"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7.97%</w:t>
            </w:r>
          </w:p>
        </w:tc>
        <w:tc>
          <w:tcPr>
            <w:tcW w:w="963"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7.51%</w:t>
            </w:r>
          </w:p>
        </w:tc>
        <w:tc>
          <w:tcPr>
            <w:tcW w:w="1039"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0.60%</w:t>
            </w:r>
          </w:p>
        </w:tc>
      </w:tr>
      <w:tr w:rsidR="00305B83" w:rsidTr="009D3FF7">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3</w:t>
            </w:r>
          </w:p>
        </w:tc>
        <w:tc>
          <w:tcPr>
            <w:tcW w:w="34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Short-term Debt</w:t>
            </w:r>
          </w:p>
        </w:tc>
        <w:tc>
          <w:tcPr>
            <w:tcW w:w="1316"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19,076,923 </w:t>
            </w:r>
          </w:p>
        </w:tc>
        <w:tc>
          <w:tcPr>
            <w:tcW w:w="100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0 </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19,076,923 </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(15,083,100)</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3,993,823 </w:t>
            </w:r>
          </w:p>
        </w:tc>
        <w:tc>
          <w:tcPr>
            <w:tcW w:w="933"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2.16%</w:t>
            </w:r>
          </w:p>
        </w:tc>
        <w:tc>
          <w:tcPr>
            <w:tcW w:w="963"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8.25%</w:t>
            </w:r>
          </w:p>
        </w:tc>
        <w:tc>
          <w:tcPr>
            <w:tcW w:w="1039"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0.18%</w:t>
            </w:r>
          </w:p>
        </w:tc>
      </w:tr>
      <w:tr w:rsidR="00305B83" w:rsidTr="009D3FF7">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4</w:t>
            </w:r>
          </w:p>
        </w:tc>
        <w:tc>
          <w:tcPr>
            <w:tcW w:w="34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Preferred Stock</w:t>
            </w:r>
          </w:p>
        </w:tc>
        <w:tc>
          <w:tcPr>
            <w:tcW w:w="1316"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0 </w:t>
            </w:r>
          </w:p>
        </w:tc>
        <w:tc>
          <w:tcPr>
            <w:tcW w:w="100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0 </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0 </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0 </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0 </w:t>
            </w:r>
          </w:p>
        </w:tc>
        <w:tc>
          <w:tcPr>
            <w:tcW w:w="933"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0.00%</w:t>
            </w:r>
          </w:p>
        </w:tc>
        <w:tc>
          <w:tcPr>
            <w:tcW w:w="963"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0.00%</w:t>
            </w:r>
          </w:p>
        </w:tc>
        <w:tc>
          <w:tcPr>
            <w:tcW w:w="1039"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0.00%</w:t>
            </w:r>
          </w:p>
        </w:tc>
      </w:tr>
      <w:tr w:rsidR="00305B83" w:rsidTr="009D3FF7">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5</w:t>
            </w:r>
          </w:p>
        </w:tc>
        <w:tc>
          <w:tcPr>
            <w:tcW w:w="34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Common Equity</w:t>
            </w:r>
          </w:p>
        </w:tc>
        <w:tc>
          <w:tcPr>
            <w:tcW w:w="1316"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417,085,969 </w:t>
            </w:r>
          </w:p>
        </w:tc>
        <w:tc>
          <w:tcPr>
            <w:tcW w:w="100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0 </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417,085,969 </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(329,638,600)</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87,447,369 </w:t>
            </w:r>
          </w:p>
        </w:tc>
        <w:tc>
          <w:tcPr>
            <w:tcW w:w="933"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47.32%</w:t>
            </w:r>
          </w:p>
        </w:tc>
        <w:tc>
          <w:tcPr>
            <w:tcW w:w="963"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10.36%</w:t>
            </w:r>
            <w:r w:rsidR="00F3585F">
              <w:rPr>
                <w:rStyle w:val="FootnoteReference"/>
                <w:sz w:val="20"/>
                <w:szCs w:val="20"/>
              </w:rPr>
              <w:footnoteReference w:id="45"/>
            </w:r>
          </w:p>
        </w:tc>
        <w:tc>
          <w:tcPr>
            <w:tcW w:w="1039"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4.90%</w:t>
            </w:r>
          </w:p>
        </w:tc>
      </w:tr>
      <w:tr w:rsidR="00305B83" w:rsidTr="009D3FF7">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6</w:t>
            </w:r>
          </w:p>
        </w:tc>
        <w:tc>
          <w:tcPr>
            <w:tcW w:w="34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Customer Deposits</w:t>
            </w:r>
          </w:p>
        </w:tc>
        <w:tc>
          <w:tcPr>
            <w:tcW w:w="1316"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319,453 </w:t>
            </w:r>
          </w:p>
        </w:tc>
        <w:tc>
          <w:tcPr>
            <w:tcW w:w="100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0 </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319,453 </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0 </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319,453 </w:t>
            </w:r>
          </w:p>
        </w:tc>
        <w:tc>
          <w:tcPr>
            <w:tcW w:w="933"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0.17%</w:t>
            </w:r>
          </w:p>
        </w:tc>
        <w:tc>
          <w:tcPr>
            <w:tcW w:w="963"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2.00%</w:t>
            </w:r>
          </w:p>
        </w:tc>
        <w:tc>
          <w:tcPr>
            <w:tcW w:w="1039"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0.00%</w:t>
            </w:r>
          </w:p>
        </w:tc>
      </w:tr>
      <w:tr w:rsidR="00305B83" w:rsidTr="009D3FF7">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7</w:t>
            </w:r>
          </w:p>
        </w:tc>
        <w:tc>
          <w:tcPr>
            <w:tcW w:w="34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Accumulated Deferred ITC's</w:t>
            </w:r>
          </w:p>
        </w:tc>
        <w:tc>
          <w:tcPr>
            <w:tcW w:w="1316"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61,653 </w:t>
            </w:r>
          </w:p>
        </w:tc>
        <w:tc>
          <w:tcPr>
            <w:tcW w:w="100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0 </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61,653 </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0 </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61,653 </w:t>
            </w:r>
          </w:p>
        </w:tc>
        <w:tc>
          <w:tcPr>
            <w:tcW w:w="933"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0.03%</w:t>
            </w:r>
          </w:p>
        </w:tc>
        <w:tc>
          <w:tcPr>
            <w:tcW w:w="963"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0.00%</w:t>
            </w:r>
          </w:p>
        </w:tc>
        <w:tc>
          <w:tcPr>
            <w:tcW w:w="1039"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0.00%</w:t>
            </w:r>
          </w:p>
        </w:tc>
      </w:tr>
      <w:tr w:rsidR="00305B83" w:rsidTr="009D3FF7">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8</w:t>
            </w:r>
          </w:p>
        </w:tc>
        <w:tc>
          <w:tcPr>
            <w:tcW w:w="34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Deferred Income Taxes</w:t>
            </w:r>
          </w:p>
        </w:tc>
        <w:tc>
          <w:tcPr>
            <w:tcW w:w="1316"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5,833,302 </w:t>
            </w:r>
          </w:p>
        </w:tc>
        <w:tc>
          <w:tcPr>
            <w:tcW w:w="100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(10,469)</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5,822,833 </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0 </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5,822,833 </w:t>
            </w:r>
          </w:p>
        </w:tc>
        <w:tc>
          <w:tcPr>
            <w:tcW w:w="933"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3.15%</w:t>
            </w:r>
          </w:p>
        </w:tc>
        <w:tc>
          <w:tcPr>
            <w:tcW w:w="963"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0.00%</w:t>
            </w:r>
          </w:p>
        </w:tc>
        <w:tc>
          <w:tcPr>
            <w:tcW w:w="1039"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0.00%</w:t>
            </w:r>
          </w:p>
        </w:tc>
      </w:tr>
      <w:tr w:rsidR="00305B83" w:rsidTr="009D3FF7">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9</w:t>
            </w:r>
          </w:p>
        </w:tc>
        <w:tc>
          <w:tcPr>
            <w:tcW w:w="34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Other Deferred Tax Liability - TCJA</w:t>
            </w:r>
          </w:p>
        </w:tc>
        <w:tc>
          <w:tcPr>
            <w:tcW w:w="1316"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4,969,273</w:t>
            </w:r>
          </w:p>
        </w:tc>
        <w:tc>
          <w:tcPr>
            <w:tcW w:w="100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0</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4,969,273</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0</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4,969,273</w:t>
            </w:r>
          </w:p>
        </w:tc>
        <w:tc>
          <w:tcPr>
            <w:tcW w:w="933"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2.69%</w:t>
            </w:r>
          </w:p>
        </w:tc>
        <w:tc>
          <w:tcPr>
            <w:tcW w:w="963"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0.00%</w:t>
            </w:r>
          </w:p>
        </w:tc>
        <w:tc>
          <w:tcPr>
            <w:tcW w:w="1039"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u w:val="single"/>
              </w:rPr>
            </w:pPr>
            <w:r>
              <w:rPr>
                <w:sz w:val="20"/>
                <w:szCs w:val="20"/>
                <w:u w:val="single"/>
              </w:rPr>
              <w:t>0.00%</w:t>
            </w:r>
          </w:p>
        </w:tc>
      </w:tr>
      <w:tr w:rsidR="00305B83" w:rsidTr="009D3FF7">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10</w:t>
            </w:r>
          </w:p>
        </w:tc>
        <w:tc>
          <w:tcPr>
            <w:tcW w:w="344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Total Capital</w:t>
            </w:r>
          </w:p>
        </w:tc>
        <w:tc>
          <w:tcPr>
            <w:tcW w:w="1316" w:type="dxa"/>
            <w:tcBorders>
              <w:top w:val="nil"/>
              <w:left w:val="nil"/>
              <w:bottom w:val="nil"/>
              <w:right w:val="nil"/>
            </w:tcBorders>
            <w:shd w:val="clear" w:color="000000" w:fill="FFFFFF"/>
            <w:noWrap/>
            <w:vAlign w:val="bottom"/>
            <w:hideMark/>
          </w:tcPr>
          <w:p w:rsidR="00305B83" w:rsidRDefault="00305B83">
            <w:pPr>
              <w:jc w:val="right"/>
              <w:rPr>
                <w:sz w:val="20"/>
                <w:szCs w:val="20"/>
                <w:u w:val="double"/>
              </w:rPr>
            </w:pPr>
            <w:r>
              <w:rPr>
                <w:sz w:val="20"/>
                <w:szCs w:val="20"/>
                <w:u w:val="double"/>
              </w:rPr>
              <w:t xml:space="preserve">$839,385,035 </w:t>
            </w:r>
          </w:p>
        </w:tc>
        <w:tc>
          <w:tcPr>
            <w:tcW w:w="1000" w:type="dxa"/>
            <w:tcBorders>
              <w:top w:val="nil"/>
              <w:left w:val="nil"/>
              <w:bottom w:val="nil"/>
              <w:right w:val="nil"/>
            </w:tcBorders>
            <w:shd w:val="clear" w:color="000000" w:fill="FFFFFF"/>
            <w:noWrap/>
            <w:vAlign w:val="bottom"/>
            <w:hideMark/>
          </w:tcPr>
          <w:p w:rsidR="00305B83" w:rsidRDefault="00305B83">
            <w:pPr>
              <w:jc w:val="right"/>
              <w:rPr>
                <w:sz w:val="20"/>
                <w:szCs w:val="20"/>
                <w:u w:val="double"/>
              </w:rPr>
            </w:pPr>
            <w:r>
              <w:rPr>
                <w:sz w:val="20"/>
                <w:szCs w:val="20"/>
                <w:u w:val="double"/>
              </w:rPr>
              <w:t>($10,469)</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u w:val="double"/>
              </w:rPr>
            </w:pPr>
            <w:r>
              <w:rPr>
                <w:sz w:val="20"/>
                <w:szCs w:val="20"/>
                <w:u w:val="double"/>
              </w:rPr>
              <w:t xml:space="preserve">$839,374,566 </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u w:val="double"/>
              </w:rPr>
            </w:pPr>
            <w:r>
              <w:rPr>
                <w:sz w:val="20"/>
                <w:szCs w:val="20"/>
                <w:u w:val="double"/>
              </w:rPr>
              <w:t>($654,556,856)</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u w:val="double"/>
              </w:rPr>
            </w:pPr>
            <w:r>
              <w:rPr>
                <w:sz w:val="20"/>
                <w:szCs w:val="20"/>
                <w:u w:val="double"/>
              </w:rPr>
              <w:t xml:space="preserve">$184,817,710 </w:t>
            </w:r>
          </w:p>
        </w:tc>
        <w:tc>
          <w:tcPr>
            <w:tcW w:w="933" w:type="dxa"/>
            <w:tcBorders>
              <w:top w:val="nil"/>
              <w:left w:val="nil"/>
              <w:bottom w:val="nil"/>
              <w:right w:val="nil"/>
            </w:tcBorders>
            <w:shd w:val="clear" w:color="000000" w:fill="FFFFFF"/>
            <w:noWrap/>
            <w:vAlign w:val="bottom"/>
            <w:hideMark/>
          </w:tcPr>
          <w:p w:rsidR="00305B83" w:rsidRDefault="00305B83">
            <w:pPr>
              <w:jc w:val="right"/>
              <w:rPr>
                <w:sz w:val="20"/>
                <w:szCs w:val="20"/>
                <w:u w:val="double"/>
              </w:rPr>
            </w:pPr>
            <w:r>
              <w:rPr>
                <w:sz w:val="20"/>
                <w:szCs w:val="20"/>
                <w:u w:val="double"/>
              </w:rPr>
              <w:t>100.00%</w:t>
            </w:r>
          </w:p>
        </w:tc>
        <w:tc>
          <w:tcPr>
            <w:tcW w:w="963" w:type="dxa"/>
            <w:tcBorders>
              <w:top w:val="nil"/>
              <w:left w:val="nil"/>
              <w:bottom w:val="nil"/>
              <w:right w:val="nil"/>
            </w:tcBorders>
            <w:shd w:val="clear" w:color="000000" w:fill="FFFFFF"/>
            <w:noWrap/>
            <w:vAlign w:val="bottom"/>
            <w:hideMark/>
          </w:tcPr>
          <w:p w:rsidR="00305B83" w:rsidRDefault="00305B83">
            <w:pPr>
              <w:rPr>
                <w:sz w:val="20"/>
                <w:szCs w:val="20"/>
                <w:u w:val="double"/>
              </w:rPr>
            </w:pPr>
          </w:p>
        </w:tc>
        <w:tc>
          <w:tcPr>
            <w:tcW w:w="1039"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u w:val="double"/>
              </w:rPr>
            </w:pPr>
            <w:r>
              <w:rPr>
                <w:sz w:val="20"/>
                <w:szCs w:val="20"/>
                <w:u w:val="double"/>
              </w:rPr>
              <w:t>7.478%</w:t>
            </w:r>
          </w:p>
        </w:tc>
      </w:tr>
      <w:tr w:rsidR="00305B83" w:rsidTr="009D3FF7">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344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316"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00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5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5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5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933"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963" w:type="dxa"/>
            <w:tcBorders>
              <w:top w:val="nil"/>
              <w:left w:val="nil"/>
              <w:bottom w:val="nil"/>
              <w:right w:val="nil"/>
            </w:tcBorders>
            <w:shd w:val="clear" w:color="000000" w:fill="FFFFFF"/>
            <w:noWrap/>
            <w:vAlign w:val="bottom"/>
            <w:hideMark/>
          </w:tcPr>
          <w:p w:rsidR="00305B83" w:rsidRDefault="00305B83">
            <w:pPr>
              <w:rPr>
                <w:color w:val="000000"/>
                <w:sz w:val="20"/>
                <w:szCs w:val="20"/>
              </w:rPr>
            </w:pPr>
          </w:p>
        </w:tc>
        <w:tc>
          <w:tcPr>
            <w:tcW w:w="1039"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9D3FF7">
        <w:trPr>
          <w:trHeight w:val="260"/>
          <w:jc w:val="center"/>
        </w:trPr>
        <w:tc>
          <w:tcPr>
            <w:tcW w:w="3920" w:type="dxa"/>
            <w:gridSpan w:val="2"/>
            <w:tcBorders>
              <w:top w:val="nil"/>
              <w:left w:val="single" w:sz="4" w:space="0" w:color="auto"/>
              <w:bottom w:val="nil"/>
              <w:right w:val="nil"/>
            </w:tcBorders>
            <w:shd w:val="clear" w:color="000000" w:fill="FFFFFF"/>
            <w:noWrap/>
            <w:vAlign w:val="bottom"/>
            <w:hideMark/>
          </w:tcPr>
          <w:p w:rsidR="00305B83" w:rsidRDefault="00305B83">
            <w:pPr>
              <w:rPr>
                <w:b/>
                <w:bCs/>
                <w:sz w:val="20"/>
                <w:szCs w:val="20"/>
              </w:rPr>
            </w:pPr>
            <w:r>
              <w:rPr>
                <w:b/>
                <w:bCs/>
                <w:sz w:val="20"/>
                <w:szCs w:val="20"/>
              </w:rPr>
              <w:t>Per Staff</w:t>
            </w:r>
          </w:p>
        </w:tc>
        <w:tc>
          <w:tcPr>
            <w:tcW w:w="1316"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00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5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5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5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933"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963" w:type="dxa"/>
            <w:tcBorders>
              <w:top w:val="nil"/>
              <w:left w:val="nil"/>
              <w:bottom w:val="nil"/>
              <w:right w:val="nil"/>
            </w:tcBorders>
            <w:shd w:val="clear" w:color="000000" w:fill="FFFFFF"/>
            <w:noWrap/>
            <w:vAlign w:val="bottom"/>
            <w:hideMark/>
          </w:tcPr>
          <w:p w:rsidR="00305B83" w:rsidRDefault="00305B83">
            <w:pPr>
              <w:rPr>
                <w:color w:val="000000"/>
                <w:sz w:val="20"/>
                <w:szCs w:val="20"/>
              </w:rPr>
            </w:pPr>
          </w:p>
        </w:tc>
        <w:tc>
          <w:tcPr>
            <w:tcW w:w="1039"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7B1FB1" w:rsidTr="009D3FF7">
        <w:trPr>
          <w:trHeight w:val="260"/>
          <w:jc w:val="center"/>
        </w:trPr>
        <w:tc>
          <w:tcPr>
            <w:tcW w:w="480" w:type="dxa"/>
            <w:tcBorders>
              <w:top w:val="nil"/>
              <w:left w:val="single" w:sz="4" w:space="0" w:color="auto"/>
              <w:bottom w:val="nil"/>
              <w:right w:val="nil"/>
            </w:tcBorders>
            <w:shd w:val="clear" w:color="000000" w:fill="FFFFFF"/>
            <w:noWrap/>
            <w:vAlign w:val="bottom"/>
            <w:hideMark/>
          </w:tcPr>
          <w:p w:rsidR="007B1FB1" w:rsidRDefault="007B1FB1" w:rsidP="007B1FB1">
            <w:pPr>
              <w:jc w:val="center"/>
              <w:rPr>
                <w:sz w:val="20"/>
                <w:szCs w:val="20"/>
              </w:rPr>
            </w:pPr>
            <w:r>
              <w:rPr>
                <w:sz w:val="20"/>
                <w:szCs w:val="20"/>
              </w:rPr>
              <w:t>11</w:t>
            </w:r>
          </w:p>
        </w:tc>
        <w:tc>
          <w:tcPr>
            <w:tcW w:w="3440" w:type="dxa"/>
            <w:tcBorders>
              <w:top w:val="nil"/>
              <w:left w:val="nil"/>
              <w:bottom w:val="nil"/>
              <w:right w:val="nil"/>
            </w:tcBorders>
            <w:shd w:val="clear" w:color="000000" w:fill="FFFFFF"/>
            <w:noWrap/>
            <w:vAlign w:val="bottom"/>
            <w:hideMark/>
          </w:tcPr>
          <w:p w:rsidR="007B1FB1" w:rsidRDefault="007B1FB1" w:rsidP="007B1FB1">
            <w:pPr>
              <w:rPr>
                <w:sz w:val="20"/>
                <w:szCs w:val="20"/>
              </w:rPr>
            </w:pPr>
            <w:r>
              <w:rPr>
                <w:sz w:val="20"/>
                <w:szCs w:val="20"/>
              </w:rPr>
              <w:t>Long-term Debt</w:t>
            </w:r>
          </w:p>
        </w:tc>
        <w:tc>
          <w:tcPr>
            <w:tcW w:w="1316"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$321,846,154</w:t>
            </w:r>
          </w:p>
        </w:tc>
        <w:tc>
          <w:tcPr>
            <w:tcW w:w="1000"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$0</w:t>
            </w:r>
          </w:p>
        </w:tc>
        <w:tc>
          <w:tcPr>
            <w:tcW w:w="1520"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$321,846,154</w:t>
            </w:r>
          </w:p>
        </w:tc>
        <w:tc>
          <w:tcPr>
            <w:tcW w:w="1520"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($246,158,133)</w:t>
            </w:r>
          </w:p>
        </w:tc>
        <w:tc>
          <w:tcPr>
            <w:tcW w:w="1520"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$75,688,021</w:t>
            </w:r>
          </w:p>
        </w:tc>
        <w:tc>
          <w:tcPr>
            <w:tcW w:w="933"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38.34%</w:t>
            </w:r>
          </w:p>
        </w:tc>
        <w:tc>
          <w:tcPr>
            <w:tcW w:w="963"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4.92%</w:t>
            </w:r>
          </w:p>
        </w:tc>
        <w:tc>
          <w:tcPr>
            <w:tcW w:w="1039" w:type="dxa"/>
            <w:tcBorders>
              <w:top w:val="nil"/>
              <w:left w:val="nil"/>
              <w:bottom w:val="nil"/>
              <w:right w:val="single" w:sz="4" w:space="0" w:color="auto"/>
            </w:tcBorders>
            <w:shd w:val="clear" w:color="000000" w:fill="FFFFFF"/>
            <w:noWrap/>
            <w:vAlign w:val="bottom"/>
            <w:hideMark/>
          </w:tcPr>
          <w:p w:rsidR="007B1FB1" w:rsidRDefault="007B1FB1" w:rsidP="007B1FB1">
            <w:pPr>
              <w:jc w:val="right"/>
              <w:rPr>
                <w:sz w:val="20"/>
                <w:szCs w:val="20"/>
              </w:rPr>
            </w:pPr>
            <w:r>
              <w:rPr>
                <w:sz w:val="20"/>
                <w:szCs w:val="20"/>
              </w:rPr>
              <w:t>1.89%</w:t>
            </w:r>
          </w:p>
        </w:tc>
      </w:tr>
      <w:tr w:rsidR="007B1FB1" w:rsidTr="009D3FF7">
        <w:trPr>
          <w:trHeight w:val="260"/>
          <w:jc w:val="center"/>
        </w:trPr>
        <w:tc>
          <w:tcPr>
            <w:tcW w:w="480" w:type="dxa"/>
            <w:tcBorders>
              <w:top w:val="nil"/>
              <w:left w:val="single" w:sz="4" w:space="0" w:color="auto"/>
              <w:bottom w:val="nil"/>
              <w:right w:val="nil"/>
            </w:tcBorders>
            <w:shd w:val="clear" w:color="000000" w:fill="FFFFFF"/>
            <w:noWrap/>
            <w:vAlign w:val="bottom"/>
            <w:hideMark/>
          </w:tcPr>
          <w:p w:rsidR="007B1FB1" w:rsidRDefault="007B1FB1" w:rsidP="007B1FB1">
            <w:pPr>
              <w:jc w:val="center"/>
              <w:rPr>
                <w:sz w:val="20"/>
                <w:szCs w:val="20"/>
              </w:rPr>
            </w:pPr>
            <w:r>
              <w:rPr>
                <w:sz w:val="20"/>
                <w:szCs w:val="20"/>
              </w:rPr>
              <w:t>12</w:t>
            </w:r>
          </w:p>
        </w:tc>
        <w:tc>
          <w:tcPr>
            <w:tcW w:w="3440" w:type="dxa"/>
            <w:tcBorders>
              <w:top w:val="nil"/>
              <w:left w:val="nil"/>
              <w:bottom w:val="nil"/>
              <w:right w:val="nil"/>
            </w:tcBorders>
            <w:shd w:val="clear" w:color="000000" w:fill="FFFFFF"/>
            <w:noWrap/>
            <w:vAlign w:val="bottom"/>
            <w:hideMark/>
          </w:tcPr>
          <w:p w:rsidR="007B1FB1" w:rsidRDefault="007B1FB1" w:rsidP="007B1FB1">
            <w:pPr>
              <w:rPr>
                <w:sz w:val="20"/>
                <w:szCs w:val="20"/>
              </w:rPr>
            </w:pPr>
            <w:r>
              <w:rPr>
                <w:sz w:val="20"/>
                <w:szCs w:val="20"/>
              </w:rPr>
              <w:t>Long-Term Debt - Variable</w:t>
            </w:r>
          </w:p>
        </w:tc>
        <w:tc>
          <w:tcPr>
            <w:tcW w:w="1316"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 xml:space="preserve">70,192,308 </w:t>
            </w:r>
          </w:p>
        </w:tc>
        <w:tc>
          <w:tcPr>
            <w:tcW w:w="1000"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 xml:space="preserve">0 </w:t>
            </w:r>
          </w:p>
        </w:tc>
        <w:tc>
          <w:tcPr>
            <w:tcW w:w="1520"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 xml:space="preserve">70,192,308 </w:t>
            </w:r>
          </w:p>
        </w:tc>
        <w:tc>
          <w:tcPr>
            <w:tcW w:w="1520"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(53,685,301)</w:t>
            </w:r>
          </w:p>
        </w:tc>
        <w:tc>
          <w:tcPr>
            <w:tcW w:w="1520"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 xml:space="preserve">16,507,007 </w:t>
            </w:r>
          </w:p>
        </w:tc>
        <w:tc>
          <w:tcPr>
            <w:tcW w:w="933"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8.36%</w:t>
            </w:r>
          </w:p>
        </w:tc>
        <w:tc>
          <w:tcPr>
            <w:tcW w:w="963"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7.51%</w:t>
            </w:r>
          </w:p>
        </w:tc>
        <w:tc>
          <w:tcPr>
            <w:tcW w:w="1039" w:type="dxa"/>
            <w:tcBorders>
              <w:top w:val="nil"/>
              <w:left w:val="nil"/>
              <w:bottom w:val="nil"/>
              <w:right w:val="single" w:sz="4" w:space="0" w:color="auto"/>
            </w:tcBorders>
            <w:shd w:val="clear" w:color="000000" w:fill="FFFFFF"/>
            <w:noWrap/>
            <w:vAlign w:val="bottom"/>
            <w:hideMark/>
          </w:tcPr>
          <w:p w:rsidR="007B1FB1" w:rsidRDefault="007B1FB1" w:rsidP="007B1FB1">
            <w:pPr>
              <w:jc w:val="right"/>
              <w:rPr>
                <w:sz w:val="20"/>
                <w:szCs w:val="20"/>
              </w:rPr>
            </w:pPr>
            <w:r>
              <w:rPr>
                <w:sz w:val="20"/>
                <w:szCs w:val="20"/>
              </w:rPr>
              <w:t>0.63%</w:t>
            </w:r>
          </w:p>
        </w:tc>
      </w:tr>
      <w:tr w:rsidR="007B1FB1" w:rsidTr="009D3FF7">
        <w:trPr>
          <w:trHeight w:val="260"/>
          <w:jc w:val="center"/>
        </w:trPr>
        <w:tc>
          <w:tcPr>
            <w:tcW w:w="480" w:type="dxa"/>
            <w:tcBorders>
              <w:top w:val="nil"/>
              <w:left w:val="single" w:sz="4" w:space="0" w:color="auto"/>
              <w:bottom w:val="nil"/>
              <w:right w:val="nil"/>
            </w:tcBorders>
            <w:shd w:val="clear" w:color="000000" w:fill="FFFFFF"/>
            <w:noWrap/>
            <w:vAlign w:val="bottom"/>
            <w:hideMark/>
          </w:tcPr>
          <w:p w:rsidR="007B1FB1" w:rsidRDefault="007B1FB1" w:rsidP="007B1FB1">
            <w:pPr>
              <w:jc w:val="center"/>
              <w:rPr>
                <w:sz w:val="20"/>
                <w:szCs w:val="20"/>
              </w:rPr>
            </w:pPr>
            <w:r>
              <w:rPr>
                <w:sz w:val="20"/>
                <w:szCs w:val="20"/>
              </w:rPr>
              <w:t>13</w:t>
            </w:r>
          </w:p>
        </w:tc>
        <w:tc>
          <w:tcPr>
            <w:tcW w:w="3440" w:type="dxa"/>
            <w:tcBorders>
              <w:top w:val="nil"/>
              <w:left w:val="nil"/>
              <w:bottom w:val="nil"/>
              <w:right w:val="nil"/>
            </w:tcBorders>
            <w:shd w:val="clear" w:color="000000" w:fill="FFFFFF"/>
            <w:noWrap/>
            <w:vAlign w:val="bottom"/>
            <w:hideMark/>
          </w:tcPr>
          <w:p w:rsidR="007B1FB1" w:rsidRDefault="007B1FB1" w:rsidP="007B1FB1">
            <w:pPr>
              <w:rPr>
                <w:sz w:val="20"/>
                <w:szCs w:val="20"/>
              </w:rPr>
            </w:pPr>
            <w:r>
              <w:rPr>
                <w:sz w:val="20"/>
                <w:szCs w:val="20"/>
              </w:rPr>
              <w:t>Short-term Debt</w:t>
            </w:r>
          </w:p>
        </w:tc>
        <w:tc>
          <w:tcPr>
            <w:tcW w:w="1316"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 xml:space="preserve">19,076,923 </w:t>
            </w:r>
          </w:p>
        </w:tc>
        <w:tc>
          <w:tcPr>
            <w:tcW w:w="1000"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 xml:space="preserve">0 </w:t>
            </w:r>
          </w:p>
        </w:tc>
        <w:tc>
          <w:tcPr>
            <w:tcW w:w="1520"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 xml:space="preserve">19,076,923 </w:t>
            </w:r>
          </w:p>
        </w:tc>
        <w:tc>
          <w:tcPr>
            <w:tcW w:w="1520"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(14,590,635)</w:t>
            </w:r>
          </w:p>
        </w:tc>
        <w:tc>
          <w:tcPr>
            <w:tcW w:w="1520"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 xml:space="preserve">4,486,288 </w:t>
            </w:r>
          </w:p>
        </w:tc>
        <w:tc>
          <w:tcPr>
            <w:tcW w:w="933"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2.27%</w:t>
            </w:r>
          </w:p>
        </w:tc>
        <w:tc>
          <w:tcPr>
            <w:tcW w:w="963"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8.25%</w:t>
            </w:r>
          </w:p>
        </w:tc>
        <w:tc>
          <w:tcPr>
            <w:tcW w:w="1039" w:type="dxa"/>
            <w:tcBorders>
              <w:top w:val="nil"/>
              <w:left w:val="nil"/>
              <w:bottom w:val="nil"/>
              <w:right w:val="single" w:sz="4" w:space="0" w:color="auto"/>
            </w:tcBorders>
            <w:shd w:val="clear" w:color="000000" w:fill="FFFFFF"/>
            <w:noWrap/>
            <w:vAlign w:val="bottom"/>
            <w:hideMark/>
          </w:tcPr>
          <w:p w:rsidR="007B1FB1" w:rsidRDefault="007B1FB1" w:rsidP="007B1FB1">
            <w:pPr>
              <w:jc w:val="right"/>
              <w:rPr>
                <w:sz w:val="20"/>
                <w:szCs w:val="20"/>
              </w:rPr>
            </w:pPr>
            <w:r>
              <w:rPr>
                <w:sz w:val="20"/>
                <w:szCs w:val="20"/>
              </w:rPr>
              <w:t>0.19%</w:t>
            </w:r>
          </w:p>
        </w:tc>
      </w:tr>
      <w:tr w:rsidR="007B1FB1" w:rsidTr="009D3FF7">
        <w:trPr>
          <w:trHeight w:val="260"/>
          <w:jc w:val="center"/>
        </w:trPr>
        <w:tc>
          <w:tcPr>
            <w:tcW w:w="480" w:type="dxa"/>
            <w:tcBorders>
              <w:top w:val="nil"/>
              <w:left w:val="single" w:sz="4" w:space="0" w:color="auto"/>
              <w:bottom w:val="nil"/>
              <w:right w:val="nil"/>
            </w:tcBorders>
            <w:shd w:val="clear" w:color="000000" w:fill="FFFFFF"/>
            <w:noWrap/>
            <w:vAlign w:val="bottom"/>
            <w:hideMark/>
          </w:tcPr>
          <w:p w:rsidR="007B1FB1" w:rsidRDefault="007B1FB1" w:rsidP="007B1FB1">
            <w:pPr>
              <w:jc w:val="center"/>
              <w:rPr>
                <w:sz w:val="20"/>
                <w:szCs w:val="20"/>
              </w:rPr>
            </w:pPr>
            <w:r>
              <w:rPr>
                <w:sz w:val="20"/>
                <w:szCs w:val="20"/>
              </w:rPr>
              <w:t>14</w:t>
            </w:r>
          </w:p>
        </w:tc>
        <w:tc>
          <w:tcPr>
            <w:tcW w:w="3440" w:type="dxa"/>
            <w:tcBorders>
              <w:top w:val="nil"/>
              <w:left w:val="nil"/>
              <w:bottom w:val="nil"/>
              <w:right w:val="nil"/>
            </w:tcBorders>
            <w:shd w:val="clear" w:color="000000" w:fill="FFFFFF"/>
            <w:noWrap/>
            <w:vAlign w:val="bottom"/>
            <w:hideMark/>
          </w:tcPr>
          <w:p w:rsidR="007B1FB1" w:rsidRDefault="007B1FB1" w:rsidP="007B1FB1">
            <w:pPr>
              <w:rPr>
                <w:sz w:val="20"/>
                <w:szCs w:val="20"/>
              </w:rPr>
            </w:pPr>
            <w:r>
              <w:rPr>
                <w:sz w:val="20"/>
                <w:szCs w:val="20"/>
              </w:rPr>
              <w:t>Preferred Stock</w:t>
            </w:r>
          </w:p>
        </w:tc>
        <w:tc>
          <w:tcPr>
            <w:tcW w:w="1316"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 xml:space="preserve">0 </w:t>
            </w:r>
          </w:p>
        </w:tc>
        <w:tc>
          <w:tcPr>
            <w:tcW w:w="1000"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 xml:space="preserve">0 </w:t>
            </w:r>
          </w:p>
        </w:tc>
        <w:tc>
          <w:tcPr>
            <w:tcW w:w="1520"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 xml:space="preserve">0 </w:t>
            </w:r>
          </w:p>
        </w:tc>
        <w:tc>
          <w:tcPr>
            <w:tcW w:w="1520"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 xml:space="preserve">0 </w:t>
            </w:r>
          </w:p>
        </w:tc>
        <w:tc>
          <w:tcPr>
            <w:tcW w:w="1520"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 xml:space="preserve">0 </w:t>
            </w:r>
          </w:p>
        </w:tc>
        <w:tc>
          <w:tcPr>
            <w:tcW w:w="933"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0.00%</w:t>
            </w:r>
          </w:p>
        </w:tc>
        <w:tc>
          <w:tcPr>
            <w:tcW w:w="963"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0.00%</w:t>
            </w:r>
          </w:p>
        </w:tc>
        <w:tc>
          <w:tcPr>
            <w:tcW w:w="1039" w:type="dxa"/>
            <w:tcBorders>
              <w:top w:val="nil"/>
              <w:left w:val="nil"/>
              <w:bottom w:val="nil"/>
              <w:right w:val="single" w:sz="4" w:space="0" w:color="auto"/>
            </w:tcBorders>
            <w:shd w:val="clear" w:color="000000" w:fill="FFFFFF"/>
            <w:noWrap/>
            <w:vAlign w:val="bottom"/>
            <w:hideMark/>
          </w:tcPr>
          <w:p w:rsidR="007B1FB1" w:rsidRDefault="007B1FB1" w:rsidP="007B1FB1">
            <w:pPr>
              <w:jc w:val="right"/>
              <w:rPr>
                <w:sz w:val="20"/>
                <w:szCs w:val="20"/>
              </w:rPr>
            </w:pPr>
            <w:r>
              <w:rPr>
                <w:sz w:val="20"/>
                <w:szCs w:val="20"/>
              </w:rPr>
              <w:t>0.00%</w:t>
            </w:r>
          </w:p>
        </w:tc>
      </w:tr>
      <w:tr w:rsidR="007B1FB1" w:rsidTr="009D3FF7">
        <w:trPr>
          <w:trHeight w:val="260"/>
          <w:jc w:val="center"/>
        </w:trPr>
        <w:tc>
          <w:tcPr>
            <w:tcW w:w="480" w:type="dxa"/>
            <w:tcBorders>
              <w:top w:val="nil"/>
              <w:left w:val="single" w:sz="4" w:space="0" w:color="auto"/>
              <w:bottom w:val="nil"/>
              <w:right w:val="nil"/>
            </w:tcBorders>
            <w:shd w:val="clear" w:color="000000" w:fill="FFFFFF"/>
            <w:noWrap/>
            <w:vAlign w:val="bottom"/>
            <w:hideMark/>
          </w:tcPr>
          <w:p w:rsidR="007B1FB1" w:rsidRDefault="007B1FB1" w:rsidP="007B1FB1">
            <w:pPr>
              <w:jc w:val="center"/>
              <w:rPr>
                <w:sz w:val="20"/>
                <w:szCs w:val="20"/>
              </w:rPr>
            </w:pPr>
            <w:r>
              <w:rPr>
                <w:sz w:val="20"/>
                <w:szCs w:val="20"/>
              </w:rPr>
              <w:t>15</w:t>
            </w:r>
          </w:p>
        </w:tc>
        <w:tc>
          <w:tcPr>
            <w:tcW w:w="3440" w:type="dxa"/>
            <w:tcBorders>
              <w:top w:val="nil"/>
              <w:left w:val="nil"/>
              <w:bottom w:val="nil"/>
              <w:right w:val="nil"/>
            </w:tcBorders>
            <w:shd w:val="clear" w:color="000000" w:fill="FFFFFF"/>
            <w:noWrap/>
            <w:vAlign w:val="bottom"/>
            <w:hideMark/>
          </w:tcPr>
          <w:p w:rsidR="007B1FB1" w:rsidRDefault="007B1FB1" w:rsidP="007B1FB1">
            <w:pPr>
              <w:rPr>
                <w:sz w:val="20"/>
                <w:szCs w:val="20"/>
              </w:rPr>
            </w:pPr>
            <w:r>
              <w:rPr>
                <w:sz w:val="20"/>
                <w:szCs w:val="20"/>
              </w:rPr>
              <w:t>Common Equity</w:t>
            </w:r>
          </w:p>
        </w:tc>
        <w:tc>
          <w:tcPr>
            <w:tcW w:w="1316"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 xml:space="preserve">417,085,969 </w:t>
            </w:r>
          </w:p>
        </w:tc>
        <w:tc>
          <w:tcPr>
            <w:tcW w:w="1000"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 xml:space="preserve">0 </w:t>
            </w:r>
          </w:p>
        </w:tc>
        <w:tc>
          <w:tcPr>
            <w:tcW w:w="1520"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 xml:space="preserve">417,085,969 </w:t>
            </w:r>
          </w:p>
        </w:tc>
        <w:tc>
          <w:tcPr>
            <w:tcW w:w="1520"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(319,000,560)</w:t>
            </w:r>
          </w:p>
        </w:tc>
        <w:tc>
          <w:tcPr>
            <w:tcW w:w="1520"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 xml:space="preserve">98,085,409 </w:t>
            </w:r>
          </w:p>
        </w:tc>
        <w:tc>
          <w:tcPr>
            <w:tcW w:w="933"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49.69%</w:t>
            </w:r>
          </w:p>
        </w:tc>
        <w:tc>
          <w:tcPr>
            <w:tcW w:w="963"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10.20%</w:t>
            </w:r>
          </w:p>
        </w:tc>
        <w:tc>
          <w:tcPr>
            <w:tcW w:w="1039" w:type="dxa"/>
            <w:tcBorders>
              <w:top w:val="nil"/>
              <w:left w:val="nil"/>
              <w:bottom w:val="nil"/>
              <w:right w:val="single" w:sz="4" w:space="0" w:color="auto"/>
            </w:tcBorders>
            <w:shd w:val="clear" w:color="000000" w:fill="FFFFFF"/>
            <w:noWrap/>
            <w:vAlign w:val="bottom"/>
            <w:hideMark/>
          </w:tcPr>
          <w:p w:rsidR="007B1FB1" w:rsidRDefault="007B1FB1" w:rsidP="007B1FB1">
            <w:pPr>
              <w:jc w:val="right"/>
              <w:rPr>
                <w:sz w:val="20"/>
                <w:szCs w:val="20"/>
              </w:rPr>
            </w:pPr>
            <w:r>
              <w:rPr>
                <w:sz w:val="20"/>
                <w:szCs w:val="20"/>
              </w:rPr>
              <w:t>5.07%</w:t>
            </w:r>
          </w:p>
        </w:tc>
      </w:tr>
      <w:tr w:rsidR="007B1FB1" w:rsidTr="009D3FF7">
        <w:trPr>
          <w:trHeight w:val="260"/>
          <w:jc w:val="center"/>
        </w:trPr>
        <w:tc>
          <w:tcPr>
            <w:tcW w:w="480" w:type="dxa"/>
            <w:tcBorders>
              <w:top w:val="nil"/>
              <w:left w:val="single" w:sz="4" w:space="0" w:color="auto"/>
              <w:bottom w:val="nil"/>
              <w:right w:val="nil"/>
            </w:tcBorders>
            <w:shd w:val="clear" w:color="000000" w:fill="FFFFFF"/>
            <w:noWrap/>
            <w:vAlign w:val="bottom"/>
            <w:hideMark/>
          </w:tcPr>
          <w:p w:rsidR="007B1FB1" w:rsidRDefault="007B1FB1" w:rsidP="007B1FB1">
            <w:pPr>
              <w:jc w:val="center"/>
              <w:rPr>
                <w:sz w:val="20"/>
                <w:szCs w:val="20"/>
              </w:rPr>
            </w:pPr>
            <w:r>
              <w:rPr>
                <w:sz w:val="20"/>
                <w:szCs w:val="20"/>
              </w:rPr>
              <w:t>16</w:t>
            </w:r>
          </w:p>
        </w:tc>
        <w:tc>
          <w:tcPr>
            <w:tcW w:w="3440" w:type="dxa"/>
            <w:tcBorders>
              <w:top w:val="nil"/>
              <w:left w:val="nil"/>
              <w:bottom w:val="nil"/>
              <w:right w:val="nil"/>
            </w:tcBorders>
            <w:shd w:val="clear" w:color="000000" w:fill="FFFFFF"/>
            <w:noWrap/>
            <w:vAlign w:val="bottom"/>
            <w:hideMark/>
          </w:tcPr>
          <w:p w:rsidR="007B1FB1" w:rsidRDefault="007B1FB1" w:rsidP="007B1FB1">
            <w:pPr>
              <w:rPr>
                <w:sz w:val="20"/>
                <w:szCs w:val="20"/>
              </w:rPr>
            </w:pPr>
            <w:r>
              <w:rPr>
                <w:sz w:val="20"/>
                <w:szCs w:val="20"/>
              </w:rPr>
              <w:t>Customer Deposits</w:t>
            </w:r>
          </w:p>
        </w:tc>
        <w:tc>
          <w:tcPr>
            <w:tcW w:w="1316"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 xml:space="preserve">319,453 </w:t>
            </w:r>
          </w:p>
        </w:tc>
        <w:tc>
          <w:tcPr>
            <w:tcW w:w="1000"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 xml:space="preserve">0 </w:t>
            </w:r>
          </w:p>
        </w:tc>
        <w:tc>
          <w:tcPr>
            <w:tcW w:w="1520"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 xml:space="preserve">319,453 </w:t>
            </w:r>
          </w:p>
        </w:tc>
        <w:tc>
          <w:tcPr>
            <w:tcW w:w="1520"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(244,328)</w:t>
            </w:r>
          </w:p>
        </w:tc>
        <w:tc>
          <w:tcPr>
            <w:tcW w:w="1520"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 xml:space="preserve">75,125 </w:t>
            </w:r>
          </w:p>
        </w:tc>
        <w:tc>
          <w:tcPr>
            <w:tcW w:w="933"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0.04%</w:t>
            </w:r>
          </w:p>
        </w:tc>
        <w:tc>
          <w:tcPr>
            <w:tcW w:w="963"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2.00%</w:t>
            </w:r>
          </w:p>
        </w:tc>
        <w:tc>
          <w:tcPr>
            <w:tcW w:w="1039" w:type="dxa"/>
            <w:tcBorders>
              <w:top w:val="nil"/>
              <w:left w:val="nil"/>
              <w:bottom w:val="nil"/>
              <w:right w:val="single" w:sz="4" w:space="0" w:color="auto"/>
            </w:tcBorders>
            <w:shd w:val="clear" w:color="000000" w:fill="FFFFFF"/>
            <w:noWrap/>
            <w:vAlign w:val="bottom"/>
            <w:hideMark/>
          </w:tcPr>
          <w:p w:rsidR="007B1FB1" w:rsidRDefault="007B1FB1" w:rsidP="007B1FB1">
            <w:pPr>
              <w:jc w:val="right"/>
              <w:rPr>
                <w:sz w:val="20"/>
                <w:szCs w:val="20"/>
              </w:rPr>
            </w:pPr>
            <w:r>
              <w:rPr>
                <w:sz w:val="20"/>
                <w:szCs w:val="20"/>
              </w:rPr>
              <w:t>0.00%</w:t>
            </w:r>
          </w:p>
        </w:tc>
      </w:tr>
      <w:tr w:rsidR="007B1FB1" w:rsidTr="009D3FF7">
        <w:trPr>
          <w:trHeight w:val="260"/>
          <w:jc w:val="center"/>
        </w:trPr>
        <w:tc>
          <w:tcPr>
            <w:tcW w:w="480" w:type="dxa"/>
            <w:tcBorders>
              <w:top w:val="nil"/>
              <w:left w:val="single" w:sz="4" w:space="0" w:color="auto"/>
              <w:bottom w:val="nil"/>
              <w:right w:val="nil"/>
            </w:tcBorders>
            <w:shd w:val="clear" w:color="000000" w:fill="FFFFFF"/>
            <w:noWrap/>
            <w:vAlign w:val="bottom"/>
            <w:hideMark/>
          </w:tcPr>
          <w:p w:rsidR="007B1FB1" w:rsidRDefault="007B1FB1" w:rsidP="007B1FB1">
            <w:pPr>
              <w:jc w:val="center"/>
              <w:rPr>
                <w:sz w:val="20"/>
                <w:szCs w:val="20"/>
              </w:rPr>
            </w:pPr>
            <w:r>
              <w:rPr>
                <w:sz w:val="20"/>
                <w:szCs w:val="20"/>
              </w:rPr>
              <w:t>17</w:t>
            </w:r>
          </w:p>
        </w:tc>
        <w:tc>
          <w:tcPr>
            <w:tcW w:w="3440" w:type="dxa"/>
            <w:tcBorders>
              <w:top w:val="nil"/>
              <w:left w:val="nil"/>
              <w:bottom w:val="nil"/>
              <w:right w:val="nil"/>
            </w:tcBorders>
            <w:shd w:val="clear" w:color="000000" w:fill="FFFFFF"/>
            <w:noWrap/>
            <w:vAlign w:val="bottom"/>
            <w:hideMark/>
          </w:tcPr>
          <w:p w:rsidR="007B1FB1" w:rsidRDefault="007B1FB1" w:rsidP="007B1FB1">
            <w:pPr>
              <w:rPr>
                <w:sz w:val="20"/>
                <w:szCs w:val="20"/>
              </w:rPr>
            </w:pPr>
            <w:r>
              <w:rPr>
                <w:sz w:val="20"/>
                <w:szCs w:val="20"/>
              </w:rPr>
              <w:t>Accumulated Deferred ITC's</w:t>
            </w:r>
          </w:p>
        </w:tc>
        <w:tc>
          <w:tcPr>
            <w:tcW w:w="1316"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 xml:space="preserve">61,653 </w:t>
            </w:r>
          </w:p>
        </w:tc>
        <w:tc>
          <w:tcPr>
            <w:tcW w:w="1000"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 xml:space="preserve">0 </w:t>
            </w:r>
          </w:p>
        </w:tc>
        <w:tc>
          <w:tcPr>
            <w:tcW w:w="1520"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 xml:space="preserve">61,653 </w:t>
            </w:r>
          </w:p>
        </w:tc>
        <w:tc>
          <w:tcPr>
            <w:tcW w:w="1520"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(47,154)</w:t>
            </w:r>
          </w:p>
        </w:tc>
        <w:tc>
          <w:tcPr>
            <w:tcW w:w="1520"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 xml:space="preserve">14,499 </w:t>
            </w:r>
          </w:p>
        </w:tc>
        <w:tc>
          <w:tcPr>
            <w:tcW w:w="933"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0.01%</w:t>
            </w:r>
          </w:p>
        </w:tc>
        <w:tc>
          <w:tcPr>
            <w:tcW w:w="963"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0.00%</w:t>
            </w:r>
          </w:p>
        </w:tc>
        <w:tc>
          <w:tcPr>
            <w:tcW w:w="1039" w:type="dxa"/>
            <w:tcBorders>
              <w:top w:val="nil"/>
              <w:left w:val="nil"/>
              <w:bottom w:val="nil"/>
              <w:right w:val="single" w:sz="4" w:space="0" w:color="auto"/>
            </w:tcBorders>
            <w:shd w:val="clear" w:color="000000" w:fill="FFFFFF"/>
            <w:noWrap/>
            <w:vAlign w:val="bottom"/>
            <w:hideMark/>
          </w:tcPr>
          <w:p w:rsidR="007B1FB1" w:rsidRDefault="007B1FB1" w:rsidP="007B1FB1">
            <w:pPr>
              <w:jc w:val="right"/>
              <w:rPr>
                <w:sz w:val="20"/>
                <w:szCs w:val="20"/>
              </w:rPr>
            </w:pPr>
            <w:r>
              <w:rPr>
                <w:sz w:val="20"/>
                <w:szCs w:val="20"/>
              </w:rPr>
              <w:t>0.00%</w:t>
            </w:r>
          </w:p>
        </w:tc>
      </w:tr>
      <w:tr w:rsidR="007B1FB1" w:rsidTr="009D3FF7">
        <w:trPr>
          <w:trHeight w:val="260"/>
          <w:jc w:val="center"/>
        </w:trPr>
        <w:tc>
          <w:tcPr>
            <w:tcW w:w="480" w:type="dxa"/>
            <w:tcBorders>
              <w:top w:val="nil"/>
              <w:left w:val="single" w:sz="4" w:space="0" w:color="auto"/>
              <w:bottom w:val="nil"/>
              <w:right w:val="nil"/>
            </w:tcBorders>
            <w:shd w:val="clear" w:color="000000" w:fill="FFFFFF"/>
            <w:noWrap/>
            <w:vAlign w:val="bottom"/>
            <w:hideMark/>
          </w:tcPr>
          <w:p w:rsidR="007B1FB1" w:rsidRDefault="007B1FB1" w:rsidP="007B1FB1">
            <w:pPr>
              <w:jc w:val="center"/>
              <w:rPr>
                <w:sz w:val="20"/>
                <w:szCs w:val="20"/>
              </w:rPr>
            </w:pPr>
            <w:r>
              <w:rPr>
                <w:sz w:val="20"/>
                <w:szCs w:val="20"/>
              </w:rPr>
              <w:t>18</w:t>
            </w:r>
          </w:p>
        </w:tc>
        <w:tc>
          <w:tcPr>
            <w:tcW w:w="3440" w:type="dxa"/>
            <w:tcBorders>
              <w:top w:val="nil"/>
              <w:left w:val="nil"/>
              <w:bottom w:val="nil"/>
              <w:right w:val="nil"/>
            </w:tcBorders>
            <w:shd w:val="clear" w:color="000000" w:fill="FFFFFF"/>
            <w:noWrap/>
            <w:vAlign w:val="bottom"/>
            <w:hideMark/>
          </w:tcPr>
          <w:p w:rsidR="007B1FB1" w:rsidRDefault="007B1FB1" w:rsidP="007B1FB1">
            <w:pPr>
              <w:rPr>
                <w:sz w:val="20"/>
                <w:szCs w:val="20"/>
              </w:rPr>
            </w:pPr>
            <w:r>
              <w:rPr>
                <w:sz w:val="20"/>
                <w:szCs w:val="20"/>
              </w:rPr>
              <w:t>Deferred Income Taxes</w:t>
            </w:r>
          </w:p>
        </w:tc>
        <w:tc>
          <w:tcPr>
            <w:tcW w:w="1316"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 xml:space="preserve">5,833,302 </w:t>
            </w:r>
          </w:p>
        </w:tc>
        <w:tc>
          <w:tcPr>
            <w:tcW w:w="1000"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 xml:space="preserve">8,290 </w:t>
            </w:r>
          </w:p>
        </w:tc>
        <w:tc>
          <w:tcPr>
            <w:tcW w:w="1520"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 xml:space="preserve">5,841,592 </w:t>
            </w:r>
          </w:p>
        </w:tc>
        <w:tc>
          <w:tcPr>
            <w:tcW w:w="1520"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(4,467,835)</w:t>
            </w:r>
          </w:p>
        </w:tc>
        <w:tc>
          <w:tcPr>
            <w:tcW w:w="1520"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 xml:space="preserve">1,373,757 </w:t>
            </w:r>
          </w:p>
        </w:tc>
        <w:tc>
          <w:tcPr>
            <w:tcW w:w="933"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0.70%</w:t>
            </w:r>
          </w:p>
        </w:tc>
        <w:tc>
          <w:tcPr>
            <w:tcW w:w="963"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0.00%</w:t>
            </w:r>
          </w:p>
        </w:tc>
        <w:tc>
          <w:tcPr>
            <w:tcW w:w="1039" w:type="dxa"/>
            <w:tcBorders>
              <w:top w:val="nil"/>
              <w:left w:val="nil"/>
              <w:bottom w:val="nil"/>
              <w:right w:val="single" w:sz="4" w:space="0" w:color="auto"/>
            </w:tcBorders>
            <w:shd w:val="clear" w:color="000000" w:fill="FFFFFF"/>
            <w:noWrap/>
            <w:vAlign w:val="bottom"/>
            <w:hideMark/>
          </w:tcPr>
          <w:p w:rsidR="007B1FB1" w:rsidRDefault="007B1FB1" w:rsidP="007B1FB1">
            <w:pPr>
              <w:jc w:val="right"/>
              <w:rPr>
                <w:sz w:val="20"/>
                <w:szCs w:val="20"/>
              </w:rPr>
            </w:pPr>
            <w:r>
              <w:rPr>
                <w:sz w:val="20"/>
                <w:szCs w:val="20"/>
              </w:rPr>
              <w:t>0.00%</w:t>
            </w:r>
          </w:p>
        </w:tc>
      </w:tr>
      <w:tr w:rsidR="007B1FB1" w:rsidTr="009D3FF7">
        <w:trPr>
          <w:trHeight w:val="260"/>
          <w:jc w:val="center"/>
        </w:trPr>
        <w:tc>
          <w:tcPr>
            <w:tcW w:w="480" w:type="dxa"/>
            <w:tcBorders>
              <w:top w:val="nil"/>
              <w:left w:val="single" w:sz="4" w:space="0" w:color="auto"/>
              <w:bottom w:val="nil"/>
              <w:right w:val="nil"/>
            </w:tcBorders>
            <w:shd w:val="clear" w:color="000000" w:fill="FFFFFF"/>
            <w:noWrap/>
            <w:vAlign w:val="bottom"/>
            <w:hideMark/>
          </w:tcPr>
          <w:p w:rsidR="007B1FB1" w:rsidRDefault="007B1FB1" w:rsidP="007B1FB1">
            <w:pPr>
              <w:jc w:val="center"/>
              <w:rPr>
                <w:sz w:val="20"/>
                <w:szCs w:val="20"/>
              </w:rPr>
            </w:pPr>
            <w:r>
              <w:rPr>
                <w:sz w:val="20"/>
                <w:szCs w:val="20"/>
              </w:rPr>
              <w:t>19</w:t>
            </w:r>
          </w:p>
        </w:tc>
        <w:tc>
          <w:tcPr>
            <w:tcW w:w="3440" w:type="dxa"/>
            <w:tcBorders>
              <w:top w:val="nil"/>
              <w:left w:val="nil"/>
              <w:bottom w:val="nil"/>
              <w:right w:val="nil"/>
            </w:tcBorders>
            <w:shd w:val="clear" w:color="000000" w:fill="FFFFFF"/>
            <w:noWrap/>
            <w:vAlign w:val="bottom"/>
            <w:hideMark/>
          </w:tcPr>
          <w:p w:rsidR="007B1FB1" w:rsidRDefault="007B1FB1" w:rsidP="007B1FB1">
            <w:pPr>
              <w:rPr>
                <w:sz w:val="20"/>
                <w:szCs w:val="20"/>
              </w:rPr>
            </w:pPr>
            <w:r>
              <w:rPr>
                <w:sz w:val="20"/>
                <w:szCs w:val="20"/>
              </w:rPr>
              <w:t>Other Deferred Tax Liability - TCJA</w:t>
            </w:r>
          </w:p>
        </w:tc>
        <w:tc>
          <w:tcPr>
            <w:tcW w:w="1316" w:type="dxa"/>
            <w:tcBorders>
              <w:top w:val="nil"/>
              <w:left w:val="nil"/>
              <w:bottom w:val="nil"/>
              <w:right w:val="nil"/>
            </w:tcBorders>
            <w:shd w:val="clear" w:color="000000" w:fill="FFFFFF"/>
            <w:noWrap/>
            <w:vAlign w:val="bottom"/>
            <w:hideMark/>
          </w:tcPr>
          <w:p w:rsidR="007B1FB1" w:rsidRDefault="007B1FB1" w:rsidP="007B1FB1">
            <w:pPr>
              <w:jc w:val="right"/>
              <w:rPr>
                <w:sz w:val="20"/>
                <w:szCs w:val="20"/>
                <w:u w:val="single"/>
              </w:rPr>
            </w:pPr>
            <w:r>
              <w:rPr>
                <w:sz w:val="20"/>
                <w:szCs w:val="20"/>
                <w:u w:val="single"/>
              </w:rPr>
              <w:t>4,969,273</w:t>
            </w:r>
          </w:p>
        </w:tc>
        <w:tc>
          <w:tcPr>
            <w:tcW w:w="1000" w:type="dxa"/>
            <w:tcBorders>
              <w:top w:val="nil"/>
              <w:left w:val="nil"/>
              <w:bottom w:val="nil"/>
              <w:right w:val="nil"/>
            </w:tcBorders>
            <w:shd w:val="clear" w:color="000000" w:fill="FFFFFF"/>
            <w:noWrap/>
            <w:vAlign w:val="bottom"/>
            <w:hideMark/>
          </w:tcPr>
          <w:p w:rsidR="007B1FB1" w:rsidRDefault="007B1FB1" w:rsidP="007B1FB1">
            <w:pPr>
              <w:jc w:val="right"/>
              <w:rPr>
                <w:sz w:val="20"/>
                <w:szCs w:val="20"/>
                <w:u w:val="single"/>
              </w:rPr>
            </w:pPr>
            <w:r>
              <w:rPr>
                <w:sz w:val="20"/>
                <w:szCs w:val="20"/>
                <w:u w:val="single"/>
              </w:rPr>
              <w:t>0</w:t>
            </w:r>
          </w:p>
        </w:tc>
        <w:tc>
          <w:tcPr>
            <w:tcW w:w="1520" w:type="dxa"/>
            <w:tcBorders>
              <w:top w:val="nil"/>
              <w:left w:val="nil"/>
              <w:bottom w:val="nil"/>
              <w:right w:val="nil"/>
            </w:tcBorders>
            <w:shd w:val="clear" w:color="000000" w:fill="FFFFFF"/>
            <w:noWrap/>
            <w:vAlign w:val="bottom"/>
            <w:hideMark/>
          </w:tcPr>
          <w:p w:rsidR="007B1FB1" w:rsidRDefault="007B1FB1" w:rsidP="007B1FB1">
            <w:pPr>
              <w:jc w:val="right"/>
              <w:rPr>
                <w:sz w:val="20"/>
                <w:szCs w:val="20"/>
                <w:u w:val="single"/>
              </w:rPr>
            </w:pPr>
            <w:r>
              <w:rPr>
                <w:sz w:val="20"/>
                <w:szCs w:val="20"/>
                <w:u w:val="single"/>
              </w:rPr>
              <w:t>4,969,273</w:t>
            </w:r>
          </w:p>
        </w:tc>
        <w:tc>
          <w:tcPr>
            <w:tcW w:w="1520" w:type="dxa"/>
            <w:tcBorders>
              <w:top w:val="nil"/>
              <w:left w:val="nil"/>
              <w:bottom w:val="nil"/>
              <w:right w:val="nil"/>
            </w:tcBorders>
            <w:shd w:val="clear" w:color="000000" w:fill="FFFFFF"/>
            <w:noWrap/>
            <w:vAlign w:val="bottom"/>
            <w:hideMark/>
          </w:tcPr>
          <w:p w:rsidR="007B1FB1" w:rsidRDefault="007B1FB1" w:rsidP="007B1FB1">
            <w:pPr>
              <w:jc w:val="right"/>
              <w:rPr>
                <w:sz w:val="20"/>
                <w:szCs w:val="20"/>
                <w:u w:val="single"/>
              </w:rPr>
            </w:pPr>
            <w:r>
              <w:rPr>
                <w:sz w:val="20"/>
                <w:szCs w:val="20"/>
                <w:u w:val="single"/>
              </w:rPr>
              <w:t>(3,800,657)</w:t>
            </w:r>
          </w:p>
        </w:tc>
        <w:tc>
          <w:tcPr>
            <w:tcW w:w="1520" w:type="dxa"/>
            <w:tcBorders>
              <w:top w:val="nil"/>
              <w:left w:val="nil"/>
              <w:bottom w:val="nil"/>
              <w:right w:val="nil"/>
            </w:tcBorders>
            <w:shd w:val="clear" w:color="000000" w:fill="FFFFFF"/>
            <w:noWrap/>
            <w:vAlign w:val="bottom"/>
            <w:hideMark/>
          </w:tcPr>
          <w:p w:rsidR="007B1FB1" w:rsidRDefault="007B1FB1" w:rsidP="007B1FB1">
            <w:pPr>
              <w:jc w:val="right"/>
              <w:rPr>
                <w:sz w:val="20"/>
                <w:szCs w:val="20"/>
                <w:u w:val="single"/>
              </w:rPr>
            </w:pPr>
            <w:r>
              <w:rPr>
                <w:sz w:val="20"/>
                <w:szCs w:val="20"/>
                <w:u w:val="single"/>
              </w:rPr>
              <w:t>1,168,616</w:t>
            </w:r>
          </w:p>
        </w:tc>
        <w:tc>
          <w:tcPr>
            <w:tcW w:w="933"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0.59%</w:t>
            </w:r>
          </w:p>
        </w:tc>
        <w:tc>
          <w:tcPr>
            <w:tcW w:w="963" w:type="dxa"/>
            <w:tcBorders>
              <w:top w:val="nil"/>
              <w:left w:val="nil"/>
              <w:bottom w:val="nil"/>
              <w:right w:val="nil"/>
            </w:tcBorders>
            <w:shd w:val="clear" w:color="000000" w:fill="FFFFFF"/>
            <w:noWrap/>
            <w:vAlign w:val="bottom"/>
            <w:hideMark/>
          </w:tcPr>
          <w:p w:rsidR="007B1FB1" w:rsidRDefault="007B1FB1" w:rsidP="007B1FB1">
            <w:pPr>
              <w:jc w:val="right"/>
              <w:rPr>
                <w:sz w:val="20"/>
                <w:szCs w:val="20"/>
              </w:rPr>
            </w:pPr>
            <w:r>
              <w:rPr>
                <w:sz w:val="20"/>
                <w:szCs w:val="20"/>
              </w:rPr>
              <w:t>0.00%</w:t>
            </w:r>
          </w:p>
        </w:tc>
        <w:tc>
          <w:tcPr>
            <w:tcW w:w="1039" w:type="dxa"/>
            <w:tcBorders>
              <w:top w:val="nil"/>
              <w:left w:val="nil"/>
              <w:bottom w:val="nil"/>
              <w:right w:val="single" w:sz="4" w:space="0" w:color="auto"/>
            </w:tcBorders>
            <w:shd w:val="clear" w:color="000000" w:fill="FFFFFF"/>
            <w:noWrap/>
            <w:vAlign w:val="bottom"/>
            <w:hideMark/>
          </w:tcPr>
          <w:p w:rsidR="007B1FB1" w:rsidRDefault="007B1FB1" w:rsidP="007B1FB1">
            <w:pPr>
              <w:jc w:val="right"/>
              <w:rPr>
                <w:sz w:val="20"/>
                <w:szCs w:val="20"/>
                <w:u w:val="single"/>
              </w:rPr>
            </w:pPr>
            <w:r>
              <w:rPr>
                <w:sz w:val="20"/>
                <w:szCs w:val="20"/>
                <w:u w:val="single"/>
              </w:rPr>
              <w:t>0.00%</w:t>
            </w:r>
          </w:p>
        </w:tc>
      </w:tr>
      <w:tr w:rsidR="007B1FB1" w:rsidTr="009D3FF7">
        <w:trPr>
          <w:trHeight w:val="260"/>
          <w:jc w:val="center"/>
        </w:trPr>
        <w:tc>
          <w:tcPr>
            <w:tcW w:w="480" w:type="dxa"/>
            <w:tcBorders>
              <w:top w:val="nil"/>
              <w:left w:val="single" w:sz="4" w:space="0" w:color="auto"/>
              <w:bottom w:val="nil"/>
              <w:right w:val="nil"/>
            </w:tcBorders>
            <w:shd w:val="clear" w:color="000000" w:fill="FFFFFF"/>
            <w:noWrap/>
            <w:vAlign w:val="bottom"/>
            <w:hideMark/>
          </w:tcPr>
          <w:p w:rsidR="007B1FB1" w:rsidRDefault="007B1FB1" w:rsidP="007B1FB1">
            <w:pPr>
              <w:jc w:val="center"/>
              <w:rPr>
                <w:sz w:val="20"/>
                <w:szCs w:val="20"/>
              </w:rPr>
            </w:pPr>
            <w:r>
              <w:rPr>
                <w:sz w:val="20"/>
                <w:szCs w:val="20"/>
              </w:rPr>
              <w:t>20</w:t>
            </w:r>
          </w:p>
        </w:tc>
        <w:tc>
          <w:tcPr>
            <w:tcW w:w="3440" w:type="dxa"/>
            <w:tcBorders>
              <w:top w:val="nil"/>
              <w:left w:val="nil"/>
              <w:bottom w:val="nil"/>
              <w:right w:val="nil"/>
            </w:tcBorders>
            <w:shd w:val="clear" w:color="000000" w:fill="FFFFFF"/>
            <w:noWrap/>
            <w:vAlign w:val="bottom"/>
            <w:hideMark/>
          </w:tcPr>
          <w:p w:rsidR="007B1FB1" w:rsidRDefault="007B1FB1" w:rsidP="007B1FB1">
            <w:pPr>
              <w:rPr>
                <w:b/>
                <w:bCs/>
                <w:sz w:val="20"/>
                <w:szCs w:val="20"/>
              </w:rPr>
            </w:pPr>
            <w:r>
              <w:rPr>
                <w:b/>
                <w:bCs/>
                <w:sz w:val="20"/>
                <w:szCs w:val="20"/>
              </w:rPr>
              <w:t>Total Capital</w:t>
            </w:r>
          </w:p>
        </w:tc>
        <w:tc>
          <w:tcPr>
            <w:tcW w:w="1316" w:type="dxa"/>
            <w:tcBorders>
              <w:top w:val="nil"/>
              <w:left w:val="nil"/>
              <w:bottom w:val="nil"/>
              <w:right w:val="nil"/>
            </w:tcBorders>
            <w:shd w:val="clear" w:color="000000" w:fill="FFFFFF"/>
            <w:noWrap/>
            <w:vAlign w:val="bottom"/>
            <w:hideMark/>
          </w:tcPr>
          <w:p w:rsidR="007B1FB1" w:rsidRDefault="007B1FB1" w:rsidP="007B1FB1">
            <w:pPr>
              <w:jc w:val="right"/>
              <w:rPr>
                <w:sz w:val="20"/>
                <w:szCs w:val="20"/>
                <w:u w:val="double"/>
              </w:rPr>
            </w:pPr>
            <w:r>
              <w:rPr>
                <w:sz w:val="20"/>
                <w:szCs w:val="20"/>
                <w:u w:val="double"/>
              </w:rPr>
              <w:t xml:space="preserve">$839,385,035 </w:t>
            </w:r>
          </w:p>
        </w:tc>
        <w:tc>
          <w:tcPr>
            <w:tcW w:w="1000" w:type="dxa"/>
            <w:tcBorders>
              <w:top w:val="nil"/>
              <w:left w:val="nil"/>
              <w:bottom w:val="nil"/>
              <w:right w:val="nil"/>
            </w:tcBorders>
            <w:shd w:val="clear" w:color="000000" w:fill="FFFFFF"/>
            <w:noWrap/>
            <w:vAlign w:val="bottom"/>
            <w:hideMark/>
          </w:tcPr>
          <w:p w:rsidR="007B1FB1" w:rsidRDefault="007B1FB1" w:rsidP="007B1FB1">
            <w:pPr>
              <w:jc w:val="right"/>
              <w:rPr>
                <w:sz w:val="20"/>
                <w:szCs w:val="20"/>
                <w:u w:val="double"/>
              </w:rPr>
            </w:pPr>
            <w:r>
              <w:rPr>
                <w:sz w:val="20"/>
                <w:szCs w:val="20"/>
                <w:u w:val="double"/>
              </w:rPr>
              <w:t xml:space="preserve">$8,290 </w:t>
            </w:r>
          </w:p>
        </w:tc>
        <w:tc>
          <w:tcPr>
            <w:tcW w:w="1520" w:type="dxa"/>
            <w:tcBorders>
              <w:top w:val="nil"/>
              <w:left w:val="nil"/>
              <w:bottom w:val="nil"/>
              <w:right w:val="nil"/>
            </w:tcBorders>
            <w:shd w:val="clear" w:color="000000" w:fill="FFFFFF"/>
            <w:noWrap/>
            <w:vAlign w:val="bottom"/>
            <w:hideMark/>
          </w:tcPr>
          <w:p w:rsidR="007B1FB1" w:rsidRDefault="007B1FB1" w:rsidP="007B1FB1">
            <w:pPr>
              <w:jc w:val="right"/>
              <w:rPr>
                <w:sz w:val="20"/>
                <w:szCs w:val="20"/>
                <w:u w:val="double"/>
              </w:rPr>
            </w:pPr>
            <w:r>
              <w:rPr>
                <w:sz w:val="20"/>
                <w:szCs w:val="20"/>
                <w:u w:val="double"/>
              </w:rPr>
              <w:t xml:space="preserve">$839,393,325 </w:t>
            </w:r>
          </w:p>
        </w:tc>
        <w:tc>
          <w:tcPr>
            <w:tcW w:w="1520" w:type="dxa"/>
            <w:tcBorders>
              <w:top w:val="nil"/>
              <w:left w:val="nil"/>
              <w:bottom w:val="nil"/>
              <w:right w:val="nil"/>
            </w:tcBorders>
            <w:shd w:val="clear" w:color="000000" w:fill="FFFFFF"/>
            <w:noWrap/>
            <w:vAlign w:val="bottom"/>
            <w:hideMark/>
          </w:tcPr>
          <w:p w:rsidR="007B1FB1" w:rsidRDefault="007B1FB1" w:rsidP="007B1FB1">
            <w:pPr>
              <w:jc w:val="right"/>
              <w:rPr>
                <w:sz w:val="20"/>
                <w:szCs w:val="20"/>
                <w:u w:val="double"/>
              </w:rPr>
            </w:pPr>
            <w:r>
              <w:rPr>
                <w:sz w:val="20"/>
                <w:szCs w:val="20"/>
                <w:u w:val="double"/>
              </w:rPr>
              <w:t>($641,994,603)</w:t>
            </w:r>
          </w:p>
        </w:tc>
        <w:tc>
          <w:tcPr>
            <w:tcW w:w="1520" w:type="dxa"/>
            <w:tcBorders>
              <w:top w:val="nil"/>
              <w:left w:val="nil"/>
              <w:bottom w:val="nil"/>
              <w:right w:val="nil"/>
            </w:tcBorders>
            <w:shd w:val="clear" w:color="000000" w:fill="FFFFFF"/>
            <w:noWrap/>
            <w:vAlign w:val="bottom"/>
            <w:hideMark/>
          </w:tcPr>
          <w:p w:rsidR="007B1FB1" w:rsidRDefault="007B1FB1" w:rsidP="007B1FB1">
            <w:pPr>
              <w:jc w:val="right"/>
              <w:rPr>
                <w:sz w:val="20"/>
                <w:szCs w:val="20"/>
                <w:u w:val="double"/>
              </w:rPr>
            </w:pPr>
            <w:r>
              <w:rPr>
                <w:sz w:val="20"/>
                <w:szCs w:val="20"/>
                <w:u w:val="double"/>
              </w:rPr>
              <w:t xml:space="preserve">$197,398,722 </w:t>
            </w:r>
          </w:p>
        </w:tc>
        <w:tc>
          <w:tcPr>
            <w:tcW w:w="933" w:type="dxa"/>
            <w:tcBorders>
              <w:top w:val="nil"/>
              <w:left w:val="nil"/>
              <w:bottom w:val="nil"/>
              <w:right w:val="nil"/>
            </w:tcBorders>
            <w:shd w:val="clear" w:color="000000" w:fill="FFFFFF"/>
            <w:noWrap/>
            <w:vAlign w:val="bottom"/>
            <w:hideMark/>
          </w:tcPr>
          <w:p w:rsidR="007B1FB1" w:rsidRDefault="007B1FB1" w:rsidP="007B1FB1">
            <w:pPr>
              <w:jc w:val="right"/>
              <w:rPr>
                <w:sz w:val="20"/>
                <w:szCs w:val="20"/>
                <w:u w:val="double"/>
              </w:rPr>
            </w:pPr>
            <w:r>
              <w:rPr>
                <w:sz w:val="20"/>
                <w:szCs w:val="20"/>
                <w:u w:val="double"/>
              </w:rPr>
              <w:t>100.00%</w:t>
            </w:r>
          </w:p>
        </w:tc>
        <w:tc>
          <w:tcPr>
            <w:tcW w:w="963" w:type="dxa"/>
            <w:tcBorders>
              <w:top w:val="nil"/>
              <w:left w:val="nil"/>
              <w:bottom w:val="nil"/>
              <w:right w:val="nil"/>
            </w:tcBorders>
            <w:shd w:val="clear" w:color="000000" w:fill="FFFFFF"/>
            <w:noWrap/>
            <w:vAlign w:val="bottom"/>
            <w:hideMark/>
          </w:tcPr>
          <w:p w:rsidR="007B1FB1" w:rsidRDefault="007B1FB1" w:rsidP="007B1FB1">
            <w:pPr>
              <w:rPr>
                <w:sz w:val="20"/>
                <w:szCs w:val="20"/>
                <w:u w:val="double"/>
              </w:rPr>
            </w:pPr>
          </w:p>
        </w:tc>
        <w:tc>
          <w:tcPr>
            <w:tcW w:w="1039" w:type="dxa"/>
            <w:tcBorders>
              <w:top w:val="nil"/>
              <w:left w:val="nil"/>
              <w:bottom w:val="nil"/>
              <w:right w:val="single" w:sz="4" w:space="0" w:color="auto"/>
            </w:tcBorders>
            <w:shd w:val="clear" w:color="000000" w:fill="FFFFFF"/>
            <w:noWrap/>
            <w:vAlign w:val="bottom"/>
            <w:hideMark/>
          </w:tcPr>
          <w:p w:rsidR="007B1FB1" w:rsidRDefault="007B1FB1" w:rsidP="007B1FB1">
            <w:pPr>
              <w:jc w:val="right"/>
              <w:rPr>
                <w:sz w:val="20"/>
                <w:szCs w:val="20"/>
                <w:u w:val="double"/>
              </w:rPr>
            </w:pPr>
            <w:r>
              <w:rPr>
                <w:sz w:val="20"/>
                <w:szCs w:val="20"/>
                <w:u w:val="double"/>
              </w:rPr>
              <w:t>7.77%</w:t>
            </w:r>
          </w:p>
        </w:tc>
      </w:tr>
      <w:tr w:rsidR="00305B83" w:rsidTr="009D3FF7">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344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316"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00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5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5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5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933"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963"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039"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9D3FF7">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344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316"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00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52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52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52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933" w:type="dxa"/>
            <w:tcBorders>
              <w:top w:val="nil"/>
              <w:left w:val="nil"/>
              <w:bottom w:val="nil"/>
              <w:right w:val="nil"/>
            </w:tcBorders>
            <w:shd w:val="clear" w:color="000000" w:fill="FFFFFF"/>
            <w:noWrap/>
            <w:vAlign w:val="bottom"/>
            <w:hideMark/>
          </w:tcPr>
          <w:p w:rsidR="00305B83" w:rsidRDefault="00305B83">
            <w:pPr>
              <w:jc w:val="center"/>
              <w:rPr>
                <w:b/>
                <w:bCs/>
                <w:sz w:val="20"/>
                <w:szCs w:val="20"/>
                <w:u w:val="single"/>
              </w:rPr>
            </w:pPr>
            <w:r>
              <w:rPr>
                <w:b/>
                <w:bCs/>
                <w:sz w:val="20"/>
                <w:szCs w:val="20"/>
                <w:u w:val="single"/>
              </w:rPr>
              <w:t>LOW</w:t>
            </w:r>
          </w:p>
        </w:tc>
        <w:tc>
          <w:tcPr>
            <w:tcW w:w="963" w:type="dxa"/>
            <w:tcBorders>
              <w:top w:val="nil"/>
              <w:left w:val="nil"/>
              <w:bottom w:val="nil"/>
              <w:right w:val="nil"/>
            </w:tcBorders>
            <w:shd w:val="clear" w:color="000000" w:fill="FFFFFF"/>
            <w:noWrap/>
            <w:vAlign w:val="bottom"/>
            <w:hideMark/>
          </w:tcPr>
          <w:p w:rsidR="00305B83" w:rsidRDefault="00305B83">
            <w:pPr>
              <w:jc w:val="center"/>
              <w:rPr>
                <w:b/>
                <w:bCs/>
                <w:sz w:val="20"/>
                <w:szCs w:val="20"/>
                <w:u w:val="single"/>
              </w:rPr>
            </w:pPr>
            <w:r>
              <w:rPr>
                <w:b/>
                <w:bCs/>
                <w:sz w:val="20"/>
                <w:szCs w:val="20"/>
                <w:u w:val="single"/>
              </w:rPr>
              <w:t>HIGH</w:t>
            </w:r>
          </w:p>
        </w:tc>
        <w:tc>
          <w:tcPr>
            <w:tcW w:w="1039"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9D3FF7">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344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316"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000" w:type="dxa"/>
            <w:tcBorders>
              <w:top w:val="nil"/>
              <w:left w:val="nil"/>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5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3040" w:type="dxa"/>
            <w:gridSpan w:val="2"/>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xml:space="preserve">   RETURN ON EQUITY</w:t>
            </w:r>
          </w:p>
        </w:tc>
        <w:tc>
          <w:tcPr>
            <w:tcW w:w="933" w:type="dxa"/>
            <w:tcBorders>
              <w:top w:val="nil"/>
              <w:left w:val="nil"/>
              <w:bottom w:val="nil"/>
              <w:right w:val="nil"/>
            </w:tcBorders>
            <w:shd w:val="clear" w:color="000000" w:fill="FFFFFF"/>
            <w:noWrap/>
            <w:vAlign w:val="bottom"/>
            <w:hideMark/>
          </w:tcPr>
          <w:p w:rsidR="00305B83" w:rsidRDefault="00305B83">
            <w:pPr>
              <w:jc w:val="right"/>
              <w:rPr>
                <w:sz w:val="20"/>
                <w:szCs w:val="20"/>
                <w:u w:val="double"/>
              </w:rPr>
            </w:pPr>
            <w:r>
              <w:rPr>
                <w:sz w:val="20"/>
                <w:szCs w:val="20"/>
                <w:u w:val="double"/>
              </w:rPr>
              <w:t>9.20%</w:t>
            </w:r>
          </w:p>
        </w:tc>
        <w:tc>
          <w:tcPr>
            <w:tcW w:w="963" w:type="dxa"/>
            <w:tcBorders>
              <w:top w:val="nil"/>
              <w:left w:val="nil"/>
              <w:bottom w:val="nil"/>
              <w:right w:val="nil"/>
            </w:tcBorders>
            <w:shd w:val="clear" w:color="000000" w:fill="FFFFFF"/>
            <w:noWrap/>
            <w:vAlign w:val="bottom"/>
            <w:hideMark/>
          </w:tcPr>
          <w:p w:rsidR="00305B83" w:rsidRDefault="00305B83">
            <w:pPr>
              <w:jc w:val="right"/>
              <w:rPr>
                <w:sz w:val="20"/>
                <w:szCs w:val="20"/>
                <w:u w:val="double"/>
              </w:rPr>
            </w:pPr>
            <w:r>
              <w:rPr>
                <w:sz w:val="20"/>
                <w:szCs w:val="20"/>
                <w:u w:val="double"/>
              </w:rPr>
              <w:t>11.20%</w:t>
            </w:r>
          </w:p>
        </w:tc>
        <w:tc>
          <w:tcPr>
            <w:tcW w:w="1039"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9D3FF7">
        <w:trPr>
          <w:trHeight w:val="260"/>
          <w:jc w:val="center"/>
        </w:trPr>
        <w:tc>
          <w:tcPr>
            <w:tcW w:w="480" w:type="dxa"/>
            <w:tcBorders>
              <w:top w:val="nil"/>
              <w:left w:val="single" w:sz="4" w:space="0" w:color="auto"/>
              <w:bottom w:val="single" w:sz="4" w:space="0" w:color="auto"/>
              <w:right w:val="nil"/>
            </w:tcBorders>
            <w:shd w:val="clear" w:color="000000" w:fill="FFFFFF"/>
            <w:noWrap/>
            <w:vAlign w:val="bottom"/>
            <w:hideMark/>
          </w:tcPr>
          <w:p w:rsidR="00305B83" w:rsidRDefault="00305B83">
            <w:pPr>
              <w:rPr>
                <w:sz w:val="20"/>
                <w:szCs w:val="20"/>
              </w:rPr>
            </w:pPr>
            <w:r>
              <w:rPr>
                <w:sz w:val="20"/>
                <w:szCs w:val="20"/>
              </w:rPr>
              <w:t> </w:t>
            </w:r>
          </w:p>
        </w:tc>
        <w:tc>
          <w:tcPr>
            <w:tcW w:w="3440" w:type="dxa"/>
            <w:tcBorders>
              <w:top w:val="nil"/>
              <w:left w:val="nil"/>
              <w:bottom w:val="single" w:sz="4" w:space="0" w:color="auto"/>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316" w:type="dxa"/>
            <w:tcBorders>
              <w:top w:val="nil"/>
              <w:left w:val="nil"/>
              <w:bottom w:val="single" w:sz="4" w:space="0" w:color="auto"/>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1000" w:type="dxa"/>
            <w:tcBorders>
              <w:top w:val="nil"/>
              <w:left w:val="nil"/>
              <w:bottom w:val="single" w:sz="4" w:space="0" w:color="auto"/>
              <w:right w:val="nil"/>
            </w:tcBorders>
            <w:shd w:val="clear" w:color="000000" w:fill="FFFFFF"/>
            <w:noWrap/>
            <w:vAlign w:val="bottom"/>
            <w:hideMark/>
          </w:tcPr>
          <w:p w:rsidR="00305B83" w:rsidRDefault="00305B83">
            <w:pPr>
              <w:rPr>
                <w:sz w:val="20"/>
                <w:szCs w:val="20"/>
              </w:rPr>
            </w:pPr>
            <w:r>
              <w:rPr>
                <w:sz w:val="20"/>
                <w:szCs w:val="20"/>
              </w:rPr>
              <w:t> </w:t>
            </w:r>
          </w:p>
        </w:tc>
        <w:tc>
          <w:tcPr>
            <w:tcW w:w="1520" w:type="dxa"/>
            <w:tcBorders>
              <w:top w:val="nil"/>
              <w:left w:val="nil"/>
              <w:bottom w:val="single" w:sz="4" w:space="0" w:color="auto"/>
              <w:right w:val="nil"/>
            </w:tcBorders>
            <w:shd w:val="clear" w:color="000000" w:fill="FFFFFF"/>
            <w:noWrap/>
            <w:vAlign w:val="bottom"/>
            <w:hideMark/>
          </w:tcPr>
          <w:p w:rsidR="00305B83" w:rsidRDefault="00305B83">
            <w:pPr>
              <w:rPr>
                <w:sz w:val="20"/>
                <w:szCs w:val="20"/>
              </w:rPr>
            </w:pPr>
            <w:r>
              <w:rPr>
                <w:sz w:val="20"/>
                <w:szCs w:val="20"/>
              </w:rPr>
              <w:t> </w:t>
            </w:r>
          </w:p>
        </w:tc>
        <w:tc>
          <w:tcPr>
            <w:tcW w:w="3040" w:type="dxa"/>
            <w:gridSpan w:val="2"/>
            <w:tcBorders>
              <w:top w:val="nil"/>
              <w:left w:val="nil"/>
              <w:bottom w:val="single" w:sz="4" w:space="0" w:color="auto"/>
              <w:right w:val="nil"/>
            </w:tcBorders>
            <w:shd w:val="clear" w:color="000000" w:fill="FFFFFF"/>
            <w:noWrap/>
            <w:vAlign w:val="bottom"/>
            <w:hideMark/>
          </w:tcPr>
          <w:p w:rsidR="00305B83" w:rsidRDefault="00305B83">
            <w:pPr>
              <w:rPr>
                <w:sz w:val="20"/>
                <w:szCs w:val="20"/>
              </w:rPr>
            </w:pPr>
            <w:r>
              <w:rPr>
                <w:sz w:val="20"/>
                <w:szCs w:val="20"/>
              </w:rPr>
              <w:t xml:space="preserve">   OVERALL RATE OF RETURN</w:t>
            </w:r>
          </w:p>
        </w:tc>
        <w:tc>
          <w:tcPr>
            <w:tcW w:w="933" w:type="dxa"/>
            <w:tcBorders>
              <w:top w:val="nil"/>
              <w:left w:val="nil"/>
              <w:bottom w:val="single" w:sz="4" w:space="0" w:color="auto"/>
              <w:right w:val="nil"/>
            </w:tcBorders>
            <w:shd w:val="clear" w:color="000000" w:fill="FFFFFF"/>
            <w:noWrap/>
            <w:vAlign w:val="bottom"/>
            <w:hideMark/>
          </w:tcPr>
          <w:p w:rsidR="00305B83" w:rsidRDefault="00305B83">
            <w:pPr>
              <w:jc w:val="right"/>
              <w:rPr>
                <w:sz w:val="20"/>
                <w:szCs w:val="20"/>
                <w:u w:val="double"/>
              </w:rPr>
            </w:pPr>
            <w:r>
              <w:rPr>
                <w:sz w:val="20"/>
                <w:szCs w:val="20"/>
                <w:u w:val="double"/>
              </w:rPr>
              <w:t>7.27%</w:t>
            </w:r>
          </w:p>
        </w:tc>
        <w:tc>
          <w:tcPr>
            <w:tcW w:w="963" w:type="dxa"/>
            <w:tcBorders>
              <w:top w:val="nil"/>
              <w:left w:val="nil"/>
              <w:bottom w:val="single" w:sz="4" w:space="0" w:color="auto"/>
              <w:right w:val="nil"/>
            </w:tcBorders>
            <w:shd w:val="clear" w:color="000000" w:fill="FFFFFF"/>
            <w:noWrap/>
            <w:vAlign w:val="bottom"/>
            <w:hideMark/>
          </w:tcPr>
          <w:p w:rsidR="00305B83" w:rsidRDefault="00305B83">
            <w:pPr>
              <w:jc w:val="right"/>
              <w:rPr>
                <w:sz w:val="20"/>
                <w:szCs w:val="20"/>
                <w:u w:val="double"/>
              </w:rPr>
            </w:pPr>
            <w:r>
              <w:rPr>
                <w:sz w:val="20"/>
                <w:szCs w:val="20"/>
                <w:u w:val="double"/>
              </w:rPr>
              <w:t>8.27%</w:t>
            </w:r>
          </w:p>
        </w:tc>
        <w:tc>
          <w:tcPr>
            <w:tcW w:w="1039" w:type="dxa"/>
            <w:tcBorders>
              <w:top w:val="nil"/>
              <w:left w:val="nil"/>
              <w:bottom w:val="single" w:sz="4" w:space="0" w:color="auto"/>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bl>
    <w:p w:rsidR="00C148E6" w:rsidRDefault="00305B83" w:rsidP="008F1F2D">
      <w:pPr>
        <w:sectPr w:rsidR="00C148E6" w:rsidSect="004355D6">
          <w:headerReference w:type="default" r:id="rId23"/>
          <w:footerReference w:type="default" r:id="rId24"/>
          <w:pgSz w:w="15840" w:h="12240" w:orient="landscape" w:code="1"/>
          <w:pgMar w:top="1440" w:right="1584" w:bottom="1440" w:left="1440" w:header="720" w:footer="720" w:gutter="0"/>
          <w:cols w:space="720"/>
          <w:formProt w:val="0"/>
          <w:docGrid w:linePitch="360"/>
        </w:sectPr>
      </w:pPr>
      <w:r>
        <w:fldChar w:fldCharType="begin"/>
      </w:r>
      <w:r>
        <w:instrText xml:space="preserve"> TC "</w:instrText>
      </w:r>
      <w:bookmarkStart w:id="69" w:name="_Toc196317168"/>
      <w:r>
        <w:tab/>
        <w:instrText>Schedule No. 2</w:instrText>
      </w:r>
      <w:bookmarkEnd w:id="69"/>
      <w:r>
        <w:instrText xml:space="preserve">" \l 1 </w:instrText>
      </w:r>
      <w:r>
        <w:fldChar w:fldCharType="end"/>
      </w:r>
    </w:p>
    <w:tbl>
      <w:tblPr>
        <w:tblW w:w="11480" w:type="dxa"/>
        <w:jc w:val="center"/>
        <w:tblLook w:val="04A0" w:firstRow="1" w:lastRow="0" w:firstColumn="1" w:lastColumn="0" w:noHBand="0" w:noVBand="1"/>
      </w:tblPr>
      <w:tblGrid>
        <w:gridCol w:w="480"/>
        <w:gridCol w:w="2460"/>
        <w:gridCol w:w="1220"/>
        <w:gridCol w:w="1220"/>
        <w:gridCol w:w="1220"/>
        <w:gridCol w:w="1250"/>
        <w:gridCol w:w="1220"/>
        <w:gridCol w:w="1220"/>
        <w:gridCol w:w="1338"/>
      </w:tblGrid>
      <w:tr w:rsidR="00305B83" w:rsidTr="00305B83">
        <w:trPr>
          <w:trHeight w:val="260"/>
          <w:jc w:val="center"/>
        </w:trPr>
        <w:tc>
          <w:tcPr>
            <w:tcW w:w="480" w:type="dxa"/>
            <w:tcBorders>
              <w:top w:val="single" w:sz="4" w:space="0" w:color="auto"/>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lastRenderedPageBreak/>
              <w:t> </w:t>
            </w:r>
          </w:p>
        </w:tc>
        <w:tc>
          <w:tcPr>
            <w:tcW w:w="2460" w:type="dxa"/>
            <w:tcBorders>
              <w:top w:val="single" w:sz="4" w:space="0" w:color="auto"/>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auto"/>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auto"/>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auto"/>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auto"/>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auto"/>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auto"/>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auto"/>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3680" w:type="dxa"/>
            <w:gridSpan w:val="2"/>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Sunshine Water Services Company</w:t>
            </w:r>
          </w:p>
        </w:tc>
        <w:tc>
          <w:tcPr>
            <w:tcW w:w="122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2440" w:type="dxa"/>
            <w:gridSpan w:val="2"/>
            <w:tcBorders>
              <w:top w:val="nil"/>
              <w:left w:val="nil"/>
              <w:bottom w:val="nil"/>
              <w:right w:val="single" w:sz="4" w:space="0" w:color="000000"/>
            </w:tcBorders>
            <w:shd w:val="clear" w:color="000000" w:fill="FFFFFF"/>
            <w:noWrap/>
            <w:vAlign w:val="bottom"/>
            <w:hideMark/>
          </w:tcPr>
          <w:p w:rsidR="00305B83" w:rsidRDefault="00305B83">
            <w:pPr>
              <w:jc w:val="right"/>
              <w:rPr>
                <w:b/>
                <w:bCs/>
                <w:sz w:val="20"/>
                <w:szCs w:val="20"/>
              </w:rPr>
            </w:pPr>
            <w:r>
              <w:rPr>
                <w:b/>
                <w:bCs/>
                <w:sz w:val="20"/>
                <w:szCs w:val="20"/>
              </w:rPr>
              <w:t>Schedule No. 3-A</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3680" w:type="dxa"/>
            <w:gridSpan w:val="2"/>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Statement of Water Operations</w:t>
            </w:r>
          </w:p>
        </w:tc>
        <w:tc>
          <w:tcPr>
            <w:tcW w:w="122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2440" w:type="dxa"/>
            <w:gridSpan w:val="2"/>
            <w:tcBorders>
              <w:top w:val="nil"/>
              <w:left w:val="nil"/>
              <w:bottom w:val="nil"/>
              <w:right w:val="single" w:sz="4" w:space="0" w:color="000000"/>
            </w:tcBorders>
            <w:shd w:val="clear" w:color="000000" w:fill="FFFFFF"/>
            <w:noWrap/>
            <w:vAlign w:val="bottom"/>
            <w:hideMark/>
          </w:tcPr>
          <w:p w:rsidR="00305B83" w:rsidRDefault="00305B83">
            <w:pPr>
              <w:jc w:val="right"/>
              <w:rPr>
                <w:b/>
                <w:bCs/>
                <w:sz w:val="20"/>
                <w:szCs w:val="20"/>
              </w:rPr>
            </w:pPr>
            <w:r>
              <w:rPr>
                <w:b/>
                <w:bCs/>
                <w:sz w:val="20"/>
                <w:szCs w:val="20"/>
              </w:rPr>
              <w:t>Docket No. 20240068-WS</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3680" w:type="dxa"/>
            <w:gridSpan w:val="2"/>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Test Year Ended 12/31/2023</w:t>
            </w:r>
          </w:p>
        </w:tc>
        <w:tc>
          <w:tcPr>
            <w:tcW w:w="122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b/>
                <w:bCs/>
                <w:sz w:val="20"/>
                <w:szCs w:val="20"/>
              </w:rPr>
            </w:pPr>
            <w:r>
              <w:rPr>
                <w:b/>
                <w:bCs/>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24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single" w:sz="4" w:space="0" w:color="000000"/>
              <w:left w:val="single" w:sz="4" w:space="0" w:color="auto"/>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2460" w:type="dxa"/>
            <w:tcBorders>
              <w:top w:val="single" w:sz="4" w:space="0" w:color="000000"/>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220" w:type="dxa"/>
            <w:tcBorders>
              <w:top w:val="single" w:sz="4" w:space="0" w:color="000000"/>
              <w:left w:val="nil"/>
              <w:bottom w:val="nil"/>
              <w:right w:val="single" w:sz="4" w:space="0" w:color="auto"/>
            </w:tcBorders>
            <w:shd w:val="clear" w:color="000000" w:fill="FFFFFF"/>
            <w:noWrap/>
            <w:vAlign w:val="bottom"/>
            <w:hideMark/>
          </w:tcPr>
          <w:p w:rsidR="00305B83" w:rsidRDefault="00305B83">
            <w:pPr>
              <w:rPr>
                <w:b/>
                <w:bCs/>
                <w:sz w:val="20"/>
                <w:szCs w:val="20"/>
              </w:rPr>
            </w:pPr>
            <w:r>
              <w:rPr>
                <w:b/>
                <w:bCs/>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246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Test Year</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Utility</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Adjusted</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Staff</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Staff</w:t>
            </w:r>
          </w:p>
        </w:tc>
        <w:tc>
          <w:tcPr>
            <w:tcW w:w="122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b/>
                <w:bCs/>
                <w:sz w:val="20"/>
                <w:szCs w:val="20"/>
              </w:rPr>
            </w:pPr>
            <w:r>
              <w:rPr>
                <w:b/>
                <w:bCs/>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246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Per</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Test Year</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Test Year</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Adjust-</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Adjusted</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Revenue</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center"/>
              <w:rPr>
                <w:b/>
                <w:bCs/>
                <w:sz w:val="20"/>
                <w:szCs w:val="20"/>
              </w:rPr>
            </w:pPr>
            <w:r>
              <w:rPr>
                <w:b/>
                <w:bCs/>
                <w:sz w:val="20"/>
                <w:szCs w:val="20"/>
              </w:rPr>
              <w:t>Revenue</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246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Description</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Utility</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Adj</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Per Utility</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ments</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Test Year</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Increase</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center"/>
              <w:rPr>
                <w:b/>
                <w:bCs/>
                <w:sz w:val="20"/>
                <w:szCs w:val="20"/>
              </w:rPr>
            </w:pPr>
            <w:r>
              <w:rPr>
                <w:b/>
                <w:bCs/>
                <w:sz w:val="20"/>
                <w:szCs w:val="20"/>
              </w:rPr>
              <w:t>Requirement</w:t>
            </w:r>
          </w:p>
        </w:tc>
      </w:tr>
      <w:tr w:rsidR="00305B83" w:rsidTr="00305B83">
        <w:trPr>
          <w:trHeight w:val="31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24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single" w:sz="4" w:space="0" w:color="000000"/>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2460" w:type="dxa"/>
            <w:tcBorders>
              <w:top w:val="single" w:sz="4" w:space="0" w:color="000000"/>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000000"/>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1</w:t>
            </w:r>
          </w:p>
        </w:tc>
        <w:tc>
          <w:tcPr>
            <w:tcW w:w="246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Operating Revenues:</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$22,532,175</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$5,563,719</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$28,095,894</w:t>
            </w:r>
          </w:p>
        </w:tc>
        <w:tc>
          <w:tcPr>
            <w:tcW w:w="1220" w:type="dxa"/>
            <w:tcBorders>
              <w:top w:val="nil"/>
              <w:left w:val="nil"/>
              <w:bottom w:val="nil"/>
              <w:right w:val="nil"/>
            </w:tcBorders>
            <w:shd w:val="clear" w:color="000000" w:fill="FFFFFF"/>
            <w:noWrap/>
            <w:vAlign w:val="bottom"/>
            <w:hideMark/>
          </w:tcPr>
          <w:p w:rsidR="00305B83" w:rsidRDefault="00031543">
            <w:pPr>
              <w:jc w:val="right"/>
              <w:rPr>
                <w:sz w:val="20"/>
                <w:szCs w:val="20"/>
                <w:u w:val="single"/>
              </w:rPr>
            </w:pPr>
            <w:r>
              <w:rPr>
                <w:sz w:val="20"/>
                <w:szCs w:val="20"/>
                <w:u w:val="single"/>
              </w:rPr>
              <w:t>(</w:t>
            </w:r>
            <w:r w:rsidR="00305B83">
              <w:rPr>
                <w:sz w:val="20"/>
                <w:szCs w:val="20"/>
                <w:u w:val="single"/>
              </w:rPr>
              <w:t>$5,177,609</w:t>
            </w:r>
            <w:r>
              <w:rPr>
                <w:sz w:val="20"/>
                <w:szCs w:val="20"/>
                <w:u w:val="single"/>
              </w:rPr>
              <w:t>)</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$22,918,285</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$4,563,417</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u w:val="single"/>
              </w:rPr>
            </w:pPr>
            <w:r>
              <w:rPr>
                <w:sz w:val="20"/>
                <w:szCs w:val="20"/>
                <w:u w:val="single"/>
              </w:rPr>
              <w:t>$27,481,702</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24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84016B">
            <w:pPr>
              <w:jc w:val="right"/>
              <w:rPr>
                <w:sz w:val="20"/>
                <w:szCs w:val="20"/>
              </w:rPr>
            </w:pPr>
            <w:r>
              <w:rPr>
                <w:sz w:val="20"/>
                <w:szCs w:val="20"/>
              </w:rPr>
              <w:t>19.9</w:t>
            </w:r>
            <w:r w:rsidR="00305B83">
              <w:rPr>
                <w:sz w:val="20"/>
                <w:szCs w:val="20"/>
              </w:rPr>
              <w:t>%</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246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Operating Expenses</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31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2</w:t>
            </w:r>
          </w:p>
        </w:tc>
        <w:tc>
          <w:tcPr>
            <w:tcW w:w="2460" w:type="dxa"/>
            <w:tcBorders>
              <w:top w:val="nil"/>
              <w:left w:val="nil"/>
              <w:bottom w:val="nil"/>
              <w:right w:val="nil"/>
            </w:tcBorders>
            <w:shd w:val="clear" w:color="000000" w:fill="FFFFFF"/>
            <w:noWrap/>
            <w:vAlign w:val="bottom"/>
            <w:hideMark/>
          </w:tcPr>
          <w:p w:rsidR="00305B83" w:rsidRDefault="00305B83" w:rsidP="00CF37FA">
            <w:pPr>
              <w:rPr>
                <w:sz w:val="20"/>
                <w:szCs w:val="20"/>
              </w:rPr>
            </w:pPr>
            <w:r>
              <w:rPr>
                <w:sz w:val="20"/>
                <w:szCs w:val="20"/>
              </w:rPr>
              <w:t xml:space="preserve">    O</w:t>
            </w:r>
            <w:r w:rsidR="00CF37FA">
              <w:rPr>
                <w:sz w:val="20"/>
                <w:szCs w:val="20"/>
              </w:rPr>
              <w:t>&amp;M</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$12,536,020</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$743,783</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$13,279,803</w:t>
            </w:r>
          </w:p>
        </w:tc>
        <w:tc>
          <w:tcPr>
            <w:tcW w:w="1220" w:type="dxa"/>
            <w:tcBorders>
              <w:top w:val="nil"/>
              <w:left w:val="nil"/>
              <w:bottom w:val="nil"/>
              <w:right w:val="nil"/>
            </w:tcBorders>
            <w:shd w:val="clear" w:color="000000" w:fill="FFFFFF"/>
            <w:noWrap/>
            <w:vAlign w:val="bottom"/>
            <w:hideMark/>
          </w:tcPr>
          <w:p w:rsidR="00305B83" w:rsidRDefault="00305B83" w:rsidP="00827FB1">
            <w:pPr>
              <w:jc w:val="right"/>
              <w:rPr>
                <w:sz w:val="20"/>
                <w:szCs w:val="20"/>
              </w:rPr>
            </w:pPr>
            <w:r>
              <w:rPr>
                <w:sz w:val="20"/>
                <w:szCs w:val="20"/>
              </w:rPr>
              <w:t>(7</w:t>
            </w:r>
            <w:r w:rsidR="00031543">
              <w:rPr>
                <w:sz w:val="20"/>
                <w:szCs w:val="20"/>
              </w:rPr>
              <w:t>6</w:t>
            </w:r>
            <w:r w:rsidR="00827FB1">
              <w:rPr>
                <w:sz w:val="20"/>
                <w:szCs w:val="20"/>
              </w:rPr>
              <w:t>2,291</w:t>
            </w:r>
            <w:r>
              <w:rPr>
                <w:sz w:val="20"/>
                <w:szCs w:val="20"/>
              </w:rPr>
              <w:t>)</w:t>
            </w:r>
          </w:p>
        </w:tc>
        <w:tc>
          <w:tcPr>
            <w:tcW w:w="1220" w:type="dxa"/>
            <w:tcBorders>
              <w:top w:val="nil"/>
              <w:left w:val="nil"/>
              <w:bottom w:val="nil"/>
              <w:right w:val="nil"/>
            </w:tcBorders>
            <w:shd w:val="clear" w:color="000000" w:fill="FFFFFF"/>
            <w:noWrap/>
            <w:vAlign w:val="bottom"/>
            <w:hideMark/>
          </w:tcPr>
          <w:p w:rsidR="00305B83" w:rsidRDefault="00305B83" w:rsidP="00827FB1">
            <w:pPr>
              <w:jc w:val="right"/>
              <w:rPr>
                <w:sz w:val="20"/>
                <w:szCs w:val="20"/>
              </w:rPr>
            </w:pPr>
            <w:r>
              <w:rPr>
                <w:sz w:val="20"/>
                <w:szCs w:val="20"/>
              </w:rPr>
              <w:t>12,5</w:t>
            </w:r>
            <w:r w:rsidR="00031543">
              <w:rPr>
                <w:sz w:val="20"/>
                <w:szCs w:val="20"/>
              </w:rPr>
              <w:t>1</w:t>
            </w:r>
            <w:r w:rsidR="00827FB1">
              <w:rPr>
                <w:sz w:val="20"/>
                <w:szCs w:val="20"/>
              </w:rPr>
              <w:t>7,512</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FE58D3">
            <w:pPr>
              <w:jc w:val="right"/>
              <w:rPr>
                <w:sz w:val="20"/>
                <w:szCs w:val="20"/>
              </w:rPr>
            </w:pPr>
            <w:r w:rsidRPr="00FE58D3">
              <w:rPr>
                <w:sz w:val="20"/>
                <w:szCs w:val="20"/>
              </w:rPr>
              <w:t>12,517,512</w:t>
            </w:r>
          </w:p>
        </w:tc>
      </w:tr>
      <w:tr w:rsidR="00305B83" w:rsidTr="00305B83">
        <w:trPr>
          <w:trHeight w:val="31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24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3</w:t>
            </w:r>
          </w:p>
        </w:tc>
        <w:tc>
          <w:tcPr>
            <w:tcW w:w="24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xml:space="preserve">    Depreciation</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2,572,862</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1,908,761</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$4,481,623</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(161,558)</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4,320,065</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4,320,065</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24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4</w:t>
            </w:r>
          </w:p>
        </w:tc>
        <w:tc>
          <w:tcPr>
            <w:tcW w:w="24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xml:space="preserve">    Amortization</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0</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46,750</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$46,750</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0</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46,750</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46,750</w:t>
            </w:r>
          </w:p>
        </w:tc>
      </w:tr>
      <w:tr w:rsidR="00305B83" w:rsidTr="00305B83">
        <w:trPr>
          <w:trHeight w:val="31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24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31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5</w:t>
            </w:r>
          </w:p>
        </w:tc>
        <w:tc>
          <w:tcPr>
            <w:tcW w:w="2460" w:type="dxa"/>
            <w:tcBorders>
              <w:top w:val="nil"/>
              <w:left w:val="nil"/>
              <w:bottom w:val="nil"/>
              <w:right w:val="nil"/>
            </w:tcBorders>
            <w:shd w:val="clear" w:color="000000" w:fill="FFFFFF"/>
            <w:noWrap/>
            <w:vAlign w:val="bottom"/>
            <w:hideMark/>
          </w:tcPr>
          <w:p w:rsidR="00305B83" w:rsidRDefault="00305B83" w:rsidP="00CF37FA">
            <w:pPr>
              <w:rPr>
                <w:sz w:val="20"/>
                <w:szCs w:val="20"/>
              </w:rPr>
            </w:pPr>
            <w:r>
              <w:rPr>
                <w:sz w:val="20"/>
                <w:szCs w:val="20"/>
              </w:rPr>
              <w:t xml:space="preserve">    </w:t>
            </w:r>
            <w:r w:rsidR="00CF37FA">
              <w:rPr>
                <w:sz w:val="20"/>
                <w:szCs w:val="20"/>
              </w:rPr>
              <w:t>TOTI</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1,934,995</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573,609</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$2,508,604</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(226,575)</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2,282,029</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205,354</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2,487,383</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24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6</w:t>
            </w:r>
          </w:p>
        </w:tc>
        <w:tc>
          <w:tcPr>
            <w:tcW w:w="24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xml:space="preserve">    Income Taxes</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1,112,778</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441,521</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$1,554,299</w:t>
            </w:r>
          </w:p>
        </w:tc>
        <w:tc>
          <w:tcPr>
            <w:tcW w:w="1220" w:type="dxa"/>
            <w:tcBorders>
              <w:top w:val="nil"/>
              <w:left w:val="nil"/>
              <w:bottom w:val="nil"/>
              <w:right w:val="nil"/>
            </w:tcBorders>
            <w:shd w:val="clear" w:color="000000" w:fill="FFFFFF"/>
            <w:noWrap/>
            <w:vAlign w:val="bottom"/>
            <w:hideMark/>
          </w:tcPr>
          <w:p w:rsidR="00305B83" w:rsidRDefault="00305B83" w:rsidP="00FE58D3">
            <w:pPr>
              <w:jc w:val="right"/>
              <w:rPr>
                <w:sz w:val="20"/>
                <w:szCs w:val="20"/>
                <w:u w:val="single"/>
              </w:rPr>
            </w:pPr>
            <w:r>
              <w:rPr>
                <w:sz w:val="20"/>
                <w:szCs w:val="20"/>
                <w:u w:val="single"/>
              </w:rPr>
              <w:t>(1,</w:t>
            </w:r>
            <w:r w:rsidR="00827FB1">
              <w:rPr>
                <w:sz w:val="20"/>
                <w:szCs w:val="20"/>
                <w:u w:val="single"/>
              </w:rPr>
              <w:t>192,1</w:t>
            </w:r>
            <w:r w:rsidR="00FE58D3">
              <w:rPr>
                <w:sz w:val="20"/>
                <w:szCs w:val="20"/>
                <w:u w:val="single"/>
              </w:rPr>
              <w:t>99</w:t>
            </w:r>
            <w:r>
              <w:rPr>
                <w:sz w:val="20"/>
                <w:szCs w:val="20"/>
                <w:u w:val="single"/>
              </w:rPr>
              <w:t>)</w:t>
            </w:r>
          </w:p>
        </w:tc>
        <w:tc>
          <w:tcPr>
            <w:tcW w:w="1220" w:type="dxa"/>
            <w:tcBorders>
              <w:top w:val="nil"/>
              <w:left w:val="nil"/>
              <w:bottom w:val="nil"/>
              <w:right w:val="nil"/>
            </w:tcBorders>
            <w:shd w:val="clear" w:color="000000" w:fill="FFFFFF"/>
            <w:noWrap/>
            <w:vAlign w:val="bottom"/>
            <w:hideMark/>
          </w:tcPr>
          <w:p w:rsidR="00305B83" w:rsidRDefault="00305B83" w:rsidP="00FE58D3">
            <w:pPr>
              <w:jc w:val="right"/>
              <w:rPr>
                <w:sz w:val="20"/>
                <w:szCs w:val="20"/>
                <w:u w:val="single"/>
              </w:rPr>
            </w:pPr>
            <w:r>
              <w:rPr>
                <w:sz w:val="20"/>
                <w:szCs w:val="20"/>
                <w:u w:val="single"/>
              </w:rPr>
              <w:t>3</w:t>
            </w:r>
            <w:r w:rsidR="00FE58D3">
              <w:rPr>
                <w:sz w:val="20"/>
                <w:szCs w:val="20"/>
                <w:u w:val="single"/>
              </w:rPr>
              <w:t>62,100</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1,104,551</w:t>
            </w:r>
          </w:p>
        </w:tc>
        <w:tc>
          <w:tcPr>
            <w:tcW w:w="1220" w:type="dxa"/>
            <w:tcBorders>
              <w:top w:val="nil"/>
              <w:left w:val="nil"/>
              <w:bottom w:val="nil"/>
              <w:right w:val="single" w:sz="4" w:space="0" w:color="auto"/>
            </w:tcBorders>
            <w:shd w:val="clear" w:color="000000" w:fill="FFFFFF"/>
            <w:noWrap/>
            <w:vAlign w:val="bottom"/>
            <w:hideMark/>
          </w:tcPr>
          <w:p w:rsidR="00305B83" w:rsidRDefault="00305B83" w:rsidP="00FE58D3">
            <w:pPr>
              <w:jc w:val="right"/>
              <w:rPr>
                <w:sz w:val="20"/>
                <w:szCs w:val="20"/>
                <w:u w:val="single"/>
              </w:rPr>
            </w:pPr>
            <w:r>
              <w:rPr>
                <w:sz w:val="20"/>
                <w:szCs w:val="20"/>
                <w:u w:val="single"/>
              </w:rPr>
              <w:t>1,4</w:t>
            </w:r>
            <w:r w:rsidR="00FE58D3">
              <w:rPr>
                <w:sz w:val="20"/>
                <w:szCs w:val="20"/>
                <w:u w:val="single"/>
              </w:rPr>
              <w:t>66,652</w:t>
            </w:r>
          </w:p>
        </w:tc>
      </w:tr>
      <w:tr w:rsidR="00305B83" w:rsidTr="00305B83">
        <w:trPr>
          <w:trHeight w:val="31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24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7</w:t>
            </w:r>
          </w:p>
        </w:tc>
        <w:tc>
          <w:tcPr>
            <w:tcW w:w="246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Total Operating Expense</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18,156,655</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3,714,424</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21,871,079</w:t>
            </w:r>
          </w:p>
        </w:tc>
        <w:tc>
          <w:tcPr>
            <w:tcW w:w="1220" w:type="dxa"/>
            <w:tcBorders>
              <w:top w:val="nil"/>
              <w:left w:val="nil"/>
              <w:bottom w:val="nil"/>
              <w:right w:val="nil"/>
            </w:tcBorders>
            <w:shd w:val="clear" w:color="000000" w:fill="FFFFFF"/>
            <w:noWrap/>
            <w:vAlign w:val="bottom"/>
            <w:hideMark/>
          </w:tcPr>
          <w:p w:rsidR="00305B83" w:rsidRDefault="00305B83" w:rsidP="00FE58D3">
            <w:pPr>
              <w:jc w:val="right"/>
              <w:rPr>
                <w:sz w:val="20"/>
                <w:szCs w:val="20"/>
                <w:u w:val="single"/>
              </w:rPr>
            </w:pPr>
            <w:r>
              <w:rPr>
                <w:sz w:val="20"/>
                <w:szCs w:val="20"/>
                <w:u w:val="single"/>
              </w:rPr>
              <w:t>(2,3</w:t>
            </w:r>
            <w:r w:rsidR="00031543">
              <w:rPr>
                <w:sz w:val="20"/>
                <w:szCs w:val="20"/>
                <w:u w:val="single"/>
              </w:rPr>
              <w:t>4</w:t>
            </w:r>
            <w:r w:rsidR="00827FB1">
              <w:rPr>
                <w:sz w:val="20"/>
                <w:szCs w:val="20"/>
                <w:u w:val="single"/>
              </w:rPr>
              <w:t>2,6</w:t>
            </w:r>
            <w:r w:rsidR="00FE58D3">
              <w:rPr>
                <w:sz w:val="20"/>
                <w:szCs w:val="20"/>
                <w:u w:val="single"/>
              </w:rPr>
              <w:t>2</w:t>
            </w:r>
            <w:r w:rsidR="00827FB1">
              <w:rPr>
                <w:sz w:val="20"/>
                <w:szCs w:val="20"/>
                <w:u w:val="single"/>
              </w:rPr>
              <w:t>2</w:t>
            </w:r>
            <w:r>
              <w:rPr>
                <w:sz w:val="20"/>
                <w:szCs w:val="20"/>
                <w:u w:val="single"/>
              </w:rPr>
              <w:t>)</w:t>
            </w:r>
          </w:p>
        </w:tc>
        <w:tc>
          <w:tcPr>
            <w:tcW w:w="1220" w:type="dxa"/>
            <w:tcBorders>
              <w:top w:val="nil"/>
              <w:left w:val="nil"/>
              <w:bottom w:val="nil"/>
              <w:right w:val="nil"/>
            </w:tcBorders>
            <w:shd w:val="clear" w:color="000000" w:fill="FFFFFF"/>
            <w:noWrap/>
            <w:vAlign w:val="bottom"/>
            <w:hideMark/>
          </w:tcPr>
          <w:p w:rsidR="00305B83" w:rsidRDefault="00305B83" w:rsidP="00FE58D3">
            <w:pPr>
              <w:jc w:val="right"/>
              <w:rPr>
                <w:sz w:val="20"/>
                <w:szCs w:val="20"/>
                <w:u w:val="single"/>
              </w:rPr>
            </w:pPr>
            <w:r>
              <w:rPr>
                <w:sz w:val="20"/>
                <w:szCs w:val="20"/>
                <w:u w:val="single"/>
              </w:rPr>
              <w:t>19,5</w:t>
            </w:r>
            <w:r w:rsidR="00031543">
              <w:rPr>
                <w:sz w:val="20"/>
                <w:szCs w:val="20"/>
                <w:u w:val="single"/>
              </w:rPr>
              <w:t>2</w:t>
            </w:r>
            <w:r w:rsidR="00827FB1">
              <w:rPr>
                <w:sz w:val="20"/>
                <w:szCs w:val="20"/>
                <w:u w:val="single"/>
              </w:rPr>
              <w:t>8,4</w:t>
            </w:r>
            <w:r w:rsidR="00FE58D3">
              <w:rPr>
                <w:sz w:val="20"/>
                <w:szCs w:val="20"/>
                <w:u w:val="single"/>
              </w:rPr>
              <w:t>57</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1,309,905</w:t>
            </w:r>
          </w:p>
        </w:tc>
        <w:tc>
          <w:tcPr>
            <w:tcW w:w="1220" w:type="dxa"/>
            <w:tcBorders>
              <w:top w:val="nil"/>
              <w:left w:val="nil"/>
              <w:bottom w:val="nil"/>
              <w:right w:val="single" w:sz="4" w:space="0" w:color="auto"/>
            </w:tcBorders>
            <w:shd w:val="clear" w:color="000000" w:fill="FFFFFF"/>
            <w:noWrap/>
            <w:vAlign w:val="bottom"/>
            <w:hideMark/>
          </w:tcPr>
          <w:p w:rsidR="00305B83" w:rsidRDefault="00305B83" w:rsidP="00FE58D3">
            <w:pPr>
              <w:jc w:val="right"/>
              <w:rPr>
                <w:sz w:val="20"/>
                <w:szCs w:val="20"/>
                <w:u w:val="single"/>
              </w:rPr>
            </w:pPr>
            <w:r>
              <w:rPr>
                <w:sz w:val="20"/>
                <w:szCs w:val="20"/>
                <w:u w:val="single"/>
              </w:rPr>
              <w:t>20,8</w:t>
            </w:r>
            <w:r w:rsidR="00FE58D3">
              <w:rPr>
                <w:sz w:val="20"/>
                <w:szCs w:val="20"/>
                <w:u w:val="single"/>
              </w:rPr>
              <w:t>38,362</w:t>
            </w:r>
          </w:p>
        </w:tc>
      </w:tr>
      <w:tr w:rsidR="00305B83" w:rsidTr="00305B83">
        <w:trPr>
          <w:trHeight w:val="31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24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8</w:t>
            </w:r>
          </w:p>
        </w:tc>
        <w:tc>
          <w:tcPr>
            <w:tcW w:w="246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Operating Income</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double"/>
              </w:rPr>
            </w:pPr>
            <w:r>
              <w:rPr>
                <w:sz w:val="20"/>
                <w:szCs w:val="20"/>
                <w:u w:val="double"/>
              </w:rPr>
              <w:t>$4,375,520</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double"/>
              </w:rPr>
            </w:pPr>
            <w:r>
              <w:rPr>
                <w:sz w:val="20"/>
                <w:szCs w:val="20"/>
                <w:u w:val="double"/>
              </w:rPr>
              <w:t>$1,849,295</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double"/>
              </w:rPr>
            </w:pPr>
            <w:r>
              <w:rPr>
                <w:sz w:val="20"/>
                <w:szCs w:val="20"/>
                <w:u w:val="double"/>
              </w:rPr>
              <w:t>$6,224,815</w:t>
            </w:r>
          </w:p>
        </w:tc>
        <w:tc>
          <w:tcPr>
            <w:tcW w:w="1220" w:type="dxa"/>
            <w:tcBorders>
              <w:top w:val="nil"/>
              <w:left w:val="nil"/>
              <w:bottom w:val="nil"/>
              <w:right w:val="nil"/>
            </w:tcBorders>
            <w:shd w:val="clear" w:color="000000" w:fill="FFFFFF"/>
            <w:noWrap/>
            <w:vAlign w:val="bottom"/>
            <w:hideMark/>
          </w:tcPr>
          <w:p w:rsidR="00305B83" w:rsidRDefault="00305B83" w:rsidP="00FE58D3">
            <w:pPr>
              <w:jc w:val="right"/>
              <w:rPr>
                <w:sz w:val="20"/>
                <w:szCs w:val="20"/>
                <w:u w:val="double"/>
              </w:rPr>
            </w:pPr>
            <w:r>
              <w:rPr>
                <w:sz w:val="20"/>
                <w:szCs w:val="20"/>
                <w:u w:val="double"/>
              </w:rPr>
              <w:t>($2,8</w:t>
            </w:r>
            <w:r w:rsidR="00031543">
              <w:rPr>
                <w:sz w:val="20"/>
                <w:szCs w:val="20"/>
                <w:u w:val="double"/>
              </w:rPr>
              <w:t>3</w:t>
            </w:r>
            <w:r w:rsidR="00FE58D3">
              <w:rPr>
                <w:sz w:val="20"/>
                <w:szCs w:val="20"/>
                <w:u w:val="double"/>
              </w:rPr>
              <w:t>4,987</w:t>
            </w:r>
            <w:r>
              <w:rPr>
                <w:sz w:val="20"/>
                <w:szCs w:val="20"/>
                <w:u w:val="double"/>
              </w:rPr>
              <w:t>)</w:t>
            </w:r>
          </w:p>
        </w:tc>
        <w:tc>
          <w:tcPr>
            <w:tcW w:w="1220" w:type="dxa"/>
            <w:tcBorders>
              <w:top w:val="nil"/>
              <w:left w:val="nil"/>
              <w:bottom w:val="nil"/>
              <w:right w:val="nil"/>
            </w:tcBorders>
            <w:shd w:val="clear" w:color="000000" w:fill="FFFFFF"/>
            <w:noWrap/>
            <w:vAlign w:val="bottom"/>
            <w:hideMark/>
          </w:tcPr>
          <w:p w:rsidR="00305B83" w:rsidRDefault="00305B83" w:rsidP="00FE58D3">
            <w:pPr>
              <w:jc w:val="right"/>
              <w:rPr>
                <w:sz w:val="20"/>
                <w:szCs w:val="20"/>
                <w:u w:val="double"/>
              </w:rPr>
            </w:pPr>
            <w:r>
              <w:rPr>
                <w:sz w:val="20"/>
                <w:szCs w:val="20"/>
                <w:u w:val="double"/>
              </w:rPr>
              <w:t>$3,3</w:t>
            </w:r>
            <w:r w:rsidR="00827FB1">
              <w:rPr>
                <w:sz w:val="20"/>
                <w:szCs w:val="20"/>
                <w:u w:val="double"/>
              </w:rPr>
              <w:t>89,8</w:t>
            </w:r>
            <w:r w:rsidR="00FE58D3">
              <w:rPr>
                <w:sz w:val="20"/>
                <w:szCs w:val="20"/>
                <w:u w:val="double"/>
              </w:rPr>
              <w:t>28</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double"/>
              </w:rPr>
            </w:pPr>
            <w:r>
              <w:rPr>
                <w:sz w:val="20"/>
                <w:szCs w:val="20"/>
                <w:u w:val="double"/>
              </w:rPr>
              <w:t>$3,253,512</w:t>
            </w:r>
          </w:p>
        </w:tc>
        <w:tc>
          <w:tcPr>
            <w:tcW w:w="1220" w:type="dxa"/>
            <w:tcBorders>
              <w:top w:val="nil"/>
              <w:left w:val="nil"/>
              <w:bottom w:val="nil"/>
              <w:right w:val="single" w:sz="4" w:space="0" w:color="auto"/>
            </w:tcBorders>
            <w:shd w:val="clear" w:color="000000" w:fill="FFFFFF"/>
            <w:noWrap/>
            <w:vAlign w:val="bottom"/>
            <w:hideMark/>
          </w:tcPr>
          <w:p w:rsidR="00305B83" w:rsidRDefault="00305B83" w:rsidP="00FE58D3">
            <w:pPr>
              <w:jc w:val="right"/>
              <w:rPr>
                <w:sz w:val="20"/>
                <w:szCs w:val="20"/>
                <w:u w:val="double"/>
              </w:rPr>
            </w:pPr>
            <w:r>
              <w:rPr>
                <w:sz w:val="20"/>
                <w:szCs w:val="20"/>
                <w:u w:val="double"/>
              </w:rPr>
              <w:t>$6,6</w:t>
            </w:r>
            <w:r w:rsidR="00FE58D3">
              <w:rPr>
                <w:sz w:val="20"/>
                <w:szCs w:val="20"/>
                <w:u w:val="double"/>
              </w:rPr>
              <w:t>43,340</w:t>
            </w:r>
          </w:p>
        </w:tc>
      </w:tr>
      <w:tr w:rsidR="00305B83" w:rsidTr="00305B83">
        <w:trPr>
          <w:trHeight w:val="31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24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9</w:t>
            </w:r>
          </w:p>
        </w:tc>
        <w:tc>
          <w:tcPr>
            <w:tcW w:w="246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Rate Base</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double"/>
              </w:rPr>
            </w:pPr>
            <w:r>
              <w:rPr>
                <w:sz w:val="20"/>
                <w:szCs w:val="20"/>
                <w:u w:val="double"/>
              </w:rPr>
              <w:t>$61,906,290</w:t>
            </w:r>
          </w:p>
        </w:tc>
        <w:tc>
          <w:tcPr>
            <w:tcW w:w="1220" w:type="dxa"/>
            <w:tcBorders>
              <w:top w:val="nil"/>
              <w:left w:val="nil"/>
              <w:bottom w:val="nil"/>
              <w:right w:val="nil"/>
            </w:tcBorders>
            <w:shd w:val="clear" w:color="000000" w:fill="FFFFFF"/>
            <w:noWrap/>
            <w:vAlign w:val="bottom"/>
            <w:hideMark/>
          </w:tcPr>
          <w:p w:rsidR="00305B83" w:rsidRDefault="00305B83" w:rsidP="00FE58D3">
            <w:pPr>
              <w:jc w:val="right"/>
              <w:rPr>
                <w:sz w:val="20"/>
                <w:szCs w:val="20"/>
                <w:u w:val="double"/>
              </w:rPr>
            </w:pPr>
            <w:r>
              <w:rPr>
                <w:sz w:val="20"/>
                <w:szCs w:val="20"/>
                <w:u w:val="double"/>
              </w:rPr>
              <w:t>$21,33</w:t>
            </w:r>
            <w:r w:rsidR="00FE58D3">
              <w:rPr>
                <w:sz w:val="20"/>
                <w:szCs w:val="20"/>
                <w:u w:val="double"/>
              </w:rPr>
              <w:t>8,377</w:t>
            </w:r>
          </w:p>
        </w:tc>
        <w:tc>
          <w:tcPr>
            <w:tcW w:w="1220" w:type="dxa"/>
            <w:tcBorders>
              <w:top w:val="nil"/>
              <w:left w:val="nil"/>
              <w:bottom w:val="nil"/>
              <w:right w:val="nil"/>
            </w:tcBorders>
            <w:shd w:val="clear" w:color="000000" w:fill="FFFFFF"/>
            <w:noWrap/>
            <w:vAlign w:val="bottom"/>
            <w:hideMark/>
          </w:tcPr>
          <w:p w:rsidR="00305B83" w:rsidRDefault="00305B83" w:rsidP="00FE58D3">
            <w:pPr>
              <w:jc w:val="right"/>
              <w:rPr>
                <w:sz w:val="20"/>
                <w:szCs w:val="20"/>
                <w:u w:val="double"/>
              </w:rPr>
            </w:pPr>
            <w:r>
              <w:rPr>
                <w:sz w:val="20"/>
                <w:szCs w:val="20"/>
                <w:u w:val="double"/>
              </w:rPr>
              <w:t>$83,24</w:t>
            </w:r>
            <w:r w:rsidR="00FE58D3">
              <w:rPr>
                <w:sz w:val="20"/>
                <w:szCs w:val="20"/>
                <w:u w:val="double"/>
              </w:rPr>
              <w:t>4,667</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rsidP="00FE58D3">
            <w:pPr>
              <w:jc w:val="right"/>
              <w:rPr>
                <w:sz w:val="20"/>
                <w:szCs w:val="20"/>
                <w:u w:val="double"/>
              </w:rPr>
            </w:pPr>
            <w:r>
              <w:rPr>
                <w:sz w:val="20"/>
                <w:szCs w:val="20"/>
                <w:u w:val="double"/>
              </w:rPr>
              <w:t>$85,95</w:t>
            </w:r>
            <w:r w:rsidR="00FE58D3">
              <w:rPr>
                <w:sz w:val="20"/>
                <w:szCs w:val="20"/>
                <w:u w:val="double"/>
              </w:rPr>
              <w:t>9,207</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rsidP="00FE58D3">
            <w:pPr>
              <w:jc w:val="right"/>
              <w:rPr>
                <w:sz w:val="20"/>
                <w:szCs w:val="20"/>
                <w:u w:val="double"/>
              </w:rPr>
            </w:pPr>
            <w:r>
              <w:rPr>
                <w:sz w:val="20"/>
                <w:szCs w:val="20"/>
                <w:u w:val="double"/>
              </w:rPr>
              <w:t>$85,95</w:t>
            </w:r>
            <w:r w:rsidR="00FE58D3">
              <w:rPr>
                <w:sz w:val="20"/>
                <w:szCs w:val="20"/>
                <w:u w:val="double"/>
              </w:rPr>
              <w:t>9,204</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24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10</w:t>
            </w:r>
          </w:p>
        </w:tc>
        <w:tc>
          <w:tcPr>
            <w:tcW w:w="246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Rate of Return</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double"/>
              </w:rPr>
            </w:pPr>
            <w:r>
              <w:rPr>
                <w:sz w:val="20"/>
                <w:szCs w:val="20"/>
                <w:u w:val="double"/>
              </w:rPr>
              <w:t>7.07%</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double"/>
              </w:rPr>
            </w:pPr>
            <w:r>
              <w:rPr>
                <w:sz w:val="20"/>
                <w:szCs w:val="20"/>
                <w:u w:val="double"/>
              </w:rPr>
              <w:t>7.48%</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rsidP="00174006">
            <w:pPr>
              <w:jc w:val="right"/>
              <w:rPr>
                <w:sz w:val="20"/>
                <w:szCs w:val="20"/>
                <w:u w:val="double"/>
              </w:rPr>
            </w:pPr>
            <w:r>
              <w:rPr>
                <w:sz w:val="20"/>
                <w:szCs w:val="20"/>
                <w:u w:val="double"/>
              </w:rPr>
              <w:t>3.9</w:t>
            </w:r>
            <w:r w:rsidR="00174006">
              <w:rPr>
                <w:sz w:val="20"/>
                <w:szCs w:val="20"/>
                <w:u w:val="double"/>
              </w:rPr>
              <w:t>4</w:t>
            </w:r>
            <w:r>
              <w:rPr>
                <w:sz w:val="20"/>
                <w:szCs w:val="20"/>
                <w:u w:val="double"/>
              </w:rPr>
              <w:t>%</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rsidP="00FE58D3">
            <w:pPr>
              <w:jc w:val="right"/>
              <w:rPr>
                <w:sz w:val="20"/>
                <w:szCs w:val="20"/>
                <w:u w:val="double"/>
              </w:rPr>
            </w:pPr>
            <w:r>
              <w:rPr>
                <w:sz w:val="20"/>
                <w:szCs w:val="20"/>
                <w:u w:val="double"/>
              </w:rPr>
              <w:t>7.</w:t>
            </w:r>
            <w:r w:rsidR="00FE58D3">
              <w:rPr>
                <w:sz w:val="20"/>
                <w:szCs w:val="20"/>
                <w:u w:val="double"/>
              </w:rPr>
              <w:t>73</w:t>
            </w:r>
            <w:r>
              <w:rPr>
                <w:sz w:val="20"/>
                <w:szCs w:val="20"/>
                <w:u w:val="double"/>
              </w:rPr>
              <w:t>%</w:t>
            </w:r>
          </w:p>
        </w:tc>
      </w:tr>
      <w:tr w:rsidR="00305B83" w:rsidTr="00305B83">
        <w:trPr>
          <w:trHeight w:val="260"/>
          <w:jc w:val="center"/>
        </w:trPr>
        <w:tc>
          <w:tcPr>
            <w:tcW w:w="480" w:type="dxa"/>
            <w:tcBorders>
              <w:top w:val="nil"/>
              <w:left w:val="single" w:sz="4" w:space="0" w:color="auto"/>
              <w:bottom w:val="single" w:sz="4" w:space="0" w:color="auto"/>
              <w:right w:val="nil"/>
            </w:tcBorders>
            <w:shd w:val="clear" w:color="000000" w:fill="FFFFFF"/>
            <w:noWrap/>
            <w:vAlign w:val="bottom"/>
            <w:hideMark/>
          </w:tcPr>
          <w:p w:rsidR="00305B83" w:rsidRDefault="00305B83">
            <w:pPr>
              <w:rPr>
                <w:sz w:val="20"/>
                <w:szCs w:val="20"/>
              </w:rPr>
            </w:pPr>
            <w:r>
              <w:rPr>
                <w:sz w:val="20"/>
                <w:szCs w:val="20"/>
              </w:rPr>
              <w:t> </w:t>
            </w:r>
          </w:p>
        </w:tc>
        <w:tc>
          <w:tcPr>
            <w:tcW w:w="2460" w:type="dxa"/>
            <w:tcBorders>
              <w:top w:val="nil"/>
              <w:left w:val="nil"/>
              <w:bottom w:val="single" w:sz="4" w:space="0" w:color="auto"/>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single" w:sz="4" w:space="0" w:color="auto"/>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single" w:sz="4" w:space="0" w:color="auto"/>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single" w:sz="4" w:space="0" w:color="auto"/>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single" w:sz="4" w:space="0" w:color="auto"/>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single" w:sz="4" w:space="0" w:color="auto"/>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single" w:sz="4" w:space="0" w:color="auto"/>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single" w:sz="4" w:space="0" w:color="auto"/>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bl>
    <w:p w:rsidR="00463D61" w:rsidRDefault="00305B83" w:rsidP="008F1F2D">
      <w:pPr>
        <w:sectPr w:rsidR="00463D61" w:rsidSect="004355D6">
          <w:headerReference w:type="default" r:id="rId25"/>
          <w:pgSz w:w="15840" w:h="12240" w:orient="landscape" w:code="1"/>
          <w:pgMar w:top="1440" w:right="1584" w:bottom="1440" w:left="1440" w:header="720" w:footer="720" w:gutter="0"/>
          <w:cols w:space="720"/>
          <w:formProt w:val="0"/>
          <w:docGrid w:linePitch="360"/>
        </w:sectPr>
      </w:pPr>
      <w:r>
        <w:fldChar w:fldCharType="begin"/>
      </w:r>
      <w:r>
        <w:instrText xml:space="preserve"> TC "</w:instrText>
      </w:r>
      <w:bookmarkStart w:id="70" w:name="_Toc196317169"/>
      <w:r>
        <w:tab/>
        <w:instrText>Schedule No. 3-A</w:instrText>
      </w:r>
      <w:bookmarkEnd w:id="70"/>
      <w:r>
        <w:instrText xml:space="preserve">" \l 1 </w:instrText>
      </w:r>
      <w:r>
        <w:fldChar w:fldCharType="end"/>
      </w:r>
    </w:p>
    <w:tbl>
      <w:tblPr>
        <w:tblW w:w="11480" w:type="dxa"/>
        <w:jc w:val="center"/>
        <w:tblLook w:val="04A0" w:firstRow="1" w:lastRow="0" w:firstColumn="1" w:lastColumn="0" w:noHBand="0" w:noVBand="1"/>
      </w:tblPr>
      <w:tblGrid>
        <w:gridCol w:w="480"/>
        <w:gridCol w:w="2460"/>
        <w:gridCol w:w="1220"/>
        <w:gridCol w:w="1220"/>
        <w:gridCol w:w="1316"/>
        <w:gridCol w:w="1250"/>
        <w:gridCol w:w="1316"/>
        <w:gridCol w:w="1220"/>
        <w:gridCol w:w="1338"/>
      </w:tblGrid>
      <w:tr w:rsidR="00305B83" w:rsidTr="00305B83">
        <w:trPr>
          <w:trHeight w:val="260"/>
          <w:jc w:val="center"/>
        </w:trPr>
        <w:tc>
          <w:tcPr>
            <w:tcW w:w="480" w:type="dxa"/>
            <w:tcBorders>
              <w:top w:val="single" w:sz="4" w:space="0" w:color="auto"/>
              <w:left w:val="single" w:sz="4" w:space="0" w:color="auto"/>
              <w:bottom w:val="nil"/>
              <w:right w:val="nil"/>
            </w:tcBorders>
            <w:shd w:val="clear" w:color="000000" w:fill="FFFFFF"/>
            <w:noWrap/>
            <w:vAlign w:val="bottom"/>
            <w:hideMark/>
          </w:tcPr>
          <w:p w:rsidR="00305B83" w:rsidRDefault="00305B83">
            <w:pPr>
              <w:rPr>
                <w:sz w:val="20"/>
                <w:szCs w:val="20"/>
              </w:rPr>
            </w:pPr>
            <w:bookmarkStart w:id="71" w:name="RANGE!A43:I74"/>
            <w:r>
              <w:rPr>
                <w:sz w:val="20"/>
                <w:szCs w:val="20"/>
              </w:rPr>
              <w:lastRenderedPageBreak/>
              <w:t> </w:t>
            </w:r>
            <w:bookmarkEnd w:id="71"/>
          </w:p>
        </w:tc>
        <w:tc>
          <w:tcPr>
            <w:tcW w:w="2460" w:type="dxa"/>
            <w:tcBorders>
              <w:top w:val="single" w:sz="4" w:space="0" w:color="auto"/>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auto"/>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auto"/>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auto"/>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auto"/>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auto"/>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auto"/>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auto"/>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3680" w:type="dxa"/>
            <w:gridSpan w:val="2"/>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Sunshine Water Services Company</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2440" w:type="dxa"/>
            <w:gridSpan w:val="2"/>
            <w:tcBorders>
              <w:top w:val="nil"/>
              <w:left w:val="nil"/>
              <w:bottom w:val="nil"/>
              <w:right w:val="single" w:sz="4" w:space="0" w:color="000000"/>
            </w:tcBorders>
            <w:shd w:val="clear" w:color="000000" w:fill="FFFFFF"/>
            <w:noWrap/>
            <w:vAlign w:val="bottom"/>
            <w:hideMark/>
          </w:tcPr>
          <w:p w:rsidR="00305B83" w:rsidRDefault="00305B83">
            <w:pPr>
              <w:jc w:val="right"/>
              <w:rPr>
                <w:b/>
                <w:bCs/>
                <w:sz w:val="20"/>
                <w:szCs w:val="20"/>
              </w:rPr>
            </w:pPr>
            <w:r>
              <w:rPr>
                <w:b/>
                <w:bCs/>
                <w:sz w:val="20"/>
                <w:szCs w:val="20"/>
              </w:rPr>
              <w:t>Schedule No. 3-B</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3680" w:type="dxa"/>
            <w:gridSpan w:val="2"/>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Statement of Wastewater Operations</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2440" w:type="dxa"/>
            <w:gridSpan w:val="2"/>
            <w:tcBorders>
              <w:top w:val="nil"/>
              <w:left w:val="nil"/>
              <w:bottom w:val="nil"/>
              <w:right w:val="single" w:sz="4" w:space="0" w:color="000000"/>
            </w:tcBorders>
            <w:shd w:val="clear" w:color="000000" w:fill="FFFFFF"/>
            <w:noWrap/>
            <w:vAlign w:val="bottom"/>
            <w:hideMark/>
          </w:tcPr>
          <w:p w:rsidR="00305B83" w:rsidRDefault="00305B83">
            <w:pPr>
              <w:jc w:val="right"/>
              <w:rPr>
                <w:b/>
                <w:bCs/>
                <w:sz w:val="20"/>
                <w:szCs w:val="20"/>
              </w:rPr>
            </w:pPr>
            <w:r>
              <w:rPr>
                <w:b/>
                <w:bCs/>
                <w:sz w:val="20"/>
                <w:szCs w:val="20"/>
              </w:rPr>
              <w:t>Docket No. 20240068-WS</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color w:val="000000"/>
                <w:sz w:val="20"/>
                <w:szCs w:val="20"/>
              </w:rPr>
            </w:pPr>
            <w:r>
              <w:rPr>
                <w:color w:val="000000"/>
                <w:sz w:val="20"/>
                <w:szCs w:val="20"/>
              </w:rPr>
              <w:t> </w:t>
            </w:r>
          </w:p>
        </w:tc>
        <w:tc>
          <w:tcPr>
            <w:tcW w:w="3680" w:type="dxa"/>
            <w:gridSpan w:val="2"/>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Test Year Ended 12/31/2023</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24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single" w:sz="4" w:space="0" w:color="000000"/>
              <w:left w:val="single" w:sz="4" w:space="0" w:color="auto"/>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2460" w:type="dxa"/>
            <w:tcBorders>
              <w:top w:val="single" w:sz="4" w:space="0" w:color="000000"/>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220" w:type="dxa"/>
            <w:tcBorders>
              <w:top w:val="single" w:sz="4" w:space="0" w:color="000000"/>
              <w:left w:val="nil"/>
              <w:bottom w:val="nil"/>
              <w:right w:val="single" w:sz="4" w:space="0" w:color="auto"/>
            </w:tcBorders>
            <w:shd w:val="clear" w:color="000000" w:fill="FFFFFF"/>
            <w:noWrap/>
            <w:vAlign w:val="bottom"/>
            <w:hideMark/>
          </w:tcPr>
          <w:p w:rsidR="00305B83" w:rsidRDefault="00305B83">
            <w:pPr>
              <w:rPr>
                <w:b/>
                <w:bCs/>
                <w:sz w:val="20"/>
                <w:szCs w:val="20"/>
              </w:rPr>
            </w:pPr>
            <w:r>
              <w:rPr>
                <w:b/>
                <w:bCs/>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246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Test Year</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Utility</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Adjusted</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Staff</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Staff</w:t>
            </w:r>
          </w:p>
        </w:tc>
        <w:tc>
          <w:tcPr>
            <w:tcW w:w="122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b/>
                <w:bCs/>
                <w:sz w:val="20"/>
                <w:szCs w:val="20"/>
              </w:rPr>
            </w:pPr>
            <w:r>
              <w:rPr>
                <w:b/>
                <w:bCs/>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246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Per</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Adjust-</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Test Year</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Adjust-</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Adjusted</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Revenue</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center"/>
              <w:rPr>
                <w:b/>
                <w:bCs/>
                <w:sz w:val="20"/>
                <w:szCs w:val="20"/>
              </w:rPr>
            </w:pPr>
            <w:r>
              <w:rPr>
                <w:b/>
                <w:bCs/>
                <w:sz w:val="20"/>
                <w:szCs w:val="20"/>
              </w:rPr>
              <w:t>Revenue</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246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Description</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Utility</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ments</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Per Utility</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ments</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Test Year</w:t>
            </w:r>
          </w:p>
        </w:tc>
        <w:tc>
          <w:tcPr>
            <w:tcW w:w="12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Increase</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center"/>
              <w:rPr>
                <w:b/>
                <w:bCs/>
                <w:sz w:val="20"/>
                <w:szCs w:val="20"/>
              </w:rPr>
            </w:pPr>
            <w:r>
              <w:rPr>
                <w:b/>
                <w:bCs/>
                <w:sz w:val="20"/>
                <w:szCs w:val="20"/>
              </w:rPr>
              <w:t>Requirement</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24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single" w:sz="4" w:space="0" w:color="000000"/>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2460" w:type="dxa"/>
            <w:tcBorders>
              <w:top w:val="single" w:sz="4" w:space="0" w:color="000000"/>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000000"/>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single" w:sz="4" w:space="0" w:color="000000"/>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1</w:t>
            </w:r>
          </w:p>
        </w:tc>
        <w:tc>
          <w:tcPr>
            <w:tcW w:w="246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Operating Revenues:</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$28,276,590</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$6,043,860</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$34,320,450</w:t>
            </w:r>
          </w:p>
        </w:tc>
        <w:tc>
          <w:tcPr>
            <w:tcW w:w="1220" w:type="dxa"/>
            <w:tcBorders>
              <w:top w:val="nil"/>
              <w:left w:val="nil"/>
              <w:bottom w:val="nil"/>
              <w:right w:val="nil"/>
            </w:tcBorders>
            <w:shd w:val="clear" w:color="000000" w:fill="FFFFFF"/>
            <w:noWrap/>
            <w:vAlign w:val="bottom"/>
            <w:hideMark/>
          </w:tcPr>
          <w:p w:rsidR="00305B83" w:rsidRDefault="004366E6">
            <w:pPr>
              <w:jc w:val="right"/>
              <w:rPr>
                <w:sz w:val="20"/>
                <w:szCs w:val="20"/>
                <w:u w:val="single"/>
              </w:rPr>
            </w:pPr>
            <w:r>
              <w:rPr>
                <w:sz w:val="20"/>
                <w:szCs w:val="20"/>
                <w:u w:val="single"/>
              </w:rPr>
              <w:t>(</w:t>
            </w:r>
            <w:r w:rsidR="00305B83">
              <w:rPr>
                <w:sz w:val="20"/>
                <w:szCs w:val="20"/>
                <w:u w:val="single"/>
              </w:rPr>
              <w:t>$4,703,419</w:t>
            </w:r>
            <w:r>
              <w:rPr>
                <w:sz w:val="20"/>
                <w:szCs w:val="20"/>
                <w:u w:val="single"/>
              </w:rPr>
              <w:t>)</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$29,617,031</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$4,703,419</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u w:val="single"/>
              </w:rPr>
            </w:pPr>
            <w:r>
              <w:rPr>
                <w:sz w:val="20"/>
                <w:szCs w:val="20"/>
                <w:u w:val="single"/>
              </w:rPr>
              <w:t>$34,320,450</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24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rsidP="0084016B">
            <w:pPr>
              <w:jc w:val="right"/>
              <w:rPr>
                <w:sz w:val="20"/>
                <w:szCs w:val="20"/>
              </w:rPr>
            </w:pPr>
            <w:r>
              <w:rPr>
                <w:sz w:val="20"/>
                <w:szCs w:val="20"/>
              </w:rPr>
              <w:t>15.</w:t>
            </w:r>
            <w:r w:rsidR="0084016B">
              <w:rPr>
                <w:sz w:val="20"/>
                <w:szCs w:val="20"/>
              </w:rPr>
              <w:t>9</w:t>
            </w:r>
            <w:r>
              <w:rPr>
                <w:sz w:val="20"/>
                <w:szCs w:val="20"/>
              </w:rPr>
              <w:t>%</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246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Operating Expenses</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2</w:t>
            </w:r>
          </w:p>
        </w:tc>
        <w:tc>
          <w:tcPr>
            <w:tcW w:w="2460" w:type="dxa"/>
            <w:tcBorders>
              <w:top w:val="nil"/>
              <w:left w:val="nil"/>
              <w:bottom w:val="nil"/>
              <w:right w:val="nil"/>
            </w:tcBorders>
            <w:shd w:val="clear" w:color="000000" w:fill="FFFFFF"/>
            <w:noWrap/>
            <w:vAlign w:val="bottom"/>
            <w:hideMark/>
          </w:tcPr>
          <w:p w:rsidR="00305B83" w:rsidRDefault="00305B83" w:rsidP="00CF37FA">
            <w:pPr>
              <w:rPr>
                <w:sz w:val="20"/>
                <w:szCs w:val="20"/>
              </w:rPr>
            </w:pPr>
            <w:r>
              <w:rPr>
                <w:sz w:val="20"/>
                <w:szCs w:val="20"/>
              </w:rPr>
              <w:t xml:space="preserve">   </w:t>
            </w:r>
            <w:r w:rsidR="00CF37FA">
              <w:rPr>
                <w:sz w:val="20"/>
                <w:szCs w:val="20"/>
              </w:rPr>
              <w:t>O&amp;M</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$14,655,194</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$970,541</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$15,625,735</w:t>
            </w:r>
          </w:p>
        </w:tc>
        <w:tc>
          <w:tcPr>
            <w:tcW w:w="1220" w:type="dxa"/>
            <w:tcBorders>
              <w:top w:val="nil"/>
              <w:left w:val="nil"/>
              <w:bottom w:val="nil"/>
              <w:right w:val="nil"/>
            </w:tcBorders>
            <w:shd w:val="clear" w:color="000000" w:fill="FFFFFF"/>
            <w:noWrap/>
            <w:vAlign w:val="bottom"/>
            <w:hideMark/>
          </w:tcPr>
          <w:p w:rsidR="00305B83" w:rsidRDefault="00305B83" w:rsidP="00827FB1">
            <w:pPr>
              <w:jc w:val="right"/>
              <w:rPr>
                <w:sz w:val="20"/>
                <w:szCs w:val="20"/>
              </w:rPr>
            </w:pPr>
            <w:r>
              <w:rPr>
                <w:sz w:val="20"/>
                <w:szCs w:val="20"/>
              </w:rPr>
              <w:t>($85</w:t>
            </w:r>
            <w:r w:rsidR="00827FB1">
              <w:rPr>
                <w:sz w:val="20"/>
                <w:szCs w:val="20"/>
              </w:rPr>
              <w:t>3,779</w:t>
            </w:r>
            <w:r>
              <w:rPr>
                <w:sz w:val="20"/>
                <w:szCs w:val="20"/>
              </w:rPr>
              <w:t>)</w:t>
            </w:r>
          </w:p>
        </w:tc>
        <w:tc>
          <w:tcPr>
            <w:tcW w:w="1220" w:type="dxa"/>
            <w:tcBorders>
              <w:top w:val="nil"/>
              <w:left w:val="nil"/>
              <w:bottom w:val="nil"/>
              <w:right w:val="nil"/>
            </w:tcBorders>
            <w:shd w:val="clear" w:color="000000" w:fill="FFFFFF"/>
            <w:noWrap/>
            <w:vAlign w:val="bottom"/>
            <w:hideMark/>
          </w:tcPr>
          <w:p w:rsidR="00305B83" w:rsidRDefault="00305B83" w:rsidP="00827FB1">
            <w:pPr>
              <w:jc w:val="right"/>
              <w:rPr>
                <w:sz w:val="20"/>
                <w:szCs w:val="20"/>
              </w:rPr>
            </w:pPr>
            <w:r>
              <w:rPr>
                <w:sz w:val="20"/>
                <w:szCs w:val="20"/>
              </w:rPr>
              <w:t>$14,77</w:t>
            </w:r>
            <w:r w:rsidR="00827FB1">
              <w:rPr>
                <w:sz w:val="20"/>
                <w:szCs w:val="20"/>
              </w:rPr>
              <w:t>1,956</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4E671F">
            <w:pPr>
              <w:jc w:val="right"/>
              <w:rPr>
                <w:sz w:val="20"/>
                <w:szCs w:val="20"/>
              </w:rPr>
            </w:pPr>
            <w:r w:rsidRPr="004E671F">
              <w:rPr>
                <w:sz w:val="20"/>
                <w:szCs w:val="20"/>
              </w:rPr>
              <w:t>$14,771,956</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24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3</w:t>
            </w:r>
          </w:p>
        </w:tc>
        <w:tc>
          <w:tcPr>
            <w:tcW w:w="24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xml:space="preserve">    Depreciation (Net)</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5,374,706</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874,090</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6,248,796</w:t>
            </w:r>
          </w:p>
        </w:tc>
        <w:tc>
          <w:tcPr>
            <w:tcW w:w="1220" w:type="dxa"/>
            <w:tcBorders>
              <w:top w:val="nil"/>
              <w:left w:val="nil"/>
              <w:bottom w:val="nil"/>
              <w:right w:val="nil"/>
            </w:tcBorders>
            <w:shd w:val="clear" w:color="000000" w:fill="FFFFFF"/>
            <w:noWrap/>
            <w:vAlign w:val="bottom"/>
            <w:hideMark/>
          </w:tcPr>
          <w:p w:rsidR="00305B83" w:rsidRDefault="00827FB1">
            <w:pPr>
              <w:jc w:val="right"/>
              <w:rPr>
                <w:sz w:val="20"/>
                <w:szCs w:val="20"/>
              </w:rPr>
            </w:pPr>
            <w:r>
              <w:rPr>
                <w:sz w:val="20"/>
                <w:szCs w:val="20"/>
              </w:rPr>
              <w:t>(</w:t>
            </w:r>
            <w:r w:rsidR="00305B83">
              <w:rPr>
                <w:sz w:val="20"/>
                <w:szCs w:val="20"/>
              </w:rPr>
              <w:t>12,020</w:t>
            </w:r>
            <w:r>
              <w:rPr>
                <w:sz w:val="20"/>
                <w:szCs w:val="20"/>
              </w:rPr>
              <w:t>)</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6,236,776</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6,236,776</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24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4</w:t>
            </w:r>
          </w:p>
        </w:tc>
        <w:tc>
          <w:tcPr>
            <w:tcW w:w="24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xml:space="preserve">    Amortization</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0</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223,805</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223,805</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0</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223,805</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223,805</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24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5</w:t>
            </w:r>
          </w:p>
        </w:tc>
        <w:tc>
          <w:tcPr>
            <w:tcW w:w="2460" w:type="dxa"/>
            <w:tcBorders>
              <w:top w:val="nil"/>
              <w:left w:val="nil"/>
              <w:bottom w:val="nil"/>
              <w:right w:val="nil"/>
            </w:tcBorders>
            <w:shd w:val="clear" w:color="000000" w:fill="FFFFFF"/>
            <w:noWrap/>
            <w:vAlign w:val="bottom"/>
            <w:hideMark/>
          </w:tcPr>
          <w:p w:rsidR="00305B83" w:rsidRDefault="00305B83" w:rsidP="00CF37FA">
            <w:pPr>
              <w:rPr>
                <w:sz w:val="20"/>
                <w:szCs w:val="20"/>
              </w:rPr>
            </w:pPr>
            <w:r>
              <w:rPr>
                <w:sz w:val="20"/>
                <w:szCs w:val="20"/>
              </w:rPr>
              <w:t xml:space="preserve">  </w:t>
            </w:r>
            <w:r w:rsidR="00CF37FA">
              <w:rPr>
                <w:sz w:val="20"/>
                <w:szCs w:val="20"/>
              </w:rPr>
              <w:t xml:space="preserve"> TOTI</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2,218,669</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511,247</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2,729,916</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(193,229)</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2,536,687</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211,654</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2,748,341</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24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6</w:t>
            </w:r>
          </w:p>
        </w:tc>
        <w:tc>
          <w:tcPr>
            <w:tcW w:w="24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xml:space="preserve">    Income Taxes</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1,034,613</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861,953</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1,896,566</w:t>
            </w:r>
          </w:p>
        </w:tc>
        <w:tc>
          <w:tcPr>
            <w:tcW w:w="1220" w:type="dxa"/>
            <w:tcBorders>
              <w:top w:val="nil"/>
              <w:left w:val="nil"/>
              <w:bottom w:val="nil"/>
              <w:right w:val="nil"/>
            </w:tcBorders>
            <w:shd w:val="clear" w:color="000000" w:fill="FFFFFF"/>
            <w:noWrap/>
            <w:vAlign w:val="bottom"/>
            <w:hideMark/>
          </w:tcPr>
          <w:p w:rsidR="00305B83" w:rsidRDefault="00305B83" w:rsidP="004E671F">
            <w:pPr>
              <w:jc w:val="right"/>
              <w:rPr>
                <w:sz w:val="20"/>
                <w:szCs w:val="20"/>
                <w:u w:val="single"/>
              </w:rPr>
            </w:pPr>
            <w:r>
              <w:rPr>
                <w:sz w:val="20"/>
                <w:szCs w:val="20"/>
                <w:u w:val="single"/>
              </w:rPr>
              <w:t>(1,17</w:t>
            </w:r>
            <w:r w:rsidR="004E671F">
              <w:rPr>
                <w:sz w:val="20"/>
                <w:szCs w:val="20"/>
                <w:u w:val="single"/>
              </w:rPr>
              <w:t>7,807</w:t>
            </w:r>
            <w:r>
              <w:rPr>
                <w:sz w:val="20"/>
                <w:szCs w:val="20"/>
                <w:u w:val="single"/>
              </w:rPr>
              <w:t>)</w:t>
            </w:r>
          </w:p>
        </w:tc>
        <w:tc>
          <w:tcPr>
            <w:tcW w:w="1220" w:type="dxa"/>
            <w:tcBorders>
              <w:top w:val="nil"/>
              <w:left w:val="nil"/>
              <w:bottom w:val="nil"/>
              <w:right w:val="nil"/>
            </w:tcBorders>
            <w:shd w:val="clear" w:color="000000" w:fill="FFFFFF"/>
            <w:noWrap/>
            <w:vAlign w:val="bottom"/>
            <w:hideMark/>
          </w:tcPr>
          <w:p w:rsidR="00305B83" w:rsidRDefault="00305B83" w:rsidP="004E671F">
            <w:pPr>
              <w:jc w:val="right"/>
              <w:rPr>
                <w:sz w:val="20"/>
                <w:szCs w:val="20"/>
                <w:u w:val="single"/>
              </w:rPr>
            </w:pPr>
            <w:r>
              <w:rPr>
                <w:sz w:val="20"/>
                <w:szCs w:val="20"/>
                <w:u w:val="single"/>
              </w:rPr>
              <w:t>718,</w:t>
            </w:r>
            <w:r w:rsidR="004E671F">
              <w:rPr>
                <w:sz w:val="20"/>
                <w:szCs w:val="20"/>
                <w:u w:val="single"/>
              </w:rPr>
              <w:t>759</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1,138,438</w:t>
            </w:r>
          </w:p>
        </w:tc>
        <w:tc>
          <w:tcPr>
            <w:tcW w:w="1220" w:type="dxa"/>
            <w:tcBorders>
              <w:top w:val="nil"/>
              <w:left w:val="nil"/>
              <w:bottom w:val="nil"/>
              <w:right w:val="single" w:sz="4" w:space="0" w:color="auto"/>
            </w:tcBorders>
            <w:shd w:val="clear" w:color="000000" w:fill="FFFFFF"/>
            <w:noWrap/>
            <w:vAlign w:val="bottom"/>
            <w:hideMark/>
          </w:tcPr>
          <w:p w:rsidR="00305B83" w:rsidRDefault="00305B83" w:rsidP="004E671F">
            <w:pPr>
              <w:jc w:val="right"/>
              <w:rPr>
                <w:sz w:val="20"/>
                <w:szCs w:val="20"/>
                <w:u w:val="single"/>
              </w:rPr>
            </w:pPr>
            <w:r>
              <w:rPr>
                <w:sz w:val="20"/>
                <w:szCs w:val="20"/>
                <w:u w:val="single"/>
              </w:rPr>
              <w:t>1,85</w:t>
            </w:r>
            <w:r w:rsidR="004E671F">
              <w:rPr>
                <w:sz w:val="20"/>
                <w:szCs w:val="20"/>
                <w:u w:val="single"/>
              </w:rPr>
              <w:t>7,197</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24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7</w:t>
            </w:r>
          </w:p>
        </w:tc>
        <w:tc>
          <w:tcPr>
            <w:tcW w:w="246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Total Operating Expense</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23,283,182</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3,441,636</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26,724,818</w:t>
            </w:r>
          </w:p>
        </w:tc>
        <w:tc>
          <w:tcPr>
            <w:tcW w:w="1220" w:type="dxa"/>
            <w:tcBorders>
              <w:top w:val="nil"/>
              <w:left w:val="nil"/>
              <w:bottom w:val="nil"/>
              <w:right w:val="nil"/>
            </w:tcBorders>
            <w:shd w:val="clear" w:color="000000" w:fill="FFFFFF"/>
            <w:noWrap/>
            <w:vAlign w:val="bottom"/>
            <w:hideMark/>
          </w:tcPr>
          <w:p w:rsidR="00305B83" w:rsidRDefault="00305B83" w:rsidP="00827FB1">
            <w:pPr>
              <w:jc w:val="right"/>
              <w:rPr>
                <w:sz w:val="20"/>
                <w:szCs w:val="20"/>
                <w:u w:val="single"/>
              </w:rPr>
            </w:pPr>
            <w:r>
              <w:rPr>
                <w:sz w:val="20"/>
                <w:szCs w:val="20"/>
                <w:u w:val="single"/>
              </w:rPr>
              <w:t>(2,236,</w:t>
            </w:r>
            <w:r w:rsidR="00827FB1">
              <w:rPr>
                <w:sz w:val="20"/>
                <w:szCs w:val="20"/>
                <w:u w:val="single"/>
              </w:rPr>
              <w:t>834</w:t>
            </w:r>
            <w:r>
              <w:rPr>
                <w:sz w:val="20"/>
                <w:szCs w:val="20"/>
                <w:u w:val="single"/>
              </w:rPr>
              <w:t>)</w:t>
            </w:r>
          </w:p>
        </w:tc>
        <w:tc>
          <w:tcPr>
            <w:tcW w:w="1220" w:type="dxa"/>
            <w:tcBorders>
              <w:top w:val="nil"/>
              <w:left w:val="nil"/>
              <w:bottom w:val="nil"/>
              <w:right w:val="nil"/>
            </w:tcBorders>
            <w:shd w:val="clear" w:color="000000" w:fill="FFFFFF"/>
            <w:noWrap/>
            <w:vAlign w:val="bottom"/>
            <w:hideMark/>
          </w:tcPr>
          <w:p w:rsidR="00305B83" w:rsidRDefault="00305B83" w:rsidP="00827FB1">
            <w:pPr>
              <w:jc w:val="right"/>
              <w:rPr>
                <w:sz w:val="20"/>
                <w:szCs w:val="20"/>
                <w:u w:val="single"/>
              </w:rPr>
            </w:pPr>
            <w:r>
              <w:rPr>
                <w:sz w:val="20"/>
                <w:szCs w:val="20"/>
                <w:u w:val="single"/>
              </w:rPr>
              <w:t>24,48</w:t>
            </w:r>
            <w:r w:rsidR="00827FB1">
              <w:rPr>
                <w:sz w:val="20"/>
                <w:szCs w:val="20"/>
                <w:u w:val="single"/>
              </w:rPr>
              <w:t>7,984</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1,350,092</w:t>
            </w:r>
          </w:p>
        </w:tc>
        <w:tc>
          <w:tcPr>
            <w:tcW w:w="1220" w:type="dxa"/>
            <w:tcBorders>
              <w:top w:val="nil"/>
              <w:left w:val="nil"/>
              <w:bottom w:val="nil"/>
              <w:right w:val="single" w:sz="4" w:space="0" w:color="auto"/>
            </w:tcBorders>
            <w:shd w:val="clear" w:color="000000" w:fill="FFFFFF"/>
            <w:noWrap/>
            <w:vAlign w:val="bottom"/>
            <w:hideMark/>
          </w:tcPr>
          <w:p w:rsidR="00305B83" w:rsidRDefault="00305B83" w:rsidP="004E671F">
            <w:pPr>
              <w:jc w:val="right"/>
              <w:rPr>
                <w:sz w:val="20"/>
                <w:szCs w:val="20"/>
                <w:u w:val="single"/>
              </w:rPr>
            </w:pPr>
            <w:r>
              <w:rPr>
                <w:sz w:val="20"/>
                <w:szCs w:val="20"/>
                <w:u w:val="single"/>
              </w:rPr>
              <w:t>25,838,</w:t>
            </w:r>
            <w:r w:rsidR="004E671F">
              <w:rPr>
                <w:sz w:val="20"/>
                <w:szCs w:val="20"/>
                <w:u w:val="single"/>
              </w:rPr>
              <w:t>075</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24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8</w:t>
            </w:r>
          </w:p>
        </w:tc>
        <w:tc>
          <w:tcPr>
            <w:tcW w:w="246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Operating Income</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double"/>
              </w:rPr>
            </w:pPr>
            <w:r>
              <w:rPr>
                <w:sz w:val="20"/>
                <w:szCs w:val="20"/>
                <w:u w:val="double"/>
              </w:rPr>
              <w:t>$4,993,408</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double"/>
              </w:rPr>
            </w:pPr>
            <w:r>
              <w:rPr>
                <w:sz w:val="20"/>
                <w:szCs w:val="20"/>
                <w:u w:val="double"/>
              </w:rPr>
              <w:t>$2,602,224</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double"/>
              </w:rPr>
            </w:pPr>
            <w:r>
              <w:rPr>
                <w:sz w:val="20"/>
                <w:szCs w:val="20"/>
                <w:u w:val="double"/>
              </w:rPr>
              <w:t>$7,595,632</w:t>
            </w:r>
          </w:p>
        </w:tc>
        <w:tc>
          <w:tcPr>
            <w:tcW w:w="1220" w:type="dxa"/>
            <w:tcBorders>
              <w:top w:val="nil"/>
              <w:left w:val="nil"/>
              <w:bottom w:val="nil"/>
              <w:right w:val="nil"/>
            </w:tcBorders>
            <w:shd w:val="clear" w:color="000000" w:fill="FFFFFF"/>
            <w:noWrap/>
            <w:vAlign w:val="bottom"/>
            <w:hideMark/>
          </w:tcPr>
          <w:p w:rsidR="00305B83" w:rsidRDefault="00827FB1" w:rsidP="00827FB1">
            <w:pPr>
              <w:jc w:val="right"/>
              <w:rPr>
                <w:sz w:val="20"/>
                <w:szCs w:val="20"/>
                <w:u w:val="double"/>
              </w:rPr>
            </w:pPr>
            <w:r>
              <w:rPr>
                <w:sz w:val="20"/>
                <w:szCs w:val="20"/>
                <w:u w:val="double"/>
              </w:rPr>
              <w:t>($2,466,585</w:t>
            </w:r>
            <w:r w:rsidR="00305B83">
              <w:rPr>
                <w:sz w:val="20"/>
                <w:szCs w:val="20"/>
                <w:u w:val="double"/>
              </w:rPr>
              <w:t>)</w:t>
            </w:r>
          </w:p>
        </w:tc>
        <w:tc>
          <w:tcPr>
            <w:tcW w:w="1220" w:type="dxa"/>
            <w:tcBorders>
              <w:top w:val="nil"/>
              <w:left w:val="nil"/>
              <w:bottom w:val="nil"/>
              <w:right w:val="nil"/>
            </w:tcBorders>
            <w:shd w:val="clear" w:color="000000" w:fill="FFFFFF"/>
            <w:noWrap/>
            <w:vAlign w:val="bottom"/>
            <w:hideMark/>
          </w:tcPr>
          <w:p w:rsidR="00305B83" w:rsidRDefault="00305B83" w:rsidP="00827FB1">
            <w:pPr>
              <w:jc w:val="right"/>
              <w:rPr>
                <w:sz w:val="20"/>
                <w:szCs w:val="20"/>
                <w:u w:val="double"/>
              </w:rPr>
            </w:pPr>
            <w:r>
              <w:rPr>
                <w:sz w:val="20"/>
                <w:szCs w:val="20"/>
                <w:u w:val="double"/>
              </w:rPr>
              <w:t>$5,12</w:t>
            </w:r>
            <w:r w:rsidR="00827FB1">
              <w:rPr>
                <w:sz w:val="20"/>
                <w:szCs w:val="20"/>
                <w:u w:val="double"/>
              </w:rPr>
              <w:t>9,047</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double"/>
              </w:rPr>
            </w:pPr>
            <w:r>
              <w:rPr>
                <w:sz w:val="20"/>
                <w:szCs w:val="20"/>
                <w:u w:val="double"/>
              </w:rPr>
              <w:t>$3,353,327</w:t>
            </w:r>
          </w:p>
        </w:tc>
        <w:tc>
          <w:tcPr>
            <w:tcW w:w="1220" w:type="dxa"/>
            <w:tcBorders>
              <w:top w:val="nil"/>
              <w:left w:val="nil"/>
              <w:bottom w:val="nil"/>
              <w:right w:val="single" w:sz="4" w:space="0" w:color="auto"/>
            </w:tcBorders>
            <w:shd w:val="clear" w:color="000000" w:fill="FFFFFF"/>
            <w:noWrap/>
            <w:vAlign w:val="bottom"/>
            <w:hideMark/>
          </w:tcPr>
          <w:p w:rsidR="004E671F" w:rsidRDefault="00305B83" w:rsidP="004E671F">
            <w:pPr>
              <w:jc w:val="right"/>
              <w:rPr>
                <w:sz w:val="20"/>
                <w:szCs w:val="20"/>
                <w:u w:val="double"/>
              </w:rPr>
            </w:pPr>
            <w:r>
              <w:rPr>
                <w:sz w:val="20"/>
                <w:szCs w:val="20"/>
                <w:u w:val="double"/>
              </w:rPr>
              <w:t>$8,48</w:t>
            </w:r>
            <w:r w:rsidR="004E671F">
              <w:rPr>
                <w:sz w:val="20"/>
                <w:szCs w:val="20"/>
                <w:u w:val="double"/>
              </w:rPr>
              <w:t>2,375</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24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9</w:t>
            </w:r>
          </w:p>
        </w:tc>
        <w:tc>
          <w:tcPr>
            <w:tcW w:w="246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Rate Base</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double"/>
              </w:rPr>
            </w:pPr>
            <w:r>
              <w:rPr>
                <w:sz w:val="20"/>
                <w:szCs w:val="20"/>
                <w:u w:val="double"/>
              </w:rPr>
              <w:t>$93,386,364</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double"/>
              </w:rPr>
            </w:pPr>
            <w:r>
              <w:rPr>
                <w:sz w:val="20"/>
                <w:szCs w:val="20"/>
                <w:u w:val="double"/>
              </w:rPr>
              <w:t>$8,186,677</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double"/>
              </w:rPr>
            </w:pPr>
            <w:r>
              <w:rPr>
                <w:sz w:val="20"/>
                <w:szCs w:val="20"/>
                <w:u w:val="double"/>
              </w:rPr>
              <w:t>$101,573,041</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double"/>
              </w:rPr>
            </w:pPr>
            <w:r>
              <w:rPr>
                <w:sz w:val="20"/>
                <w:szCs w:val="20"/>
                <w:u w:val="double"/>
              </w:rPr>
              <w:t>$111,439,518</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u w:val="double"/>
              </w:rPr>
            </w:pPr>
            <w:r>
              <w:rPr>
                <w:sz w:val="20"/>
                <w:szCs w:val="20"/>
                <w:u w:val="double"/>
              </w:rPr>
              <w:t>$111,439,518</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246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u w:val="double"/>
              </w:rPr>
            </w:pP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10</w:t>
            </w:r>
          </w:p>
        </w:tc>
        <w:tc>
          <w:tcPr>
            <w:tcW w:w="246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Rate of Return</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double"/>
              </w:rPr>
            </w:pPr>
            <w:r>
              <w:rPr>
                <w:sz w:val="20"/>
                <w:szCs w:val="20"/>
                <w:u w:val="double"/>
              </w:rPr>
              <w:t>5.35%</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double"/>
              </w:rPr>
            </w:pPr>
            <w:r>
              <w:rPr>
                <w:sz w:val="20"/>
                <w:szCs w:val="20"/>
                <w:u w:val="double"/>
              </w:rPr>
              <w:t>7.48%</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nil"/>
            </w:tcBorders>
            <w:shd w:val="clear" w:color="000000" w:fill="FFFFFF"/>
            <w:noWrap/>
            <w:vAlign w:val="bottom"/>
            <w:hideMark/>
          </w:tcPr>
          <w:p w:rsidR="00305B83" w:rsidRDefault="00305B83">
            <w:pPr>
              <w:jc w:val="right"/>
              <w:rPr>
                <w:sz w:val="20"/>
                <w:szCs w:val="20"/>
                <w:u w:val="double"/>
              </w:rPr>
            </w:pPr>
            <w:r>
              <w:rPr>
                <w:sz w:val="20"/>
                <w:szCs w:val="20"/>
                <w:u w:val="double"/>
              </w:rPr>
              <w:t>4.60%</w:t>
            </w:r>
          </w:p>
        </w:tc>
        <w:tc>
          <w:tcPr>
            <w:tcW w:w="12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u w:val="double"/>
              </w:rPr>
            </w:pPr>
            <w:r>
              <w:rPr>
                <w:sz w:val="20"/>
                <w:szCs w:val="20"/>
                <w:u w:val="double"/>
              </w:rPr>
              <w:t>7.61%</w:t>
            </w:r>
          </w:p>
        </w:tc>
      </w:tr>
      <w:tr w:rsidR="00305B83" w:rsidTr="00305B83">
        <w:trPr>
          <w:trHeight w:val="260"/>
          <w:jc w:val="center"/>
        </w:trPr>
        <w:tc>
          <w:tcPr>
            <w:tcW w:w="480" w:type="dxa"/>
            <w:tcBorders>
              <w:top w:val="nil"/>
              <w:left w:val="single" w:sz="4" w:space="0" w:color="auto"/>
              <w:bottom w:val="single" w:sz="4" w:space="0" w:color="auto"/>
              <w:right w:val="nil"/>
            </w:tcBorders>
            <w:shd w:val="clear" w:color="000000" w:fill="FFFFFF"/>
            <w:noWrap/>
            <w:vAlign w:val="bottom"/>
            <w:hideMark/>
          </w:tcPr>
          <w:p w:rsidR="00305B83" w:rsidRDefault="00305B83">
            <w:pPr>
              <w:rPr>
                <w:sz w:val="20"/>
                <w:szCs w:val="20"/>
              </w:rPr>
            </w:pPr>
            <w:r>
              <w:rPr>
                <w:sz w:val="20"/>
                <w:szCs w:val="20"/>
              </w:rPr>
              <w:t> </w:t>
            </w:r>
          </w:p>
        </w:tc>
        <w:tc>
          <w:tcPr>
            <w:tcW w:w="2460" w:type="dxa"/>
            <w:tcBorders>
              <w:top w:val="nil"/>
              <w:left w:val="nil"/>
              <w:bottom w:val="single" w:sz="4" w:space="0" w:color="auto"/>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single" w:sz="4" w:space="0" w:color="auto"/>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single" w:sz="4" w:space="0" w:color="auto"/>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single" w:sz="4" w:space="0" w:color="auto"/>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single" w:sz="4" w:space="0" w:color="auto"/>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single" w:sz="4" w:space="0" w:color="auto"/>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single" w:sz="4" w:space="0" w:color="auto"/>
              <w:right w:val="nil"/>
            </w:tcBorders>
            <w:shd w:val="clear" w:color="000000" w:fill="FFFFFF"/>
            <w:noWrap/>
            <w:vAlign w:val="bottom"/>
            <w:hideMark/>
          </w:tcPr>
          <w:p w:rsidR="00305B83" w:rsidRDefault="00305B83">
            <w:pPr>
              <w:rPr>
                <w:sz w:val="20"/>
                <w:szCs w:val="20"/>
              </w:rPr>
            </w:pPr>
            <w:r>
              <w:rPr>
                <w:sz w:val="20"/>
                <w:szCs w:val="20"/>
              </w:rPr>
              <w:t> </w:t>
            </w:r>
          </w:p>
        </w:tc>
        <w:tc>
          <w:tcPr>
            <w:tcW w:w="1220" w:type="dxa"/>
            <w:tcBorders>
              <w:top w:val="nil"/>
              <w:left w:val="nil"/>
              <w:bottom w:val="single" w:sz="4" w:space="0" w:color="auto"/>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bl>
    <w:p w:rsidR="00463D61" w:rsidRDefault="00305B83" w:rsidP="008F1F2D">
      <w:pPr>
        <w:sectPr w:rsidR="00463D61" w:rsidSect="004355D6">
          <w:headerReference w:type="default" r:id="rId26"/>
          <w:pgSz w:w="15840" w:h="12240" w:orient="landscape" w:code="1"/>
          <w:pgMar w:top="1440" w:right="1584" w:bottom="1440" w:left="1440" w:header="720" w:footer="720" w:gutter="0"/>
          <w:cols w:space="720"/>
          <w:formProt w:val="0"/>
          <w:docGrid w:linePitch="360"/>
        </w:sectPr>
      </w:pPr>
      <w:r>
        <w:fldChar w:fldCharType="begin"/>
      </w:r>
      <w:r>
        <w:instrText xml:space="preserve"> TC "</w:instrText>
      </w:r>
      <w:bookmarkStart w:id="72" w:name="_Toc196317170"/>
      <w:r>
        <w:tab/>
        <w:instrText>Schedule No. 3-B</w:instrText>
      </w:r>
      <w:bookmarkEnd w:id="72"/>
      <w:r>
        <w:instrText xml:space="preserve">" \l 1 </w:instrText>
      </w:r>
      <w:r>
        <w:fldChar w:fldCharType="end"/>
      </w:r>
    </w:p>
    <w:tbl>
      <w:tblPr>
        <w:tblW w:w="9600" w:type="dxa"/>
        <w:jc w:val="center"/>
        <w:tblLook w:val="04A0" w:firstRow="1" w:lastRow="0" w:firstColumn="1" w:lastColumn="0" w:noHBand="0" w:noVBand="1"/>
      </w:tblPr>
      <w:tblGrid>
        <w:gridCol w:w="480"/>
        <w:gridCol w:w="5940"/>
        <w:gridCol w:w="1520"/>
        <w:gridCol w:w="1660"/>
      </w:tblGrid>
      <w:tr w:rsidR="00305B83" w:rsidTr="00305B83">
        <w:trPr>
          <w:trHeight w:val="260"/>
          <w:jc w:val="center"/>
        </w:trPr>
        <w:tc>
          <w:tcPr>
            <w:tcW w:w="480" w:type="dxa"/>
            <w:tcBorders>
              <w:top w:val="single" w:sz="4" w:space="0" w:color="auto"/>
              <w:left w:val="single" w:sz="4" w:space="0" w:color="auto"/>
              <w:bottom w:val="nil"/>
              <w:right w:val="nil"/>
            </w:tcBorders>
            <w:shd w:val="clear" w:color="000000" w:fill="FFFFFF"/>
            <w:noWrap/>
            <w:vAlign w:val="bottom"/>
            <w:hideMark/>
          </w:tcPr>
          <w:p w:rsidR="00305B83" w:rsidRDefault="00305B83">
            <w:pPr>
              <w:rPr>
                <w:sz w:val="20"/>
                <w:szCs w:val="20"/>
              </w:rPr>
            </w:pPr>
            <w:bookmarkStart w:id="73" w:name="RANGE!B53:E99"/>
            <w:r>
              <w:rPr>
                <w:sz w:val="20"/>
                <w:szCs w:val="20"/>
              </w:rPr>
              <w:lastRenderedPageBreak/>
              <w:t> </w:t>
            </w:r>
            <w:bookmarkEnd w:id="73"/>
          </w:p>
        </w:tc>
        <w:tc>
          <w:tcPr>
            <w:tcW w:w="5940" w:type="dxa"/>
            <w:tcBorders>
              <w:top w:val="single" w:sz="4" w:space="0" w:color="auto"/>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520" w:type="dxa"/>
            <w:tcBorders>
              <w:top w:val="single" w:sz="4" w:space="0" w:color="auto"/>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660" w:type="dxa"/>
            <w:tcBorders>
              <w:top w:val="single" w:sz="4" w:space="0" w:color="auto"/>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Sunshine Water Services Company</w:t>
            </w:r>
          </w:p>
        </w:tc>
        <w:tc>
          <w:tcPr>
            <w:tcW w:w="3180" w:type="dxa"/>
            <w:gridSpan w:val="2"/>
            <w:tcBorders>
              <w:top w:val="nil"/>
              <w:left w:val="nil"/>
              <w:bottom w:val="nil"/>
              <w:right w:val="single" w:sz="4" w:space="0" w:color="000000"/>
            </w:tcBorders>
            <w:shd w:val="clear" w:color="000000" w:fill="FFFFFF"/>
            <w:noWrap/>
            <w:vAlign w:val="bottom"/>
            <w:hideMark/>
          </w:tcPr>
          <w:p w:rsidR="00305B83" w:rsidRDefault="00305B83">
            <w:pPr>
              <w:jc w:val="right"/>
              <w:rPr>
                <w:b/>
                <w:bCs/>
                <w:sz w:val="20"/>
                <w:szCs w:val="20"/>
              </w:rPr>
            </w:pPr>
            <w:r>
              <w:rPr>
                <w:b/>
                <w:bCs/>
                <w:sz w:val="20"/>
                <w:szCs w:val="20"/>
              </w:rPr>
              <w:t>Schedule 3-C</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Adjustment to Operating Income</w:t>
            </w:r>
          </w:p>
        </w:tc>
        <w:tc>
          <w:tcPr>
            <w:tcW w:w="3180" w:type="dxa"/>
            <w:gridSpan w:val="2"/>
            <w:tcBorders>
              <w:top w:val="nil"/>
              <w:left w:val="nil"/>
              <w:bottom w:val="nil"/>
              <w:right w:val="single" w:sz="4" w:space="0" w:color="000000"/>
            </w:tcBorders>
            <w:shd w:val="clear" w:color="000000" w:fill="FFFFFF"/>
            <w:noWrap/>
            <w:vAlign w:val="bottom"/>
            <w:hideMark/>
          </w:tcPr>
          <w:p w:rsidR="00305B83" w:rsidRDefault="00305B83">
            <w:pPr>
              <w:jc w:val="right"/>
              <w:rPr>
                <w:b/>
                <w:bCs/>
                <w:sz w:val="20"/>
                <w:szCs w:val="20"/>
              </w:rPr>
            </w:pPr>
            <w:r>
              <w:rPr>
                <w:b/>
                <w:bCs/>
                <w:sz w:val="20"/>
                <w:szCs w:val="20"/>
              </w:rPr>
              <w:t>Docket No. 20240068-WS</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Test Year Ended 12/31/2023</w:t>
            </w:r>
          </w:p>
        </w:tc>
        <w:tc>
          <w:tcPr>
            <w:tcW w:w="152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rPr>
                <w:b/>
                <w:bCs/>
                <w:sz w:val="20"/>
                <w:szCs w:val="20"/>
              </w:rPr>
            </w:pPr>
            <w:r>
              <w:rPr>
                <w:b/>
                <w:bCs/>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52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 </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rPr>
                <w:b/>
                <w:bCs/>
                <w:sz w:val="20"/>
                <w:szCs w:val="20"/>
              </w:rPr>
            </w:pPr>
            <w:r>
              <w:rPr>
                <w:b/>
                <w:bCs/>
                <w:sz w:val="20"/>
                <w:szCs w:val="20"/>
              </w:rPr>
              <w:t> </w:t>
            </w:r>
          </w:p>
        </w:tc>
      </w:tr>
      <w:tr w:rsidR="00305B83" w:rsidTr="00305B83">
        <w:trPr>
          <w:trHeight w:val="260"/>
          <w:jc w:val="center"/>
        </w:trPr>
        <w:tc>
          <w:tcPr>
            <w:tcW w:w="480" w:type="dxa"/>
            <w:tcBorders>
              <w:top w:val="single" w:sz="4" w:space="0" w:color="000000"/>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5940" w:type="dxa"/>
            <w:tcBorders>
              <w:top w:val="single" w:sz="4" w:space="0" w:color="000000"/>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520" w:type="dxa"/>
            <w:tcBorders>
              <w:top w:val="single" w:sz="4" w:space="0" w:color="000000"/>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660" w:type="dxa"/>
            <w:tcBorders>
              <w:top w:val="single" w:sz="4" w:space="0" w:color="000000"/>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305B83" w:rsidRDefault="00305B83">
            <w:pPr>
              <w:rPr>
                <w:b/>
                <w:bCs/>
                <w:sz w:val="20"/>
                <w:szCs w:val="20"/>
              </w:rPr>
            </w:pPr>
            <w:r>
              <w:rPr>
                <w:b/>
                <w:bCs/>
                <w:sz w:val="20"/>
                <w:szCs w:val="20"/>
              </w:rPr>
              <w:t>Explanation</w:t>
            </w:r>
          </w:p>
        </w:tc>
        <w:tc>
          <w:tcPr>
            <w:tcW w:w="1520" w:type="dxa"/>
            <w:tcBorders>
              <w:top w:val="nil"/>
              <w:left w:val="nil"/>
              <w:bottom w:val="nil"/>
              <w:right w:val="nil"/>
            </w:tcBorders>
            <w:shd w:val="clear" w:color="000000" w:fill="FFFFFF"/>
            <w:noWrap/>
            <w:vAlign w:val="bottom"/>
            <w:hideMark/>
          </w:tcPr>
          <w:p w:rsidR="00305B83" w:rsidRDefault="00305B83">
            <w:pPr>
              <w:jc w:val="center"/>
              <w:rPr>
                <w:b/>
                <w:bCs/>
                <w:sz w:val="20"/>
                <w:szCs w:val="20"/>
              </w:rPr>
            </w:pPr>
            <w:r>
              <w:rPr>
                <w:b/>
                <w:bCs/>
                <w:sz w:val="20"/>
                <w:szCs w:val="20"/>
              </w:rPr>
              <w:t>Water</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jc w:val="center"/>
              <w:rPr>
                <w:b/>
                <w:bCs/>
                <w:sz w:val="20"/>
                <w:szCs w:val="20"/>
              </w:rPr>
            </w:pPr>
            <w:r>
              <w:rPr>
                <w:b/>
                <w:bCs/>
                <w:sz w:val="20"/>
                <w:szCs w:val="20"/>
              </w:rPr>
              <w:t>Wastewater</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5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single" w:sz="4" w:space="0" w:color="000000"/>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5940" w:type="dxa"/>
            <w:tcBorders>
              <w:top w:val="single" w:sz="4" w:space="0" w:color="000000"/>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520" w:type="dxa"/>
            <w:tcBorders>
              <w:top w:val="single" w:sz="4" w:space="0" w:color="000000"/>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660" w:type="dxa"/>
            <w:tcBorders>
              <w:top w:val="single" w:sz="4" w:space="0" w:color="000000"/>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305B83" w:rsidRDefault="00305B83">
            <w:pPr>
              <w:rPr>
                <w:sz w:val="20"/>
                <w:szCs w:val="20"/>
                <w:u w:val="single"/>
              </w:rPr>
            </w:pPr>
            <w:r>
              <w:rPr>
                <w:sz w:val="20"/>
                <w:szCs w:val="20"/>
                <w:u w:val="single"/>
              </w:rPr>
              <w:t>Operating Revenues</w:t>
            </w:r>
          </w:p>
        </w:tc>
        <w:tc>
          <w:tcPr>
            <w:tcW w:w="15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1</w:t>
            </w:r>
          </w:p>
        </w:tc>
        <w:tc>
          <w:tcPr>
            <w:tcW w:w="59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To remove requested final revenue increase.</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($5,175,376)</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($4,701,373)</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2</w:t>
            </w:r>
          </w:p>
        </w:tc>
        <w:tc>
          <w:tcPr>
            <w:tcW w:w="5940" w:type="dxa"/>
            <w:tcBorders>
              <w:top w:val="nil"/>
              <w:left w:val="nil"/>
              <w:bottom w:val="nil"/>
              <w:right w:val="nil"/>
            </w:tcBorders>
            <w:shd w:val="clear" w:color="000000" w:fill="FFFFFF"/>
            <w:noWrap/>
            <w:vAlign w:val="bottom"/>
            <w:hideMark/>
          </w:tcPr>
          <w:p w:rsidR="004F4BDF" w:rsidRDefault="00305B83" w:rsidP="00A52CC7">
            <w:pPr>
              <w:rPr>
                <w:sz w:val="20"/>
                <w:szCs w:val="20"/>
              </w:rPr>
            </w:pPr>
            <w:r>
              <w:rPr>
                <w:sz w:val="20"/>
                <w:szCs w:val="20"/>
              </w:rPr>
              <w:t>To reflect the appropriate annualized</w:t>
            </w:r>
            <w:r w:rsidR="00A52CC7">
              <w:rPr>
                <w:sz w:val="20"/>
                <w:szCs w:val="20"/>
              </w:rPr>
              <w:t xml:space="preserve"> service</w:t>
            </w:r>
            <w:r>
              <w:rPr>
                <w:sz w:val="20"/>
                <w:szCs w:val="20"/>
              </w:rPr>
              <w:t xml:space="preserve"> revenues.</w:t>
            </w:r>
          </w:p>
        </w:tc>
        <w:tc>
          <w:tcPr>
            <w:tcW w:w="1520" w:type="dxa"/>
            <w:tcBorders>
              <w:top w:val="nil"/>
              <w:left w:val="nil"/>
              <w:bottom w:val="nil"/>
              <w:right w:val="nil"/>
            </w:tcBorders>
            <w:shd w:val="clear" w:color="000000" w:fill="FFFFFF"/>
            <w:noWrap/>
            <w:vAlign w:val="bottom"/>
            <w:hideMark/>
          </w:tcPr>
          <w:p w:rsidR="00305B83" w:rsidRPr="00B608F6" w:rsidRDefault="00B608F6">
            <w:pPr>
              <w:jc w:val="right"/>
              <w:rPr>
                <w:sz w:val="20"/>
                <w:szCs w:val="20"/>
              </w:rPr>
            </w:pPr>
            <w:r w:rsidRPr="00B608F6">
              <w:rPr>
                <w:sz w:val="20"/>
                <w:szCs w:val="20"/>
              </w:rPr>
              <w:t>0</w:t>
            </w:r>
          </w:p>
        </w:tc>
        <w:tc>
          <w:tcPr>
            <w:tcW w:w="1660" w:type="dxa"/>
            <w:tcBorders>
              <w:top w:val="nil"/>
              <w:left w:val="nil"/>
              <w:bottom w:val="nil"/>
              <w:right w:val="single" w:sz="4" w:space="0" w:color="auto"/>
            </w:tcBorders>
            <w:shd w:val="clear" w:color="000000" w:fill="FFFFFF"/>
            <w:noWrap/>
            <w:vAlign w:val="bottom"/>
            <w:hideMark/>
          </w:tcPr>
          <w:p w:rsidR="00305B83" w:rsidRPr="00B608F6" w:rsidRDefault="001C7999">
            <w:pPr>
              <w:jc w:val="right"/>
              <w:rPr>
                <w:sz w:val="20"/>
                <w:szCs w:val="20"/>
              </w:rPr>
            </w:pPr>
            <w:r w:rsidRPr="00B608F6">
              <w:rPr>
                <w:sz w:val="20"/>
                <w:szCs w:val="20"/>
              </w:rPr>
              <w:t>32</w:t>
            </w:r>
          </w:p>
        </w:tc>
      </w:tr>
      <w:tr w:rsidR="00A52CC7" w:rsidTr="00305B83">
        <w:trPr>
          <w:trHeight w:val="260"/>
          <w:jc w:val="center"/>
        </w:trPr>
        <w:tc>
          <w:tcPr>
            <w:tcW w:w="480" w:type="dxa"/>
            <w:tcBorders>
              <w:top w:val="nil"/>
              <w:left w:val="single" w:sz="4" w:space="0" w:color="auto"/>
              <w:bottom w:val="nil"/>
              <w:right w:val="nil"/>
            </w:tcBorders>
            <w:shd w:val="clear" w:color="000000" w:fill="FFFFFF"/>
            <w:noWrap/>
            <w:vAlign w:val="bottom"/>
          </w:tcPr>
          <w:p w:rsidR="00A52CC7" w:rsidRDefault="00A52CC7">
            <w:pPr>
              <w:jc w:val="center"/>
              <w:rPr>
                <w:sz w:val="20"/>
                <w:szCs w:val="20"/>
              </w:rPr>
            </w:pPr>
            <w:r>
              <w:rPr>
                <w:sz w:val="20"/>
                <w:szCs w:val="20"/>
              </w:rPr>
              <w:t>3</w:t>
            </w:r>
          </w:p>
        </w:tc>
        <w:tc>
          <w:tcPr>
            <w:tcW w:w="5940" w:type="dxa"/>
            <w:tcBorders>
              <w:top w:val="nil"/>
              <w:left w:val="nil"/>
              <w:bottom w:val="nil"/>
              <w:right w:val="nil"/>
            </w:tcBorders>
            <w:shd w:val="clear" w:color="000000" w:fill="FFFFFF"/>
            <w:noWrap/>
            <w:vAlign w:val="bottom"/>
          </w:tcPr>
          <w:p w:rsidR="00A52CC7" w:rsidRDefault="00A52CC7">
            <w:pPr>
              <w:rPr>
                <w:sz w:val="20"/>
                <w:szCs w:val="20"/>
              </w:rPr>
            </w:pPr>
            <w:r>
              <w:rPr>
                <w:sz w:val="20"/>
                <w:szCs w:val="20"/>
              </w:rPr>
              <w:t xml:space="preserve">To reflect the appropriate </w:t>
            </w:r>
            <w:r w:rsidR="001C7999">
              <w:rPr>
                <w:sz w:val="20"/>
                <w:szCs w:val="20"/>
              </w:rPr>
              <w:t>annualized miscellaneous revenu</w:t>
            </w:r>
            <w:r>
              <w:rPr>
                <w:sz w:val="20"/>
                <w:szCs w:val="20"/>
              </w:rPr>
              <w:t>e</w:t>
            </w:r>
            <w:r w:rsidR="001C7999">
              <w:rPr>
                <w:sz w:val="20"/>
                <w:szCs w:val="20"/>
              </w:rPr>
              <w:t>s</w:t>
            </w:r>
            <w:r>
              <w:rPr>
                <w:sz w:val="20"/>
                <w:szCs w:val="20"/>
              </w:rPr>
              <w:t>.</w:t>
            </w:r>
          </w:p>
        </w:tc>
        <w:tc>
          <w:tcPr>
            <w:tcW w:w="1520" w:type="dxa"/>
            <w:tcBorders>
              <w:top w:val="nil"/>
              <w:left w:val="nil"/>
              <w:bottom w:val="nil"/>
              <w:right w:val="nil"/>
            </w:tcBorders>
            <w:shd w:val="clear" w:color="000000" w:fill="FFFFFF"/>
            <w:noWrap/>
            <w:vAlign w:val="bottom"/>
          </w:tcPr>
          <w:p w:rsidR="00A52CC7" w:rsidRPr="00B608F6" w:rsidRDefault="00B608F6">
            <w:pPr>
              <w:jc w:val="right"/>
              <w:rPr>
                <w:sz w:val="20"/>
                <w:szCs w:val="20"/>
              </w:rPr>
            </w:pPr>
            <w:r w:rsidRPr="00B608F6">
              <w:rPr>
                <w:sz w:val="20"/>
                <w:szCs w:val="20"/>
              </w:rPr>
              <w:t>7,817</w:t>
            </w:r>
          </w:p>
        </w:tc>
        <w:tc>
          <w:tcPr>
            <w:tcW w:w="1660" w:type="dxa"/>
            <w:tcBorders>
              <w:top w:val="nil"/>
              <w:left w:val="nil"/>
              <w:bottom w:val="nil"/>
              <w:right w:val="single" w:sz="4" w:space="0" w:color="auto"/>
            </w:tcBorders>
            <w:shd w:val="clear" w:color="000000" w:fill="FFFFFF"/>
            <w:noWrap/>
            <w:vAlign w:val="bottom"/>
          </w:tcPr>
          <w:p w:rsidR="00A52CC7" w:rsidRPr="00B608F6" w:rsidRDefault="00B608F6">
            <w:pPr>
              <w:jc w:val="right"/>
              <w:rPr>
                <w:sz w:val="20"/>
                <w:szCs w:val="20"/>
              </w:rPr>
            </w:pPr>
            <w:r w:rsidRPr="00B608F6">
              <w:rPr>
                <w:sz w:val="20"/>
                <w:szCs w:val="20"/>
              </w:rPr>
              <w:t>7,268</w:t>
            </w:r>
          </w:p>
        </w:tc>
      </w:tr>
      <w:tr w:rsidR="00A52CC7" w:rsidTr="00305B83">
        <w:trPr>
          <w:trHeight w:val="260"/>
          <w:jc w:val="center"/>
        </w:trPr>
        <w:tc>
          <w:tcPr>
            <w:tcW w:w="480" w:type="dxa"/>
            <w:tcBorders>
              <w:top w:val="nil"/>
              <w:left w:val="single" w:sz="4" w:space="0" w:color="auto"/>
              <w:bottom w:val="nil"/>
              <w:right w:val="nil"/>
            </w:tcBorders>
            <w:shd w:val="clear" w:color="000000" w:fill="FFFFFF"/>
            <w:noWrap/>
            <w:vAlign w:val="bottom"/>
          </w:tcPr>
          <w:p w:rsidR="00A52CC7" w:rsidRDefault="00A52CC7">
            <w:pPr>
              <w:jc w:val="center"/>
              <w:rPr>
                <w:sz w:val="20"/>
                <w:szCs w:val="20"/>
              </w:rPr>
            </w:pPr>
            <w:r>
              <w:rPr>
                <w:sz w:val="20"/>
                <w:szCs w:val="20"/>
              </w:rPr>
              <w:t>4</w:t>
            </w:r>
          </w:p>
        </w:tc>
        <w:tc>
          <w:tcPr>
            <w:tcW w:w="5940" w:type="dxa"/>
            <w:tcBorders>
              <w:top w:val="nil"/>
              <w:left w:val="nil"/>
              <w:bottom w:val="nil"/>
              <w:right w:val="nil"/>
            </w:tcBorders>
            <w:shd w:val="clear" w:color="000000" w:fill="FFFFFF"/>
            <w:noWrap/>
            <w:vAlign w:val="bottom"/>
          </w:tcPr>
          <w:p w:rsidR="00A52CC7" w:rsidRDefault="00A52CC7">
            <w:pPr>
              <w:rPr>
                <w:sz w:val="20"/>
                <w:szCs w:val="20"/>
              </w:rPr>
            </w:pPr>
            <w:r>
              <w:rPr>
                <w:sz w:val="20"/>
                <w:szCs w:val="20"/>
              </w:rPr>
              <w:t>To reflect Audit Finding No. 4.</w:t>
            </w:r>
          </w:p>
        </w:tc>
        <w:tc>
          <w:tcPr>
            <w:tcW w:w="1520" w:type="dxa"/>
            <w:tcBorders>
              <w:top w:val="nil"/>
              <w:left w:val="nil"/>
              <w:bottom w:val="nil"/>
              <w:right w:val="nil"/>
            </w:tcBorders>
            <w:shd w:val="clear" w:color="000000" w:fill="FFFFFF"/>
            <w:noWrap/>
            <w:vAlign w:val="bottom"/>
          </w:tcPr>
          <w:p w:rsidR="00A52CC7" w:rsidRDefault="001C7999">
            <w:pPr>
              <w:jc w:val="right"/>
              <w:rPr>
                <w:sz w:val="20"/>
                <w:szCs w:val="20"/>
                <w:u w:val="single"/>
              </w:rPr>
            </w:pPr>
            <w:r>
              <w:rPr>
                <w:sz w:val="20"/>
                <w:szCs w:val="20"/>
                <w:u w:val="single"/>
              </w:rPr>
              <w:t>(10,050)</w:t>
            </w:r>
          </w:p>
        </w:tc>
        <w:tc>
          <w:tcPr>
            <w:tcW w:w="1660" w:type="dxa"/>
            <w:tcBorders>
              <w:top w:val="nil"/>
              <w:left w:val="nil"/>
              <w:bottom w:val="nil"/>
              <w:right w:val="single" w:sz="4" w:space="0" w:color="auto"/>
            </w:tcBorders>
            <w:shd w:val="clear" w:color="000000" w:fill="FFFFFF"/>
            <w:noWrap/>
            <w:vAlign w:val="bottom"/>
          </w:tcPr>
          <w:p w:rsidR="00A52CC7" w:rsidRDefault="001C7999">
            <w:pPr>
              <w:jc w:val="right"/>
              <w:rPr>
                <w:sz w:val="20"/>
                <w:szCs w:val="20"/>
                <w:u w:val="single"/>
              </w:rPr>
            </w:pPr>
            <w:r>
              <w:rPr>
                <w:sz w:val="20"/>
                <w:szCs w:val="20"/>
                <w:u w:val="single"/>
              </w:rPr>
              <w:t>(9,345)</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xml:space="preserve">    Total</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u w:val="double"/>
              </w:rPr>
            </w:pPr>
            <w:r>
              <w:rPr>
                <w:sz w:val="20"/>
                <w:szCs w:val="20"/>
                <w:u w:val="double"/>
              </w:rPr>
              <w:t>($5,177,609)</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u w:val="double"/>
              </w:rPr>
            </w:pPr>
            <w:r>
              <w:rPr>
                <w:sz w:val="20"/>
                <w:szCs w:val="20"/>
                <w:u w:val="double"/>
              </w:rPr>
              <w:t>($4,703,419)</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5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305B83" w:rsidRDefault="00305B83">
            <w:pPr>
              <w:rPr>
                <w:sz w:val="20"/>
                <w:szCs w:val="20"/>
                <w:u w:val="single"/>
              </w:rPr>
            </w:pPr>
            <w:r>
              <w:rPr>
                <w:sz w:val="20"/>
                <w:szCs w:val="20"/>
                <w:u w:val="single"/>
              </w:rPr>
              <w:t>Operation and Maintenance Expense</w:t>
            </w:r>
          </w:p>
        </w:tc>
        <w:tc>
          <w:tcPr>
            <w:tcW w:w="15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1</w:t>
            </w:r>
          </w:p>
        </w:tc>
        <w:tc>
          <w:tcPr>
            <w:tcW w:w="59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To reflect Audit Finding No. 9 modified via Rebuttal. (I-28)</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$43,442 </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 xml:space="preserve">$42,383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2</w:t>
            </w:r>
          </w:p>
        </w:tc>
        <w:tc>
          <w:tcPr>
            <w:tcW w:w="59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To remove expense associated with DEP penalty. (I-28)</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(165,188)</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(153,584)</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3</w:t>
            </w:r>
          </w:p>
        </w:tc>
        <w:tc>
          <w:tcPr>
            <w:tcW w:w="59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To remove charitable contributions. (I-28)</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(10,490)</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(9,754)</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4</w:t>
            </w:r>
          </w:p>
        </w:tc>
        <w:tc>
          <w:tcPr>
            <w:tcW w:w="59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To remove expenses associated Wekiva WWTP litigation. (I-28)</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0 </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(347,991)</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5</w:t>
            </w:r>
          </w:p>
        </w:tc>
        <w:tc>
          <w:tcPr>
            <w:tcW w:w="59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To reflect disallowances in management fees. (I-27)</w:t>
            </w:r>
          </w:p>
        </w:tc>
        <w:tc>
          <w:tcPr>
            <w:tcW w:w="1520" w:type="dxa"/>
            <w:tcBorders>
              <w:top w:val="nil"/>
              <w:left w:val="nil"/>
              <w:bottom w:val="nil"/>
              <w:right w:val="nil"/>
            </w:tcBorders>
            <w:shd w:val="clear" w:color="000000" w:fill="FFFFFF"/>
            <w:noWrap/>
            <w:vAlign w:val="bottom"/>
            <w:hideMark/>
          </w:tcPr>
          <w:p w:rsidR="00305B83" w:rsidRDefault="00305B83" w:rsidP="000E614B">
            <w:pPr>
              <w:jc w:val="right"/>
              <w:rPr>
                <w:sz w:val="20"/>
                <w:szCs w:val="20"/>
              </w:rPr>
            </w:pPr>
            <w:r>
              <w:rPr>
                <w:sz w:val="20"/>
                <w:szCs w:val="20"/>
              </w:rPr>
              <w:t>(</w:t>
            </w:r>
            <w:r w:rsidR="000E614B">
              <w:rPr>
                <w:sz w:val="20"/>
                <w:szCs w:val="20"/>
              </w:rPr>
              <w:t>33,768</w:t>
            </w:r>
            <w:r>
              <w:rPr>
                <w:sz w:val="20"/>
                <w:szCs w:val="20"/>
              </w:rPr>
              <w:t>)</w:t>
            </w:r>
          </w:p>
        </w:tc>
        <w:tc>
          <w:tcPr>
            <w:tcW w:w="1660" w:type="dxa"/>
            <w:tcBorders>
              <w:top w:val="nil"/>
              <w:left w:val="nil"/>
              <w:bottom w:val="nil"/>
              <w:right w:val="single" w:sz="4" w:space="0" w:color="auto"/>
            </w:tcBorders>
            <w:shd w:val="clear" w:color="000000" w:fill="FFFFFF"/>
            <w:noWrap/>
            <w:vAlign w:val="bottom"/>
            <w:hideMark/>
          </w:tcPr>
          <w:p w:rsidR="00305B83" w:rsidRDefault="000E614B" w:rsidP="000E614B">
            <w:pPr>
              <w:jc w:val="right"/>
              <w:rPr>
                <w:sz w:val="20"/>
                <w:szCs w:val="20"/>
              </w:rPr>
            </w:pPr>
            <w:r>
              <w:rPr>
                <w:sz w:val="20"/>
                <w:szCs w:val="20"/>
              </w:rPr>
              <w:t>(31,393</w:t>
            </w:r>
            <w:r w:rsidR="00305B83">
              <w:rPr>
                <w:sz w:val="20"/>
                <w:szCs w:val="20"/>
              </w:rPr>
              <w:t>)</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6</w:t>
            </w:r>
          </w:p>
        </w:tc>
        <w:tc>
          <w:tcPr>
            <w:tcW w:w="59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To remove payment processing expense. (I-26)</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(200,501)</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(186,418)</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7</w:t>
            </w:r>
          </w:p>
        </w:tc>
        <w:tc>
          <w:tcPr>
            <w:tcW w:w="59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To remove Chamber of Commerce dues. (I-28)</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(7,612)</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(7,077)</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8</w:t>
            </w:r>
          </w:p>
        </w:tc>
        <w:tc>
          <w:tcPr>
            <w:tcW w:w="59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To remove sewer maintenance expense. (I-28)</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0 </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(29,879)</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9</w:t>
            </w:r>
          </w:p>
        </w:tc>
        <w:tc>
          <w:tcPr>
            <w:tcW w:w="59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To reflect Pro Forma Capitalized Labor. (I-26)</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14,014 </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(17,106)</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10</w:t>
            </w:r>
          </w:p>
        </w:tc>
        <w:tc>
          <w:tcPr>
            <w:tcW w:w="59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To reflect O&amp;M associated with Pro Forma meter replacements. (I-26)</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(280,662)</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 xml:space="preserve">0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11</w:t>
            </w:r>
          </w:p>
        </w:tc>
        <w:tc>
          <w:tcPr>
            <w:tcW w:w="59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xml:space="preserve">To reflect updated </w:t>
            </w:r>
            <w:r w:rsidR="00E031BB">
              <w:rPr>
                <w:sz w:val="20"/>
                <w:szCs w:val="20"/>
              </w:rPr>
              <w:t>rate case ex</w:t>
            </w:r>
            <w:r>
              <w:rPr>
                <w:sz w:val="20"/>
                <w:szCs w:val="20"/>
              </w:rPr>
              <w:t>pense. (I-25)</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(13,622)</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(12,667)</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13</w:t>
            </w:r>
          </w:p>
        </w:tc>
        <w:tc>
          <w:tcPr>
            <w:tcW w:w="59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To remove expiring RCE amortization. (I-28)</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(96,267)</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(89,504)</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14</w:t>
            </w:r>
          </w:p>
        </w:tc>
        <w:tc>
          <w:tcPr>
            <w:tcW w:w="59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To remove half of D&amp;O Liability Insurance expense. (I-28)</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(11,637)</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u w:val="single"/>
              </w:rPr>
            </w:pPr>
            <w:r>
              <w:rPr>
                <w:sz w:val="20"/>
                <w:szCs w:val="20"/>
                <w:u w:val="single"/>
              </w:rPr>
              <w:t>(10,790)</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xml:space="preserve">    Total</w:t>
            </w:r>
          </w:p>
        </w:tc>
        <w:tc>
          <w:tcPr>
            <w:tcW w:w="1520" w:type="dxa"/>
            <w:tcBorders>
              <w:top w:val="nil"/>
              <w:left w:val="nil"/>
              <w:bottom w:val="nil"/>
              <w:right w:val="nil"/>
            </w:tcBorders>
            <w:shd w:val="clear" w:color="000000" w:fill="FFFFFF"/>
            <w:noWrap/>
            <w:vAlign w:val="bottom"/>
            <w:hideMark/>
          </w:tcPr>
          <w:p w:rsidR="00305B83" w:rsidRDefault="00305B83" w:rsidP="000E614B">
            <w:pPr>
              <w:jc w:val="right"/>
              <w:rPr>
                <w:sz w:val="20"/>
                <w:szCs w:val="20"/>
                <w:u w:val="double"/>
              </w:rPr>
            </w:pPr>
            <w:r>
              <w:rPr>
                <w:sz w:val="20"/>
                <w:szCs w:val="20"/>
                <w:u w:val="double"/>
              </w:rPr>
              <w:t>($7</w:t>
            </w:r>
            <w:r w:rsidR="00031543">
              <w:rPr>
                <w:sz w:val="20"/>
                <w:szCs w:val="20"/>
                <w:u w:val="double"/>
              </w:rPr>
              <w:t>6</w:t>
            </w:r>
            <w:r w:rsidR="000E614B">
              <w:rPr>
                <w:sz w:val="20"/>
                <w:szCs w:val="20"/>
                <w:u w:val="double"/>
              </w:rPr>
              <w:t>2,291</w:t>
            </w:r>
            <w:r>
              <w:rPr>
                <w:sz w:val="20"/>
                <w:szCs w:val="20"/>
                <w:u w:val="double"/>
              </w:rPr>
              <w:t>)</w:t>
            </w:r>
          </w:p>
        </w:tc>
        <w:tc>
          <w:tcPr>
            <w:tcW w:w="1660" w:type="dxa"/>
            <w:tcBorders>
              <w:top w:val="nil"/>
              <w:left w:val="nil"/>
              <w:bottom w:val="nil"/>
              <w:right w:val="single" w:sz="4" w:space="0" w:color="auto"/>
            </w:tcBorders>
            <w:shd w:val="clear" w:color="000000" w:fill="FFFFFF"/>
            <w:noWrap/>
            <w:vAlign w:val="bottom"/>
            <w:hideMark/>
          </w:tcPr>
          <w:p w:rsidR="00305B83" w:rsidRDefault="00305B83" w:rsidP="000E614B">
            <w:pPr>
              <w:jc w:val="right"/>
              <w:rPr>
                <w:sz w:val="20"/>
                <w:szCs w:val="20"/>
                <w:u w:val="double"/>
              </w:rPr>
            </w:pPr>
            <w:r>
              <w:rPr>
                <w:sz w:val="20"/>
                <w:szCs w:val="20"/>
                <w:u w:val="double"/>
              </w:rPr>
              <w:t>($85</w:t>
            </w:r>
            <w:r w:rsidR="000E614B">
              <w:rPr>
                <w:sz w:val="20"/>
                <w:szCs w:val="20"/>
                <w:u w:val="double"/>
              </w:rPr>
              <w:t>3,779</w:t>
            </w:r>
            <w:r>
              <w:rPr>
                <w:sz w:val="20"/>
                <w:szCs w:val="20"/>
                <w:u w:val="double"/>
              </w:rPr>
              <w:t>)</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5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305B83" w:rsidRDefault="00305B83">
            <w:pPr>
              <w:rPr>
                <w:sz w:val="20"/>
                <w:szCs w:val="20"/>
                <w:u w:val="single"/>
              </w:rPr>
            </w:pPr>
            <w:r>
              <w:rPr>
                <w:sz w:val="20"/>
                <w:szCs w:val="20"/>
                <w:u w:val="single"/>
              </w:rPr>
              <w:t>Depreciation Expense - Net</w:t>
            </w:r>
          </w:p>
        </w:tc>
        <w:tc>
          <w:tcPr>
            <w:tcW w:w="15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1</w:t>
            </w:r>
          </w:p>
        </w:tc>
        <w:tc>
          <w:tcPr>
            <w:tcW w:w="59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To reflect net salvage value. (I-30)</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($35,830)</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($37,410)</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2</w:t>
            </w:r>
          </w:p>
        </w:tc>
        <w:tc>
          <w:tcPr>
            <w:tcW w:w="59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To reflect recommended pro forma plant. (I-4)</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(116,370)</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 xml:space="preserve">42,319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3</w:t>
            </w:r>
          </w:p>
        </w:tc>
        <w:tc>
          <w:tcPr>
            <w:tcW w:w="5940" w:type="dxa"/>
            <w:tcBorders>
              <w:top w:val="nil"/>
              <w:left w:val="nil"/>
              <w:bottom w:val="nil"/>
              <w:right w:val="nil"/>
            </w:tcBorders>
            <w:shd w:val="clear" w:color="000000" w:fill="FFFFFF"/>
            <w:noWrap/>
            <w:vAlign w:val="bottom"/>
            <w:hideMark/>
          </w:tcPr>
          <w:p w:rsidR="00305B83" w:rsidRDefault="00305B83" w:rsidP="00CF37FA">
            <w:pPr>
              <w:rPr>
                <w:sz w:val="20"/>
                <w:szCs w:val="20"/>
              </w:rPr>
            </w:pPr>
            <w:r>
              <w:rPr>
                <w:sz w:val="20"/>
                <w:szCs w:val="20"/>
              </w:rPr>
              <w:t>To reflect Audit Finding No. 4. (I-3</w:t>
            </w:r>
            <w:r w:rsidR="00CF37FA">
              <w:rPr>
                <w:sz w:val="20"/>
                <w:szCs w:val="20"/>
              </w:rPr>
              <w:t>1</w:t>
            </w:r>
            <w:r>
              <w:rPr>
                <w:sz w:val="20"/>
                <w:szCs w:val="20"/>
              </w:rPr>
              <w:t>)</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(251)</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(234)</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4</w:t>
            </w:r>
          </w:p>
        </w:tc>
        <w:tc>
          <w:tcPr>
            <w:tcW w:w="59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To reflect Audit Finding No. 6. (I-30)</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0 </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(7,048)</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5</w:t>
            </w:r>
          </w:p>
        </w:tc>
        <w:tc>
          <w:tcPr>
            <w:tcW w:w="59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To reflect updated pro forma retirements - depreciation expense. (I-5)</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(14,496)</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(10,613)</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6</w:t>
            </w:r>
          </w:p>
        </w:tc>
        <w:tc>
          <w:tcPr>
            <w:tcW w:w="59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To reflect updated pro forma retirements - CIAC amortization. (I-5)</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 xml:space="preserve">5,390 </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u w:val="single"/>
              </w:rPr>
            </w:pPr>
            <w:r>
              <w:rPr>
                <w:sz w:val="20"/>
                <w:szCs w:val="20"/>
                <w:u w:val="single"/>
              </w:rPr>
              <w:t xml:space="preserve">966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xml:space="preserve">   Total</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u w:val="double"/>
              </w:rPr>
            </w:pPr>
            <w:r>
              <w:rPr>
                <w:sz w:val="20"/>
                <w:szCs w:val="20"/>
                <w:u w:val="double"/>
              </w:rPr>
              <w:t>($161,558)</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u w:val="double"/>
              </w:rPr>
            </w:pPr>
            <w:r>
              <w:rPr>
                <w:sz w:val="20"/>
                <w:szCs w:val="20"/>
                <w:u w:val="double"/>
              </w:rPr>
              <w:t>($12,020)</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5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305B83" w:rsidRDefault="00305B83">
            <w:pPr>
              <w:rPr>
                <w:sz w:val="20"/>
                <w:szCs w:val="20"/>
                <w:u w:val="single"/>
              </w:rPr>
            </w:pPr>
            <w:r>
              <w:rPr>
                <w:sz w:val="20"/>
                <w:szCs w:val="20"/>
                <w:u w:val="single"/>
              </w:rPr>
              <w:t>Taxes Other Than Income (I-29)</w:t>
            </w:r>
          </w:p>
        </w:tc>
        <w:tc>
          <w:tcPr>
            <w:tcW w:w="152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1</w:t>
            </w:r>
          </w:p>
        </w:tc>
        <w:tc>
          <w:tcPr>
            <w:tcW w:w="59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xml:space="preserve">RAFs on revenue adjustments above. </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($232,992)</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($211,654)</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2</w:t>
            </w:r>
          </w:p>
        </w:tc>
        <w:tc>
          <w:tcPr>
            <w:tcW w:w="59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To reflect Pro Forma Capitalized Labor.</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1,072 </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(1,309)</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3</w:t>
            </w:r>
          </w:p>
        </w:tc>
        <w:tc>
          <w:tcPr>
            <w:tcW w:w="59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To remove property tax expense on non-U&amp;U adjustment above.</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0 </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(1,273)</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4</w:t>
            </w:r>
          </w:p>
        </w:tc>
        <w:tc>
          <w:tcPr>
            <w:tcW w:w="59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To reflect Pro Forma Plant Additions.</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rPr>
            </w:pPr>
            <w:r>
              <w:rPr>
                <w:sz w:val="20"/>
                <w:szCs w:val="20"/>
              </w:rPr>
              <w:t xml:space="preserve">18,567 </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rPr>
            </w:pPr>
            <w:r>
              <w:rPr>
                <w:sz w:val="20"/>
                <w:szCs w:val="20"/>
              </w:rPr>
              <w:t xml:space="preserve">21,007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5</w:t>
            </w:r>
          </w:p>
        </w:tc>
        <w:tc>
          <w:tcPr>
            <w:tcW w:w="59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To remove payroll tax corresponding to meter replacements.</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u w:val="single"/>
              </w:rPr>
            </w:pPr>
            <w:r>
              <w:rPr>
                <w:sz w:val="20"/>
                <w:szCs w:val="20"/>
                <w:u w:val="single"/>
              </w:rPr>
              <w:t>(13,221)</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u w:val="single"/>
              </w:rPr>
            </w:pPr>
            <w:r>
              <w:rPr>
                <w:sz w:val="20"/>
                <w:szCs w:val="20"/>
                <w:u w:val="single"/>
              </w:rPr>
              <w:t xml:space="preserve">0 </w:t>
            </w:r>
          </w:p>
        </w:tc>
      </w:tr>
      <w:tr w:rsidR="00305B83" w:rsidTr="00305B83">
        <w:trPr>
          <w:trHeight w:val="260"/>
          <w:jc w:val="center"/>
        </w:trPr>
        <w:tc>
          <w:tcPr>
            <w:tcW w:w="480" w:type="dxa"/>
            <w:tcBorders>
              <w:top w:val="nil"/>
              <w:left w:val="single" w:sz="4" w:space="0" w:color="auto"/>
              <w:bottom w:val="nil"/>
              <w:right w:val="nil"/>
            </w:tcBorders>
            <w:shd w:val="clear" w:color="000000" w:fill="FFFFFF"/>
            <w:noWrap/>
            <w:vAlign w:val="bottom"/>
            <w:hideMark/>
          </w:tcPr>
          <w:p w:rsidR="00305B83" w:rsidRDefault="00305B83">
            <w:pPr>
              <w:jc w:val="center"/>
              <w:rPr>
                <w:sz w:val="20"/>
                <w:szCs w:val="20"/>
              </w:rPr>
            </w:pPr>
            <w:r>
              <w:rPr>
                <w:sz w:val="20"/>
                <w:szCs w:val="20"/>
              </w:rPr>
              <w:t> </w:t>
            </w:r>
          </w:p>
        </w:tc>
        <w:tc>
          <w:tcPr>
            <w:tcW w:w="5940" w:type="dxa"/>
            <w:tcBorders>
              <w:top w:val="nil"/>
              <w:left w:val="nil"/>
              <w:bottom w:val="nil"/>
              <w:right w:val="nil"/>
            </w:tcBorders>
            <w:shd w:val="clear" w:color="000000" w:fill="FFFFFF"/>
            <w:noWrap/>
            <w:vAlign w:val="bottom"/>
            <w:hideMark/>
          </w:tcPr>
          <w:p w:rsidR="00305B83" w:rsidRDefault="00305B83">
            <w:pPr>
              <w:rPr>
                <w:sz w:val="20"/>
                <w:szCs w:val="20"/>
              </w:rPr>
            </w:pPr>
            <w:r>
              <w:rPr>
                <w:sz w:val="20"/>
                <w:szCs w:val="20"/>
              </w:rPr>
              <w:t xml:space="preserve">    Total</w:t>
            </w:r>
          </w:p>
        </w:tc>
        <w:tc>
          <w:tcPr>
            <w:tcW w:w="1520" w:type="dxa"/>
            <w:tcBorders>
              <w:top w:val="nil"/>
              <w:left w:val="nil"/>
              <w:bottom w:val="nil"/>
              <w:right w:val="nil"/>
            </w:tcBorders>
            <w:shd w:val="clear" w:color="000000" w:fill="FFFFFF"/>
            <w:noWrap/>
            <w:vAlign w:val="bottom"/>
            <w:hideMark/>
          </w:tcPr>
          <w:p w:rsidR="00305B83" w:rsidRDefault="00305B83">
            <w:pPr>
              <w:jc w:val="right"/>
              <w:rPr>
                <w:sz w:val="20"/>
                <w:szCs w:val="20"/>
                <w:u w:val="double"/>
              </w:rPr>
            </w:pPr>
            <w:r>
              <w:rPr>
                <w:sz w:val="20"/>
                <w:szCs w:val="20"/>
                <w:u w:val="double"/>
              </w:rPr>
              <w:t>($226,575)</w:t>
            </w:r>
          </w:p>
        </w:tc>
        <w:tc>
          <w:tcPr>
            <w:tcW w:w="1660" w:type="dxa"/>
            <w:tcBorders>
              <w:top w:val="nil"/>
              <w:left w:val="nil"/>
              <w:bottom w:val="nil"/>
              <w:right w:val="single" w:sz="4" w:space="0" w:color="auto"/>
            </w:tcBorders>
            <w:shd w:val="clear" w:color="000000" w:fill="FFFFFF"/>
            <w:noWrap/>
            <w:vAlign w:val="bottom"/>
            <w:hideMark/>
          </w:tcPr>
          <w:p w:rsidR="00305B83" w:rsidRDefault="00305B83">
            <w:pPr>
              <w:jc w:val="right"/>
              <w:rPr>
                <w:sz w:val="20"/>
                <w:szCs w:val="20"/>
                <w:u w:val="double"/>
              </w:rPr>
            </w:pPr>
            <w:r>
              <w:rPr>
                <w:sz w:val="20"/>
                <w:szCs w:val="20"/>
                <w:u w:val="double"/>
              </w:rPr>
              <w:t>($193,229)</w:t>
            </w:r>
          </w:p>
        </w:tc>
      </w:tr>
      <w:tr w:rsidR="00305B83" w:rsidTr="00305B83">
        <w:trPr>
          <w:trHeight w:val="260"/>
          <w:jc w:val="center"/>
        </w:trPr>
        <w:tc>
          <w:tcPr>
            <w:tcW w:w="480" w:type="dxa"/>
            <w:tcBorders>
              <w:top w:val="nil"/>
              <w:left w:val="single" w:sz="4" w:space="0" w:color="auto"/>
              <w:bottom w:val="single" w:sz="4" w:space="0" w:color="auto"/>
              <w:right w:val="nil"/>
            </w:tcBorders>
            <w:shd w:val="clear" w:color="000000" w:fill="FFFFFF"/>
            <w:noWrap/>
            <w:vAlign w:val="bottom"/>
            <w:hideMark/>
          </w:tcPr>
          <w:p w:rsidR="00305B83" w:rsidRDefault="00305B83">
            <w:pPr>
              <w:jc w:val="center"/>
              <w:rPr>
                <w:sz w:val="20"/>
                <w:szCs w:val="20"/>
              </w:rPr>
            </w:pPr>
            <w:r>
              <w:rPr>
                <w:sz w:val="20"/>
                <w:szCs w:val="20"/>
              </w:rPr>
              <w:t> </w:t>
            </w:r>
          </w:p>
        </w:tc>
        <w:tc>
          <w:tcPr>
            <w:tcW w:w="5940" w:type="dxa"/>
            <w:tcBorders>
              <w:top w:val="nil"/>
              <w:left w:val="nil"/>
              <w:bottom w:val="single" w:sz="4" w:space="0" w:color="auto"/>
              <w:right w:val="nil"/>
            </w:tcBorders>
            <w:shd w:val="clear" w:color="000000" w:fill="FFFFFF"/>
            <w:noWrap/>
            <w:vAlign w:val="bottom"/>
            <w:hideMark/>
          </w:tcPr>
          <w:p w:rsidR="00305B83" w:rsidRDefault="00305B83">
            <w:pPr>
              <w:rPr>
                <w:sz w:val="20"/>
                <w:szCs w:val="20"/>
              </w:rPr>
            </w:pPr>
            <w:r>
              <w:rPr>
                <w:sz w:val="20"/>
                <w:szCs w:val="20"/>
              </w:rPr>
              <w:t> </w:t>
            </w:r>
          </w:p>
        </w:tc>
        <w:tc>
          <w:tcPr>
            <w:tcW w:w="1520" w:type="dxa"/>
            <w:tcBorders>
              <w:top w:val="nil"/>
              <w:left w:val="nil"/>
              <w:bottom w:val="single" w:sz="4" w:space="0" w:color="auto"/>
              <w:right w:val="nil"/>
            </w:tcBorders>
            <w:shd w:val="clear" w:color="000000" w:fill="FFFFFF"/>
            <w:noWrap/>
            <w:vAlign w:val="bottom"/>
            <w:hideMark/>
          </w:tcPr>
          <w:p w:rsidR="00305B83" w:rsidRDefault="00305B83">
            <w:pPr>
              <w:rPr>
                <w:sz w:val="20"/>
                <w:szCs w:val="20"/>
              </w:rPr>
            </w:pPr>
            <w:r>
              <w:rPr>
                <w:sz w:val="20"/>
                <w:szCs w:val="20"/>
              </w:rPr>
              <w:t> </w:t>
            </w:r>
          </w:p>
        </w:tc>
        <w:tc>
          <w:tcPr>
            <w:tcW w:w="1660" w:type="dxa"/>
            <w:tcBorders>
              <w:top w:val="nil"/>
              <w:left w:val="nil"/>
              <w:bottom w:val="single" w:sz="4" w:space="0" w:color="auto"/>
              <w:right w:val="single" w:sz="4" w:space="0" w:color="auto"/>
            </w:tcBorders>
            <w:shd w:val="clear" w:color="000000" w:fill="FFFFFF"/>
            <w:noWrap/>
            <w:vAlign w:val="bottom"/>
            <w:hideMark/>
          </w:tcPr>
          <w:p w:rsidR="00305B83" w:rsidRDefault="00305B83">
            <w:pPr>
              <w:rPr>
                <w:sz w:val="20"/>
                <w:szCs w:val="20"/>
              </w:rPr>
            </w:pPr>
            <w:r>
              <w:rPr>
                <w:sz w:val="20"/>
                <w:szCs w:val="20"/>
              </w:rPr>
              <w:t> </w:t>
            </w:r>
          </w:p>
        </w:tc>
      </w:tr>
    </w:tbl>
    <w:p w:rsidR="00463D61" w:rsidRDefault="00305B83" w:rsidP="008F1F2D">
      <w:pPr>
        <w:sectPr w:rsidR="00463D61" w:rsidSect="00463D61">
          <w:headerReference w:type="default" r:id="rId27"/>
          <w:footerReference w:type="default" r:id="rId28"/>
          <w:pgSz w:w="12240" w:h="15840" w:code="1"/>
          <w:pgMar w:top="1584" w:right="1440" w:bottom="1440" w:left="1440" w:header="720" w:footer="720" w:gutter="0"/>
          <w:cols w:space="720"/>
          <w:formProt w:val="0"/>
          <w:docGrid w:linePitch="360"/>
        </w:sectPr>
      </w:pPr>
      <w:r>
        <w:fldChar w:fldCharType="begin"/>
      </w:r>
      <w:r>
        <w:instrText xml:space="preserve"> TC "</w:instrText>
      </w:r>
      <w:bookmarkStart w:id="74" w:name="_Toc194734063"/>
      <w:bookmarkStart w:id="75" w:name="_Toc196317171"/>
      <w:r>
        <w:tab/>
        <w:instrText>Schedule No. 3-C</w:instrText>
      </w:r>
      <w:bookmarkEnd w:id="74"/>
      <w:bookmarkEnd w:id="75"/>
      <w:r>
        <w:instrText xml:space="preserve">" \l 1 </w:instrText>
      </w:r>
      <w:r>
        <w:fldChar w:fldCharType="end"/>
      </w:r>
    </w:p>
    <w:p w:rsidR="00533263" w:rsidRDefault="00FB7EFE" w:rsidP="00FB7EFE">
      <w:pPr>
        <w:jc w:val="center"/>
        <w:sectPr w:rsidR="00533263" w:rsidSect="00463D61">
          <w:headerReference w:type="default" r:id="rId29"/>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4CABD7FC" wp14:editId="7789B7B5">
            <wp:extent cx="5944235" cy="57492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4235" cy="5749290"/>
                    </a:xfrm>
                    <a:prstGeom prst="rect">
                      <a:avLst/>
                    </a:prstGeom>
                    <a:noFill/>
                  </pic:spPr>
                </pic:pic>
              </a:graphicData>
            </a:graphic>
          </wp:inline>
        </w:drawing>
      </w:r>
      <w:r w:rsidR="00B608F6">
        <w:t xml:space="preserve"> </w:t>
      </w:r>
      <w:r w:rsidR="00533263">
        <w:fldChar w:fldCharType="begin"/>
      </w:r>
      <w:r w:rsidR="00533263">
        <w:instrText xml:space="preserve"> TC "</w:instrText>
      </w:r>
      <w:bookmarkStart w:id="76" w:name="_Toc196317172"/>
      <w:r w:rsidR="00533263">
        <w:tab/>
        <w:instrText>Schedule No. 4-A</w:instrText>
      </w:r>
      <w:bookmarkEnd w:id="76"/>
      <w:r w:rsidR="00533263">
        <w:instrText xml:space="preserve">" \l 1 </w:instrText>
      </w:r>
      <w:r w:rsidR="00533263">
        <w:fldChar w:fldCharType="end"/>
      </w:r>
    </w:p>
    <w:p w:rsidR="008F1F2D" w:rsidRDefault="00FB7EFE" w:rsidP="00FB7EFE">
      <w:pPr>
        <w:jc w:val="center"/>
      </w:pPr>
      <w:r>
        <w:rPr>
          <w:noProof/>
        </w:rPr>
        <w:lastRenderedPageBreak/>
        <w:drawing>
          <wp:inline distT="0" distB="0" distL="0" distR="0" wp14:anchorId="7959A0CC" wp14:editId="7E7AB0A9">
            <wp:extent cx="5271715" cy="8234256"/>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4700" cy="8238919"/>
                    </a:xfrm>
                    <a:prstGeom prst="rect">
                      <a:avLst/>
                    </a:prstGeom>
                    <a:noFill/>
                  </pic:spPr>
                </pic:pic>
              </a:graphicData>
            </a:graphic>
          </wp:inline>
        </w:drawing>
      </w:r>
      <w:r w:rsidR="009F2E97">
        <w:fldChar w:fldCharType="begin"/>
      </w:r>
      <w:r w:rsidR="009F2E97">
        <w:instrText xml:space="preserve"> TC "</w:instrText>
      </w:r>
      <w:bookmarkStart w:id="77" w:name="_Toc196317173"/>
      <w:r w:rsidR="009F2E97">
        <w:tab/>
        <w:instrText xml:space="preserve">Schedule </w:instrText>
      </w:r>
      <w:r w:rsidR="00533263">
        <w:instrText xml:space="preserve">No. </w:instrText>
      </w:r>
      <w:r w:rsidR="009F2E97">
        <w:instrText>4-</w:instrText>
      </w:r>
      <w:r w:rsidR="00533263">
        <w:instrText>B</w:instrText>
      </w:r>
      <w:bookmarkEnd w:id="77"/>
      <w:r w:rsidR="009F2E97">
        <w:instrText xml:space="preserve">" \l 1 </w:instrText>
      </w:r>
      <w:r w:rsidR="009F2E97">
        <w:fldChar w:fldCharType="end"/>
      </w:r>
    </w:p>
    <w:sectPr w:rsidR="008F1F2D" w:rsidSect="00463D61">
      <w:headerReference w:type="default" r:id="rId3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895" w:rsidRDefault="001C3895">
      <w:r>
        <w:separator/>
      </w:r>
    </w:p>
  </w:endnote>
  <w:endnote w:type="continuationSeparator" w:id="0">
    <w:p w:rsidR="001C3895" w:rsidRDefault="001C3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10A" w:rsidRDefault="0035310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63E0B">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10A" w:rsidRDefault="003531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10A" w:rsidRDefault="0035310A">
    <w:pPr>
      <w:pStyle w:val="Footer"/>
      <w:tabs>
        <w:tab w:val="clear" w:pos="4320"/>
        <w:tab w:val="clear" w:pos="8640"/>
        <w:tab w:val="center" w:pos="4674"/>
        <w:tab w:val="right" w:pos="9360"/>
      </w:tabs>
    </w:pPr>
    <w:r>
      <w:tab/>
      <w:t xml:space="preserve">                                               - </w:t>
    </w:r>
    <w:r>
      <w:rPr>
        <w:rStyle w:val="PageNumber"/>
      </w:rPr>
      <w:fldChar w:fldCharType="begin"/>
    </w:r>
    <w:r>
      <w:rPr>
        <w:rStyle w:val="PageNumber"/>
      </w:rPr>
      <w:instrText xml:space="preserve"> PAGE </w:instrText>
    </w:r>
    <w:r>
      <w:rPr>
        <w:rStyle w:val="PageNumber"/>
      </w:rPr>
      <w:fldChar w:fldCharType="separate"/>
    </w:r>
    <w:r w:rsidR="00063E0B">
      <w:rPr>
        <w:rStyle w:val="PageNumber"/>
        <w:noProof/>
      </w:rPr>
      <w:t>128</w:t>
    </w:r>
    <w:r>
      <w:rPr>
        <w:rStyle w:val="PageNumber"/>
      </w:rPr>
      <w:fldChar w:fldCharType="end"/>
    </w:r>
    <w:r>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10A" w:rsidRDefault="0035310A">
    <w:pPr>
      <w:pStyle w:val="Footer"/>
      <w:tabs>
        <w:tab w:val="clear" w:pos="4320"/>
        <w:tab w:val="clear" w:pos="8640"/>
        <w:tab w:val="center" w:pos="4674"/>
        <w:tab w:val="right" w:pos="9360"/>
      </w:tabs>
    </w:pPr>
    <w:r>
      <w:tab/>
      <w:t xml:space="preserve"> - </w:t>
    </w:r>
    <w:r>
      <w:rPr>
        <w:rStyle w:val="PageNumber"/>
      </w:rPr>
      <w:fldChar w:fldCharType="begin"/>
    </w:r>
    <w:r>
      <w:rPr>
        <w:rStyle w:val="PageNumber"/>
      </w:rPr>
      <w:instrText xml:space="preserve"> PAGE </w:instrText>
    </w:r>
    <w:r>
      <w:rPr>
        <w:rStyle w:val="PageNumber"/>
      </w:rPr>
      <w:fldChar w:fldCharType="separate"/>
    </w:r>
    <w:r w:rsidR="00063E0B">
      <w:rPr>
        <w:rStyle w:val="PageNumber"/>
        <w:noProof/>
      </w:rPr>
      <w:t>131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895" w:rsidRDefault="001C3895">
      <w:r>
        <w:separator/>
      </w:r>
    </w:p>
  </w:footnote>
  <w:footnote w:type="continuationSeparator" w:id="0">
    <w:p w:rsidR="001C3895" w:rsidRDefault="001C3895">
      <w:r>
        <w:continuationSeparator/>
      </w:r>
    </w:p>
  </w:footnote>
  <w:footnote w:id="1">
    <w:p w:rsidR="0035310A" w:rsidRPr="008E5D62" w:rsidRDefault="0035310A" w:rsidP="00480B33">
      <w:pPr>
        <w:pStyle w:val="FootnoteText"/>
        <w:rPr>
          <w:i/>
        </w:rPr>
      </w:pPr>
      <w:r>
        <w:rPr>
          <w:rStyle w:val="FootnoteReference"/>
        </w:rPr>
        <w:footnoteRef/>
      </w:r>
      <w:r>
        <w:t xml:space="preserve">Order No. PSC-2021-0206-FOF-WS, issued June 4, 2021, in Docket No. 20200139-WS, </w:t>
      </w:r>
      <w:r>
        <w:rPr>
          <w:i/>
        </w:rPr>
        <w:t>In re: Application for increase in water and wastewater rates in Charlotte, Highlands, Lake, Lee, Marion, Orange, Pasco, Pinellas, Polk, and Seminole Counties, by Utilities, Inc. of Florida.</w:t>
      </w:r>
    </w:p>
  </w:footnote>
  <w:footnote w:id="2">
    <w:p w:rsidR="0035310A" w:rsidRPr="00B969A4" w:rsidRDefault="0035310A" w:rsidP="00480B33">
      <w:pPr>
        <w:pStyle w:val="FootnoteText"/>
        <w:rPr>
          <w:i/>
        </w:rPr>
      </w:pPr>
      <w:r>
        <w:rPr>
          <w:rStyle w:val="FootnoteReference"/>
        </w:rPr>
        <w:footnoteRef/>
      </w:r>
      <w:r>
        <w:t xml:space="preserve">Order No. PSC-2024-0378-PCO-WS, issued August 28, 2024, in Docket No. 20240068-WS, </w:t>
      </w:r>
      <w:r>
        <w:rPr>
          <w:i/>
        </w:rPr>
        <w:t>In re: Application for increase in water and wastewater rates in Charlotte, Highlands, Lake, Lee, Marion, Orange, Pasco, Pinellas, Polk, and Seminole Counties, by Sunshine Water Services Company.</w:t>
      </w:r>
    </w:p>
  </w:footnote>
  <w:footnote w:id="3">
    <w:p w:rsidR="0035310A" w:rsidRDefault="0035310A">
      <w:pPr>
        <w:pStyle w:val="FootnoteText"/>
      </w:pPr>
      <w:r>
        <w:rPr>
          <w:rStyle w:val="FootnoteReference"/>
        </w:rPr>
        <w:footnoteRef/>
      </w:r>
      <w:r>
        <w:t>Document No. 02277-2024.</w:t>
      </w:r>
    </w:p>
  </w:footnote>
  <w:footnote w:id="4">
    <w:p w:rsidR="0035310A" w:rsidRDefault="0035310A">
      <w:pPr>
        <w:pStyle w:val="FootnoteText"/>
      </w:pPr>
      <w:r>
        <w:rPr>
          <w:rStyle w:val="FootnoteReference"/>
        </w:rPr>
        <w:footnoteRef/>
      </w:r>
      <w:r>
        <w:t>Document No. 02835-2024.</w:t>
      </w:r>
    </w:p>
  </w:footnote>
  <w:footnote w:id="5">
    <w:p w:rsidR="0035310A" w:rsidRDefault="0035310A" w:rsidP="00480B33">
      <w:pPr>
        <w:pStyle w:val="FootnoteText"/>
      </w:pPr>
      <w:r>
        <w:rPr>
          <w:rStyle w:val="FootnoteReference"/>
        </w:rPr>
        <w:footnoteRef/>
      </w:r>
      <w:r>
        <w:t>Document No. 09087-2024.</w:t>
      </w:r>
    </w:p>
  </w:footnote>
  <w:footnote w:id="6">
    <w:p w:rsidR="0035310A" w:rsidRDefault="0035310A" w:rsidP="00480B33">
      <w:pPr>
        <w:pStyle w:val="FootnoteText"/>
      </w:pPr>
      <w:r>
        <w:rPr>
          <w:rStyle w:val="FootnoteReference"/>
        </w:rPr>
        <w:footnoteRef/>
      </w:r>
      <w:r>
        <w:t xml:space="preserve">Order No. PSC-2024-0435-PCO-WS, issued September 25, 2024, in Docket No. 20240068-WS, </w:t>
      </w:r>
      <w:r>
        <w:rPr>
          <w:i/>
        </w:rPr>
        <w:t>In re: Application for increase in water and wastewater rates in Charlotte, Highlands, Lake, Lee, Marion, Orange, Pasco, Pinellas, Polk, and Seminole Counties, by Sunshine Water Services Company.</w:t>
      </w:r>
      <w:r>
        <w:t xml:space="preserve">  </w:t>
      </w:r>
    </w:p>
  </w:footnote>
  <w:footnote w:id="7">
    <w:p w:rsidR="0035310A" w:rsidRDefault="0035310A" w:rsidP="00431D19">
      <w:pPr>
        <w:pStyle w:val="FootnoteText"/>
      </w:pPr>
      <w:r>
        <w:rPr>
          <w:rStyle w:val="FootnoteReference"/>
        </w:rPr>
        <w:footnoteRef/>
      </w:r>
      <w:r>
        <w:t>Order No. PSC-2021-0206-FOF-WS, issued June 4, 2021, in Docket No. 20200139-WS, p. 20,</w:t>
      </w:r>
      <w:r w:rsidRPr="00061956">
        <w:rPr>
          <w:i/>
        </w:rPr>
        <w:t xml:space="preserve"> In re: Application for increase in water and wastewater rates in Charlotte, Highlands, Lake, Lee, Marion, Orange, Pasco, Pinellas, Polk, and Seminole Counties, by Utilities, Inc. of Florida.</w:t>
      </w:r>
    </w:p>
  </w:footnote>
  <w:footnote w:id="8">
    <w:p w:rsidR="0035310A" w:rsidRDefault="0035310A" w:rsidP="00431D19">
      <w:pPr>
        <w:pStyle w:val="FootnoteText"/>
      </w:pPr>
      <w:r>
        <w:rPr>
          <w:rStyle w:val="FootnoteReference"/>
        </w:rPr>
        <w:footnoteRef/>
      </w:r>
      <w:r>
        <w:t xml:space="preserve">Order No. PSC-2021-0206-FOF-WS, dated June 4, 2021, in Docket No. 20200139-WS, </w:t>
      </w:r>
      <w:r w:rsidRPr="009162FB">
        <w:rPr>
          <w:i/>
        </w:rPr>
        <w:t>In re: Application for increase in water and wastewater rates in Charlotte, Highlands, Lake, Lee, Marion, Orange, Pasco, Pinellas, Polk, and Seminole Counties, by Utilities, Inc. of Florida.</w:t>
      </w:r>
    </w:p>
  </w:footnote>
  <w:footnote w:id="9">
    <w:p w:rsidR="0035310A" w:rsidRDefault="0035310A" w:rsidP="00431D19">
      <w:pPr>
        <w:pStyle w:val="FootnoteText"/>
      </w:pPr>
      <w:r>
        <w:rPr>
          <w:rStyle w:val="FootnoteReference"/>
        </w:rPr>
        <w:footnoteRef/>
      </w:r>
      <w:r>
        <w:t xml:space="preserve">Order No. PSC-2021-0206-FOF-WS, dated June 4, 2021, in Docket No. 20200139-WS, </w:t>
      </w:r>
      <w:r w:rsidRPr="009162FB">
        <w:rPr>
          <w:i/>
        </w:rPr>
        <w:t>In re: Application for increase in water and wastewater rates in Charlotte, Highlands, Lake, Lee, Marion, Orange, Pasco, Pinellas, Polk, and Seminole Counties, by Utilities, Inc. of Florida.</w:t>
      </w:r>
    </w:p>
  </w:footnote>
  <w:footnote w:id="10">
    <w:p w:rsidR="00955BE0" w:rsidRDefault="00955BE0">
      <w:pPr>
        <w:pStyle w:val="FootnoteText"/>
      </w:pPr>
      <w:r>
        <w:rPr>
          <w:rStyle w:val="FootnoteReference"/>
        </w:rPr>
        <w:footnoteRef/>
      </w:r>
      <w:r w:rsidRPr="00955BE0">
        <w:t>Order No. PSC-2017-0361-FOF-WS</w:t>
      </w:r>
      <w:r>
        <w:t>.</w:t>
      </w:r>
    </w:p>
  </w:footnote>
  <w:footnote w:id="11">
    <w:p w:rsidR="0035310A" w:rsidRDefault="0035310A" w:rsidP="00431D19">
      <w:pPr>
        <w:pStyle w:val="FootnoteText"/>
      </w:pPr>
      <w:r>
        <w:rPr>
          <w:rStyle w:val="FootnoteReference"/>
        </w:rPr>
        <w:footnoteRef/>
      </w:r>
      <w:r w:rsidR="00955BE0" w:rsidRPr="00955BE0">
        <w:t>Order No. PSC-2021-0206-FOF-WS, dated June 4, 2021, in Docket No. 20200139-WS,</w:t>
      </w:r>
      <w:r w:rsidR="00955BE0" w:rsidRPr="00955BE0">
        <w:rPr>
          <w:i/>
        </w:rPr>
        <w:t xml:space="preserve"> In re: Application for increase in water and wastewater rates in Charlotte, Highlands, Lake, Lee, Marion, Orange, Pasco, Pinellas, Polk, and Seminole Counties, by Utilities, Inc. of Florida</w:t>
      </w:r>
      <w:r>
        <w:rPr>
          <w:i/>
        </w:rPr>
        <w:t>.</w:t>
      </w:r>
    </w:p>
  </w:footnote>
  <w:footnote w:id="12">
    <w:p w:rsidR="0035310A" w:rsidRDefault="0035310A" w:rsidP="00431D19">
      <w:pPr>
        <w:pStyle w:val="FootnoteText"/>
      </w:pPr>
      <w:r>
        <w:rPr>
          <w:rStyle w:val="FootnoteReference"/>
        </w:rPr>
        <w:footnoteRef/>
      </w:r>
      <w:r>
        <w:t xml:space="preserve">Order No. PSC-2021-0206-FOF-WS, dated June 4, 2021, in Docket No. 20200139-WS, </w:t>
      </w:r>
      <w:r w:rsidRPr="009162FB">
        <w:rPr>
          <w:i/>
        </w:rPr>
        <w:t>In re: Application for increase in water and wastewater rates in Charlotte, Highlands, Lake, Lee, Marion, Orange, Pasco, Pinellas, Polk, and Seminole Counties, by Utilities, Inc. of Florida.</w:t>
      </w:r>
    </w:p>
  </w:footnote>
  <w:footnote w:id="13">
    <w:p w:rsidR="0035310A" w:rsidRDefault="0035310A">
      <w:pPr>
        <w:pStyle w:val="FootnoteText"/>
      </w:pPr>
      <w:r>
        <w:rPr>
          <w:rStyle w:val="FootnoteReference"/>
        </w:rPr>
        <w:footnoteRef/>
      </w:r>
      <w:r w:rsidRPr="001570C8">
        <w:t>Order No. PSC-2021-0206-FOF-WS</w:t>
      </w:r>
      <w:r>
        <w:t>.</w:t>
      </w:r>
    </w:p>
  </w:footnote>
  <w:footnote w:id="14">
    <w:p w:rsidR="0035310A" w:rsidRDefault="0035310A" w:rsidP="00431D19">
      <w:pPr>
        <w:pStyle w:val="FootnoteText"/>
      </w:pPr>
      <w:r>
        <w:rPr>
          <w:rStyle w:val="FootnoteReference"/>
        </w:rPr>
        <w:footnoteRef/>
      </w:r>
      <w:r>
        <w:t>A diligent search of Commission Orders and Court Decisions by Commission staff revealed no rate case where “value” was discussed separate and apparent from quality of service or the other requirements set forth in section 367.081, F.S.</w:t>
      </w:r>
    </w:p>
  </w:footnote>
  <w:footnote w:id="15">
    <w:p w:rsidR="0035310A" w:rsidRDefault="0035310A" w:rsidP="00431D19">
      <w:pPr>
        <w:pStyle w:val="FootnoteText"/>
      </w:pPr>
      <w:r>
        <w:rPr>
          <w:rStyle w:val="FootnoteReference"/>
        </w:rPr>
        <w:footnoteRef/>
      </w:r>
      <w:r w:rsidRPr="00496CD7">
        <w:rPr>
          <w:i/>
        </w:rPr>
        <w:t>Keystone Water Co. v. Bevis</w:t>
      </w:r>
      <w:r>
        <w:t>, 278 So. 2d 606 (Fla. 1973).</w:t>
      </w:r>
    </w:p>
  </w:footnote>
  <w:footnote w:id="16">
    <w:p w:rsidR="0035310A" w:rsidRDefault="0035310A" w:rsidP="00431D19">
      <w:pPr>
        <w:pStyle w:val="FootnoteText"/>
      </w:pPr>
      <w:r>
        <w:rPr>
          <w:rStyle w:val="FootnoteReference"/>
        </w:rPr>
        <w:footnoteRef/>
      </w:r>
      <w:r>
        <w:t>The Supreme C</w:t>
      </w:r>
      <w:r w:rsidRPr="001B5408">
        <w:t xml:space="preserve">ourt concluded that the Commission erred in </w:t>
      </w:r>
      <w:r>
        <w:t xml:space="preserve">applying Section </w:t>
      </w:r>
      <w:r w:rsidRPr="001B5408">
        <w:t xml:space="preserve">367.081, F.S., when </w:t>
      </w:r>
      <w:r w:rsidRPr="001B5408">
        <w:rPr>
          <w:i/>
        </w:rPr>
        <w:t xml:space="preserve">Keystone’s </w:t>
      </w:r>
      <w:r w:rsidRPr="001B5408">
        <w:t xml:space="preserve">application for a rate increase was filed while </w:t>
      </w:r>
      <w:r>
        <w:t>S</w:t>
      </w:r>
      <w:r w:rsidRPr="001B5408">
        <w:t xml:space="preserve">ection </w:t>
      </w:r>
      <w:r>
        <w:t>367.12(2</w:t>
      </w:r>
      <w:r w:rsidRPr="001B5408">
        <w:t>)</w:t>
      </w:r>
      <w:r>
        <w:t>(a)</w:t>
      </w:r>
      <w:r w:rsidRPr="001B5408">
        <w:t>, F.S.</w:t>
      </w:r>
      <w:r>
        <w:t xml:space="preserve"> (1969)</w:t>
      </w:r>
      <w:r w:rsidRPr="001B5408">
        <w:t>, was still in effect.</w:t>
      </w:r>
    </w:p>
  </w:footnote>
  <w:footnote w:id="17">
    <w:p w:rsidR="0035310A" w:rsidRPr="007901FE" w:rsidRDefault="0035310A" w:rsidP="00431D19">
      <w:pPr>
        <w:pStyle w:val="FootnoteText"/>
        <w:rPr>
          <w:i/>
        </w:rPr>
      </w:pPr>
      <w:r>
        <w:rPr>
          <w:rStyle w:val="FootnoteReference"/>
        </w:rPr>
        <w:footnoteRef/>
      </w:r>
      <w:r>
        <w:t>278 So. 2d at 611 (internal citations omitted).</w:t>
      </w:r>
    </w:p>
  </w:footnote>
  <w:footnote w:id="18">
    <w:p w:rsidR="0035310A" w:rsidRDefault="0035310A">
      <w:pPr>
        <w:pStyle w:val="FootnoteText"/>
      </w:pPr>
      <w:r>
        <w:rPr>
          <w:rStyle w:val="FootnoteReference"/>
        </w:rPr>
        <w:footnoteRef/>
      </w:r>
      <w:r>
        <w:t>This is addressed in Issue 28.</w:t>
      </w:r>
    </w:p>
  </w:footnote>
  <w:footnote w:id="19">
    <w:p w:rsidR="0035310A" w:rsidRDefault="0035310A" w:rsidP="00431D19">
      <w:pPr>
        <w:pStyle w:val="FootnoteText"/>
      </w:pPr>
      <w:r>
        <w:rPr>
          <w:rStyle w:val="FootnoteReference"/>
        </w:rPr>
        <w:footnoteRef/>
      </w:r>
      <w:r>
        <w:t xml:space="preserve">ST-20 is addressed in Issue 4A. </w:t>
      </w:r>
    </w:p>
  </w:footnote>
  <w:footnote w:id="20">
    <w:p w:rsidR="0035310A" w:rsidRDefault="0035310A">
      <w:pPr>
        <w:pStyle w:val="FootnoteText"/>
      </w:pPr>
      <w:r>
        <w:rPr>
          <w:rStyle w:val="FootnoteReference"/>
        </w:rPr>
        <w:footnoteRef/>
      </w:r>
      <w:r w:rsidRPr="000B1D3F">
        <w:t>Staff notes that Sunshine’s brief indicated that the Utility subsequently updated its total pro forma request to $61,856,225. However, staff utilized the total amount, as stated, of $61,018,405 based on the rebuttal testimony of witness Twomey</w:t>
      </w:r>
      <w:r>
        <w:t>.</w:t>
      </w:r>
    </w:p>
  </w:footnote>
  <w:footnote w:id="21">
    <w:p w:rsidR="0035310A" w:rsidRDefault="0035310A" w:rsidP="00431D19">
      <w:pPr>
        <w:pStyle w:val="FootnoteText"/>
      </w:pPr>
      <w:r>
        <w:rPr>
          <w:rStyle w:val="FootnoteReference"/>
        </w:rPr>
        <w:footnoteRef/>
      </w:r>
      <w:r w:rsidRPr="00311F92">
        <w:t xml:space="preserve">See </w:t>
      </w:r>
      <w:r>
        <w:t xml:space="preserve">Order No. PSC-2021-0206-FOF-WS, issued June 4, 2021, in Docket No. 20200139-WS, </w:t>
      </w:r>
      <w:r w:rsidRPr="00B516D6">
        <w:rPr>
          <w:i/>
        </w:rPr>
        <w:t>In re: Application for increase in water and wastewater rates in Charlotte, Highlands, Lake, Lee, Marion, Orange, Pasco, Pinellas, Polk, and Seminole Counties, by Utilities, Inc. of Florida.</w:t>
      </w:r>
    </w:p>
  </w:footnote>
  <w:footnote w:id="22">
    <w:p w:rsidR="0035310A" w:rsidRDefault="0035310A" w:rsidP="00431D19">
      <w:pPr>
        <w:pStyle w:val="FootnoteText"/>
      </w:pPr>
      <w:r>
        <w:rPr>
          <w:rStyle w:val="FootnoteReference"/>
        </w:rPr>
        <w:footnoteRef/>
      </w:r>
      <w:r>
        <w:t xml:space="preserve">See Order No. PSC-2021-0206-FOF-WS, issued June 4, 2021, in Docket no. 20200139-WS, </w:t>
      </w:r>
      <w:r w:rsidRPr="00B516D6">
        <w:rPr>
          <w:i/>
        </w:rPr>
        <w:t>In re: Application for increase in water and wastewater rates in Charlotte, Highlands, Lake, Lee, Marion, Orange, Pasco, Pinellas, Polk, and Seminole Counties, by Utilities, Inc. of Florida.</w:t>
      </w:r>
    </w:p>
  </w:footnote>
  <w:footnote w:id="23">
    <w:p w:rsidR="0035310A" w:rsidRPr="00D05B44" w:rsidRDefault="0035310A">
      <w:pPr>
        <w:pStyle w:val="FootnoteText"/>
        <w:rPr>
          <w:i/>
        </w:rPr>
      </w:pPr>
      <w:r>
        <w:rPr>
          <w:rStyle w:val="FootnoteReference"/>
        </w:rPr>
        <w:footnoteRef/>
      </w:r>
      <w:r>
        <w:t xml:space="preserve">Order. No. PSC-2024-0118-PAA-WS, issued on April 23, 2024, in Docket No. 20230083-WS, </w:t>
      </w:r>
      <w:r w:rsidRPr="00D05B44">
        <w:rPr>
          <w:i/>
        </w:rPr>
        <w:t xml:space="preserve">In re: Application for increase in water and wastewater rates in Orange County by Pluris Wedgefield, LLC. </w:t>
      </w:r>
    </w:p>
  </w:footnote>
  <w:footnote w:id="24">
    <w:p w:rsidR="0035310A" w:rsidRDefault="0035310A" w:rsidP="00431D19">
      <w:pPr>
        <w:autoSpaceDE w:val="0"/>
        <w:autoSpaceDN w:val="0"/>
        <w:adjustRightInd w:val="0"/>
        <w:jc w:val="both"/>
      </w:pPr>
      <w:r>
        <w:rPr>
          <w:rStyle w:val="FootnoteReference"/>
        </w:rPr>
        <w:footnoteRef/>
      </w:r>
      <w:r>
        <w:rPr>
          <w:rFonts w:ascii="TimesNewRomanPSMT" w:hAnsi="TimesNewRomanPSMT" w:cs="TimesNewRomanPSMT"/>
          <w:sz w:val="20"/>
          <w:szCs w:val="20"/>
        </w:rPr>
        <w:t xml:space="preserve">Order No. PSC-2009-0537-PCO-WU, issued August 4, 2009, in Docket No. 20080695-WU, </w:t>
      </w:r>
      <w:r w:rsidRPr="00D04476">
        <w:rPr>
          <w:rFonts w:ascii="TimesNewRomanPSMT" w:hAnsi="TimesNewRomanPSMT" w:cs="TimesNewRomanPSMT"/>
          <w:i/>
          <w:sz w:val="20"/>
          <w:szCs w:val="20"/>
        </w:rPr>
        <w:t>In re: Application for general rate increase by Peoples Water Service Company of Florida Inc.</w:t>
      </w:r>
      <w:r>
        <w:rPr>
          <w:rFonts w:ascii="TimesNewRomanPSMT" w:hAnsi="TimesNewRomanPSMT" w:cs="TimesNewRomanPSMT"/>
          <w:i/>
          <w:sz w:val="20"/>
          <w:szCs w:val="20"/>
        </w:rPr>
        <w:t xml:space="preserve">, </w:t>
      </w:r>
      <w:r w:rsidRPr="00DB362C">
        <w:rPr>
          <w:rFonts w:ascii="TimesNewRomanPSMT" w:hAnsi="TimesNewRomanPSMT" w:cs="TimesNewRomanPSMT"/>
          <w:sz w:val="20"/>
          <w:szCs w:val="20"/>
        </w:rPr>
        <w:t xml:space="preserve">p. 3 </w:t>
      </w:r>
      <w:r>
        <w:rPr>
          <w:rFonts w:ascii="TimesNewRomanPSMT" w:hAnsi="TimesNewRomanPSMT" w:cs="TimesNewRomanPSMT"/>
          <w:sz w:val="20"/>
          <w:szCs w:val="20"/>
        </w:rPr>
        <w:t>(“Plant-in-service, accumulated depreciation, contributions in aid of construction (CIAC), and accumulated amortization of CIAC should reflect 13- month average balances.”)</w:t>
      </w:r>
    </w:p>
  </w:footnote>
  <w:footnote w:id="25">
    <w:p w:rsidR="0035310A" w:rsidRDefault="0035310A" w:rsidP="00431D19">
      <w:pPr>
        <w:pStyle w:val="FootnoteText"/>
      </w:pPr>
      <w:r>
        <w:rPr>
          <w:rStyle w:val="FootnoteReference"/>
        </w:rPr>
        <w:footnoteRef/>
      </w:r>
      <w:r w:rsidRPr="00452143">
        <w:rPr>
          <w:rFonts w:ascii="TimesNewRomanPSMT" w:hAnsi="TimesNewRomanPSMT" w:cs="TimesNewRomanPSMT"/>
        </w:rPr>
        <w:t>Order No. PSC-2017-0361-FOF-WS, issued September 25, 2017, in Docket No. 20160101-WS,</w:t>
      </w:r>
      <w:r>
        <w:rPr>
          <w:rFonts w:ascii="TimesNewRomanPSMT" w:hAnsi="TimesNewRomanPSMT" w:cs="TimesNewRomanPSMT"/>
          <w:szCs w:val="24"/>
        </w:rPr>
        <w:t xml:space="preserve"> </w:t>
      </w:r>
      <w:r w:rsidRPr="00452143">
        <w:rPr>
          <w:rFonts w:ascii="TimesNewRomanPSMT" w:hAnsi="TimesNewRomanPSMT" w:cs="TimesNewRomanPSMT"/>
          <w:i/>
        </w:rPr>
        <w:t>In re: Application for increase in water and wastewater rates in Charlotte, Highland</w:t>
      </w:r>
      <w:r>
        <w:rPr>
          <w:rFonts w:ascii="TimesNewRomanPSMT" w:hAnsi="TimesNewRomanPSMT" w:cs="TimesNewRomanPSMT"/>
          <w:i/>
        </w:rPr>
        <w:t>s, Lake, Lee, Marion, Orange Pas</w:t>
      </w:r>
      <w:r w:rsidRPr="00452143">
        <w:rPr>
          <w:rFonts w:ascii="TimesNewRomanPSMT" w:hAnsi="TimesNewRomanPSMT" w:cs="TimesNewRomanPSMT"/>
          <w:i/>
        </w:rPr>
        <w:t>co, Pinellas, Polk, and Seminole Counties by Utilities, Inc. of Florida</w:t>
      </w:r>
      <w:r>
        <w:rPr>
          <w:rFonts w:ascii="TimesNewRomanPSMT" w:hAnsi="TimesNewRomanPSMT" w:cs="TimesNewRomanPSMT"/>
          <w:i/>
        </w:rPr>
        <w:t>.</w:t>
      </w:r>
    </w:p>
  </w:footnote>
  <w:footnote w:id="26">
    <w:p w:rsidR="0035310A" w:rsidRDefault="0035310A">
      <w:pPr>
        <w:pStyle w:val="FootnoteText"/>
      </w:pPr>
      <w:r>
        <w:rPr>
          <w:rStyle w:val="FootnoteReference"/>
        </w:rPr>
        <w:footnoteRef/>
      </w:r>
      <w:r>
        <w:t>Order No. PSC-2021-0206-FOF-WS.</w:t>
      </w:r>
    </w:p>
  </w:footnote>
  <w:footnote w:id="27">
    <w:p w:rsidR="0035310A" w:rsidRDefault="0035310A">
      <w:pPr>
        <w:pStyle w:val="FootnoteText"/>
      </w:pPr>
      <w:r>
        <w:rPr>
          <w:rStyle w:val="FootnoteReference"/>
        </w:rPr>
        <w:footnoteRef/>
      </w:r>
      <w:r>
        <w:t>Order No. PSC-2017-0361-FOF-WS.</w:t>
      </w:r>
    </w:p>
  </w:footnote>
  <w:footnote w:id="28">
    <w:p w:rsidR="0035310A" w:rsidRDefault="0035310A" w:rsidP="00867957">
      <w:pPr>
        <w:pStyle w:val="FootnoteText"/>
      </w:pPr>
      <w:r>
        <w:rPr>
          <w:rStyle w:val="FootnoteReference"/>
        </w:rPr>
        <w:footnoteRef/>
      </w:r>
      <w:r>
        <w:t>The ROE reflects the Utility’s initial filing, not the stipulated ROE reflected in Issue 22.</w:t>
      </w:r>
    </w:p>
  </w:footnote>
  <w:footnote w:id="29">
    <w:p w:rsidR="0035310A" w:rsidRDefault="0035310A">
      <w:pPr>
        <w:pStyle w:val="FootnoteText"/>
      </w:pPr>
      <w:r>
        <w:rPr>
          <w:rStyle w:val="FootnoteReference"/>
        </w:rPr>
        <w:footnoteRef/>
      </w:r>
      <w:r>
        <w:t xml:space="preserve">Order No. PSC-2025-0035-PAA-GU, issued January 30, 2025, in Docket No. 20240046-GU, </w:t>
      </w:r>
      <w:r>
        <w:rPr>
          <w:i/>
        </w:rPr>
        <w:t>In re: Petition for rate increase by St. Joe Natural Gas Company, Inc.</w:t>
      </w:r>
      <w:r>
        <w:t xml:space="preserve">; Order No. PSC-2024-0046-PAA-WS, issued February 22, 2024, in Docket No. 20230081-WS, </w:t>
      </w:r>
      <w:r>
        <w:rPr>
          <w:i/>
        </w:rPr>
        <w:t>In re: Application for increase in water and wastewater rates in Broward County by Royal Waterworks, Inc.</w:t>
      </w:r>
      <w:r>
        <w:t xml:space="preserve"> </w:t>
      </w:r>
    </w:p>
  </w:footnote>
  <w:footnote w:id="30">
    <w:p w:rsidR="0035310A" w:rsidRPr="008302CF" w:rsidRDefault="0035310A">
      <w:pPr>
        <w:pStyle w:val="FootnoteText"/>
        <w:rPr>
          <w:i/>
        </w:rPr>
      </w:pPr>
      <w:r>
        <w:rPr>
          <w:rStyle w:val="FootnoteReference"/>
        </w:rPr>
        <w:footnoteRef/>
      </w:r>
      <w:r>
        <w:t xml:space="preserve">See Order No. PSC-2024-0118-PAA-WS, issued April 23, 2024, in Docket No. 20230083-WS, </w:t>
      </w:r>
      <w:r>
        <w:rPr>
          <w:i/>
        </w:rPr>
        <w:t>In re: Application for increase in water and wastewater rates in Orange County by Pluris Wedgefield, LLC.</w:t>
      </w:r>
    </w:p>
  </w:footnote>
  <w:footnote w:id="31">
    <w:p w:rsidR="0035310A" w:rsidRPr="00E226C1" w:rsidRDefault="0035310A" w:rsidP="00431D19">
      <w:pPr>
        <w:pStyle w:val="FootnoteText"/>
        <w:rPr>
          <w:i/>
        </w:rPr>
      </w:pPr>
      <w:r>
        <w:rPr>
          <w:rStyle w:val="FootnoteReference"/>
        </w:rPr>
        <w:footnoteRef/>
      </w:r>
      <w:r>
        <w:t xml:space="preserve"> See Order No. PSC-2012-0179-FOF-EI, issued April 3, 2012, Docket No. 20110138-EI, </w:t>
      </w:r>
      <w:r w:rsidRPr="00A840DE">
        <w:rPr>
          <w:i/>
        </w:rPr>
        <w:t>In re: Petition for</w:t>
      </w:r>
      <w:r>
        <w:rPr>
          <w:i/>
        </w:rPr>
        <w:t xml:space="preserve"> </w:t>
      </w:r>
      <w:r w:rsidRPr="00A840DE">
        <w:rPr>
          <w:i/>
        </w:rPr>
        <w:t>increase in rates by Gulf Power Company</w:t>
      </w:r>
      <w:r>
        <w:rPr>
          <w:i/>
        </w:rPr>
        <w:t xml:space="preserve">, </w:t>
      </w:r>
      <w:r>
        <w:t>p. 101; Order No. PSC-2010-0131-FOF-EI, issued March 5, 2010, in Docket No. 20090079-EI,</w:t>
      </w:r>
      <w:r w:rsidRPr="00A840DE">
        <w:rPr>
          <w:i/>
        </w:rPr>
        <w:t xml:space="preserve"> In re: Petition for increase in rates by Progress Energy Florida, Inc.</w:t>
      </w:r>
      <w:r>
        <w:rPr>
          <w:i/>
        </w:rPr>
        <w:t xml:space="preserve">, </w:t>
      </w:r>
      <w:r>
        <w:t>p. 99.</w:t>
      </w:r>
    </w:p>
  </w:footnote>
  <w:footnote w:id="32">
    <w:p w:rsidR="0035310A" w:rsidRDefault="0035310A" w:rsidP="00431D19">
      <w:pPr>
        <w:pStyle w:val="FootnoteText"/>
      </w:pPr>
      <w:r>
        <w:rPr>
          <w:rStyle w:val="FootnoteReference"/>
        </w:rPr>
        <w:footnoteRef/>
      </w:r>
      <w:r>
        <w:t xml:space="preserve">Order No. PSC-09-0537-PCO-WU, issued August 4, 2009, in Docket No. 20080695-WU, </w:t>
      </w:r>
      <w:r w:rsidRPr="006F21A1">
        <w:rPr>
          <w:i/>
        </w:rPr>
        <w:t>In re: Application for general rate increase by Peoples Water Service Company of Florida Inc.</w:t>
      </w:r>
      <w:r>
        <w:rPr>
          <w:i/>
        </w:rPr>
        <w:t xml:space="preserve">, </w:t>
      </w:r>
      <w:r w:rsidRPr="00D400F4">
        <w:t>p. 3,</w:t>
      </w:r>
      <w:r>
        <w:t xml:space="preserve"> (“Plant-in-service, accumulated depreciation, contributions in aid of construction (CIAC), and accumulated amortization of CIAC should reflect 13-month average balances.”)</w:t>
      </w:r>
    </w:p>
  </w:footnote>
  <w:footnote w:id="33">
    <w:p w:rsidR="0035310A" w:rsidRPr="008E53F3" w:rsidRDefault="0035310A" w:rsidP="00431D19">
      <w:pPr>
        <w:pStyle w:val="FootnoteText"/>
        <w:rPr>
          <w:i/>
        </w:rPr>
      </w:pPr>
      <w:r>
        <w:rPr>
          <w:rStyle w:val="FootnoteReference"/>
        </w:rPr>
        <w:footnoteRef/>
      </w:r>
      <w:r w:rsidRPr="00293DA9">
        <w:rPr>
          <w:i/>
        </w:rPr>
        <w:t>Order No</w:t>
      </w:r>
      <w:r>
        <w:rPr>
          <w:i/>
        </w:rPr>
        <w:t>s</w:t>
      </w:r>
      <w:r w:rsidRPr="00293DA9">
        <w:rPr>
          <w:i/>
        </w:rPr>
        <w:t>. PSC-2017-0361-FOF-WS, issued September 25, 2017, in</w:t>
      </w:r>
      <w:r>
        <w:rPr>
          <w:i/>
        </w:rPr>
        <w:t xml:space="preserve"> Docket No. 20160101-WS, In re: </w:t>
      </w:r>
      <w:r w:rsidRPr="00293DA9">
        <w:rPr>
          <w:i/>
        </w:rPr>
        <w:t>Application for increase in water and wastewater rates in Charlotte, Highlands, Lake,</w:t>
      </w:r>
      <w:r>
        <w:rPr>
          <w:i/>
        </w:rPr>
        <w:t xml:space="preserve"> Lee, Marion, Orange, Pasco, </w:t>
      </w:r>
      <w:r w:rsidRPr="00293DA9">
        <w:rPr>
          <w:i/>
        </w:rPr>
        <w:t xml:space="preserve">Pinellas, Polk, and Seminole Counties by Utilities, Inc. of Florida; </w:t>
      </w:r>
      <w:r>
        <w:rPr>
          <w:i/>
        </w:rPr>
        <w:t xml:space="preserve">and </w:t>
      </w:r>
      <w:r w:rsidRPr="00293DA9">
        <w:rPr>
          <w:i/>
        </w:rPr>
        <w:t>PSC-2021-0206-FOF-WS, issued June 4,2021, in</w:t>
      </w:r>
      <w:r>
        <w:rPr>
          <w:i/>
        </w:rPr>
        <w:t xml:space="preserve"> Docket No. 20200139-WS, In re: </w:t>
      </w:r>
      <w:r w:rsidRPr="00293DA9">
        <w:rPr>
          <w:i/>
        </w:rPr>
        <w:t>Application for increase in water and wastewater rates in Charlotte, Highlands, La</w:t>
      </w:r>
      <w:r>
        <w:rPr>
          <w:i/>
        </w:rPr>
        <w:t xml:space="preserve">ke, Lee, Marion, Orange, Pasco, </w:t>
      </w:r>
      <w:r w:rsidRPr="00293DA9">
        <w:rPr>
          <w:i/>
        </w:rPr>
        <w:t>Pinellas, Polk, and Seminole Counties by Utilities, Inc. of Florida</w:t>
      </w:r>
      <w:r>
        <w:rPr>
          <w:i/>
        </w:rPr>
        <w:t>.</w:t>
      </w:r>
    </w:p>
    <w:p w:rsidR="0035310A" w:rsidRPr="008E53F3" w:rsidRDefault="0035310A" w:rsidP="00431D19">
      <w:pPr>
        <w:pStyle w:val="FootnoteText"/>
        <w:rPr>
          <w:i/>
        </w:rPr>
      </w:pPr>
      <w:r w:rsidRPr="008E53F3">
        <w:rPr>
          <w:i/>
        </w:rPr>
        <w:t>.</w:t>
      </w:r>
    </w:p>
  </w:footnote>
  <w:footnote w:id="34">
    <w:p w:rsidR="0035310A" w:rsidRDefault="0035310A">
      <w:pPr>
        <w:pStyle w:val="FootnoteText"/>
      </w:pPr>
      <w:r>
        <w:rPr>
          <w:rStyle w:val="FootnoteReference"/>
        </w:rPr>
        <w:footnoteRef/>
      </w:r>
      <w:r>
        <w:t xml:space="preserve"> Order Nos. PSC-13-0673-FOF-WS, issued December 19, 2013, in Docket No. 130212-WS, </w:t>
      </w:r>
      <w:r w:rsidRPr="006F3D32">
        <w:rPr>
          <w:i/>
        </w:rPr>
        <w:t>In re: Application for increase in water/wastewater rates in Polk County by Cypress Lakes Utilities, Inc</w:t>
      </w:r>
      <w:r>
        <w:t xml:space="preserve">.; PSC-08-0761-PCO-SU, issued November 17, 2008, in Docket No. 080247-SU, </w:t>
      </w:r>
      <w:r w:rsidRPr="006F3D32">
        <w:rPr>
          <w:i/>
        </w:rPr>
        <w:t>In re: Application for Wastewater Rate Increase by Utilities, Inc. of Eagle Ridge</w:t>
      </w:r>
      <w:r>
        <w:t xml:space="preserve">, PSC-06-0675-PCO-SU, issued August 7, 2006, in Docket No. 060255-SU, </w:t>
      </w:r>
      <w:r w:rsidRPr="006F3D32">
        <w:rPr>
          <w:i/>
        </w:rPr>
        <w:t>In re: Application for increase in wastewater rates in Pinellas County by Tierra Verde Utilities, Inc.</w:t>
      </w:r>
      <w:r>
        <w:t xml:space="preserve">; and PSC-05-0287-PAA-SU, issued March 17, 2005,and in Docket No. 040972-SU, </w:t>
      </w:r>
      <w:r w:rsidRPr="006F3D32">
        <w:rPr>
          <w:i/>
        </w:rPr>
        <w:t>In re: Application for rate increase in Pinellas County by Ranch Mobile WWTP, Inc.</w:t>
      </w:r>
    </w:p>
  </w:footnote>
  <w:footnote w:id="35">
    <w:p w:rsidR="0035310A" w:rsidRDefault="0035310A">
      <w:pPr>
        <w:pStyle w:val="FootnoteText"/>
      </w:pPr>
      <w:r>
        <w:rPr>
          <w:rStyle w:val="FootnoteReference"/>
        </w:rPr>
        <w:footnoteRef/>
      </w:r>
      <w:r w:rsidRPr="00067A73">
        <w:t xml:space="preserve">Order No. PSC-2017-0361-FOF-WS, issued September 25, 2017, in Docket No. 20160101-WS, </w:t>
      </w:r>
      <w:r w:rsidRPr="00067A73">
        <w:rPr>
          <w:i/>
        </w:rPr>
        <w:t>In re: Application for increase in water and wastewater rates in Charlotte, Highland</w:t>
      </w:r>
      <w:r>
        <w:rPr>
          <w:i/>
        </w:rPr>
        <w:t>s, Lake, Lee, Marion, Orange Pas</w:t>
      </w:r>
      <w:r w:rsidRPr="00067A73">
        <w:rPr>
          <w:i/>
        </w:rPr>
        <w:t>co, Pinellas, Polk, and Seminole Counties by Utilities, Inc. of Florida</w:t>
      </w:r>
      <w:r>
        <w:t>.</w:t>
      </w:r>
    </w:p>
  </w:footnote>
  <w:footnote w:id="36">
    <w:p w:rsidR="00B02E25" w:rsidRPr="00B02E25" w:rsidRDefault="00B02E25">
      <w:pPr>
        <w:pStyle w:val="FootnoteText"/>
        <w:rPr>
          <w:i/>
        </w:rPr>
      </w:pPr>
      <w:r>
        <w:rPr>
          <w:rStyle w:val="FootnoteReference"/>
        </w:rPr>
        <w:footnoteRef/>
      </w:r>
      <w:r w:rsidRPr="00B02E25">
        <w:t>Order No. PSC-2017-0361-FOF-WS, issued September 25, 2017, in Docket No. 20160101-WS,</w:t>
      </w:r>
      <w:r w:rsidRPr="00B02E25">
        <w:rPr>
          <w:i/>
        </w:rPr>
        <w:t xml:space="preserve"> In re: Application for increase in water and wastewater rates in Charlotte, Highlands, Lake, Lee, Marion, Orange, Pasco, Pinellas, Polk, and Seminole Counties by Utilities, Inc. of Florida.</w:t>
      </w:r>
    </w:p>
  </w:footnote>
  <w:footnote w:id="37">
    <w:p w:rsidR="00B02E25" w:rsidRPr="00B02E25" w:rsidRDefault="00B02E25">
      <w:pPr>
        <w:pStyle w:val="FootnoteText"/>
        <w:rPr>
          <w:i/>
        </w:rPr>
      </w:pPr>
      <w:r>
        <w:rPr>
          <w:rStyle w:val="FootnoteReference"/>
        </w:rPr>
        <w:footnoteRef/>
      </w:r>
      <w:r w:rsidRPr="00B02E25">
        <w:t xml:space="preserve">Order No. PSC-2018-0595-TRF-SU, issued December 20, 2018, in Docket No. 20180219-SU, </w:t>
      </w:r>
      <w:r w:rsidRPr="00B02E25">
        <w:rPr>
          <w:i/>
        </w:rPr>
        <w:t>In re: Request for approval of amendment to tariff to charge a standby charge to customers significantly impacted by Hurricane Michael in Gulf County, by ESAD Enterprises, Inc. d/b/a Beaches Sewer System.</w:t>
      </w:r>
    </w:p>
  </w:footnote>
  <w:footnote w:id="38">
    <w:p w:rsidR="0035310A" w:rsidRDefault="0035310A">
      <w:pPr>
        <w:pStyle w:val="FootnoteText"/>
      </w:pPr>
      <w:r>
        <w:rPr>
          <w:rStyle w:val="FootnoteReference"/>
        </w:rPr>
        <w:footnoteRef/>
      </w:r>
      <w:r w:rsidRPr="00924090">
        <w:t>Order No. PSC-2024-0118-PAA-WS, issued April 23, 2024, in Docket No. 20230083-WS,</w:t>
      </w:r>
      <w:r w:rsidRPr="00924090">
        <w:rPr>
          <w:i/>
        </w:rPr>
        <w:t xml:space="preserve"> In re: Application for increase in water and wastewater rates in Orange County by Pluris Wedgefield, LLC</w:t>
      </w:r>
      <w:r>
        <w:t>.</w:t>
      </w:r>
    </w:p>
  </w:footnote>
  <w:footnote w:id="39">
    <w:p w:rsidR="0035310A" w:rsidRDefault="0035310A" w:rsidP="00E6431B">
      <w:pPr>
        <w:pStyle w:val="FootnoteText"/>
      </w:pPr>
      <w:r>
        <w:rPr>
          <w:rStyle w:val="FootnoteReference"/>
        </w:rPr>
        <w:footnoteRef/>
      </w:r>
      <w:r>
        <w:t xml:space="preserve"> The Commission has only previously considered “affordability” in the limited context of a rate structure issue when determining the appropriate levels of subsidization when consolidating water and wastewater rates. </w:t>
      </w:r>
      <w:r>
        <w:rPr>
          <w:i/>
        </w:rPr>
        <w:t>See</w:t>
      </w:r>
      <w:r>
        <w:t xml:space="preserve"> Order No. PSC-09-0385-FOF-WS, issued May 29, 2009, in Docket No. 080121-WS, </w:t>
      </w:r>
      <w:r>
        <w:rPr>
          <w:i/>
        </w:rPr>
        <w:t>In re: Application for increase in water and wastewater rates in Alachua, Brevard, DeSoto, Highlands, Lake, Lee, Marion, Orange, Palm Beach, Pasco, Polk, Putnam, Seminole, Sumter, Volusia, and Washington Counties by Aqua Utilities Florida, Inc.</w:t>
      </w:r>
      <w:r>
        <w:t xml:space="preserve">, p. 123 </w:t>
      </w:r>
      <w:r>
        <w:rPr>
          <w:i/>
        </w:rPr>
        <w:t>et seq.</w:t>
      </w:r>
      <w:r>
        <w:t xml:space="preserve"> The Commission also held that, “Based on all the above, first, we note there is no “affordability” test for setting a utility’s revenue requirement under Chapter 367, F.S. …[T]his is a rate structure issue, and we believe it is not appropriate to use this issue to justify any decrease in the revenue requirement.” </w:t>
      </w:r>
      <w:r>
        <w:rPr>
          <w:i/>
        </w:rPr>
        <w:t xml:space="preserve">Id. </w:t>
      </w:r>
      <w:r>
        <w:t>at 159.</w:t>
      </w:r>
    </w:p>
  </w:footnote>
  <w:footnote w:id="40">
    <w:p w:rsidR="0035310A" w:rsidRDefault="0035310A" w:rsidP="00E6431B">
      <w:pPr>
        <w:pStyle w:val="FootnoteText"/>
      </w:pPr>
      <w:r>
        <w:rPr>
          <w:rStyle w:val="FootnoteReference"/>
        </w:rPr>
        <w:footnoteRef/>
      </w:r>
      <w:r>
        <w:t xml:space="preserve"> Section 367.081(2)(a)1., F.S.</w:t>
      </w:r>
    </w:p>
  </w:footnote>
  <w:footnote w:id="41">
    <w:p w:rsidR="0035310A" w:rsidRDefault="0035310A" w:rsidP="00E6431B">
      <w:pPr>
        <w:pStyle w:val="FootnoteText"/>
      </w:pPr>
      <w:r>
        <w:rPr>
          <w:rStyle w:val="FootnoteReference"/>
        </w:rPr>
        <w:footnoteRef/>
      </w:r>
      <w:r>
        <w:t xml:space="preserve"> </w:t>
      </w:r>
      <w:r>
        <w:rPr>
          <w:i/>
        </w:rPr>
        <w:t>Id</w:t>
      </w:r>
      <w:r>
        <w:t xml:space="preserve">. </w:t>
      </w:r>
    </w:p>
  </w:footnote>
  <w:footnote w:id="42">
    <w:p w:rsidR="0035310A" w:rsidRDefault="0035310A" w:rsidP="00E6431B">
      <w:pPr>
        <w:pStyle w:val="FootnoteText"/>
      </w:pPr>
      <w:r>
        <w:rPr>
          <w:rStyle w:val="FootnoteReference"/>
        </w:rPr>
        <w:footnoteRef/>
      </w:r>
      <w:r>
        <w:t xml:space="preserve"> Witness Twomey stated that Sunshine “strives to provide safe and reliable service at affordable rates….” (TR 155) When later asked during cross examination whether affordability should be a legitimate issue in setting rates, witness Twomey responded, “No.” (OPC BR 47; TR 170-171)</w:t>
      </w:r>
    </w:p>
  </w:footnote>
  <w:footnote w:id="43">
    <w:p w:rsidR="0035310A" w:rsidRDefault="0035310A" w:rsidP="00E6431B">
      <w:pPr>
        <w:pStyle w:val="FootnoteText"/>
      </w:pPr>
      <w:r>
        <w:rPr>
          <w:rStyle w:val="FootnoteReference"/>
        </w:rPr>
        <w:footnoteRef/>
      </w:r>
      <w:r>
        <w:t xml:space="preserve"> Order No. PSC-2025-0038-FOF-EI, issued February 3, 2025, in Docket Nos. 20240026-EI, </w:t>
      </w:r>
      <w:r>
        <w:rPr>
          <w:i/>
        </w:rPr>
        <w:t>In re: Petition for rate increase by Tampa Electric Company</w:t>
      </w:r>
      <w:r>
        <w:t xml:space="preserve">; 20230139-EI, </w:t>
      </w:r>
      <w:r>
        <w:rPr>
          <w:i/>
        </w:rPr>
        <w:t>In re: Petition for approval of 2023 depreciation and dismantlement study, by Tampa Electric Company</w:t>
      </w:r>
      <w:r>
        <w:t xml:space="preserve">; and 20230090-EI, </w:t>
      </w:r>
      <w:r>
        <w:rPr>
          <w:i/>
        </w:rPr>
        <w:t>In re: Petition to implement 2024 generation base rate adjustment provisions in paragraph 4 of the 2021 stipulation and settlement agreement, by Tampa Electric Company.</w:t>
      </w:r>
    </w:p>
  </w:footnote>
  <w:footnote w:id="44">
    <w:p w:rsidR="0035310A" w:rsidRDefault="0035310A" w:rsidP="00E6431B">
      <w:pPr>
        <w:pStyle w:val="FootnoteText"/>
      </w:pPr>
      <w:r>
        <w:rPr>
          <w:rStyle w:val="FootnoteReference"/>
        </w:rPr>
        <w:footnoteRef/>
      </w:r>
      <w:r>
        <w:t xml:space="preserve"> </w:t>
      </w:r>
      <w:r>
        <w:rPr>
          <w:i/>
        </w:rPr>
        <w:t xml:space="preserve">Id. </w:t>
      </w:r>
      <w:r>
        <w:t>at 185.</w:t>
      </w:r>
    </w:p>
  </w:footnote>
  <w:footnote w:id="45">
    <w:p w:rsidR="0035310A" w:rsidRDefault="0035310A">
      <w:pPr>
        <w:pStyle w:val="FootnoteText"/>
      </w:pPr>
      <w:r>
        <w:rPr>
          <w:rStyle w:val="FootnoteReference"/>
        </w:rPr>
        <w:footnoteRef/>
      </w:r>
      <w:r>
        <w:t xml:space="preserve">The ROE reflected in Schedule 2 is the Utility’s initial request, not the stipulated ROE reflected in Issue 22.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10A" w:rsidRDefault="0035310A" w:rsidP="00220732">
    <w:pPr>
      <w:pStyle w:val="Header"/>
      <w:tabs>
        <w:tab w:val="clear" w:pos="4320"/>
        <w:tab w:val="clear" w:pos="8640"/>
        <w:tab w:val="right" w:pos="9360"/>
      </w:tabs>
    </w:pPr>
    <w:bookmarkStart w:id="11" w:name="DocketLabel"/>
    <w:r>
      <w:t>Docket No.</w:t>
    </w:r>
    <w:bookmarkEnd w:id="11"/>
    <w:r>
      <w:t xml:space="preserve"> </w:t>
    </w:r>
    <w:bookmarkStart w:id="12" w:name="DocketList"/>
    <w:r>
      <w:t>20240068-WS</w:t>
    </w:r>
    <w:bookmarkEnd w:id="12"/>
  </w:p>
  <w:p w:rsidR="0035310A" w:rsidRDefault="0035310A">
    <w:pPr>
      <w:pStyle w:val="Header"/>
    </w:pPr>
    <w:r>
      <w:t xml:space="preserve">Date: </w:t>
    </w:r>
    <w:r w:rsidR="00FF5F64">
      <w:fldChar w:fldCharType="begin"/>
    </w:r>
    <w:r w:rsidR="00FF5F64">
      <w:instrText xml:space="preserve"> REF FilingDate </w:instrText>
    </w:r>
    <w:r w:rsidR="00FF5F64">
      <w:fldChar w:fldCharType="separate"/>
    </w:r>
    <w:r w:rsidR="009D3FF7">
      <w:t>April 24, 2025</w:t>
    </w:r>
    <w:r w:rsidR="00FF5F64">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10A" w:rsidRDefault="0035310A" w:rsidP="00220732">
    <w:pPr>
      <w:pStyle w:val="Header"/>
      <w:tabs>
        <w:tab w:val="clear" w:pos="4320"/>
        <w:tab w:val="clear" w:pos="8640"/>
        <w:tab w:val="right" w:pos="9360"/>
      </w:tabs>
    </w:pPr>
    <w:r>
      <w:fldChar w:fldCharType="begin"/>
    </w:r>
    <w:r>
      <w:instrText xml:space="preserve"> REF DocketLabel</w:instrText>
    </w:r>
    <w:r>
      <w:fldChar w:fldCharType="separate"/>
    </w:r>
    <w:r w:rsidR="009D3FF7">
      <w:t>Docket No.</w:t>
    </w:r>
    <w:r>
      <w:fldChar w:fldCharType="end"/>
    </w:r>
    <w:r>
      <w:t xml:space="preserve"> </w:t>
    </w:r>
    <w:r>
      <w:fldChar w:fldCharType="begin"/>
    </w:r>
    <w:r>
      <w:instrText xml:space="preserve"> REF DocketList</w:instrText>
    </w:r>
    <w:r>
      <w:fldChar w:fldCharType="separate"/>
    </w:r>
    <w:r w:rsidR="009D3FF7">
      <w:t>20240068-WS</w:t>
    </w:r>
    <w:r>
      <w:fldChar w:fldCharType="end"/>
    </w:r>
    <w:r>
      <w:tab/>
      <w:t>Schedule No. 1-A</w:t>
    </w:r>
  </w:p>
  <w:p w:rsidR="0035310A" w:rsidRDefault="0035310A">
    <w:pPr>
      <w:pStyle w:val="Header"/>
    </w:pPr>
    <w:r>
      <w:t xml:space="preserve">Date: </w:t>
    </w:r>
    <w:r w:rsidR="00FF5F64">
      <w:fldChar w:fldCharType="begin"/>
    </w:r>
    <w:r w:rsidR="00FF5F64">
      <w:instrText xml:space="preserve"> REF FilingDate </w:instrText>
    </w:r>
    <w:r w:rsidR="00FF5F64">
      <w:fldChar w:fldCharType="separate"/>
    </w:r>
    <w:r w:rsidR="009D3FF7">
      <w:t>April 24, 2025</w:t>
    </w:r>
    <w:r w:rsidR="00FF5F64">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10A" w:rsidRDefault="0035310A" w:rsidP="00220732">
    <w:pPr>
      <w:pStyle w:val="Header"/>
      <w:tabs>
        <w:tab w:val="clear" w:pos="4320"/>
        <w:tab w:val="clear" w:pos="8640"/>
        <w:tab w:val="right" w:pos="9360"/>
      </w:tabs>
    </w:pPr>
    <w:r>
      <w:fldChar w:fldCharType="begin"/>
    </w:r>
    <w:r>
      <w:instrText xml:space="preserve"> REF DocketLabel</w:instrText>
    </w:r>
    <w:r>
      <w:fldChar w:fldCharType="separate"/>
    </w:r>
    <w:r w:rsidR="009D3FF7">
      <w:t>Docket No.</w:t>
    </w:r>
    <w:r>
      <w:fldChar w:fldCharType="end"/>
    </w:r>
    <w:r>
      <w:t xml:space="preserve"> </w:t>
    </w:r>
    <w:r>
      <w:fldChar w:fldCharType="begin"/>
    </w:r>
    <w:r>
      <w:instrText xml:space="preserve"> REF DocketList</w:instrText>
    </w:r>
    <w:r>
      <w:fldChar w:fldCharType="separate"/>
    </w:r>
    <w:r w:rsidR="009D3FF7">
      <w:t>20240068-WS</w:t>
    </w:r>
    <w:r>
      <w:fldChar w:fldCharType="end"/>
    </w:r>
    <w:r>
      <w:tab/>
      <w:t>Schedule No. 1-B</w:t>
    </w:r>
  </w:p>
  <w:p w:rsidR="0035310A" w:rsidRDefault="0035310A">
    <w:pPr>
      <w:pStyle w:val="Header"/>
    </w:pPr>
    <w:r>
      <w:t xml:space="preserve">Date: </w:t>
    </w:r>
    <w:r w:rsidR="00FF5F64">
      <w:fldChar w:fldCharType="begin"/>
    </w:r>
    <w:r w:rsidR="00FF5F64">
      <w:instrText xml:space="preserve"> REF FilingDate </w:instrText>
    </w:r>
    <w:r w:rsidR="00FF5F64">
      <w:fldChar w:fldCharType="separate"/>
    </w:r>
    <w:r w:rsidR="009D3FF7">
      <w:t>April 24, 2025</w:t>
    </w:r>
    <w:r w:rsidR="00FF5F64">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10A" w:rsidRDefault="0035310A" w:rsidP="00220732">
    <w:pPr>
      <w:pStyle w:val="Header"/>
      <w:tabs>
        <w:tab w:val="clear" w:pos="4320"/>
        <w:tab w:val="clear" w:pos="8640"/>
        <w:tab w:val="right" w:pos="9360"/>
      </w:tabs>
    </w:pPr>
    <w:r>
      <w:fldChar w:fldCharType="begin"/>
    </w:r>
    <w:r>
      <w:instrText xml:space="preserve"> REF DocketLabel</w:instrText>
    </w:r>
    <w:r>
      <w:fldChar w:fldCharType="separate"/>
    </w:r>
    <w:r w:rsidR="009D3FF7">
      <w:t>Docket No.</w:t>
    </w:r>
    <w:r>
      <w:fldChar w:fldCharType="end"/>
    </w:r>
    <w:r>
      <w:t xml:space="preserve"> </w:t>
    </w:r>
    <w:r>
      <w:fldChar w:fldCharType="begin"/>
    </w:r>
    <w:r>
      <w:instrText xml:space="preserve"> REF DocketList</w:instrText>
    </w:r>
    <w:r>
      <w:fldChar w:fldCharType="separate"/>
    </w:r>
    <w:r w:rsidR="009D3FF7">
      <w:t>20240068-WS</w:t>
    </w:r>
    <w:r>
      <w:fldChar w:fldCharType="end"/>
    </w:r>
    <w:r>
      <w:tab/>
      <w:t>Schedule No. 1-C</w:t>
    </w:r>
  </w:p>
  <w:p w:rsidR="0035310A" w:rsidRDefault="0035310A">
    <w:pPr>
      <w:pStyle w:val="Header"/>
    </w:pPr>
    <w:r>
      <w:t xml:space="preserve">Date: </w:t>
    </w:r>
    <w:r w:rsidR="00FF5F64">
      <w:fldChar w:fldCharType="begin"/>
    </w:r>
    <w:r w:rsidR="00FF5F64">
      <w:instrText xml:space="preserve"> REF FilingDate </w:instrText>
    </w:r>
    <w:r w:rsidR="00FF5F64">
      <w:fldChar w:fldCharType="separate"/>
    </w:r>
    <w:r w:rsidR="009D3FF7">
      <w:t>April 24, 2025</w:t>
    </w:r>
    <w:r w:rsidR="00FF5F64">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10A" w:rsidRDefault="0035310A" w:rsidP="00220732">
    <w:pPr>
      <w:pStyle w:val="Header"/>
      <w:tabs>
        <w:tab w:val="clear" w:pos="4320"/>
        <w:tab w:val="clear" w:pos="8640"/>
        <w:tab w:val="right" w:pos="9360"/>
      </w:tabs>
    </w:pPr>
    <w:r>
      <w:fldChar w:fldCharType="begin"/>
    </w:r>
    <w:r>
      <w:instrText xml:space="preserve"> REF DocketLabel</w:instrText>
    </w:r>
    <w:r>
      <w:fldChar w:fldCharType="separate"/>
    </w:r>
    <w:r w:rsidR="009D3FF7">
      <w:t>Docket No.</w:t>
    </w:r>
    <w:r>
      <w:fldChar w:fldCharType="end"/>
    </w:r>
    <w:r>
      <w:t xml:space="preserve"> </w:t>
    </w:r>
    <w:r>
      <w:fldChar w:fldCharType="begin"/>
    </w:r>
    <w:r>
      <w:instrText xml:space="preserve"> REF DocketList</w:instrText>
    </w:r>
    <w:r>
      <w:fldChar w:fldCharType="separate"/>
    </w:r>
    <w:r w:rsidR="009D3FF7">
      <w:t>20240068-WS</w:t>
    </w:r>
    <w:r>
      <w:fldChar w:fldCharType="end"/>
    </w:r>
    <w:r>
      <w:tab/>
    </w:r>
    <w:r>
      <w:tab/>
      <w:t>Schedule No. 2</w:t>
    </w:r>
  </w:p>
  <w:p w:rsidR="0035310A" w:rsidRDefault="0035310A">
    <w:pPr>
      <w:pStyle w:val="Header"/>
    </w:pPr>
    <w:r>
      <w:t xml:space="preserve">Date: </w:t>
    </w:r>
    <w:r w:rsidR="00FF5F64">
      <w:fldChar w:fldCharType="begin"/>
    </w:r>
    <w:r w:rsidR="00FF5F64">
      <w:instrText xml:space="preserve"> REF FilingDate </w:instrText>
    </w:r>
    <w:r w:rsidR="00FF5F64">
      <w:fldChar w:fldCharType="separate"/>
    </w:r>
    <w:r w:rsidR="009D3FF7">
      <w:t>April 24, 2025</w:t>
    </w:r>
    <w:r w:rsidR="00FF5F64">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10A" w:rsidRDefault="0035310A" w:rsidP="00220732">
    <w:pPr>
      <w:pStyle w:val="Header"/>
      <w:tabs>
        <w:tab w:val="clear" w:pos="4320"/>
        <w:tab w:val="clear" w:pos="8640"/>
        <w:tab w:val="right" w:pos="9360"/>
      </w:tabs>
    </w:pPr>
    <w:r>
      <w:fldChar w:fldCharType="begin"/>
    </w:r>
    <w:r>
      <w:instrText xml:space="preserve"> REF DocketLabel</w:instrText>
    </w:r>
    <w:r>
      <w:fldChar w:fldCharType="separate"/>
    </w:r>
    <w:r w:rsidR="009D3FF7">
      <w:t>Docket No.</w:t>
    </w:r>
    <w:r>
      <w:fldChar w:fldCharType="end"/>
    </w:r>
    <w:r>
      <w:t xml:space="preserve"> </w:t>
    </w:r>
    <w:r>
      <w:fldChar w:fldCharType="begin"/>
    </w:r>
    <w:r>
      <w:instrText xml:space="preserve"> REF DocketList</w:instrText>
    </w:r>
    <w:r>
      <w:fldChar w:fldCharType="separate"/>
    </w:r>
    <w:r w:rsidR="009D3FF7">
      <w:t>20240068-WS</w:t>
    </w:r>
    <w:r>
      <w:fldChar w:fldCharType="end"/>
    </w:r>
    <w:r>
      <w:tab/>
    </w:r>
    <w:r>
      <w:tab/>
      <w:t>Schedule No. 3-A</w:t>
    </w:r>
  </w:p>
  <w:p w:rsidR="0035310A" w:rsidRDefault="0035310A">
    <w:pPr>
      <w:pStyle w:val="Header"/>
    </w:pPr>
    <w:r>
      <w:t xml:space="preserve">Date: </w:t>
    </w:r>
    <w:r w:rsidR="00FF5F64">
      <w:fldChar w:fldCharType="begin"/>
    </w:r>
    <w:r w:rsidR="00FF5F64">
      <w:instrText xml:space="preserve"> REF FilingDate </w:instrText>
    </w:r>
    <w:r w:rsidR="00FF5F64">
      <w:fldChar w:fldCharType="separate"/>
    </w:r>
    <w:r w:rsidR="009D3FF7">
      <w:t>April 24, 2025</w:t>
    </w:r>
    <w:r w:rsidR="00FF5F64">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10A" w:rsidRDefault="0035310A" w:rsidP="00220732">
    <w:pPr>
      <w:pStyle w:val="Header"/>
      <w:tabs>
        <w:tab w:val="clear" w:pos="4320"/>
        <w:tab w:val="clear" w:pos="8640"/>
        <w:tab w:val="right" w:pos="9360"/>
      </w:tabs>
    </w:pPr>
    <w:r>
      <w:fldChar w:fldCharType="begin"/>
    </w:r>
    <w:r>
      <w:instrText xml:space="preserve"> REF DocketLabel</w:instrText>
    </w:r>
    <w:r>
      <w:fldChar w:fldCharType="separate"/>
    </w:r>
    <w:r w:rsidR="009D3FF7">
      <w:t>Docket No.</w:t>
    </w:r>
    <w:r>
      <w:fldChar w:fldCharType="end"/>
    </w:r>
    <w:r>
      <w:t xml:space="preserve"> </w:t>
    </w:r>
    <w:r>
      <w:fldChar w:fldCharType="begin"/>
    </w:r>
    <w:r>
      <w:instrText xml:space="preserve"> REF DocketList</w:instrText>
    </w:r>
    <w:r>
      <w:fldChar w:fldCharType="separate"/>
    </w:r>
    <w:r w:rsidR="009D3FF7">
      <w:t>20240068-WS</w:t>
    </w:r>
    <w:r>
      <w:fldChar w:fldCharType="end"/>
    </w:r>
    <w:r>
      <w:tab/>
    </w:r>
    <w:r>
      <w:tab/>
      <w:t>Schedule No. 3-B</w:t>
    </w:r>
  </w:p>
  <w:p w:rsidR="0035310A" w:rsidRDefault="0035310A">
    <w:pPr>
      <w:pStyle w:val="Header"/>
    </w:pPr>
    <w:r>
      <w:t xml:space="preserve">Date: </w:t>
    </w:r>
    <w:r w:rsidR="00FF5F64">
      <w:fldChar w:fldCharType="begin"/>
    </w:r>
    <w:r w:rsidR="00FF5F64">
      <w:instrText xml:space="preserve"> REF FilingDate </w:instrText>
    </w:r>
    <w:r w:rsidR="00FF5F64">
      <w:fldChar w:fldCharType="separate"/>
    </w:r>
    <w:r w:rsidR="009D3FF7">
      <w:t>April 24, 2025</w:t>
    </w:r>
    <w:r w:rsidR="00FF5F64">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10A" w:rsidRDefault="0035310A" w:rsidP="00220732">
    <w:pPr>
      <w:pStyle w:val="Header"/>
      <w:tabs>
        <w:tab w:val="clear" w:pos="4320"/>
        <w:tab w:val="clear" w:pos="8640"/>
        <w:tab w:val="right" w:pos="9360"/>
      </w:tabs>
    </w:pPr>
    <w:r>
      <w:fldChar w:fldCharType="begin"/>
    </w:r>
    <w:r>
      <w:instrText xml:space="preserve"> REF DocketLabel</w:instrText>
    </w:r>
    <w:r>
      <w:fldChar w:fldCharType="separate"/>
    </w:r>
    <w:r w:rsidR="009D3FF7">
      <w:t>Docket No.</w:t>
    </w:r>
    <w:r>
      <w:fldChar w:fldCharType="end"/>
    </w:r>
    <w:r>
      <w:t xml:space="preserve"> </w:t>
    </w:r>
    <w:r>
      <w:fldChar w:fldCharType="begin"/>
    </w:r>
    <w:r>
      <w:instrText xml:space="preserve"> REF DocketList</w:instrText>
    </w:r>
    <w:r>
      <w:fldChar w:fldCharType="separate"/>
    </w:r>
    <w:r w:rsidR="009D3FF7">
      <w:t>20240068-WS</w:t>
    </w:r>
    <w:r>
      <w:fldChar w:fldCharType="end"/>
    </w:r>
    <w:r>
      <w:tab/>
      <w:t>Schedule No. 3-C</w:t>
    </w:r>
  </w:p>
  <w:p w:rsidR="0035310A" w:rsidRDefault="0035310A">
    <w:pPr>
      <w:pStyle w:val="Header"/>
    </w:pPr>
    <w:r>
      <w:t xml:space="preserve">Date: </w:t>
    </w:r>
    <w:r w:rsidR="00FF5F64">
      <w:fldChar w:fldCharType="begin"/>
    </w:r>
    <w:r w:rsidR="00FF5F64">
      <w:instrText xml:space="preserve"> REF FilingDate </w:instrText>
    </w:r>
    <w:r w:rsidR="00FF5F64">
      <w:fldChar w:fldCharType="separate"/>
    </w:r>
    <w:r w:rsidR="009D3FF7">
      <w:t>April 24, 2025</w:t>
    </w:r>
    <w:r w:rsidR="00FF5F64">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10A" w:rsidRDefault="0035310A" w:rsidP="00220732">
    <w:pPr>
      <w:pStyle w:val="Header"/>
      <w:tabs>
        <w:tab w:val="clear" w:pos="4320"/>
        <w:tab w:val="clear" w:pos="8640"/>
        <w:tab w:val="right" w:pos="9360"/>
      </w:tabs>
    </w:pPr>
    <w:r>
      <w:fldChar w:fldCharType="begin"/>
    </w:r>
    <w:r>
      <w:instrText xml:space="preserve"> REF DocketLabel</w:instrText>
    </w:r>
    <w:r>
      <w:fldChar w:fldCharType="separate"/>
    </w:r>
    <w:r w:rsidR="009D3FF7">
      <w:t>Docket No.</w:t>
    </w:r>
    <w:r>
      <w:fldChar w:fldCharType="end"/>
    </w:r>
    <w:r>
      <w:t xml:space="preserve"> </w:t>
    </w:r>
    <w:r>
      <w:fldChar w:fldCharType="begin"/>
    </w:r>
    <w:r>
      <w:instrText xml:space="preserve"> REF DocketList</w:instrText>
    </w:r>
    <w:r>
      <w:fldChar w:fldCharType="separate"/>
    </w:r>
    <w:r w:rsidR="009D3FF7">
      <w:t>20240068-WS</w:t>
    </w:r>
    <w:r>
      <w:fldChar w:fldCharType="end"/>
    </w:r>
    <w:r>
      <w:tab/>
      <w:t>Schedule No. 4-A</w:t>
    </w:r>
  </w:p>
  <w:p w:rsidR="0035310A" w:rsidRDefault="0035310A">
    <w:pPr>
      <w:pStyle w:val="Header"/>
    </w:pPr>
    <w:r>
      <w:t xml:space="preserve">Date: </w:t>
    </w:r>
    <w:r w:rsidR="00FF5F64">
      <w:fldChar w:fldCharType="begin"/>
    </w:r>
    <w:r w:rsidR="00FF5F64">
      <w:instrText xml:space="preserve"> REF FilingDate </w:instrText>
    </w:r>
    <w:r w:rsidR="00FF5F64">
      <w:fldChar w:fldCharType="separate"/>
    </w:r>
    <w:r w:rsidR="009D3FF7">
      <w:t>April 24, 2025</w:t>
    </w:r>
    <w:r w:rsidR="00FF5F64">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10A" w:rsidRDefault="0035310A" w:rsidP="00220732">
    <w:pPr>
      <w:pStyle w:val="Header"/>
      <w:tabs>
        <w:tab w:val="clear" w:pos="4320"/>
        <w:tab w:val="clear" w:pos="8640"/>
        <w:tab w:val="right" w:pos="9360"/>
      </w:tabs>
    </w:pPr>
    <w:r>
      <w:fldChar w:fldCharType="begin"/>
    </w:r>
    <w:r>
      <w:instrText xml:space="preserve"> REF DocketLabel</w:instrText>
    </w:r>
    <w:r>
      <w:fldChar w:fldCharType="separate"/>
    </w:r>
    <w:r w:rsidR="009D3FF7">
      <w:t>Docket No.</w:t>
    </w:r>
    <w:r>
      <w:fldChar w:fldCharType="end"/>
    </w:r>
    <w:r>
      <w:t xml:space="preserve"> </w:t>
    </w:r>
    <w:r>
      <w:fldChar w:fldCharType="begin"/>
    </w:r>
    <w:r>
      <w:instrText xml:space="preserve"> REF DocketList</w:instrText>
    </w:r>
    <w:r>
      <w:fldChar w:fldCharType="separate"/>
    </w:r>
    <w:r w:rsidR="009D3FF7">
      <w:t>20240068-WS</w:t>
    </w:r>
    <w:r>
      <w:fldChar w:fldCharType="end"/>
    </w:r>
    <w:r>
      <w:tab/>
      <w:t>Schedule No. 4-B</w:t>
    </w:r>
  </w:p>
  <w:p w:rsidR="0035310A" w:rsidRDefault="0035310A">
    <w:pPr>
      <w:pStyle w:val="Header"/>
    </w:pPr>
    <w:r>
      <w:t xml:space="preserve">Date: </w:t>
    </w:r>
    <w:r w:rsidR="00FF5F64">
      <w:fldChar w:fldCharType="begin"/>
    </w:r>
    <w:r w:rsidR="00FF5F64">
      <w:instrText xml:space="preserve"> REF FilingDate </w:instrText>
    </w:r>
    <w:r w:rsidR="00FF5F64">
      <w:fldChar w:fldCharType="separate"/>
    </w:r>
    <w:r w:rsidR="009D3FF7">
      <w:t>April 24, 2025</w:t>
    </w:r>
    <w:r w:rsidR="00FF5F64">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10A" w:rsidRDefault="0035310A" w:rsidP="00220732">
    <w:pPr>
      <w:pStyle w:val="Header"/>
      <w:tabs>
        <w:tab w:val="clear" w:pos="4320"/>
        <w:tab w:val="clear" w:pos="8640"/>
        <w:tab w:val="right" w:pos="9360"/>
      </w:tabs>
    </w:pPr>
    <w:r>
      <w:fldChar w:fldCharType="begin"/>
    </w:r>
    <w:r>
      <w:instrText xml:space="preserve"> REF DocketLabel</w:instrText>
    </w:r>
    <w:r>
      <w:fldChar w:fldCharType="separate"/>
    </w:r>
    <w:r w:rsidR="009D3FF7">
      <w:t>Docket No.</w:t>
    </w:r>
    <w:r>
      <w:fldChar w:fldCharType="end"/>
    </w:r>
    <w:r>
      <w:t xml:space="preserve"> </w:t>
    </w:r>
    <w:r>
      <w:fldChar w:fldCharType="begin"/>
    </w:r>
    <w:r>
      <w:instrText xml:space="preserve"> REF DocketList</w:instrText>
    </w:r>
    <w:r>
      <w:fldChar w:fldCharType="separate"/>
    </w:r>
    <w:r w:rsidR="009D3FF7">
      <w:t>20240068-WS</w:t>
    </w:r>
    <w:r>
      <w:fldChar w:fldCharType="end"/>
    </w:r>
    <w:r>
      <w:tab/>
      <w:t xml:space="preserve">Issue </w:t>
    </w:r>
    <w:r w:rsidR="00FF5F64">
      <w:fldChar w:fldCharType="begin"/>
    </w:r>
    <w:r w:rsidR="00FF5F64">
      <w:instrText xml:space="preserve"> Seq Issue \c \* Arabic </w:instrText>
    </w:r>
    <w:r w:rsidR="00FF5F64">
      <w:fldChar w:fldCharType="separate"/>
    </w:r>
    <w:r w:rsidR="00063E0B">
      <w:rPr>
        <w:noProof/>
      </w:rPr>
      <w:t>1</w:t>
    </w:r>
    <w:r w:rsidR="00FF5F64">
      <w:rPr>
        <w:noProof/>
      </w:rPr>
      <w:fldChar w:fldCharType="end"/>
    </w:r>
  </w:p>
  <w:p w:rsidR="0035310A" w:rsidRDefault="0035310A">
    <w:pPr>
      <w:pStyle w:val="Header"/>
    </w:pPr>
    <w:r>
      <w:t xml:space="preserve">Date: </w:t>
    </w:r>
    <w:r w:rsidR="00FF5F64">
      <w:fldChar w:fldCharType="begin"/>
    </w:r>
    <w:r w:rsidR="00FF5F64">
      <w:instrText xml:space="preserve"> REF FilingDate </w:instrText>
    </w:r>
    <w:r w:rsidR="00FF5F64">
      <w:fldChar w:fldCharType="separate"/>
    </w:r>
    <w:r w:rsidR="009D3FF7">
      <w:t>April 24, 2025</w:t>
    </w:r>
    <w:r w:rsidR="00FF5F6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10A" w:rsidRDefault="003531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10A" w:rsidRDefault="0035310A" w:rsidP="00220732">
    <w:pPr>
      <w:pStyle w:val="Header"/>
      <w:tabs>
        <w:tab w:val="clear" w:pos="4320"/>
        <w:tab w:val="clear" w:pos="8640"/>
        <w:tab w:val="right" w:pos="9360"/>
      </w:tabs>
    </w:pPr>
    <w:r>
      <w:fldChar w:fldCharType="begin"/>
    </w:r>
    <w:r>
      <w:instrText xml:space="preserve"> REF DocketLabel</w:instrText>
    </w:r>
    <w:r>
      <w:fldChar w:fldCharType="separate"/>
    </w:r>
    <w:r w:rsidR="009D3FF7">
      <w:t>Docket No.</w:t>
    </w:r>
    <w:r>
      <w:fldChar w:fldCharType="end"/>
    </w:r>
    <w:r>
      <w:t xml:space="preserve"> </w:t>
    </w:r>
    <w:r>
      <w:fldChar w:fldCharType="begin"/>
    </w:r>
    <w:r>
      <w:instrText xml:space="preserve"> REF DocketList</w:instrText>
    </w:r>
    <w:r>
      <w:fldChar w:fldCharType="separate"/>
    </w:r>
    <w:r w:rsidR="009D3FF7">
      <w:t>20240068-WS</w:t>
    </w:r>
    <w:r>
      <w:fldChar w:fldCharType="end"/>
    </w:r>
    <w:r>
      <w:tab/>
      <w:t xml:space="preserve">Issue </w:t>
    </w:r>
    <w:r w:rsidR="00FF5F64">
      <w:fldChar w:fldCharType="begin"/>
    </w:r>
    <w:r w:rsidR="00FF5F64">
      <w:instrText xml:space="preserve"> Seq Issue \c \* Arabic </w:instrText>
    </w:r>
    <w:r w:rsidR="00FF5F64">
      <w:fldChar w:fldCharType="separate"/>
    </w:r>
    <w:r w:rsidR="00063E0B">
      <w:rPr>
        <w:noProof/>
      </w:rPr>
      <w:t>1</w:t>
    </w:r>
    <w:r w:rsidR="00FF5F64">
      <w:rPr>
        <w:noProof/>
      </w:rPr>
      <w:fldChar w:fldCharType="end"/>
    </w:r>
    <w:r>
      <w:rPr>
        <w:noProof/>
      </w:rPr>
      <w:t>A</w:t>
    </w:r>
  </w:p>
  <w:p w:rsidR="0035310A" w:rsidRDefault="0035310A">
    <w:pPr>
      <w:pStyle w:val="Header"/>
    </w:pPr>
    <w:r>
      <w:t xml:space="preserve">Date: </w:t>
    </w:r>
    <w:r w:rsidR="00FF5F64">
      <w:fldChar w:fldCharType="begin"/>
    </w:r>
    <w:r w:rsidR="00FF5F64">
      <w:instrText xml:space="preserve"> REF FilingDate </w:instrText>
    </w:r>
    <w:r w:rsidR="00FF5F64">
      <w:fldChar w:fldCharType="separate"/>
    </w:r>
    <w:r w:rsidR="009D3FF7">
      <w:t>April 24, 2025</w:t>
    </w:r>
    <w:r w:rsidR="00FF5F64">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10A" w:rsidRDefault="0035310A" w:rsidP="00220732">
    <w:pPr>
      <w:pStyle w:val="Header"/>
      <w:tabs>
        <w:tab w:val="clear" w:pos="4320"/>
        <w:tab w:val="clear" w:pos="8640"/>
        <w:tab w:val="right" w:pos="9360"/>
      </w:tabs>
    </w:pPr>
    <w:r>
      <w:fldChar w:fldCharType="begin"/>
    </w:r>
    <w:r>
      <w:instrText xml:space="preserve"> REF DocketLabel</w:instrText>
    </w:r>
    <w:r>
      <w:fldChar w:fldCharType="separate"/>
    </w:r>
    <w:r w:rsidR="009D3FF7">
      <w:t>Docket No.</w:t>
    </w:r>
    <w:r>
      <w:fldChar w:fldCharType="end"/>
    </w:r>
    <w:r>
      <w:t xml:space="preserve"> </w:t>
    </w:r>
    <w:r>
      <w:fldChar w:fldCharType="begin"/>
    </w:r>
    <w:r>
      <w:instrText xml:space="preserve"> REF DocketList</w:instrText>
    </w:r>
    <w:r>
      <w:fldChar w:fldCharType="separate"/>
    </w:r>
    <w:r w:rsidR="009D3FF7">
      <w:t>20240068-WS</w:t>
    </w:r>
    <w:r>
      <w:fldChar w:fldCharType="end"/>
    </w:r>
    <w:r>
      <w:tab/>
      <w:t xml:space="preserve">Issue </w:t>
    </w:r>
    <w:r w:rsidR="00FF5F64">
      <w:fldChar w:fldCharType="begin"/>
    </w:r>
    <w:r w:rsidR="00FF5F64">
      <w:instrText xml:space="preserve"> Seq Issue \c \* Arabic </w:instrText>
    </w:r>
    <w:r w:rsidR="00FF5F64">
      <w:fldChar w:fldCharType="separate"/>
    </w:r>
    <w:r w:rsidR="00063E0B">
      <w:rPr>
        <w:noProof/>
      </w:rPr>
      <w:t>2</w:t>
    </w:r>
    <w:r w:rsidR="00FF5F64">
      <w:rPr>
        <w:noProof/>
      </w:rPr>
      <w:fldChar w:fldCharType="end"/>
    </w:r>
  </w:p>
  <w:p w:rsidR="0035310A" w:rsidRDefault="0035310A">
    <w:pPr>
      <w:pStyle w:val="Header"/>
    </w:pPr>
    <w:r>
      <w:t xml:space="preserve">Date: </w:t>
    </w:r>
    <w:r w:rsidR="00FF5F64">
      <w:fldChar w:fldCharType="begin"/>
    </w:r>
    <w:r w:rsidR="00FF5F64">
      <w:instrText xml:space="preserve"> REF FilingDate </w:instrText>
    </w:r>
    <w:r w:rsidR="00FF5F64">
      <w:fldChar w:fldCharType="separate"/>
    </w:r>
    <w:r w:rsidR="009D3FF7">
      <w:t>April 24, 2025</w:t>
    </w:r>
    <w:r w:rsidR="00FF5F64">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10A" w:rsidRDefault="0035310A" w:rsidP="00220732">
    <w:pPr>
      <w:pStyle w:val="Header"/>
      <w:tabs>
        <w:tab w:val="clear" w:pos="4320"/>
        <w:tab w:val="clear" w:pos="8640"/>
        <w:tab w:val="right" w:pos="9360"/>
      </w:tabs>
    </w:pPr>
    <w:r>
      <w:fldChar w:fldCharType="begin"/>
    </w:r>
    <w:r>
      <w:instrText xml:space="preserve"> REF DocketLabel</w:instrText>
    </w:r>
    <w:r>
      <w:fldChar w:fldCharType="separate"/>
    </w:r>
    <w:r w:rsidR="009D3FF7">
      <w:t>Docket No.</w:t>
    </w:r>
    <w:r>
      <w:fldChar w:fldCharType="end"/>
    </w:r>
    <w:r>
      <w:t xml:space="preserve"> </w:t>
    </w:r>
    <w:r>
      <w:fldChar w:fldCharType="begin"/>
    </w:r>
    <w:r>
      <w:instrText xml:space="preserve"> REF DocketList</w:instrText>
    </w:r>
    <w:r>
      <w:fldChar w:fldCharType="separate"/>
    </w:r>
    <w:r w:rsidR="009D3FF7">
      <w:t>20240068-WS</w:t>
    </w:r>
    <w:r>
      <w:fldChar w:fldCharType="end"/>
    </w:r>
    <w:r>
      <w:tab/>
      <w:t xml:space="preserve">Issue </w:t>
    </w:r>
    <w:r w:rsidR="00FF5F64">
      <w:fldChar w:fldCharType="begin"/>
    </w:r>
    <w:r w:rsidR="00FF5F64">
      <w:instrText xml:space="preserve"> Seq Issue \c \* Arabic </w:instrText>
    </w:r>
    <w:r w:rsidR="00FF5F64">
      <w:fldChar w:fldCharType="separate"/>
    </w:r>
    <w:r w:rsidR="00063E0B">
      <w:rPr>
        <w:noProof/>
      </w:rPr>
      <w:t>4</w:t>
    </w:r>
    <w:r w:rsidR="00FF5F64">
      <w:rPr>
        <w:noProof/>
      </w:rPr>
      <w:fldChar w:fldCharType="end"/>
    </w:r>
    <w:r>
      <w:rPr>
        <w:noProof/>
      </w:rPr>
      <w:t>A</w:t>
    </w:r>
  </w:p>
  <w:p w:rsidR="0035310A" w:rsidRDefault="0035310A">
    <w:pPr>
      <w:pStyle w:val="Header"/>
    </w:pPr>
    <w:r>
      <w:t xml:space="preserve">Date: </w:t>
    </w:r>
    <w:r w:rsidR="00FF5F64">
      <w:fldChar w:fldCharType="begin"/>
    </w:r>
    <w:r w:rsidR="00FF5F64">
      <w:instrText xml:space="preserve"> REF FilingDate </w:instrText>
    </w:r>
    <w:r w:rsidR="00FF5F64">
      <w:fldChar w:fldCharType="separate"/>
    </w:r>
    <w:r w:rsidR="009D3FF7">
      <w:t>April 24, 2025</w:t>
    </w:r>
    <w:r w:rsidR="00FF5F64">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10A" w:rsidRDefault="0035310A" w:rsidP="00220732">
    <w:pPr>
      <w:pStyle w:val="Header"/>
      <w:tabs>
        <w:tab w:val="clear" w:pos="4320"/>
        <w:tab w:val="clear" w:pos="8640"/>
        <w:tab w:val="right" w:pos="9360"/>
      </w:tabs>
    </w:pPr>
    <w:r>
      <w:fldChar w:fldCharType="begin"/>
    </w:r>
    <w:r>
      <w:instrText xml:space="preserve"> REF DocketLabel</w:instrText>
    </w:r>
    <w:r>
      <w:fldChar w:fldCharType="separate"/>
    </w:r>
    <w:r w:rsidR="009D3FF7">
      <w:t>Docket No.</w:t>
    </w:r>
    <w:r>
      <w:fldChar w:fldCharType="end"/>
    </w:r>
    <w:r>
      <w:t xml:space="preserve"> </w:t>
    </w:r>
    <w:r>
      <w:fldChar w:fldCharType="begin"/>
    </w:r>
    <w:r>
      <w:instrText xml:space="preserve"> REF DocketList</w:instrText>
    </w:r>
    <w:r>
      <w:fldChar w:fldCharType="separate"/>
    </w:r>
    <w:r w:rsidR="009D3FF7">
      <w:t>20240068-WS</w:t>
    </w:r>
    <w:r>
      <w:fldChar w:fldCharType="end"/>
    </w:r>
    <w:r>
      <w:tab/>
      <w:t xml:space="preserve">Issue </w:t>
    </w:r>
    <w:r w:rsidR="00FF5F64">
      <w:fldChar w:fldCharType="begin"/>
    </w:r>
    <w:r w:rsidR="00FF5F64">
      <w:instrText xml:space="preserve"> Seq Issue \c \* Arabic </w:instrText>
    </w:r>
    <w:r w:rsidR="00FF5F64">
      <w:fldChar w:fldCharType="separate"/>
    </w:r>
    <w:r w:rsidR="00063E0B">
      <w:rPr>
        <w:noProof/>
      </w:rPr>
      <w:t>41</w:t>
    </w:r>
    <w:r w:rsidR="00FF5F64">
      <w:rPr>
        <w:noProof/>
      </w:rPr>
      <w:fldChar w:fldCharType="end"/>
    </w:r>
  </w:p>
  <w:p w:rsidR="0035310A" w:rsidRDefault="0035310A">
    <w:pPr>
      <w:pStyle w:val="Header"/>
    </w:pPr>
    <w:r>
      <w:t xml:space="preserve">Date: </w:t>
    </w:r>
    <w:r w:rsidR="00FF5F64">
      <w:fldChar w:fldCharType="begin"/>
    </w:r>
    <w:r w:rsidR="00FF5F64">
      <w:instrText xml:space="preserve"> REF FilingDate </w:instrText>
    </w:r>
    <w:r w:rsidR="00FF5F64">
      <w:fldChar w:fldCharType="separate"/>
    </w:r>
    <w:r w:rsidR="009D3FF7">
      <w:t>April 24, 2025</w:t>
    </w:r>
    <w:r w:rsidR="00FF5F64">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2D1" w:rsidRDefault="00ED12D1" w:rsidP="00220732">
    <w:pPr>
      <w:pStyle w:val="Header"/>
      <w:tabs>
        <w:tab w:val="clear" w:pos="4320"/>
        <w:tab w:val="clear" w:pos="8640"/>
        <w:tab w:val="right" w:pos="9360"/>
      </w:tabs>
    </w:pPr>
    <w:r>
      <w:fldChar w:fldCharType="begin"/>
    </w:r>
    <w:r>
      <w:instrText xml:space="preserve"> REF DocketLabel</w:instrText>
    </w:r>
    <w:r>
      <w:fldChar w:fldCharType="separate"/>
    </w:r>
    <w:r w:rsidR="009D3FF7">
      <w:t>Docket No.</w:t>
    </w:r>
    <w:r>
      <w:fldChar w:fldCharType="end"/>
    </w:r>
    <w:r>
      <w:t xml:space="preserve"> </w:t>
    </w:r>
    <w:r>
      <w:fldChar w:fldCharType="begin"/>
    </w:r>
    <w:r>
      <w:instrText xml:space="preserve"> REF DocketList</w:instrText>
    </w:r>
    <w:r>
      <w:fldChar w:fldCharType="separate"/>
    </w:r>
    <w:r w:rsidR="009D3FF7">
      <w:t>20240068-WS</w:t>
    </w:r>
    <w:r>
      <w:fldChar w:fldCharType="end"/>
    </w:r>
    <w:r>
      <w:tab/>
      <w:t xml:space="preserve">Issue </w:t>
    </w:r>
    <w:r w:rsidR="00FF5F64">
      <w:fldChar w:fldCharType="begin"/>
    </w:r>
    <w:r w:rsidR="00FF5F64">
      <w:instrText xml:space="preserve"> Seq Issue \c \* Arabic </w:instrText>
    </w:r>
    <w:r w:rsidR="00FF5F64">
      <w:fldChar w:fldCharType="separate"/>
    </w:r>
    <w:r w:rsidR="00063E0B">
      <w:rPr>
        <w:noProof/>
      </w:rPr>
      <w:t>41</w:t>
    </w:r>
    <w:r w:rsidR="00FF5F64">
      <w:rPr>
        <w:noProof/>
      </w:rPr>
      <w:fldChar w:fldCharType="end"/>
    </w:r>
    <w:r>
      <w:rPr>
        <w:noProof/>
      </w:rPr>
      <w:t>A</w:t>
    </w:r>
  </w:p>
  <w:p w:rsidR="00ED12D1" w:rsidRDefault="00ED12D1">
    <w:pPr>
      <w:pStyle w:val="Header"/>
    </w:pPr>
    <w:r>
      <w:t xml:space="preserve">Date: </w:t>
    </w:r>
    <w:r w:rsidR="00FF5F64">
      <w:fldChar w:fldCharType="begin"/>
    </w:r>
    <w:r w:rsidR="00FF5F64">
      <w:instrText xml:space="preserve"> REF FilingDate </w:instrText>
    </w:r>
    <w:r w:rsidR="00FF5F64">
      <w:fldChar w:fldCharType="separate"/>
    </w:r>
    <w:r w:rsidR="009D3FF7">
      <w:t>April 24, 2025</w:t>
    </w:r>
    <w:r w:rsidR="00FF5F64">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10A" w:rsidRDefault="0035310A" w:rsidP="00220732">
    <w:pPr>
      <w:pStyle w:val="Header"/>
      <w:tabs>
        <w:tab w:val="clear" w:pos="4320"/>
        <w:tab w:val="clear" w:pos="8640"/>
        <w:tab w:val="right" w:pos="9360"/>
      </w:tabs>
    </w:pPr>
    <w:r>
      <w:fldChar w:fldCharType="begin"/>
    </w:r>
    <w:r>
      <w:instrText xml:space="preserve"> REF DocketLabel</w:instrText>
    </w:r>
    <w:r>
      <w:fldChar w:fldCharType="separate"/>
    </w:r>
    <w:r w:rsidR="009D3FF7">
      <w:t>Docket No.</w:t>
    </w:r>
    <w:r>
      <w:fldChar w:fldCharType="end"/>
    </w:r>
    <w:r>
      <w:t xml:space="preserve"> </w:t>
    </w:r>
    <w:r>
      <w:fldChar w:fldCharType="begin"/>
    </w:r>
    <w:r>
      <w:instrText xml:space="preserve"> REF DocketList</w:instrText>
    </w:r>
    <w:r>
      <w:fldChar w:fldCharType="separate"/>
    </w:r>
    <w:r w:rsidR="009D3FF7">
      <w:t>20240068-WS</w:t>
    </w:r>
    <w:r>
      <w:fldChar w:fldCharType="end"/>
    </w:r>
    <w:r>
      <w:tab/>
      <w:t xml:space="preserve">Issue </w:t>
    </w:r>
    <w:r w:rsidR="00FF5F64">
      <w:fldChar w:fldCharType="begin"/>
    </w:r>
    <w:r w:rsidR="00FF5F64">
      <w:instrText xml:space="preserve"> Seq Issue \c \* Arabic </w:instrText>
    </w:r>
    <w:r w:rsidR="00FF5F64">
      <w:fldChar w:fldCharType="separate"/>
    </w:r>
    <w:r w:rsidR="00063E0B">
      <w:rPr>
        <w:noProof/>
      </w:rPr>
      <w:t>45</w:t>
    </w:r>
    <w:r w:rsidR="00FF5F64">
      <w:rPr>
        <w:noProof/>
      </w:rPr>
      <w:fldChar w:fldCharType="end"/>
    </w:r>
  </w:p>
  <w:p w:rsidR="0035310A" w:rsidRDefault="0035310A">
    <w:pPr>
      <w:pStyle w:val="Header"/>
    </w:pPr>
    <w:r>
      <w:t xml:space="preserve">Date: </w:t>
    </w:r>
    <w:r w:rsidR="00FF5F64">
      <w:fldChar w:fldCharType="begin"/>
    </w:r>
    <w:r w:rsidR="00FF5F64">
      <w:instrText xml:space="preserve"> REF FilingDate </w:instrText>
    </w:r>
    <w:r w:rsidR="00FF5F64">
      <w:fldChar w:fldCharType="separate"/>
    </w:r>
    <w:r w:rsidR="009D3FF7">
      <w:t>April 24, 2025</w:t>
    </w:r>
    <w:r w:rsidR="00FF5F64">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F50C30"/>
    <w:multiLevelType w:val="multilevel"/>
    <w:tmpl w:val="8522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B96E2C"/>
    <w:multiLevelType w:val="hybridMultilevel"/>
    <w:tmpl w:val="B8FC3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BB4E95"/>
    <w:multiLevelType w:val="hybridMultilevel"/>
    <w:tmpl w:val="C0F0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17153B"/>
    <w:multiLevelType w:val="hybridMultilevel"/>
    <w:tmpl w:val="62FA8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F91E07"/>
    <w:multiLevelType w:val="hybridMultilevel"/>
    <w:tmpl w:val="44328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MasterDocument" w:val="0"/>
    <w:docVar w:name="NumberOfIssues" w:val="0"/>
    <w:docVar w:name="StaffInToC" w:val="True"/>
  </w:docVars>
  <w:rsids>
    <w:rsidRoot w:val="008F7E8C"/>
    <w:rsid w:val="000043D5"/>
    <w:rsid w:val="00006170"/>
    <w:rsid w:val="00010E37"/>
    <w:rsid w:val="000124B4"/>
    <w:rsid w:val="000172DA"/>
    <w:rsid w:val="00021CAA"/>
    <w:rsid w:val="00022337"/>
    <w:rsid w:val="00023A0E"/>
    <w:rsid w:val="000247C5"/>
    <w:rsid w:val="000277C2"/>
    <w:rsid w:val="00031543"/>
    <w:rsid w:val="00035B48"/>
    <w:rsid w:val="00036CE2"/>
    <w:rsid w:val="00043256"/>
    <w:rsid w:val="000437FE"/>
    <w:rsid w:val="000513BE"/>
    <w:rsid w:val="00051573"/>
    <w:rsid w:val="0005451B"/>
    <w:rsid w:val="00063E0B"/>
    <w:rsid w:val="00065A06"/>
    <w:rsid w:val="000666F3"/>
    <w:rsid w:val="00070DCB"/>
    <w:rsid w:val="00072CCA"/>
    <w:rsid w:val="00073120"/>
    <w:rsid w:val="000764D0"/>
    <w:rsid w:val="000828D3"/>
    <w:rsid w:val="00084E5D"/>
    <w:rsid w:val="00093CDC"/>
    <w:rsid w:val="00096821"/>
    <w:rsid w:val="00097B52"/>
    <w:rsid w:val="000A2B57"/>
    <w:rsid w:val="000A418B"/>
    <w:rsid w:val="000B0ACE"/>
    <w:rsid w:val="000C4431"/>
    <w:rsid w:val="000C6607"/>
    <w:rsid w:val="000D1C06"/>
    <w:rsid w:val="000D3043"/>
    <w:rsid w:val="000D4319"/>
    <w:rsid w:val="000D475A"/>
    <w:rsid w:val="000E24D1"/>
    <w:rsid w:val="000E24FA"/>
    <w:rsid w:val="000E338A"/>
    <w:rsid w:val="000E34E7"/>
    <w:rsid w:val="000E4392"/>
    <w:rsid w:val="000E614B"/>
    <w:rsid w:val="000F374A"/>
    <w:rsid w:val="000F4DAF"/>
    <w:rsid w:val="00101ACA"/>
    <w:rsid w:val="00103FE8"/>
    <w:rsid w:val="00105BA1"/>
    <w:rsid w:val="001076AF"/>
    <w:rsid w:val="00107EC4"/>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0A33"/>
    <w:rsid w:val="00171A90"/>
    <w:rsid w:val="00171E8F"/>
    <w:rsid w:val="00174006"/>
    <w:rsid w:val="00174B4C"/>
    <w:rsid w:val="00180254"/>
    <w:rsid w:val="00180A95"/>
    <w:rsid w:val="00191E1F"/>
    <w:rsid w:val="00191EE8"/>
    <w:rsid w:val="0019248E"/>
    <w:rsid w:val="00192943"/>
    <w:rsid w:val="00193BAF"/>
    <w:rsid w:val="00194791"/>
    <w:rsid w:val="001A7406"/>
    <w:rsid w:val="001A7AE4"/>
    <w:rsid w:val="001B1EDC"/>
    <w:rsid w:val="001B4053"/>
    <w:rsid w:val="001B4FEE"/>
    <w:rsid w:val="001B51C5"/>
    <w:rsid w:val="001B672A"/>
    <w:rsid w:val="001B6F3F"/>
    <w:rsid w:val="001C3895"/>
    <w:rsid w:val="001C52B5"/>
    <w:rsid w:val="001C7999"/>
    <w:rsid w:val="001D0D3E"/>
    <w:rsid w:val="001D19AE"/>
    <w:rsid w:val="001D2817"/>
    <w:rsid w:val="001D2899"/>
    <w:rsid w:val="001D350E"/>
    <w:rsid w:val="001E14A3"/>
    <w:rsid w:val="001E390F"/>
    <w:rsid w:val="001E7FF4"/>
    <w:rsid w:val="001F2245"/>
    <w:rsid w:val="001F2C63"/>
    <w:rsid w:val="001F48C7"/>
    <w:rsid w:val="001F6DA1"/>
    <w:rsid w:val="00200178"/>
    <w:rsid w:val="00204200"/>
    <w:rsid w:val="002044E6"/>
    <w:rsid w:val="00205C82"/>
    <w:rsid w:val="00205DC2"/>
    <w:rsid w:val="00212B17"/>
    <w:rsid w:val="002155AF"/>
    <w:rsid w:val="002163B6"/>
    <w:rsid w:val="00217215"/>
    <w:rsid w:val="00220732"/>
    <w:rsid w:val="0022121F"/>
    <w:rsid w:val="00221D32"/>
    <w:rsid w:val="00222AC1"/>
    <w:rsid w:val="00225C3F"/>
    <w:rsid w:val="00241F05"/>
    <w:rsid w:val="00245AF8"/>
    <w:rsid w:val="00247574"/>
    <w:rsid w:val="00263D44"/>
    <w:rsid w:val="00267FD6"/>
    <w:rsid w:val="002702AD"/>
    <w:rsid w:val="002721C1"/>
    <w:rsid w:val="002741C6"/>
    <w:rsid w:val="00281EB4"/>
    <w:rsid w:val="00291359"/>
    <w:rsid w:val="00292D82"/>
    <w:rsid w:val="002931BD"/>
    <w:rsid w:val="00293EE7"/>
    <w:rsid w:val="002963CB"/>
    <w:rsid w:val="002B2DAC"/>
    <w:rsid w:val="002B4A01"/>
    <w:rsid w:val="002B6231"/>
    <w:rsid w:val="002C291B"/>
    <w:rsid w:val="002C746A"/>
    <w:rsid w:val="002C7E4E"/>
    <w:rsid w:val="002D226D"/>
    <w:rsid w:val="002D74E3"/>
    <w:rsid w:val="002F6030"/>
    <w:rsid w:val="003001AC"/>
    <w:rsid w:val="00301816"/>
    <w:rsid w:val="003037E1"/>
    <w:rsid w:val="00305B83"/>
    <w:rsid w:val="00307E51"/>
    <w:rsid w:val="0031025E"/>
    <w:rsid w:val="003103EC"/>
    <w:rsid w:val="00311528"/>
    <w:rsid w:val="00312132"/>
    <w:rsid w:val="003130BA"/>
    <w:rsid w:val="003144EF"/>
    <w:rsid w:val="0031480E"/>
    <w:rsid w:val="00316877"/>
    <w:rsid w:val="00322F74"/>
    <w:rsid w:val="00325E15"/>
    <w:rsid w:val="00332BDB"/>
    <w:rsid w:val="00333F4C"/>
    <w:rsid w:val="00333F7B"/>
    <w:rsid w:val="00340073"/>
    <w:rsid w:val="003411D8"/>
    <w:rsid w:val="003445B0"/>
    <w:rsid w:val="0035310A"/>
    <w:rsid w:val="00353B66"/>
    <w:rsid w:val="00354C4A"/>
    <w:rsid w:val="00355934"/>
    <w:rsid w:val="00357928"/>
    <w:rsid w:val="003632FD"/>
    <w:rsid w:val="00370F78"/>
    <w:rsid w:val="00372805"/>
    <w:rsid w:val="00373180"/>
    <w:rsid w:val="00375AB9"/>
    <w:rsid w:val="0037691E"/>
    <w:rsid w:val="003821A0"/>
    <w:rsid w:val="00385B04"/>
    <w:rsid w:val="003864CF"/>
    <w:rsid w:val="003948AE"/>
    <w:rsid w:val="003A0025"/>
    <w:rsid w:val="003A08C0"/>
    <w:rsid w:val="003A22A6"/>
    <w:rsid w:val="003A32EB"/>
    <w:rsid w:val="003A5494"/>
    <w:rsid w:val="003B093C"/>
    <w:rsid w:val="003B1A51"/>
    <w:rsid w:val="003B2510"/>
    <w:rsid w:val="003B4355"/>
    <w:rsid w:val="003C2CC4"/>
    <w:rsid w:val="003C3710"/>
    <w:rsid w:val="003C42A3"/>
    <w:rsid w:val="003C48F7"/>
    <w:rsid w:val="003D5F88"/>
    <w:rsid w:val="003D61E9"/>
    <w:rsid w:val="003E0463"/>
    <w:rsid w:val="003E0EFC"/>
    <w:rsid w:val="003E4A2B"/>
    <w:rsid w:val="003E6FE9"/>
    <w:rsid w:val="003E76C2"/>
    <w:rsid w:val="003F1367"/>
    <w:rsid w:val="003F1679"/>
    <w:rsid w:val="003F21EB"/>
    <w:rsid w:val="003F4A35"/>
    <w:rsid w:val="003F5F03"/>
    <w:rsid w:val="003F68D2"/>
    <w:rsid w:val="003F7FDD"/>
    <w:rsid w:val="00402101"/>
    <w:rsid w:val="00402481"/>
    <w:rsid w:val="004042B4"/>
    <w:rsid w:val="00410DC4"/>
    <w:rsid w:val="00411121"/>
    <w:rsid w:val="00412DAE"/>
    <w:rsid w:val="0041302D"/>
    <w:rsid w:val="004242E6"/>
    <w:rsid w:val="00427B35"/>
    <w:rsid w:val="00431598"/>
    <w:rsid w:val="004319AD"/>
    <w:rsid w:val="00431D19"/>
    <w:rsid w:val="004355D6"/>
    <w:rsid w:val="004358D5"/>
    <w:rsid w:val="004366E6"/>
    <w:rsid w:val="004426B8"/>
    <w:rsid w:val="00444432"/>
    <w:rsid w:val="00444898"/>
    <w:rsid w:val="004461C5"/>
    <w:rsid w:val="00447D5C"/>
    <w:rsid w:val="00450202"/>
    <w:rsid w:val="004502B2"/>
    <w:rsid w:val="00451466"/>
    <w:rsid w:val="00451C58"/>
    <w:rsid w:val="00455499"/>
    <w:rsid w:val="00457E1B"/>
    <w:rsid w:val="00463D61"/>
    <w:rsid w:val="004649A7"/>
    <w:rsid w:val="0047158B"/>
    <w:rsid w:val="00471860"/>
    <w:rsid w:val="00477026"/>
    <w:rsid w:val="00477730"/>
    <w:rsid w:val="00480B33"/>
    <w:rsid w:val="00492298"/>
    <w:rsid w:val="00496976"/>
    <w:rsid w:val="004A5798"/>
    <w:rsid w:val="004A744D"/>
    <w:rsid w:val="004B321C"/>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5684"/>
    <w:rsid w:val="004E671F"/>
    <w:rsid w:val="004E69B5"/>
    <w:rsid w:val="004E6B77"/>
    <w:rsid w:val="004F21E6"/>
    <w:rsid w:val="004F4BDF"/>
    <w:rsid w:val="004F50D1"/>
    <w:rsid w:val="004F5C43"/>
    <w:rsid w:val="00502E06"/>
    <w:rsid w:val="005050A2"/>
    <w:rsid w:val="00506030"/>
    <w:rsid w:val="0050652D"/>
    <w:rsid w:val="00506C03"/>
    <w:rsid w:val="00511A11"/>
    <w:rsid w:val="0051516D"/>
    <w:rsid w:val="00516496"/>
    <w:rsid w:val="00522E7D"/>
    <w:rsid w:val="00523B11"/>
    <w:rsid w:val="0052455B"/>
    <w:rsid w:val="00524FC8"/>
    <w:rsid w:val="0052572A"/>
    <w:rsid w:val="00532DFB"/>
    <w:rsid w:val="00533263"/>
    <w:rsid w:val="00534481"/>
    <w:rsid w:val="00536338"/>
    <w:rsid w:val="005417EB"/>
    <w:rsid w:val="00543CB3"/>
    <w:rsid w:val="005442E4"/>
    <w:rsid w:val="00547652"/>
    <w:rsid w:val="0055278F"/>
    <w:rsid w:val="0055529B"/>
    <w:rsid w:val="00555EEA"/>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303"/>
    <w:rsid w:val="005D0F74"/>
    <w:rsid w:val="005D2E7D"/>
    <w:rsid w:val="005D4A8F"/>
    <w:rsid w:val="005D561B"/>
    <w:rsid w:val="005D578F"/>
    <w:rsid w:val="005D5ECF"/>
    <w:rsid w:val="005E7674"/>
    <w:rsid w:val="005F468D"/>
    <w:rsid w:val="005F69A3"/>
    <w:rsid w:val="006013FB"/>
    <w:rsid w:val="00604CC7"/>
    <w:rsid w:val="00613441"/>
    <w:rsid w:val="00615423"/>
    <w:rsid w:val="006165B2"/>
    <w:rsid w:val="00617276"/>
    <w:rsid w:val="0062527B"/>
    <w:rsid w:val="00625D97"/>
    <w:rsid w:val="00625F1C"/>
    <w:rsid w:val="0062658E"/>
    <w:rsid w:val="006279E1"/>
    <w:rsid w:val="00630CEB"/>
    <w:rsid w:val="00632264"/>
    <w:rsid w:val="00632C2E"/>
    <w:rsid w:val="006355F2"/>
    <w:rsid w:val="006444AC"/>
    <w:rsid w:val="006470BC"/>
    <w:rsid w:val="006554D3"/>
    <w:rsid w:val="00656271"/>
    <w:rsid w:val="006603F4"/>
    <w:rsid w:val="00661708"/>
    <w:rsid w:val="00666522"/>
    <w:rsid w:val="00667036"/>
    <w:rsid w:val="00667B89"/>
    <w:rsid w:val="00673BDB"/>
    <w:rsid w:val="00674341"/>
    <w:rsid w:val="006771B8"/>
    <w:rsid w:val="00677CB7"/>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C4836"/>
    <w:rsid w:val="006D18D3"/>
    <w:rsid w:val="006D1EE9"/>
    <w:rsid w:val="006D3BD1"/>
    <w:rsid w:val="006D75A1"/>
    <w:rsid w:val="006E010E"/>
    <w:rsid w:val="006E08CB"/>
    <w:rsid w:val="006E598D"/>
    <w:rsid w:val="006F276A"/>
    <w:rsid w:val="00700A32"/>
    <w:rsid w:val="007012C5"/>
    <w:rsid w:val="0070437D"/>
    <w:rsid w:val="00704CF1"/>
    <w:rsid w:val="00705B04"/>
    <w:rsid w:val="0071040E"/>
    <w:rsid w:val="00717EE9"/>
    <w:rsid w:val="00724992"/>
    <w:rsid w:val="00724F64"/>
    <w:rsid w:val="00727F90"/>
    <w:rsid w:val="00733A96"/>
    <w:rsid w:val="00734820"/>
    <w:rsid w:val="007349DC"/>
    <w:rsid w:val="00737374"/>
    <w:rsid w:val="0074365E"/>
    <w:rsid w:val="00744B55"/>
    <w:rsid w:val="00747EB4"/>
    <w:rsid w:val="007515FD"/>
    <w:rsid w:val="00760D80"/>
    <w:rsid w:val="00761CB4"/>
    <w:rsid w:val="00767206"/>
    <w:rsid w:val="00776222"/>
    <w:rsid w:val="00780C09"/>
    <w:rsid w:val="00780DDF"/>
    <w:rsid w:val="007834E9"/>
    <w:rsid w:val="00787DBC"/>
    <w:rsid w:val="0079019A"/>
    <w:rsid w:val="00792935"/>
    <w:rsid w:val="007A04A1"/>
    <w:rsid w:val="007A1840"/>
    <w:rsid w:val="007B1FB1"/>
    <w:rsid w:val="007B730C"/>
    <w:rsid w:val="007C0528"/>
    <w:rsid w:val="007C08EA"/>
    <w:rsid w:val="007C3D38"/>
    <w:rsid w:val="007D0F35"/>
    <w:rsid w:val="007D1783"/>
    <w:rsid w:val="007D4546"/>
    <w:rsid w:val="007D4FEB"/>
    <w:rsid w:val="007D6146"/>
    <w:rsid w:val="007D6568"/>
    <w:rsid w:val="007E0253"/>
    <w:rsid w:val="007E0CE7"/>
    <w:rsid w:val="007E2D24"/>
    <w:rsid w:val="007F1193"/>
    <w:rsid w:val="007F417F"/>
    <w:rsid w:val="007F7644"/>
    <w:rsid w:val="008042BD"/>
    <w:rsid w:val="00804E17"/>
    <w:rsid w:val="008050B3"/>
    <w:rsid w:val="00814EBA"/>
    <w:rsid w:val="00816624"/>
    <w:rsid w:val="00822427"/>
    <w:rsid w:val="00822562"/>
    <w:rsid w:val="00823663"/>
    <w:rsid w:val="00823664"/>
    <w:rsid w:val="00827FB1"/>
    <w:rsid w:val="008305B7"/>
    <w:rsid w:val="00832DDC"/>
    <w:rsid w:val="00837F35"/>
    <w:rsid w:val="0084016B"/>
    <w:rsid w:val="008426B0"/>
    <w:rsid w:val="008431BB"/>
    <w:rsid w:val="00845E34"/>
    <w:rsid w:val="0084699D"/>
    <w:rsid w:val="00850BAC"/>
    <w:rsid w:val="00854A3E"/>
    <w:rsid w:val="00855D08"/>
    <w:rsid w:val="008618A4"/>
    <w:rsid w:val="00866310"/>
    <w:rsid w:val="00867957"/>
    <w:rsid w:val="008731AB"/>
    <w:rsid w:val="0087421A"/>
    <w:rsid w:val="00874344"/>
    <w:rsid w:val="0087505D"/>
    <w:rsid w:val="00877703"/>
    <w:rsid w:val="00882155"/>
    <w:rsid w:val="0088233B"/>
    <w:rsid w:val="0088599E"/>
    <w:rsid w:val="00886C37"/>
    <w:rsid w:val="008915FC"/>
    <w:rsid w:val="00892D99"/>
    <w:rsid w:val="00893315"/>
    <w:rsid w:val="00894C09"/>
    <w:rsid w:val="008A3EE6"/>
    <w:rsid w:val="008B5C68"/>
    <w:rsid w:val="008B5CC7"/>
    <w:rsid w:val="008B62AE"/>
    <w:rsid w:val="008C04B5"/>
    <w:rsid w:val="008C14FA"/>
    <w:rsid w:val="008C161A"/>
    <w:rsid w:val="008C205E"/>
    <w:rsid w:val="008C7B0B"/>
    <w:rsid w:val="008D4057"/>
    <w:rsid w:val="008E01A1"/>
    <w:rsid w:val="008E1F19"/>
    <w:rsid w:val="008E3CBD"/>
    <w:rsid w:val="008F1F2D"/>
    <w:rsid w:val="008F2262"/>
    <w:rsid w:val="008F4D2B"/>
    <w:rsid w:val="008F5B91"/>
    <w:rsid w:val="008F7736"/>
    <w:rsid w:val="008F7E8C"/>
    <w:rsid w:val="0090019E"/>
    <w:rsid w:val="00900276"/>
    <w:rsid w:val="00900435"/>
    <w:rsid w:val="00901086"/>
    <w:rsid w:val="0090144D"/>
    <w:rsid w:val="00901C8A"/>
    <w:rsid w:val="00902F66"/>
    <w:rsid w:val="00904F3B"/>
    <w:rsid w:val="00905886"/>
    <w:rsid w:val="009070D6"/>
    <w:rsid w:val="009076C6"/>
    <w:rsid w:val="0091019E"/>
    <w:rsid w:val="009102F3"/>
    <w:rsid w:val="009106F1"/>
    <w:rsid w:val="00912404"/>
    <w:rsid w:val="009145D6"/>
    <w:rsid w:val="00915541"/>
    <w:rsid w:val="00915D99"/>
    <w:rsid w:val="00916E2E"/>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55BE0"/>
    <w:rsid w:val="00963457"/>
    <w:rsid w:val="009656F2"/>
    <w:rsid w:val="00966A08"/>
    <w:rsid w:val="009701B7"/>
    <w:rsid w:val="00971207"/>
    <w:rsid w:val="00975CB4"/>
    <w:rsid w:val="0098190C"/>
    <w:rsid w:val="00984F55"/>
    <w:rsid w:val="009863B0"/>
    <w:rsid w:val="00987DE1"/>
    <w:rsid w:val="00990571"/>
    <w:rsid w:val="00991905"/>
    <w:rsid w:val="009926B2"/>
    <w:rsid w:val="0099673A"/>
    <w:rsid w:val="009A3291"/>
    <w:rsid w:val="009A3330"/>
    <w:rsid w:val="009A548F"/>
    <w:rsid w:val="009A64B0"/>
    <w:rsid w:val="009A7C96"/>
    <w:rsid w:val="009B5B9A"/>
    <w:rsid w:val="009B5CC8"/>
    <w:rsid w:val="009B61BF"/>
    <w:rsid w:val="009C3253"/>
    <w:rsid w:val="009C3DB9"/>
    <w:rsid w:val="009C5968"/>
    <w:rsid w:val="009D0436"/>
    <w:rsid w:val="009D3FF7"/>
    <w:rsid w:val="009D4447"/>
    <w:rsid w:val="009D46E5"/>
    <w:rsid w:val="009D568A"/>
    <w:rsid w:val="009D64C5"/>
    <w:rsid w:val="009F04EC"/>
    <w:rsid w:val="009F2A7C"/>
    <w:rsid w:val="009F2E97"/>
    <w:rsid w:val="009F3B36"/>
    <w:rsid w:val="00A019B9"/>
    <w:rsid w:val="00A03157"/>
    <w:rsid w:val="00A11756"/>
    <w:rsid w:val="00A12497"/>
    <w:rsid w:val="00A12508"/>
    <w:rsid w:val="00A1282B"/>
    <w:rsid w:val="00A13A27"/>
    <w:rsid w:val="00A15B7C"/>
    <w:rsid w:val="00A16EA9"/>
    <w:rsid w:val="00A175B6"/>
    <w:rsid w:val="00A21835"/>
    <w:rsid w:val="00A2374B"/>
    <w:rsid w:val="00A23AAB"/>
    <w:rsid w:val="00A27D6E"/>
    <w:rsid w:val="00A328EC"/>
    <w:rsid w:val="00A33A51"/>
    <w:rsid w:val="00A3608B"/>
    <w:rsid w:val="00A41CA6"/>
    <w:rsid w:val="00A431ED"/>
    <w:rsid w:val="00A47927"/>
    <w:rsid w:val="00A47FFC"/>
    <w:rsid w:val="00A508B2"/>
    <w:rsid w:val="00A513CD"/>
    <w:rsid w:val="00A52CC7"/>
    <w:rsid w:val="00A5442F"/>
    <w:rsid w:val="00A54FF9"/>
    <w:rsid w:val="00A56765"/>
    <w:rsid w:val="00A60C1A"/>
    <w:rsid w:val="00A64610"/>
    <w:rsid w:val="00A675AC"/>
    <w:rsid w:val="00A7097D"/>
    <w:rsid w:val="00A7581F"/>
    <w:rsid w:val="00A76AD7"/>
    <w:rsid w:val="00A81274"/>
    <w:rsid w:val="00A82214"/>
    <w:rsid w:val="00A86ACA"/>
    <w:rsid w:val="00A92439"/>
    <w:rsid w:val="00A92FB1"/>
    <w:rsid w:val="00A95980"/>
    <w:rsid w:val="00A95A0C"/>
    <w:rsid w:val="00AA2765"/>
    <w:rsid w:val="00AA632D"/>
    <w:rsid w:val="00AA77B5"/>
    <w:rsid w:val="00AB6C5D"/>
    <w:rsid w:val="00AB76B9"/>
    <w:rsid w:val="00AC3401"/>
    <w:rsid w:val="00AC51A7"/>
    <w:rsid w:val="00AC603B"/>
    <w:rsid w:val="00AC6BE1"/>
    <w:rsid w:val="00AD0E89"/>
    <w:rsid w:val="00AD2E57"/>
    <w:rsid w:val="00AD444B"/>
    <w:rsid w:val="00AD5614"/>
    <w:rsid w:val="00AD6C78"/>
    <w:rsid w:val="00AE03F0"/>
    <w:rsid w:val="00AE2EAB"/>
    <w:rsid w:val="00AF0E06"/>
    <w:rsid w:val="00AF13D0"/>
    <w:rsid w:val="00AF5E0E"/>
    <w:rsid w:val="00AF5F89"/>
    <w:rsid w:val="00AF6FB4"/>
    <w:rsid w:val="00AF73CB"/>
    <w:rsid w:val="00B002D6"/>
    <w:rsid w:val="00B02E25"/>
    <w:rsid w:val="00B02EF0"/>
    <w:rsid w:val="00B03379"/>
    <w:rsid w:val="00B03FA5"/>
    <w:rsid w:val="00B04110"/>
    <w:rsid w:val="00B05B51"/>
    <w:rsid w:val="00B11539"/>
    <w:rsid w:val="00B11870"/>
    <w:rsid w:val="00B14E5A"/>
    <w:rsid w:val="00B15370"/>
    <w:rsid w:val="00B16DA4"/>
    <w:rsid w:val="00B17BEB"/>
    <w:rsid w:val="00B21A3C"/>
    <w:rsid w:val="00B223C0"/>
    <w:rsid w:val="00B234ED"/>
    <w:rsid w:val="00B249B2"/>
    <w:rsid w:val="00B25CA3"/>
    <w:rsid w:val="00B2765A"/>
    <w:rsid w:val="00B3109A"/>
    <w:rsid w:val="00B32D37"/>
    <w:rsid w:val="00B33B2D"/>
    <w:rsid w:val="00B41AA8"/>
    <w:rsid w:val="00B42B45"/>
    <w:rsid w:val="00B516ED"/>
    <w:rsid w:val="00B531D4"/>
    <w:rsid w:val="00B5514E"/>
    <w:rsid w:val="00B565DA"/>
    <w:rsid w:val="00B57A6A"/>
    <w:rsid w:val="00B608F6"/>
    <w:rsid w:val="00B62D0D"/>
    <w:rsid w:val="00B760F1"/>
    <w:rsid w:val="00B7669E"/>
    <w:rsid w:val="00B76EBB"/>
    <w:rsid w:val="00B77DA1"/>
    <w:rsid w:val="00B822A0"/>
    <w:rsid w:val="00B82F85"/>
    <w:rsid w:val="00B858AE"/>
    <w:rsid w:val="00B85964"/>
    <w:rsid w:val="00B92B44"/>
    <w:rsid w:val="00B96250"/>
    <w:rsid w:val="00BA0BA9"/>
    <w:rsid w:val="00BA0D55"/>
    <w:rsid w:val="00BA37B3"/>
    <w:rsid w:val="00BA4CC6"/>
    <w:rsid w:val="00BA7F46"/>
    <w:rsid w:val="00BB0F1D"/>
    <w:rsid w:val="00BB3493"/>
    <w:rsid w:val="00BB53E7"/>
    <w:rsid w:val="00BB5ED1"/>
    <w:rsid w:val="00BB6E4C"/>
    <w:rsid w:val="00BB7468"/>
    <w:rsid w:val="00BC0514"/>
    <w:rsid w:val="00BC188A"/>
    <w:rsid w:val="00BC269C"/>
    <w:rsid w:val="00BC402E"/>
    <w:rsid w:val="00BC70C6"/>
    <w:rsid w:val="00BD0F48"/>
    <w:rsid w:val="00BD14E5"/>
    <w:rsid w:val="00BE0E50"/>
    <w:rsid w:val="00BE569D"/>
    <w:rsid w:val="00BE6DDB"/>
    <w:rsid w:val="00BF03E0"/>
    <w:rsid w:val="00BF5010"/>
    <w:rsid w:val="00BF5423"/>
    <w:rsid w:val="00C03009"/>
    <w:rsid w:val="00C03D5F"/>
    <w:rsid w:val="00C070DB"/>
    <w:rsid w:val="00C13791"/>
    <w:rsid w:val="00C148E6"/>
    <w:rsid w:val="00C17854"/>
    <w:rsid w:val="00C210BD"/>
    <w:rsid w:val="00C2575A"/>
    <w:rsid w:val="00C31BB3"/>
    <w:rsid w:val="00C36977"/>
    <w:rsid w:val="00C451A6"/>
    <w:rsid w:val="00C46628"/>
    <w:rsid w:val="00C467DA"/>
    <w:rsid w:val="00C477D9"/>
    <w:rsid w:val="00C567FD"/>
    <w:rsid w:val="00C57869"/>
    <w:rsid w:val="00C60BA3"/>
    <w:rsid w:val="00C623F7"/>
    <w:rsid w:val="00C62A81"/>
    <w:rsid w:val="00C67CD7"/>
    <w:rsid w:val="00C71E00"/>
    <w:rsid w:val="00C74A92"/>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0B65"/>
    <w:rsid w:val="00CB1777"/>
    <w:rsid w:val="00CB33E9"/>
    <w:rsid w:val="00CC10A9"/>
    <w:rsid w:val="00CC6DCA"/>
    <w:rsid w:val="00CD0655"/>
    <w:rsid w:val="00CE2BF8"/>
    <w:rsid w:val="00CE484E"/>
    <w:rsid w:val="00CE4D20"/>
    <w:rsid w:val="00CE656F"/>
    <w:rsid w:val="00CF0DA8"/>
    <w:rsid w:val="00CF29A8"/>
    <w:rsid w:val="00CF2E25"/>
    <w:rsid w:val="00CF37FA"/>
    <w:rsid w:val="00CF4453"/>
    <w:rsid w:val="00CF5589"/>
    <w:rsid w:val="00CF5D94"/>
    <w:rsid w:val="00CF7E0F"/>
    <w:rsid w:val="00D00893"/>
    <w:rsid w:val="00D00AB9"/>
    <w:rsid w:val="00D034D7"/>
    <w:rsid w:val="00D04BE4"/>
    <w:rsid w:val="00D06FC7"/>
    <w:rsid w:val="00D12565"/>
    <w:rsid w:val="00D12AC2"/>
    <w:rsid w:val="00D140C1"/>
    <w:rsid w:val="00D14127"/>
    <w:rsid w:val="00D1720F"/>
    <w:rsid w:val="00D20FAC"/>
    <w:rsid w:val="00D22DAD"/>
    <w:rsid w:val="00D2370A"/>
    <w:rsid w:val="00D42FC0"/>
    <w:rsid w:val="00D479AE"/>
    <w:rsid w:val="00D50FCD"/>
    <w:rsid w:val="00D533E3"/>
    <w:rsid w:val="00D60B16"/>
    <w:rsid w:val="00D60F02"/>
    <w:rsid w:val="00D66E49"/>
    <w:rsid w:val="00D70D71"/>
    <w:rsid w:val="00D72F74"/>
    <w:rsid w:val="00D81563"/>
    <w:rsid w:val="00D837C1"/>
    <w:rsid w:val="00D85270"/>
    <w:rsid w:val="00D85907"/>
    <w:rsid w:val="00D860AC"/>
    <w:rsid w:val="00D9073E"/>
    <w:rsid w:val="00D9221D"/>
    <w:rsid w:val="00D9253C"/>
    <w:rsid w:val="00D958DF"/>
    <w:rsid w:val="00D96DA1"/>
    <w:rsid w:val="00DA51E7"/>
    <w:rsid w:val="00DA55CA"/>
    <w:rsid w:val="00DB0260"/>
    <w:rsid w:val="00DB1C78"/>
    <w:rsid w:val="00DB7D96"/>
    <w:rsid w:val="00DC23FE"/>
    <w:rsid w:val="00DC475E"/>
    <w:rsid w:val="00DC59E6"/>
    <w:rsid w:val="00DC7620"/>
    <w:rsid w:val="00DD150B"/>
    <w:rsid w:val="00DD3356"/>
    <w:rsid w:val="00DD5025"/>
    <w:rsid w:val="00DD5464"/>
    <w:rsid w:val="00DD6F85"/>
    <w:rsid w:val="00DE254E"/>
    <w:rsid w:val="00DE32C0"/>
    <w:rsid w:val="00DE76A7"/>
    <w:rsid w:val="00DF1510"/>
    <w:rsid w:val="00E02F1F"/>
    <w:rsid w:val="00E031BB"/>
    <w:rsid w:val="00E05454"/>
    <w:rsid w:val="00E06484"/>
    <w:rsid w:val="00E066B9"/>
    <w:rsid w:val="00E06B24"/>
    <w:rsid w:val="00E13C87"/>
    <w:rsid w:val="00E20A7D"/>
    <w:rsid w:val="00E23FE4"/>
    <w:rsid w:val="00E275D8"/>
    <w:rsid w:val="00E30F6A"/>
    <w:rsid w:val="00E3117C"/>
    <w:rsid w:val="00E31288"/>
    <w:rsid w:val="00E34307"/>
    <w:rsid w:val="00E34511"/>
    <w:rsid w:val="00E3635B"/>
    <w:rsid w:val="00E375C3"/>
    <w:rsid w:val="00E375CA"/>
    <w:rsid w:val="00E41CCF"/>
    <w:rsid w:val="00E42064"/>
    <w:rsid w:val="00E5364F"/>
    <w:rsid w:val="00E53CDE"/>
    <w:rsid w:val="00E549DD"/>
    <w:rsid w:val="00E567E8"/>
    <w:rsid w:val="00E63766"/>
    <w:rsid w:val="00E6431B"/>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C76AE"/>
    <w:rsid w:val="00ED12D1"/>
    <w:rsid w:val="00ED3A87"/>
    <w:rsid w:val="00ED5B67"/>
    <w:rsid w:val="00EE056F"/>
    <w:rsid w:val="00EE1A5C"/>
    <w:rsid w:val="00EE4896"/>
    <w:rsid w:val="00EE5F5A"/>
    <w:rsid w:val="00EF264C"/>
    <w:rsid w:val="00EF3FEE"/>
    <w:rsid w:val="00EF6B41"/>
    <w:rsid w:val="00F04B59"/>
    <w:rsid w:val="00F06EDA"/>
    <w:rsid w:val="00F07B69"/>
    <w:rsid w:val="00F11741"/>
    <w:rsid w:val="00F117B0"/>
    <w:rsid w:val="00F12B1C"/>
    <w:rsid w:val="00F13CF8"/>
    <w:rsid w:val="00F15855"/>
    <w:rsid w:val="00F15C30"/>
    <w:rsid w:val="00F200B2"/>
    <w:rsid w:val="00F227DC"/>
    <w:rsid w:val="00F263B9"/>
    <w:rsid w:val="00F30701"/>
    <w:rsid w:val="00F327F0"/>
    <w:rsid w:val="00F32909"/>
    <w:rsid w:val="00F32978"/>
    <w:rsid w:val="00F3585F"/>
    <w:rsid w:val="00F45CB2"/>
    <w:rsid w:val="00F45DC4"/>
    <w:rsid w:val="00F511F3"/>
    <w:rsid w:val="00F518A2"/>
    <w:rsid w:val="00F544C0"/>
    <w:rsid w:val="00F55332"/>
    <w:rsid w:val="00F6156E"/>
    <w:rsid w:val="00F6504A"/>
    <w:rsid w:val="00F65519"/>
    <w:rsid w:val="00F65575"/>
    <w:rsid w:val="00F66D9F"/>
    <w:rsid w:val="00F713C0"/>
    <w:rsid w:val="00F73FFF"/>
    <w:rsid w:val="00F75DDC"/>
    <w:rsid w:val="00F75F8B"/>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B6CE0"/>
    <w:rsid w:val="00FB7EFE"/>
    <w:rsid w:val="00FC4446"/>
    <w:rsid w:val="00FC5469"/>
    <w:rsid w:val="00FC6D7D"/>
    <w:rsid w:val="00FD16B0"/>
    <w:rsid w:val="00FD4FED"/>
    <w:rsid w:val="00FE00C8"/>
    <w:rsid w:val="00FE0577"/>
    <w:rsid w:val="00FE2FF8"/>
    <w:rsid w:val="00FE58D3"/>
    <w:rsid w:val="00FE59EC"/>
    <w:rsid w:val="00FE5B67"/>
    <w:rsid w:val="00FE60D6"/>
    <w:rsid w:val="00FF4046"/>
    <w:rsid w:val="00FF6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638991E-E7D0-438F-A258-3CCAA04A8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31B"/>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Default">
    <w:name w:val="Default"/>
    <w:rsid w:val="00E13C87"/>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rsid w:val="00480B33"/>
  </w:style>
  <w:style w:type="character" w:styleId="FootnoteReference">
    <w:name w:val="footnote reference"/>
    <w:aliases w:val="Style 77,o,Style 11,Style 28,Style 8,Style 21,Style 4,fr,Style 17,Style 13,o1,fr1,o2,fr2,o3,fr3,Style 18,(NECG) Footnote Reference,Style 20,Style 7,Style 19,Style 24,Style 5,Style 15,Footnote Reference (EIS),Styl,.,SR FR,Sty,fnr,f,FR"/>
    <w:uiPriority w:val="99"/>
    <w:unhideWhenUsed/>
    <w:qFormat/>
    <w:rsid w:val="00480B33"/>
    <w:rPr>
      <w:vertAlign w:val="superscript"/>
    </w:rPr>
  </w:style>
  <w:style w:type="paragraph" w:styleId="ListParagraph">
    <w:name w:val="List Paragraph"/>
    <w:basedOn w:val="Normal"/>
    <w:uiPriority w:val="34"/>
    <w:qFormat/>
    <w:rsid w:val="00480B33"/>
    <w:pPr>
      <w:spacing w:after="200" w:line="276" w:lineRule="auto"/>
      <w:ind w:left="720"/>
      <w:contextualSpacing/>
    </w:pPr>
    <w:rPr>
      <w:rFonts w:eastAsiaTheme="minorHAnsi" w:cstheme="minorBidi"/>
      <w:szCs w:val="22"/>
    </w:rPr>
  </w:style>
  <w:style w:type="table" w:customStyle="1" w:styleId="TableGrid1">
    <w:name w:val="Table Grid1"/>
    <w:basedOn w:val="TableNormal"/>
    <w:next w:val="TableGrid"/>
    <w:rsid w:val="00737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76AD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2965">
      <w:bodyDiv w:val="1"/>
      <w:marLeft w:val="0"/>
      <w:marRight w:val="0"/>
      <w:marTop w:val="0"/>
      <w:marBottom w:val="0"/>
      <w:divBdr>
        <w:top w:val="none" w:sz="0" w:space="0" w:color="auto"/>
        <w:left w:val="none" w:sz="0" w:space="0" w:color="auto"/>
        <w:bottom w:val="none" w:sz="0" w:space="0" w:color="auto"/>
        <w:right w:val="none" w:sz="0" w:space="0" w:color="auto"/>
      </w:divBdr>
    </w:div>
    <w:div w:id="332535352">
      <w:bodyDiv w:val="1"/>
      <w:marLeft w:val="0"/>
      <w:marRight w:val="0"/>
      <w:marTop w:val="0"/>
      <w:marBottom w:val="0"/>
      <w:divBdr>
        <w:top w:val="none" w:sz="0" w:space="0" w:color="auto"/>
        <w:left w:val="none" w:sz="0" w:space="0" w:color="auto"/>
        <w:bottom w:val="none" w:sz="0" w:space="0" w:color="auto"/>
        <w:right w:val="none" w:sz="0" w:space="0" w:color="auto"/>
      </w:divBdr>
    </w:div>
    <w:div w:id="365788290">
      <w:bodyDiv w:val="1"/>
      <w:marLeft w:val="0"/>
      <w:marRight w:val="0"/>
      <w:marTop w:val="0"/>
      <w:marBottom w:val="0"/>
      <w:divBdr>
        <w:top w:val="none" w:sz="0" w:space="0" w:color="auto"/>
        <w:left w:val="none" w:sz="0" w:space="0" w:color="auto"/>
        <w:bottom w:val="none" w:sz="0" w:space="0" w:color="auto"/>
        <w:right w:val="none" w:sz="0" w:space="0" w:color="auto"/>
      </w:divBdr>
    </w:div>
    <w:div w:id="580793330">
      <w:bodyDiv w:val="1"/>
      <w:marLeft w:val="0"/>
      <w:marRight w:val="0"/>
      <w:marTop w:val="0"/>
      <w:marBottom w:val="0"/>
      <w:divBdr>
        <w:top w:val="none" w:sz="0" w:space="0" w:color="auto"/>
        <w:left w:val="none" w:sz="0" w:space="0" w:color="auto"/>
        <w:bottom w:val="none" w:sz="0" w:space="0" w:color="auto"/>
        <w:right w:val="none" w:sz="0" w:space="0" w:color="auto"/>
      </w:divBdr>
    </w:div>
    <w:div w:id="675228213">
      <w:bodyDiv w:val="1"/>
      <w:marLeft w:val="0"/>
      <w:marRight w:val="0"/>
      <w:marTop w:val="0"/>
      <w:marBottom w:val="0"/>
      <w:divBdr>
        <w:top w:val="none" w:sz="0" w:space="0" w:color="auto"/>
        <w:left w:val="none" w:sz="0" w:space="0" w:color="auto"/>
        <w:bottom w:val="none" w:sz="0" w:space="0" w:color="auto"/>
        <w:right w:val="none" w:sz="0" w:space="0" w:color="auto"/>
      </w:divBdr>
    </w:div>
    <w:div w:id="685449132">
      <w:bodyDiv w:val="1"/>
      <w:marLeft w:val="0"/>
      <w:marRight w:val="0"/>
      <w:marTop w:val="0"/>
      <w:marBottom w:val="0"/>
      <w:divBdr>
        <w:top w:val="none" w:sz="0" w:space="0" w:color="auto"/>
        <w:left w:val="none" w:sz="0" w:space="0" w:color="auto"/>
        <w:bottom w:val="none" w:sz="0" w:space="0" w:color="auto"/>
        <w:right w:val="none" w:sz="0" w:space="0" w:color="auto"/>
      </w:divBdr>
    </w:div>
    <w:div w:id="797723403">
      <w:bodyDiv w:val="1"/>
      <w:marLeft w:val="0"/>
      <w:marRight w:val="0"/>
      <w:marTop w:val="0"/>
      <w:marBottom w:val="0"/>
      <w:divBdr>
        <w:top w:val="none" w:sz="0" w:space="0" w:color="auto"/>
        <w:left w:val="none" w:sz="0" w:space="0" w:color="auto"/>
        <w:bottom w:val="none" w:sz="0" w:space="0" w:color="auto"/>
        <w:right w:val="none" w:sz="0" w:space="0" w:color="auto"/>
      </w:divBdr>
    </w:div>
    <w:div w:id="878274452">
      <w:bodyDiv w:val="1"/>
      <w:marLeft w:val="0"/>
      <w:marRight w:val="0"/>
      <w:marTop w:val="0"/>
      <w:marBottom w:val="0"/>
      <w:divBdr>
        <w:top w:val="none" w:sz="0" w:space="0" w:color="auto"/>
        <w:left w:val="none" w:sz="0" w:space="0" w:color="auto"/>
        <w:bottom w:val="none" w:sz="0" w:space="0" w:color="auto"/>
        <w:right w:val="none" w:sz="0" w:space="0" w:color="auto"/>
      </w:divBdr>
    </w:div>
    <w:div w:id="938174857">
      <w:bodyDiv w:val="1"/>
      <w:marLeft w:val="0"/>
      <w:marRight w:val="0"/>
      <w:marTop w:val="0"/>
      <w:marBottom w:val="0"/>
      <w:divBdr>
        <w:top w:val="none" w:sz="0" w:space="0" w:color="auto"/>
        <w:left w:val="none" w:sz="0" w:space="0" w:color="auto"/>
        <w:bottom w:val="none" w:sz="0" w:space="0" w:color="auto"/>
        <w:right w:val="none" w:sz="0" w:space="0" w:color="auto"/>
      </w:divBdr>
    </w:div>
    <w:div w:id="943849481">
      <w:bodyDiv w:val="1"/>
      <w:marLeft w:val="0"/>
      <w:marRight w:val="0"/>
      <w:marTop w:val="0"/>
      <w:marBottom w:val="0"/>
      <w:divBdr>
        <w:top w:val="none" w:sz="0" w:space="0" w:color="auto"/>
        <w:left w:val="none" w:sz="0" w:space="0" w:color="auto"/>
        <w:bottom w:val="none" w:sz="0" w:space="0" w:color="auto"/>
        <w:right w:val="none" w:sz="0" w:space="0" w:color="auto"/>
      </w:divBdr>
    </w:div>
    <w:div w:id="1122728309">
      <w:bodyDiv w:val="1"/>
      <w:marLeft w:val="0"/>
      <w:marRight w:val="0"/>
      <w:marTop w:val="0"/>
      <w:marBottom w:val="0"/>
      <w:divBdr>
        <w:top w:val="none" w:sz="0" w:space="0" w:color="auto"/>
        <w:left w:val="none" w:sz="0" w:space="0" w:color="auto"/>
        <w:bottom w:val="none" w:sz="0" w:space="0" w:color="auto"/>
        <w:right w:val="none" w:sz="0" w:space="0" w:color="auto"/>
      </w:divBdr>
    </w:div>
    <w:div w:id="1163663028">
      <w:bodyDiv w:val="1"/>
      <w:marLeft w:val="0"/>
      <w:marRight w:val="0"/>
      <w:marTop w:val="0"/>
      <w:marBottom w:val="0"/>
      <w:divBdr>
        <w:top w:val="none" w:sz="0" w:space="0" w:color="auto"/>
        <w:left w:val="none" w:sz="0" w:space="0" w:color="auto"/>
        <w:bottom w:val="none" w:sz="0" w:space="0" w:color="auto"/>
        <w:right w:val="none" w:sz="0" w:space="0" w:color="auto"/>
      </w:divBdr>
    </w:div>
    <w:div w:id="1271085177">
      <w:bodyDiv w:val="1"/>
      <w:marLeft w:val="0"/>
      <w:marRight w:val="0"/>
      <w:marTop w:val="0"/>
      <w:marBottom w:val="0"/>
      <w:divBdr>
        <w:top w:val="none" w:sz="0" w:space="0" w:color="auto"/>
        <w:left w:val="none" w:sz="0" w:space="0" w:color="auto"/>
        <w:bottom w:val="none" w:sz="0" w:space="0" w:color="auto"/>
        <w:right w:val="none" w:sz="0" w:space="0" w:color="auto"/>
      </w:divBdr>
    </w:div>
    <w:div w:id="1400594947">
      <w:bodyDiv w:val="1"/>
      <w:marLeft w:val="0"/>
      <w:marRight w:val="0"/>
      <w:marTop w:val="0"/>
      <w:marBottom w:val="0"/>
      <w:divBdr>
        <w:top w:val="none" w:sz="0" w:space="0" w:color="auto"/>
        <w:left w:val="none" w:sz="0" w:space="0" w:color="auto"/>
        <w:bottom w:val="none" w:sz="0" w:space="0" w:color="auto"/>
        <w:right w:val="none" w:sz="0" w:space="0" w:color="auto"/>
      </w:divBdr>
    </w:div>
    <w:div w:id="1445004260">
      <w:bodyDiv w:val="1"/>
      <w:marLeft w:val="0"/>
      <w:marRight w:val="0"/>
      <w:marTop w:val="0"/>
      <w:marBottom w:val="0"/>
      <w:divBdr>
        <w:top w:val="none" w:sz="0" w:space="0" w:color="auto"/>
        <w:left w:val="none" w:sz="0" w:space="0" w:color="auto"/>
        <w:bottom w:val="none" w:sz="0" w:space="0" w:color="auto"/>
        <w:right w:val="none" w:sz="0" w:space="0" w:color="auto"/>
      </w:divBdr>
    </w:div>
    <w:div w:id="1465393162">
      <w:bodyDiv w:val="1"/>
      <w:marLeft w:val="0"/>
      <w:marRight w:val="0"/>
      <w:marTop w:val="0"/>
      <w:marBottom w:val="0"/>
      <w:divBdr>
        <w:top w:val="none" w:sz="0" w:space="0" w:color="auto"/>
        <w:left w:val="none" w:sz="0" w:space="0" w:color="auto"/>
        <w:bottom w:val="none" w:sz="0" w:space="0" w:color="auto"/>
        <w:right w:val="none" w:sz="0" w:space="0" w:color="auto"/>
      </w:divBdr>
    </w:div>
    <w:div w:id="1567298787">
      <w:bodyDiv w:val="1"/>
      <w:marLeft w:val="0"/>
      <w:marRight w:val="0"/>
      <w:marTop w:val="0"/>
      <w:marBottom w:val="0"/>
      <w:divBdr>
        <w:top w:val="none" w:sz="0" w:space="0" w:color="auto"/>
        <w:left w:val="none" w:sz="0" w:space="0" w:color="auto"/>
        <w:bottom w:val="none" w:sz="0" w:space="0" w:color="auto"/>
        <w:right w:val="none" w:sz="0" w:space="0" w:color="auto"/>
      </w:divBdr>
    </w:div>
    <w:div w:id="1595286987">
      <w:bodyDiv w:val="1"/>
      <w:marLeft w:val="0"/>
      <w:marRight w:val="0"/>
      <w:marTop w:val="0"/>
      <w:marBottom w:val="0"/>
      <w:divBdr>
        <w:top w:val="none" w:sz="0" w:space="0" w:color="auto"/>
        <w:left w:val="none" w:sz="0" w:space="0" w:color="auto"/>
        <w:bottom w:val="none" w:sz="0" w:space="0" w:color="auto"/>
        <w:right w:val="none" w:sz="0" w:space="0" w:color="auto"/>
      </w:divBdr>
    </w:div>
    <w:div w:id="1602178108">
      <w:bodyDiv w:val="1"/>
      <w:marLeft w:val="0"/>
      <w:marRight w:val="0"/>
      <w:marTop w:val="0"/>
      <w:marBottom w:val="0"/>
      <w:divBdr>
        <w:top w:val="none" w:sz="0" w:space="0" w:color="auto"/>
        <w:left w:val="none" w:sz="0" w:space="0" w:color="auto"/>
        <w:bottom w:val="none" w:sz="0" w:space="0" w:color="auto"/>
        <w:right w:val="none" w:sz="0" w:space="0" w:color="auto"/>
      </w:divBdr>
    </w:div>
    <w:div w:id="1654678553">
      <w:bodyDiv w:val="1"/>
      <w:marLeft w:val="0"/>
      <w:marRight w:val="0"/>
      <w:marTop w:val="0"/>
      <w:marBottom w:val="0"/>
      <w:divBdr>
        <w:top w:val="none" w:sz="0" w:space="0" w:color="auto"/>
        <w:left w:val="none" w:sz="0" w:space="0" w:color="auto"/>
        <w:bottom w:val="none" w:sz="0" w:space="0" w:color="auto"/>
        <w:right w:val="none" w:sz="0" w:space="0" w:color="auto"/>
      </w:divBdr>
    </w:div>
    <w:div w:id="1789155463">
      <w:bodyDiv w:val="1"/>
      <w:marLeft w:val="0"/>
      <w:marRight w:val="0"/>
      <w:marTop w:val="0"/>
      <w:marBottom w:val="0"/>
      <w:divBdr>
        <w:top w:val="none" w:sz="0" w:space="0" w:color="auto"/>
        <w:left w:val="none" w:sz="0" w:space="0" w:color="auto"/>
        <w:bottom w:val="none" w:sz="0" w:space="0" w:color="auto"/>
        <w:right w:val="none" w:sz="0" w:space="0" w:color="auto"/>
      </w:divBdr>
    </w:div>
    <w:div w:id="1883979498">
      <w:bodyDiv w:val="1"/>
      <w:marLeft w:val="0"/>
      <w:marRight w:val="0"/>
      <w:marTop w:val="0"/>
      <w:marBottom w:val="0"/>
      <w:divBdr>
        <w:top w:val="none" w:sz="0" w:space="0" w:color="auto"/>
        <w:left w:val="none" w:sz="0" w:space="0" w:color="auto"/>
        <w:bottom w:val="none" w:sz="0" w:space="0" w:color="auto"/>
        <w:right w:val="none" w:sz="0" w:space="0" w:color="auto"/>
      </w:divBdr>
    </w:div>
    <w:div w:id="209821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8.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3.xml"/><Relationship Id="rId32"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EEE44-7A51-4C1A-8CA6-FFA62960D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131</Pages>
  <Words>43791</Words>
  <Characters>252792</Characters>
  <Application>Microsoft Office Word</Application>
  <DocSecurity>0</DocSecurity>
  <Lines>2106</Lines>
  <Paragraphs>591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295992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April Teichler</dc:creator>
  <cp:lastModifiedBy>April Teichler</cp:lastModifiedBy>
  <cp:revision>2</cp:revision>
  <cp:lastPrinted>2025-04-24T14:05:00Z</cp:lastPrinted>
  <dcterms:created xsi:type="dcterms:W3CDTF">2025-04-24T15:24:00Z</dcterms:created>
  <dcterms:modified xsi:type="dcterms:W3CDTF">2025-04-24T15:24:00Z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20240068-WS</vt:lpwstr>
  </property>
  <property fmtid="{D5CDD505-2E9C-101B-9397-08002B2CF9AE}" pid="3" name="MasterDocument">
    <vt:bool>false</vt:bool>
  </property>
</Properties>
</file>