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1995" w:rsidP="00B91995">
      <w:pPr>
        <w:pStyle w:val="OrderHeading"/>
      </w:pPr>
      <w:r>
        <w:t>BEFORE THE FLORIDA PUBLIC SERVICE COMMISSION</w:t>
      </w:r>
    </w:p>
    <w:p w:rsidR="00B91995" w:rsidRDefault="00B91995" w:rsidP="00B91995">
      <w:pPr>
        <w:pStyle w:val="OrderBody"/>
      </w:pPr>
    </w:p>
    <w:p w:rsidR="00B91995" w:rsidRDefault="00B91995" w:rsidP="00B919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1995" w:rsidRPr="00C63FCF" w:rsidTr="00C63FCF">
        <w:trPr>
          <w:trHeight w:val="828"/>
        </w:trPr>
        <w:tc>
          <w:tcPr>
            <w:tcW w:w="4788" w:type="dxa"/>
            <w:tcBorders>
              <w:bottom w:val="single" w:sz="8" w:space="0" w:color="auto"/>
              <w:right w:val="double" w:sz="6" w:space="0" w:color="auto"/>
            </w:tcBorders>
            <w:shd w:val="clear" w:color="auto" w:fill="auto"/>
          </w:tcPr>
          <w:p w:rsidR="00B91995" w:rsidRDefault="00B9199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91995" w:rsidRDefault="00B91995" w:rsidP="00B91995">
            <w:pPr>
              <w:pStyle w:val="OrderBody"/>
            </w:pPr>
            <w:r>
              <w:t xml:space="preserve">DOCKET NO. </w:t>
            </w:r>
            <w:bookmarkStart w:id="1" w:name="SSDocketNo"/>
            <w:bookmarkEnd w:id="1"/>
            <w:r>
              <w:t>20250011-EI</w:t>
            </w:r>
          </w:p>
          <w:p w:rsidR="00B91995" w:rsidRDefault="00B91995" w:rsidP="00C63FCF">
            <w:pPr>
              <w:pStyle w:val="OrderBody"/>
              <w:tabs>
                <w:tab w:val="center" w:pos="4320"/>
                <w:tab w:val="right" w:pos="8640"/>
              </w:tabs>
              <w:jc w:val="left"/>
            </w:pPr>
            <w:r>
              <w:t xml:space="preserve">ORDER NO. </w:t>
            </w:r>
            <w:bookmarkStart w:id="2" w:name="OrderNo0166"/>
            <w:r w:rsidR="00D95495">
              <w:t>PSC-2025-0166-PCO-EI</w:t>
            </w:r>
            <w:bookmarkEnd w:id="2"/>
          </w:p>
          <w:p w:rsidR="00B91995" w:rsidRDefault="00B91995" w:rsidP="00C63FCF">
            <w:pPr>
              <w:pStyle w:val="OrderBody"/>
              <w:tabs>
                <w:tab w:val="center" w:pos="4320"/>
                <w:tab w:val="right" w:pos="8640"/>
              </w:tabs>
              <w:jc w:val="left"/>
            </w:pPr>
            <w:r>
              <w:t xml:space="preserve">ISSUED: </w:t>
            </w:r>
            <w:r w:rsidR="00D95495">
              <w:t>May 22, 2025</w:t>
            </w:r>
          </w:p>
        </w:tc>
      </w:tr>
    </w:tbl>
    <w:p w:rsidR="00B91995" w:rsidRDefault="00B91995" w:rsidP="00B91995"/>
    <w:p w:rsidR="00B91995" w:rsidRDefault="00B91995" w:rsidP="00B91995"/>
    <w:p w:rsidR="00574C28" w:rsidRDefault="00B91995" w:rsidP="00B91995">
      <w:pPr>
        <w:pStyle w:val="CenterUnderline"/>
      </w:pPr>
      <w:bookmarkStart w:id="3" w:name="Commissioners"/>
      <w:bookmarkEnd w:id="3"/>
      <w:r>
        <w:t>ORDER</w:t>
      </w:r>
      <w:bookmarkStart w:id="4" w:name="OrderTitle"/>
      <w:r>
        <w:t xml:space="preserve"> GRANTING </w:t>
      </w:r>
      <w:r w:rsidR="00574C28">
        <w:t xml:space="preserve"> MOTION TO </w:t>
      </w:r>
      <w:r>
        <w:t>INTERVEN</w:t>
      </w:r>
      <w:r w:rsidR="00574C28">
        <w:t>E</w:t>
      </w:r>
      <w:r>
        <w:t xml:space="preserve"> </w:t>
      </w:r>
      <w:r w:rsidR="00574C28">
        <w:t>BY</w:t>
      </w:r>
    </w:p>
    <w:p w:rsidR="00CB5276" w:rsidRDefault="00574C28" w:rsidP="00B91995">
      <w:pPr>
        <w:pStyle w:val="CenterUnderline"/>
      </w:pPr>
      <w:r>
        <w:t>FLORIDA</w:t>
      </w:r>
      <w:r w:rsidR="00B91995" w:rsidRPr="00082A0B">
        <w:t xml:space="preserve"> </w:t>
      </w:r>
      <w:r w:rsidR="00B91995">
        <w:t xml:space="preserve">ENERGY FOR INNOVATION ASSOCIATION </w:t>
      </w:r>
      <w:bookmarkEnd w:id="4"/>
    </w:p>
    <w:p w:rsidR="00B91995" w:rsidRDefault="00B91995" w:rsidP="00B91995">
      <w:pPr>
        <w:pStyle w:val="CenterUnderline"/>
      </w:pPr>
    </w:p>
    <w:p w:rsidR="00574C28" w:rsidRDefault="00574C28" w:rsidP="00574C28">
      <w:pPr>
        <w:ind w:firstLine="720"/>
        <w:jc w:val="both"/>
      </w:pPr>
      <w:bookmarkStart w:id="5" w:name="OrderText"/>
      <w:bookmarkEnd w:id="5"/>
      <w:r>
        <w:t>By letter dated January 2, 2025, Florida Power &amp; Light Company (FPL) notified the Commission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for base rate increase, minimum filing requirements, and supporting direct testimony. Pursuant to Order No. PSC-2025-0075-PCO-EI, the undersigned Prehearing Officer scheduled the evidentiary hearing on FPL’s petition for August 11 through August 22, 2025.</w:t>
      </w:r>
    </w:p>
    <w:p w:rsidR="00B91995" w:rsidRDefault="00B91995" w:rsidP="00B91995">
      <w:pPr>
        <w:jc w:val="both"/>
      </w:pPr>
    </w:p>
    <w:p w:rsidR="00B91995" w:rsidRPr="00173CF1" w:rsidRDefault="00B91995" w:rsidP="00B91995">
      <w:pPr>
        <w:jc w:val="both"/>
        <w:rPr>
          <w:u w:val="single"/>
        </w:rPr>
      </w:pPr>
      <w:r w:rsidRPr="00173CF1">
        <w:rPr>
          <w:u w:val="single"/>
        </w:rPr>
        <w:t>Petition for Intervention</w:t>
      </w:r>
      <w:r w:rsidR="00E72F21">
        <w:rPr>
          <w:u w:val="single"/>
        </w:rPr>
        <w:t xml:space="preserve"> and Response</w:t>
      </w:r>
    </w:p>
    <w:p w:rsidR="00B91995" w:rsidRDefault="00B91995" w:rsidP="00B91995">
      <w:pPr>
        <w:jc w:val="both"/>
      </w:pPr>
    </w:p>
    <w:p w:rsidR="00C05D76" w:rsidRDefault="00A9545B" w:rsidP="00A9545B">
      <w:pPr>
        <w:autoSpaceDE w:val="0"/>
        <w:autoSpaceDN w:val="0"/>
        <w:adjustRightInd w:val="0"/>
        <w:jc w:val="both"/>
        <w:rPr>
          <w:rFonts w:eastAsia="InvisibleOCR"/>
        </w:rPr>
      </w:pPr>
      <w:r>
        <w:tab/>
      </w:r>
      <w:r w:rsidR="00EA2A70">
        <w:t>On</w:t>
      </w:r>
      <w:r w:rsidR="00B91995" w:rsidRPr="009B0115">
        <w:t xml:space="preserve"> May 15, 2025, the Florida Energy for Innovation Association (</w:t>
      </w:r>
      <w:r w:rsidR="00EB2F3B" w:rsidRPr="009B0115">
        <w:t>FEIA</w:t>
      </w:r>
      <w:r w:rsidR="00B91995" w:rsidRPr="009B0115">
        <w:t xml:space="preserve">) </w:t>
      </w:r>
      <w:r w:rsidR="009B0115" w:rsidRPr="009B0115">
        <w:t>filed a Motion to Intervene</w:t>
      </w:r>
      <w:r w:rsidR="00B91995" w:rsidRPr="009B0115">
        <w:t xml:space="preserve"> </w:t>
      </w:r>
      <w:r w:rsidR="005431E1">
        <w:t xml:space="preserve">(Motion) </w:t>
      </w:r>
      <w:r w:rsidR="00B91995" w:rsidRPr="009B0115">
        <w:t>in this proceeding.</w:t>
      </w:r>
      <w:r w:rsidR="00EA2A70">
        <w:t xml:space="preserve"> In the M</w:t>
      </w:r>
      <w:r w:rsidR="009B0115" w:rsidRPr="009B0115">
        <w:t>otion, FEIA represents that it is</w:t>
      </w:r>
      <w:r w:rsidR="009B0115" w:rsidRPr="009B0115">
        <w:rPr>
          <w:rFonts w:eastAsia="InvisibleOCR"/>
        </w:rPr>
        <w:t xml:space="preserve"> a Florida not-for-profit association </w:t>
      </w:r>
      <w:r w:rsidR="00EA2A70">
        <w:rPr>
          <w:rFonts w:eastAsia="InvisibleOCR"/>
        </w:rPr>
        <w:t>consisting of</w:t>
      </w:r>
      <w:r w:rsidR="009B0115">
        <w:rPr>
          <w:rFonts w:eastAsia="InvisibleOCR"/>
        </w:rPr>
        <w:t xml:space="preserve"> </w:t>
      </w:r>
      <w:r w:rsidR="009B0115" w:rsidRPr="009B0115">
        <w:rPr>
          <w:rFonts w:eastAsia="InvisibleOCR"/>
        </w:rPr>
        <w:t>members</w:t>
      </w:r>
      <w:r w:rsidR="00EA2A70">
        <w:rPr>
          <w:rFonts w:eastAsia="InvisibleOCR"/>
        </w:rPr>
        <w:t xml:space="preserve"> generally described as</w:t>
      </w:r>
      <w:r w:rsidR="009B0115">
        <w:rPr>
          <w:rFonts w:eastAsia="InvisibleOCR"/>
        </w:rPr>
        <w:t xml:space="preserve"> </w:t>
      </w:r>
      <w:r w:rsidR="00EA2A70">
        <w:rPr>
          <w:rFonts w:eastAsia="InvisibleOCR"/>
        </w:rPr>
        <w:t>“</w:t>
      </w:r>
      <w:r w:rsidR="009B0115" w:rsidRPr="009B0115">
        <w:rPr>
          <w:rFonts w:eastAsia="InvisibleOCR"/>
        </w:rPr>
        <w:t>companies that are developing data centers in Florida</w:t>
      </w:r>
      <w:r w:rsidR="00EA2A70">
        <w:rPr>
          <w:rFonts w:eastAsia="InvisibleOCR"/>
        </w:rPr>
        <w:t>”</w:t>
      </w:r>
      <w:r w:rsidR="009B0115">
        <w:rPr>
          <w:rFonts w:eastAsia="InvisibleOCR"/>
        </w:rPr>
        <w:t xml:space="preserve"> (Companies) </w:t>
      </w:r>
      <w:r w:rsidR="009B0115" w:rsidRPr="009B0115">
        <w:rPr>
          <w:rFonts w:eastAsia="InvisibleOCR"/>
        </w:rPr>
        <w:t>and</w:t>
      </w:r>
      <w:r w:rsidR="009B0115">
        <w:rPr>
          <w:rFonts w:eastAsia="InvisibleOCR"/>
        </w:rPr>
        <w:t xml:space="preserve"> (2)</w:t>
      </w:r>
      <w:r w:rsidR="009B0115" w:rsidRPr="009B0115">
        <w:rPr>
          <w:rFonts w:eastAsia="InvisibleOCR"/>
        </w:rPr>
        <w:t xml:space="preserve"> </w:t>
      </w:r>
      <w:r w:rsidR="00EA2A70">
        <w:rPr>
          <w:rFonts w:eastAsia="InvisibleOCR"/>
        </w:rPr>
        <w:t>“</w:t>
      </w:r>
      <w:r w:rsidR="009B0115" w:rsidRPr="009B0115">
        <w:rPr>
          <w:rFonts w:eastAsia="InvisibleOCR"/>
        </w:rPr>
        <w:t>affiliates</w:t>
      </w:r>
      <w:r w:rsidR="009B0115">
        <w:rPr>
          <w:rFonts w:eastAsia="InvisibleOCR"/>
        </w:rPr>
        <w:t xml:space="preserve"> </w:t>
      </w:r>
      <w:r w:rsidR="00EA2A70">
        <w:rPr>
          <w:rFonts w:eastAsia="InvisibleOCR"/>
        </w:rPr>
        <w:t>[</w:t>
      </w:r>
      <w:r w:rsidR="009B0115">
        <w:rPr>
          <w:rFonts w:eastAsia="InvisibleOCR"/>
        </w:rPr>
        <w:t>of the Companies</w:t>
      </w:r>
      <w:r w:rsidR="00EA2A70">
        <w:rPr>
          <w:rFonts w:eastAsia="InvisibleOCR"/>
        </w:rPr>
        <w:t>]</w:t>
      </w:r>
      <w:r w:rsidR="009B0115" w:rsidRPr="009B0115">
        <w:rPr>
          <w:rFonts w:eastAsia="InvisibleOCR"/>
        </w:rPr>
        <w:t xml:space="preserve"> that are exi</w:t>
      </w:r>
      <w:r w:rsidR="00EA2A70">
        <w:rPr>
          <w:rFonts w:eastAsia="InvisibleOCR"/>
        </w:rPr>
        <w:t>sting electric customers of FPL” (Affiliates).</w:t>
      </w:r>
    </w:p>
    <w:p w:rsidR="00C05D76" w:rsidRDefault="00C05D76" w:rsidP="00A9545B">
      <w:pPr>
        <w:autoSpaceDE w:val="0"/>
        <w:autoSpaceDN w:val="0"/>
        <w:adjustRightInd w:val="0"/>
        <w:jc w:val="both"/>
        <w:rPr>
          <w:rFonts w:eastAsia="InvisibleOCR"/>
        </w:rPr>
      </w:pPr>
    </w:p>
    <w:p w:rsidR="00CC21D5" w:rsidRDefault="00C05D76" w:rsidP="00A9545B">
      <w:pPr>
        <w:autoSpaceDE w:val="0"/>
        <w:autoSpaceDN w:val="0"/>
        <w:adjustRightInd w:val="0"/>
        <w:jc w:val="both"/>
        <w:rPr>
          <w:rFonts w:eastAsia="InvisibleOCR"/>
        </w:rPr>
      </w:pPr>
      <w:r>
        <w:rPr>
          <w:rFonts w:eastAsia="InvisibleOCR"/>
        </w:rPr>
        <w:tab/>
      </w:r>
      <w:r w:rsidR="00D539A3">
        <w:rPr>
          <w:rFonts w:eastAsia="InvisibleOCR"/>
        </w:rPr>
        <w:t xml:space="preserve">FEIA </w:t>
      </w:r>
      <w:r w:rsidR="00CC21D5">
        <w:rPr>
          <w:rFonts w:eastAsia="InvisibleOCR"/>
        </w:rPr>
        <w:t>stat</w:t>
      </w:r>
      <w:r w:rsidR="00D539A3">
        <w:rPr>
          <w:rFonts w:eastAsia="InvisibleOCR"/>
        </w:rPr>
        <w:t>es</w:t>
      </w:r>
      <w:r w:rsidR="00CC21D5">
        <w:rPr>
          <w:rFonts w:eastAsia="InvisibleOCR"/>
        </w:rPr>
        <w:t xml:space="preserve"> that</w:t>
      </w:r>
      <w:r w:rsidR="00D539A3">
        <w:rPr>
          <w:rFonts w:eastAsia="InvisibleOCR"/>
        </w:rPr>
        <w:t xml:space="preserve"> the Companies are actively seeking to </w:t>
      </w:r>
      <w:r w:rsidR="00D143F6">
        <w:rPr>
          <w:rFonts w:eastAsia="InvisibleOCR"/>
        </w:rPr>
        <w:t xml:space="preserve">develop data centers in FPL territory and </w:t>
      </w:r>
      <w:r w:rsidR="00D539A3">
        <w:rPr>
          <w:rFonts w:eastAsia="InvisibleOCR"/>
        </w:rPr>
        <w:t>obtain electric service from FPL for the</w:t>
      </w:r>
      <w:r w:rsidR="00D143F6">
        <w:rPr>
          <w:rFonts w:eastAsia="InvisibleOCR"/>
        </w:rPr>
        <w:t>se centers.</w:t>
      </w:r>
      <w:r w:rsidR="00D539A3">
        <w:rPr>
          <w:rFonts w:eastAsia="InvisibleOCR"/>
        </w:rPr>
        <w:t xml:space="preserve"> </w:t>
      </w:r>
      <w:r w:rsidR="00D143F6">
        <w:rPr>
          <w:rFonts w:eastAsia="InvisibleOCR"/>
        </w:rPr>
        <w:t xml:space="preserve">FEIA </w:t>
      </w:r>
      <w:r w:rsidR="00CC21D5">
        <w:rPr>
          <w:rFonts w:eastAsia="InvisibleOCR"/>
        </w:rPr>
        <w:t xml:space="preserve">further </w:t>
      </w:r>
      <w:r w:rsidR="00D143F6">
        <w:rPr>
          <w:rFonts w:eastAsia="InvisibleOCR"/>
        </w:rPr>
        <w:t xml:space="preserve">represents that the Companies have entered into confidential agreements with FPL regarding the </w:t>
      </w:r>
      <w:r>
        <w:rPr>
          <w:rFonts w:eastAsia="InvisibleOCR"/>
        </w:rPr>
        <w:t>configuration and cost</w:t>
      </w:r>
      <w:r w:rsidR="00D143F6">
        <w:rPr>
          <w:rFonts w:eastAsia="InvisibleOCR"/>
        </w:rPr>
        <w:t xml:space="preserve"> of </w:t>
      </w:r>
      <w:r>
        <w:rPr>
          <w:rFonts w:eastAsia="InvisibleOCR"/>
        </w:rPr>
        <w:t xml:space="preserve">providing </w:t>
      </w:r>
      <w:r w:rsidR="00D143F6">
        <w:rPr>
          <w:rFonts w:eastAsia="InvisibleOCR"/>
        </w:rPr>
        <w:t>electrical service.</w:t>
      </w:r>
      <w:r>
        <w:rPr>
          <w:rFonts w:eastAsia="InvisibleOCR"/>
        </w:rPr>
        <w:t xml:space="preserve"> </w:t>
      </w:r>
      <w:r w:rsidR="00A9545B">
        <w:rPr>
          <w:rFonts w:eastAsia="InvisibleOCR"/>
        </w:rPr>
        <w:t>FE</w:t>
      </w:r>
      <w:r w:rsidR="00CC21D5">
        <w:rPr>
          <w:rFonts w:eastAsia="InvisibleOCR"/>
        </w:rPr>
        <w:t xml:space="preserve">IA alleges that the Companies </w:t>
      </w:r>
      <w:r w:rsidR="00A9545B">
        <w:rPr>
          <w:rFonts w:eastAsia="InvisibleOCR"/>
        </w:rPr>
        <w:t>could take</w:t>
      </w:r>
      <w:r w:rsidR="00CC21D5">
        <w:rPr>
          <w:rFonts w:eastAsia="InvisibleOCR"/>
        </w:rPr>
        <w:t xml:space="preserve"> service under FPL’s existing </w:t>
      </w:r>
      <w:r>
        <w:rPr>
          <w:rFonts w:eastAsia="InvisibleOCR"/>
        </w:rPr>
        <w:t>General Service Large Demand- 3 (</w:t>
      </w:r>
      <w:r w:rsidR="00CC21D5">
        <w:rPr>
          <w:rFonts w:eastAsia="InvisibleOCR"/>
        </w:rPr>
        <w:t>GSLD-3</w:t>
      </w:r>
      <w:r>
        <w:rPr>
          <w:rFonts w:eastAsia="InvisibleOCR"/>
        </w:rPr>
        <w:t>)</w:t>
      </w:r>
      <w:r w:rsidR="00CC21D5">
        <w:rPr>
          <w:rFonts w:eastAsia="InvisibleOCR"/>
        </w:rPr>
        <w:t xml:space="preserve"> tariff, but that they would be required to take service under the new </w:t>
      </w:r>
      <w:r>
        <w:rPr>
          <w:rFonts w:eastAsia="InvisibleOCR"/>
        </w:rPr>
        <w:t>Large Load Contract Service (</w:t>
      </w:r>
      <w:r w:rsidR="00CC21D5">
        <w:rPr>
          <w:rFonts w:eastAsia="InvisibleOCR"/>
        </w:rPr>
        <w:t>LLCS</w:t>
      </w:r>
      <w:r>
        <w:rPr>
          <w:rFonts w:eastAsia="InvisibleOCR"/>
        </w:rPr>
        <w:t>)</w:t>
      </w:r>
      <w:r w:rsidR="00CC21D5">
        <w:rPr>
          <w:rFonts w:eastAsia="InvisibleOCR"/>
        </w:rPr>
        <w:t xml:space="preserve"> tariff proposed in this rate case if </w:t>
      </w:r>
      <w:r w:rsidR="002A419D">
        <w:rPr>
          <w:rFonts w:eastAsia="InvisibleOCR"/>
        </w:rPr>
        <w:t xml:space="preserve">approved by </w:t>
      </w:r>
      <w:r w:rsidR="00CC21D5">
        <w:rPr>
          <w:rFonts w:eastAsia="InvisibleOCR"/>
        </w:rPr>
        <w:t xml:space="preserve">the Commission. FEIA </w:t>
      </w:r>
      <w:r w:rsidR="00A9545B">
        <w:rPr>
          <w:rFonts w:eastAsia="InvisibleOCR"/>
        </w:rPr>
        <w:t>continu</w:t>
      </w:r>
      <w:r w:rsidR="00CC21D5">
        <w:rPr>
          <w:rFonts w:eastAsia="InvisibleOCR"/>
        </w:rPr>
        <w:t>es that the charges for electric service under the LLCS</w:t>
      </w:r>
      <w:r>
        <w:rPr>
          <w:rFonts w:eastAsia="InvisibleOCR"/>
        </w:rPr>
        <w:t xml:space="preserve"> tariff are</w:t>
      </w:r>
      <w:r w:rsidR="00CC21D5">
        <w:rPr>
          <w:rFonts w:eastAsia="InvisibleOCR"/>
        </w:rPr>
        <w:t xml:space="preserve"> 65% more than under the GSLD-3 tariff, and that the LLCS tariff imposes conditions on an electric customer that are not required under the GSLD-3 tariff.</w:t>
      </w:r>
      <w:r>
        <w:rPr>
          <w:rFonts w:eastAsia="InvisibleOCR"/>
        </w:rPr>
        <w:t xml:space="preserve"> Based on these allegations, FEIA alleges that the Companies’ substantial interests are or may be affected by the Commission’s decision on whether to approve the LLCS tariff.</w:t>
      </w:r>
    </w:p>
    <w:p w:rsidR="00CC21D5" w:rsidRDefault="00CC21D5" w:rsidP="00EA2A70">
      <w:pPr>
        <w:autoSpaceDE w:val="0"/>
        <w:autoSpaceDN w:val="0"/>
        <w:adjustRightInd w:val="0"/>
        <w:jc w:val="both"/>
        <w:rPr>
          <w:rFonts w:eastAsia="InvisibleOCR"/>
        </w:rPr>
      </w:pPr>
    </w:p>
    <w:p w:rsidR="00C05D76" w:rsidRDefault="00CC21D5" w:rsidP="00EA2A70">
      <w:pPr>
        <w:autoSpaceDE w:val="0"/>
        <w:autoSpaceDN w:val="0"/>
        <w:adjustRightInd w:val="0"/>
        <w:jc w:val="both"/>
        <w:rPr>
          <w:rFonts w:eastAsia="InvisibleOCR"/>
        </w:rPr>
      </w:pPr>
      <w:r>
        <w:rPr>
          <w:rFonts w:eastAsia="InvisibleOCR"/>
        </w:rPr>
        <w:tab/>
        <w:t>As to the Affiliates, FEIA states that they are existing</w:t>
      </w:r>
      <w:r w:rsidR="00C05D76">
        <w:rPr>
          <w:rFonts w:eastAsia="InvisibleOCR"/>
        </w:rPr>
        <w:t xml:space="preserve"> electric</w:t>
      </w:r>
      <w:r>
        <w:rPr>
          <w:rFonts w:eastAsia="InvisibleOCR"/>
        </w:rPr>
        <w:t xml:space="preserve"> customers of FPL. FEIA </w:t>
      </w:r>
      <w:r w:rsidR="00C05D76">
        <w:rPr>
          <w:rFonts w:eastAsia="InvisibleOCR"/>
        </w:rPr>
        <w:t>alleges that FPL’s proposals to increase base rates will affect the substantial interests of existing FPL ratepayers, including</w:t>
      </w:r>
      <w:r w:rsidR="005431E1">
        <w:rPr>
          <w:rFonts w:eastAsia="InvisibleOCR"/>
        </w:rPr>
        <w:t xml:space="preserve"> the Affiliates.</w:t>
      </w:r>
    </w:p>
    <w:p w:rsidR="00C05D76" w:rsidRDefault="00C05D76" w:rsidP="00EA2A70">
      <w:pPr>
        <w:autoSpaceDE w:val="0"/>
        <w:autoSpaceDN w:val="0"/>
        <w:adjustRightInd w:val="0"/>
        <w:jc w:val="both"/>
        <w:rPr>
          <w:rFonts w:eastAsia="InvisibleOCR"/>
        </w:rPr>
      </w:pPr>
    </w:p>
    <w:p w:rsidR="00C05D76" w:rsidRDefault="00C05D76" w:rsidP="00EA2A70">
      <w:pPr>
        <w:autoSpaceDE w:val="0"/>
        <w:autoSpaceDN w:val="0"/>
        <w:adjustRightInd w:val="0"/>
        <w:jc w:val="both"/>
        <w:rPr>
          <w:rFonts w:eastAsia="InvisibleOCR"/>
        </w:rPr>
      </w:pPr>
      <w:r>
        <w:rPr>
          <w:rFonts w:eastAsia="InvisibleOCR"/>
        </w:rPr>
        <w:tab/>
        <w:t xml:space="preserve">FEIA </w:t>
      </w:r>
      <w:r w:rsidR="002A419D">
        <w:rPr>
          <w:rFonts w:eastAsia="InvisibleOCR"/>
        </w:rPr>
        <w:t xml:space="preserve">states that a substantial number of its members are existing retail electric customers of FPL. FEIA </w:t>
      </w:r>
      <w:r>
        <w:rPr>
          <w:rFonts w:eastAsia="InvisibleOCR"/>
        </w:rPr>
        <w:t>continues that intervention is within the association’s general scope of interest and activity, as its Articles of Incorporation provide for representation of</w:t>
      </w:r>
      <w:r w:rsidR="00D82C75">
        <w:rPr>
          <w:rFonts w:eastAsia="InvisibleOCR"/>
        </w:rPr>
        <w:t xml:space="preserve"> the</w:t>
      </w:r>
      <w:r>
        <w:rPr>
          <w:rFonts w:eastAsia="InvisibleOCR"/>
        </w:rPr>
        <w:t xml:space="preserve"> members’ interests</w:t>
      </w:r>
      <w:r w:rsidR="00D82C75">
        <w:rPr>
          <w:rFonts w:eastAsia="InvisibleOCR"/>
        </w:rPr>
        <w:t xml:space="preserve"> </w:t>
      </w:r>
      <w:r w:rsidR="00D82C75">
        <w:rPr>
          <w:rFonts w:eastAsia="InvisibleOCR"/>
        </w:rPr>
        <w:lastRenderedPageBreak/>
        <w:t xml:space="preserve">before the Public Service Commission regarding the importance of fair, just, and reasonable rates. FEIA argues that </w:t>
      </w:r>
      <w:r w:rsidR="005431E1">
        <w:rPr>
          <w:rFonts w:eastAsia="InvisibleOCR"/>
        </w:rPr>
        <w:t xml:space="preserve">both the Companies and Affiliates would benefit from the assurance of fair, just, and reasonable rates, and, therefore, </w:t>
      </w:r>
      <w:r w:rsidR="00D82C75">
        <w:rPr>
          <w:rFonts w:eastAsia="InvisibleOCR"/>
        </w:rPr>
        <w:t>the relief sought would be appropriate for the association to receive on behalf of its members.</w:t>
      </w:r>
    </w:p>
    <w:p w:rsidR="00D82C75" w:rsidRDefault="00D82C75" w:rsidP="00EA2A70">
      <w:pPr>
        <w:autoSpaceDE w:val="0"/>
        <w:autoSpaceDN w:val="0"/>
        <w:adjustRightInd w:val="0"/>
        <w:jc w:val="both"/>
        <w:rPr>
          <w:rFonts w:eastAsia="InvisibleOCR"/>
        </w:rPr>
      </w:pPr>
    </w:p>
    <w:p w:rsidR="00D82C75" w:rsidRDefault="00D82C75" w:rsidP="00EA2A70">
      <w:pPr>
        <w:autoSpaceDE w:val="0"/>
        <w:autoSpaceDN w:val="0"/>
        <w:adjustRightInd w:val="0"/>
        <w:jc w:val="both"/>
        <w:rPr>
          <w:rFonts w:eastAsia="InvisibleOCR"/>
        </w:rPr>
      </w:pPr>
      <w:r>
        <w:rPr>
          <w:rFonts w:eastAsia="InvisibleOCR"/>
        </w:rPr>
        <w:tab/>
      </w:r>
      <w:r w:rsidR="005431E1">
        <w:rPr>
          <w:rFonts w:eastAsia="InvisibleOCR"/>
        </w:rPr>
        <w:t>T</w:t>
      </w:r>
      <w:r>
        <w:rPr>
          <w:rFonts w:eastAsia="InvisibleOCR"/>
        </w:rPr>
        <w:t>he Federal Executive Agencies and EVGo Services, LLC, have no objection to the Motio</w:t>
      </w:r>
      <w:r w:rsidR="005431E1">
        <w:rPr>
          <w:rFonts w:eastAsia="InvisibleOCR"/>
        </w:rPr>
        <w:t xml:space="preserve">n. The </w:t>
      </w:r>
      <w:r w:rsidR="006D3EB8">
        <w:rPr>
          <w:rFonts w:eastAsia="InvisibleOCR"/>
        </w:rPr>
        <w:t>remaining intervene</w:t>
      </w:r>
      <w:r w:rsidR="005431E1">
        <w:rPr>
          <w:rFonts w:eastAsia="InvisibleOCR"/>
        </w:rPr>
        <w:t>rs take no position with respect to the Motion.</w:t>
      </w:r>
    </w:p>
    <w:p w:rsidR="005431E1" w:rsidRDefault="005431E1" w:rsidP="00EA2A70">
      <w:pPr>
        <w:autoSpaceDE w:val="0"/>
        <w:autoSpaceDN w:val="0"/>
        <w:adjustRightInd w:val="0"/>
        <w:jc w:val="both"/>
        <w:rPr>
          <w:rFonts w:eastAsia="InvisibleOCR"/>
        </w:rPr>
      </w:pPr>
    </w:p>
    <w:p w:rsidR="005431E1" w:rsidRPr="00CC21D5" w:rsidRDefault="005431E1" w:rsidP="00EA2A70">
      <w:pPr>
        <w:autoSpaceDE w:val="0"/>
        <w:autoSpaceDN w:val="0"/>
        <w:adjustRightInd w:val="0"/>
        <w:jc w:val="both"/>
        <w:rPr>
          <w:rFonts w:eastAsia="InvisibleOCR"/>
        </w:rPr>
      </w:pPr>
      <w:r>
        <w:rPr>
          <w:rFonts w:eastAsia="InvisibleOCR"/>
        </w:rPr>
        <w:tab/>
        <w:t>On May 19, 2025, FPL filed a Response to the Motion. FPL states that the identity of FEIA members is unknown and the alleged impact to their substantial interests is speculative. FPL notes its preliminary objection to FEIA’s standing, and requests that the Prehearing Officer grant FEIA’s standing subject to proof of standing or appropriate stipulations.</w:t>
      </w:r>
    </w:p>
    <w:p w:rsidR="00B91995" w:rsidRDefault="00B91995" w:rsidP="00B91995">
      <w:pPr>
        <w:jc w:val="both"/>
      </w:pPr>
    </w:p>
    <w:p w:rsidR="00B91995" w:rsidRPr="00173CF1" w:rsidRDefault="00B91995" w:rsidP="00B91995">
      <w:pPr>
        <w:jc w:val="both"/>
        <w:rPr>
          <w:u w:val="single"/>
        </w:rPr>
      </w:pPr>
      <w:r w:rsidRPr="00173CF1">
        <w:rPr>
          <w:u w:val="single"/>
        </w:rPr>
        <w:t>Standards for Intervention</w:t>
      </w:r>
    </w:p>
    <w:p w:rsidR="00A9545B" w:rsidRDefault="00A9545B" w:rsidP="00574C28">
      <w:pPr>
        <w:ind w:firstLine="720"/>
        <w:jc w:val="both"/>
      </w:pPr>
    </w:p>
    <w:p w:rsidR="00574C28" w:rsidRDefault="00574C28" w:rsidP="00574C28">
      <w:pPr>
        <w:ind w:firstLine="720"/>
        <w:jc w:val="both"/>
      </w:pPr>
      <w:r w:rsidRPr="00101888">
        <w:t>Pursuant to Rule 28-106.205, F.A.C., persons, other than the original parties to a pending proceeding, who have a s</w:t>
      </w:r>
      <w:r w:rsidRPr="00B07377">
        <w:t>ubstantial interest in the proceeding and who desire to become parties may move for leave to intervene.</w:t>
      </w:r>
      <w:r w:rsidRPr="00C70536">
        <w:t xml:space="preserve"> </w:t>
      </w:r>
      <w:r w:rsidRPr="00B07377">
        <w:t xml:space="preserve">A </w:t>
      </w:r>
      <w:r>
        <w:t xml:space="preserve">person claiming a </w:t>
      </w:r>
      <w:r w:rsidRPr="00B07377">
        <w:t>substantial interest in the proceeding</w:t>
      </w:r>
      <w:r>
        <w:t xml:space="preserve"> must plead sufficient facts to demonstrate </w:t>
      </w:r>
      <w:r>
        <w:rPr>
          <w:color w:val="000000"/>
        </w:rPr>
        <w:t>an</w:t>
      </w:r>
      <w:r w:rsidRPr="00B07377">
        <w:rPr>
          <w:color w:val="000000"/>
        </w:rPr>
        <w:t xml:space="preserve"> injury in fact which is of su</w:t>
      </w:r>
      <w:r>
        <w:rPr>
          <w:color w:val="000000"/>
        </w:rPr>
        <w:t>fficient immediacy to entitle the</w:t>
      </w:r>
      <w:r w:rsidRPr="00B07377">
        <w:rPr>
          <w:color w:val="000000"/>
        </w:rPr>
        <w:t>m to a</w:t>
      </w:r>
      <w:r>
        <w:rPr>
          <w:color w:val="000000"/>
        </w:rPr>
        <w:t>n evidentiary</w:t>
      </w:r>
      <w:r w:rsidRPr="00B07377">
        <w:rPr>
          <w:color w:val="000000"/>
        </w:rPr>
        <w:t xml:space="preserve"> hearing, and</w:t>
      </w:r>
      <w:r>
        <w:rPr>
          <w:color w:val="000000"/>
        </w:rPr>
        <w:t xml:space="preserve"> </w:t>
      </w:r>
      <w:r w:rsidRPr="00B07377">
        <w:rPr>
          <w:color w:val="000000"/>
        </w:rPr>
        <w:t xml:space="preserve">that </w:t>
      </w:r>
      <w:r>
        <w:rPr>
          <w:color w:val="000000"/>
        </w:rPr>
        <w:t>t</w:t>
      </w:r>
      <w:r w:rsidRPr="00B07377">
        <w:rPr>
          <w:color w:val="000000"/>
        </w:rPr>
        <w:t xml:space="preserve">his injury is of a type or </w:t>
      </w:r>
      <w:r w:rsidR="006D3EB8" w:rsidRPr="00B07377">
        <w:rPr>
          <w:color w:val="000000"/>
        </w:rPr>
        <w:t>nature that</w:t>
      </w:r>
      <w:r w:rsidRPr="00B07377">
        <w:rPr>
          <w:color w:val="000000"/>
        </w:rPr>
        <w:t xml:space="preserve"> the proceeding is designed to protect</w:t>
      </w:r>
      <w:r>
        <w:rPr>
          <w:color w:val="000000"/>
        </w:rPr>
        <w:t xml:space="preserve">. </w:t>
      </w:r>
      <w:r w:rsidRPr="00B07377">
        <w:rPr>
          <w:i/>
          <w:bdr w:val="none" w:sz="0" w:space="0" w:color="auto" w:frame="1"/>
        </w:rPr>
        <w:t>Agrico Chem. Co. v. Dep't of Env't Regul.</w:t>
      </w:r>
      <w:r w:rsidRPr="00B07377">
        <w:rPr>
          <w:i/>
          <w:color w:val="000000"/>
        </w:rPr>
        <w:t>,</w:t>
      </w:r>
      <w:r w:rsidRPr="00B07377">
        <w:rPr>
          <w:color w:val="000000"/>
        </w:rPr>
        <w:t xml:space="preserve"> 406</w:t>
      </w:r>
      <w:r>
        <w:rPr>
          <w:color w:val="000000"/>
        </w:rPr>
        <w:t xml:space="preserve"> So. 2d 478, 482 (Fla. 1</w:t>
      </w:r>
      <w:r w:rsidRPr="00B07377">
        <w:rPr>
          <w:color w:val="000000"/>
        </w:rPr>
        <w:t>st</w:t>
      </w:r>
      <w:r>
        <w:rPr>
          <w:color w:val="000000"/>
        </w:rPr>
        <w:t xml:space="preserve"> DCA</w:t>
      </w:r>
      <w:r w:rsidRPr="00B07377">
        <w:rPr>
          <w:color w:val="000000"/>
        </w:rPr>
        <w:t xml:space="preserve"> 1981)</w:t>
      </w:r>
      <w:r>
        <w:rPr>
          <w:color w:val="000000"/>
        </w:rPr>
        <w:t>.</w:t>
      </w:r>
      <w:r>
        <w:t xml:space="preserve"> An association such as </w:t>
      </w:r>
      <w:r w:rsidR="00ED67A5" w:rsidRPr="009B0115">
        <w:t>FEIA</w:t>
      </w:r>
      <w:r>
        <w:t xml:space="preserve"> that is seeking to intervene in an administrative proceeding on behalf of its members must specifically plead the following:</w:t>
      </w:r>
    </w:p>
    <w:p w:rsidR="00574C28" w:rsidRDefault="00574C28" w:rsidP="00574C28">
      <w:pPr>
        <w:ind w:firstLine="720"/>
        <w:jc w:val="both"/>
      </w:pPr>
    </w:p>
    <w:p w:rsidR="00574C28" w:rsidRDefault="00574C28" w:rsidP="00574C28">
      <w:pPr>
        <w:ind w:left="1440" w:hanging="720"/>
        <w:jc w:val="both"/>
      </w:pPr>
      <w:r>
        <w:t>(1)</w:t>
      </w:r>
      <w:r>
        <w:tab/>
        <w:t xml:space="preserve">the substantial interests of </w:t>
      </w:r>
      <w:r w:rsidRPr="00BB1576">
        <w:t xml:space="preserve">a substantial number of </w:t>
      </w:r>
      <w:r>
        <w:t>its</w:t>
      </w:r>
      <w:r w:rsidRPr="00BB1576">
        <w:t xml:space="preserve"> members may be substantially affected by the</w:t>
      </w:r>
      <w:r>
        <w:t xml:space="preserve"> proceeding;</w:t>
      </w:r>
    </w:p>
    <w:p w:rsidR="00574C28" w:rsidRPr="0000386E" w:rsidRDefault="00574C28" w:rsidP="00574C28">
      <w:pPr>
        <w:ind w:left="1440" w:hanging="720"/>
        <w:jc w:val="both"/>
      </w:pPr>
      <w:r>
        <w:t>(2)</w:t>
      </w:r>
      <w:r>
        <w:tab/>
      </w:r>
      <w:r w:rsidRPr="00BB1576">
        <w:t>the subject matter of the proceeding is within the association’s general</w:t>
      </w:r>
      <w:r>
        <w:t xml:space="preserve"> scope of interest and activity;</w:t>
      </w:r>
      <w:r w:rsidRPr="00BB1576">
        <w:t xml:space="preserve"> and</w:t>
      </w:r>
    </w:p>
    <w:p w:rsidR="00574C28" w:rsidRDefault="00574C28" w:rsidP="00574C28">
      <w:pPr>
        <w:ind w:left="1440" w:hanging="720"/>
        <w:jc w:val="both"/>
      </w:pPr>
      <w:r w:rsidRPr="0000386E">
        <w:t>(3)</w:t>
      </w:r>
      <w:r w:rsidRPr="0000386E">
        <w:tab/>
        <w:t>the relief requested is of a type appropriate for the association to receive on behalf of its members.</w:t>
      </w:r>
    </w:p>
    <w:p w:rsidR="00574C28" w:rsidRPr="0000386E" w:rsidRDefault="00574C28" w:rsidP="00574C28">
      <w:pPr>
        <w:ind w:left="1440" w:hanging="720"/>
        <w:jc w:val="both"/>
      </w:pPr>
    </w:p>
    <w:p w:rsidR="00574C28" w:rsidRPr="0000386E" w:rsidRDefault="00574C28" w:rsidP="00574C28">
      <w:pPr>
        <w:shd w:val="clear" w:color="auto" w:fill="FFFFFF"/>
        <w:jc w:val="both"/>
      </w:pPr>
      <w:r w:rsidRPr="0000386E">
        <w:rPr>
          <w:i/>
          <w:bdr w:val="none" w:sz="0" w:space="0" w:color="auto" w:frame="1"/>
        </w:rPr>
        <w:t>Fla. Home Builders Ass'n v. Dep't of Lab. &amp; Emp. Sec.</w:t>
      </w:r>
      <w:r w:rsidRPr="0000386E">
        <w:t>, 412 So. 2d 351, 354 (Fla. 1982).</w:t>
      </w:r>
    </w:p>
    <w:p w:rsidR="00574C28" w:rsidRDefault="00574C28" w:rsidP="00574C28">
      <w:pPr>
        <w:jc w:val="both"/>
        <w:rPr>
          <w:u w:val="single"/>
        </w:rPr>
      </w:pPr>
      <w:r>
        <w:rPr>
          <w:u w:val="single"/>
        </w:rPr>
        <w:t>Analysis and Ruling</w:t>
      </w:r>
    </w:p>
    <w:p w:rsidR="00574C28" w:rsidRDefault="00574C28" w:rsidP="00574C28">
      <w:pPr>
        <w:jc w:val="both"/>
      </w:pPr>
    </w:p>
    <w:p w:rsidR="00574C28" w:rsidRPr="00A441AD" w:rsidRDefault="00574C28" w:rsidP="00574C28">
      <w:pPr>
        <w:shd w:val="clear" w:color="auto" w:fill="FFFFFF"/>
        <w:jc w:val="both"/>
      </w:pPr>
      <w:r w:rsidRPr="00A779BA">
        <w:rPr>
          <w:rFonts w:ascii="Arial" w:hAnsi="Arial" w:cs="Arial"/>
        </w:rPr>
        <w:tab/>
      </w:r>
      <w:r>
        <w:rPr>
          <w:rFonts w:ascii="Arial" w:hAnsi="Arial" w:cs="Arial"/>
        </w:rPr>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w:t>
      </w:r>
      <w:r>
        <w:t>”</w:t>
      </w:r>
      <w:r w:rsidRPr="00A779BA">
        <w:t xml:space="preserve"> </w:t>
      </w:r>
      <w:r w:rsidRPr="00A779BA">
        <w:rPr>
          <w:i/>
          <w:bdr w:val="none" w:sz="0" w:space="0" w:color="auto" w:frame="1"/>
        </w:rPr>
        <w:t>Mid-Chattahoochee River Users v. Fla. Dep't of Env't Prot.</w:t>
      </w:r>
      <w:r w:rsidRPr="00A779BA">
        <w:t>, 948 So. 2d 794, 796 (Fla. 1</w:t>
      </w:r>
      <w:r w:rsidRPr="00A779BA">
        <w:rPr>
          <w:vertAlign w:val="superscript"/>
        </w:rPr>
        <w:t>st</w:t>
      </w:r>
      <w:r w:rsidRPr="00A779BA">
        <w:t xml:space="preserve"> DCA 2006). Taken as true, </w:t>
      </w:r>
      <w:r w:rsidR="00E72F21">
        <w:t>FEIA</w:t>
      </w:r>
      <w:r w:rsidRPr="00A779BA">
        <w:t>’s allegations are sufficient to support all elements of associational standing</w:t>
      </w:r>
      <w:r>
        <w:t xml:space="preserve"> under </w:t>
      </w:r>
      <w:r>
        <w:rPr>
          <w:i/>
        </w:rPr>
        <w:t>Florida Home Builders</w:t>
      </w:r>
      <w:r w:rsidRPr="00A779BA">
        <w:t>. Therefore, F</w:t>
      </w:r>
      <w:r w:rsidR="00E72F21">
        <w:t>EIA</w:t>
      </w:r>
      <w:r w:rsidRPr="00A779BA">
        <w:t xml:space="preserve">’s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t xml:space="preserve"> As an </w:t>
      </w:r>
      <w:r w:rsidR="006D3EB8">
        <w:t>intervener</w:t>
      </w:r>
      <w:r>
        <w:t>, F</w:t>
      </w:r>
      <w:r w:rsidR="00E72F21">
        <w:t>EI</w:t>
      </w:r>
      <w:r w:rsidR="00875221">
        <w:t>A</w:t>
      </w:r>
      <w:r>
        <w:t xml:space="preserve"> takes the case as it finds it.</w:t>
      </w:r>
    </w:p>
    <w:p w:rsidR="00574C28" w:rsidRPr="00BB1576" w:rsidRDefault="00574C28" w:rsidP="00574C28">
      <w:pPr>
        <w:ind w:firstLine="720"/>
        <w:jc w:val="both"/>
      </w:pPr>
    </w:p>
    <w:p w:rsidR="00574C28" w:rsidRPr="00BB1576" w:rsidRDefault="00574C28" w:rsidP="00574C28">
      <w:pPr>
        <w:jc w:val="both"/>
      </w:pPr>
      <w:r w:rsidRPr="00BB1576">
        <w:tab/>
        <w:t>Based on the above representations, it is</w:t>
      </w:r>
    </w:p>
    <w:p w:rsidR="00574C28" w:rsidRPr="00BB1576" w:rsidRDefault="00574C28" w:rsidP="00574C28">
      <w:pPr>
        <w:jc w:val="both"/>
      </w:pPr>
    </w:p>
    <w:p w:rsidR="00574C28" w:rsidRDefault="00574C28" w:rsidP="00574C28">
      <w:pPr>
        <w:ind w:firstLine="720"/>
        <w:jc w:val="both"/>
      </w:pPr>
      <w:r w:rsidRPr="00BB1576">
        <w:t xml:space="preserve">ORDERED by Commissioner </w:t>
      </w:r>
      <w:r>
        <w:t>Mike La Rosa</w:t>
      </w:r>
      <w:r w:rsidRPr="00BB1576">
        <w:t xml:space="preserve">, as Prehearing Officer, that the Motion to Intervene filed by </w:t>
      </w:r>
      <w:r>
        <w:t>Fl</w:t>
      </w:r>
      <w:r w:rsidR="00E72F21">
        <w:t>orida Energy Innovation Association</w:t>
      </w:r>
      <w:r w:rsidRPr="00BB1576">
        <w:t xml:space="preserve"> is hereby granted</w:t>
      </w:r>
      <w:r>
        <w:t>, subject to proof of standing or stipulations that there are sufficient facts to support the elements for standing</w:t>
      </w:r>
      <w:r w:rsidRPr="00BB1576">
        <w:t xml:space="preserve">. It is further </w:t>
      </w:r>
    </w:p>
    <w:p w:rsidR="00574C28" w:rsidRDefault="00574C28" w:rsidP="00574C28">
      <w:pPr>
        <w:ind w:firstLine="720"/>
        <w:jc w:val="both"/>
      </w:pPr>
    </w:p>
    <w:p w:rsidR="00574C28" w:rsidRDefault="00574C28" w:rsidP="00574C28">
      <w:pPr>
        <w:ind w:firstLine="720"/>
        <w:jc w:val="both"/>
      </w:pPr>
      <w:r>
        <w:t xml:space="preserve">ORDERED that </w:t>
      </w:r>
      <w:r w:rsidRPr="00B5749F">
        <w:t xml:space="preserve">Florida </w:t>
      </w:r>
      <w:r w:rsidR="00E72F21">
        <w:t>Energy Innovation Association</w:t>
      </w:r>
      <w:r>
        <w:t xml:space="preserve"> takes the case as it finds it. It is further </w:t>
      </w:r>
    </w:p>
    <w:p w:rsidR="00B91995" w:rsidRDefault="00B91995" w:rsidP="00B91995">
      <w:pPr>
        <w:ind w:firstLine="720"/>
        <w:jc w:val="both"/>
      </w:pPr>
    </w:p>
    <w:p w:rsidR="00B91995" w:rsidRDefault="00B91995" w:rsidP="00B91995">
      <w:pPr>
        <w:ind w:firstLine="720"/>
        <w:jc w:val="both"/>
      </w:pPr>
      <w:r>
        <w:t>ORDERED that all parties to this proceeding shall furnish copies of all testimony, exhibits, pleadings, and other documents which may hereinafter be filed in this proceeding to:</w:t>
      </w:r>
    </w:p>
    <w:p w:rsidR="00B91995" w:rsidRDefault="00B91995" w:rsidP="00B91995">
      <w:pPr>
        <w:ind w:firstLine="720"/>
        <w:jc w:val="both"/>
      </w:pPr>
    </w:p>
    <w:p w:rsidR="00B91995" w:rsidRDefault="00EB2F3B" w:rsidP="00B91995">
      <w:pPr>
        <w:ind w:firstLine="720"/>
        <w:jc w:val="both"/>
      </w:pPr>
      <w:r>
        <w:t>D. Bruce May</w:t>
      </w:r>
    </w:p>
    <w:p w:rsidR="00EB2F3B" w:rsidRDefault="00EB2F3B" w:rsidP="00B91995">
      <w:pPr>
        <w:ind w:firstLine="720"/>
        <w:jc w:val="both"/>
      </w:pPr>
      <w:r>
        <w:t>Kevin W. Cox</w:t>
      </w:r>
    </w:p>
    <w:p w:rsidR="00EB2F3B" w:rsidRDefault="00EB2F3B" w:rsidP="00B91995">
      <w:pPr>
        <w:ind w:firstLine="720"/>
        <w:jc w:val="both"/>
      </w:pPr>
      <w:r>
        <w:t>Kathryn Isted</w:t>
      </w:r>
    </w:p>
    <w:p w:rsidR="00EB2F3B" w:rsidRDefault="00EB2F3B" w:rsidP="00B91995">
      <w:pPr>
        <w:ind w:firstLine="720"/>
        <w:jc w:val="both"/>
      </w:pPr>
      <w:r>
        <w:t>Holland &amp; Knight LLP</w:t>
      </w:r>
    </w:p>
    <w:p w:rsidR="00EB2F3B" w:rsidRDefault="00EB2F3B" w:rsidP="00B91995">
      <w:pPr>
        <w:ind w:firstLine="720"/>
        <w:jc w:val="both"/>
      </w:pPr>
      <w:r>
        <w:t>315 South Calhoun Street, Suite 600</w:t>
      </w:r>
    </w:p>
    <w:p w:rsidR="00EB2F3B" w:rsidRDefault="00EB2F3B" w:rsidP="00B91995">
      <w:pPr>
        <w:ind w:firstLine="720"/>
        <w:jc w:val="both"/>
      </w:pPr>
      <w:r>
        <w:t>Tallahassee, Florida 32301</w:t>
      </w:r>
    </w:p>
    <w:p w:rsidR="00EB2F3B" w:rsidRDefault="00EB2F3B" w:rsidP="00B91995">
      <w:pPr>
        <w:ind w:firstLine="720"/>
        <w:jc w:val="both"/>
      </w:pPr>
      <w:r>
        <w:t>(850) 224-7000</w:t>
      </w:r>
    </w:p>
    <w:p w:rsidR="00EB2F3B" w:rsidRDefault="00C3647E" w:rsidP="00B91995">
      <w:pPr>
        <w:ind w:firstLine="720"/>
        <w:jc w:val="both"/>
      </w:pPr>
      <w:hyperlink r:id="rId6" w:history="1">
        <w:r w:rsidR="00EB2F3B" w:rsidRPr="00811953">
          <w:rPr>
            <w:rStyle w:val="Hyperlink"/>
          </w:rPr>
          <w:t>Bruce.may@hklaw.com</w:t>
        </w:r>
      </w:hyperlink>
    </w:p>
    <w:p w:rsidR="00EB2F3B" w:rsidRDefault="00C3647E" w:rsidP="00B91995">
      <w:pPr>
        <w:ind w:firstLine="720"/>
        <w:jc w:val="both"/>
      </w:pPr>
      <w:hyperlink r:id="rId7" w:history="1">
        <w:r w:rsidR="00EB2F3B" w:rsidRPr="00811953">
          <w:rPr>
            <w:rStyle w:val="Hyperlink"/>
          </w:rPr>
          <w:t>Kevin.cox@hklaw.com</w:t>
        </w:r>
      </w:hyperlink>
    </w:p>
    <w:p w:rsidR="00EB2F3B" w:rsidRDefault="00C3647E" w:rsidP="00B91995">
      <w:pPr>
        <w:ind w:firstLine="720"/>
        <w:jc w:val="both"/>
      </w:pPr>
      <w:hyperlink r:id="rId8" w:history="1">
        <w:r w:rsidR="00EB2F3B" w:rsidRPr="00811953">
          <w:rPr>
            <w:rStyle w:val="Hyperlink"/>
          </w:rPr>
          <w:t>Kathryn.isted@hklaw.com</w:t>
        </w:r>
      </w:hyperlink>
    </w:p>
    <w:p w:rsidR="00B91995" w:rsidRDefault="00B91995" w:rsidP="00B91995">
      <w:pPr>
        <w:jc w:val="both"/>
      </w:pPr>
    </w:p>
    <w:p w:rsidR="00EB2F3B" w:rsidRDefault="00EB2F3B" w:rsidP="00EB2F3B">
      <w:pPr>
        <w:keepNext/>
        <w:keepLines/>
        <w:jc w:val="both"/>
      </w:pPr>
      <w:r>
        <w:tab/>
        <w:t xml:space="preserve">By ORDER of Chairman Mike La Rosa, as Prehearing Officer, this </w:t>
      </w:r>
      <w:bookmarkStart w:id="6" w:name="replaceDate"/>
      <w:bookmarkEnd w:id="6"/>
      <w:r w:rsidR="00D95495">
        <w:rPr>
          <w:u w:val="single"/>
        </w:rPr>
        <w:t>22nd</w:t>
      </w:r>
      <w:r w:rsidR="00D95495">
        <w:t xml:space="preserve"> day of </w:t>
      </w:r>
      <w:r w:rsidR="00D95495">
        <w:rPr>
          <w:u w:val="single"/>
        </w:rPr>
        <w:t>May</w:t>
      </w:r>
      <w:r w:rsidR="00D95495">
        <w:t xml:space="preserve">, </w:t>
      </w:r>
      <w:r w:rsidR="00D95495">
        <w:rPr>
          <w:u w:val="single"/>
        </w:rPr>
        <w:t>2025</w:t>
      </w:r>
      <w:r w:rsidR="00D95495">
        <w:t>.</w:t>
      </w:r>
    </w:p>
    <w:p w:rsidR="00D95495" w:rsidRPr="00D95495" w:rsidRDefault="00D95495" w:rsidP="00EB2F3B">
      <w:pPr>
        <w:keepNext/>
        <w:keepLines/>
        <w:jc w:val="both"/>
      </w:pPr>
    </w:p>
    <w:p w:rsidR="00EB2F3B" w:rsidRDefault="00EB2F3B" w:rsidP="00EB2F3B">
      <w:pPr>
        <w:keepNext/>
        <w:keepLines/>
        <w:jc w:val="both"/>
      </w:pPr>
    </w:p>
    <w:p w:rsidR="00EB2F3B" w:rsidRDefault="00EB2F3B" w:rsidP="00EB2F3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B2F3B" w:rsidTr="00EB2F3B">
        <w:tc>
          <w:tcPr>
            <w:tcW w:w="720" w:type="dxa"/>
            <w:shd w:val="clear" w:color="auto" w:fill="auto"/>
          </w:tcPr>
          <w:p w:rsidR="00EB2F3B" w:rsidRDefault="00EB2F3B" w:rsidP="00EB2F3B">
            <w:pPr>
              <w:keepNext/>
              <w:keepLines/>
              <w:jc w:val="both"/>
            </w:pPr>
            <w:bookmarkStart w:id="7" w:name="bkmrkSignature" w:colFirst="0" w:colLast="0"/>
          </w:p>
        </w:tc>
        <w:tc>
          <w:tcPr>
            <w:tcW w:w="4320" w:type="dxa"/>
            <w:tcBorders>
              <w:bottom w:val="single" w:sz="4" w:space="0" w:color="auto"/>
            </w:tcBorders>
            <w:shd w:val="clear" w:color="auto" w:fill="auto"/>
          </w:tcPr>
          <w:p w:rsidR="00EB2F3B" w:rsidRDefault="00C3647E" w:rsidP="00EB2F3B">
            <w:pPr>
              <w:keepNext/>
              <w:keepLines/>
              <w:jc w:val="both"/>
            </w:pPr>
            <w:r>
              <w:t>/s/ Mike La Rosa</w:t>
            </w:r>
            <w:bookmarkStart w:id="8" w:name="_GoBack"/>
            <w:bookmarkEnd w:id="8"/>
          </w:p>
        </w:tc>
      </w:tr>
      <w:bookmarkEnd w:id="7"/>
      <w:tr w:rsidR="00EB2F3B" w:rsidTr="00EB2F3B">
        <w:tc>
          <w:tcPr>
            <w:tcW w:w="720" w:type="dxa"/>
            <w:shd w:val="clear" w:color="auto" w:fill="auto"/>
          </w:tcPr>
          <w:p w:rsidR="00EB2F3B" w:rsidRDefault="00EB2F3B" w:rsidP="00EB2F3B">
            <w:pPr>
              <w:keepNext/>
              <w:keepLines/>
              <w:jc w:val="both"/>
            </w:pPr>
          </w:p>
        </w:tc>
        <w:tc>
          <w:tcPr>
            <w:tcW w:w="4320" w:type="dxa"/>
            <w:tcBorders>
              <w:top w:val="single" w:sz="4" w:space="0" w:color="auto"/>
            </w:tcBorders>
            <w:shd w:val="clear" w:color="auto" w:fill="auto"/>
          </w:tcPr>
          <w:p w:rsidR="00EB2F3B" w:rsidRDefault="00EB2F3B" w:rsidP="00EB2F3B">
            <w:pPr>
              <w:keepNext/>
              <w:keepLines/>
              <w:jc w:val="both"/>
            </w:pPr>
            <w:r>
              <w:t>Mike La Rosa</w:t>
            </w:r>
          </w:p>
          <w:p w:rsidR="00EB2F3B" w:rsidRDefault="00EB2F3B" w:rsidP="00EB2F3B">
            <w:pPr>
              <w:keepNext/>
              <w:keepLines/>
              <w:jc w:val="both"/>
            </w:pPr>
            <w:r>
              <w:t>Chairman and Prehearing Officer</w:t>
            </w:r>
          </w:p>
        </w:tc>
      </w:tr>
    </w:tbl>
    <w:p w:rsidR="00EB2F3B" w:rsidRDefault="00EB2F3B" w:rsidP="00EB2F3B">
      <w:pPr>
        <w:pStyle w:val="OrderSigInfo"/>
        <w:keepNext/>
        <w:keepLines/>
      </w:pPr>
      <w:r>
        <w:t>Florida Public Service Commission</w:t>
      </w:r>
    </w:p>
    <w:p w:rsidR="00EB2F3B" w:rsidRDefault="00EB2F3B" w:rsidP="00EB2F3B">
      <w:pPr>
        <w:pStyle w:val="OrderSigInfo"/>
        <w:keepNext/>
        <w:keepLines/>
      </w:pPr>
      <w:r>
        <w:t>2540 Shumard Oak Boulevard</w:t>
      </w:r>
    </w:p>
    <w:p w:rsidR="00EB2F3B" w:rsidRDefault="00EB2F3B" w:rsidP="00EB2F3B">
      <w:pPr>
        <w:pStyle w:val="OrderSigInfo"/>
        <w:keepNext/>
        <w:keepLines/>
      </w:pPr>
      <w:r>
        <w:t>Tallahassee, Florida 32399</w:t>
      </w:r>
    </w:p>
    <w:p w:rsidR="00EB2F3B" w:rsidRDefault="00EB2F3B" w:rsidP="00EB2F3B">
      <w:pPr>
        <w:pStyle w:val="OrderSigInfo"/>
        <w:keepNext/>
        <w:keepLines/>
      </w:pPr>
      <w:r>
        <w:t>(850) 413</w:t>
      </w:r>
      <w:r>
        <w:noBreakHyphen/>
        <w:t>6770</w:t>
      </w:r>
    </w:p>
    <w:p w:rsidR="00EB2F3B" w:rsidRDefault="00EB2F3B" w:rsidP="00EB2F3B">
      <w:pPr>
        <w:pStyle w:val="OrderSigInfo"/>
        <w:keepNext/>
        <w:keepLines/>
      </w:pPr>
      <w:r>
        <w:t>www.floridapsc.com</w:t>
      </w:r>
    </w:p>
    <w:p w:rsidR="00EB2F3B" w:rsidRDefault="00EB2F3B" w:rsidP="00EB2F3B">
      <w:pPr>
        <w:pStyle w:val="OrderSigInfo"/>
        <w:keepNext/>
        <w:keepLines/>
      </w:pPr>
    </w:p>
    <w:p w:rsidR="00EB2F3B" w:rsidRDefault="00EB2F3B" w:rsidP="00EB2F3B">
      <w:pPr>
        <w:pStyle w:val="OrderSigInfo"/>
        <w:keepNext/>
        <w:keepLines/>
      </w:pPr>
      <w:r>
        <w:t>Copies furnished:  A copy of this document is provided to the parties of record at the time of issuance and, if applicable, interested persons.</w:t>
      </w:r>
    </w:p>
    <w:p w:rsidR="00EB2F3B" w:rsidRDefault="00EB2F3B" w:rsidP="00EB2F3B">
      <w:pPr>
        <w:pStyle w:val="OrderBody"/>
        <w:keepNext/>
        <w:keepLines/>
      </w:pPr>
    </w:p>
    <w:p w:rsidR="00EB2F3B" w:rsidRDefault="00EB2F3B" w:rsidP="00EB2F3B">
      <w:pPr>
        <w:keepNext/>
        <w:keepLines/>
        <w:jc w:val="both"/>
      </w:pPr>
    </w:p>
    <w:p w:rsidR="00EB2F3B" w:rsidRDefault="00EB2F3B" w:rsidP="00EB2F3B">
      <w:pPr>
        <w:keepNext/>
        <w:keepLines/>
        <w:jc w:val="both"/>
      </w:pPr>
      <w:r>
        <w:t>SPS</w:t>
      </w:r>
    </w:p>
    <w:p w:rsidR="00EB2F3B" w:rsidRDefault="00EB2F3B" w:rsidP="00EB2F3B">
      <w:pPr>
        <w:jc w:val="both"/>
      </w:pPr>
    </w:p>
    <w:p w:rsidR="00EB2F3B" w:rsidRDefault="00EB2F3B" w:rsidP="00EB2F3B">
      <w:pPr>
        <w:jc w:val="both"/>
      </w:pPr>
    </w:p>
    <w:p w:rsidR="00B91995" w:rsidRDefault="00B91995" w:rsidP="00B91995"/>
    <w:p w:rsidR="00B91995" w:rsidRDefault="00B91995" w:rsidP="00B91995">
      <w:pPr>
        <w:pStyle w:val="CenterUnderline"/>
      </w:pPr>
      <w:r>
        <w:t>NOTICE OF FURTHER PROCEEDINGS OR JUDICIAL REVIEW</w:t>
      </w:r>
    </w:p>
    <w:p w:rsidR="00B91995" w:rsidRDefault="00B91995" w:rsidP="00B91995">
      <w:pPr>
        <w:pStyle w:val="CenterUnderline"/>
      </w:pPr>
    </w:p>
    <w:p w:rsidR="00B91995" w:rsidRDefault="00B91995" w:rsidP="00B9199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91995" w:rsidRDefault="00B91995" w:rsidP="00B91995">
      <w:pPr>
        <w:pStyle w:val="OrderBody"/>
      </w:pPr>
    </w:p>
    <w:p w:rsidR="00B91995" w:rsidRDefault="00B91995" w:rsidP="00B91995">
      <w:pPr>
        <w:pStyle w:val="OrderBody"/>
      </w:pPr>
      <w:r>
        <w:tab/>
        <w:t>Mediation may be available on a case-by-case basis.  If mediation is conducted, it does not affect a substantially interested person's right to a hearing.</w:t>
      </w:r>
    </w:p>
    <w:p w:rsidR="00B91995" w:rsidRDefault="00B91995" w:rsidP="00B91995">
      <w:pPr>
        <w:pStyle w:val="OrderBody"/>
      </w:pPr>
    </w:p>
    <w:p w:rsidR="000B7AD2" w:rsidRDefault="00B9199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995" w:rsidRDefault="00B91995">
      <w:r>
        <w:separator/>
      </w:r>
    </w:p>
  </w:endnote>
  <w:endnote w:type="continuationSeparator" w:id="0">
    <w:p w:rsidR="00B91995" w:rsidRDefault="00B9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995" w:rsidRDefault="00B91995">
      <w:r>
        <w:separator/>
      </w:r>
    </w:p>
  </w:footnote>
  <w:footnote w:type="continuationSeparator" w:id="0">
    <w:p w:rsidR="00B91995" w:rsidRDefault="00B91995">
      <w:r>
        <w:continuationSeparator/>
      </w:r>
    </w:p>
  </w:footnote>
  <w:footnote w:id="1">
    <w:p w:rsidR="00574C28" w:rsidRPr="00A441AD" w:rsidRDefault="00574C28" w:rsidP="00574C28">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3647E">
      <w:fldChar w:fldCharType="begin"/>
    </w:r>
    <w:r w:rsidR="00C3647E">
      <w:instrText xml:space="preserve"> REF OrderNo0166 </w:instrText>
    </w:r>
    <w:r w:rsidR="00C3647E">
      <w:fldChar w:fldCharType="separate"/>
    </w:r>
    <w:r w:rsidR="00D95495">
      <w:t>PSC-2025-0166-PCO-EI</w:t>
    </w:r>
    <w:r w:rsidR="00C3647E">
      <w:fldChar w:fldCharType="end"/>
    </w:r>
  </w:p>
  <w:p w:rsidR="00FA6EFD" w:rsidRDefault="00B91995">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647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B9199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18B9"/>
    <w:rsid w:val="000D52C1"/>
    <w:rsid w:val="000D6E65"/>
    <w:rsid w:val="000D78FB"/>
    <w:rsid w:val="000E050C"/>
    <w:rsid w:val="000E1879"/>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419D"/>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54C9"/>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31E1"/>
    <w:rsid w:val="0055595D"/>
    <w:rsid w:val="00556A10"/>
    <w:rsid w:val="00557F50"/>
    <w:rsid w:val="00571D3D"/>
    <w:rsid w:val="00574C28"/>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3EB8"/>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22D"/>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244"/>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080F"/>
    <w:rsid w:val="00863A66"/>
    <w:rsid w:val="008648EB"/>
    <w:rsid w:val="008703D7"/>
    <w:rsid w:val="00874429"/>
    <w:rsid w:val="00875221"/>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115"/>
    <w:rsid w:val="009B052E"/>
    <w:rsid w:val="009B4E00"/>
    <w:rsid w:val="009D4C29"/>
    <w:rsid w:val="009E58E9"/>
    <w:rsid w:val="009E6198"/>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54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27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1995"/>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5D76"/>
    <w:rsid w:val="00C065A1"/>
    <w:rsid w:val="00C10ED5"/>
    <w:rsid w:val="00C12574"/>
    <w:rsid w:val="00C151A6"/>
    <w:rsid w:val="00C24098"/>
    <w:rsid w:val="00C30A4E"/>
    <w:rsid w:val="00C3647E"/>
    <w:rsid w:val="00C411F3"/>
    <w:rsid w:val="00C44105"/>
    <w:rsid w:val="00C523EC"/>
    <w:rsid w:val="00C55A33"/>
    <w:rsid w:val="00C57B2B"/>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1D5"/>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43F6"/>
    <w:rsid w:val="00D15497"/>
    <w:rsid w:val="00D17B79"/>
    <w:rsid w:val="00D205F5"/>
    <w:rsid w:val="00D23FEA"/>
    <w:rsid w:val="00D269CA"/>
    <w:rsid w:val="00D30B48"/>
    <w:rsid w:val="00D3168A"/>
    <w:rsid w:val="00D350D1"/>
    <w:rsid w:val="00D46FAA"/>
    <w:rsid w:val="00D47A40"/>
    <w:rsid w:val="00D51D33"/>
    <w:rsid w:val="00D539A3"/>
    <w:rsid w:val="00D57BB2"/>
    <w:rsid w:val="00D57E57"/>
    <w:rsid w:val="00D70752"/>
    <w:rsid w:val="00D80E2D"/>
    <w:rsid w:val="00D82C75"/>
    <w:rsid w:val="00D84D5E"/>
    <w:rsid w:val="00D8560E"/>
    <w:rsid w:val="00D8758F"/>
    <w:rsid w:val="00D95495"/>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2F21"/>
    <w:rsid w:val="00E75AE0"/>
    <w:rsid w:val="00E76B61"/>
    <w:rsid w:val="00E83C1F"/>
    <w:rsid w:val="00E85684"/>
    <w:rsid w:val="00E8794B"/>
    <w:rsid w:val="00E97656"/>
    <w:rsid w:val="00EA004A"/>
    <w:rsid w:val="00EA172C"/>
    <w:rsid w:val="00EA259B"/>
    <w:rsid w:val="00EA2A70"/>
    <w:rsid w:val="00EA35A3"/>
    <w:rsid w:val="00EA3E6A"/>
    <w:rsid w:val="00EA69CF"/>
    <w:rsid w:val="00EB18EF"/>
    <w:rsid w:val="00EB2F3B"/>
    <w:rsid w:val="00EB58F4"/>
    <w:rsid w:val="00EB7951"/>
    <w:rsid w:val="00ED67A5"/>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4AE6"/>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29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91995"/>
  </w:style>
  <w:style w:type="character" w:styleId="Hyperlink">
    <w:name w:val="Hyperlink"/>
    <w:basedOn w:val="DefaultParagraphFont"/>
    <w:unhideWhenUsed/>
    <w:rsid w:val="00EB2F3B"/>
    <w:rPr>
      <w:color w:val="0000FF" w:themeColor="hyperlink"/>
      <w:u w:val="single"/>
    </w:rPr>
  </w:style>
  <w:style w:type="character" w:customStyle="1" w:styleId="coconcept17">
    <w:name w:val="co_concept_1_7"/>
    <w:basedOn w:val="DefaultParagraphFont"/>
    <w:rsid w:val="00574C28"/>
  </w:style>
  <w:style w:type="character" w:customStyle="1" w:styleId="coconcept2936">
    <w:name w:val="co_concept_29_36"/>
    <w:basedOn w:val="DefaultParagraphFont"/>
    <w:rsid w:val="00574C28"/>
  </w:style>
  <w:style w:type="paragraph" w:styleId="BalloonText">
    <w:name w:val="Balloon Text"/>
    <w:basedOn w:val="Normal"/>
    <w:link w:val="BalloonTextChar"/>
    <w:semiHidden/>
    <w:unhideWhenUsed/>
    <w:rsid w:val="007C5244"/>
    <w:rPr>
      <w:rFonts w:ascii="Segoe UI" w:hAnsi="Segoe UI" w:cs="Segoe UI"/>
      <w:sz w:val="18"/>
      <w:szCs w:val="18"/>
    </w:rPr>
  </w:style>
  <w:style w:type="character" w:customStyle="1" w:styleId="BalloonTextChar">
    <w:name w:val="Balloon Text Char"/>
    <w:basedOn w:val="DefaultParagraphFont"/>
    <w:link w:val="BalloonText"/>
    <w:semiHidden/>
    <w:rsid w:val="007C5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ryn.isted@hklaw.com" TargetMode="External"/><Relationship Id="rId3" Type="http://schemas.openxmlformats.org/officeDocument/2006/relationships/webSettings" Target="webSettings.xml"/><Relationship Id="rId7" Type="http://schemas.openxmlformats.org/officeDocument/2006/relationships/hyperlink" Target="mailto:Kevin.cox@hk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uce.may@hk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2025-05-22T12:59:00Z</dcterms:created>
  <dcterms:modified xsi:type="dcterms:W3CDTF">2025-05-22T13:39:00Z</dcterms:modified>
</cp:coreProperties>
</file>