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574DB" w:rsidP="001574DB">
      <w:pPr>
        <w:pStyle w:val="OrderHeading"/>
      </w:pPr>
      <w:r>
        <w:t>BEFORE THE FLORIDA PUBLIC SERVICE COMMISSION</w:t>
      </w:r>
    </w:p>
    <w:p w:rsidR="001574DB" w:rsidRDefault="001574DB" w:rsidP="001574DB">
      <w:pPr>
        <w:pStyle w:val="OrderBody"/>
      </w:pPr>
    </w:p>
    <w:p w:rsidR="001574DB" w:rsidRDefault="001574DB" w:rsidP="001574D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574DB" w:rsidRPr="00C63FCF" w:rsidTr="00C63FCF">
        <w:trPr>
          <w:trHeight w:val="828"/>
        </w:trPr>
        <w:tc>
          <w:tcPr>
            <w:tcW w:w="4788" w:type="dxa"/>
            <w:tcBorders>
              <w:bottom w:val="single" w:sz="8" w:space="0" w:color="auto"/>
              <w:right w:val="double" w:sz="6" w:space="0" w:color="auto"/>
            </w:tcBorders>
            <w:shd w:val="clear" w:color="auto" w:fill="auto"/>
          </w:tcPr>
          <w:p w:rsidR="001574DB" w:rsidRDefault="001574DB"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1574DB" w:rsidRDefault="001574DB" w:rsidP="001574DB">
            <w:pPr>
              <w:pStyle w:val="OrderBody"/>
            </w:pPr>
            <w:r>
              <w:t xml:space="preserve">DOCKET NO. </w:t>
            </w:r>
            <w:bookmarkStart w:id="1" w:name="SSDocketNo"/>
            <w:bookmarkEnd w:id="1"/>
            <w:r>
              <w:t>20250011-EI</w:t>
            </w:r>
          </w:p>
          <w:p w:rsidR="001574DB" w:rsidRDefault="001574DB" w:rsidP="00C63FCF">
            <w:pPr>
              <w:pStyle w:val="OrderBody"/>
              <w:tabs>
                <w:tab w:val="center" w:pos="4320"/>
                <w:tab w:val="right" w:pos="8640"/>
              </w:tabs>
              <w:jc w:val="left"/>
            </w:pPr>
            <w:r>
              <w:t xml:space="preserve">ORDER NO. </w:t>
            </w:r>
            <w:bookmarkStart w:id="2" w:name="OrderNo0264"/>
            <w:r w:rsidR="006162C8">
              <w:t>PSC-2025-0264-PCO-EI</w:t>
            </w:r>
            <w:bookmarkEnd w:id="2"/>
          </w:p>
          <w:p w:rsidR="001574DB" w:rsidRDefault="001574DB" w:rsidP="00C63FCF">
            <w:pPr>
              <w:pStyle w:val="OrderBody"/>
              <w:tabs>
                <w:tab w:val="center" w:pos="4320"/>
                <w:tab w:val="right" w:pos="8640"/>
              </w:tabs>
              <w:jc w:val="left"/>
            </w:pPr>
            <w:r>
              <w:t xml:space="preserve">ISSUED: </w:t>
            </w:r>
            <w:r w:rsidR="006162C8">
              <w:t>July 9, 2025</w:t>
            </w:r>
          </w:p>
        </w:tc>
      </w:tr>
    </w:tbl>
    <w:p w:rsidR="001574DB" w:rsidRDefault="001574DB" w:rsidP="001574DB"/>
    <w:p w:rsidR="001574DB" w:rsidRDefault="001574DB" w:rsidP="001574DB"/>
    <w:p w:rsidR="00F97007" w:rsidRDefault="00F97007" w:rsidP="00F97007">
      <w:pPr>
        <w:pStyle w:val="CenterUnderline"/>
      </w:pPr>
      <w:bookmarkStart w:id="3" w:name="Commissioners"/>
      <w:bookmarkEnd w:id="3"/>
      <w:r>
        <w:t>ORDER</w:t>
      </w:r>
      <w:bookmarkStart w:id="4" w:name="OrderTitle"/>
      <w:r>
        <w:t xml:space="preserve"> GRANTING IN PART AND DENYING IN PART</w:t>
      </w:r>
    </w:p>
    <w:p w:rsidR="00F97007" w:rsidRDefault="00F97007" w:rsidP="00F97007">
      <w:pPr>
        <w:pStyle w:val="CenterUnderline"/>
      </w:pPr>
      <w:r>
        <w:t>SECOND MOTION TO ENLARGE DISCOVERY</w:t>
      </w:r>
    </w:p>
    <w:p w:rsidR="00F97007" w:rsidRDefault="00F97007" w:rsidP="00F97007">
      <w:pPr>
        <w:pStyle w:val="CenterUnderline"/>
      </w:pPr>
      <w:r>
        <w:t>BY OFFICE OF PUBLIC COUNSEL</w:t>
      </w:r>
    </w:p>
    <w:bookmarkEnd w:id="4"/>
    <w:p w:rsidR="00F97007" w:rsidRDefault="00F97007" w:rsidP="00F97007">
      <w:pPr>
        <w:pStyle w:val="CenterUnderline"/>
      </w:pPr>
    </w:p>
    <w:p w:rsidR="00F97007" w:rsidRPr="00A055CE" w:rsidRDefault="00F97007" w:rsidP="007656B5">
      <w:pPr>
        <w:pStyle w:val="OrderBody"/>
        <w:rPr>
          <w:u w:val="single"/>
        </w:rPr>
      </w:pPr>
      <w:r>
        <w:rPr>
          <w:u w:val="single"/>
        </w:rPr>
        <w:t>Background</w:t>
      </w:r>
    </w:p>
    <w:p w:rsidR="00F97007" w:rsidRDefault="00F97007" w:rsidP="00F97007">
      <w:pPr>
        <w:pStyle w:val="OrderBody"/>
      </w:pPr>
      <w:bookmarkStart w:id="5" w:name="OrderText"/>
      <w:bookmarkEnd w:id="5"/>
    </w:p>
    <w:p w:rsidR="00F97007" w:rsidRDefault="00F97007" w:rsidP="00F97007">
      <w:pPr>
        <w:pStyle w:val="OrderBody"/>
      </w:pPr>
      <w:r>
        <w:tab/>
        <w:t xml:space="preserve">On June 26, 2025, the Office of Public Counsel (OPC) filed a Second Motion to Enlarge Discovery (Motion). OPC requests in the Motion that the current limit of 850 interrogatories be increased to 950. In support of the timing of this request, OPC notes that it has served 770 of its 850 allowable interrogatories, leaving only 80 for rebuttal. Since rebuttal testimony is due to be filed July 9, 2025, and the discovery cut-off is July 23, 2025, OPC argues that it will not have sufficient time to seek an increase in the discovery limit after the testimony is filed, and is seeking proactively to ensure that it has the discovery inventory it needs to complete preparation. </w:t>
      </w:r>
      <w:r w:rsidRPr="001C06DF">
        <w:t>OPC notes that it “may not need any or all of the additional interrogatories, but OPC feels com</w:t>
      </w:r>
      <w:r>
        <w:t>pelled to seek permission to increase the limit now rather than taking a ‘wait and see’ approach.” Motion at 2-3.</w:t>
      </w:r>
    </w:p>
    <w:p w:rsidR="00F97007" w:rsidRDefault="00F97007" w:rsidP="00F97007">
      <w:pPr>
        <w:pStyle w:val="OrderBody"/>
      </w:pPr>
    </w:p>
    <w:p w:rsidR="00F97007" w:rsidRPr="001C06DF" w:rsidRDefault="00F97007" w:rsidP="00F97007">
      <w:pPr>
        <w:pStyle w:val="OrderBody"/>
      </w:pPr>
      <w:r>
        <w:tab/>
        <w:t>In support of the request for an increased amount of interrogatories, OPC argues that this is an extremely complex “and ever-evolving” proceeding involving almost $10 billion in revenues over four years</w:t>
      </w:r>
      <w:r>
        <w:rPr>
          <w:color w:val="000000"/>
        </w:rPr>
        <w:t>.</w:t>
      </w:r>
      <w:r w:rsidRPr="001C06DF">
        <w:t xml:space="preserve"> OPC </w:t>
      </w:r>
      <w:r>
        <w:t>no</w:t>
      </w:r>
      <w:r w:rsidRPr="001C06DF">
        <w:t>tes that</w:t>
      </w:r>
      <w:r>
        <w:t xml:space="preserve"> the</w:t>
      </w:r>
      <w:r w:rsidRPr="001C06DF">
        <w:t xml:space="preserve"> </w:t>
      </w:r>
      <w:r>
        <w:t>Florida Power &amp; Light Company (FPL)</w:t>
      </w:r>
      <w:r w:rsidRPr="001C06DF">
        <w:t xml:space="preserve"> filed a Notice of Identified Adjustments on May 23, 2025, but has not yet filed the adjustments, </w:t>
      </w:r>
      <w:r>
        <w:t>thereby creating an unknown</w:t>
      </w:r>
      <w:r w:rsidRPr="001C06DF">
        <w:t xml:space="preserve"> potential for </w:t>
      </w:r>
      <w:r>
        <w:t xml:space="preserve">additional </w:t>
      </w:r>
      <w:r w:rsidRPr="001C06DF">
        <w:t>discovery.</w:t>
      </w:r>
      <w:r>
        <w:t xml:space="preserve"> OPC further states that after it submitted prefiled testimony in opposition to FPL’s rate request, FPL filed notice of an application to, </w:t>
      </w:r>
      <w:r>
        <w:rPr>
          <w:i/>
        </w:rPr>
        <w:t>inter alia</w:t>
      </w:r>
      <w:r>
        <w:t>, acquire a 660 MW natural gas/oil fired generating facility. OPC asserts that this application and the potential acquisition of additional, firm capacity “represents a significant change in circumstances that could require extensive further investigation . . . .” Motion at 3.</w:t>
      </w:r>
    </w:p>
    <w:p w:rsidR="00F97007" w:rsidRPr="00E80D45" w:rsidRDefault="00F97007" w:rsidP="00F97007">
      <w:pPr>
        <w:pStyle w:val="OrderBody"/>
      </w:pPr>
    </w:p>
    <w:p w:rsidR="00F97007" w:rsidRDefault="00F97007" w:rsidP="00F97007">
      <w:pPr>
        <w:autoSpaceDE w:val="0"/>
        <w:autoSpaceDN w:val="0"/>
        <w:adjustRightInd w:val="0"/>
        <w:jc w:val="both"/>
        <w:rPr>
          <w:rFonts w:eastAsia="InvisibleOCR" w:cs="InvisibleOCR"/>
        </w:rPr>
      </w:pPr>
      <w:r w:rsidRPr="00E80D45">
        <w:tab/>
      </w:r>
      <w:r w:rsidRPr="00E80D45">
        <w:rPr>
          <w:rFonts w:eastAsia="InvisibleOCR" w:cs="InvisibleOCR"/>
        </w:rPr>
        <w:t>The League of United Latin America</w:t>
      </w:r>
      <w:r>
        <w:rPr>
          <w:rFonts w:eastAsia="InvisibleOCR" w:cs="InvisibleOCR"/>
        </w:rPr>
        <w:t xml:space="preserve">n Citizens, Florida Rising, </w:t>
      </w:r>
      <w:r w:rsidRPr="00E80D45">
        <w:rPr>
          <w:rFonts w:eastAsia="InvisibleOCR" w:cs="InvisibleOCR"/>
        </w:rPr>
        <w:t>the Environmental Confederation of Southwest Florida</w:t>
      </w:r>
      <w:r>
        <w:rPr>
          <w:rFonts w:eastAsia="InvisibleOCR" w:cs="InvisibleOCR"/>
        </w:rPr>
        <w:t xml:space="preserve">, </w:t>
      </w:r>
      <w:r w:rsidRPr="00E80D45">
        <w:rPr>
          <w:rFonts w:eastAsia="InvisibleOCR" w:cs="InvisibleOCR"/>
        </w:rPr>
        <w:t>the Florida Retail Federation, the Federal Executive Agencies,</w:t>
      </w:r>
      <w:r>
        <w:rPr>
          <w:rFonts w:eastAsia="InvisibleOCR" w:cs="InvisibleOCR"/>
        </w:rPr>
        <w:t xml:space="preserve"> and Floridians Against Increased Rates</w:t>
      </w:r>
      <w:r w:rsidRPr="00E80D45">
        <w:rPr>
          <w:rFonts w:eastAsia="InvisibleOCR" w:cs="InvisibleOCR"/>
        </w:rPr>
        <w:t xml:space="preserve"> support the </w:t>
      </w:r>
      <w:r>
        <w:rPr>
          <w:rFonts w:eastAsia="InvisibleOCR" w:cs="InvisibleOCR"/>
        </w:rPr>
        <w:t>M</w:t>
      </w:r>
      <w:r w:rsidRPr="00E80D45">
        <w:rPr>
          <w:rFonts w:eastAsia="InvisibleOCR" w:cs="InvisibleOCR"/>
        </w:rPr>
        <w:t>otion. The Florida Industrial Power Users Group, the</w:t>
      </w:r>
      <w:r>
        <w:rPr>
          <w:rFonts w:eastAsia="InvisibleOCR" w:cs="InvisibleOCR"/>
        </w:rPr>
        <w:t xml:space="preserve"> </w:t>
      </w:r>
      <w:r w:rsidRPr="00E80D45">
        <w:rPr>
          <w:rFonts w:eastAsia="InvisibleOCR" w:cs="InvisibleOCR"/>
        </w:rPr>
        <w:t>Southern Alliance for Cle</w:t>
      </w:r>
      <w:r>
        <w:rPr>
          <w:rFonts w:eastAsia="InvisibleOCR" w:cs="InvisibleOCR"/>
        </w:rPr>
        <w:t xml:space="preserve">an Energy, </w:t>
      </w:r>
      <w:r w:rsidRPr="00E80D45">
        <w:rPr>
          <w:rFonts w:eastAsia="InvisibleOCR" w:cs="InvisibleOCR"/>
        </w:rPr>
        <w:t xml:space="preserve">Walmart, </w:t>
      </w:r>
      <w:r>
        <w:rPr>
          <w:rFonts w:eastAsia="InvisibleOCR" w:cs="InvisibleOCR"/>
        </w:rPr>
        <w:t xml:space="preserve">Americans for Affordable Clean Energy, RaceTrac, Wawa, Circle K, </w:t>
      </w:r>
      <w:r w:rsidRPr="00E80D45">
        <w:rPr>
          <w:rFonts w:eastAsia="InvisibleOCR" w:cs="InvisibleOCR"/>
        </w:rPr>
        <w:t xml:space="preserve">Electrify America, </w:t>
      </w:r>
      <w:r>
        <w:rPr>
          <w:rFonts w:eastAsia="InvisibleOCR" w:cs="InvisibleOCR"/>
        </w:rPr>
        <w:t xml:space="preserve">the Florida Energy for Innovation Association, </w:t>
      </w:r>
      <w:r w:rsidRPr="00E80D45">
        <w:rPr>
          <w:rFonts w:eastAsia="InvisibleOCR" w:cs="InvisibleOCR"/>
        </w:rPr>
        <w:t>and EVgo Service</w:t>
      </w:r>
      <w:r>
        <w:rPr>
          <w:rFonts w:eastAsia="InvisibleOCR" w:cs="InvisibleOCR"/>
        </w:rPr>
        <w:t>s take no position on the M</w:t>
      </w:r>
      <w:r w:rsidRPr="00E80D45">
        <w:rPr>
          <w:rFonts w:eastAsia="InvisibleOCR" w:cs="InvisibleOCR"/>
        </w:rPr>
        <w:t>otion.</w:t>
      </w:r>
    </w:p>
    <w:p w:rsidR="00F97007" w:rsidRDefault="00F97007" w:rsidP="00F97007">
      <w:pPr>
        <w:autoSpaceDE w:val="0"/>
        <w:autoSpaceDN w:val="0"/>
        <w:adjustRightInd w:val="0"/>
        <w:jc w:val="both"/>
        <w:rPr>
          <w:rFonts w:eastAsia="InvisibleOCR" w:cs="InvisibleOCR"/>
        </w:rPr>
      </w:pPr>
    </w:p>
    <w:p w:rsidR="00F97007" w:rsidRPr="00E80D45" w:rsidRDefault="00F97007" w:rsidP="00F97007">
      <w:pPr>
        <w:pStyle w:val="Default"/>
        <w:jc w:val="both"/>
      </w:pPr>
      <w:r>
        <w:rPr>
          <w:rFonts w:eastAsia="InvisibleOCR" w:cs="InvisibleOCR"/>
        </w:rPr>
        <w:tab/>
        <w:t>FPL opposes the Motion and, on July 7, 2025,</w:t>
      </w:r>
      <w:r>
        <w:t xml:space="preserve"> filed a Response in Opposition. FPL first argues that the Motion should be denied as premature because OPC has not yet reached the current limit on interrogatories. FPL continues that the existing limit is sufficient and consistent with prior practice, including the discovery allowed in its 2021 rate case. As to the notice of </w:t>
      </w:r>
      <w:r>
        <w:lastRenderedPageBreak/>
        <w:t>acquisition regarding the generating facility, FPL argues that it “</w:t>
      </w:r>
      <w:r>
        <w:rPr>
          <w:sz w:val="23"/>
          <w:szCs w:val="23"/>
        </w:rPr>
        <w:t xml:space="preserve">is not unexpected and should not be a mystery to OPC,” because “[b]efore this Vandolah Power transaction was made public, OPC and other parties to this proceeding were made aware of the transaction on a confidential basis.” Response at 7. FPL concludes by stating that all litigation </w:t>
      </w:r>
      <w:r w:rsidR="00B62536">
        <w:rPr>
          <w:sz w:val="23"/>
          <w:szCs w:val="23"/>
        </w:rPr>
        <w:t>evolves</w:t>
      </w:r>
      <w:r>
        <w:rPr>
          <w:sz w:val="23"/>
          <w:szCs w:val="23"/>
        </w:rPr>
        <w:t>, and that OPC “has simply disregarded the interrogatory discovery limit established by the OEP and assumed that the discovery limit would be expanded simply by serving an avalanche of questions early in the proceeding . . . .” Motion at 8.</w:t>
      </w:r>
    </w:p>
    <w:p w:rsidR="00F97007" w:rsidRDefault="00F97007" w:rsidP="00F97007">
      <w:pPr>
        <w:pStyle w:val="OrderBody"/>
      </w:pPr>
    </w:p>
    <w:p w:rsidR="00F97007" w:rsidRPr="00A055CE" w:rsidRDefault="00F97007" w:rsidP="007656B5">
      <w:pPr>
        <w:pStyle w:val="OrderBody"/>
      </w:pPr>
      <w:r>
        <w:rPr>
          <w:u w:val="single"/>
        </w:rPr>
        <w:t>Decision</w:t>
      </w:r>
    </w:p>
    <w:p w:rsidR="00F97007" w:rsidRDefault="00F97007" w:rsidP="00F97007">
      <w:pPr>
        <w:pStyle w:val="OrderBody"/>
      </w:pPr>
    </w:p>
    <w:p w:rsidR="00F97007" w:rsidRDefault="00F97007" w:rsidP="006162C8">
      <w:pPr>
        <w:pStyle w:val="Default"/>
        <w:jc w:val="both"/>
      </w:pPr>
      <w:r>
        <w:tab/>
      </w:r>
      <w:r w:rsidR="006E2456">
        <w:t>T</w:t>
      </w:r>
      <w:r w:rsidR="00CF7919">
        <w:t>he Motion does</w:t>
      </w:r>
      <w:r>
        <w:t xml:space="preserve"> not demonstrate good cause to increase the cap on interrogatories from 850 to 950</w:t>
      </w:r>
      <w:r w:rsidR="00671AD0">
        <w:t>; however,</w:t>
      </w:r>
      <w:r>
        <w:t xml:space="preserve"> </w:t>
      </w:r>
      <w:r w:rsidR="00AE1D85">
        <w:t xml:space="preserve">I </w:t>
      </w:r>
      <w:r w:rsidR="00671AD0">
        <w:t xml:space="preserve">will grant </w:t>
      </w:r>
      <w:r>
        <w:t>a</w:t>
      </w:r>
      <w:r w:rsidR="0002188A">
        <w:t>nother</w:t>
      </w:r>
      <w:r>
        <w:t xml:space="preserve"> modest increase. Accordingly, the existing cap on interrogatories, including all subparts, shall be increased for the Office of Public Counsel from 850 to </w:t>
      </w:r>
      <w:r w:rsidR="00A03E8D">
        <w:t>900</w:t>
      </w:r>
      <w:r>
        <w:t>. In all other respects, the Second Motion to Enlarge Discovery is denied.</w:t>
      </w:r>
      <w:bookmarkStart w:id="6" w:name="replaceDate"/>
      <w:bookmarkEnd w:id="6"/>
    </w:p>
    <w:p w:rsidR="006162C8" w:rsidRPr="006162C8" w:rsidRDefault="006162C8" w:rsidP="006162C8">
      <w:pPr>
        <w:pStyle w:val="Default"/>
        <w:jc w:val="both"/>
      </w:pPr>
    </w:p>
    <w:p w:rsidR="00660AEE" w:rsidRDefault="00660AEE" w:rsidP="007656B5">
      <w:pPr>
        <w:pStyle w:val="Default"/>
        <w:jc w:val="both"/>
      </w:pPr>
    </w:p>
    <w:p w:rsidR="00660AEE" w:rsidRPr="009C0C09" w:rsidRDefault="00660AEE" w:rsidP="007656B5">
      <w:pPr>
        <w:pStyle w:val="Default"/>
        <w:jc w:val="both"/>
      </w:pPr>
      <w:r>
        <w:tab/>
        <w:t xml:space="preserve">ORDERED by </w:t>
      </w:r>
      <w:r w:rsidR="004869D7">
        <w:t xml:space="preserve">Chairman Mike La Rosa, as Prehearing Officer, that </w:t>
      </w:r>
      <w:r w:rsidR="000075DA">
        <w:t xml:space="preserve">the </w:t>
      </w:r>
      <w:r w:rsidR="004869D7">
        <w:t>Office of Public Counsel’s Second Motion to Enlarge Discovery is granted in part and denied in part as set forth herein.</w:t>
      </w:r>
    </w:p>
    <w:p w:rsidR="002C64D7" w:rsidRDefault="002C64D7" w:rsidP="002C64D7">
      <w:pPr>
        <w:pStyle w:val="OrderBody"/>
        <w:keepNext/>
        <w:keepLines/>
      </w:pPr>
      <w:r>
        <w:tab/>
        <w:t xml:space="preserve">By ORDER of Chairman Mike La Rosa, as Prehearing Officer, this </w:t>
      </w:r>
      <w:r w:rsidR="00EB183C">
        <w:rPr>
          <w:u w:val="single"/>
        </w:rPr>
        <w:t>9th</w:t>
      </w:r>
      <w:r w:rsidR="00EB183C">
        <w:t xml:space="preserve"> day of </w:t>
      </w:r>
      <w:r w:rsidR="00EB183C">
        <w:rPr>
          <w:u w:val="single"/>
        </w:rPr>
        <w:t>July</w:t>
      </w:r>
      <w:r w:rsidR="00EB183C">
        <w:t xml:space="preserve">, </w:t>
      </w:r>
      <w:r w:rsidR="00EB183C">
        <w:rPr>
          <w:u w:val="single"/>
        </w:rPr>
        <w:t>2025</w:t>
      </w:r>
      <w:r w:rsidR="00EB183C">
        <w:t>.</w:t>
      </w:r>
    </w:p>
    <w:p w:rsidR="002C64D7" w:rsidRDefault="002C64D7" w:rsidP="002C64D7">
      <w:pPr>
        <w:pStyle w:val="OrderBody"/>
        <w:keepNext/>
        <w:keepLines/>
      </w:pPr>
    </w:p>
    <w:p w:rsidR="002C64D7" w:rsidRDefault="002C64D7" w:rsidP="002C64D7">
      <w:pPr>
        <w:pStyle w:val="OrderBody"/>
        <w:keepNext/>
        <w:keepLines/>
      </w:pPr>
    </w:p>
    <w:p w:rsidR="002C64D7" w:rsidRDefault="002C64D7" w:rsidP="002C64D7">
      <w:pPr>
        <w:pStyle w:val="OrderBody"/>
        <w:keepNext/>
        <w:keepLines/>
      </w:pPr>
    </w:p>
    <w:p w:rsidR="002C64D7" w:rsidRDefault="002C64D7" w:rsidP="002C64D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C64D7" w:rsidTr="002C64D7">
        <w:tc>
          <w:tcPr>
            <w:tcW w:w="720" w:type="dxa"/>
            <w:shd w:val="clear" w:color="auto" w:fill="auto"/>
          </w:tcPr>
          <w:p w:rsidR="002C64D7" w:rsidRDefault="002C64D7" w:rsidP="002C64D7">
            <w:pPr>
              <w:pStyle w:val="OrderBody"/>
              <w:keepNext/>
              <w:keepLines/>
            </w:pPr>
            <w:bookmarkStart w:id="7" w:name="bkmrkSignature" w:colFirst="0" w:colLast="0"/>
          </w:p>
        </w:tc>
        <w:tc>
          <w:tcPr>
            <w:tcW w:w="4320" w:type="dxa"/>
            <w:tcBorders>
              <w:bottom w:val="single" w:sz="4" w:space="0" w:color="auto"/>
            </w:tcBorders>
            <w:shd w:val="clear" w:color="auto" w:fill="auto"/>
          </w:tcPr>
          <w:p w:rsidR="002C64D7" w:rsidRDefault="00EB183C" w:rsidP="002C64D7">
            <w:pPr>
              <w:pStyle w:val="OrderBody"/>
              <w:keepNext/>
              <w:keepLines/>
            </w:pPr>
            <w:r>
              <w:t>/s/ Mike La Rosa</w:t>
            </w:r>
            <w:bookmarkStart w:id="8" w:name="_GoBack"/>
            <w:bookmarkEnd w:id="8"/>
          </w:p>
        </w:tc>
      </w:tr>
      <w:bookmarkEnd w:id="7"/>
      <w:tr w:rsidR="002C64D7" w:rsidTr="002C64D7">
        <w:tc>
          <w:tcPr>
            <w:tcW w:w="720" w:type="dxa"/>
            <w:shd w:val="clear" w:color="auto" w:fill="auto"/>
          </w:tcPr>
          <w:p w:rsidR="002C64D7" w:rsidRDefault="002C64D7" w:rsidP="002C64D7">
            <w:pPr>
              <w:pStyle w:val="OrderBody"/>
              <w:keepNext/>
              <w:keepLines/>
            </w:pPr>
          </w:p>
        </w:tc>
        <w:tc>
          <w:tcPr>
            <w:tcW w:w="4320" w:type="dxa"/>
            <w:tcBorders>
              <w:top w:val="single" w:sz="4" w:space="0" w:color="auto"/>
            </w:tcBorders>
            <w:shd w:val="clear" w:color="auto" w:fill="auto"/>
          </w:tcPr>
          <w:p w:rsidR="002C64D7" w:rsidRDefault="002C64D7" w:rsidP="002C64D7">
            <w:pPr>
              <w:pStyle w:val="OrderBody"/>
              <w:keepNext/>
              <w:keepLines/>
            </w:pPr>
            <w:r>
              <w:t>Mike La Rosa</w:t>
            </w:r>
          </w:p>
          <w:p w:rsidR="002C64D7" w:rsidRDefault="002C64D7" w:rsidP="002C64D7">
            <w:pPr>
              <w:pStyle w:val="OrderBody"/>
              <w:keepNext/>
              <w:keepLines/>
            </w:pPr>
            <w:r>
              <w:t>Chairman and Prehearing Officer</w:t>
            </w:r>
          </w:p>
        </w:tc>
      </w:tr>
    </w:tbl>
    <w:p w:rsidR="002C64D7" w:rsidRDefault="002C64D7" w:rsidP="002C64D7">
      <w:pPr>
        <w:pStyle w:val="OrderSigInfo"/>
        <w:keepNext/>
        <w:keepLines/>
      </w:pPr>
      <w:r>
        <w:t>Florida Public Service Commission</w:t>
      </w:r>
    </w:p>
    <w:p w:rsidR="002C64D7" w:rsidRDefault="002C64D7" w:rsidP="002C64D7">
      <w:pPr>
        <w:pStyle w:val="OrderSigInfo"/>
        <w:keepNext/>
        <w:keepLines/>
      </w:pPr>
      <w:r>
        <w:t>2540 Shumard Oak Boulevard</w:t>
      </w:r>
    </w:p>
    <w:p w:rsidR="002C64D7" w:rsidRDefault="002C64D7" w:rsidP="002C64D7">
      <w:pPr>
        <w:pStyle w:val="OrderSigInfo"/>
        <w:keepNext/>
        <w:keepLines/>
      </w:pPr>
      <w:r>
        <w:t>Tallahassee, Florida 32399</w:t>
      </w:r>
    </w:p>
    <w:p w:rsidR="002C64D7" w:rsidRDefault="002C64D7" w:rsidP="002C64D7">
      <w:pPr>
        <w:pStyle w:val="OrderSigInfo"/>
        <w:keepNext/>
        <w:keepLines/>
      </w:pPr>
      <w:r>
        <w:t>(850) 413</w:t>
      </w:r>
      <w:r>
        <w:noBreakHyphen/>
        <w:t>6770</w:t>
      </w:r>
    </w:p>
    <w:p w:rsidR="002C64D7" w:rsidRDefault="002C64D7" w:rsidP="002C64D7">
      <w:pPr>
        <w:pStyle w:val="OrderSigInfo"/>
        <w:keepNext/>
        <w:keepLines/>
      </w:pPr>
      <w:r>
        <w:t>www.floridapsc.com</w:t>
      </w:r>
    </w:p>
    <w:p w:rsidR="002C64D7" w:rsidRDefault="002C64D7" w:rsidP="002C64D7">
      <w:pPr>
        <w:pStyle w:val="OrderSigInfo"/>
        <w:keepNext/>
        <w:keepLines/>
      </w:pPr>
    </w:p>
    <w:p w:rsidR="002C64D7" w:rsidRDefault="002C64D7" w:rsidP="002C64D7">
      <w:pPr>
        <w:pStyle w:val="OrderSigInfo"/>
        <w:keepNext/>
        <w:keepLines/>
      </w:pPr>
      <w:r>
        <w:t>Copies furnished:  A copy of this document is provided to the parties of record at the time of issuance and, if applicable, interested persons.</w:t>
      </w:r>
    </w:p>
    <w:p w:rsidR="002C64D7" w:rsidRDefault="002C64D7" w:rsidP="002C64D7">
      <w:pPr>
        <w:pStyle w:val="OrderBody"/>
        <w:keepNext/>
        <w:keepLines/>
      </w:pPr>
    </w:p>
    <w:p w:rsidR="002C64D7" w:rsidRDefault="002C64D7" w:rsidP="002C64D7">
      <w:pPr>
        <w:pStyle w:val="OrderBody"/>
        <w:keepNext/>
        <w:keepLines/>
      </w:pPr>
    </w:p>
    <w:p w:rsidR="002C64D7" w:rsidRDefault="002C64D7" w:rsidP="002C64D7">
      <w:pPr>
        <w:pStyle w:val="OrderBody"/>
        <w:keepNext/>
        <w:keepLines/>
      </w:pPr>
      <w:r>
        <w:t>SPS</w:t>
      </w:r>
    </w:p>
    <w:p w:rsidR="00F97007" w:rsidRDefault="00F97007" w:rsidP="002C64D7">
      <w:pPr>
        <w:pStyle w:val="OrderBody"/>
        <w:keepNext/>
        <w:keepLines/>
      </w:pPr>
    </w:p>
    <w:p w:rsidR="00EB183C" w:rsidRDefault="00EB183C" w:rsidP="002C64D7">
      <w:pPr>
        <w:pStyle w:val="OrderBody"/>
        <w:keepNext/>
        <w:keepLines/>
      </w:pPr>
    </w:p>
    <w:p w:rsidR="006162C8" w:rsidRDefault="006162C8" w:rsidP="002C64D7">
      <w:pPr>
        <w:pStyle w:val="OrderBody"/>
        <w:keepNext/>
        <w:keepLines/>
      </w:pPr>
    </w:p>
    <w:p w:rsidR="00F97007" w:rsidRDefault="00F97007" w:rsidP="002C64D7">
      <w:pPr>
        <w:pStyle w:val="OrderBody"/>
        <w:keepNext/>
        <w:keepLines/>
      </w:pPr>
    </w:p>
    <w:p w:rsidR="00C572C4" w:rsidRDefault="00C572C4" w:rsidP="002C64D7">
      <w:pPr>
        <w:pStyle w:val="OrderBody"/>
        <w:keepNext/>
        <w:keepLines/>
      </w:pPr>
    </w:p>
    <w:p w:rsidR="00C572C4" w:rsidRDefault="00C572C4" w:rsidP="00476E11">
      <w:pPr>
        <w:pStyle w:val="CenterUnderline"/>
      </w:pPr>
    </w:p>
    <w:p w:rsidR="00476E11" w:rsidRDefault="00476E11" w:rsidP="00476E11">
      <w:pPr>
        <w:pStyle w:val="CenterUnderline"/>
      </w:pPr>
      <w:r>
        <w:lastRenderedPageBreak/>
        <w:t>NOTICE OF FURTHER PROCEEDINGS OR JUDICIAL REVIEW</w:t>
      </w:r>
    </w:p>
    <w:p w:rsidR="00476E11" w:rsidRDefault="00476E11" w:rsidP="00476E11">
      <w:pPr>
        <w:pStyle w:val="CenterUnderline"/>
      </w:pPr>
    </w:p>
    <w:p w:rsidR="00476E11" w:rsidRDefault="00476E11" w:rsidP="00476E1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76E11" w:rsidRDefault="00476E11" w:rsidP="00476E11">
      <w:pPr>
        <w:pStyle w:val="OrderBody"/>
      </w:pPr>
    </w:p>
    <w:p w:rsidR="00476E11" w:rsidRDefault="00476E11" w:rsidP="00476E11">
      <w:pPr>
        <w:pStyle w:val="OrderBody"/>
      </w:pPr>
      <w:r>
        <w:tab/>
        <w:t>Mediation may be available on a case-by-case basis.  If mediation is conducted, it does not affect a substantially interested person's right to a hearing.</w:t>
      </w:r>
    </w:p>
    <w:p w:rsidR="00476E11" w:rsidRDefault="00476E11" w:rsidP="00476E11">
      <w:pPr>
        <w:pStyle w:val="OrderBody"/>
      </w:pPr>
    </w:p>
    <w:p w:rsidR="00476E11" w:rsidRDefault="00476E11" w:rsidP="00476E1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76E11" w:rsidRDefault="00476E11" w:rsidP="00476E11">
      <w:pPr>
        <w:pStyle w:val="OrderBody"/>
      </w:pPr>
    </w:p>
    <w:sectPr w:rsidR="00476E1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EF2" w:rsidRDefault="00E93EF2">
      <w:r>
        <w:separator/>
      </w:r>
    </w:p>
  </w:endnote>
  <w:endnote w:type="continuationSeparator" w:id="0">
    <w:p w:rsidR="00E93EF2" w:rsidRDefault="00E9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EF2" w:rsidRDefault="00E93EF2">
      <w:r>
        <w:separator/>
      </w:r>
    </w:p>
  </w:footnote>
  <w:footnote w:type="continuationSeparator" w:id="0">
    <w:p w:rsidR="00E93EF2" w:rsidRDefault="00E93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B183C">
      <w:fldChar w:fldCharType="begin"/>
    </w:r>
    <w:r w:rsidR="00EB183C">
      <w:instrText xml:space="preserve"> REF OrderNo0264 </w:instrText>
    </w:r>
    <w:r w:rsidR="00EB183C">
      <w:fldChar w:fldCharType="separate"/>
    </w:r>
    <w:r w:rsidR="00EB183C">
      <w:t>PSC-2025-0264-PCO-EI</w:t>
    </w:r>
    <w:r w:rsidR="00EB183C">
      <w:fldChar w:fldCharType="end"/>
    </w:r>
  </w:p>
  <w:p w:rsidR="00FA6EFD" w:rsidRDefault="001574DB">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183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1574DB"/>
    <w:rsid w:val="000022B8"/>
    <w:rsid w:val="00003883"/>
    <w:rsid w:val="000075DA"/>
    <w:rsid w:val="00011251"/>
    <w:rsid w:val="0002188A"/>
    <w:rsid w:val="00025C2A"/>
    <w:rsid w:val="00025C9D"/>
    <w:rsid w:val="0003433F"/>
    <w:rsid w:val="00035A8C"/>
    <w:rsid w:val="00036BDD"/>
    <w:rsid w:val="00041FFD"/>
    <w:rsid w:val="00042C99"/>
    <w:rsid w:val="00053AB9"/>
    <w:rsid w:val="00056229"/>
    <w:rsid w:val="00057AF1"/>
    <w:rsid w:val="00057B05"/>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74DB"/>
    <w:rsid w:val="001655D4"/>
    <w:rsid w:val="00165803"/>
    <w:rsid w:val="00187E32"/>
    <w:rsid w:val="001918FF"/>
    <w:rsid w:val="00194A97"/>
    <w:rsid w:val="00194E81"/>
    <w:rsid w:val="001A15E7"/>
    <w:rsid w:val="001A33C9"/>
    <w:rsid w:val="001A58F3"/>
    <w:rsid w:val="001B034E"/>
    <w:rsid w:val="001C2847"/>
    <w:rsid w:val="001C3BB5"/>
    <w:rsid w:val="001C3F8C"/>
    <w:rsid w:val="001C3FA8"/>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0736"/>
    <w:rsid w:val="002B3111"/>
    <w:rsid w:val="002C09F5"/>
    <w:rsid w:val="002C118E"/>
    <w:rsid w:val="002C2096"/>
    <w:rsid w:val="002C64D7"/>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6150"/>
    <w:rsid w:val="0042705B"/>
    <w:rsid w:val="00427EAC"/>
    <w:rsid w:val="004431B4"/>
    <w:rsid w:val="00445604"/>
    <w:rsid w:val="00451158"/>
    <w:rsid w:val="0045537F"/>
    <w:rsid w:val="00457DC7"/>
    <w:rsid w:val="004640B3"/>
    <w:rsid w:val="00472BCC"/>
    <w:rsid w:val="00476E11"/>
    <w:rsid w:val="00477699"/>
    <w:rsid w:val="004869D7"/>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614E"/>
    <w:rsid w:val="00514B1F"/>
    <w:rsid w:val="00523C5C"/>
    <w:rsid w:val="00524884"/>
    <w:rsid w:val="00525E93"/>
    <w:rsid w:val="0052671D"/>
    <w:rsid w:val="00526FDC"/>
    <w:rsid w:val="005300C0"/>
    <w:rsid w:val="00533EF6"/>
    <w:rsid w:val="00540E6B"/>
    <w:rsid w:val="0054109E"/>
    <w:rsid w:val="0055595D"/>
    <w:rsid w:val="00556A10"/>
    <w:rsid w:val="00557F50"/>
    <w:rsid w:val="00571D3D"/>
    <w:rsid w:val="005809E1"/>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2C8"/>
    <w:rsid w:val="00616DF2"/>
    <w:rsid w:val="0062385D"/>
    <w:rsid w:val="0063168D"/>
    <w:rsid w:val="00635C79"/>
    <w:rsid w:val="006423A7"/>
    <w:rsid w:val="006455DF"/>
    <w:rsid w:val="00645AF6"/>
    <w:rsid w:val="00647025"/>
    <w:rsid w:val="0064730A"/>
    <w:rsid w:val="006507DA"/>
    <w:rsid w:val="006531A4"/>
    <w:rsid w:val="00660774"/>
    <w:rsid w:val="00660AEE"/>
    <w:rsid w:val="0066389A"/>
    <w:rsid w:val="0066495C"/>
    <w:rsid w:val="00665CC7"/>
    <w:rsid w:val="00671AD0"/>
    <w:rsid w:val="00672612"/>
    <w:rsid w:val="00674ECC"/>
    <w:rsid w:val="00677F18"/>
    <w:rsid w:val="00693483"/>
    <w:rsid w:val="006A0BF3"/>
    <w:rsid w:val="006A502B"/>
    <w:rsid w:val="006B0036"/>
    <w:rsid w:val="006B0DA6"/>
    <w:rsid w:val="006B3FA9"/>
    <w:rsid w:val="006C0B75"/>
    <w:rsid w:val="006C547E"/>
    <w:rsid w:val="006D2B51"/>
    <w:rsid w:val="006D5575"/>
    <w:rsid w:val="006D7191"/>
    <w:rsid w:val="006E21C4"/>
    <w:rsid w:val="006E2456"/>
    <w:rsid w:val="006E42BE"/>
    <w:rsid w:val="006E5D4D"/>
    <w:rsid w:val="006E6D16"/>
    <w:rsid w:val="006F3492"/>
    <w:rsid w:val="00703F2A"/>
    <w:rsid w:val="00704C5D"/>
    <w:rsid w:val="007072BC"/>
    <w:rsid w:val="00715275"/>
    <w:rsid w:val="00721B44"/>
    <w:rsid w:val="007232A2"/>
    <w:rsid w:val="00726366"/>
    <w:rsid w:val="00731AB6"/>
    <w:rsid w:val="00733B6B"/>
    <w:rsid w:val="00734714"/>
    <w:rsid w:val="00740808"/>
    <w:rsid w:val="00740A1B"/>
    <w:rsid w:val="007467C4"/>
    <w:rsid w:val="00755702"/>
    <w:rsid w:val="0076170F"/>
    <w:rsid w:val="007656B5"/>
    <w:rsid w:val="0076669C"/>
    <w:rsid w:val="00766E46"/>
    <w:rsid w:val="00772CCB"/>
    <w:rsid w:val="00777727"/>
    <w:rsid w:val="0078166A"/>
    <w:rsid w:val="00782B79"/>
    <w:rsid w:val="00783811"/>
    <w:rsid w:val="007865E9"/>
    <w:rsid w:val="0079237D"/>
    <w:rsid w:val="00792383"/>
    <w:rsid w:val="00794D5A"/>
    <w:rsid w:val="00794DD9"/>
    <w:rsid w:val="007A060F"/>
    <w:rsid w:val="007A0882"/>
    <w:rsid w:val="007A24C1"/>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0C09"/>
    <w:rsid w:val="009D4C29"/>
    <w:rsid w:val="009E58E9"/>
    <w:rsid w:val="009E6803"/>
    <w:rsid w:val="009F6AD2"/>
    <w:rsid w:val="009F7C1B"/>
    <w:rsid w:val="00A00B5B"/>
    <w:rsid w:val="00A00D8D"/>
    <w:rsid w:val="00A01BB6"/>
    <w:rsid w:val="00A03E8D"/>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1D85"/>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2536"/>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508E"/>
    <w:rsid w:val="00C30A4E"/>
    <w:rsid w:val="00C411F3"/>
    <w:rsid w:val="00C44105"/>
    <w:rsid w:val="00C523EC"/>
    <w:rsid w:val="00C55A33"/>
    <w:rsid w:val="00C572C4"/>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CF7919"/>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60ED"/>
    <w:rsid w:val="00E33F44"/>
    <w:rsid w:val="00E37D48"/>
    <w:rsid w:val="00E4225C"/>
    <w:rsid w:val="00E44879"/>
    <w:rsid w:val="00E72914"/>
    <w:rsid w:val="00E75AE0"/>
    <w:rsid w:val="00E76B61"/>
    <w:rsid w:val="00E83C1F"/>
    <w:rsid w:val="00E85684"/>
    <w:rsid w:val="00E8794B"/>
    <w:rsid w:val="00E93EF2"/>
    <w:rsid w:val="00E97656"/>
    <w:rsid w:val="00EA004A"/>
    <w:rsid w:val="00EA172C"/>
    <w:rsid w:val="00EA259B"/>
    <w:rsid w:val="00EA35A3"/>
    <w:rsid w:val="00EA3E6A"/>
    <w:rsid w:val="00EA69CF"/>
    <w:rsid w:val="00EB183C"/>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67542"/>
    <w:rsid w:val="00F70E84"/>
    <w:rsid w:val="00F80685"/>
    <w:rsid w:val="00F94968"/>
    <w:rsid w:val="00F97007"/>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C1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1574DB"/>
    <w:pPr>
      <w:ind w:left="720"/>
      <w:contextualSpacing/>
    </w:pPr>
    <w:rPr>
      <w:rFonts w:ascii="Calibri" w:eastAsia="Calibri" w:hAnsi="Calibri"/>
    </w:rPr>
  </w:style>
  <w:style w:type="paragraph" w:customStyle="1" w:styleId="Default">
    <w:name w:val="Default"/>
    <w:rsid w:val="00F97007"/>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7656B5"/>
    <w:rPr>
      <w:rFonts w:ascii="Segoe UI" w:hAnsi="Segoe UI" w:cs="Segoe UI"/>
      <w:sz w:val="18"/>
      <w:szCs w:val="18"/>
    </w:rPr>
  </w:style>
  <w:style w:type="character" w:customStyle="1" w:styleId="BalloonTextChar">
    <w:name w:val="Balloon Text Char"/>
    <w:basedOn w:val="DefaultParagraphFont"/>
    <w:link w:val="BalloonText"/>
    <w:semiHidden/>
    <w:rsid w:val="007656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04892853">
      <w:bodyDiv w:val="1"/>
      <w:marLeft w:val="0"/>
      <w:marRight w:val="0"/>
      <w:marTop w:val="0"/>
      <w:marBottom w:val="0"/>
      <w:divBdr>
        <w:top w:val="none" w:sz="0" w:space="0" w:color="auto"/>
        <w:left w:val="none" w:sz="0" w:space="0" w:color="auto"/>
        <w:bottom w:val="none" w:sz="0" w:space="0" w:color="auto"/>
        <w:right w:val="none" w:sz="0" w:space="0" w:color="auto"/>
      </w:divBdr>
      <w:divsChild>
        <w:div w:id="140268329">
          <w:marLeft w:val="0"/>
          <w:marRight w:val="0"/>
          <w:marTop w:val="0"/>
          <w:marBottom w:val="0"/>
          <w:divBdr>
            <w:top w:val="none" w:sz="0" w:space="0" w:color="3D3D3D"/>
            <w:left w:val="none" w:sz="0" w:space="0" w:color="3D3D3D"/>
            <w:bottom w:val="none" w:sz="0" w:space="0" w:color="3D3D3D"/>
            <w:right w:val="none" w:sz="0" w:space="0" w:color="3D3D3D"/>
          </w:divBdr>
          <w:divsChild>
            <w:div w:id="10403278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2025-07-09T14:33:00Z</dcterms:created>
  <dcterms:modified xsi:type="dcterms:W3CDTF">2025-07-09T16:13:00Z</dcterms:modified>
</cp:coreProperties>
</file>