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2F08" w:rsidP="00A62F08">
      <w:pPr>
        <w:pStyle w:val="OrderHeading"/>
      </w:pPr>
      <w:r>
        <w:t>BEFORE THE FLORIDA PUBLIC SERVICE COMMISSION</w:t>
      </w:r>
    </w:p>
    <w:p w:rsidR="00A62F08" w:rsidRDefault="00A62F08" w:rsidP="00A62F08">
      <w:pPr>
        <w:pStyle w:val="OrderBody"/>
      </w:pPr>
    </w:p>
    <w:p w:rsidR="00A62F08" w:rsidRDefault="00A62F08" w:rsidP="00A62F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2F08" w:rsidRPr="00C63FCF" w:rsidTr="00C63FCF">
        <w:trPr>
          <w:trHeight w:val="828"/>
        </w:trPr>
        <w:tc>
          <w:tcPr>
            <w:tcW w:w="4788" w:type="dxa"/>
            <w:tcBorders>
              <w:bottom w:val="single" w:sz="8" w:space="0" w:color="auto"/>
              <w:right w:val="double" w:sz="6" w:space="0" w:color="auto"/>
            </w:tcBorders>
            <w:shd w:val="clear" w:color="auto" w:fill="auto"/>
          </w:tcPr>
          <w:p w:rsidR="00A62F08" w:rsidRDefault="00A62F0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62F08" w:rsidRDefault="00A62F08" w:rsidP="00A62F08">
            <w:pPr>
              <w:pStyle w:val="OrderBody"/>
            </w:pPr>
            <w:r>
              <w:t xml:space="preserve">DOCKET NO. </w:t>
            </w:r>
            <w:bookmarkStart w:id="1" w:name="SSDocketNo"/>
            <w:bookmarkEnd w:id="1"/>
            <w:r>
              <w:t>20250011-EI</w:t>
            </w:r>
          </w:p>
          <w:p w:rsidR="00A62F08" w:rsidRDefault="00A62F08" w:rsidP="00C63FCF">
            <w:pPr>
              <w:pStyle w:val="OrderBody"/>
              <w:tabs>
                <w:tab w:val="center" w:pos="4320"/>
                <w:tab w:val="right" w:pos="8640"/>
              </w:tabs>
              <w:jc w:val="left"/>
            </w:pPr>
            <w:r>
              <w:t xml:space="preserve">ORDER NO. </w:t>
            </w:r>
            <w:bookmarkStart w:id="2" w:name="OrderNo0293"/>
            <w:r w:rsidR="00093559">
              <w:t>PSC-2025-0293-PCO-EI</w:t>
            </w:r>
            <w:bookmarkEnd w:id="2"/>
          </w:p>
          <w:p w:rsidR="00A62F08" w:rsidRDefault="00A62F08" w:rsidP="00C63FCF">
            <w:pPr>
              <w:pStyle w:val="OrderBody"/>
              <w:tabs>
                <w:tab w:val="center" w:pos="4320"/>
                <w:tab w:val="right" w:pos="8640"/>
              </w:tabs>
              <w:jc w:val="left"/>
            </w:pPr>
            <w:r>
              <w:t xml:space="preserve">ISSUED: </w:t>
            </w:r>
            <w:r w:rsidR="00093559">
              <w:t>August 1, 2025</w:t>
            </w:r>
          </w:p>
        </w:tc>
      </w:tr>
    </w:tbl>
    <w:p w:rsidR="00A62F08" w:rsidRDefault="00A62F08" w:rsidP="00A62F08"/>
    <w:p w:rsidR="00A62F08" w:rsidRDefault="00A62F08" w:rsidP="00A62F08"/>
    <w:p w:rsidR="00A62F08" w:rsidRDefault="00A62F08" w:rsidP="00A62F08">
      <w:pPr>
        <w:pStyle w:val="CenterUnderline"/>
      </w:pPr>
      <w:bookmarkStart w:id="3" w:name="Commissioners"/>
      <w:bookmarkEnd w:id="3"/>
      <w:r>
        <w:t>ORDER</w:t>
      </w:r>
      <w:bookmarkStart w:id="4" w:name="OrderTitle"/>
      <w:r w:rsidR="00F6110C">
        <w:t xml:space="preserve"> GRANT</w:t>
      </w:r>
      <w:r>
        <w:t>ING MOTION TO STRIKE REBUTTAL TESTIMONY</w:t>
      </w:r>
    </w:p>
    <w:p w:rsidR="00F6110C" w:rsidRDefault="00A62F08" w:rsidP="00A62F08">
      <w:pPr>
        <w:pStyle w:val="CenterUnderline"/>
      </w:pPr>
      <w:r>
        <w:t xml:space="preserve"> OF WITNESS MICHAEL P. GORMAN</w:t>
      </w:r>
      <w:r w:rsidR="00F6110C">
        <w:t xml:space="preserve"> AND DENYING MOTION</w:t>
      </w:r>
    </w:p>
    <w:p w:rsidR="00CB5276" w:rsidRDefault="00F6110C" w:rsidP="00A62F08">
      <w:pPr>
        <w:pStyle w:val="CenterUnderline"/>
      </w:pPr>
      <w:r>
        <w:t xml:space="preserve">TO </w:t>
      </w:r>
      <w:r w:rsidR="00F500A6">
        <w:t>CONDUCT</w:t>
      </w:r>
      <w:r>
        <w:t xml:space="preserve"> DISCOVERY AS MOOT</w:t>
      </w:r>
      <w:r w:rsidR="00A62F08">
        <w:t xml:space="preserve"> </w:t>
      </w:r>
      <w:bookmarkEnd w:id="4"/>
    </w:p>
    <w:p w:rsidR="00A62F08" w:rsidRDefault="00A62F08" w:rsidP="00A62F08">
      <w:pPr>
        <w:pStyle w:val="CenterUnderline"/>
      </w:pPr>
    </w:p>
    <w:p w:rsidR="00A62F08" w:rsidRPr="00F500A6" w:rsidRDefault="00A62F08" w:rsidP="00A62F08">
      <w:pPr>
        <w:pStyle w:val="OrderBody"/>
      </w:pPr>
    </w:p>
    <w:p w:rsidR="00430B0E" w:rsidRPr="00430B0E" w:rsidRDefault="00430B0E" w:rsidP="00430B0E">
      <w:pPr>
        <w:pStyle w:val="ListParagraph"/>
        <w:ind w:left="0"/>
        <w:jc w:val="center"/>
        <w:rPr>
          <w:rFonts w:ascii="Times New Roman" w:hAnsi="Times New Roman"/>
          <w:iCs/>
          <w:color w:val="212121"/>
        </w:rPr>
      </w:pPr>
      <w:bookmarkStart w:id="5" w:name="OrderText"/>
      <w:bookmarkEnd w:id="5"/>
      <w:r>
        <w:rPr>
          <w:rFonts w:ascii="Times New Roman" w:hAnsi="Times New Roman"/>
          <w:iCs/>
          <w:color w:val="212121"/>
          <w:u w:val="single"/>
        </w:rPr>
        <w:t>Background</w:t>
      </w:r>
    </w:p>
    <w:p w:rsidR="00430B0E" w:rsidRDefault="00430B0E" w:rsidP="00A62F08">
      <w:pPr>
        <w:pStyle w:val="ListParagraph"/>
        <w:ind w:left="0"/>
        <w:jc w:val="both"/>
        <w:rPr>
          <w:rFonts w:ascii="Times New Roman" w:hAnsi="Times New Roman"/>
          <w:iCs/>
          <w:color w:val="212121"/>
        </w:rPr>
      </w:pPr>
    </w:p>
    <w:p w:rsidR="00F500A6" w:rsidRDefault="00F500A6" w:rsidP="00A62F08">
      <w:pPr>
        <w:pStyle w:val="ListParagraph"/>
        <w:ind w:left="0"/>
        <w:jc w:val="both"/>
        <w:rPr>
          <w:rFonts w:ascii="Times New Roman" w:hAnsi="Times New Roman"/>
          <w:iCs/>
          <w:color w:val="212121"/>
        </w:rPr>
      </w:pPr>
      <w:r>
        <w:rPr>
          <w:rFonts w:ascii="Times New Roman" w:hAnsi="Times New Roman"/>
          <w:iCs/>
          <w:color w:val="212121"/>
        </w:rPr>
        <w:tab/>
        <w:t xml:space="preserve">On July 9, 2025, the Federal Executive Agencies (FEA) </w:t>
      </w:r>
      <w:r w:rsidR="003526E7">
        <w:rPr>
          <w:rFonts w:ascii="Times New Roman" w:hAnsi="Times New Roman"/>
          <w:iCs/>
          <w:color w:val="212121"/>
        </w:rPr>
        <w:t xml:space="preserve">submitted </w:t>
      </w:r>
      <w:r>
        <w:rPr>
          <w:rFonts w:ascii="Times New Roman" w:hAnsi="Times New Roman"/>
          <w:iCs/>
          <w:color w:val="212121"/>
        </w:rPr>
        <w:t xml:space="preserve">direct testimony in this docket, including the prefiled direct testimony of witness Gorman. On that same date, </w:t>
      </w:r>
      <w:r w:rsidR="003526E7">
        <w:rPr>
          <w:rFonts w:ascii="Times New Roman" w:hAnsi="Times New Roman"/>
          <w:iCs/>
          <w:color w:val="212121"/>
        </w:rPr>
        <w:t xml:space="preserve">Florida Rising, the </w:t>
      </w:r>
      <w:r w:rsidRPr="00F500A6">
        <w:rPr>
          <w:rFonts w:ascii="Times New Roman" w:hAnsi="Times New Roman"/>
        </w:rPr>
        <w:t>Environmental Confederation of Southwest Florida</w:t>
      </w:r>
      <w:r w:rsidR="003526E7">
        <w:rPr>
          <w:rFonts w:ascii="Times New Roman" w:hAnsi="Times New Roman"/>
        </w:rPr>
        <w:t>, and</w:t>
      </w:r>
      <w:r w:rsidR="003526E7" w:rsidRPr="003526E7">
        <w:rPr>
          <w:rFonts w:ascii="Times New Roman" w:hAnsi="Times New Roman"/>
        </w:rPr>
        <w:t xml:space="preserve"> </w:t>
      </w:r>
      <w:r w:rsidR="003526E7" w:rsidRPr="00F500A6">
        <w:rPr>
          <w:rFonts w:ascii="Times New Roman" w:hAnsi="Times New Roman"/>
        </w:rPr>
        <w:t xml:space="preserve">the League of United Latin American Citizens Florida </w:t>
      </w:r>
      <w:r w:rsidRPr="00F500A6">
        <w:rPr>
          <w:rFonts w:ascii="Times New Roman" w:hAnsi="Times New Roman"/>
        </w:rPr>
        <w:t>(</w:t>
      </w:r>
      <w:r>
        <w:rPr>
          <w:rFonts w:ascii="Times New Roman" w:hAnsi="Times New Roman"/>
        </w:rPr>
        <w:t>collectively referred to as FEL</w:t>
      </w:r>
      <w:r w:rsidRPr="00F500A6">
        <w:rPr>
          <w:rFonts w:ascii="Times New Roman" w:hAnsi="Times New Roman"/>
        </w:rPr>
        <w:t xml:space="preserve">) </w:t>
      </w:r>
      <w:r w:rsidR="004C7A34">
        <w:rPr>
          <w:rFonts w:ascii="Times New Roman" w:hAnsi="Times New Roman"/>
        </w:rPr>
        <w:t xml:space="preserve">submitted </w:t>
      </w:r>
      <w:r w:rsidR="003526E7">
        <w:rPr>
          <w:rFonts w:ascii="Times New Roman" w:hAnsi="Times New Roman"/>
        </w:rPr>
        <w:t>their</w:t>
      </w:r>
      <w:r w:rsidR="004C7A34">
        <w:rPr>
          <w:rFonts w:ascii="Times New Roman" w:hAnsi="Times New Roman"/>
        </w:rPr>
        <w:t xml:space="preserve"> direct testimony, including the prefiled direct testimony of witness </w:t>
      </w:r>
      <w:r w:rsidR="003526E7">
        <w:rPr>
          <w:rFonts w:ascii="Times New Roman" w:hAnsi="Times New Roman"/>
        </w:rPr>
        <w:t>Rabago</w:t>
      </w:r>
      <w:r w:rsidR="004C7A34">
        <w:rPr>
          <w:rFonts w:ascii="Times New Roman" w:hAnsi="Times New Roman"/>
        </w:rPr>
        <w:t>. On July 9, 2025, FEA submitted prefiled rebuttal testimony of witness Gorman, which testimony is directed to c</w:t>
      </w:r>
      <w:r w:rsidR="00C35983">
        <w:rPr>
          <w:rFonts w:ascii="Times New Roman" w:hAnsi="Times New Roman"/>
        </w:rPr>
        <w:t>ertain FEL prefiled testimony</w:t>
      </w:r>
      <w:r w:rsidR="004C7A34">
        <w:rPr>
          <w:rFonts w:ascii="Times New Roman" w:hAnsi="Times New Roman"/>
        </w:rPr>
        <w:t>.</w:t>
      </w:r>
    </w:p>
    <w:p w:rsidR="00F500A6" w:rsidRDefault="00F500A6" w:rsidP="00A62F08">
      <w:pPr>
        <w:pStyle w:val="ListParagraph"/>
        <w:ind w:left="0"/>
        <w:jc w:val="both"/>
        <w:rPr>
          <w:rFonts w:ascii="Times New Roman" w:hAnsi="Times New Roman"/>
          <w:iCs/>
          <w:color w:val="212121"/>
        </w:rPr>
      </w:pPr>
    </w:p>
    <w:p w:rsidR="00A62F08" w:rsidRDefault="00F500A6" w:rsidP="0019672B">
      <w:pPr>
        <w:pStyle w:val="ListParagraph"/>
        <w:ind w:left="0" w:firstLine="720"/>
        <w:jc w:val="both"/>
        <w:rPr>
          <w:rFonts w:ascii="Times New Roman" w:hAnsi="Times New Roman"/>
        </w:rPr>
      </w:pPr>
      <w:r w:rsidRPr="00F500A6">
        <w:rPr>
          <w:rFonts w:ascii="Times New Roman" w:hAnsi="Times New Roman"/>
          <w:iCs/>
          <w:color w:val="212121"/>
        </w:rPr>
        <w:t xml:space="preserve">On July 10, 2025, </w:t>
      </w:r>
      <w:r>
        <w:rPr>
          <w:rFonts w:ascii="Times New Roman" w:hAnsi="Times New Roman"/>
        </w:rPr>
        <w:t>FEL</w:t>
      </w:r>
      <w:r w:rsidRPr="00F500A6">
        <w:rPr>
          <w:rFonts w:ascii="Times New Roman" w:hAnsi="Times New Roman"/>
        </w:rPr>
        <w:t xml:space="preserve"> filed</w:t>
      </w:r>
      <w:r>
        <w:rPr>
          <w:rFonts w:ascii="Times New Roman" w:hAnsi="Times New Roman"/>
        </w:rPr>
        <w:t xml:space="preserve"> a Motion to Strike Rebuttal Testimony of Federal Executive Agencies, or, in the alternative, Motion to Conduct Discovery (Motion). In the Motion, FEL asserts that rebuttal testimony from intervenor witnesses is not allowed</w:t>
      </w:r>
      <w:r w:rsidR="004C7A34">
        <w:rPr>
          <w:rFonts w:ascii="Times New Roman" w:hAnsi="Times New Roman"/>
        </w:rPr>
        <w:t xml:space="preserve"> by the Order Establishing Procedure</w:t>
      </w:r>
      <w:r w:rsidR="00006279">
        <w:rPr>
          <w:rFonts w:ascii="Times New Roman" w:hAnsi="Times New Roman"/>
        </w:rPr>
        <w:t xml:space="preserve"> </w:t>
      </w:r>
      <w:r w:rsidR="00A54910">
        <w:rPr>
          <w:rFonts w:ascii="Times New Roman" w:hAnsi="Times New Roman"/>
        </w:rPr>
        <w:t>(</w:t>
      </w:r>
      <w:r w:rsidR="00006279">
        <w:rPr>
          <w:rFonts w:ascii="Times New Roman" w:hAnsi="Times New Roman"/>
        </w:rPr>
        <w:t>OEP)</w:t>
      </w:r>
      <w:r w:rsidR="004C7A34">
        <w:rPr>
          <w:rFonts w:ascii="Times New Roman" w:hAnsi="Times New Roman"/>
        </w:rPr>
        <w:t xml:space="preserve"> in this docket, </w:t>
      </w:r>
      <w:r w:rsidR="00880EFF">
        <w:rPr>
          <w:rFonts w:ascii="Times New Roman" w:hAnsi="Times New Roman"/>
        </w:rPr>
        <w:t>nor is it generally allowed in such administrative proceedings</w:t>
      </w:r>
      <w:r>
        <w:rPr>
          <w:rFonts w:ascii="Times New Roman" w:hAnsi="Times New Roman"/>
        </w:rPr>
        <w:t>.</w:t>
      </w:r>
      <w:r w:rsidR="00880EFF">
        <w:rPr>
          <w:rFonts w:ascii="Times New Roman" w:hAnsi="Times New Roman"/>
        </w:rPr>
        <w:t xml:space="preserve"> FEL requests in the alternative that it be allowed to conduct discovery on witness Gorman’s rebuttal testimony if it is not stricken.</w:t>
      </w:r>
    </w:p>
    <w:p w:rsidR="00880EFF" w:rsidRDefault="00880EFF" w:rsidP="0019672B">
      <w:pPr>
        <w:pStyle w:val="ListParagraph"/>
        <w:ind w:left="0" w:firstLine="720"/>
        <w:jc w:val="both"/>
        <w:rPr>
          <w:rFonts w:ascii="Times New Roman" w:hAnsi="Times New Roman"/>
        </w:rPr>
      </w:pPr>
    </w:p>
    <w:p w:rsidR="00880EFF" w:rsidRPr="00430B0E" w:rsidRDefault="00880EFF" w:rsidP="0019672B">
      <w:pPr>
        <w:pStyle w:val="ListParagraph"/>
        <w:ind w:left="0" w:firstLine="720"/>
        <w:jc w:val="both"/>
        <w:rPr>
          <w:rFonts w:ascii="Times New Roman" w:hAnsi="Times New Roman"/>
          <w:iCs/>
        </w:rPr>
      </w:pPr>
      <w:r>
        <w:rPr>
          <w:rFonts w:ascii="Times New Roman" w:hAnsi="Times New Roman"/>
        </w:rPr>
        <w:t xml:space="preserve">FEA filed its Response in Opposition to the Motion on July 16, 2025. FEA disagrees with FEL’s assertion that the OEP expressly prohibits intervenor rebuttal. FEA further argues that it is entitled to rebut any assertion made by another </w:t>
      </w:r>
      <w:r w:rsidR="00430B0E">
        <w:rPr>
          <w:rFonts w:ascii="Times New Roman" w:hAnsi="Times New Roman"/>
        </w:rPr>
        <w:t>party that is adverse to a position it has forwarded.</w:t>
      </w:r>
    </w:p>
    <w:p w:rsidR="00F6110C" w:rsidRPr="00430B0E" w:rsidRDefault="00F6110C" w:rsidP="0019672B">
      <w:pPr>
        <w:pStyle w:val="ListParagraph"/>
        <w:ind w:left="0" w:firstLine="720"/>
        <w:jc w:val="both"/>
        <w:rPr>
          <w:rFonts w:ascii="Times New Roman" w:hAnsi="Times New Roman"/>
          <w:iCs/>
        </w:rPr>
      </w:pPr>
    </w:p>
    <w:p w:rsidR="00F6110C" w:rsidRPr="00EC4879" w:rsidRDefault="00430B0E" w:rsidP="00273A62">
      <w:pPr>
        <w:jc w:val="center"/>
        <w:rPr>
          <w:iCs/>
        </w:rPr>
      </w:pPr>
      <w:r w:rsidRPr="00273A62">
        <w:rPr>
          <w:iCs/>
          <w:u w:val="single"/>
        </w:rPr>
        <w:t>Analysis and Decision</w:t>
      </w:r>
    </w:p>
    <w:p w:rsidR="00430B0E" w:rsidRDefault="00430B0E" w:rsidP="0019672B">
      <w:pPr>
        <w:pStyle w:val="ListParagraph"/>
        <w:ind w:left="0" w:firstLine="720"/>
        <w:jc w:val="center"/>
        <w:rPr>
          <w:rFonts w:ascii="Times New Roman" w:hAnsi="Times New Roman"/>
          <w:iCs/>
        </w:rPr>
      </w:pPr>
    </w:p>
    <w:p w:rsidR="00006279" w:rsidRDefault="00430B0E" w:rsidP="0019672B">
      <w:pPr>
        <w:pStyle w:val="ListParagraph"/>
        <w:ind w:left="0" w:firstLine="720"/>
        <w:jc w:val="both"/>
        <w:rPr>
          <w:rFonts w:ascii="Times New Roman" w:hAnsi="Times New Roman"/>
          <w:iCs/>
        </w:rPr>
      </w:pPr>
      <w:r>
        <w:rPr>
          <w:rFonts w:ascii="Times New Roman" w:hAnsi="Times New Roman"/>
          <w:iCs/>
        </w:rPr>
        <w:t xml:space="preserve">Intervenor rebuttal testimony </w:t>
      </w:r>
      <w:r w:rsidR="00006279">
        <w:rPr>
          <w:rFonts w:ascii="Times New Roman" w:hAnsi="Times New Roman"/>
          <w:iCs/>
        </w:rPr>
        <w:t>is not allowed under the OEP</w:t>
      </w:r>
      <w:r w:rsidR="00C35983">
        <w:rPr>
          <w:rFonts w:ascii="Times New Roman" w:hAnsi="Times New Roman"/>
          <w:iCs/>
        </w:rPr>
        <w:t>.</w:t>
      </w:r>
      <w:r w:rsidR="00006279">
        <w:rPr>
          <w:rFonts w:ascii="Times New Roman" w:hAnsi="Times New Roman"/>
          <w:iCs/>
        </w:rPr>
        <w:t xml:space="preserve"> Section V of the OEP, titled “Discovery Procedures,” provides, in pertinent part, as follows:</w:t>
      </w:r>
    </w:p>
    <w:p w:rsidR="00006279" w:rsidRDefault="00006279" w:rsidP="0019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Calibri"/>
          <w:iCs/>
        </w:rPr>
      </w:pPr>
    </w:p>
    <w:p w:rsidR="00006279" w:rsidRPr="00006279" w:rsidRDefault="00006279" w:rsidP="0021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720"/>
        <w:jc w:val="both"/>
      </w:pPr>
      <w:r w:rsidRPr="00D60E67">
        <w:t xml:space="preserve">For discovery requests made prior to the filing of </w:t>
      </w:r>
      <w:r w:rsidRPr="00A54910">
        <w:rPr>
          <w:i/>
        </w:rPr>
        <w:t>the utility’s rebuttal testimony</w:t>
      </w:r>
      <w:r w:rsidRPr="00D60E67">
        <w:t xml:space="preserve">, discovery responses shall be served within </w:t>
      </w:r>
      <w:r>
        <w:t>2</w:t>
      </w:r>
      <w:r w:rsidRPr="00D60E67">
        <w:t xml:space="preserve">0 days (inclusive of mailing) of receipt of the discovery request. For discovery </w:t>
      </w:r>
      <w:r w:rsidRPr="00A47488">
        <w:t>requests</w:t>
      </w:r>
      <w:r w:rsidRPr="00D60E67">
        <w:t xml:space="preserve"> related to matters addressed in </w:t>
      </w:r>
      <w:r w:rsidRPr="00A54910">
        <w:rPr>
          <w:i/>
        </w:rPr>
        <w:t>the utility’s rebuttal testimony</w:t>
      </w:r>
      <w:r w:rsidRPr="00D60E67">
        <w:t>, discovery responses shall be served within</w:t>
      </w:r>
      <w:r w:rsidRPr="00D60E67">
        <w:rPr>
          <w:b/>
        </w:rPr>
        <w:t xml:space="preserve"> </w:t>
      </w:r>
      <w:r>
        <w:t>7</w:t>
      </w:r>
      <w:r w:rsidRPr="00D60E67">
        <w:t xml:space="preserve"> days of receipt of the discovery request.</w:t>
      </w:r>
      <w:r>
        <w:rPr>
          <w:rStyle w:val="FootnoteReference"/>
        </w:rPr>
        <w:footnoteReference w:id="1"/>
      </w:r>
    </w:p>
    <w:p w:rsidR="00430B0E" w:rsidRDefault="00006279" w:rsidP="0019672B">
      <w:pPr>
        <w:pStyle w:val="ListParagraph"/>
        <w:ind w:left="0" w:firstLine="720"/>
        <w:jc w:val="both"/>
        <w:rPr>
          <w:rFonts w:ascii="Times New Roman" w:hAnsi="Times New Roman"/>
          <w:iCs/>
        </w:rPr>
      </w:pPr>
      <w:r>
        <w:rPr>
          <w:rFonts w:ascii="Times New Roman" w:hAnsi="Times New Roman"/>
          <w:iCs/>
        </w:rPr>
        <w:lastRenderedPageBreak/>
        <w:t>Section IX of the OEP, titled “Controlling Dates,” establishes July 9, 2025, as the deadline to file “[r]ebuttal testimony and exhibits.”</w:t>
      </w:r>
      <w:r>
        <w:rPr>
          <w:rStyle w:val="FootnoteReference"/>
          <w:rFonts w:ascii="Times New Roman" w:hAnsi="Times New Roman"/>
          <w:iCs/>
        </w:rPr>
        <w:footnoteReference w:id="2"/>
      </w:r>
      <w:r>
        <w:rPr>
          <w:rFonts w:ascii="Times New Roman" w:hAnsi="Times New Roman"/>
          <w:iCs/>
        </w:rPr>
        <w:t xml:space="preserve"> </w:t>
      </w:r>
      <w:r w:rsidR="00415553">
        <w:rPr>
          <w:rFonts w:ascii="Times New Roman" w:hAnsi="Times New Roman"/>
          <w:iCs/>
        </w:rPr>
        <w:t xml:space="preserve">These provisions </w:t>
      </w:r>
      <w:r w:rsidR="0019672B">
        <w:rPr>
          <w:rFonts w:ascii="Times New Roman" w:hAnsi="Times New Roman"/>
          <w:iCs/>
        </w:rPr>
        <w:t xml:space="preserve">read together </w:t>
      </w:r>
      <w:r w:rsidR="00415553">
        <w:rPr>
          <w:rFonts w:ascii="Times New Roman" w:hAnsi="Times New Roman"/>
          <w:iCs/>
        </w:rPr>
        <w:t>establish on their face that only the utility is provided the opportunity to submit prefiled rebuttal testimony and exhibits.</w:t>
      </w:r>
    </w:p>
    <w:p w:rsidR="00415553" w:rsidRDefault="00415553" w:rsidP="0019672B">
      <w:pPr>
        <w:pStyle w:val="ListParagraph"/>
        <w:ind w:left="0" w:firstLine="720"/>
        <w:jc w:val="both"/>
        <w:rPr>
          <w:rFonts w:ascii="Times New Roman" w:hAnsi="Times New Roman"/>
          <w:iCs/>
        </w:rPr>
      </w:pPr>
    </w:p>
    <w:p w:rsidR="00474E13" w:rsidRPr="00474E13" w:rsidRDefault="00890489" w:rsidP="0019672B">
      <w:pPr>
        <w:pStyle w:val="ListParagraph"/>
        <w:ind w:left="0" w:firstLine="720"/>
        <w:jc w:val="both"/>
        <w:rPr>
          <w:rFonts w:ascii="Times New Roman" w:hAnsi="Times New Roman"/>
          <w:iCs/>
        </w:rPr>
      </w:pPr>
      <w:r>
        <w:rPr>
          <w:rFonts w:ascii="Times New Roman" w:hAnsi="Times New Roman"/>
          <w:iCs/>
        </w:rPr>
        <w:t xml:space="preserve">The </w:t>
      </w:r>
      <w:r w:rsidR="0019672B">
        <w:rPr>
          <w:rFonts w:ascii="Times New Roman" w:hAnsi="Times New Roman"/>
          <w:iCs/>
        </w:rPr>
        <w:t>scope of</w:t>
      </w:r>
      <w:r w:rsidR="00474E13">
        <w:rPr>
          <w:rFonts w:ascii="Times New Roman" w:hAnsi="Times New Roman"/>
          <w:iCs/>
        </w:rPr>
        <w:t xml:space="preserve"> </w:t>
      </w:r>
      <w:r w:rsidR="00C35983" w:rsidRPr="00474E13">
        <w:rPr>
          <w:rFonts w:ascii="Times New Roman" w:hAnsi="Times New Roman"/>
          <w:iCs/>
        </w:rPr>
        <w:t>rebuttal</w:t>
      </w:r>
      <w:r w:rsidR="00474E13">
        <w:rPr>
          <w:rFonts w:ascii="Times New Roman" w:hAnsi="Times New Roman"/>
          <w:iCs/>
        </w:rPr>
        <w:t xml:space="preserve"> testimony and exhibits </w:t>
      </w:r>
      <w:r>
        <w:rPr>
          <w:rFonts w:ascii="Times New Roman" w:hAnsi="Times New Roman"/>
          <w:iCs/>
        </w:rPr>
        <w:t>established in the OEP</w:t>
      </w:r>
      <w:r w:rsidR="00474E13">
        <w:rPr>
          <w:rFonts w:ascii="Times New Roman" w:hAnsi="Times New Roman"/>
          <w:iCs/>
        </w:rPr>
        <w:t xml:space="preserve"> is consistent with the accepted scope of rebuttal in civil actions</w:t>
      </w:r>
      <w:r w:rsidR="00C35983" w:rsidRPr="00474E13">
        <w:rPr>
          <w:rFonts w:ascii="Times New Roman" w:hAnsi="Times New Roman"/>
          <w:iCs/>
        </w:rPr>
        <w:t>.</w:t>
      </w:r>
    </w:p>
    <w:p w:rsidR="0019672B" w:rsidRDefault="0019672B" w:rsidP="0019672B">
      <w:pPr>
        <w:shd w:val="clear" w:color="auto" w:fill="FFFFFF"/>
        <w:ind w:firstLine="720"/>
        <w:jc w:val="both"/>
        <w:rPr>
          <w:rFonts w:eastAsia="Calibri"/>
          <w:iCs/>
        </w:rPr>
      </w:pPr>
    </w:p>
    <w:p w:rsidR="00474E13" w:rsidRPr="00474E13" w:rsidRDefault="002A51D3" w:rsidP="0019672B">
      <w:pPr>
        <w:shd w:val="clear" w:color="auto" w:fill="FFFFFF"/>
        <w:ind w:left="720" w:right="720"/>
        <w:jc w:val="both"/>
      </w:pPr>
      <w:r>
        <w:t>“</w:t>
      </w:r>
      <w:r w:rsidR="00474E13" w:rsidRPr="00474E13">
        <w:rPr>
          <w:rStyle w:val="coconcept916"/>
          <w:bdr w:val="none" w:sz="0" w:space="0" w:color="auto" w:frame="1"/>
          <w:shd w:val="clear" w:color="auto" w:fill="FFFFFF"/>
        </w:rPr>
        <w:t>Rebuttal</w:t>
      </w:r>
      <w:r w:rsidR="00474E13" w:rsidRPr="00474E13">
        <w:t xml:space="preserve"> </w:t>
      </w:r>
      <w:r w:rsidR="00474E13" w:rsidRPr="00474E13">
        <w:rPr>
          <w:rStyle w:val="coconcept1825"/>
          <w:bdr w:val="none" w:sz="0" w:space="0" w:color="auto" w:frame="1"/>
          <w:shd w:val="clear" w:color="auto" w:fill="FFFFFF"/>
        </w:rPr>
        <w:t>evidence</w:t>
      </w:r>
      <w:r w:rsidR="00474E13" w:rsidRPr="00474E13">
        <w:t xml:space="preserve"> explains or contradicts material evidence offered by a defendant.” </w:t>
      </w:r>
      <w:r w:rsidR="00474E13" w:rsidRPr="00474E13">
        <w:rPr>
          <w:rStyle w:val="Emphasis"/>
          <w:bdr w:val="none" w:sz="0" w:space="0" w:color="auto" w:frame="1"/>
        </w:rPr>
        <w:t>Britton v. State</w:t>
      </w:r>
      <w:r w:rsidR="00474E13" w:rsidRPr="00474E13">
        <w:t>, 414 So.</w:t>
      </w:r>
      <w:r>
        <w:t xml:space="preserve"> </w:t>
      </w:r>
      <w:r w:rsidR="00474E13" w:rsidRPr="00474E13">
        <w:t xml:space="preserve">2d 638, 639 (Fla. 5th DCA 1982). During its case-in-chief, a plaintiff must establish a prima facie case, but is not required to anticipate possible defenses by affirmatively addressing them in its case-in-chief. </w:t>
      </w:r>
      <w:r w:rsidR="00474E13" w:rsidRPr="00474E13">
        <w:rPr>
          <w:rStyle w:val="Emphasis"/>
          <w:bdr w:val="none" w:sz="0" w:space="0" w:color="auto" w:frame="1"/>
        </w:rPr>
        <w:t>See</w:t>
      </w:r>
      <w:r w:rsidR="00474E13" w:rsidRPr="00474E13">
        <w:t xml:space="preserve"> </w:t>
      </w:r>
      <w:r w:rsidR="00474E13" w:rsidRPr="00474E13">
        <w:rPr>
          <w:rStyle w:val="Emphasis"/>
          <w:bdr w:val="none" w:sz="0" w:space="0" w:color="auto" w:frame="1"/>
        </w:rPr>
        <w:t>Heberling v. Fleisher</w:t>
      </w:r>
      <w:r w:rsidR="00474E13" w:rsidRPr="00474E13">
        <w:t>, 563 So.</w:t>
      </w:r>
      <w:r>
        <w:t xml:space="preserve"> </w:t>
      </w:r>
      <w:r w:rsidR="00474E13" w:rsidRPr="00474E13">
        <w:t xml:space="preserve">2d 1086, 1087 (Fla. 4th DCA 1990) (holding that the plaintiff need not “disprove all anticipated defenses in its main case—that is exactly what rebuttal is supposed to accomplish”). When not cumulative, rebuttal is appropriate to discredit an opposing party's defense or to challenge the conclusions of an opposing party's expert. </w:t>
      </w:r>
      <w:r w:rsidR="00474E13" w:rsidRPr="00474E13">
        <w:rPr>
          <w:rStyle w:val="Emphasis"/>
          <w:bdr w:val="none" w:sz="0" w:space="0" w:color="auto" w:frame="1"/>
        </w:rPr>
        <w:t>See</w:t>
      </w:r>
      <w:r w:rsidR="00474E13" w:rsidRPr="00474E13">
        <w:t xml:space="preserve"> </w:t>
      </w:r>
      <w:r w:rsidR="00474E13" w:rsidRPr="00474E13">
        <w:rPr>
          <w:rStyle w:val="Emphasis"/>
          <w:bdr w:val="none" w:sz="0" w:space="0" w:color="auto" w:frame="1"/>
        </w:rPr>
        <w:t>Griefer v. DiPietro</w:t>
      </w:r>
      <w:r w:rsidR="00474E13" w:rsidRPr="00474E13">
        <w:t>, 708 So.</w:t>
      </w:r>
      <w:r>
        <w:t xml:space="preserve"> </w:t>
      </w:r>
      <w:r w:rsidR="00474E13" w:rsidRPr="00474E13">
        <w:t>2d 666, 672 (Fla. 4th DCA 1998) (holding exclusion of rebuttal expert was improper where expert's “rebuttal testimony would have explained and contradicted material evidence offered by [defendant]”).</w:t>
      </w:r>
    </w:p>
    <w:p w:rsidR="0019672B" w:rsidRDefault="00474E13" w:rsidP="0019672B">
      <w:pPr>
        <w:shd w:val="clear" w:color="auto" w:fill="FFFFFF"/>
        <w:ind w:firstLine="720"/>
        <w:jc w:val="both"/>
      </w:pPr>
      <w:r w:rsidRPr="00474E13">
        <w:br/>
      </w:r>
      <w:r w:rsidRPr="00273A62">
        <w:rPr>
          <w:i/>
          <w:bdr w:val="none" w:sz="0" w:space="0" w:color="auto" w:frame="1"/>
        </w:rPr>
        <w:t>Gutierrez v. Vargas</w:t>
      </w:r>
      <w:r w:rsidRPr="00474E13">
        <w:t>, 239 So. 3d 615, 627 (Fla. 2018)</w:t>
      </w:r>
      <w:r>
        <w:t>.</w:t>
      </w:r>
      <w:r w:rsidR="0019672B">
        <w:t xml:space="preserve"> </w:t>
      </w:r>
      <w:r>
        <w:t>An intervenor is not seeking affirmative relief, does not present a case-in-chief,</w:t>
      </w:r>
      <w:r w:rsidR="0031352B">
        <w:t xml:space="preserve"> and is not entitled to rebut the testimony of co-intervenors</w:t>
      </w:r>
      <w:r>
        <w:t>.</w:t>
      </w:r>
    </w:p>
    <w:p w:rsidR="0019672B" w:rsidRDefault="0019672B" w:rsidP="0019672B">
      <w:pPr>
        <w:shd w:val="clear" w:color="auto" w:fill="FFFFFF"/>
        <w:ind w:firstLine="720"/>
        <w:jc w:val="both"/>
      </w:pPr>
    </w:p>
    <w:p w:rsidR="007D0049" w:rsidRDefault="0019672B" w:rsidP="0031352B">
      <w:pPr>
        <w:shd w:val="clear" w:color="auto" w:fill="FFFFFF"/>
        <w:ind w:firstLine="720"/>
        <w:jc w:val="both"/>
        <w:rPr>
          <w:iCs/>
        </w:rPr>
      </w:pPr>
      <w:r>
        <w:t>T</w:t>
      </w:r>
      <w:r w:rsidR="006F0AED">
        <w:t>he OEP allows i</w:t>
      </w:r>
      <w:r w:rsidR="007D0049">
        <w:rPr>
          <w:iCs/>
        </w:rPr>
        <w:t xml:space="preserve">ntervenors </w:t>
      </w:r>
      <w:r w:rsidR="006F0AED">
        <w:rPr>
          <w:iCs/>
        </w:rPr>
        <w:t xml:space="preserve">the opportunities to submit prefiled testimony and exhibits in response to the utility’s request, and </w:t>
      </w:r>
      <w:r w:rsidR="007D0049">
        <w:rPr>
          <w:iCs/>
        </w:rPr>
        <w:t>to test the evidence of co-intervenors through cross-examination at the final hearing.</w:t>
      </w:r>
      <w:r w:rsidR="00F33F9F">
        <w:rPr>
          <w:iCs/>
        </w:rPr>
        <w:t xml:space="preserve"> This process affords all parties due process.</w:t>
      </w:r>
      <w:r w:rsidR="00F778F5">
        <w:rPr>
          <w:rStyle w:val="FootnoteReference"/>
          <w:iCs/>
        </w:rPr>
        <w:footnoteReference w:id="3"/>
      </w:r>
    </w:p>
    <w:p w:rsidR="00C35983" w:rsidRDefault="00C35983" w:rsidP="00430B0E">
      <w:pPr>
        <w:pStyle w:val="ListParagraph"/>
        <w:ind w:left="0"/>
        <w:jc w:val="both"/>
        <w:rPr>
          <w:rFonts w:ascii="Times New Roman" w:hAnsi="Times New Roman"/>
          <w:iCs/>
        </w:rPr>
      </w:pPr>
    </w:p>
    <w:p w:rsidR="00C35983" w:rsidRDefault="00C35983" w:rsidP="00430B0E">
      <w:pPr>
        <w:pStyle w:val="ListParagraph"/>
        <w:ind w:left="0"/>
        <w:jc w:val="both"/>
        <w:rPr>
          <w:rFonts w:ascii="Times New Roman" w:hAnsi="Times New Roman"/>
          <w:iCs/>
        </w:rPr>
      </w:pPr>
      <w:r>
        <w:rPr>
          <w:rFonts w:ascii="Times New Roman" w:hAnsi="Times New Roman"/>
          <w:iCs/>
        </w:rPr>
        <w:tab/>
      </w:r>
      <w:r w:rsidR="002A51D3">
        <w:rPr>
          <w:rFonts w:ascii="Times New Roman" w:hAnsi="Times New Roman"/>
          <w:iCs/>
        </w:rPr>
        <w:t xml:space="preserve">In light of the foregoing, </w:t>
      </w:r>
      <w:r w:rsidR="002A51D3">
        <w:rPr>
          <w:rFonts w:ascii="Times New Roman" w:hAnsi="Times New Roman"/>
        </w:rPr>
        <w:t>FEL’s</w:t>
      </w:r>
      <w:r w:rsidR="002A51D3" w:rsidRPr="00F500A6">
        <w:rPr>
          <w:rFonts w:ascii="Times New Roman" w:hAnsi="Times New Roman"/>
        </w:rPr>
        <w:t xml:space="preserve"> </w:t>
      </w:r>
      <w:r w:rsidR="002A51D3">
        <w:rPr>
          <w:rFonts w:ascii="Times New Roman" w:hAnsi="Times New Roman"/>
        </w:rPr>
        <w:t>Motion to Strike Rebuttal Testimony is granted.</w:t>
      </w:r>
      <w:r w:rsidR="002A51D3">
        <w:rPr>
          <w:rFonts w:ascii="Times New Roman" w:hAnsi="Times New Roman"/>
          <w:iCs/>
        </w:rPr>
        <w:t xml:space="preserve"> </w:t>
      </w:r>
      <w:r>
        <w:rPr>
          <w:rFonts w:ascii="Times New Roman" w:hAnsi="Times New Roman"/>
          <w:iCs/>
        </w:rPr>
        <w:t>Because the testimony is being stricken, the request to conduct discovery is denied as moot.</w:t>
      </w:r>
    </w:p>
    <w:p w:rsidR="00430B0E" w:rsidRPr="00430B0E" w:rsidRDefault="00430B0E" w:rsidP="00A62F08">
      <w:pPr>
        <w:pStyle w:val="ListParagraph"/>
        <w:ind w:left="0"/>
        <w:jc w:val="both"/>
        <w:rPr>
          <w:rFonts w:ascii="Times New Roman" w:hAnsi="Times New Roman"/>
          <w:iCs/>
        </w:rPr>
      </w:pPr>
    </w:p>
    <w:p w:rsidR="00A62F08" w:rsidRPr="00430B0E" w:rsidRDefault="00A62F08" w:rsidP="00A62F08">
      <w:pPr>
        <w:pStyle w:val="ListParagraph"/>
        <w:ind w:left="0"/>
        <w:jc w:val="both"/>
        <w:rPr>
          <w:rFonts w:ascii="Times New Roman" w:hAnsi="Times New Roman"/>
          <w:iCs/>
        </w:rPr>
      </w:pPr>
      <w:r w:rsidRPr="00430B0E">
        <w:rPr>
          <w:rFonts w:ascii="Times New Roman" w:hAnsi="Times New Roman"/>
          <w:iCs/>
        </w:rPr>
        <w:tab/>
        <w:t>Therefore, it is</w:t>
      </w:r>
    </w:p>
    <w:p w:rsidR="00A62F08" w:rsidRPr="00430B0E" w:rsidRDefault="00A62F08" w:rsidP="00A62F08">
      <w:pPr>
        <w:pStyle w:val="ListParagraph"/>
        <w:ind w:left="0"/>
        <w:jc w:val="both"/>
        <w:rPr>
          <w:rFonts w:ascii="Times New Roman" w:hAnsi="Times New Roman"/>
          <w:iCs/>
        </w:rPr>
      </w:pPr>
    </w:p>
    <w:p w:rsidR="00A62F08" w:rsidRDefault="00A62F08" w:rsidP="00A62F08">
      <w:pPr>
        <w:pStyle w:val="ListParagraph"/>
        <w:ind w:left="0"/>
        <w:jc w:val="both"/>
        <w:rPr>
          <w:rFonts w:ascii="Times New Roman" w:hAnsi="Times New Roman"/>
          <w:iCs/>
        </w:rPr>
      </w:pPr>
      <w:r w:rsidRPr="00430B0E">
        <w:rPr>
          <w:rFonts w:ascii="Times New Roman" w:hAnsi="Times New Roman"/>
          <w:iCs/>
        </w:rPr>
        <w:tab/>
        <w:t>ORDERED by Chairman Mike La Rosa, as Prehearing Officer, that the Motion to Strike Rebuttal Testimony of Federal Executive Agencies</w:t>
      </w:r>
      <w:r w:rsidR="004B2372" w:rsidRPr="00430B0E">
        <w:rPr>
          <w:rFonts w:ascii="Times New Roman" w:hAnsi="Times New Roman"/>
          <w:iCs/>
        </w:rPr>
        <w:t xml:space="preserve"> Witness, Michael P. Gorman </w:t>
      </w:r>
      <w:r w:rsidR="004B2372" w:rsidRPr="00430B0E">
        <w:rPr>
          <w:rFonts w:ascii="Times New Roman" w:hAnsi="Times New Roman"/>
        </w:rPr>
        <w:t>filed by Florida Rising the League of United Latin American Citizens Florida, and Environmental Confederation of Southwest Florida</w:t>
      </w:r>
      <w:r w:rsidR="00F778F5">
        <w:rPr>
          <w:rFonts w:ascii="Times New Roman" w:hAnsi="Times New Roman"/>
        </w:rPr>
        <w:t>,</w:t>
      </w:r>
      <w:r w:rsidR="004B2372" w:rsidRPr="00430B0E">
        <w:rPr>
          <w:rFonts w:ascii="Times New Roman" w:hAnsi="Times New Roman"/>
        </w:rPr>
        <w:t xml:space="preserve"> </w:t>
      </w:r>
      <w:r w:rsidRPr="00430B0E">
        <w:rPr>
          <w:rFonts w:ascii="Times New Roman" w:hAnsi="Times New Roman"/>
        </w:rPr>
        <w:t xml:space="preserve">is hereby </w:t>
      </w:r>
      <w:r w:rsidR="002440BC">
        <w:rPr>
          <w:rFonts w:ascii="Times New Roman" w:hAnsi="Times New Roman"/>
        </w:rPr>
        <w:t>granted,</w:t>
      </w:r>
      <w:r w:rsidRPr="00430B0E">
        <w:rPr>
          <w:rFonts w:ascii="Times New Roman" w:hAnsi="Times New Roman"/>
        </w:rPr>
        <w:t xml:space="preserve"> as set forth in the body of this Order.</w:t>
      </w:r>
      <w:r w:rsidRPr="00430B0E">
        <w:rPr>
          <w:rFonts w:ascii="Times New Roman" w:hAnsi="Times New Roman"/>
          <w:iCs/>
        </w:rPr>
        <w:t xml:space="preserve">   It is further,</w:t>
      </w:r>
    </w:p>
    <w:p w:rsidR="002440BC" w:rsidRDefault="002440BC" w:rsidP="00A62F08">
      <w:pPr>
        <w:pStyle w:val="ListParagraph"/>
        <w:ind w:left="0"/>
        <w:jc w:val="both"/>
        <w:rPr>
          <w:rFonts w:ascii="Times New Roman" w:hAnsi="Times New Roman"/>
          <w:iCs/>
        </w:rPr>
      </w:pPr>
    </w:p>
    <w:p w:rsidR="002440BC" w:rsidRPr="00430B0E" w:rsidRDefault="002440BC" w:rsidP="00A62F08">
      <w:pPr>
        <w:pStyle w:val="ListParagraph"/>
        <w:ind w:left="0"/>
        <w:jc w:val="both"/>
        <w:rPr>
          <w:rFonts w:ascii="Times New Roman" w:hAnsi="Times New Roman"/>
          <w:iCs/>
        </w:rPr>
      </w:pPr>
      <w:r>
        <w:rPr>
          <w:rFonts w:ascii="Times New Roman" w:hAnsi="Times New Roman"/>
          <w:iCs/>
        </w:rPr>
        <w:tab/>
      </w:r>
      <w:r w:rsidRPr="00430B0E">
        <w:rPr>
          <w:rFonts w:ascii="Times New Roman" w:hAnsi="Times New Roman"/>
          <w:iCs/>
        </w:rPr>
        <w:t>ORDERED</w:t>
      </w:r>
      <w:r>
        <w:rPr>
          <w:rFonts w:ascii="Times New Roman" w:hAnsi="Times New Roman"/>
          <w:iCs/>
        </w:rPr>
        <w:t xml:space="preserve"> that the alternative Motion to Conduct Discovery is denied as moot.</w:t>
      </w:r>
    </w:p>
    <w:p w:rsidR="00A62F08" w:rsidRPr="00430B0E" w:rsidRDefault="00A62F08" w:rsidP="00A62F08">
      <w:pPr>
        <w:pStyle w:val="ListParagraph"/>
        <w:ind w:left="0"/>
        <w:jc w:val="both"/>
        <w:rPr>
          <w:rFonts w:ascii="Times New Roman" w:hAnsi="Times New Roman"/>
          <w:iCs/>
        </w:rPr>
      </w:pPr>
    </w:p>
    <w:p w:rsidR="004B2372" w:rsidRPr="00430B0E" w:rsidRDefault="004B2372" w:rsidP="00A62F08">
      <w:pPr>
        <w:pStyle w:val="ListParagraph"/>
        <w:ind w:left="0"/>
        <w:jc w:val="both"/>
        <w:rPr>
          <w:rFonts w:ascii="Times New Roman" w:hAnsi="Times New Roman"/>
          <w:iCs/>
        </w:rPr>
      </w:pPr>
    </w:p>
    <w:p w:rsidR="004B2372" w:rsidRDefault="004B2372" w:rsidP="004B2372">
      <w:pPr>
        <w:pStyle w:val="ListParagraph"/>
        <w:keepNext/>
        <w:keepLines/>
        <w:ind w:left="0"/>
        <w:jc w:val="both"/>
        <w:rPr>
          <w:rFonts w:ascii="Times New Roman" w:hAnsi="Times New Roman"/>
          <w:iCs/>
        </w:rPr>
      </w:pPr>
      <w:r w:rsidRPr="00430B0E">
        <w:rPr>
          <w:rFonts w:ascii="Times New Roman" w:hAnsi="Times New Roman"/>
          <w:iCs/>
        </w:rPr>
        <w:tab/>
        <w:t xml:space="preserve">By ORDER of Chairman Mike La Rosa, as Prehearing Officer, this </w:t>
      </w:r>
      <w:bookmarkStart w:id="6" w:name="replaceDate"/>
      <w:bookmarkEnd w:id="6"/>
      <w:r w:rsidR="00093559">
        <w:rPr>
          <w:rFonts w:ascii="Times New Roman" w:hAnsi="Times New Roman"/>
          <w:iCs/>
          <w:u w:val="single"/>
        </w:rPr>
        <w:t>1st</w:t>
      </w:r>
      <w:r w:rsidR="00093559">
        <w:rPr>
          <w:rFonts w:ascii="Times New Roman" w:hAnsi="Times New Roman"/>
          <w:iCs/>
        </w:rPr>
        <w:t xml:space="preserve"> day of </w:t>
      </w:r>
      <w:r w:rsidR="00093559">
        <w:rPr>
          <w:rFonts w:ascii="Times New Roman" w:hAnsi="Times New Roman"/>
          <w:iCs/>
          <w:u w:val="single"/>
        </w:rPr>
        <w:t>August</w:t>
      </w:r>
      <w:r w:rsidR="00093559">
        <w:rPr>
          <w:rFonts w:ascii="Times New Roman" w:hAnsi="Times New Roman"/>
          <w:iCs/>
        </w:rPr>
        <w:t xml:space="preserve">, </w:t>
      </w:r>
      <w:r w:rsidR="00093559">
        <w:rPr>
          <w:rFonts w:ascii="Times New Roman" w:hAnsi="Times New Roman"/>
          <w:iCs/>
          <w:u w:val="single"/>
        </w:rPr>
        <w:t>2025</w:t>
      </w:r>
      <w:r w:rsidR="00093559">
        <w:rPr>
          <w:rFonts w:ascii="Times New Roman" w:hAnsi="Times New Roman"/>
          <w:iCs/>
        </w:rPr>
        <w:t>.</w:t>
      </w:r>
    </w:p>
    <w:p w:rsidR="00093559" w:rsidRPr="00093559" w:rsidRDefault="00093559" w:rsidP="004B2372">
      <w:pPr>
        <w:pStyle w:val="ListParagraph"/>
        <w:keepNext/>
        <w:keepLines/>
        <w:ind w:left="0"/>
        <w:jc w:val="both"/>
        <w:rPr>
          <w:rFonts w:ascii="Times New Roman" w:hAnsi="Times New Roman"/>
          <w:iCs/>
          <w:color w:val="212121"/>
        </w:rPr>
      </w:pPr>
    </w:p>
    <w:p w:rsidR="004B2372" w:rsidRDefault="004B2372" w:rsidP="004B2372">
      <w:pPr>
        <w:pStyle w:val="ListParagraph"/>
        <w:keepNext/>
        <w:keepLines/>
        <w:ind w:left="0"/>
        <w:jc w:val="both"/>
        <w:rPr>
          <w:rFonts w:ascii="Times New Roman" w:hAnsi="Times New Roman"/>
          <w:iCs/>
          <w:color w:val="212121"/>
        </w:rPr>
      </w:pPr>
    </w:p>
    <w:p w:rsidR="004B2372" w:rsidRDefault="004B2372" w:rsidP="004B2372">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4B2372" w:rsidTr="004B2372">
        <w:tc>
          <w:tcPr>
            <w:tcW w:w="720" w:type="dxa"/>
            <w:shd w:val="clear" w:color="auto" w:fill="auto"/>
          </w:tcPr>
          <w:p w:rsidR="004B2372" w:rsidRDefault="004B2372" w:rsidP="004B2372">
            <w:pPr>
              <w:pStyle w:val="ListParagraph"/>
              <w:keepNext/>
              <w:keepLines/>
              <w:ind w:left="0"/>
              <w:jc w:val="both"/>
              <w:rPr>
                <w:rFonts w:ascii="Times New Roman" w:hAnsi="Times New Roman"/>
                <w:iCs/>
                <w:color w:val="212121"/>
              </w:rPr>
            </w:pPr>
            <w:bookmarkStart w:id="7" w:name="bkmrkSignature" w:colFirst="0" w:colLast="0"/>
          </w:p>
        </w:tc>
        <w:tc>
          <w:tcPr>
            <w:tcW w:w="4320" w:type="dxa"/>
            <w:tcBorders>
              <w:bottom w:val="single" w:sz="4" w:space="0" w:color="auto"/>
            </w:tcBorders>
            <w:shd w:val="clear" w:color="auto" w:fill="auto"/>
          </w:tcPr>
          <w:p w:rsidR="004B2372" w:rsidRDefault="00093559" w:rsidP="004B2372">
            <w:pPr>
              <w:pStyle w:val="ListParagraph"/>
              <w:keepNext/>
              <w:keepLines/>
              <w:ind w:left="0"/>
              <w:jc w:val="both"/>
              <w:rPr>
                <w:rFonts w:ascii="Times New Roman" w:hAnsi="Times New Roman"/>
                <w:iCs/>
                <w:color w:val="212121"/>
              </w:rPr>
            </w:pPr>
            <w:r>
              <w:rPr>
                <w:rFonts w:ascii="Times New Roman" w:hAnsi="Times New Roman"/>
                <w:iCs/>
                <w:color w:val="212121"/>
              </w:rPr>
              <w:t>/s/ Mike La Rosa</w:t>
            </w:r>
            <w:bookmarkStart w:id="8" w:name="_GoBack"/>
            <w:bookmarkEnd w:id="8"/>
          </w:p>
        </w:tc>
      </w:tr>
      <w:bookmarkEnd w:id="7"/>
      <w:tr w:rsidR="004B2372" w:rsidTr="004B2372">
        <w:tc>
          <w:tcPr>
            <w:tcW w:w="720" w:type="dxa"/>
            <w:shd w:val="clear" w:color="auto" w:fill="auto"/>
          </w:tcPr>
          <w:p w:rsidR="004B2372" w:rsidRDefault="004B2372" w:rsidP="004B2372">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4B2372" w:rsidRDefault="004B2372" w:rsidP="004B2372">
            <w:pPr>
              <w:pStyle w:val="ListParagraph"/>
              <w:keepNext/>
              <w:keepLines/>
              <w:ind w:left="0"/>
              <w:jc w:val="both"/>
              <w:rPr>
                <w:rFonts w:ascii="Times New Roman" w:hAnsi="Times New Roman"/>
                <w:iCs/>
                <w:color w:val="212121"/>
              </w:rPr>
            </w:pPr>
            <w:r>
              <w:rPr>
                <w:rFonts w:ascii="Times New Roman" w:hAnsi="Times New Roman"/>
                <w:iCs/>
                <w:color w:val="212121"/>
              </w:rPr>
              <w:t>Mike La Rosa</w:t>
            </w:r>
          </w:p>
          <w:p w:rsidR="004B2372" w:rsidRDefault="004B2372" w:rsidP="004B2372">
            <w:pPr>
              <w:pStyle w:val="ListParagraph"/>
              <w:keepNext/>
              <w:keepLines/>
              <w:ind w:left="0"/>
              <w:jc w:val="both"/>
              <w:rPr>
                <w:rFonts w:ascii="Times New Roman" w:hAnsi="Times New Roman"/>
                <w:iCs/>
                <w:color w:val="212121"/>
              </w:rPr>
            </w:pPr>
            <w:r>
              <w:rPr>
                <w:rFonts w:ascii="Times New Roman" w:hAnsi="Times New Roman"/>
                <w:iCs/>
                <w:color w:val="212121"/>
              </w:rPr>
              <w:t>Chairman and Prehearing Officer</w:t>
            </w:r>
          </w:p>
        </w:tc>
      </w:tr>
    </w:tbl>
    <w:p w:rsidR="004B2372" w:rsidRDefault="004B2372" w:rsidP="004B2372">
      <w:pPr>
        <w:pStyle w:val="OrderSigInfo"/>
        <w:keepNext/>
        <w:keepLines/>
      </w:pPr>
      <w:r>
        <w:t>Florida Public Service Commission</w:t>
      </w:r>
    </w:p>
    <w:p w:rsidR="004B2372" w:rsidRDefault="004B2372" w:rsidP="004B2372">
      <w:pPr>
        <w:pStyle w:val="OrderSigInfo"/>
        <w:keepNext/>
        <w:keepLines/>
      </w:pPr>
      <w:r>
        <w:t>2540 Shumard Oak Boulevard</w:t>
      </w:r>
    </w:p>
    <w:p w:rsidR="004B2372" w:rsidRDefault="004B2372" w:rsidP="004B2372">
      <w:pPr>
        <w:pStyle w:val="OrderSigInfo"/>
        <w:keepNext/>
        <w:keepLines/>
      </w:pPr>
      <w:r>
        <w:t>Tallahassee, Florida 32399</w:t>
      </w:r>
    </w:p>
    <w:p w:rsidR="004B2372" w:rsidRDefault="004B2372" w:rsidP="004B2372">
      <w:pPr>
        <w:pStyle w:val="OrderSigInfo"/>
        <w:keepNext/>
        <w:keepLines/>
      </w:pPr>
      <w:r>
        <w:t>(850) 413</w:t>
      </w:r>
      <w:r>
        <w:noBreakHyphen/>
        <w:t>6770</w:t>
      </w:r>
    </w:p>
    <w:p w:rsidR="004B2372" w:rsidRDefault="004B2372" w:rsidP="004B2372">
      <w:pPr>
        <w:pStyle w:val="OrderSigInfo"/>
        <w:keepNext/>
        <w:keepLines/>
      </w:pPr>
      <w:r>
        <w:t>www.floridapsc.com</w:t>
      </w:r>
    </w:p>
    <w:p w:rsidR="004B2372" w:rsidRDefault="004B2372" w:rsidP="004B2372">
      <w:pPr>
        <w:pStyle w:val="OrderSigInfo"/>
        <w:keepNext/>
        <w:keepLines/>
      </w:pPr>
    </w:p>
    <w:p w:rsidR="004B2372" w:rsidRDefault="004B2372" w:rsidP="004B2372">
      <w:pPr>
        <w:pStyle w:val="OrderSigInfo"/>
        <w:keepNext/>
        <w:keepLines/>
      </w:pPr>
      <w:r>
        <w:t>Copies furnished:  A copy of this document is provided to the parties of record at the time of issuance and, if applicable, interested persons.</w:t>
      </w:r>
    </w:p>
    <w:p w:rsidR="004B2372" w:rsidRDefault="004B2372" w:rsidP="004B2372">
      <w:pPr>
        <w:pStyle w:val="OrderBody"/>
        <w:keepNext/>
        <w:keepLines/>
      </w:pPr>
    </w:p>
    <w:p w:rsidR="004B2372" w:rsidRDefault="004B2372" w:rsidP="004B2372">
      <w:pPr>
        <w:pStyle w:val="ListParagraph"/>
        <w:keepNext/>
        <w:keepLines/>
        <w:ind w:left="0"/>
        <w:jc w:val="both"/>
        <w:rPr>
          <w:rFonts w:ascii="Times New Roman" w:hAnsi="Times New Roman"/>
          <w:iCs/>
          <w:color w:val="212121"/>
        </w:rPr>
      </w:pPr>
    </w:p>
    <w:p w:rsidR="004B2372" w:rsidRDefault="004B2372" w:rsidP="004B2372">
      <w:pPr>
        <w:pStyle w:val="ListParagraph"/>
        <w:keepNext/>
        <w:keepLines/>
        <w:ind w:left="0"/>
        <w:jc w:val="both"/>
        <w:rPr>
          <w:rFonts w:ascii="Times New Roman" w:hAnsi="Times New Roman"/>
          <w:iCs/>
          <w:color w:val="212121"/>
        </w:rPr>
      </w:pPr>
      <w:r>
        <w:rPr>
          <w:rFonts w:ascii="Times New Roman" w:hAnsi="Times New Roman"/>
          <w:iCs/>
          <w:color w:val="212121"/>
        </w:rPr>
        <w:t>SPS</w:t>
      </w:r>
    </w:p>
    <w:p w:rsidR="004B2372" w:rsidRDefault="004B2372" w:rsidP="004B2372">
      <w:pPr>
        <w:pStyle w:val="ListParagraph"/>
        <w:ind w:left="0"/>
        <w:jc w:val="both"/>
        <w:rPr>
          <w:rFonts w:ascii="Times New Roman" w:hAnsi="Times New Roman"/>
          <w:iCs/>
          <w:color w:val="212121"/>
        </w:rPr>
      </w:pPr>
    </w:p>
    <w:p w:rsidR="004B2372" w:rsidRDefault="004B2372" w:rsidP="004B2372">
      <w:pPr>
        <w:pStyle w:val="ListParagraph"/>
        <w:ind w:left="0"/>
        <w:jc w:val="both"/>
        <w:rPr>
          <w:rFonts w:ascii="Times New Roman" w:hAnsi="Times New Roman"/>
          <w:iCs/>
          <w:color w:val="212121"/>
        </w:rPr>
      </w:pPr>
    </w:p>
    <w:p w:rsidR="004B2372" w:rsidRDefault="004B2372" w:rsidP="004B2372">
      <w:pPr>
        <w:pStyle w:val="CenterUnderline"/>
      </w:pPr>
      <w:r>
        <w:t>NOTICE OF FURTHER PROCEEDINGS OR JUDICIAL REVIEW</w:t>
      </w:r>
    </w:p>
    <w:p w:rsidR="004B2372" w:rsidRDefault="004B2372" w:rsidP="004B2372">
      <w:pPr>
        <w:pStyle w:val="CenterUnderline"/>
      </w:pPr>
    </w:p>
    <w:p w:rsidR="004B2372" w:rsidRDefault="004B2372" w:rsidP="004B23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B2372" w:rsidRDefault="004B2372" w:rsidP="004B2372">
      <w:pPr>
        <w:pStyle w:val="OrderBody"/>
      </w:pPr>
    </w:p>
    <w:p w:rsidR="004B2372" w:rsidRDefault="004B2372" w:rsidP="004B2372">
      <w:pPr>
        <w:pStyle w:val="OrderBody"/>
      </w:pPr>
      <w:r>
        <w:tab/>
        <w:t>Mediation may be available on a case-by-case basis.  If mediation is conducted, it does not affect a substantially interested person's right to a hearing.</w:t>
      </w:r>
    </w:p>
    <w:p w:rsidR="004B2372" w:rsidRDefault="004B2372" w:rsidP="004B2372">
      <w:pPr>
        <w:pStyle w:val="OrderBody"/>
      </w:pPr>
    </w:p>
    <w:p w:rsidR="000B7AD2" w:rsidRDefault="004B237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F08" w:rsidRDefault="00A62F08">
      <w:r>
        <w:separator/>
      </w:r>
    </w:p>
  </w:endnote>
  <w:endnote w:type="continuationSeparator" w:id="0">
    <w:p w:rsidR="00A62F08" w:rsidRDefault="00A6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F08" w:rsidRDefault="00A62F08">
      <w:r>
        <w:separator/>
      </w:r>
    </w:p>
  </w:footnote>
  <w:footnote w:type="continuationSeparator" w:id="0">
    <w:p w:rsidR="00A62F08" w:rsidRDefault="00A62F08">
      <w:r>
        <w:continuationSeparator/>
      </w:r>
    </w:p>
  </w:footnote>
  <w:footnote w:id="1">
    <w:p w:rsidR="00006279" w:rsidRDefault="00006279">
      <w:pPr>
        <w:pStyle w:val="FootnoteText"/>
      </w:pPr>
      <w:r>
        <w:rPr>
          <w:rStyle w:val="FootnoteReference"/>
        </w:rPr>
        <w:footnoteRef/>
      </w:r>
      <w:r>
        <w:t xml:space="preserve"> Order No. PSC-2025-0075-PCO-EI at p.4 (emphasis added).</w:t>
      </w:r>
    </w:p>
  </w:footnote>
  <w:footnote w:id="2">
    <w:p w:rsidR="00006279" w:rsidRPr="00006279" w:rsidRDefault="00006279">
      <w:pPr>
        <w:pStyle w:val="FootnoteText"/>
      </w:pPr>
      <w:r>
        <w:rPr>
          <w:rStyle w:val="FootnoteReference"/>
        </w:rPr>
        <w:footnoteRef/>
      </w:r>
      <w:r>
        <w:t xml:space="preserve"> </w:t>
      </w:r>
      <w:r w:rsidRPr="00F778F5">
        <w:rPr>
          <w:i/>
        </w:rPr>
        <w:t>Id.</w:t>
      </w:r>
      <w:r>
        <w:t xml:space="preserve"> at 12.</w:t>
      </w:r>
    </w:p>
  </w:footnote>
  <w:footnote w:id="3">
    <w:p w:rsidR="00F778F5" w:rsidRPr="00F778F5" w:rsidRDefault="00F778F5" w:rsidP="00F778F5">
      <w:pPr>
        <w:shd w:val="clear" w:color="auto" w:fill="FFFFFF"/>
        <w:rPr>
          <w:color w:val="000000"/>
          <w:sz w:val="20"/>
          <w:szCs w:val="20"/>
        </w:rPr>
      </w:pPr>
      <w:r>
        <w:rPr>
          <w:rStyle w:val="FootnoteReference"/>
        </w:rPr>
        <w:footnoteRef/>
      </w:r>
      <w:r>
        <w:t xml:space="preserve"> </w:t>
      </w:r>
      <w:r w:rsidRPr="00F778F5">
        <w:rPr>
          <w:i/>
          <w:color w:val="3D3D3D"/>
          <w:sz w:val="20"/>
          <w:szCs w:val="20"/>
          <w:bdr w:val="none" w:sz="0" w:space="0" w:color="auto" w:frame="1"/>
        </w:rPr>
        <w:t>Mizell v. N. Broward Hosp. Dist.</w:t>
      </w:r>
      <w:r w:rsidRPr="00F778F5">
        <w:rPr>
          <w:i/>
          <w:color w:val="000000"/>
          <w:sz w:val="20"/>
          <w:szCs w:val="20"/>
        </w:rPr>
        <w:t>,</w:t>
      </w:r>
      <w:r w:rsidRPr="00F778F5">
        <w:rPr>
          <w:color w:val="000000"/>
          <w:sz w:val="20"/>
          <w:szCs w:val="20"/>
        </w:rPr>
        <w:t xml:space="preserve"> 175 So. 2d 583, 586 (Fla. </w:t>
      </w:r>
      <w:r>
        <w:rPr>
          <w:color w:val="000000"/>
          <w:sz w:val="20"/>
          <w:szCs w:val="20"/>
        </w:rPr>
        <w:t>3d DCA</w:t>
      </w:r>
      <w:r w:rsidR="009A4727">
        <w:rPr>
          <w:color w:val="000000"/>
          <w:sz w:val="20"/>
          <w:szCs w:val="20"/>
        </w:rPr>
        <w:t xml:space="preserve"> </w:t>
      </w:r>
      <w:r w:rsidRPr="00F778F5">
        <w:rPr>
          <w:color w:val="000000"/>
          <w:sz w:val="20"/>
          <w:szCs w:val="20"/>
        </w:rPr>
        <w:t>1965)</w:t>
      </w:r>
      <w:r>
        <w:rPr>
          <w:color w:val="000000"/>
          <w:sz w:val="20"/>
          <w:szCs w:val="20"/>
        </w:rPr>
        <w:t xml:space="preserve"> (notice and the opportunity to present evidence and cross-examine witnesses satisfies due process).</w:t>
      </w:r>
    </w:p>
    <w:p w:rsidR="00F778F5" w:rsidRDefault="00F778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3 ">
      <w:r w:rsidR="00093559">
        <w:t>PSC-2025-0293-PCO-EI</w:t>
      </w:r>
    </w:fldSimple>
  </w:p>
  <w:p w:rsidR="00FA6EFD" w:rsidRDefault="00A62F08">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3559">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A62F08"/>
    <w:rsid w:val="000022B8"/>
    <w:rsid w:val="00003883"/>
    <w:rsid w:val="00006279"/>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3559"/>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9672B"/>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6CED"/>
    <w:rsid w:val="002170E5"/>
    <w:rsid w:val="002179AC"/>
    <w:rsid w:val="00220D57"/>
    <w:rsid w:val="00223B99"/>
    <w:rsid w:val="0022721A"/>
    <w:rsid w:val="00230BB9"/>
    <w:rsid w:val="00241CEF"/>
    <w:rsid w:val="002440BC"/>
    <w:rsid w:val="0025124E"/>
    <w:rsid w:val="00252B30"/>
    <w:rsid w:val="00255291"/>
    <w:rsid w:val="002613E4"/>
    <w:rsid w:val="00262C43"/>
    <w:rsid w:val="0026544B"/>
    <w:rsid w:val="00270F89"/>
    <w:rsid w:val="00273A62"/>
    <w:rsid w:val="00276CDC"/>
    <w:rsid w:val="00277655"/>
    <w:rsid w:val="002824B7"/>
    <w:rsid w:val="00282AC4"/>
    <w:rsid w:val="00293DC9"/>
    <w:rsid w:val="00297C37"/>
    <w:rsid w:val="002A11AC"/>
    <w:rsid w:val="002A1B95"/>
    <w:rsid w:val="002A51D3"/>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2C85"/>
    <w:rsid w:val="002F31C2"/>
    <w:rsid w:val="002F7BF6"/>
    <w:rsid w:val="00303FDE"/>
    <w:rsid w:val="0031352B"/>
    <w:rsid w:val="00313C5B"/>
    <w:rsid w:val="003140E8"/>
    <w:rsid w:val="00321702"/>
    <w:rsid w:val="003231C7"/>
    <w:rsid w:val="00323839"/>
    <w:rsid w:val="003270C4"/>
    <w:rsid w:val="00331ED0"/>
    <w:rsid w:val="00332B0A"/>
    <w:rsid w:val="00333A41"/>
    <w:rsid w:val="00341036"/>
    <w:rsid w:val="00345434"/>
    <w:rsid w:val="00351C22"/>
    <w:rsid w:val="003526E7"/>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1D3"/>
    <w:rsid w:val="003F7445"/>
    <w:rsid w:val="00411DF2"/>
    <w:rsid w:val="00411E8F"/>
    <w:rsid w:val="00415553"/>
    <w:rsid w:val="004247F5"/>
    <w:rsid w:val="0042527B"/>
    <w:rsid w:val="0042705B"/>
    <w:rsid w:val="00427EAC"/>
    <w:rsid w:val="00430B0E"/>
    <w:rsid w:val="004431B4"/>
    <w:rsid w:val="00445604"/>
    <w:rsid w:val="00451158"/>
    <w:rsid w:val="0045537F"/>
    <w:rsid w:val="00457DC7"/>
    <w:rsid w:val="004640B3"/>
    <w:rsid w:val="00472BCC"/>
    <w:rsid w:val="00474E13"/>
    <w:rsid w:val="00477699"/>
    <w:rsid w:val="004A25CD"/>
    <w:rsid w:val="004A26CC"/>
    <w:rsid w:val="004B2108"/>
    <w:rsid w:val="004B2372"/>
    <w:rsid w:val="004B3A2B"/>
    <w:rsid w:val="004B70D3"/>
    <w:rsid w:val="004C312D"/>
    <w:rsid w:val="004C7A34"/>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3DB1"/>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2EA"/>
    <w:rsid w:val="006A0BF3"/>
    <w:rsid w:val="006A502B"/>
    <w:rsid w:val="006B0036"/>
    <w:rsid w:val="006B0DA6"/>
    <w:rsid w:val="006B3FA9"/>
    <w:rsid w:val="006C29E3"/>
    <w:rsid w:val="006C547E"/>
    <w:rsid w:val="006D2B51"/>
    <w:rsid w:val="006D5575"/>
    <w:rsid w:val="006D7191"/>
    <w:rsid w:val="006E21C4"/>
    <w:rsid w:val="006E42BE"/>
    <w:rsid w:val="006E5D4D"/>
    <w:rsid w:val="006E6D16"/>
    <w:rsid w:val="006F0AED"/>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0049"/>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0EFF"/>
    <w:rsid w:val="00883D9A"/>
    <w:rsid w:val="00890489"/>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472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4910"/>
    <w:rsid w:val="00A62DAB"/>
    <w:rsid w:val="00A62F08"/>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27FBD"/>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5983"/>
    <w:rsid w:val="00C411F3"/>
    <w:rsid w:val="00C44105"/>
    <w:rsid w:val="00C51EFF"/>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87A0D"/>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4879"/>
    <w:rsid w:val="00ED6A79"/>
    <w:rsid w:val="00EE17DF"/>
    <w:rsid w:val="00EF1482"/>
    <w:rsid w:val="00EF4621"/>
    <w:rsid w:val="00EF4D52"/>
    <w:rsid w:val="00EF6312"/>
    <w:rsid w:val="00F00C4B"/>
    <w:rsid w:val="00F038B0"/>
    <w:rsid w:val="00F05F34"/>
    <w:rsid w:val="00F22B27"/>
    <w:rsid w:val="00F234A7"/>
    <w:rsid w:val="00F277B6"/>
    <w:rsid w:val="00F27DA5"/>
    <w:rsid w:val="00F33F9F"/>
    <w:rsid w:val="00F37E07"/>
    <w:rsid w:val="00F4182A"/>
    <w:rsid w:val="00F464ED"/>
    <w:rsid w:val="00F500A6"/>
    <w:rsid w:val="00F54380"/>
    <w:rsid w:val="00F54B47"/>
    <w:rsid w:val="00F6110C"/>
    <w:rsid w:val="00F61247"/>
    <w:rsid w:val="00F61F61"/>
    <w:rsid w:val="00F63191"/>
    <w:rsid w:val="00F6702E"/>
    <w:rsid w:val="00F70E84"/>
    <w:rsid w:val="00F778F5"/>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62F08"/>
    <w:pPr>
      <w:ind w:left="720"/>
      <w:contextualSpacing/>
    </w:pPr>
    <w:rPr>
      <w:rFonts w:ascii="Calibri" w:eastAsia="Calibri" w:hAnsi="Calibri"/>
    </w:rPr>
  </w:style>
  <w:style w:type="paragraph" w:styleId="EndnoteText">
    <w:name w:val="endnote text"/>
    <w:basedOn w:val="Normal"/>
    <w:link w:val="EndnoteTextChar"/>
    <w:semiHidden/>
    <w:unhideWhenUsed/>
    <w:rsid w:val="00006279"/>
    <w:rPr>
      <w:sz w:val="20"/>
      <w:szCs w:val="20"/>
    </w:rPr>
  </w:style>
  <w:style w:type="character" w:customStyle="1" w:styleId="EndnoteTextChar">
    <w:name w:val="Endnote Text Char"/>
    <w:basedOn w:val="DefaultParagraphFont"/>
    <w:link w:val="EndnoteText"/>
    <w:semiHidden/>
    <w:rsid w:val="00006279"/>
  </w:style>
  <w:style w:type="character" w:styleId="EndnoteReference">
    <w:name w:val="endnote reference"/>
    <w:basedOn w:val="DefaultParagraphFont"/>
    <w:semiHidden/>
    <w:unhideWhenUsed/>
    <w:rsid w:val="00006279"/>
    <w:rPr>
      <w:vertAlign w:val="superscript"/>
    </w:rPr>
  </w:style>
  <w:style w:type="character" w:customStyle="1" w:styleId="coconcept916">
    <w:name w:val="co_concept_9_16"/>
    <w:basedOn w:val="DefaultParagraphFont"/>
    <w:rsid w:val="00474E13"/>
  </w:style>
  <w:style w:type="character" w:customStyle="1" w:styleId="coconcept1825">
    <w:name w:val="co_concept_18_25"/>
    <w:basedOn w:val="DefaultParagraphFont"/>
    <w:rsid w:val="00474E13"/>
  </w:style>
  <w:style w:type="character" w:styleId="Emphasis">
    <w:name w:val="Emphasis"/>
    <w:basedOn w:val="DefaultParagraphFont"/>
    <w:uiPriority w:val="20"/>
    <w:qFormat/>
    <w:rsid w:val="00474E13"/>
    <w:rPr>
      <w:i/>
      <w:iCs/>
    </w:rPr>
  </w:style>
  <w:style w:type="character" w:customStyle="1" w:styleId="cohovertext">
    <w:name w:val="co_hovertext"/>
    <w:basedOn w:val="DefaultParagraphFont"/>
    <w:rsid w:val="0019672B"/>
  </w:style>
  <w:style w:type="paragraph" w:styleId="BalloonText">
    <w:name w:val="Balloon Text"/>
    <w:basedOn w:val="Normal"/>
    <w:link w:val="BalloonTextChar"/>
    <w:semiHidden/>
    <w:unhideWhenUsed/>
    <w:rsid w:val="00EC4879"/>
    <w:rPr>
      <w:rFonts w:ascii="Segoe UI" w:hAnsi="Segoe UI" w:cs="Segoe UI"/>
      <w:sz w:val="18"/>
      <w:szCs w:val="18"/>
    </w:rPr>
  </w:style>
  <w:style w:type="character" w:customStyle="1" w:styleId="BalloonTextChar">
    <w:name w:val="Balloon Text Char"/>
    <w:basedOn w:val="DefaultParagraphFont"/>
    <w:link w:val="BalloonText"/>
    <w:semiHidden/>
    <w:rsid w:val="00EC4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1021112">
      <w:bodyDiv w:val="1"/>
      <w:marLeft w:val="0"/>
      <w:marRight w:val="0"/>
      <w:marTop w:val="0"/>
      <w:marBottom w:val="0"/>
      <w:divBdr>
        <w:top w:val="none" w:sz="0" w:space="0" w:color="auto"/>
        <w:left w:val="none" w:sz="0" w:space="0" w:color="auto"/>
        <w:bottom w:val="none" w:sz="0" w:space="0" w:color="auto"/>
        <w:right w:val="none" w:sz="0" w:space="0" w:color="auto"/>
      </w:divBdr>
      <w:divsChild>
        <w:div w:id="1154420494">
          <w:marLeft w:val="0"/>
          <w:marRight w:val="0"/>
          <w:marTop w:val="0"/>
          <w:marBottom w:val="0"/>
          <w:divBdr>
            <w:top w:val="none" w:sz="0" w:space="0" w:color="3D3D3D"/>
            <w:left w:val="none" w:sz="0" w:space="0" w:color="3D3D3D"/>
            <w:bottom w:val="none" w:sz="0" w:space="0" w:color="3D3D3D"/>
            <w:right w:val="none" w:sz="0" w:space="0" w:color="3D3D3D"/>
          </w:divBdr>
          <w:divsChild>
            <w:div w:id="10146975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7264568">
      <w:bodyDiv w:val="1"/>
      <w:marLeft w:val="0"/>
      <w:marRight w:val="0"/>
      <w:marTop w:val="0"/>
      <w:marBottom w:val="0"/>
      <w:divBdr>
        <w:top w:val="none" w:sz="0" w:space="0" w:color="auto"/>
        <w:left w:val="none" w:sz="0" w:space="0" w:color="auto"/>
        <w:bottom w:val="none" w:sz="0" w:space="0" w:color="auto"/>
        <w:right w:val="none" w:sz="0" w:space="0" w:color="auto"/>
      </w:divBdr>
      <w:divsChild>
        <w:div w:id="1477455197">
          <w:marLeft w:val="0"/>
          <w:marRight w:val="0"/>
          <w:marTop w:val="0"/>
          <w:marBottom w:val="0"/>
          <w:divBdr>
            <w:top w:val="none" w:sz="0" w:space="0" w:color="3D3D3D"/>
            <w:left w:val="none" w:sz="0" w:space="0" w:color="3D3D3D"/>
            <w:bottom w:val="none" w:sz="0" w:space="0" w:color="3D3D3D"/>
            <w:right w:val="none" w:sz="0" w:space="0" w:color="3D3D3D"/>
          </w:divBdr>
        </w:div>
      </w:divsChild>
    </w:div>
    <w:div w:id="1777942440">
      <w:bodyDiv w:val="1"/>
      <w:marLeft w:val="0"/>
      <w:marRight w:val="0"/>
      <w:marTop w:val="0"/>
      <w:marBottom w:val="0"/>
      <w:divBdr>
        <w:top w:val="none" w:sz="0" w:space="0" w:color="auto"/>
        <w:left w:val="none" w:sz="0" w:space="0" w:color="auto"/>
        <w:bottom w:val="none" w:sz="0" w:space="0" w:color="auto"/>
        <w:right w:val="none" w:sz="0" w:space="0" w:color="auto"/>
      </w:divBdr>
      <w:divsChild>
        <w:div w:id="386613258">
          <w:marLeft w:val="0"/>
          <w:marRight w:val="0"/>
          <w:marTop w:val="0"/>
          <w:marBottom w:val="0"/>
          <w:divBdr>
            <w:top w:val="none" w:sz="0" w:space="0" w:color="3D3D3D"/>
            <w:left w:val="none" w:sz="0" w:space="0" w:color="3D3D3D"/>
            <w:bottom w:val="none" w:sz="0" w:space="0" w:color="3D3D3D"/>
            <w:right w:val="none" w:sz="0" w:space="0" w:color="3D3D3D"/>
          </w:divBdr>
          <w:divsChild>
            <w:div w:id="13955420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2025-08-01T15:40:00Z</dcterms:created>
  <dcterms:modified xsi:type="dcterms:W3CDTF">2025-08-01T16:13:00Z</dcterms:modified>
</cp:coreProperties>
</file>