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5276" w:rsidRDefault="001A1BCF" w:rsidP="0053380C">
      <w:pPr>
        <w:pStyle w:val="OrderHeading"/>
      </w:pPr>
      <w:r>
        <w:t xml:space="preserve"> </w:t>
      </w:r>
      <w:r w:rsidR="0053380C">
        <w:t>BEFORE THE FLORIDA PUBLIC SERVICE COMMISSION</w:t>
      </w:r>
    </w:p>
    <w:p w:rsidR="0053380C" w:rsidRDefault="0053380C" w:rsidP="0053380C">
      <w:pPr>
        <w:pStyle w:val="OrderBody"/>
      </w:pPr>
    </w:p>
    <w:p w:rsidR="0053380C" w:rsidRDefault="0053380C" w:rsidP="0053380C">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53380C" w:rsidRPr="00C63FCF" w:rsidTr="00C63FCF">
        <w:trPr>
          <w:trHeight w:val="828"/>
        </w:trPr>
        <w:tc>
          <w:tcPr>
            <w:tcW w:w="4788" w:type="dxa"/>
            <w:tcBorders>
              <w:bottom w:val="single" w:sz="8" w:space="0" w:color="auto"/>
              <w:right w:val="double" w:sz="6" w:space="0" w:color="auto"/>
            </w:tcBorders>
            <w:shd w:val="clear" w:color="auto" w:fill="auto"/>
          </w:tcPr>
          <w:p w:rsidR="0053380C" w:rsidRDefault="0053380C" w:rsidP="00C63FCF">
            <w:pPr>
              <w:pStyle w:val="OrderBody"/>
              <w:tabs>
                <w:tab w:val="center" w:pos="4320"/>
                <w:tab w:val="right" w:pos="8640"/>
              </w:tabs>
              <w:jc w:val="left"/>
            </w:pPr>
            <w:r>
              <w:t xml:space="preserve">In re: </w:t>
            </w:r>
            <w:bookmarkStart w:id="0" w:name="SSInRe"/>
            <w:bookmarkEnd w:id="0"/>
            <w:r>
              <w:t>Petition for rate increase by Florida Power &amp; Light Company.</w:t>
            </w:r>
          </w:p>
        </w:tc>
        <w:tc>
          <w:tcPr>
            <w:tcW w:w="4788" w:type="dxa"/>
            <w:tcBorders>
              <w:left w:val="double" w:sz="6" w:space="0" w:color="auto"/>
            </w:tcBorders>
            <w:shd w:val="clear" w:color="auto" w:fill="auto"/>
          </w:tcPr>
          <w:p w:rsidR="0053380C" w:rsidRDefault="0053380C" w:rsidP="0053380C">
            <w:pPr>
              <w:pStyle w:val="OrderBody"/>
            </w:pPr>
            <w:r>
              <w:t xml:space="preserve">DOCKET NO. </w:t>
            </w:r>
            <w:bookmarkStart w:id="1" w:name="SSDocketNo"/>
            <w:bookmarkEnd w:id="1"/>
            <w:r>
              <w:t>20250011-EI</w:t>
            </w:r>
          </w:p>
          <w:p w:rsidR="0053380C" w:rsidRDefault="0053380C" w:rsidP="00C63FCF">
            <w:pPr>
              <w:pStyle w:val="OrderBody"/>
              <w:tabs>
                <w:tab w:val="center" w:pos="4320"/>
                <w:tab w:val="right" w:pos="8640"/>
              </w:tabs>
              <w:jc w:val="left"/>
            </w:pPr>
            <w:r>
              <w:t xml:space="preserve">ORDER NO. </w:t>
            </w:r>
            <w:bookmarkStart w:id="2" w:name="OrderNo0304"/>
            <w:r w:rsidR="00342811">
              <w:t>PSC-2025-0304-PCO-EI</w:t>
            </w:r>
            <w:bookmarkEnd w:id="2"/>
          </w:p>
          <w:p w:rsidR="0053380C" w:rsidRDefault="0053380C" w:rsidP="00C63FCF">
            <w:pPr>
              <w:pStyle w:val="OrderBody"/>
              <w:tabs>
                <w:tab w:val="center" w:pos="4320"/>
                <w:tab w:val="right" w:pos="8640"/>
              </w:tabs>
              <w:jc w:val="left"/>
            </w:pPr>
            <w:r>
              <w:t xml:space="preserve">ISSUED: </w:t>
            </w:r>
            <w:r w:rsidR="00342811">
              <w:t>August 12, 2025</w:t>
            </w:r>
          </w:p>
        </w:tc>
      </w:tr>
    </w:tbl>
    <w:p w:rsidR="0053380C" w:rsidRDefault="0053380C" w:rsidP="0053380C"/>
    <w:p w:rsidR="0053380C" w:rsidRDefault="0053380C" w:rsidP="0053380C"/>
    <w:p w:rsidR="0053380C" w:rsidRDefault="0053380C" w:rsidP="00B67A43">
      <w:pPr>
        <w:ind w:firstLine="720"/>
        <w:jc w:val="both"/>
      </w:pPr>
      <w:bookmarkStart w:id="3" w:name="Commissioners"/>
      <w:bookmarkEnd w:id="3"/>
      <w:r>
        <w:t>The following Commissioners participated in the disposition of this matter:</w:t>
      </w:r>
    </w:p>
    <w:p w:rsidR="0053380C" w:rsidRDefault="0053380C" w:rsidP="00B67A43"/>
    <w:p w:rsidR="0053380C" w:rsidRDefault="0053380C" w:rsidP="00477699">
      <w:pPr>
        <w:jc w:val="center"/>
      </w:pPr>
      <w:r>
        <w:t>MIKE LA ROSA, Chairman</w:t>
      </w:r>
    </w:p>
    <w:p w:rsidR="0053380C" w:rsidRDefault="0053380C" w:rsidP="00B67A43">
      <w:pPr>
        <w:jc w:val="center"/>
      </w:pPr>
      <w:r>
        <w:t>ART GRAHAM</w:t>
      </w:r>
    </w:p>
    <w:p w:rsidR="0053380C" w:rsidRDefault="0053380C" w:rsidP="00B67A43">
      <w:pPr>
        <w:jc w:val="center"/>
      </w:pPr>
      <w:r>
        <w:t>GARY F. CLARK</w:t>
      </w:r>
    </w:p>
    <w:p w:rsidR="0053380C" w:rsidRDefault="0053380C" w:rsidP="00B67A43">
      <w:pPr>
        <w:jc w:val="center"/>
      </w:pPr>
      <w:r>
        <w:t>ANDREW GILES FAY</w:t>
      </w:r>
    </w:p>
    <w:p w:rsidR="0053380C" w:rsidRPr="005F2751" w:rsidRDefault="0053380C" w:rsidP="00B67A43">
      <w:pPr>
        <w:jc w:val="center"/>
      </w:pPr>
      <w:r w:rsidRPr="005F2751">
        <w:rPr>
          <w:lang w:val="en"/>
        </w:rPr>
        <w:t>GABRIELLA PASSIDOMO</w:t>
      </w:r>
      <w:r>
        <w:rPr>
          <w:lang w:val="en"/>
        </w:rPr>
        <w:t xml:space="preserve"> SMITH</w:t>
      </w:r>
    </w:p>
    <w:p w:rsidR="0053380C" w:rsidRDefault="0053380C" w:rsidP="00B67A43"/>
    <w:p w:rsidR="00CB5276" w:rsidRDefault="00CB5276">
      <w:pPr>
        <w:pStyle w:val="OrderBody"/>
      </w:pPr>
    </w:p>
    <w:p w:rsidR="0053380C" w:rsidRDefault="0053380C" w:rsidP="0053380C">
      <w:pPr>
        <w:pStyle w:val="CenterUnderline"/>
      </w:pPr>
      <w:r>
        <w:t>ORDER</w:t>
      </w:r>
      <w:bookmarkStart w:id="4" w:name="OrderTitle"/>
      <w:r>
        <w:t xml:space="preserve"> </w:t>
      </w:r>
      <w:r w:rsidR="00991ABD">
        <w:t>ACKNOWLEDG</w:t>
      </w:r>
      <w:r>
        <w:t xml:space="preserve">ING FLORIDA POWER &amp; LIGHT COMPANY’S </w:t>
      </w:r>
    </w:p>
    <w:p w:rsidR="0053380C" w:rsidRDefault="0053380C" w:rsidP="0053380C">
      <w:pPr>
        <w:pStyle w:val="CenterUnderline"/>
      </w:pPr>
      <w:r>
        <w:t>NOTICE OF SETTLEMENT IN PRINCIPLE</w:t>
      </w:r>
      <w:r w:rsidR="00991ABD">
        <w:t>, GRANTING</w:t>
      </w:r>
      <w:r>
        <w:t xml:space="preserve"> JOINT MOTION TO </w:t>
      </w:r>
    </w:p>
    <w:p w:rsidR="00991ABD" w:rsidRDefault="0053380C" w:rsidP="0053380C">
      <w:pPr>
        <w:pStyle w:val="CenterUnderline"/>
      </w:pPr>
      <w:r>
        <w:t>SUSPEND SCHEDULE</w:t>
      </w:r>
      <w:r w:rsidR="00991ABD">
        <w:t>,</w:t>
      </w:r>
      <w:r>
        <w:t xml:space="preserve"> AND</w:t>
      </w:r>
      <w:r w:rsidR="00991ABD">
        <w:t xml:space="preserve"> DEFERRING ISSUANCE OF</w:t>
      </w:r>
    </w:p>
    <w:p w:rsidR="0053380C" w:rsidRDefault="0053380C" w:rsidP="0053380C">
      <w:pPr>
        <w:pStyle w:val="CenterUnderline"/>
      </w:pPr>
      <w:r>
        <w:t>AMEND</w:t>
      </w:r>
      <w:r w:rsidR="00991ABD">
        <w:t>ED</w:t>
      </w:r>
      <w:r>
        <w:t xml:space="preserve"> PROCEDURAL ORDER </w:t>
      </w:r>
      <w:bookmarkEnd w:id="4"/>
    </w:p>
    <w:p w:rsidR="0053380C" w:rsidRDefault="0053380C" w:rsidP="0053380C">
      <w:pPr>
        <w:pStyle w:val="CenterUnderline"/>
      </w:pPr>
    </w:p>
    <w:p w:rsidR="0053380C" w:rsidRDefault="0053380C" w:rsidP="0053380C">
      <w:pPr>
        <w:pStyle w:val="OrderBody"/>
      </w:pPr>
      <w:r>
        <w:t>BY THE COMMISSION:</w:t>
      </w:r>
    </w:p>
    <w:p w:rsidR="0053380C" w:rsidRDefault="0053380C" w:rsidP="0053380C">
      <w:pPr>
        <w:pStyle w:val="OrderBody"/>
      </w:pPr>
    </w:p>
    <w:p w:rsidR="00083D1A" w:rsidRPr="00083D1A" w:rsidRDefault="00083D1A" w:rsidP="00083D1A">
      <w:pPr>
        <w:pStyle w:val="Default"/>
        <w:jc w:val="center"/>
      </w:pPr>
      <w:bookmarkStart w:id="5" w:name="OrderText"/>
      <w:bookmarkEnd w:id="5"/>
      <w:r>
        <w:rPr>
          <w:u w:val="single"/>
        </w:rPr>
        <w:t>Background</w:t>
      </w:r>
    </w:p>
    <w:p w:rsidR="00083D1A" w:rsidRDefault="00083D1A" w:rsidP="00991ABD">
      <w:pPr>
        <w:pStyle w:val="Default"/>
        <w:jc w:val="both"/>
      </w:pPr>
    </w:p>
    <w:p w:rsidR="00C128BB" w:rsidRPr="00C128BB" w:rsidRDefault="00C128BB" w:rsidP="00991ABD">
      <w:pPr>
        <w:pStyle w:val="Default"/>
        <w:jc w:val="both"/>
      </w:pPr>
      <w:r w:rsidRPr="00C128BB">
        <w:tab/>
      </w:r>
      <w:r w:rsidR="00EF7DDE">
        <w:t xml:space="preserve">The final hearing </w:t>
      </w:r>
      <w:r w:rsidR="006776F4">
        <w:t>on Florida Power &amp; Light Company’s (FPL) Petition for rate increase</w:t>
      </w:r>
      <w:r w:rsidR="00EF7DDE">
        <w:t xml:space="preserve"> was s</w:t>
      </w:r>
      <w:r w:rsidR="005D02DE">
        <w:t>cheduled</w:t>
      </w:r>
      <w:r w:rsidR="00EF7DDE">
        <w:t xml:space="preserve"> to commence August 11, 2025. </w:t>
      </w:r>
      <w:r w:rsidR="00991ABD">
        <w:t>On August 8, 2025, FPL filed a</w:t>
      </w:r>
      <w:r w:rsidR="00991ABD" w:rsidRPr="00991ABD">
        <w:t xml:space="preserve"> </w:t>
      </w:r>
      <w:r w:rsidR="00991ABD">
        <w:t>Notice of Settlement in Principle and Joint Motion to Suspend Schedule and Amend Procedural Order (Motion).</w:t>
      </w:r>
      <w:r w:rsidR="00991ABD" w:rsidRPr="00675778">
        <w:t xml:space="preserve"> </w:t>
      </w:r>
      <w:r w:rsidR="00991ABD" w:rsidRPr="00AD17EA">
        <w:t>FPL represents that it has reached a settlement in principle with multiple intervenors that will resolve all of the issues in this proceeding. FPL requests that the Commission suspend the procedural schedule to allow time for the parties to memorialize the terms to which they have agreed. FPL also requests that the Commission issue a supplemental procedural order that allows approximately six weeks for review of the forthcoming settlement.</w:t>
      </w:r>
      <w:r w:rsidR="00083D1A" w:rsidRPr="00AD17EA">
        <w:t xml:space="preserve"> </w:t>
      </w:r>
      <w:r w:rsidR="00991ABD" w:rsidRPr="00AD17EA">
        <w:t xml:space="preserve">The Florida Industrial Power Users Group, Florida Retail Federation, Florida Energy for Innovation Association, Inc., Walmart Inc., EVgo Services LLC, Americans for Affordable Clean Energy, Inc., Circle K Stores, Inc., RaceTrac, Inc., Wawa, Inc., Electrify America LLC, Federal Executive Agencies, Armstrong World Industries, Inc. and Southern Alliance for Clean Energy </w:t>
      </w:r>
      <w:r w:rsidR="00083D1A" w:rsidRPr="00AD17EA">
        <w:t xml:space="preserve">(Joint Signatories) </w:t>
      </w:r>
      <w:r w:rsidR="00991ABD" w:rsidRPr="00AD17EA">
        <w:t>support suspending the schedule and join in this motion</w:t>
      </w:r>
      <w:r w:rsidR="00991ABD" w:rsidRPr="00675778">
        <w:t>.</w:t>
      </w:r>
    </w:p>
    <w:p w:rsidR="00C128BB" w:rsidRPr="00C128BB" w:rsidRDefault="00C128BB" w:rsidP="00C128BB">
      <w:pPr>
        <w:pStyle w:val="CenterUnderline"/>
        <w:jc w:val="left"/>
        <w:rPr>
          <w:u w:val="none"/>
        </w:rPr>
      </w:pPr>
    </w:p>
    <w:p w:rsidR="00C128BB" w:rsidRDefault="00991ABD" w:rsidP="00083D1A">
      <w:pPr>
        <w:pStyle w:val="CenterUnderline"/>
        <w:jc w:val="both"/>
        <w:rPr>
          <w:u w:val="none"/>
        </w:rPr>
      </w:pPr>
      <w:r>
        <w:rPr>
          <w:u w:val="none"/>
        </w:rPr>
        <w:tab/>
        <w:t>On August 11, 2025, the Office of Public Counsel, Floridians Against Increased Rates, Florida Rising</w:t>
      </w:r>
      <w:r w:rsidR="00A06D71">
        <w:rPr>
          <w:u w:val="none"/>
        </w:rPr>
        <w:t xml:space="preserve">, </w:t>
      </w:r>
      <w:r>
        <w:rPr>
          <w:u w:val="none"/>
        </w:rPr>
        <w:t>League of Latin United Citizens Florida</w:t>
      </w:r>
      <w:r w:rsidR="00A06D71">
        <w:rPr>
          <w:u w:val="none"/>
        </w:rPr>
        <w:t>,</w:t>
      </w:r>
      <w:r>
        <w:rPr>
          <w:u w:val="none"/>
        </w:rPr>
        <w:t xml:space="preserve"> </w:t>
      </w:r>
      <w:r w:rsidR="00A06D71">
        <w:rPr>
          <w:u w:val="none"/>
        </w:rPr>
        <w:t xml:space="preserve">and the </w:t>
      </w:r>
      <w:r>
        <w:rPr>
          <w:u w:val="none"/>
        </w:rPr>
        <w:t>Environmental Confederation of Southwest Florida (</w:t>
      </w:r>
      <w:r w:rsidR="00A06D71">
        <w:rPr>
          <w:u w:val="none"/>
        </w:rPr>
        <w:t>Joint Opponents</w:t>
      </w:r>
      <w:r>
        <w:rPr>
          <w:u w:val="none"/>
        </w:rPr>
        <w:t xml:space="preserve">) filed a Joint Response in Opposition to the Motion. </w:t>
      </w:r>
      <w:r w:rsidR="00083D1A">
        <w:rPr>
          <w:u w:val="none"/>
        </w:rPr>
        <w:t>Joint Opponents</w:t>
      </w:r>
      <w:r>
        <w:rPr>
          <w:u w:val="none"/>
        </w:rPr>
        <w:t xml:space="preserve"> argue that the Motion should be treated as a motion </w:t>
      </w:r>
      <w:r w:rsidR="00083D1A">
        <w:rPr>
          <w:u w:val="none"/>
        </w:rPr>
        <w:t>for continuance</w:t>
      </w:r>
      <w:r>
        <w:rPr>
          <w:u w:val="none"/>
        </w:rPr>
        <w:t xml:space="preserve"> under Rule 28-106.210, Florida </w:t>
      </w:r>
      <w:r w:rsidR="00083D1A">
        <w:rPr>
          <w:u w:val="none"/>
        </w:rPr>
        <w:t xml:space="preserve">Administrative Code, and rejected as untimely because it was filed less than </w:t>
      </w:r>
      <w:r w:rsidR="00083D1A">
        <w:rPr>
          <w:u w:val="none"/>
        </w:rPr>
        <w:lastRenderedPageBreak/>
        <w:t>five (5) days before the scheduled first day of hearing. The Joint Opponents also argue that it is more efficient to conduct the hearing as scheduled.</w:t>
      </w:r>
    </w:p>
    <w:p w:rsidR="00083D1A" w:rsidRDefault="00083D1A" w:rsidP="00083D1A">
      <w:pPr>
        <w:pStyle w:val="CenterUnderline"/>
        <w:jc w:val="both"/>
        <w:rPr>
          <w:u w:val="none"/>
        </w:rPr>
      </w:pPr>
    </w:p>
    <w:p w:rsidR="00A1299B" w:rsidRDefault="00083D1A" w:rsidP="00EF7DDE">
      <w:pPr>
        <w:pStyle w:val="CenterUnderline"/>
        <w:jc w:val="both"/>
        <w:rPr>
          <w:u w:val="none"/>
        </w:rPr>
      </w:pPr>
      <w:r>
        <w:rPr>
          <w:u w:val="none"/>
        </w:rPr>
        <w:tab/>
      </w:r>
      <w:r w:rsidR="00EF7DDE">
        <w:rPr>
          <w:u w:val="none"/>
        </w:rPr>
        <w:t>On August 11, 2025, we</w:t>
      </w:r>
      <w:r>
        <w:rPr>
          <w:u w:val="none"/>
        </w:rPr>
        <w:t xml:space="preserve"> heard oral argument from the parties on the Motion and Response. </w:t>
      </w:r>
      <w:r w:rsidR="004A057C">
        <w:rPr>
          <w:u w:val="none"/>
        </w:rPr>
        <w:t>FPL, t</w:t>
      </w:r>
      <w:r>
        <w:rPr>
          <w:u w:val="none"/>
        </w:rPr>
        <w:t>he Joint Signatories</w:t>
      </w:r>
      <w:r w:rsidR="004A057C">
        <w:rPr>
          <w:u w:val="none"/>
        </w:rPr>
        <w:t>,</w:t>
      </w:r>
      <w:r>
        <w:rPr>
          <w:u w:val="none"/>
        </w:rPr>
        <w:t xml:space="preserve"> and Joint Opponents maintained divergent positions on whether the final hearing should be </w:t>
      </w:r>
      <w:r w:rsidR="00EF7DDE">
        <w:rPr>
          <w:u w:val="none"/>
        </w:rPr>
        <w:t>suspended</w:t>
      </w:r>
      <w:r w:rsidR="00A1299B">
        <w:rPr>
          <w:u w:val="none"/>
        </w:rPr>
        <w:t xml:space="preserve">. </w:t>
      </w:r>
      <w:r w:rsidR="004A057C">
        <w:rPr>
          <w:u w:val="none"/>
        </w:rPr>
        <w:t>FPL and t</w:t>
      </w:r>
      <w:r w:rsidR="00A1299B">
        <w:rPr>
          <w:u w:val="none"/>
        </w:rPr>
        <w:t xml:space="preserve">he Joint Signatories emphasized that if the hearing on the as-filed rate case proceeded before a settlement was finalized, their witnesses may not be able to fully and truthfully answer a question regarding a term that was still under negotiation. They argued that waiting until the settlement was signed and filed would </w:t>
      </w:r>
      <w:r w:rsidR="001A1BCF">
        <w:rPr>
          <w:u w:val="none"/>
        </w:rPr>
        <w:t xml:space="preserve">be more efficient and </w:t>
      </w:r>
      <w:r w:rsidR="00A1299B">
        <w:rPr>
          <w:u w:val="none"/>
        </w:rPr>
        <w:t>allow the Joint Opponents to fully explore all affected terms</w:t>
      </w:r>
      <w:r w:rsidR="001A1BCF">
        <w:rPr>
          <w:u w:val="none"/>
        </w:rPr>
        <w:t xml:space="preserve"> resulting in a cleaner record</w:t>
      </w:r>
      <w:r w:rsidR="00A1299B">
        <w:rPr>
          <w:u w:val="none"/>
        </w:rPr>
        <w:t xml:space="preserve">. The Joint Opponents </w:t>
      </w:r>
      <w:r w:rsidR="002C0497">
        <w:rPr>
          <w:u w:val="none"/>
        </w:rPr>
        <w:t>counter</w:t>
      </w:r>
      <w:r w:rsidR="00A1299B">
        <w:rPr>
          <w:u w:val="none"/>
        </w:rPr>
        <w:t xml:space="preserve"> that </w:t>
      </w:r>
      <w:r w:rsidR="002C0497">
        <w:rPr>
          <w:u w:val="none"/>
        </w:rPr>
        <w:t>there is no written settlement and, therefore, no ground for continuance.</w:t>
      </w:r>
    </w:p>
    <w:p w:rsidR="0016492F" w:rsidRDefault="0016492F" w:rsidP="00EF7DDE">
      <w:pPr>
        <w:pStyle w:val="CenterUnderline"/>
        <w:jc w:val="both"/>
        <w:rPr>
          <w:u w:val="none"/>
        </w:rPr>
      </w:pPr>
    </w:p>
    <w:p w:rsidR="00C128BB" w:rsidRDefault="00A1299B" w:rsidP="00EF7DDE">
      <w:pPr>
        <w:pStyle w:val="CenterUnderline"/>
        <w:jc w:val="both"/>
        <w:rPr>
          <w:u w:val="none"/>
        </w:rPr>
      </w:pPr>
      <w:r>
        <w:rPr>
          <w:u w:val="none"/>
        </w:rPr>
        <w:tab/>
      </w:r>
      <w:r w:rsidR="002C0497">
        <w:rPr>
          <w:u w:val="none"/>
        </w:rPr>
        <w:t xml:space="preserve">While disagreeing on whether the hearing should be continued, </w:t>
      </w:r>
      <w:r w:rsidR="004A057C">
        <w:rPr>
          <w:u w:val="none"/>
        </w:rPr>
        <w:t xml:space="preserve">FPL, </w:t>
      </w:r>
      <w:r>
        <w:rPr>
          <w:u w:val="none"/>
        </w:rPr>
        <w:t>t</w:t>
      </w:r>
      <w:r w:rsidR="00083D1A">
        <w:rPr>
          <w:u w:val="none"/>
        </w:rPr>
        <w:t>he Joint Signatories</w:t>
      </w:r>
      <w:r w:rsidR="004A057C">
        <w:rPr>
          <w:u w:val="none"/>
        </w:rPr>
        <w:t>,</w:t>
      </w:r>
      <w:r w:rsidR="00083D1A">
        <w:rPr>
          <w:u w:val="none"/>
        </w:rPr>
        <w:t xml:space="preserve"> and Joint Opponents agree</w:t>
      </w:r>
      <w:r w:rsidR="0016492F">
        <w:rPr>
          <w:u w:val="none"/>
        </w:rPr>
        <w:t>d</w:t>
      </w:r>
      <w:r w:rsidR="00083D1A">
        <w:rPr>
          <w:u w:val="none"/>
        </w:rPr>
        <w:t xml:space="preserve"> that </w:t>
      </w:r>
      <w:r w:rsidR="00083D1A">
        <w:t>if</w:t>
      </w:r>
      <w:r w:rsidR="00083D1A">
        <w:rPr>
          <w:u w:val="none"/>
        </w:rPr>
        <w:t xml:space="preserve"> the hearing was </w:t>
      </w:r>
      <w:r w:rsidR="00EF7DDE">
        <w:rPr>
          <w:u w:val="none"/>
        </w:rPr>
        <w:t>suspend</w:t>
      </w:r>
      <w:r w:rsidR="00083D1A">
        <w:rPr>
          <w:u w:val="none"/>
        </w:rPr>
        <w:t>ed, the rescheduled hearing should address both the as-filed rate request as well as the settlement agreement rate request.</w:t>
      </w:r>
      <w:r w:rsidR="002C0497">
        <w:rPr>
          <w:u w:val="none"/>
        </w:rPr>
        <w:t xml:space="preserve"> </w:t>
      </w:r>
      <w:r w:rsidR="004A057C">
        <w:rPr>
          <w:u w:val="none"/>
        </w:rPr>
        <w:t>T</w:t>
      </w:r>
      <w:r w:rsidR="002C0497">
        <w:rPr>
          <w:u w:val="none"/>
        </w:rPr>
        <w:t xml:space="preserve">he Joint Signatories </w:t>
      </w:r>
      <w:r w:rsidR="004A057C">
        <w:rPr>
          <w:u w:val="none"/>
        </w:rPr>
        <w:t xml:space="preserve">and FPL </w:t>
      </w:r>
      <w:r w:rsidR="002C0497">
        <w:rPr>
          <w:u w:val="none"/>
        </w:rPr>
        <w:t>committed to have</w:t>
      </w:r>
      <w:r w:rsidR="006776F4">
        <w:rPr>
          <w:u w:val="none"/>
        </w:rPr>
        <w:t xml:space="preserve"> all of</w:t>
      </w:r>
      <w:r w:rsidR="002C0497">
        <w:rPr>
          <w:u w:val="none"/>
        </w:rPr>
        <w:t xml:space="preserve"> their witnesses available for cross-examination during this reconvened hearing.</w:t>
      </w:r>
    </w:p>
    <w:p w:rsidR="0016492F" w:rsidRDefault="0016492F" w:rsidP="0016492F">
      <w:pPr>
        <w:pStyle w:val="CenterUnderline"/>
        <w:jc w:val="both"/>
        <w:rPr>
          <w:u w:val="none"/>
        </w:rPr>
      </w:pPr>
    </w:p>
    <w:p w:rsidR="0016492F" w:rsidRDefault="0016492F" w:rsidP="0016492F">
      <w:pPr>
        <w:pStyle w:val="CenterUnderline"/>
        <w:rPr>
          <w:u w:val="none"/>
        </w:rPr>
      </w:pPr>
      <w:r>
        <w:t>Analysis</w:t>
      </w:r>
      <w:r w:rsidR="00EB2587">
        <w:t xml:space="preserve"> and Decision</w:t>
      </w:r>
    </w:p>
    <w:p w:rsidR="0016492F" w:rsidRDefault="0016492F" w:rsidP="0016492F">
      <w:pPr>
        <w:pStyle w:val="CenterUnderline"/>
        <w:jc w:val="both"/>
        <w:rPr>
          <w:u w:val="none"/>
        </w:rPr>
      </w:pPr>
    </w:p>
    <w:p w:rsidR="002C0497" w:rsidRDefault="00EB2587" w:rsidP="00EF7DDE">
      <w:pPr>
        <w:pStyle w:val="CenterUnderline"/>
        <w:jc w:val="both"/>
        <w:rPr>
          <w:u w:val="none"/>
        </w:rPr>
      </w:pPr>
      <w:r>
        <w:rPr>
          <w:u w:val="none"/>
        </w:rPr>
        <w:t xml:space="preserve"> </w:t>
      </w:r>
      <w:r w:rsidR="002C0497">
        <w:rPr>
          <w:u w:val="none"/>
        </w:rPr>
        <w:tab/>
        <w:t>We find good cause exists to suspend this proceeding. The parties convincingly demonstrated the difficulties in going forward with the</w:t>
      </w:r>
      <w:r w:rsidR="00953506">
        <w:rPr>
          <w:u w:val="none"/>
        </w:rPr>
        <w:t xml:space="preserve"> final hearing as scheduled. The challenges of questioning witness</w:t>
      </w:r>
      <w:r w:rsidR="00687807">
        <w:rPr>
          <w:u w:val="none"/>
        </w:rPr>
        <w:t>es</w:t>
      </w:r>
      <w:r w:rsidR="00953506">
        <w:rPr>
          <w:u w:val="none"/>
        </w:rPr>
        <w:t xml:space="preserve"> about </w:t>
      </w:r>
      <w:r w:rsidR="000C718B">
        <w:rPr>
          <w:u w:val="none"/>
        </w:rPr>
        <w:t xml:space="preserve">prefiled testimony and anticipated settlements </w:t>
      </w:r>
      <w:r w:rsidR="00953506">
        <w:rPr>
          <w:u w:val="none"/>
        </w:rPr>
        <w:t xml:space="preserve">in light of non-disclosure agreements </w:t>
      </w:r>
      <w:r w:rsidR="007D17A0">
        <w:rPr>
          <w:u w:val="none"/>
        </w:rPr>
        <w:t>argue</w:t>
      </w:r>
      <w:r w:rsidR="00953506">
        <w:rPr>
          <w:u w:val="none"/>
        </w:rPr>
        <w:t xml:space="preserve"> strongly in favor of a continuance, as do the efficiencies </w:t>
      </w:r>
      <w:r w:rsidR="00C62532">
        <w:rPr>
          <w:u w:val="none"/>
        </w:rPr>
        <w:t xml:space="preserve">and economies </w:t>
      </w:r>
      <w:r w:rsidR="00953506">
        <w:rPr>
          <w:u w:val="none"/>
        </w:rPr>
        <w:t>of trying the as-filed and settlement cases in one continuous hearing.</w:t>
      </w:r>
    </w:p>
    <w:p w:rsidR="00953506" w:rsidRDefault="00953506" w:rsidP="00EF7DDE">
      <w:pPr>
        <w:pStyle w:val="CenterUnderline"/>
        <w:jc w:val="both"/>
        <w:rPr>
          <w:u w:val="none"/>
        </w:rPr>
      </w:pPr>
    </w:p>
    <w:p w:rsidR="00C128BB" w:rsidRDefault="00953506" w:rsidP="001E3B9F">
      <w:pPr>
        <w:pStyle w:val="CenterUnderline"/>
        <w:jc w:val="both"/>
        <w:rPr>
          <w:u w:val="none"/>
        </w:rPr>
      </w:pPr>
      <w:r>
        <w:rPr>
          <w:u w:val="none"/>
        </w:rPr>
        <w:tab/>
        <w:t xml:space="preserve">Accordingly, we </w:t>
      </w:r>
      <w:r w:rsidR="008E412E">
        <w:rPr>
          <w:u w:val="none"/>
        </w:rPr>
        <w:t xml:space="preserve">acknowledge the Notice of Settlement in Principle and </w:t>
      </w:r>
      <w:r>
        <w:rPr>
          <w:u w:val="none"/>
        </w:rPr>
        <w:t>grant the Motion to Suspend Schedule.</w:t>
      </w:r>
      <w:r w:rsidR="008E412E">
        <w:rPr>
          <w:u w:val="none"/>
        </w:rPr>
        <w:t xml:space="preserve"> We defer our ruling on the request that we issue an amended procedural order in order to allow time for the parties to finalize and file the settlement agreement, and for our staff and the Prehearing Officer to have sufficient time to review the agreement and determine an appropriate schedule</w:t>
      </w:r>
      <w:r w:rsidR="000C718B">
        <w:rPr>
          <w:u w:val="none"/>
        </w:rPr>
        <w:t xml:space="preserve"> </w:t>
      </w:r>
      <w:r w:rsidR="002B7B54">
        <w:rPr>
          <w:u w:val="none"/>
        </w:rPr>
        <w:t xml:space="preserve">consistent with </w:t>
      </w:r>
      <w:r w:rsidR="00803541">
        <w:rPr>
          <w:u w:val="none"/>
        </w:rPr>
        <w:t>ensuring</w:t>
      </w:r>
      <w:r w:rsidR="002B7B54">
        <w:rPr>
          <w:u w:val="none"/>
        </w:rPr>
        <w:t xml:space="preserve"> due process</w:t>
      </w:r>
      <w:r w:rsidR="007D17A0">
        <w:rPr>
          <w:u w:val="none"/>
        </w:rPr>
        <w:t xml:space="preserve"> for all parties</w:t>
      </w:r>
      <w:r w:rsidR="008E412E">
        <w:rPr>
          <w:u w:val="none"/>
        </w:rPr>
        <w:t>.</w:t>
      </w:r>
    </w:p>
    <w:p w:rsidR="00C128BB" w:rsidRDefault="00C128BB" w:rsidP="00C128BB">
      <w:pPr>
        <w:pStyle w:val="ListParagraph"/>
        <w:ind w:left="0"/>
        <w:jc w:val="both"/>
        <w:rPr>
          <w:rFonts w:ascii="Times New Roman" w:hAnsi="Times New Roman"/>
          <w:iCs/>
          <w:color w:val="212121"/>
        </w:rPr>
      </w:pPr>
      <w:r w:rsidRPr="00817318">
        <w:rPr>
          <w:rFonts w:ascii="Times New Roman" w:hAnsi="Times New Roman"/>
          <w:iCs/>
          <w:color w:val="212121"/>
        </w:rPr>
        <w:tab/>
      </w:r>
    </w:p>
    <w:p w:rsidR="007D17A0" w:rsidRDefault="007D17A0" w:rsidP="007D17A0">
      <w:pPr>
        <w:pStyle w:val="OrderBody"/>
      </w:pPr>
      <w:r>
        <w:tab/>
        <w:t>Based on the foregoing, it is</w:t>
      </w:r>
    </w:p>
    <w:p w:rsidR="007D17A0" w:rsidRDefault="007D17A0" w:rsidP="007D17A0">
      <w:pPr>
        <w:pStyle w:val="OrderBody"/>
      </w:pPr>
    </w:p>
    <w:p w:rsidR="00CB5276" w:rsidRDefault="007D17A0">
      <w:pPr>
        <w:pStyle w:val="OrderBody"/>
        <w:rPr>
          <w:iCs/>
          <w:color w:val="212121"/>
        </w:rPr>
      </w:pPr>
      <w:r>
        <w:tab/>
        <w:t xml:space="preserve">ORDERED by the Florida Public Service Commission </w:t>
      </w:r>
      <w:r w:rsidR="00C128BB" w:rsidRPr="00817318">
        <w:rPr>
          <w:iCs/>
          <w:color w:val="212121"/>
        </w:rPr>
        <w:t>that the</w:t>
      </w:r>
      <w:r w:rsidR="001E3B9F">
        <w:t xml:space="preserve"> Notice of Settlement in Principle filed by Florida Power &amp; Light </w:t>
      </w:r>
      <w:r w:rsidR="00C651F4">
        <w:t xml:space="preserve">Company </w:t>
      </w:r>
      <w:r w:rsidR="001E3B9F">
        <w:t>is acknowledged.</w:t>
      </w:r>
      <w:r w:rsidR="00C128BB" w:rsidRPr="00817318">
        <w:rPr>
          <w:iCs/>
          <w:color w:val="212121"/>
        </w:rPr>
        <w:t xml:space="preserve">  It is further</w:t>
      </w:r>
    </w:p>
    <w:p w:rsidR="001E3B9F" w:rsidRDefault="001E3B9F" w:rsidP="00C128BB">
      <w:pPr>
        <w:pStyle w:val="OrderBody"/>
        <w:rPr>
          <w:iCs/>
          <w:color w:val="212121"/>
        </w:rPr>
      </w:pPr>
    </w:p>
    <w:p w:rsidR="001E3B9F" w:rsidRDefault="001E3B9F" w:rsidP="00C128BB">
      <w:pPr>
        <w:pStyle w:val="OrderBody"/>
        <w:rPr>
          <w:iCs/>
          <w:color w:val="212121"/>
        </w:rPr>
      </w:pPr>
      <w:r>
        <w:rPr>
          <w:iCs/>
          <w:color w:val="212121"/>
        </w:rPr>
        <w:tab/>
        <w:t xml:space="preserve">ORDERED that the </w:t>
      </w:r>
      <w:r>
        <w:t>Motion to Suspend Schedule</w:t>
      </w:r>
      <w:r>
        <w:rPr>
          <w:iCs/>
          <w:color w:val="212121"/>
        </w:rPr>
        <w:t xml:space="preserve"> is granted</w:t>
      </w:r>
      <w:r w:rsidR="007D17A0">
        <w:rPr>
          <w:iCs/>
          <w:color w:val="212121"/>
        </w:rPr>
        <w:t xml:space="preserve"> as set forth herein</w:t>
      </w:r>
      <w:r>
        <w:rPr>
          <w:iCs/>
          <w:color w:val="212121"/>
        </w:rPr>
        <w:t>. It is further</w:t>
      </w:r>
    </w:p>
    <w:p w:rsidR="001E3B9F" w:rsidRDefault="001E3B9F" w:rsidP="00C128BB">
      <w:pPr>
        <w:pStyle w:val="OrderBody"/>
        <w:rPr>
          <w:iCs/>
          <w:color w:val="212121"/>
        </w:rPr>
      </w:pPr>
    </w:p>
    <w:p w:rsidR="001E3B9F" w:rsidRDefault="001E3B9F" w:rsidP="00C128BB">
      <w:pPr>
        <w:pStyle w:val="OrderBody"/>
        <w:rPr>
          <w:iCs/>
          <w:color w:val="212121"/>
        </w:rPr>
      </w:pPr>
      <w:r>
        <w:rPr>
          <w:iCs/>
          <w:color w:val="212121"/>
        </w:rPr>
        <w:tab/>
        <w:t>ORDERED that ruling on the Motion to Amend Procedural Order is deferred.</w:t>
      </w:r>
    </w:p>
    <w:p w:rsidR="00C128BB" w:rsidRDefault="00C128BB" w:rsidP="00C128BB">
      <w:pPr>
        <w:pStyle w:val="OrderBody"/>
        <w:rPr>
          <w:iCs/>
          <w:color w:val="212121"/>
        </w:rPr>
      </w:pPr>
    </w:p>
    <w:p w:rsidR="007D17A0" w:rsidRDefault="00C128BB">
      <w:pPr>
        <w:pStyle w:val="OrderBody"/>
        <w:keepNext/>
        <w:keepLines/>
        <w:rPr>
          <w:iCs/>
          <w:color w:val="212121"/>
        </w:rPr>
      </w:pPr>
      <w:r>
        <w:rPr>
          <w:iCs/>
          <w:color w:val="212121"/>
        </w:rPr>
        <w:lastRenderedPageBreak/>
        <w:tab/>
      </w:r>
      <w:r w:rsidR="007D17A0">
        <w:rPr>
          <w:iCs/>
          <w:color w:val="212121"/>
        </w:rPr>
        <w:t xml:space="preserve">By ORDER of the Florida Public Service Commission this </w:t>
      </w:r>
      <w:bookmarkStart w:id="6" w:name="replaceDate"/>
      <w:bookmarkEnd w:id="6"/>
      <w:r w:rsidR="00342811">
        <w:rPr>
          <w:iCs/>
          <w:color w:val="212121"/>
          <w:u w:val="single"/>
        </w:rPr>
        <w:t>12th</w:t>
      </w:r>
      <w:r w:rsidR="00342811">
        <w:rPr>
          <w:iCs/>
          <w:color w:val="212121"/>
        </w:rPr>
        <w:t xml:space="preserve"> day of </w:t>
      </w:r>
      <w:r w:rsidR="00342811">
        <w:rPr>
          <w:iCs/>
          <w:color w:val="212121"/>
          <w:u w:val="single"/>
        </w:rPr>
        <w:t>August</w:t>
      </w:r>
      <w:r w:rsidR="00342811">
        <w:rPr>
          <w:iCs/>
          <w:color w:val="212121"/>
        </w:rPr>
        <w:t xml:space="preserve">, </w:t>
      </w:r>
      <w:r w:rsidR="00342811">
        <w:rPr>
          <w:iCs/>
          <w:color w:val="212121"/>
          <w:u w:val="single"/>
        </w:rPr>
        <w:t>2025</w:t>
      </w:r>
      <w:r w:rsidR="00342811">
        <w:rPr>
          <w:iCs/>
          <w:color w:val="212121"/>
        </w:rPr>
        <w:t>.</w:t>
      </w:r>
    </w:p>
    <w:p w:rsidR="00342811" w:rsidRPr="00342811" w:rsidRDefault="00342811">
      <w:pPr>
        <w:pStyle w:val="OrderBody"/>
        <w:keepNext/>
        <w:keepLines/>
        <w:rPr>
          <w:iCs/>
          <w:color w:val="212121"/>
        </w:rPr>
      </w:pPr>
    </w:p>
    <w:p w:rsidR="007D17A0" w:rsidRDefault="007D17A0">
      <w:pPr>
        <w:pStyle w:val="OrderBody"/>
        <w:keepNext/>
        <w:keepLines/>
        <w:rPr>
          <w:iCs/>
          <w:color w:val="212121"/>
        </w:rPr>
      </w:pPr>
    </w:p>
    <w:p w:rsidR="007D17A0" w:rsidRDefault="007D17A0">
      <w:pPr>
        <w:pStyle w:val="OrderBody"/>
        <w:keepNext/>
        <w:keepLines/>
        <w:rPr>
          <w:iCs/>
          <w:color w:val="212121"/>
        </w:rPr>
      </w:pPr>
    </w:p>
    <w:tbl>
      <w:tblPr>
        <w:tblW w:w="4720" w:type="dxa"/>
        <w:tblInd w:w="3800" w:type="dxa"/>
        <w:tblLayout w:type="fixed"/>
        <w:tblLook w:val="0000" w:firstRow="0" w:lastRow="0" w:firstColumn="0" w:lastColumn="0" w:noHBand="0" w:noVBand="0"/>
      </w:tblPr>
      <w:tblGrid>
        <w:gridCol w:w="686"/>
        <w:gridCol w:w="4034"/>
      </w:tblGrid>
      <w:tr w:rsidR="007D17A0" w:rsidTr="00AD17EA">
        <w:tc>
          <w:tcPr>
            <w:tcW w:w="720" w:type="dxa"/>
            <w:shd w:val="clear" w:color="auto" w:fill="auto"/>
          </w:tcPr>
          <w:p w:rsidR="007D17A0" w:rsidRDefault="007D17A0">
            <w:pPr>
              <w:pStyle w:val="OrderBody"/>
              <w:keepNext/>
              <w:keepLines/>
              <w:rPr>
                <w:iCs/>
                <w:color w:val="212121"/>
              </w:rPr>
            </w:pPr>
            <w:bookmarkStart w:id="7" w:name="bkmrkSignature" w:colFirst="0" w:colLast="0"/>
          </w:p>
        </w:tc>
        <w:tc>
          <w:tcPr>
            <w:tcW w:w="4320" w:type="dxa"/>
            <w:tcBorders>
              <w:bottom w:val="single" w:sz="4" w:space="0" w:color="auto"/>
            </w:tcBorders>
            <w:shd w:val="clear" w:color="auto" w:fill="auto"/>
          </w:tcPr>
          <w:p w:rsidR="007D17A0" w:rsidRDefault="00342811">
            <w:pPr>
              <w:pStyle w:val="OrderBody"/>
              <w:keepNext/>
              <w:keepLines/>
              <w:rPr>
                <w:iCs/>
                <w:color w:val="212121"/>
              </w:rPr>
            </w:pPr>
            <w:r>
              <w:rPr>
                <w:iCs/>
                <w:color w:val="212121"/>
              </w:rPr>
              <w:t>/s/ Adam J. Teitzman</w:t>
            </w:r>
            <w:bookmarkStart w:id="8" w:name="_GoBack"/>
            <w:bookmarkEnd w:id="8"/>
          </w:p>
        </w:tc>
      </w:tr>
      <w:bookmarkEnd w:id="7"/>
      <w:tr w:rsidR="007D17A0" w:rsidTr="00AD17EA">
        <w:tc>
          <w:tcPr>
            <w:tcW w:w="720" w:type="dxa"/>
            <w:shd w:val="clear" w:color="auto" w:fill="auto"/>
          </w:tcPr>
          <w:p w:rsidR="007D17A0" w:rsidRDefault="007D17A0">
            <w:pPr>
              <w:pStyle w:val="OrderBody"/>
              <w:keepNext/>
              <w:keepLines/>
              <w:rPr>
                <w:iCs/>
                <w:color w:val="212121"/>
              </w:rPr>
            </w:pPr>
          </w:p>
        </w:tc>
        <w:tc>
          <w:tcPr>
            <w:tcW w:w="4320" w:type="dxa"/>
            <w:tcBorders>
              <w:top w:val="single" w:sz="4" w:space="0" w:color="auto"/>
            </w:tcBorders>
            <w:shd w:val="clear" w:color="auto" w:fill="auto"/>
          </w:tcPr>
          <w:p w:rsidR="007D17A0" w:rsidRDefault="007D17A0">
            <w:pPr>
              <w:pStyle w:val="OrderBody"/>
              <w:keepNext/>
              <w:keepLines/>
              <w:rPr>
                <w:iCs/>
                <w:color w:val="212121"/>
              </w:rPr>
            </w:pPr>
            <w:r>
              <w:rPr>
                <w:iCs/>
                <w:color w:val="212121"/>
              </w:rPr>
              <w:t>ADAM J. TEITZMAN</w:t>
            </w:r>
          </w:p>
          <w:p w:rsidR="007D17A0" w:rsidRDefault="007D17A0">
            <w:pPr>
              <w:pStyle w:val="OrderBody"/>
              <w:keepNext/>
              <w:keepLines/>
              <w:rPr>
                <w:iCs/>
                <w:color w:val="212121"/>
              </w:rPr>
            </w:pPr>
            <w:r>
              <w:rPr>
                <w:iCs/>
                <w:color w:val="212121"/>
              </w:rPr>
              <w:t>Commission Clerk</w:t>
            </w:r>
          </w:p>
        </w:tc>
      </w:tr>
    </w:tbl>
    <w:p w:rsidR="007D17A0" w:rsidRDefault="007D17A0" w:rsidP="00AD17EA">
      <w:pPr>
        <w:pStyle w:val="OrderSigInfo"/>
        <w:keepNext/>
        <w:keepLines/>
      </w:pPr>
      <w:r>
        <w:t>Florida Public Service Commission</w:t>
      </w:r>
    </w:p>
    <w:p w:rsidR="007D17A0" w:rsidRDefault="007D17A0" w:rsidP="00AD17EA">
      <w:pPr>
        <w:pStyle w:val="OrderSigInfo"/>
        <w:keepNext/>
        <w:keepLines/>
      </w:pPr>
      <w:r>
        <w:t>2540 Shumard Oak Boulevard</w:t>
      </w:r>
    </w:p>
    <w:p w:rsidR="007D17A0" w:rsidRDefault="007D17A0" w:rsidP="00AD17EA">
      <w:pPr>
        <w:pStyle w:val="OrderSigInfo"/>
        <w:keepNext/>
        <w:keepLines/>
      </w:pPr>
      <w:r>
        <w:t>Tallahassee, Florida 32399</w:t>
      </w:r>
    </w:p>
    <w:p w:rsidR="007D17A0" w:rsidRDefault="007D17A0" w:rsidP="00AD17EA">
      <w:pPr>
        <w:pStyle w:val="OrderSigInfo"/>
        <w:keepNext/>
        <w:keepLines/>
      </w:pPr>
      <w:r>
        <w:t>(850) 413</w:t>
      </w:r>
      <w:r>
        <w:noBreakHyphen/>
        <w:t>6770</w:t>
      </w:r>
    </w:p>
    <w:p w:rsidR="007D17A0" w:rsidRDefault="007D17A0" w:rsidP="00AD17EA">
      <w:pPr>
        <w:pStyle w:val="OrderSigInfo"/>
        <w:keepNext/>
        <w:keepLines/>
      </w:pPr>
      <w:r>
        <w:t>www.floridapsc.com</w:t>
      </w:r>
    </w:p>
    <w:p w:rsidR="007D17A0" w:rsidRDefault="007D17A0" w:rsidP="00AD17EA">
      <w:pPr>
        <w:pStyle w:val="OrderSigInfo"/>
        <w:keepNext/>
        <w:keepLines/>
      </w:pPr>
    </w:p>
    <w:p w:rsidR="007D17A0" w:rsidRDefault="007D17A0" w:rsidP="00AD17EA">
      <w:pPr>
        <w:pStyle w:val="OrderSigInfo"/>
        <w:keepNext/>
        <w:keepLines/>
      </w:pPr>
      <w:r>
        <w:t>Copies furnished:  A copy of this document is provided to the parties of record at the time of issuance and, if applicable, interested persons.</w:t>
      </w:r>
    </w:p>
    <w:p w:rsidR="007D17A0" w:rsidRDefault="007D17A0">
      <w:pPr>
        <w:pStyle w:val="OrderBody"/>
        <w:keepNext/>
        <w:keepLines/>
        <w:rPr>
          <w:iCs/>
          <w:color w:val="212121"/>
        </w:rPr>
      </w:pPr>
    </w:p>
    <w:p w:rsidR="00C128BB" w:rsidRDefault="00C128BB" w:rsidP="00C128BB">
      <w:pPr>
        <w:pStyle w:val="OrderBody"/>
        <w:keepNext/>
        <w:keepLines/>
      </w:pPr>
      <w:r>
        <w:t>SPS</w:t>
      </w:r>
    </w:p>
    <w:p w:rsidR="00C128BB" w:rsidRDefault="00C128BB" w:rsidP="00C128BB">
      <w:pPr>
        <w:pStyle w:val="OrderBody"/>
      </w:pPr>
    </w:p>
    <w:p w:rsidR="00C128BB" w:rsidRDefault="00C128BB" w:rsidP="00C128BB">
      <w:pPr>
        <w:pStyle w:val="OrderBody"/>
      </w:pPr>
    </w:p>
    <w:p w:rsidR="00C128BB" w:rsidRDefault="00C128BB" w:rsidP="00C128BB">
      <w:pPr>
        <w:pStyle w:val="CenterUnderline"/>
      </w:pPr>
      <w:r>
        <w:t>NOTICE OF FURTHER PROCEEDINGS OR JUDICIAL REVIEW</w:t>
      </w:r>
    </w:p>
    <w:p w:rsidR="00C128BB" w:rsidRDefault="00C128BB" w:rsidP="00C128BB">
      <w:pPr>
        <w:pStyle w:val="CenterUnderline"/>
      </w:pPr>
    </w:p>
    <w:p w:rsidR="00C128BB" w:rsidRDefault="00C128BB" w:rsidP="00C128BB">
      <w:pPr>
        <w:pStyle w:val="OrderBody"/>
      </w:pPr>
      <w:r>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rsidR="00C128BB" w:rsidRDefault="00C128BB" w:rsidP="00C128BB">
      <w:pPr>
        <w:pStyle w:val="OrderBody"/>
      </w:pPr>
    </w:p>
    <w:p w:rsidR="00C128BB" w:rsidRDefault="00C128BB" w:rsidP="00C128BB">
      <w:pPr>
        <w:pStyle w:val="OrderBody"/>
      </w:pPr>
      <w:r>
        <w:tab/>
        <w:t>Mediation may be available on a case-by-case basis.  If mediation is conducted, it does not affect a substantially interested person's right to a hearing.</w:t>
      </w:r>
    </w:p>
    <w:p w:rsidR="00C128BB" w:rsidRDefault="00C128BB" w:rsidP="00C128BB">
      <w:pPr>
        <w:pStyle w:val="OrderBody"/>
      </w:pPr>
    </w:p>
    <w:p w:rsidR="00C128BB" w:rsidRDefault="00C128BB" w:rsidP="00C128BB">
      <w:pPr>
        <w:pStyle w:val="OrderBody"/>
      </w:pPr>
      <w:r>
        <w:tab/>
        <w:t>Any party adversely affected by this order, which is preliminary, procedural or intermediate in nature, may request: (1) reconsideration within 10 days pursuant to Rule 25-22.0376, Florida Administrative Code; or (2) judicial review by the Florida Supreme Court, in the case of an electric, gas or telephone utility, or the First District Court of Appeal, in the case of a water or wastewater utility.  A motion for reconsideration shall be filed with the Office of Commission Clerk, in the form prescribed by Rule 25-22.0376, Florida Administrative Code.  Judicial review of a preliminary, procedural or intermediate ruling or order is available if review of the final action will not provide an adequate remedy.  Such review may be requested from the appropriate court, as described above, pursuant to Rule 9.100, Florida Rules of Appellate Procedure.</w:t>
      </w:r>
    </w:p>
    <w:p w:rsidR="00C128BB" w:rsidRDefault="00C128BB" w:rsidP="00C128BB">
      <w:pPr>
        <w:pStyle w:val="OrderBody"/>
      </w:pPr>
    </w:p>
    <w:sectPr w:rsidR="00C128BB">
      <w:headerReference w:type="default" r:id="rId7"/>
      <w:footerReference w:type="first" r:id="rId8"/>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3380C" w:rsidRDefault="0053380C">
      <w:r>
        <w:separator/>
      </w:r>
    </w:p>
  </w:endnote>
  <w:endnote w:type="continuationSeparator" w:id="0">
    <w:p w:rsidR="0053380C" w:rsidRDefault="005338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3380C" w:rsidRDefault="0053380C">
      <w:r>
        <w:separator/>
      </w:r>
    </w:p>
  </w:footnote>
  <w:footnote w:type="continuationSeparator" w:id="0">
    <w:p w:rsidR="0053380C" w:rsidRDefault="0053380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OrderHeader"/>
    </w:pPr>
    <w:r>
      <w:t xml:space="preserve">ORDER NO. </w:t>
    </w:r>
    <w:fldSimple w:instr=" REF OrderNo0304 ">
      <w:r w:rsidR="00342811">
        <w:t>PSC-2025-0304-PCO-EI</w:t>
      </w:r>
    </w:fldSimple>
  </w:p>
  <w:p w:rsidR="00FA6EFD" w:rsidRDefault="0053380C">
    <w:pPr>
      <w:pStyle w:val="OrderHeader"/>
    </w:pPr>
    <w:bookmarkStart w:id="9" w:name="HeaderDocketNo"/>
    <w:bookmarkEnd w:id="9"/>
    <w:r>
      <w:t>DOCKET NO. 20250011-EI</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342811">
      <w:rPr>
        <w:rStyle w:val="PageNumber"/>
        <w:noProof/>
      </w:rPr>
      <w:t>3</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8"/>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250011-EI"/>
  </w:docVars>
  <w:rsids>
    <w:rsidRoot w:val="0053380C"/>
    <w:rsid w:val="000022B8"/>
    <w:rsid w:val="00003883"/>
    <w:rsid w:val="00011251"/>
    <w:rsid w:val="00025C2A"/>
    <w:rsid w:val="00025C9D"/>
    <w:rsid w:val="0003433F"/>
    <w:rsid w:val="00035A8C"/>
    <w:rsid w:val="00036BDD"/>
    <w:rsid w:val="00041FFD"/>
    <w:rsid w:val="00042C99"/>
    <w:rsid w:val="00053AB9"/>
    <w:rsid w:val="00056229"/>
    <w:rsid w:val="00057AF1"/>
    <w:rsid w:val="00065FC2"/>
    <w:rsid w:val="00067685"/>
    <w:rsid w:val="00067B07"/>
    <w:rsid w:val="000730D7"/>
    <w:rsid w:val="00076E6B"/>
    <w:rsid w:val="00081AE4"/>
    <w:rsid w:val="0008247D"/>
    <w:rsid w:val="00083D1A"/>
    <w:rsid w:val="00090AFC"/>
    <w:rsid w:val="00096507"/>
    <w:rsid w:val="000A774F"/>
    <w:rsid w:val="000B1603"/>
    <w:rsid w:val="000B783E"/>
    <w:rsid w:val="000B7AD2"/>
    <w:rsid w:val="000B7D81"/>
    <w:rsid w:val="000C1994"/>
    <w:rsid w:val="000C6926"/>
    <w:rsid w:val="000C718B"/>
    <w:rsid w:val="000D02B8"/>
    <w:rsid w:val="000D06E8"/>
    <w:rsid w:val="000D52C1"/>
    <w:rsid w:val="000D6E65"/>
    <w:rsid w:val="000D78FB"/>
    <w:rsid w:val="000E050C"/>
    <w:rsid w:val="000E20F0"/>
    <w:rsid w:val="000E2593"/>
    <w:rsid w:val="000E344D"/>
    <w:rsid w:val="000E3F6D"/>
    <w:rsid w:val="000F11F1"/>
    <w:rsid w:val="000F359F"/>
    <w:rsid w:val="000F3B2C"/>
    <w:rsid w:val="000F3F6C"/>
    <w:rsid w:val="000F63EB"/>
    <w:rsid w:val="000F648A"/>
    <w:rsid w:val="000F7BE3"/>
    <w:rsid w:val="00103190"/>
    <w:rsid w:val="00104333"/>
    <w:rsid w:val="001052BA"/>
    <w:rsid w:val="001107B3"/>
    <w:rsid w:val="001114B1"/>
    <w:rsid w:val="001139D8"/>
    <w:rsid w:val="00116AD3"/>
    <w:rsid w:val="00121957"/>
    <w:rsid w:val="0012387E"/>
    <w:rsid w:val="001259EC"/>
    <w:rsid w:val="00126593"/>
    <w:rsid w:val="00134177"/>
    <w:rsid w:val="00136087"/>
    <w:rsid w:val="00142A96"/>
    <w:rsid w:val="001513DE"/>
    <w:rsid w:val="00154A71"/>
    <w:rsid w:val="0016492F"/>
    <w:rsid w:val="001655D4"/>
    <w:rsid w:val="00165803"/>
    <w:rsid w:val="00187E32"/>
    <w:rsid w:val="001918FF"/>
    <w:rsid w:val="00194A97"/>
    <w:rsid w:val="00194E81"/>
    <w:rsid w:val="001A15E7"/>
    <w:rsid w:val="001A1BCF"/>
    <w:rsid w:val="001A33C9"/>
    <w:rsid w:val="001A58F3"/>
    <w:rsid w:val="001B034E"/>
    <w:rsid w:val="001C2847"/>
    <w:rsid w:val="001C3BB5"/>
    <w:rsid w:val="001C3F8C"/>
    <w:rsid w:val="001C445C"/>
    <w:rsid w:val="001C6097"/>
    <w:rsid w:val="001C7126"/>
    <w:rsid w:val="001D008A"/>
    <w:rsid w:val="001E0152"/>
    <w:rsid w:val="001E0FF5"/>
    <w:rsid w:val="001E3B9F"/>
    <w:rsid w:val="001F0095"/>
    <w:rsid w:val="001F36B0"/>
    <w:rsid w:val="001F4CA3"/>
    <w:rsid w:val="001F59E0"/>
    <w:rsid w:val="002002ED"/>
    <w:rsid w:val="002044DD"/>
    <w:rsid w:val="002170E5"/>
    <w:rsid w:val="002179AC"/>
    <w:rsid w:val="00220D57"/>
    <w:rsid w:val="00223B99"/>
    <w:rsid w:val="0022721A"/>
    <w:rsid w:val="00230BB9"/>
    <w:rsid w:val="00241CEF"/>
    <w:rsid w:val="0025124E"/>
    <w:rsid w:val="00252B30"/>
    <w:rsid w:val="00255291"/>
    <w:rsid w:val="002613E4"/>
    <w:rsid w:val="00262C43"/>
    <w:rsid w:val="0026544B"/>
    <w:rsid w:val="00270F89"/>
    <w:rsid w:val="00276CDC"/>
    <w:rsid w:val="00277655"/>
    <w:rsid w:val="002824B7"/>
    <w:rsid w:val="00282AC4"/>
    <w:rsid w:val="00293DC9"/>
    <w:rsid w:val="00297C37"/>
    <w:rsid w:val="002A11AC"/>
    <w:rsid w:val="002A1B95"/>
    <w:rsid w:val="002A6F30"/>
    <w:rsid w:val="002A7884"/>
    <w:rsid w:val="002B3111"/>
    <w:rsid w:val="002B71C3"/>
    <w:rsid w:val="002B7B54"/>
    <w:rsid w:val="002C0497"/>
    <w:rsid w:val="002C09F5"/>
    <w:rsid w:val="002C118E"/>
    <w:rsid w:val="002C2096"/>
    <w:rsid w:val="002C7908"/>
    <w:rsid w:val="002D391B"/>
    <w:rsid w:val="002D4B1F"/>
    <w:rsid w:val="002D7D15"/>
    <w:rsid w:val="002E1B2E"/>
    <w:rsid w:val="002E27EB"/>
    <w:rsid w:val="002E4EF4"/>
    <w:rsid w:val="002E6312"/>
    <w:rsid w:val="002E78B6"/>
    <w:rsid w:val="002F04AD"/>
    <w:rsid w:val="002F0F1A"/>
    <w:rsid w:val="002F0F1C"/>
    <w:rsid w:val="002F2A9D"/>
    <w:rsid w:val="002F31C2"/>
    <w:rsid w:val="002F7BF6"/>
    <w:rsid w:val="00303FDE"/>
    <w:rsid w:val="00313C5B"/>
    <w:rsid w:val="003140E8"/>
    <w:rsid w:val="00321702"/>
    <w:rsid w:val="003231C7"/>
    <w:rsid w:val="003232DD"/>
    <w:rsid w:val="00323839"/>
    <w:rsid w:val="003270C4"/>
    <w:rsid w:val="00331ED0"/>
    <w:rsid w:val="00332B0A"/>
    <w:rsid w:val="00333A41"/>
    <w:rsid w:val="00341036"/>
    <w:rsid w:val="00342811"/>
    <w:rsid w:val="00345434"/>
    <w:rsid w:val="00351C22"/>
    <w:rsid w:val="0035495B"/>
    <w:rsid w:val="00355A93"/>
    <w:rsid w:val="00360F30"/>
    <w:rsid w:val="00361522"/>
    <w:rsid w:val="0037196E"/>
    <w:rsid w:val="003744F5"/>
    <w:rsid w:val="00382C6A"/>
    <w:rsid w:val="003875A9"/>
    <w:rsid w:val="00387BDE"/>
    <w:rsid w:val="00390DD8"/>
    <w:rsid w:val="00394DC6"/>
    <w:rsid w:val="00397C3E"/>
    <w:rsid w:val="003B1A09"/>
    <w:rsid w:val="003B6F02"/>
    <w:rsid w:val="003C0431"/>
    <w:rsid w:val="003C29BB"/>
    <w:rsid w:val="003D341F"/>
    <w:rsid w:val="003D3989"/>
    <w:rsid w:val="003D4CCA"/>
    <w:rsid w:val="003D52A6"/>
    <w:rsid w:val="003D6416"/>
    <w:rsid w:val="003E1D48"/>
    <w:rsid w:val="003E711F"/>
    <w:rsid w:val="003F1D2B"/>
    <w:rsid w:val="003F49A6"/>
    <w:rsid w:val="003F518F"/>
    <w:rsid w:val="003F6BA7"/>
    <w:rsid w:val="003F7445"/>
    <w:rsid w:val="00411DF2"/>
    <w:rsid w:val="00411E8F"/>
    <w:rsid w:val="004247F5"/>
    <w:rsid w:val="0042527B"/>
    <w:rsid w:val="0042705B"/>
    <w:rsid w:val="00427EAC"/>
    <w:rsid w:val="004431B4"/>
    <w:rsid w:val="00443D7B"/>
    <w:rsid w:val="00445604"/>
    <w:rsid w:val="00451158"/>
    <w:rsid w:val="0045537F"/>
    <w:rsid w:val="00457DC7"/>
    <w:rsid w:val="004640B3"/>
    <w:rsid w:val="00472BCC"/>
    <w:rsid w:val="00477699"/>
    <w:rsid w:val="004A057C"/>
    <w:rsid w:val="004A25CD"/>
    <w:rsid w:val="004A26CC"/>
    <w:rsid w:val="004B2108"/>
    <w:rsid w:val="004B3A2B"/>
    <w:rsid w:val="004B70D3"/>
    <w:rsid w:val="004C312D"/>
    <w:rsid w:val="004D2D1B"/>
    <w:rsid w:val="004D5067"/>
    <w:rsid w:val="004D6838"/>
    <w:rsid w:val="004D72BC"/>
    <w:rsid w:val="004E469D"/>
    <w:rsid w:val="004E7F4F"/>
    <w:rsid w:val="004F2DDE"/>
    <w:rsid w:val="004F5A55"/>
    <w:rsid w:val="004F6426"/>
    <w:rsid w:val="004F7826"/>
    <w:rsid w:val="0050097F"/>
    <w:rsid w:val="00514B1F"/>
    <w:rsid w:val="00523C5C"/>
    <w:rsid w:val="00524884"/>
    <w:rsid w:val="00525E93"/>
    <w:rsid w:val="0052671D"/>
    <w:rsid w:val="005300C0"/>
    <w:rsid w:val="0053380C"/>
    <w:rsid w:val="00533EF6"/>
    <w:rsid w:val="00540E6B"/>
    <w:rsid w:val="0054109E"/>
    <w:rsid w:val="0055595D"/>
    <w:rsid w:val="00556A10"/>
    <w:rsid w:val="00557F50"/>
    <w:rsid w:val="00571D3D"/>
    <w:rsid w:val="0058264B"/>
    <w:rsid w:val="00586368"/>
    <w:rsid w:val="005868AA"/>
    <w:rsid w:val="00590845"/>
    <w:rsid w:val="005963C2"/>
    <w:rsid w:val="005A0D69"/>
    <w:rsid w:val="005A31F4"/>
    <w:rsid w:val="005A73EA"/>
    <w:rsid w:val="005B45F7"/>
    <w:rsid w:val="005B63EA"/>
    <w:rsid w:val="005C1A88"/>
    <w:rsid w:val="005C5033"/>
    <w:rsid w:val="005D02DE"/>
    <w:rsid w:val="005D4E1B"/>
    <w:rsid w:val="005E751B"/>
    <w:rsid w:val="005F2751"/>
    <w:rsid w:val="005F3354"/>
    <w:rsid w:val="005F4AD6"/>
    <w:rsid w:val="0060005E"/>
    <w:rsid w:val="0060095B"/>
    <w:rsid w:val="00601266"/>
    <w:rsid w:val="00610221"/>
    <w:rsid w:val="00610E73"/>
    <w:rsid w:val="00615F9B"/>
    <w:rsid w:val="00616DF2"/>
    <w:rsid w:val="0062385D"/>
    <w:rsid w:val="0063168D"/>
    <w:rsid w:val="00635985"/>
    <w:rsid w:val="00635C79"/>
    <w:rsid w:val="006423A7"/>
    <w:rsid w:val="006455DF"/>
    <w:rsid w:val="00645AF6"/>
    <w:rsid w:val="00647025"/>
    <w:rsid w:val="0064730A"/>
    <w:rsid w:val="006507DA"/>
    <w:rsid w:val="006531A4"/>
    <w:rsid w:val="00660774"/>
    <w:rsid w:val="0066389A"/>
    <w:rsid w:val="0066495C"/>
    <w:rsid w:val="00665CC7"/>
    <w:rsid w:val="00672612"/>
    <w:rsid w:val="00674ECC"/>
    <w:rsid w:val="00675778"/>
    <w:rsid w:val="006776F4"/>
    <w:rsid w:val="00677F18"/>
    <w:rsid w:val="00687807"/>
    <w:rsid w:val="00693483"/>
    <w:rsid w:val="006A0BF3"/>
    <w:rsid w:val="006A502B"/>
    <w:rsid w:val="006B0036"/>
    <w:rsid w:val="006B0DA6"/>
    <w:rsid w:val="006B3FA9"/>
    <w:rsid w:val="006C547E"/>
    <w:rsid w:val="006D2B51"/>
    <w:rsid w:val="006D5575"/>
    <w:rsid w:val="006D7191"/>
    <w:rsid w:val="006E21C4"/>
    <w:rsid w:val="006E42BE"/>
    <w:rsid w:val="006E5D4D"/>
    <w:rsid w:val="006E6D16"/>
    <w:rsid w:val="00703F2A"/>
    <w:rsid w:val="00704C5D"/>
    <w:rsid w:val="007072BC"/>
    <w:rsid w:val="00715275"/>
    <w:rsid w:val="00721B44"/>
    <w:rsid w:val="007232A2"/>
    <w:rsid w:val="00726366"/>
    <w:rsid w:val="00731AB6"/>
    <w:rsid w:val="00733B6B"/>
    <w:rsid w:val="00740808"/>
    <w:rsid w:val="00740A1B"/>
    <w:rsid w:val="007467C4"/>
    <w:rsid w:val="00755702"/>
    <w:rsid w:val="0076170F"/>
    <w:rsid w:val="0076669C"/>
    <w:rsid w:val="00766E46"/>
    <w:rsid w:val="00772CCB"/>
    <w:rsid w:val="00777727"/>
    <w:rsid w:val="0078166A"/>
    <w:rsid w:val="00782B79"/>
    <w:rsid w:val="00783811"/>
    <w:rsid w:val="007865E9"/>
    <w:rsid w:val="0079237D"/>
    <w:rsid w:val="00792383"/>
    <w:rsid w:val="00794D5A"/>
    <w:rsid w:val="00794DD9"/>
    <w:rsid w:val="007A060F"/>
    <w:rsid w:val="007B1C5E"/>
    <w:rsid w:val="007B350E"/>
    <w:rsid w:val="007C0FBC"/>
    <w:rsid w:val="007C29C9"/>
    <w:rsid w:val="007C35B8"/>
    <w:rsid w:val="007C36E3"/>
    <w:rsid w:val="007C3ABB"/>
    <w:rsid w:val="007C7134"/>
    <w:rsid w:val="007C7ECF"/>
    <w:rsid w:val="007D17A0"/>
    <w:rsid w:val="007D3D20"/>
    <w:rsid w:val="007D44F9"/>
    <w:rsid w:val="007D742E"/>
    <w:rsid w:val="007E3AFD"/>
    <w:rsid w:val="007E542E"/>
    <w:rsid w:val="00801DAD"/>
    <w:rsid w:val="00803189"/>
    <w:rsid w:val="00803541"/>
    <w:rsid w:val="00804E7A"/>
    <w:rsid w:val="00805FBB"/>
    <w:rsid w:val="00814292"/>
    <w:rsid w:val="008169A4"/>
    <w:rsid w:val="00822500"/>
    <w:rsid w:val="008278FE"/>
    <w:rsid w:val="00832598"/>
    <w:rsid w:val="0083397E"/>
    <w:rsid w:val="0083534B"/>
    <w:rsid w:val="00842035"/>
    <w:rsid w:val="00842602"/>
    <w:rsid w:val="008449F0"/>
    <w:rsid w:val="00846F11"/>
    <w:rsid w:val="00847B45"/>
    <w:rsid w:val="00863A66"/>
    <w:rsid w:val="008703D7"/>
    <w:rsid w:val="00874429"/>
    <w:rsid w:val="00875D22"/>
    <w:rsid w:val="00883D9A"/>
    <w:rsid w:val="008919EF"/>
    <w:rsid w:val="00892B20"/>
    <w:rsid w:val="008931BC"/>
    <w:rsid w:val="0089695B"/>
    <w:rsid w:val="00897740"/>
    <w:rsid w:val="008A12EC"/>
    <w:rsid w:val="008B14BE"/>
    <w:rsid w:val="008B19A6"/>
    <w:rsid w:val="008B4EFB"/>
    <w:rsid w:val="008B7615"/>
    <w:rsid w:val="008C21C8"/>
    <w:rsid w:val="008C6375"/>
    <w:rsid w:val="008C6A5B"/>
    <w:rsid w:val="008D441D"/>
    <w:rsid w:val="008D498D"/>
    <w:rsid w:val="008D6D36"/>
    <w:rsid w:val="008E0693"/>
    <w:rsid w:val="008E26A5"/>
    <w:rsid w:val="008E393A"/>
    <w:rsid w:val="008E412E"/>
    <w:rsid w:val="008E42D2"/>
    <w:rsid w:val="008E6328"/>
    <w:rsid w:val="008F578F"/>
    <w:rsid w:val="008F5D04"/>
    <w:rsid w:val="008F6B3F"/>
    <w:rsid w:val="009040EE"/>
    <w:rsid w:val="009057FD"/>
    <w:rsid w:val="00906FBA"/>
    <w:rsid w:val="009163E8"/>
    <w:rsid w:val="00921BD3"/>
    <w:rsid w:val="009228C7"/>
    <w:rsid w:val="00922A7F"/>
    <w:rsid w:val="00923A5E"/>
    <w:rsid w:val="00924FE7"/>
    <w:rsid w:val="00926E27"/>
    <w:rsid w:val="00931C8C"/>
    <w:rsid w:val="00943D21"/>
    <w:rsid w:val="0094504B"/>
    <w:rsid w:val="00953506"/>
    <w:rsid w:val="00964A38"/>
    <w:rsid w:val="00966A9D"/>
    <w:rsid w:val="0096742B"/>
    <w:rsid w:val="00967C64"/>
    <w:rsid w:val="009718C5"/>
    <w:rsid w:val="00976AFF"/>
    <w:rsid w:val="00986AED"/>
    <w:rsid w:val="00987203"/>
    <w:rsid w:val="00991ABD"/>
    <w:rsid w:val="009924CF"/>
    <w:rsid w:val="00994100"/>
    <w:rsid w:val="009A04B7"/>
    <w:rsid w:val="009A6B17"/>
    <w:rsid w:val="009B052E"/>
    <w:rsid w:val="009B4E00"/>
    <w:rsid w:val="009D4C29"/>
    <w:rsid w:val="009E58E9"/>
    <w:rsid w:val="009E6803"/>
    <w:rsid w:val="009F6AD2"/>
    <w:rsid w:val="009F7C1B"/>
    <w:rsid w:val="00A00B5B"/>
    <w:rsid w:val="00A00D8D"/>
    <w:rsid w:val="00A01BB6"/>
    <w:rsid w:val="00A06D71"/>
    <w:rsid w:val="00A108A7"/>
    <w:rsid w:val="00A1299B"/>
    <w:rsid w:val="00A228DA"/>
    <w:rsid w:val="00A22B28"/>
    <w:rsid w:val="00A3351E"/>
    <w:rsid w:val="00A4303C"/>
    <w:rsid w:val="00A46CAF"/>
    <w:rsid w:val="00A470FD"/>
    <w:rsid w:val="00A50B5E"/>
    <w:rsid w:val="00A616B9"/>
    <w:rsid w:val="00A62DAB"/>
    <w:rsid w:val="00A6757A"/>
    <w:rsid w:val="00A726A6"/>
    <w:rsid w:val="00A74842"/>
    <w:rsid w:val="00A81440"/>
    <w:rsid w:val="00A8269A"/>
    <w:rsid w:val="00A86A50"/>
    <w:rsid w:val="00A9178A"/>
    <w:rsid w:val="00A9515B"/>
    <w:rsid w:val="00A97535"/>
    <w:rsid w:val="00AA2BAA"/>
    <w:rsid w:val="00AA6516"/>
    <w:rsid w:val="00AA73E7"/>
    <w:rsid w:val="00AA73F1"/>
    <w:rsid w:val="00AB0E1A"/>
    <w:rsid w:val="00AB1A30"/>
    <w:rsid w:val="00AB3C36"/>
    <w:rsid w:val="00AB3D30"/>
    <w:rsid w:val="00AC4B09"/>
    <w:rsid w:val="00AC5A01"/>
    <w:rsid w:val="00AD10EB"/>
    <w:rsid w:val="00AD17EA"/>
    <w:rsid w:val="00AD1ED3"/>
    <w:rsid w:val="00AD3717"/>
    <w:rsid w:val="00AD74F4"/>
    <w:rsid w:val="00B019C1"/>
    <w:rsid w:val="00B02001"/>
    <w:rsid w:val="00B03C50"/>
    <w:rsid w:val="00B0777D"/>
    <w:rsid w:val="00B11576"/>
    <w:rsid w:val="00B1195F"/>
    <w:rsid w:val="00B14D10"/>
    <w:rsid w:val="00B209C7"/>
    <w:rsid w:val="00B26480"/>
    <w:rsid w:val="00B3644F"/>
    <w:rsid w:val="00B4057A"/>
    <w:rsid w:val="00B40894"/>
    <w:rsid w:val="00B41039"/>
    <w:rsid w:val="00B41F37"/>
    <w:rsid w:val="00B42987"/>
    <w:rsid w:val="00B444AE"/>
    <w:rsid w:val="00B45E75"/>
    <w:rsid w:val="00B50876"/>
    <w:rsid w:val="00B51074"/>
    <w:rsid w:val="00B54DAA"/>
    <w:rsid w:val="00B552E0"/>
    <w:rsid w:val="00B55AB0"/>
    <w:rsid w:val="00B55EE5"/>
    <w:rsid w:val="00B61D42"/>
    <w:rsid w:val="00B67A43"/>
    <w:rsid w:val="00B71D1F"/>
    <w:rsid w:val="00B72CFF"/>
    <w:rsid w:val="00B73DE6"/>
    <w:rsid w:val="00B761CD"/>
    <w:rsid w:val="00B76B66"/>
    <w:rsid w:val="00B86EF0"/>
    <w:rsid w:val="00B96969"/>
    <w:rsid w:val="00B97900"/>
    <w:rsid w:val="00BA1229"/>
    <w:rsid w:val="00BA44A8"/>
    <w:rsid w:val="00BA49C5"/>
    <w:rsid w:val="00BB0182"/>
    <w:rsid w:val="00BB2F4A"/>
    <w:rsid w:val="00BC786E"/>
    <w:rsid w:val="00BD5C92"/>
    <w:rsid w:val="00BE50E6"/>
    <w:rsid w:val="00BE7A0C"/>
    <w:rsid w:val="00BF2928"/>
    <w:rsid w:val="00BF5D60"/>
    <w:rsid w:val="00BF6691"/>
    <w:rsid w:val="00C028FC"/>
    <w:rsid w:val="00C037F2"/>
    <w:rsid w:val="00C0386D"/>
    <w:rsid w:val="00C065A1"/>
    <w:rsid w:val="00C10ED5"/>
    <w:rsid w:val="00C12574"/>
    <w:rsid w:val="00C128BB"/>
    <w:rsid w:val="00C151A6"/>
    <w:rsid w:val="00C24098"/>
    <w:rsid w:val="00C30A4E"/>
    <w:rsid w:val="00C411F3"/>
    <w:rsid w:val="00C44105"/>
    <w:rsid w:val="00C523EC"/>
    <w:rsid w:val="00C55A33"/>
    <w:rsid w:val="00C62532"/>
    <w:rsid w:val="00C64D49"/>
    <w:rsid w:val="00C651F4"/>
    <w:rsid w:val="00C66692"/>
    <w:rsid w:val="00C673B5"/>
    <w:rsid w:val="00C7063D"/>
    <w:rsid w:val="00C72339"/>
    <w:rsid w:val="00C820BC"/>
    <w:rsid w:val="00C830BC"/>
    <w:rsid w:val="00C8524D"/>
    <w:rsid w:val="00C90904"/>
    <w:rsid w:val="00C91123"/>
    <w:rsid w:val="00CA1595"/>
    <w:rsid w:val="00CA6CC2"/>
    <w:rsid w:val="00CA71FF"/>
    <w:rsid w:val="00CB2393"/>
    <w:rsid w:val="00CB2456"/>
    <w:rsid w:val="00CB5276"/>
    <w:rsid w:val="00CB5BFC"/>
    <w:rsid w:val="00CB68D7"/>
    <w:rsid w:val="00CB785B"/>
    <w:rsid w:val="00CC7E68"/>
    <w:rsid w:val="00CD3D74"/>
    <w:rsid w:val="00CD7132"/>
    <w:rsid w:val="00CE0E6F"/>
    <w:rsid w:val="00CE3B21"/>
    <w:rsid w:val="00CE56FC"/>
    <w:rsid w:val="00CE7A4D"/>
    <w:rsid w:val="00CF32D2"/>
    <w:rsid w:val="00CF4CFE"/>
    <w:rsid w:val="00D00E8E"/>
    <w:rsid w:val="00D02E0F"/>
    <w:rsid w:val="00D03EE8"/>
    <w:rsid w:val="00D10250"/>
    <w:rsid w:val="00D13535"/>
    <w:rsid w:val="00D15497"/>
    <w:rsid w:val="00D17B79"/>
    <w:rsid w:val="00D205F5"/>
    <w:rsid w:val="00D23FEA"/>
    <w:rsid w:val="00D269CA"/>
    <w:rsid w:val="00D30B48"/>
    <w:rsid w:val="00D3168A"/>
    <w:rsid w:val="00D350D1"/>
    <w:rsid w:val="00D46FAA"/>
    <w:rsid w:val="00D47A40"/>
    <w:rsid w:val="00D51D33"/>
    <w:rsid w:val="00D57BB2"/>
    <w:rsid w:val="00D57E57"/>
    <w:rsid w:val="00D70752"/>
    <w:rsid w:val="00D80E2D"/>
    <w:rsid w:val="00D84D5E"/>
    <w:rsid w:val="00D8560E"/>
    <w:rsid w:val="00D8758F"/>
    <w:rsid w:val="00DA4EDD"/>
    <w:rsid w:val="00DA6B78"/>
    <w:rsid w:val="00DB122B"/>
    <w:rsid w:val="00DC1D94"/>
    <w:rsid w:val="00DC42CF"/>
    <w:rsid w:val="00DC738A"/>
    <w:rsid w:val="00DD382A"/>
    <w:rsid w:val="00DD592E"/>
    <w:rsid w:val="00DE057F"/>
    <w:rsid w:val="00DE2082"/>
    <w:rsid w:val="00DE2289"/>
    <w:rsid w:val="00DF09A7"/>
    <w:rsid w:val="00DF2B51"/>
    <w:rsid w:val="00E001D6"/>
    <w:rsid w:val="00E03A76"/>
    <w:rsid w:val="00E04410"/>
    <w:rsid w:val="00E07484"/>
    <w:rsid w:val="00E11351"/>
    <w:rsid w:val="00E33F44"/>
    <w:rsid w:val="00E37D48"/>
    <w:rsid w:val="00E4225C"/>
    <w:rsid w:val="00E44879"/>
    <w:rsid w:val="00E72914"/>
    <w:rsid w:val="00E75AE0"/>
    <w:rsid w:val="00E76B61"/>
    <w:rsid w:val="00E83C1F"/>
    <w:rsid w:val="00E85684"/>
    <w:rsid w:val="00E8794B"/>
    <w:rsid w:val="00E97656"/>
    <w:rsid w:val="00EA004A"/>
    <w:rsid w:val="00EA172C"/>
    <w:rsid w:val="00EA259B"/>
    <w:rsid w:val="00EA35A3"/>
    <w:rsid w:val="00EA3E6A"/>
    <w:rsid w:val="00EA69CF"/>
    <w:rsid w:val="00EB18EF"/>
    <w:rsid w:val="00EB2587"/>
    <w:rsid w:val="00EB58F4"/>
    <w:rsid w:val="00EB7951"/>
    <w:rsid w:val="00EC7C61"/>
    <w:rsid w:val="00ED6A79"/>
    <w:rsid w:val="00EE17DF"/>
    <w:rsid w:val="00EF1482"/>
    <w:rsid w:val="00EF4621"/>
    <w:rsid w:val="00EF4D52"/>
    <w:rsid w:val="00EF6312"/>
    <w:rsid w:val="00EF7DDE"/>
    <w:rsid w:val="00F00C4B"/>
    <w:rsid w:val="00F038B0"/>
    <w:rsid w:val="00F05F34"/>
    <w:rsid w:val="00F22B27"/>
    <w:rsid w:val="00F234A7"/>
    <w:rsid w:val="00F277B6"/>
    <w:rsid w:val="00F27DA5"/>
    <w:rsid w:val="00F37E07"/>
    <w:rsid w:val="00F4182A"/>
    <w:rsid w:val="00F464ED"/>
    <w:rsid w:val="00F54380"/>
    <w:rsid w:val="00F54B47"/>
    <w:rsid w:val="00F61247"/>
    <w:rsid w:val="00F61F61"/>
    <w:rsid w:val="00F63191"/>
    <w:rsid w:val="00F6702E"/>
    <w:rsid w:val="00F70E84"/>
    <w:rsid w:val="00F80685"/>
    <w:rsid w:val="00F94968"/>
    <w:rsid w:val="00FA092B"/>
    <w:rsid w:val="00FA4F6C"/>
    <w:rsid w:val="00FA6EFD"/>
    <w:rsid w:val="00FB2A8E"/>
    <w:rsid w:val="00FB3791"/>
    <w:rsid w:val="00FB6780"/>
    <w:rsid w:val="00FB74EA"/>
    <w:rsid w:val="00FD0ADB"/>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uiPriority w:val="1"/>
    <w:qFormat/>
    <w:rsid w:val="00CD7132"/>
    <w:pPr>
      <w:spacing w:after="120"/>
    </w:pPr>
  </w:style>
  <w:style w:type="character" w:customStyle="1" w:styleId="BodyTextChar">
    <w:name w:val="Body Text Char"/>
    <w:link w:val="BodyText"/>
    <w:uiPriority w:val="1"/>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ListParagraph">
    <w:name w:val="List Paragraph"/>
    <w:basedOn w:val="Normal"/>
    <w:uiPriority w:val="34"/>
    <w:qFormat/>
    <w:rsid w:val="00C128BB"/>
    <w:pPr>
      <w:ind w:left="720"/>
      <w:contextualSpacing/>
    </w:pPr>
    <w:rPr>
      <w:rFonts w:ascii="Calibri" w:eastAsia="Calibri" w:hAnsi="Calibri"/>
    </w:rPr>
  </w:style>
  <w:style w:type="paragraph" w:customStyle="1" w:styleId="Default">
    <w:name w:val="Default"/>
    <w:rsid w:val="00991ABD"/>
    <w:pPr>
      <w:autoSpaceDE w:val="0"/>
      <w:autoSpaceDN w:val="0"/>
      <w:adjustRightInd w:val="0"/>
    </w:pPr>
    <w:rPr>
      <w:rFonts w:eastAsiaTheme="minorHAnsi"/>
      <w:color w:val="000000"/>
      <w:sz w:val="24"/>
      <w:szCs w:val="24"/>
    </w:rPr>
  </w:style>
  <w:style w:type="paragraph" w:styleId="BalloonText">
    <w:name w:val="Balloon Text"/>
    <w:basedOn w:val="Normal"/>
    <w:link w:val="BalloonTextChar"/>
    <w:semiHidden/>
    <w:unhideWhenUsed/>
    <w:rsid w:val="00675778"/>
    <w:rPr>
      <w:rFonts w:ascii="Segoe UI" w:hAnsi="Segoe UI" w:cs="Segoe UI"/>
      <w:sz w:val="18"/>
      <w:szCs w:val="18"/>
    </w:rPr>
  </w:style>
  <w:style w:type="character" w:customStyle="1" w:styleId="BalloonTextChar">
    <w:name w:val="Balloon Text Char"/>
    <w:basedOn w:val="DefaultParagraphFont"/>
    <w:link w:val="BalloonText"/>
    <w:semiHidden/>
    <w:rsid w:val="0067577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GCL\Orders%20with%20Chairman%20La%20Rosa,%20Graham,%20Clark,%20Fay,%20and%20Passidomo%20Smith.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A617E82-56AB-4FA6-B5FA-6F89AF53A9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Orders with Chairman La Rosa, Graham, Clark, Fay, and Passidomo Smith</Template>
  <TotalTime>0</TotalTime>
  <Pages>3</Pages>
  <Words>1010</Words>
  <Characters>5763</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2025-08-12T18:18:00Z</dcterms:created>
  <dcterms:modified xsi:type="dcterms:W3CDTF">2025-08-12T18:19:00Z</dcterms:modified>
</cp:coreProperties>
</file>