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F0CA8" w14:textId="77777777" w:rsidR="00CB5276" w:rsidRDefault="006E71FD" w:rsidP="006E71FD">
      <w:pPr>
        <w:pStyle w:val="OrderHeading"/>
      </w:pPr>
      <w:r>
        <w:t>BEFORE THE FLORIDA PUBLIC SERVICE COMMISSION</w:t>
      </w:r>
    </w:p>
    <w:p w14:paraId="6B255EAC" w14:textId="77777777" w:rsidR="006E71FD" w:rsidRDefault="006E71FD" w:rsidP="006E71FD">
      <w:pPr>
        <w:pStyle w:val="OrderBody"/>
      </w:pPr>
    </w:p>
    <w:p w14:paraId="13ADDDEE" w14:textId="77777777" w:rsidR="006E71FD" w:rsidRDefault="006E71FD" w:rsidP="006E71F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71FD" w:rsidRPr="00C63FCF" w14:paraId="3561861D" w14:textId="77777777" w:rsidTr="00C63FCF">
        <w:trPr>
          <w:trHeight w:val="828"/>
        </w:trPr>
        <w:tc>
          <w:tcPr>
            <w:tcW w:w="4788" w:type="dxa"/>
            <w:tcBorders>
              <w:bottom w:val="single" w:sz="8" w:space="0" w:color="auto"/>
              <w:right w:val="double" w:sz="6" w:space="0" w:color="auto"/>
            </w:tcBorders>
            <w:shd w:val="clear" w:color="auto" w:fill="auto"/>
          </w:tcPr>
          <w:p w14:paraId="1027A73D" w14:textId="77777777" w:rsidR="006E71FD" w:rsidRDefault="006E71FD"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5C479657" w14:textId="77777777" w:rsidR="006E71FD" w:rsidRDefault="006E71FD" w:rsidP="006E71FD">
            <w:pPr>
              <w:pStyle w:val="OrderBody"/>
            </w:pPr>
            <w:r>
              <w:t xml:space="preserve">DOCKET NO. </w:t>
            </w:r>
            <w:bookmarkStart w:id="1" w:name="SSDocketNo"/>
            <w:bookmarkEnd w:id="1"/>
            <w:r>
              <w:t>20250011-EI</w:t>
            </w:r>
          </w:p>
          <w:p w14:paraId="415F76E0" w14:textId="430C9B22" w:rsidR="006E71FD" w:rsidRDefault="006E71FD" w:rsidP="00C63FCF">
            <w:pPr>
              <w:pStyle w:val="OrderBody"/>
              <w:tabs>
                <w:tab w:val="center" w:pos="4320"/>
                <w:tab w:val="right" w:pos="8640"/>
              </w:tabs>
              <w:jc w:val="left"/>
            </w:pPr>
            <w:r>
              <w:t xml:space="preserve">ORDER NO. </w:t>
            </w:r>
            <w:bookmarkStart w:id="2" w:name="OrderNo0343"/>
            <w:r w:rsidR="00321963">
              <w:t>PSC-2025-0343-PCO-EI</w:t>
            </w:r>
            <w:bookmarkEnd w:id="2"/>
          </w:p>
          <w:p w14:paraId="06603F1A" w14:textId="4A4083A6" w:rsidR="006E71FD" w:rsidRDefault="006E71FD" w:rsidP="00C63FCF">
            <w:pPr>
              <w:pStyle w:val="OrderBody"/>
              <w:tabs>
                <w:tab w:val="center" w:pos="4320"/>
                <w:tab w:val="right" w:pos="8640"/>
              </w:tabs>
              <w:jc w:val="left"/>
            </w:pPr>
            <w:r>
              <w:t xml:space="preserve">ISSUED: </w:t>
            </w:r>
            <w:r w:rsidR="00321963">
              <w:t>September 12, 2025</w:t>
            </w:r>
          </w:p>
        </w:tc>
      </w:tr>
    </w:tbl>
    <w:p w14:paraId="7962CCD1" w14:textId="77777777" w:rsidR="006E71FD" w:rsidRDefault="006E71FD" w:rsidP="006E71FD"/>
    <w:p w14:paraId="5E58564D" w14:textId="77777777" w:rsidR="006E71FD" w:rsidRDefault="006E71FD" w:rsidP="006E71FD"/>
    <w:p w14:paraId="7DF3A2DB" w14:textId="049DD418" w:rsidR="00F3083E" w:rsidRDefault="006E71FD" w:rsidP="006E71FD">
      <w:pPr>
        <w:pStyle w:val="CenterUnderline"/>
      </w:pPr>
      <w:bookmarkStart w:id="3" w:name="Commissioners"/>
      <w:bookmarkEnd w:id="3"/>
      <w:r>
        <w:t>ORDER</w:t>
      </w:r>
      <w:bookmarkStart w:id="4" w:name="OrderTitle"/>
      <w:r>
        <w:t xml:space="preserve"> DENYING THE FLORIDA RETAIL FEDERATION’S MOTION FOR PROTECTIVE ORDER FROM OR, IN THE ALTERNATIVE, MOTION TO QUASH CERTAIN INTERROGATORIES FROM FLORIDA RISING’S, LEAGUE OF UNITED LATIN AMERICAN CITIZENS’, </w:t>
      </w:r>
      <w:r w:rsidR="00F3083E">
        <w:t>AND</w:t>
      </w:r>
      <w:r>
        <w:t xml:space="preserve"> ENVIRONMENTAL CONFEDERATION OF SOUTHWEST FLORIDA’S FIRST SET OF INTERROGATORIES (NOS. 1-5)</w:t>
      </w:r>
    </w:p>
    <w:p w14:paraId="06BBB86D" w14:textId="77777777" w:rsidR="00CB5276" w:rsidRDefault="006E71FD" w:rsidP="006E71FD">
      <w:pPr>
        <w:pStyle w:val="CenterUnderline"/>
      </w:pPr>
      <w:r>
        <w:t xml:space="preserve">TO FLORIDA RETAIL FEDERATION </w:t>
      </w:r>
      <w:bookmarkEnd w:id="4"/>
    </w:p>
    <w:p w14:paraId="6A9EF3A7" w14:textId="77777777" w:rsidR="006E71FD" w:rsidRDefault="006E71FD" w:rsidP="006E71FD">
      <w:pPr>
        <w:pStyle w:val="CenterUnderline"/>
      </w:pPr>
    </w:p>
    <w:p w14:paraId="6EF64780" w14:textId="77777777" w:rsidR="00BE614E" w:rsidRPr="00A6031B" w:rsidRDefault="00A6031B" w:rsidP="00A6031B">
      <w:pPr>
        <w:pStyle w:val="CenterUnderline"/>
      </w:pPr>
      <w:bookmarkStart w:id="5" w:name="OrderText"/>
      <w:bookmarkEnd w:id="5"/>
      <w:r w:rsidRPr="00A6031B">
        <w:t>Background</w:t>
      </w:r>
    </w:p>
    <w:p w14:paraId="7921E0AC" w14:textId="77777777" w:rsidR="00BE614E" w:rsidRPr="00BE614E" w:rsidRDefault="00BE614E" w:rsidP="00BE614E">
      <w:pPr>
        <w:pStyle w:val="CenterUnderline"/>
        <w:jc w:val="left"/>
        <w:rPr>
          <w:u w:val="none"/>
        </w:rPr>
      </w:pPr>
    </w:p>
    <w:p w14:paraId="23B52B56" w14:textId="30BDAD3E" w:rsidR="00A25E11" w:rsidRDefault="00E849B5" w:rsidP="00E849B5">
      <w:pPr>
        <w:pStyle w:val="CenterUnderline"/>
        <w:ind w:firstLine="720"/>
        <w:jc w:val="both"/>
        <w:rPr>
          <w:u w:val="none"/>
        </w:rPr>
      </w:pPr>
      <w:r>
        <w:rPr>
          <w:u w:val="none"/>
        </w:rPr>
        <w:t xml:space="preserve">This Proceeding was set for final hearing on August 11-22, 2025, by Order No. PSC-2025-0075-PCO-EI, issued March 14, 2025. </w:t>
      </w:r>
      <w:r w:rsidR="0047038B" w:rsidRPr="0047038B">
        <w:rPr>
          <w:u w:val="none"/>
        </w:rPr>
        <w:t xml:space="preserve">On August 8, 2025, </w:t>
      </w:r>
      <w:r w:rsidR="00E11AA6">
        <w:rPr>
          <w:u w:val="none"/>
        </w:rPr>
        <w:t>Florida Power &amp; Light Company (</w:t>
      </w:r>
      <w:r w:rsidR="0047038B" w:rsidRPr="0047038B">
        <w:rPr>
          <w:u w:val="none"/>
        </w:rPr>
        <w:t xml:space="preserve">FPL) filed a Notice of Settlement in Principle and Joint Motion to Suspend Schedule and Amend Procedural Order.  </w:t>
      </w:r>
      <w:r w:rsidR="00F3083E">
        <w:rPr>
          <w:u w:val="none"/>
        </w:rPr>
        <w:t>On the first day of the final hearing, t</w:t>
      </w:r>
      <w:r w:rsidR="0047038B" w:rsidRPr="0047038B">
        <w:rPr>
          <w:u w:val="none"/>
        </w:rPr>
        <w:t>he Motion to Suspend  Schedule was granted,</w:t>
      </w:r>
      <w:r w:rsidR="0047038B" w:rsidRPr="0047038B">
        <w:rPr>
          <w:rStyle w:val="FootnoteReference"/>
          <w:u w:val="none"/>
        </w:rPr>
        <w:footnoteReference w:id="1"/>
      </w:r>
      <w:r w:rsidR="0047038B" w:rsidRPr="0047038B">
        <w:rPr>
          <w:u w:val="none"/>
        </w:rPr>
        <w:t xml:space="preserve"> and</w:t>
      </w:r>
      <w:r w:rsidR="00E11AA6">
        <w:rPr>
          <w:u w:val="none"/>
        </w:rPr>
        <w:t>, subsequent to the filing of the 2025 Stipulation and Settlement Agreement (Settlement Agreement),</w:t>
      </w:r>
      <w:r w:rsidR="0047038B" w:rsidRPr="0047038B">
        <w:rPr>
          <w:u w:val="none"/>
        </w:rPr>
        <w:t xml:space="preserve"> a First Order Revising Order Estab</w:t>
      </w:r>
      <w:r w:rsidR="00E11AA6">
        <w:rPr>
          <w:u w:val="none"/>
        </w:rPr>
        <w:t>lishing Procedure (Revised OEP</w:t>
      </w:r>
      <w:r w:rsidR="0047038B" w:rsidRPr="0047038B">
        <w:rPr>
          <w:u w:val="none"/>
        </w:rPr>
        <w:t>) was issued which established a new deadline for discovery actions to be complete of October 3, 2025.</w:t>
      </w:r>
      <w:r w:rsidR="0047038B" w:rsidRPr="0047038B">
        <w:rPr>
          <w:rStyle w:val="FootnoteReference"/>
          <w:u w:val="none"/>
        </w:rPr>
        <w:footnoteReference w:id="2"/>
      </w:r>
      <w:r w:rsidR="0047038B" w:rsidRPr="0047038B">
        <w:rPr>
          <w:u w:val="none"/>
        </w:rPr>
        <w:t xml:space="preserve"> Contained within the Revised OEP is a direction that “Discovery shall be limited to the issues in the Settlement Agreement.”</w:t>
      </w:r>
      <w:r w:rsidR="0047038B" w:rsidRPr="0047038B">
        <w:rPr>
          <w:rStyle w:val="FootnoteReference"/>
          <w:u w:val="none"/>
        </w:rPr>
        <w:footnoteReference w:id="3"/>
      </w:r>
      <w:r w:rsidR="0047038B" w:rsidRPr="0047038B">
        <w:rPr>
          <w:u w:val="none"/>
        </w:rPr>
        <w:t xml:space="preserve"> </w:t>
      </w:r>
      <w:r w:rsidR="00A6031B">
        <w:rPr>
          <w:u w:val="none"/>
        </w:rPr>
        <w:t>On August 29, 2025</w:t>
      </w:r>
      <w:r w:rsidR="00A6031B" w:rsidRPr="00A6031B">
        <w:rPr>
          <w:u w:val="none"/>
        </w:rPr>
        <w:t xml:space="preserve">, Florida Rising, the League of United Latin American Citizens, and the Environmental Confederation of  Southwest Florida (collectively FEL) served its First </w:t>
      </w:r>
      <w:r w:rsidR="00A6031B">
        <w:rPr>
          <w:u w:val="none"/>
        </w:rPr>
        <w:t>Set of Interrogatories (Nos. 1-7</w:t>
      </w:r>
      <w:r w:rsidR="00A6031B" w:rsidRPr="00A6031B">
        <w:rPr>
          <w:u w:val="none"/>
        </w:rPr>
        <w:t>) to the</w:t>
      </w:r>
      <w:r w:rsidR="00A6031B">
        <w:rPr>
          <w:u w:val="none"/>
        </w:rPr>
        <w:t xml:space="preserve"> </w:t>
      </w:r>
      <w:r w:rsidR="00A6031B" w:rsidRPr="00A6031B">
        <w:rPr>
          <w:u w:val="none"/>
        </w:rPr>
        <w:t>Florida</w:t>
      </w:r>
      <w:r w:rsidR="00E11AA6">
        <w:rPr>
          <w:u w:val="none"/>
        </w:rPr>
        <w:t xml:space="preserve"> Retail Federation (</w:t>
      </w:r>
      <w:r w:rsidR="00A6031B">
        <w:rPr>
          <w:u w:val="none"/>
        </w:rPr>
        <w:t xml:space="preserve">FRF). </w:t>
      </w:r>
      <w:r w:rsidR="00526CAE">
        <w:rPr>
          <w:u w:val="none"/>
        </w:rPr>
        <w:t>These interrogatories seek information concerning the membership of FRF.</w:t>
      </w:r>
    </w:p>
    <w:p w14:paraId="784C37AA" w14:textId="77777777" w:rsidR="00A4554E" w:rsidRDefault="00A4554E" w:rsidP="00E849B5">
      <w:pPr>
        <w:pStyle w:val="CenterUnderline"/>
        <w:ind w:firstLine="720"/>
        <w:jc w:val="both"/>
        <w:rPr>
          <w:u w:val="none"/>
        </w:rPr>
      </w:pPr>
    </w:p>
    <w:p w14:paraId="1F006228" w14:textId="26414046" w:rsidR="00E849B5" w:rsidRDefault="00E849B5" w:rsidP="00E849B5">
      <w:pPr>
        <w:pStyle w:val="CenterUnderline"/>
        <w:ind w:firstLine="720"/>
        <w:jc w:val="both"/>
        <w:rPr>
          <w:u w:val="none"/>
        </w:rPr>
      </w:pPr>
      <w:r>
        <w:rPr>
          <w:u w:val="none"/>
        </w:rPr>
        <w:t xml:space="preserve">On September 5, 2025, FRF filed </w:t>
      </w:r>
      <w:r w:rsidR="0001027C">
        <w:rPr>
          <w:u w:val="none"/>
        </w:rPr>
        <w:t xml:space="preserve">a </w:t>
      </w:r>
      <w:r>
        <w:rPr>
          <w:u w:val="none"/>
        </w:rPr>
        <w:t xml:space="preserve">Motion for Protective Order </w:t>
      </w:r>
      <w:r w:rsidR="0001027C">
        <w:rPr>
          <w:u w:val="none"/>
        </w:rPr>
        <w:t>f</w:t>
      </w:r>
      <w:r>
        <w:rPr>
          <w:u w:val="none"/>
        </w:rPr>
        <w:t>rom</w:t>
      </w:r>
      <w:r w:rsidR="0001027C">
        <w:rPr>
          <w:u w:val="none"/>
        </w:rPr>
        <w:t>,</w:t>
      </w:r>
      <w:r>
        <w:rPr>
          <w:u w:val="none"/>
        </w:rPr>
        <w:t xml:space="preserve"> </w:t>
      </w:r>
      <w:r w:rsidR="0001027C">
        <w:rPr>
          <w:u w:val="none"/>
        </w:rPr>
        <w:t>o</w:t>
      </w:r>
      <w:r>
        <w:rPr>
          <w:u w:val="none"/>
        </w:rPr>
        <w:t xml:space="preserve">r </w:t>
      </w:r>
      <w:r w:rsidR="0001027C">
        <w:rPr>
          <w:u w:val="none"/>
        </w:rPr>
        <w:t>i</w:t>
      </w:r>
      <w:r>
        <w:rPr>
          <w:u w:val="none"/>
        </w:rPr>
        <w:t xml:space="preserve">n the </w:t>
      </w:r>
      <w:r w:rsidR="0001027C">
        <w:rPr>
          <w:u w:val="none"/>
        </w:rPr>
        <w:t>a</w:t>
      </w:r>
      <w:r>
        <w:rPr>
          <w:u w:val="none"/>
        </w:rPr>
        <w:t xml:space="preserve">lternative, Motion to Quash </w:t>
      </w:r>
      <w:r w:rsidR="00894112">
        <w:rPr>
          <w:u w:val="none"/>
        </w:rPr>
        <w:t xml:space="preserve">certain of </w:t>
      </w:r>
      <w:r w:rsidR="0001027C">
        <w:rPr>
          <w:u w:val="none"/>
        </w:rPr>
        <w:t xml:space="preserve">FEL’s </w:t>
      </w:r>
      <w:r>
        <w:rPr>
          <w:u w:val="none"/>
        </w:rPr>
        <w:t>First Set of Interrogatories</w:t>
      </w:r>
      <w:r w:rsidR="00E11AA6">
        <w:rPr>
          <w:u w:val="none"/>
        </w:rPr>
        <w:t xml:space="preserve"> (</w:t>
      </w:r>
      <w:r>
        <w:rPr>
          <w:u w:val="none"/>
        </w:rPr>
        <w:t>FRF Motion). On September 8, 2025, FEL Filed its Response in Opposition to the FRF Motio</w:t>
      </w:r>
      <w:r w:rsidR="00E11AA6">
        <w:rPr>
          <w:u w:val="none"/>
        </w:rPr>
        <w:t>n (</w:t>
      </w:r>
      <w:r>
        <w:rPr>
          <w:u w:val="none"/>
        </w:rPr>
        <w:t>FEL Response).</w:t>
      </w:r>
    </w:p>
    <w:p w14:paraId="6CC2537F" w14:textId="77777777" w:rsidR="00526CAE" w:rsidRDefault="00526CAE" w:rsidP="00E849B5">
      <w:pPr>
        <w:pStyle w:val="CenterUnderline"/>
        <w:rPr>
          <w:u w:val="none"/>
        </w:rPr>
      </w:pPr>
    </w:p>
    <w:p w14:paraId="760A2D76" w14:textId="77777777" w:rsidR="00AE4AAB" w:rsidRDefault="00AE4AAB" w:rsidP="00E849B5">
      <w:pPr>
        <w:pStyle w:val="CenterUnderline"/>
      </w:pPr>
      <w:r w:rsidRPr="00AE4AAB">
        <w:t>Analysis and Decision</w:t>
      </w:r>
    </w:p>
    <w:p w14:paraId="7F7F11A8" w14:textId="77777777" w:rsidR="00AE4AAB" w:rsidRDefault="00AE4AAB" w:rsidP="00BE614E">
      <w:pPr>
        <w:pStyle w:val="CenterUnderline"/>
        <w:jc w:val="left"/>
      </w:pPr>
    </w:p>
    <w:p w14:paraId="48D55BBB" w14:textId="2A1FD5BF" w:rsidR="00AE4AAB" w:rsidRDefault="00AE4AAB" w:rsidP="00A25E11">
      <w:pPr>
        <w:pStyle w:val="CenterUnderline"/>
        <w:ind w:firstLine="720"/>
        <w:jc w:val="both"/>
        <w:rPr>
          <w:u w:val="none"/>
        </w:rPr>
      </w:pPr>
      <w:r>
        <w:rPr>
          <w:u w:val="none"/>
        </w:rPr>
        <w:t xml:space="preserve">The FRF Motion </w:t>
      </w:r>
      <w:r w:rsidR="00A25E11">
        <w:rPr>
          <w:u w:val="none"/>
        </w:rPr>
        <w:t xml:space="preserve">seeks relief under </w:t>
      </w:r>
      <w:r w:rsidR="00A25E11" w:rsidRPr="00A25E11">
        <w:rPr>
          <w:u w:val="none"/>
        </w:rPr>
        <w:t>Rule 1.280, Florida Rules of Civi</w:t>
      </w:r>
      <w:r w:rsidR="003235C1">
        <w:rPr>
          <w:u w:val="none"/>
        </w:rPr>
        <w:t>l Procedure (Fla. R. Civ. P.)</w:t>
      </w:r>
      <w:r w:rsidR="00A25E11" w:rsidRPr="00A25E11">
        <w:rPr>
          <w:u w:val="none"/>
        </w:rPr>
        <w:t>.</w:t>
      </w:r>
      <w:r w:rsidR="00A25E11" w:rsidRPr="00A25E11">
        <w:rPr>
          <w:rStyle w:val="FootnoteReference"/>
          <w:u w:val="none"/>
        </w:rPr>
        <w:footnoteReference w:id="4"/>
      </w:r>
      <w:r w:rsidR="00A25E11">
        <w:rPr>
          <w:u w:val="none"/>
        </w:rPr>
        <w:t xml:space="preserve"> FRF </w:t>
      </w:r>
      <w:r>
        <w:rPr>
          <w:u w:val="none"/>
        </w:rPr>
        <w:t xml:space="preserve">argues that the five interrogatory questions referred to in its motion </w:t>
      </w:r>
      <w:r w:rsidR="00A25E11">
        <w:rPr>
          <w:u w:val="none"/>
        </w:rPr>
        <w:t>(</w:t>
      </w:r>
      <w:r>
        <w:rPr>
          <w:u w:val="none"/>
        </w:rPr>
        <w:t xml:space="preserve">the Contested Discovery) </w:t>
      </w:r>
      <w:r w:rsidR="003235C1">
        <w:rPr>
          <w:u w:val="none"/>
        </w:rPr>
        <w:t>are both</w:t>
      </w:r>
      <w:r w:rsidR="0047038B">
        <w:rPr>
          <w:u w:val="none"/>
        </w:rPr>
        <w:t xml:space="preserve"> out of time and not within the limited scope of discovery authorized by the </w:t>
      </w:r>
      <w:r w:rsidR="0047038B">
        <w:rPr>
          <w:u w:val="none"/>
        </w:rPr>
        <w:lastRenderedPageBreak/>
        <w:t>Revised OEP.</w:t>
      </w:r>
      <w:r w:rsidR="0047038B">
        <w:rPr>
          <w:rStyle w:val="FootnoteReference"/>
          <w:u w:val="none"/>
        </w:rPr>
        <w:footnoteReference w:id="5"/>
      </w:r>
      <w:r w:rsidR="0047038B">
        <w:rPr>
          <w:u w:val="none"/>
        </w:rPr>
        <w:t xml:space="preserve"> </w:t>
      </w:r>
      <w:r w:rsidR="00526CAE">
        <w:rPr>
          <w:u w:val="none"/>
        </w:rPr>
        <w:t>FRF argues the Revised OEP “only authorizes discovery on new issues of fact or law that may have emerged as a direct result of the settlement.”</w:t>
      </w:r>
      <w:r w:rsidR="00526CAE">
        <w:rPr>
          <w:rStyle w:val="FootnoteReference"/>
          <w:u w:val="none"/>
        </w:rPr>
        <w:footnoteReference w:id="6"/>
      </w:r>
      <w:r w:rsidR="00526CAE">
        <w:rPr>
          <w:u w:val="none"/>
        </w:rPr>
        <w:t xml:space="preserve"> </w:t>
      </w:r>
      <w:r w:rsidR="0047038B">
        <w:rPr>
          <w:u w:val="none"/>
        </w:rPr>
        <w:t xml:space="preserve">FRF further contends that no party contested </w:t>
      </w:r>
      <w:r w:rsidR="003235C1">
        <w:rPr>
          <w:u w:val="none"/>
        </w:rPr>
        <w:t>FRF’s</w:t>
      </w:r>
      <w:r w:rsidR="0047038B">
        <w:rPr>
          <w:u w:val="none"/>
        </w:rPr>
        <w:t xml:space="preserve"> standing either when it intervened or when it filed the direct testimony of its w</w:t>
      </w:r>
      <w:r w:rsidR="009F6A05">
        <w:rPr>
          <w:u w:val="none"/>
        </w:rPr>
        <w:t>i</w:t>
      </w:r>
      <w:r w:rsidR="003235C1">
        <w:rPr>
          <w:u w:val="none"/>
        </w:rPr>
        <w:t>tness</w:t>
      </w:r>
      <w:r w:rsidR="00E11AA6">
        <w:rPr>
          <w:u w:val="none"/>
        </w:rPr>
        <w:t>,</w:t>
      </w:r>
      <w:r w:rsidR="003235C1">
        <w:rPr>
          <w:u w:val="none"/>
        </w:rPr>
        <w:t xml:space="preserve"> T</w:t>
      </w:r>
      <w:r w:rsidR="0047038B">
        <w:rPr>
          <w:u w:val="none"/>
        </w:rPr>
        <w:t>ony M. Georgis</w:t>
      </w:r>
      <w:r w:rsidR="003235C1">
        <w:rPr>
          <w:u w:val="none"/>
        </w:rPr>
        <w:t>, nor did any party conduct discovery regarding FRF’s standing</w:t>
      </w:r>
      <w:r w:rsidR="0047038B">
        <w:rPr>
          <w:u w:val="none"/>
        </w:rPr>
        <w:t>.</w:t>
      </w:r>
      <w:r w:rsidR="0047038B">
        <w:rPr>
          <w:rStyle w:val="FootnoteReference"/>
          <w:u w:val="none"/>
        </w:rPr>
        <w:footnoteReference w:id="7"/>
      </w:r>
      <w:r w:rsidR="003235C1">
        <w:rPr>
          <w:u w:val="none"/>
        </w:rPr>
        <w:t xml:space="preserve"> FRF argues the untimeliness of the Contested Discovery constitutes good cause to prohibit the Contested Discovery under Rule 28-106.280(d)</w:t>
      </w:r>
      <w:r w:rsidR="00A4554E">
        <w:rPr>
          <w:u w:val="none"/>
        </w:rPr>
        <w:t>, Fla. R. Civ. P.</w:t>
      </w:r>
    </w:p>
    <w:p w14:paraId="3C2CFEF5" w14:textId="77777777" w:rsidR="009F6A05" w:rsidRDefault="009F6A05" w:rsidP="00A25E11">
      <w:pPr>
        <w:pStyle w:val="CenterUnderline"/>
        <w:ind w:firstLine="720"/>
        <w:jc w:val="both"/>
        <w:rPr>
          <w:u w:val="none"/>
        </w:rPr>
      </w:pPr>
    </w:p>
    <w:p w14:paraId="253DD7AB" w14:textId="484194CB" w:rsidR="009F6A05" w:rsidRDefault="009F6A05" w:rsidP="00A25E11">
      <w:pPr>
        <w:pStyle w:val="CenterUnderline"/>
        <w:ind w:firstLine="720"/>
        <w:jc w:val="both"/>
        <w:rPr>
          <w:u w:val="none"/>
        </w:rPr>
      </w:pPr>
      <w:r>
        <w:rPr>
          <w:u w:val="none"/>
        </w:rPr>
        <w:t xml:space="preserve">FEL argues in </w:t>
      </w:r>
      <w:r w:rsidR="003235C1">
        <w:rPr>
          <w:u w:val="none"/>
        </w:rPr>
        <w:t xml:space="preserve">the FEL Response that FRF mischaracterizes the nature of the Contested Discovery, </w:t>
      </w:r>
      <w:r w:rsidR="00E11AA6">
        <w:rPr>
          <w:u w:val="none"/>
        </w:rPr>
        <w:t>and argues</w:t>
      </w:r>
      <w:r w:rsidR="00A4554E">
        <w:rPr>
          <w:u w:val="none"/>
        </w:rPr>
        <w:t xml:space="preserve"> the discovery is relevant to the underlying action and that FRF has failed to establish any good cause under Rule 28-106.280(d), Fla. R. Civ. P.</w:t>
      </w:r>
      <w:r w:rsidR="00A4554E">
        <w:rPr>
          <w:rStyle w:val="FootnoteReference"/>
          <w:u w:val="none"/>
        </w:rPr>
        <w:footnoteReference w:id="8"/>
      </w:r>
      <w:r w:rsidR="00A4554E">
        <w:rPr>
          <w:u w:val="none"/>
        </w:rPr>
        <w:t xml:space="preserve"> FEL argues that</w:t>
      </w:r>
      <w:r w:rsidR="00E11AA6">
        <w:rPr>
          <w:u w:val="none"/>
        </w:rPr>
        <w:t xml:space="preserve"> FRF misinterprets the</w:t>
      </w:r>
      <w:r w:rsidR="00A4554E">
        <w:rPr>
          <w:u w:val="none"/>
        </w:rPr>
        <w:t xml:space="preserve"> </w:t>
      </w:r>
      <w:r w:rsidR="0001027C">
        <w:rPr>
          <w:u w:val="none"/>
        </w:rPr>
        <w:t>Revised OEP’s statement that</w:t>
      </w:r>
      <w:r w:rsidR="00A4554E">
        <w:rPr>
          <w:u w:val="none"/>
        </w:rPr>
        <w:t xml:space="preserve"> </w:t>
      </w:r>
      <w:r w:rsidR="00A4554E" w:rsidRPr="0047038B">
        <w:rPr>
          <w:u w:val="none"/>
        </w:rPr>
        <w:t>“Discovery shall be limited to the iss</w:t>
      </w:r>
      <w:r w:rsidR="00A4554E">
        <w:rPr>
          <w:u w:val="none"/>
        </w:rPr>
        <w:t>ues in the Settlement Agreement</w:t>
      </w:r>
      <w:r w:rsidR="0001027C">
        <w:rPr>
          <w:u w:val="none"/>
        </w:rPr>
        <w:t>;</w:t>
      </w:r>
      <w:r w:rsidR="00A4554E" w:rsidRPr="0047038B">
        <w:rPr>
          <w:u w:val="none"/>
        </w:rPr>
        <w:t>”</w:t>
      </w:r>
      <w:r w:rsidR="00A4554E">
        <w:rPr>
          <w:u w:val="none"/>
        </w:rPr>
        <w:t xml:space="preserve"> </w:t>
      </w:r>
      <w:r w:rsidR="00E11AA6">
        <w:rPr>
          <w:u w:val="none"/>
        </w:rPr>
        <w:t>however, even accepting that interpretation, FEL argues</w:t>
      </w:r>
      <w:r w:rsidR="00A4554E">
        <w:rPr>
          <w:u w:val="none"/>
        </w:rPr>
        <w:t xml:space="preserve"> the interests FRF represents has been made an issue by the parties to t</w:t>
      </w:r>
      <w:r w:rsidR="00526CAE">
        <w:rPr>
          <w:u w:val="none"/>
        </w:rPr>
        <w:t>he Settlement Agreement itself as a direct result of the agreement.</w:t>
      </w:r>
    </w:p>
    <w:p w14:paraId="50878CB8" w14:textId="77777777" w:rsidR="009F6A05" w:rsidRDefault="009F6A05" w:rsidP="00A25E11">
      <w:pPr>
        <w:pStyle w:val="CenterUnderline"/>
        <w:ind w:firstLine="720"/>
        <w:jc w:val="both"/>
        <w:rPr>
          <w:u w:val="none"/>
        </w:rPr>
      </w:pPr>
    </w:p>
    <w:p w14:paraId="7B2E4143" w14:textId="77777777" w:rsidR="001267DD" w:rsidRDefault="001267DD" w:rsidP="00A4554E">
      <w:pPr>
        <w:ind w:firstLine="720"/>
        <w:jc w:val="both"/>
      </w:pPr>
      <w:r>
        <w:t>Rule 1.280(c), Fla. R. Civ. P., states:</w:t>
      </w:r>
    </w:p>
    <w:p w14:paraId="388AA00D" w14:textId="77777777" w:rsidR="001267DD" w:rsidRDefault="001267DD" w:rsidP="001267DD">
      <w:pPr>
        <w:jc w:val="both"/>
      </w:pPr>
    </w:p>
    <w:p w14:paraId="392ADE2D" w14:textId="77777777" w:rsidR="001267DD" w:rsidRDefault="001267DD" w:rsidP="00FF7112">
      <w:pPr>
        <w:ind w:left="720" w:right="720"/>
        <w:jc w:val="both"/>
        <w:rPr>
          <w:shd w:val="clear" w:color="auto" w:fill="FFFFFF"/>
        </w:rPr>
      </w:pPr>
      <w:r w:rsidRPr="006009E2">
        <w:rPr>
          <w:shd w:val="clear" w:color="auto" w:fill="FFFFFF"/>
        </w:rPr>
        <w:t>Upon motion by a party or by the person from whom discovery is sought, and for good cause shown, the court in which the action is pending may make any order to protect a party or person from annoyance, embarrassment, oppression, or undue burden or expense that justice requires, including one or more of the following: (1) that the discovery not be had</w:t>
      </w:r>
      <w:r w:rsidR="004447B2">
        <w:rPr>
          <w:shd w:val="clear" w:color="auto" w:fill="FFFFFF"/>
        </w:rPr>
        <w:t>;</w:t>
      </w:r>
      <w:r>
        <w:rPr>
          <w:shd w:val="clear" w:color="auto" w:fill="FFFFFF"/>
        </w:rPr>
        <w:t xml:space="preserve"> . . .</w:t>
      </w:r>
      <w:r w:rsidR="0001027C">
        <w:rPr>
          <w:shd w:val="clear" w:color="auto" w:fill="FFFFFF"/>
        </w:rPr>
        <w:t xml:space="preserve"> .</w:t>
      </w:r>
      <w:r>
        <w:rPr>
          <w:shd w:val="clear" w:color="auto" w:fill="FFFFFF"/>
        </w:rPr>
        <w:t xml:space="preserve"> </w:t>
      </w:r>
      <w:r w:rsidRPr="006009E2">
        <w:rPr>
          <w:shd w:val="clear" w:color="auto" w:fill="FFFFFF"/>
        </w:rPr>
        <w:t>If the motion for a protective order is denied in whole or in part, the court may, on such terms and conditions as are just, order that any party or person provide or permit discovery.</w:t>
      </w:r>
      <w:r>
        <w:rPr>
          <w:shd w:val="clear" w:color="auto" w:fill="FFFFFF"/>
        </w:rPr>
        <w:t xml:space="preserve"> </w:t>
      </w:r>
    </w:p>
    <w:p w14:paraId="3C9A3AD1" w14:textId="77777777" w:rsidR="009F6A05" w:rsidRDefault="009F6A05" w:rsidP="00A25E11">
      <w:pPr>
        <w:pStyle w:val="CenterUnderline"/>
        <w:ind w:firstLine="720"/>
        <w:jc w:val="both"/>
        <w:rPr>
          <w:u w:val="none"/>
        </w:rPr>
      </w:pPr>
    </w:p>
    <w:p w14:paraId="03CF2EEF" w14:textId="77777777" w:rsidR="00E11AA6" w:rsidRDefault="00E11AA6" w:rsidP="00E11AA6">
      <w:pPr>
        <w:jc w:val="both"/>
      </w:pPr>
      <w:r w:rsidRPr="00E11AA6">
        <w:t>It is therefore within the Prehearing Officer’s discretion to protect a party or person from annoyance, embarrassment, oppression, or undue burden or expense under Rule 1.280(d), Fla. R. Civ. P., if good cause is shown.</w:t>
      </w:r>
      <w:r w:rsidR="00A4554E">
        <w:t xml:space="preserve"> The discovery window in this case was reopened by the Revised OEP, </w:t>
      </w:r>
      <w:r w:rsidR="00A4554E" w:rsidRPr="00983F80">
        <w:t>and the standing of all parties</w:t>
      </w:r>
      <w:r w:rsidR="00823A07">
        <w:t xml:space="preserve"> – and their ability to take a position with respect to the Settlement Agreement –</w:t>
      </w:r>
      <w:r w:rsidR="00A4554E" w:rsidRPr="00983F80">
        <w:t xml:space="preserve"> </w:t>
      </w:r>
      <w:r w:rsidR="00983F80">
        <w:t xml:space="preserve">remains </w:t>
      </w:r>
      <w:r w:rsidR="00A4554E">
        <w:t xml:space="preserve">an issue in this case </w:t>
      </w:r>
      <w:r w:rsidR="00526CAE">
        <w:t xml:space="preserve">and remains </w:t>
      </w:r>
      <w:r w:rsidR="00A4554E">
        <w:t>subject to discovery. Therefore,</w:t>
      </w:r>
      <w:r>
        <w:t xml:space="preserve"> FRF has failed to demonstrate the good cause necessary for relief under Rule 1.280(d), Fla. R. Civ. P.</w:t>
      </w:r>
    </w:p>
    <w:p w14:paraId="3E48337B" w14:textId="77777777" w:rsidR="00E11AA6" w:rsidRDefault="00E11AA6" w:rsidP="00E11AA6">
      <w:pPr>
        <w:jc w:val="both"/>
      </w:pPr>
    </w:p>
    <w:p w14:paraId="72EBD969" w14:textId="77777777" w:rsidR="00E11AA6" w:rsidRDefault="00E11AA6" w:rsidP="00E11AA6">
      <w:pPr>
        <w:jc w:val="both"/>
      </w:pPr>
      <w:r>
        <w:tab/>
        <w:t>Having considered the foregoing, I find that F</w:t>
      </w:r>
      <w:r w:rsidR="00693950">
        <w:t>RF</w:t>
      </w:r>
      <w:r>
        <w:t xml:space="preserve">’s Motion shall be denied. Further, </w:t>
      </w:r>
      <w:r w:rsidR="00693950">
        <w:t>FRF</w:t>
      </w:r>
      <w:r>
        <w:t xml:space="preserve"> shall respond to the Renewed Contested Discovery by September 19, 2025.</w:t>
      </w:r>
    </w:p>
    <w:p w14:paraId="5D008847" w14:textId="77777777" w:rsidR="00E11AA6" w:rsidRPr="00817318" w:rsidRDefault="00E11AA6" w:rsidP="00E11AA6">
      <w:pPr>
        <w:pStyle w:val="ListParagraph"/>
        <w:ind w:left="0"/>
        <w:jc w:val="both"/>
        <w:rPr>
          <w:rFonts w:ascii="Times New Roman" w:hAnsi="Times New Roman"/>
          <w:iCs/>
          <w:color w:val="212121"/>
        </w:rPr>
      </w:pPr>
    </w:p>
    <w:p w14:paraId="787904CD" w14:textId="77777777" w:rsidR="00BE614E" w:rsidRPr="00817318" w:rsidRDefault="00BE614E" w:rsidP="00BE614E">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14:paraId="55BA13B9" w14:textId="77777777" w:rsidR="00BE614E" w:rsidRPr="00817318" w:rsidRDefault="00BE614E" w:rsidP="00BE614E">
      <w:pPr>
        <w:pStyle w:val="ListParagraph"/>
        <w:ind w:left="0"/>
        <w:jc w:val="both"/>
        <w:rPr>
          <w:rFonts w:ascii="Times New Roman" w:hAnsi="Times New Roman"/>
          <w:iCs/>
          <w:color w:val="212121"/>
        </w:rPr>
      </w:pPr>
    </w:p>
    <w:p w14:paraId="5E9385BC" w14:textId="1254A534" w:rsidR="00CB5276" w:rsidRDefault="00BE614E" w:rsidP="00BE614E">
      <w:pPr>
        <w:pStyle w:val="OrderBody"/>
        <w:rPr>
          <w:iCs/>
          <w:color w:val="212121"/>
        </w:rPr>
      </w:pPr>
      <w:r w:rsidRPr="00817318">
        <w:rPr>
          <w:iCs/>
          <w:color w:val="212121"/>
        </w:rPr>
        <w:tab/>
        <w:t xml:space="preserve">ORDERED by </w:t>
      </w:r>
      <w:r>
        <w:rPr>
          <w:iCs/>
          <w:color w:val="212121"/>
        </w:rPr>
        <w:t>Chairman Mike La Rosa</w:t>
      </w:r>
      <w:r w:rsidRPr="00817318">
        <w:rPr>
          <w:iCs/>
          <w:color w:val="212121"/>
        </w:rPr>
        <w:t>, as Prehearing Officer, that the</w:t>
      </w:r>
      <w:r w:rsidR="00526CAE">
        <w:rPr>
          <w:iCs/>
          <w:color w:val="212121"/>
        </w:rPr>
        <w:t xml:space="preserve"> Florida Retail Federation’s</w:t>
      </w:r>
      <w:r w:rsidRPr="00817318">
        <w:rPr>
          <w:iCs/>
          <w:color w:val="212121"/>
        </w:rPr>
        <w:t xml:space="preserve"> </w:t>
      </w:r>
      <w:r w:rsidR="00E11AA6">
        <w:t xml:space="preserve">Motion for Protective Order From Or, In the Alternative, Motion to Quash Certain Interrogatories (Nos. 1-5) From Florida rising’s, League of United Latin American Citizens’, </w:t>
      </w:r>
      <w:r w:rsidR="00184337">
        <w:t>and</w:t>
      </w:r>
      <w:r w:rsidR="00E11AA6">
        <w:t xml:space="preserve"> </w:t>
      </w:r>
      <w:r w:rsidR="00E11AA6">
        <w:lastRenderedPageBreak/>
        <w:t>Environmental Confederation of Southwest Florida’s First Set of Interrogatories (Nos. 1-5) to Florida Retail Federation</w:t>
      </w:r>
      <w:r w:rsidR="00526CAE">
        <w:t xml:space="preserve"> is denied</w:t>
      </w:r>
      <w:r w:rsidRPr="00817318">
        <w:rPr>
          <w:iCs/>
          <w:color w:val="212121"/>
        </w:rPr>
        <w:t>.  It is further,</w:t>
      </w:r>
    </w:p>
    <w:p w14:paraId="5C7E5BDB" w14:textId="77777777" w:rsidR="00E11AA6" w:rsidRDefault="00E11AA6" w:rsidP="00BE614E">
      <w:pPr>
        <w:pStyle w:val="OrderBody"/>
        <w:rPr>
          <w:iCs/>
          <w:color w:val="212121"/>
        </w:rPr>
      </w:pPr>
    </w:p>
    <w:p w14:paraId="7696C33C" w14:textId="77777777" w:rsidR="00E11AA6" w:rsidRDefault="00E11AA6" w:rsidP="00E11AA6">
      <w:pPr>
        <w:pStyle w:val="OrderBody"/>
      </w:pPr>
      <w:r>
        <w:tab/>
      </w:r>
      <w:r w:rsidRPr="00817318">
        <w:rPr>
          <w:iCs/>
          <w:color w:val="212121"/>
        </w:rPr>
        <w:t>ORDERED</w:t>
      </w:r>
      <w:r>
        <w:rPr>
          <w:iCs/>
          <w:color w:val="212121"/>
        </w:rPr>
        <w:t xml:space="preserve"> t</w:t>
      </w:r>
      <w:r w:rsidRPr="00817318">
        <w:rPr>
          <w:iCs/>
          <w:color w:val="212121"/>
        </w:rPr>
        <w:t>hat the</w:t>
      </w:r>
      <w:r>
        <w:rPr>
          <w:iCs/>
          <w:color w:val="212121"/>
        </w:rPr>
        <w:t xml:space="preserve"> Florida </w:t>
      </w:r>
      <w:r w:rsidR="00693950">
        <w:rPr>
          <w:iCs/>
          <w:color w:val="212121"/>
        </w:rPr>
        <w:t>Retail Federation</w:t>
      </w:r>
      <w:r>
        <w:rPr>
          <w:iCs/>
          <w:color w:val="212121"/>
        </w:rPr>
        <w:t xml:space="preserve"> must provide responses to the Contested Discovery by September 19, 2025. </w:t>
      </w:r>
    </w:p>
    <w:p w14:paraId="10CCDD78" w14:textId="77777777" w:rsidR="00E11AA6" w:rsidRDefault="00E11AA6" w:rsidP="00BE614E">
      <w:pPr>
        <w:pStyle w:val="OrderBody"/>
      </w:pPr>
    </w:p>
    <w:p w14:paraId="3444CB84" w14:textId="1A7EAE14" w:rsidR="00BE614E" w:rsidRDefault="00BE614E" w:rsidP="00BE614E">
      <w:pPr>
        <w:pStyle w:val="OrderBody"/>
        <w:keepNext/>
        <w:keepLines/>
      </w:pPr>
      <w:r>
        <w:tab/>
        <w:t xml:space="preserve">By ORDER of Chairman Mike La Rosa, as Prehearing Officer, this </w:t>
      </w:r>
      <w:bookmarkStart w:id="6" w:name="replaceDate"/>
      <w:bookmarkEnd w:id="6"/>
      <w:r w:rsidR="00321963">
        <w:rPr>
          <w:u w:val="single"/>
        </w:rPr>
        <w:t>12th</w:t>
      </w:r>
      <w:r w:rsidR="00321963">
        <w:t xml:space="preserve"> day of </w:t>
      </w:r>
      <w:r w:rsidR="00321963">
        <w:rPr>
          <w:u w:val="single"/>
        </w:rPr>
        <w:t>September</w:t>
      </w:r>
      <w:r w:rsidR="00321963">
        <w:t xml:space="preserve">, </w:t>
      </w:r>
      <w:r w:rsidR="00321963">
        <w:rPr>
          <w:u w:val="single"/>
        </w:rPr>
        <w:t>2025</w:t>
      </w:r>
      <w:r w:rsidR="00321963">
        <w:t>.</w:t>
      </w:r>
    </w:p>
    <w:p w14:paraId="08E8FF86" w14:textId="77777777" w:rsidR="00321963" w:rsidRPr="00321963" w:rsidRDefault="00321963" w:rsidP="00BE614E">
      <w:pPr>
        <w:pStyle w:val="OrderBody"/>
        <w:keepNext/>
        <w:keepLines/>
      </w:pPr>
    </w:p>
    <w:p w14:paraId="4E404465" w14:textId="77777777" w:rsidR="00BE614E" w:rsidRDefault="00BE614E" w:rsidP="00BE614E">
      <w:pPr>
        <w:pStyle w:val="OrderBody"/>
        <w:keepNext/>
        <w:keepLines/>
      </w:pPr>
    </w:p>
    <w:p w14:paraId="128CAE6F" w14:textId="77777777" w:rsidR="00BE614E" w:rsidRDefault="00BE614E" w:rsidP="00BE614E">
      <w:pPr>
        <w:pStyle w:val="OrderBody"/>
        <w:keepNext/>
        <w:keepLines/>
      </w:pPr>
    </w:p>
    <w:p w14:paraId="3A0CA6B3" w14:textId="77777777" w:rsidR="00BE614E" w:rsidRDefault="00BE614E" w:rsidP="00BE614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E614E" w14:paraId="3B9F9766" w14:textId="77777777" w:rsidTr="00BE614E">
        <w:tc>
          <w:tcPr>
            <w:tcW w:w="720" w:type="dxa"/>
            <w:shd w:val="clear" w:color="auto" w:fill="auto"/>
          </w:tcPr>
          <w:p w14:paraId="1263FAB8" w14:textId="77777777" w:rsidR="00BE614E" w:rsidRDefault="00BE614E" w:rsidP="00BE614E">
            <w:pPr>
              <w:pStyle w:val="OrderBody"/>
              <w:keepNext/>
              <w:keepLines/>
            </w:pPr>
            <w:bookmarkStart w:id="7" w:name="bkmrkSignature" w:colFirst="0" w:colLast="0"/>
          </w:p>
        </w:tc>
        <w:tc>
          <w:tcPr>
            <w:tcW w:w="4320" w:type="dxa"/>
            <w:tcBorders>
              <w:bottom w:val="single" w:sz="4" w:space="0" w:color="auto"/>
            </w:tcBorders>
            <w:shd w:val="clear" w:color="auto" w:fill="auto"/>
          </w:tcPr>
          <w:p w14:paraId="20962895" w14:textId="63669557" w:rsidR="00BE614E" w:rsidRDefault="00321963" w:rsidP="00BE614E">
            <w:pPr>
              <w:pStyle w:val="OrderBody"/>
              <w:keepNext/>
              <w:keepLines/>
            </w:pPr>
            <w:r>
              <w:t>/s/ Mike La Rosa</w:t>
            </w:r>
            <w:bookmarkStart w:id="8" w:name="_GoBack"/>
            <w:bookmarkEnd w:id="8"/>
          </w:p>
        </w:tc>
      </w:tr>
      <w:bookmarkEnd w:id="7"/>
      <w:tr w:rsidR="00BE614E" w14:paraId="7A9A478F" w14:textId="77777777" w:rsidTr="00BE614E">
        <w:tc>
          <w:tcPr>
            <w:tcW w:w="720" w:type="dxa"/>
            <w:shd w:val="clear" w:color="auto" w:fill="auto"/>
          </w:tcPr>
          <w:p w14:paraId="747FF187" w14:textId="77777777" w:rsidR="00BE614E" w:rsidRDefault="00BE614E" w:rsidP="00BE614E">
            <w:pPr>
              <w:pStyle w:val="OrderBody"/>
              <w:keepNext/>
              <w:keepLines/>
            </w:pPr>
          </w:p>
        </w:tc>
        <w:tc>
          <w:tcPr>
            <w:tcW w:w="4320" w:type="dxa"/>
            <w:tcBorders>
              <w:top w:val="single" w:sz="4" w:space="0" w:color="auto"/>
            </w:tcBorders>
            <w:shd w:val="clear" w:color="auto" w:fill="auto"/>
          </w:tcPr>
          <w:p w14:paraId="6B61C133" w14:textId="77777777" w:rsidR="00BE614E" w:rsidRDefault="00BE614E" w:rsidP="00BE614E">
            <w:pPr>
              <w:pStyle w:val="OrderBody"/>
              <w:keepNext/>
              <w:keepLines/>
            </w:pPr>
            <w:r>
              <w:t>Mike La Rosa</w:t>
            </w:r>
          </w:p>
          <w:p w14:paraId="203DB6CB" w14:textId="77777777" w:rsidR="00BE614E" w:rsidRDefault="00BE614E" w:rsidP="00BE614E">
            <w:pPr>
              <w:pStyle w:val="OrderBody"/>
              <w:keepNext/>
              <w:keepLines/>
            </w:pPr>
            <w:r>
              <w:t>Chairman and Prehearing Officer</w:t>
            </w:r>
          </w:p>
        </w:tc>
      </w:tr>
    </w:tbl>
    <w:p w14:paraId="0BB83389" w14:textId="77777777" w:rsidR="00BE614E" w:rsidRDefault="00BE614E" w:rsidP="00BE614E">
      <w:pPr>
        <w:pStyle w:val="OrderSigInfo"/>
        <w:keepNext/>
        <w:keepLines/>
      </w:pPr>
      <w:r>
        <w:t>Florida Public Service Commission</w:t>
      </w:r>
    </w:p>
    <w:p w14:paraId="349DC88A" w14:textId="77777777" w:rsidR="00BE614E" w:rsidRDefault="00BE614E" w:rsidP="00BE614E">
      <w:pPr>
        <w:pStyle w:val="OrderSigInfo"/>
        <w:keepNext/>
        <w:keepLines/>
      </w:pPr>
      <w:r>
        <w:t>2540 Shumard Oak Boulevard</w:t>
      </w:r>
    </w:p>
    <w:p w14:paraId="242331B2" w14:textId="77777777" w:rsidR="00BE614E" w:rsidRDefault="00BE614E" w:rsidP="00BE614E">
      <w:pPr>
        <w:pStyle w:val="OrderSigInfo"/>
        <w:keepNext/>
        <w:keepLines/>
      </w:pPr>
      <w:r>
        <w:t>Tallahassee, Florida 32399</w:t>
      </w:r>
    </w:p>
    <w:p w14:paraId="75365227" w14:textId="77777777" w:rsidR="00BE614E" w:rsidRDefault="00BE614E" w:rsidP="00BE614E">
      <w:pPr>
        <w:pStyle w:val="OrderSigInfo"/>
        <w:keepNext/>
        <w:keepLines/>
      </w:pPr>
      <w:r>
        <w:t>(850) 413</w:t>
      </w:r>
      <w:r>
        <w:noBreakHyphen/>
        <w:t>6770</w:t>
      </w:r>
    </w:p>
    <w:p w14:paraId="3FFA8FDD" w14:textId="77777777" w:rsidR="00BE614E" w:rsidRDefault="00BE614E" w:rsidP="00BE614E">
      <w:pPr>
        <w:pStyle w:val="OrderSigInfo"/>
        <w:keepNext/>
        <w:keepLines/>
      </w:pPr>
      <w:r>
        <w:t>www.floridapsc.com</w:t>
      </w:r>
    </w:p>
    <w:p w14:paraId="0A6DE821" w14:textId="77777777" w:rsidR="00BE614E" w:rsidRDefault="00BE614E" w:rsidP="00BE614E">
      <w:pPr>
        <w:pStyle w:val="OrderSigInfo"/>
        <w:keepNext/>
        <w:keepLines/>
      </w:pPr>
    </w:p>
    <w:p w14:paraId="356F0179" w14:textId="77777777" w:rsidR="00BE614E" w:rsidRDefault="00BE614E" w:rsidP="00BE614E">
      <w:pPr>
        <w:pStyle w:val="OrderSigInfo"/>
        <w:keepNext/>
        <w:keepLines/>
      </w:pPr>
      <w:r>
        <w:t>Copies furnished:  A copy of this document is provided to the parties of record at the time of issuance and, if applicable, interested persons.</w:t>
      </w:r>
    </w:p>
    <w:p w14:paraId="7E983D5E" w14:textId="77777777" w:rsidR="00BE614E" w:rsidRDefault="00BE614E" w:rsidP="00BE614E">
      <w:pPr>
        <w:pStyle w:val="OrderBody"/>
        <w:keepNext/>
        <w:keepLines/>
      </w:pPr>
    </w:p>
    <w:p w14:paraId="31774B1E" w14:textId="77777777" w:rsidR="00BE614E" w:rsidRDefault="00BE614E" w:rsidP="00BE614E">
      <w:pPr>
        <w:pStyle w:val="OrderBody"/>
        <w:keepNext/>
        <w:keepLines/>
      </w:pPr>
    </w:p>
    <w:p w14:paraId="48897D10" w14:textId="77777777" w:rsidR="00BE614E" w:rsidRDefault="00693950" w:rsidP="00BE614E">
      <w:pPr>
        <w:pStyle w:val="OrderBody"/>
        <w:keepNext/>
        <w:keepLines/>
      </w:pPr>
      <w:r>
        <w:t>T</w:t>
      </w:r>
      <w:r w:rsidR="00BE614E">
        <w:t>PS</w:t>
      </w:r>
    </w:p>
    <w:p w14:paraId="5D8FAD5F" w14:textId="77777777" w:rsidR="00BE614E" w:rsidRDefault="00BE614E" w:rsidP="00BE614E">
      <w:pPr>
        <w:pStyle w:val="OrderBody"/>
      </w:pPr>
    </w:p>
    <w:p w14:paraId="6BFAF831" w14:textId="77777777" w:rsidR="00BE614E" w:rsidRDefault="00BE614E" w:rsidP="00BE614E">
      <w:pPr>
        <w:pStyle w:val="OrderBody"/>
      </w:pPr>
    </w:p>
    <w:p w14:paraId="1610521C" w14:textId="77777777" w:rsidR="00693950" w:rsidRDefault="00693950">
      <w:pPr>
        <w:rPr>
          <w:u w:val="single"/>
        </w:rPr>
      </w:pPr>
      <w:r>
        <w:br w:type="page"/>
      </w:r>
    </w:p>
    <w:p w14:paraId="0B2ABBA4" w14:textId="77777777" w:rsidR="00BE614E" w:rsidRDefault="00BE614E" w:rsidP="00BE614E">
      <w:pPr>
        <w:pStyle w:val="CenterUnderline"/>
      </w:pPr>
      <w:r>
        <w:lastRenderedPageBreak/>
        <w:t>NOTICE OF FURTHER PROCEEDINGS OR JUDICIAL REVIEW</w:t>
      </w:r>
    </w:p>
    <w:p w14:paraId="016D304A" w14:textId="77777777" w:rsidR="00BE614E" w:rsidRDefault="00BE614E" w:rsidP="00BE614E">
      <w:pPr>
        <w:pStyle w:val="CenterUnderline"/>
      </w:pPr>
    </w:p>
    <w:p w14:paraId="54E232B7" w14:textId="77777777" w:rsidR="00BE614E" w:rsidRDefault="00BE614E" w:rsidP="00BE614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4C07A4A" w14:textId="77777777" w:rsidR="00BE614E" w:rsidRDefault="00BE614E" w:rsidP="00BE614E">
      <w:pPr>
        <w:pStyle w:val="OrderBody"/>
      </w:pPr>
    </w:p>
    <w:p w14:paraId="672025B9" w14:textId="77777777" w:rsidR="00BE614E" w:rsidRDefault="00BE614E" w:rsidP="00BE614E">
      <w:pPr>
        <w:pStyle w:val="OrderBody"/>
      </w:pPr>
      <w:r>
        <w:tab/>
        <w:t>Mediation may be available on a case-by-case basis.  If mediation is conducted, it does not affect a substantially interested person's right to a hearing.</w:t>
      </w:r>
    </w:p>
    <w:p w14:paraId="575416ED" w14:textId="77777777" w:rsidR="00BE614E" w:rsidRDefault="00BE614E" w:rsidP="00BE614E">
      <w:pPr>
        <w:pStyle w:val="OrderBody"/>
      </w:pPr>
    </w:p>
    <w:p w14:paraId="50007171" w14:textId="77777777" w:rsidR="00BE614E" w:rsidRDefault="00BE614E" w:rsidP="00BE614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3C0CD2BE" w14:textId="77777777" w:rsidR="00BE614E" w:rsidRDefault="00BE614E" w:rsidP="00BE614E">
      <w:pPr>
        <w:pStyle w:val="OrderBody"/>
      </w:pPr>
    </w:p>
    <w:sectPr w:rsidR="00BE614E">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03637" w14:textId="77777777" w:rsidR="006E71FD" w:rsidRDefault="006E71FD">
      <w:r>
        <w:separator/>
      </w:r>
    </w:p>
  </w:endnote>
  <w:endnote w:type="continuationSeparator" w:id="0">
    <w:p w14:paraId="3426A661" w14:textId="77777777" w:rsidR="006E71FD" w:rsidRDefault="006E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84583" w14:textId="77777777" w:rsidR="006E71FD" w:rsidRDefault="006E71FD">
      <w:r>
        <w:separator/>
      </w:r>
    </w:p>
  </w:footnote>
  <w:footnote w:type="continuationSeparator" w:id="0">
    <w:p w14:paraId="02481A02" w14:textId="77777777" w:rsidR="006E71FD" w:rsidRDefault="006E71FD">
      <w:r>
        <w:continuationSeparator/>
      </w:r>
    </w:p>
  </w:footnote>
  <w:footnote w:id="1">
    <w:p w14:paraId="1DA8776E" w14:textId="77777777" w:rsidR="0047038B" w:rsidRDefault="0047038B" w:rsidP="0047038B">
      <w:pPr>
        <w:pStyle w:val="FootnoteText"/>
      </w:pPr>
      <w:r>
        <w:rPr>
          <w:rStyle w:val="FootnoteReference"/>
        </w:rPr>
        <w:footnoteRef/>
      </w:r>
      <w:r>
        <w:t xml:space="preserve"> Order No. PSC-2025-0304-PCO-EI,</w:t>
      </w:r>
      <w:r>
        <w:rPr>
          <w:i/>
        </w:rPr>
        <w:t xml:space="preserve"> </w:t>
      </w:r>
      <w:r>
        <w:t xml:space="preserve"> issued August 12, 2025. </w:t>
      </w:r>
    </w:p>
  </w:footnote>
  <w:footnote w:id="2">
    <w:p w14:paraId="62FA7EAA" w14:textId="77777777" w:rsidR="0047038B" w:rsidRDefault="0047038B" w:rsidP="0047038B">
      <w:pPr>
        <w:pStyle w:val="FootnoteText"/>
      </w:pPr>
      <w:r>
        <w:rPr>
          <w:rStyle w:val="FootnoteReference"/>
        </w:rPr>
        <w:footnoteRef/>
      </w:r>
      <w:r>
        <w:t xml:space="preserve"> Order No. PSC-2025-0323-PCO-EI, issued August 22, 2025, at page 3. </w:t>
      </w:r>
    </w:p>
  </w:footnote>
  <w:footnote w:id="3">
    <w:p w14:paraId="3EDA3971" w14:textId="77777777" w:rsidR="0047038B" w:rsidRDefault="0047038B" w:rsidP="0047038B">
      <w:pPr>
        <w:pStyle w:val="FootnoteText"/>
      </w:pPr>
      <w:r>
        <w:rPr>
          <w:rStyle w:val="FootnoteReference"/>
        </w:rPr>
        <w:footnoteRef/>
      </w:r>
      <w:r>
        <w:t xml:space="preserve"> Revised OEP at page 2. </w:t>
      </w:r>
    </w:p>
  </w:footnote>
  <w:footnote w:id="4">
    <w:p w14:paraId="54DA7D4A" w14:textId="77777777" w:rsidR="00A25E11" w:rsidRPr="005D5EFF" w:rsidRDefault="00A25E11" w:rsidP="00A25E11">
      <w:pPr>
        <w:pStyle w:val="FootnoteText"/>
      </w:pPr>
      <w:r>
        <w:rPr>
          <w:rStyle w:val="FootnoteReference"/>
        </w:rPr>
        <w:footnoteRef/>
      </w:r>
      <w:r>
        <w:t xml:space="preserve"> Rule 1.280 is incorporated by reference into the Uniform Rules of Procedure, which apply to proceedings before the Commission. </w:t>
      </w:r>
      <w:r w:rsidRPr="00FF7112">
        <w:rPr>
          <w:i/>
        </w:rPr>
        <w:t>See</w:t>
      </w:r>
      <w:r>
        <w:t xml:space="preserve"> Rule 28-106.206, Florida Administrative Code (“</w:t>
      </w:r>
      <w:r>
        <w:rPr>
          <w:noProof/>
          <w:color w:val="000000"/>
        </w:rPr>
        <w:t>After commencement of a proceeding, parties may obtain discovery through the means and in the manner provided in Rules 1.280 through 1.400, Florida Rules of Civil Procedure.”)</w:t>
      </w:r>
      <w:r>
        <w:t>.</w:t>
      </w:r>
    </w:p>
  </w:footnote>
  <w:footnote w:id="5">
    <w:p w14:paraId="5D056688" w14:textId="77777777" w:rsidR="0047038B" w:rsidRDefault="0047038B">
      <w:pPr>
        <w:pStyle w:val="FootnoteText"/>
      </w:pPr>
      <w:r>
        <w:rPr>
          <w:rStyle w:val="FootnoteReference"/>
        </w:rPr>
        <w:footnoteRef/>
      </w:r>
      <w:r>
        <w:t xml:space="preserve"> FRF Motion at page 1.</w:t>
      </w:r>
    </w:p>
  </w:footnote>
  <w:footnote w:id="6">
    <w:p w14:paraId="333B69C4" w14:textId="77777777" w:rsidR="00526CAE" w:rsidRDefault="00526CAE">
      <w:pPr>
        <w:pStyle w:val="FootnoteText"/>
      </w:pPr>
      <w:r>
        <w:rPr>
          <w:rStyle w:val="FootnoteReference"/>
        </w:rPr>
        <w:footnoteRef/>
      </w:r>
      <w:r>
        <w:t xml:space="preserve"> FRF Motion at page 4.</w:t>
      </w:r>
    </w:p>
  </w:footnote>
  <w:footnote w:id="7">
    <w:p w14:paraId="09554F6F" w14:textId="77777777" w:rsidR="0047038B" w:rsidRDefault="0047038B">
      <w:pPr>
        <w:pStyle w:val="FootnoteText"/>
      </w:pPr>
      <w:r>
        <w:rPr>
          <w:rStyle w:val="FootnoteReference"/>
        </w:rPr>
        <w:footnoteRef/>
      </w:r>
      <w:r>
        <w:t xml:space="preserve"> FRF Motion at page 2.</w:t>
      </w:r>
    </w:p>
  </w:footnote>
  <w:footnote w:id="8">
    <w:p w14:paraId="28D516E3" w14:textId="77777777" w:rsidR="00A4554E" w:rsidRDefault="00A4554E">
      <w:pPr>
        <w:pStyle w:val="FootnoteText"/>
      </w:pPr>
      <w:r>
        <w:rPr>
          <w:rStyle w:val="FootnoteReference"/>
        </w:rPr>
        <w:footnoteRef/>
      </w:r>
      <w:r>
        <w:t xml:space="preserve"> FEL Response at page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C6DB7" w14:textId="62C0C27C" w:rsidR="00FA6EFD" w:rsidRDefault="00FA6EFD">
    <w:pPr>
      <w:pStyle w:val="OrderHeader"/>
    </w:pPr>
    <w:r>
      <w:t xml:space="preserve">ORDER NO. </w:t>
    </w:r>
    <w:fldSimple w:instr=" REF OrderNo0343 ">
      <w:r w:rsidR="00321963">
        <w:t>PSC-2025-0343-PCO-EI</w:t>
      </w:r>
    </w:fldSimple>
  </w:p>
  <w:p w14:paraId="2149E2EB" w14:textId="77777777" w:rsidR="00FA6EFD" w:rsidRDefault="006E71FD">
    <w:pPr>
      <w:pStyle w:val="OrderHeader"/>
    </w:pPr>
    <w:bookmarkStart w:id="9" w:name="HeaderDocketNo"/>
    <w:bookmarkEnd w:id="9"/>
    <w:r>
      <w:t>DOCKET NO. 20250011-EI</w:t>
    </w:r>
  </w:p>
  <w:p w14:paraId="2A931841" w14:textId="474DD5DE"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21963">
      <w:rPr>
        <w:rStyle w:val="PageNumber"/>
        <w:noProof/>
      </w:rPr>
      <w:t>3</w:t>
    </w:r>
    <w:r>
      <w:rPr>
        <w:rStyle w:val="PageNumber"/>
      </w:rPr>
      <w:fldChar w:fldCharType="end"/>
    </w:r>
  </w:p>
  <w:p w14:paraId="68164902"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6E71FD"/>
    <w:rsid w:val="000022B8"/>
    <w:rsid w:val="00003883"/>
    <w:rsid w:val="0001027C"/>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09C2"/>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267DD"/>
    <w:rsid w:val="00134177"/>
    <w:rsid w:val="00136087"/>
    <w:rsid w:val="00142A96"/>
    <w:rsid w:val="001513DE"/>
    <w:rsid w:val="00154A71"/>
    <w:rsid w:val="001655D4"/>
    <w:rsid w:val="00165803"/>
    <w:rsid w:val="00184337"/>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14E8"/>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1963"/>
    <w:rsid w:val="003231C7"/>
    <w:rsid w:val="003235C1"/>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FD1"/>
    <w:rsid w:val="003E711F"/>
    <w:rsid w:val="003F1D2B"/>
    <w:rsid w:val="003F49A6"/>
    <w:rsid w:val="003F518F"/>
    <w:rsid w:val="003F6BA7"/>
    <w:rsid w:val="003F7445"/>
    <w:rsid w:val="00410A29"/>
    <w:rsid w:val="00411DF2"/>
    <w:rsid w:val="00411E8F"/>
    <w:rsid w:val="004247F5"/>
    <w:rsid w:val="0042527B"/>
    <w:rsid w:val="0042705B"/>
    <w:rsid w:val="00427EAC"/>
    <w:rsid w:val="004431B4"/>
    <w:rsid w:val="004447B2"/>
    <w:rsid w:val="00445604"/>
    <w:rsid w:val="00451158"/>
    <w:rsid w:val="0045537F"/>
    <w:rsid w:val="00457DC7"/>
    <w:rsid w:val="004640B3"/>
    <w:rsid w:val="0047038B"/>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26CAE"/>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2BB"/>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4ECA"/>
    <w:rsid w:val="00665CC7"/>
    <w:rsid w:val="00672612"/>
    <w:rsid w:val="00674ECC"/>
    <w:rsid w:val="00677F18"/>
    <w:rsid w:val="00693483"/>
    <w:rsid w:val="00693950"/>
    <w:rsid w:val="006A0BF3"/>
    <w:rsid w:val="006A502B"/>
    <w:rsid w:val="006B0036"/>
    <w:rsid w:val="006B0DA6"/>
    <w:rsid w:val="006B3FA9"/>
    <w:rsid w:val="006C547E"/>
    <w:rsid w:val="006D2B51"/>
    <w:rsid w:val="006D5575"/>
    <w:rsid w:val="006D7191"/>
    <w:rsid w:val="006E21C4"/>
    <w:rsid w:val="006E42BE"/>
    <w:rsid w:val="006E5D4D"/>
    <w:rsid w:val="006E6D16"/>
    <w:rsid w:val="006E71FD"/>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3A07"/>
    <w:rsid w:val="008278FE"/>
    <w:rsid w:val="00832598"/>
    <w:rsid w:val="0083397E"/>
    <w:rsid w:val="0083534B"/>
    <w:rsid w:val="00842035"/>
    <w:rsid w:val="00842602"/>
    <w:rsid w:val="008449F0"/>
    <w:rsid w:val="00846F11"/>
    <w:rsid w:val="00847B45"/>
    <w:rsid w:val="00863A66"/>
    <w:rsid w:val="008703D7"/>
    <w:rsid w:val="00871735"/>
    <w:rsid w:val="00874429"/>
    <w:rsid w:val="00875D22"/>
    <w:rsid w:val="00883D9A"/>
    <w:rsid w:val="008919EF"/>
    <w:rsid w:val="00892B20"/>
    <w:rsid w:val="008931BC"/>
    <w:rsid w:val="00894112"/>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00E4"/>
    <w:rsid w:val="00931C8C"/>
    <w:rsid w:val="00943D21"/>
    <w:rsid w:val="0094504B"/>
    <w:rsid w:val="00947A60"/>
    <w:rsid w:val="00964A38"/>
    <w:rsid w:val="00966A9D"/>
    <w:rsid w:val="0096742B"/>
    <w:rsid w:val="00967C64"/>
    <w:rsid w:val="009718C5"/>
    <w:rsid w:val="00976AFF"/>
    <w:rsid w:val="00983F80"/>
    <w:rsid w:val="00986AED"/>
    <w:rsid w:val="009924CF"/>
    <w:rsid w:val="00994100"/>
    <w:rsid w:val="009A04B7"/>
    <w:rsid w:val="009A6B17"/>
    <w:rsid w:val="009B052E"/>
    <w:rsid w:val="009B4E00"/>
    <w:rsid w:val="009D4C29"/>
    <w:rsid w:val="009E58E9"/>
    <w:rsid w:val="009E6803"/>
    <w:rsid w:val="009F6A05"/>
    <w:rsid w:val="009F6AD2"/>
    <w:rsid w:val="009F7C1B"/>
    <w:rsid w:val="00A00B5B"/>
    <w:rsid w:val="00A00D8D"/>
    <w:rsid w:val="00A01BB6"/>
    <w:rsid w:val="00A108A7"/>
    <w:rsid w:val="00A228DA"/>
    <w:rsid w:val="00A22B28"/>
    <w:rsid w:val="00A25E11"/>
    <w:rsid w:val="00A3351E"/>
    <w:rsid w:val="00A4303C"/>
    <w:rsid w:val="00A4554E"/>
    <w:rsid w:val="00A46CAF"/>
    <w:rsid w:val="00A470FD"/>
    <w:rsid w:val="00A50B5E"/>
    <w:rsid w:val="00A6031B"/>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B3F2D"/>
    <w:rsid w:val="00AC4B09"/>
    <w:rsid w:val="00AC5A01"/>
    <w:rsid w:val="00AD10EB"/>
    <w:rsid w:val="00AD1ED3"/>
    <w:rsid w:val="00AD3717"/>
    <w:rsid w:val="00AD74F4"/>
    <w:rsid w:val="00AE4AAB"/>
    <w:rsid w:val="00AF7ECD"/>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614E"/>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1AA6"/>
    <w:rsid w:val="00E33F44"/>
    <w:rsid w:val="00E37D48"/>
    <w:rsid w:val="00E4225C"/>
    <w:rsid w:val="00E44879"/>
    <w:rsid w:val="00E72914"/>
    <w:rsid w:val="00E75AE0"/>
    <w:rsid w:val="00E76B61"/>
    <w:rsid w:val="00E83C1F"/>
    <w:rsid w:val="00E849B5"/>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083E"/>
    <w:rsid w:val="00F37E07"/>
    <w:rsid w:val="00F4182A"/>
    <w:rsid w:val="00F464ED"/>
    <w:rsid w:val="00F54380"/>
    <w:rsid w:val="00F54B47"/>
    <w:rsid w:val="00F61247"/>
    <w:rsid w:val="00F61F61"/>
    <w:rsid w:val="00F63191"/>
    <w:rsid w:val="00F6702E"/>
    <w:rsid w:val="00F70E84"/>
    <w:rsid w:val="00F72D75"/>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 w:val="00FF7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38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E614E"/>
    <w:pPr>
      <w:ind w:left="720"/>
      <w:contextualSpacing/>
    </w:pPr>
    <w:rPr>
      <w:rFonts w:ascii="Calibri" w:eastAsia="Calibri" w:hAnsi="Calibri"/>
    </w:rPr>
  </w:style>
  <w:style w:type="character" w:customStyle="1" w:styleId="FootnoteTextChar">
    <w:name w:val="Footnote Text Char"/>
    <w:basedOn w:val="DefaultParagraphFont"/>
    <w:link w:val="FootnoteText"/>
    <w:rsid w:val="0047038B"/>
  </w:style>
  <w:style w:type="character" w:styleId="CommentReference">
    <w:name w:val="annotation reference"/>
    <w:basedOn w:val="DefaultParagraphFont"/>
    <w:semiHidden/>
    <w:unhideWhenUsed/>
    <w:rsid w:val="0001027C"/>
    <w:rPr>
      <w:sz w:val="16"/>
      <w:szCs w:val="16"/>
    </w:rPr>
  </w:style>
  <w:style w:type="paragraph" w:styleId="CommentText">
    <w:name w:val="annotation text"/>
    <w:basedOn w:val="Normal"/>
    <w:link w:val="CommentTextChar"/>
    <w:semiHidden/>
    <w:unhideWhenUsed/>
    <w:rsid w:val="0001027C"/>
    <w:rPr>
      <w:sz w:val="20"/>
      <w:szCs w:val="20"/>
    </w:rPr>
  </w:style>
  <w:style w:type="character" w:customStyle="1" w:styleId="CommentTextChar">
    <w:name w:val="Comment Text Char"/>
    <w:basedOn w:val="DefaultParagraphFont"/>
    <w:link w:val="CommentText"/>
    <w:semiHidden/>
    <w:rsid w:val="0001027C"/>
  </w:style>
  <w:style w:type="paragraph" w:styleId="CommentSubject">
    <w:name w:val="annotation subject"/>
    <w:basedOn w:val="CommentText"/>
    <w:next w:val="CommentText"/>
    <w:link w:val="CommentSubjectChar"/>
    <w:semiHidden/>
    <w:unhideWhenUsed/>
    <w:rsid w:val="0001027C"/>
    <w:rPr>
      <w:b/>
      <w:bCs/>
    </w:rPr>
  </w:style>
  <w:style w:type="character" w:customStyle="1" w:styleId="CommentSubjectChar">
    <w:name w:val="Comment Subject Char"/>
    <w:basedOn w:val="CommentTextChar"/>
    <w:link w:val="CommentSubject"/>
    <w:semiHidden/>
    <w:rsid w:val="0001027C"/>
    <w:rPr>
      <w:b/>
      <w:bCs/>
    </w:rPr>
  </w:style>
  <w:style w:type="paragraph" w:styleId="BalloonText">
    <w:name w:val="Balloon Text"/>
    <w:basedOn w:val="Normal"/>
    <w:link w:val="BalloonTextChar"/>
    <w:semiHidden/>
    <w:unhideWhenUsed/>
    <w:rsid w:val="0001027C"/>
    <w:rPr>
      <w:rFonts w:ascii="Segoe UI" w:hAnsi="Segoe UI" w:cs="Segoe UI"/>
      <w:sz w:val="18"/>
      <w:szCs w:val="18"/>
    </w:rPr>
  </w:style>
  <w:style w:type="character" w:customStyle="1" w:styleId="BalloonTextChar">
    <w:name w:val="Balloon Text Char"/>
    <w:basedOn w:val="DefaultParagraphFont"/>
    <w:link w:val="BalloonText"/>
    <w:semiHidden/>
    <w:rsid w:val="000102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F95EE-5657-4725-9DBB-B480B539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2025-09-12T20:11:00Z</dcterms:created>
  <dcterms:modified xsi:type="dcterms:W3CDTF">2025-09-12T20:15:00Z</dcterms:modified>
</cp:coreProperties>
</file>