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696C" w14:textId="77777777" w:rsidR="00CB5276" w:rsidRDefault="009942D6" w:rsidP="009942D6">
      <w:pPr>
        <w:pStyle w:val="OrderHeading"/>
      </w:pPr>
      <w:r>
        <w:t>BEFORE THE FLORIDA PUBLIC SERVICE COMMISSION</w:t>
      </w:r>
    </w:p>
    <w:p w14:paraId="7E343BC8" w14:textId="77777777" w:rsidR="009942D6" w:rsidRDefault="009942D6" w:rsidP="009942D6">
      <w:pPr>
        <w:pStyle w:val="OrderBody"/>
      </w:pPr>
    </w:p>
    <w:p w14:paraId="34E668E9" w14:textId="77777777" w:rsidR="009942D6" w:rsidRDefault="009942D6" w:rsidP="009942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42D6" w:rsidRPr="00C63FCF" w14:paraId="7AB02BBC" w14:textId="77777777" w:rsidTr="00C63FCF">
        <w:trPr>
          <w:trHeight w:val="828"/>
        </w:trPr>
        <w:tc>
          <w:tcPr>
            <w:tcW w:w="4788" w:type="dxa"/>
            <w:tcBorders>
              <w:bottom w:val="single" w:sz="8" w:space="0" w:color="auto"/>
              <w:right w:val="double" w:sz="6" w:space="0" w:color="auto"/>
            </w:tcBorders>
            <w:shd w:val="clear" w:color="auto" w:fill="auto"/>
          </w:tcPr>
          <w:p w14:paraId="065372DD" w14:textId="77777777" w:rsidR="009942D6" w:rsidRDefault="009942D6"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4A6A2EF3" w14:textId="77777777" w:rsidR="009942D6" w:rsidRDefault="009942D6" w:rsidP="009942D6">
            <w:pPr>
              <w:pStyle w:val="OrderBody"/>
            </w:pPr>
            <w:r>
              <w:t xml:space="preserve">DOCKET NO. </w:t>
            </w:r>
            <w:bookmarkStart w:id="1" w:name="SSDocketNo"/>
            <w:bookmarkEnd w:id="1"/>
            <w:r>
              <w:t>20250011-EI</w:t>
            </w:r>
          </w:p>
          <w:p w14:paraId="6697EFA0" w14:textId="11CB84FE" w:rsidR="009942D6" w:rsidRDefault="009942D6" w:rsidP="00C63FCF">
            <w:pPr>
              <w:pStyle w:val="OrderBody"/>
              <w:tabs>
                <w:tab w:val="center" w:pos="4320"/>
                <w:tab w:val="right" w:pos="8640"/>
              </w:tabs>
              <w:jc w:val="left"/>
            </w:pPr>
            <w:r>
              <w:t xml:space="preserve">ORDER NO. </w:t>
            </w:r>
            <w:bookmarkStart w:id="2" w:name="OrderNo0344"/>
            <w:r w:rsidR="00F06DF3">
              <w:t>PSC-2025-0344-PCO-EI</w:t>
            </w:r>
            <w:bookmarkEnd w:id="2"/>
          </w:p>
          <w:p w14:paraId="6DD0B4AC" w14:textId="45D33B9C" w:rsidR="009942D6" w:rsidRDefault="009942D6" w:rsidP="00C63FCF">
            <w:pPr>
              <w:pStyle w:val="OrderBody"/>
              <w:tabs>
                <w:tab w:val="center" w:pos="4320"/>
                <w:tab w:val="right" w:pos="8640"/>
              </w:tabs>
              <w:jc w:val="left"/>
            </w:pPr>
            <w:r>
              <w:t xml:space="preserve">ISSUED: </w:t>
            </w:r>
            <w:r w:rsidR="00F06DF3">
              <w:t>September 12, 2025</w:t>
            </w:r>
          </w:p>
        </w:tc>
      </w:tr>
    </w:tbl>
    <w:p w14:paraId="538AB1DF" w14:textId="77777777" w:rsidR="009942D6" w:rsidRDefault="009942D6" w:rsidP="009942D6"/>
    <w:p w14:paraId="0AD6AB7B" w14:textId="77777777" w:rsidR="009942D6" w:rsidRDefault="009942D6" w:rsidP="009942D6"/>
    <w:p w14:paraId="687D3DA3" w14:textId="4E458ECD" w:rsidR="00CB5276" w:rsidRDefault="009942D6" w:rsidP="009942D6">
      <w:pPr>
        <w:pStyle w:val="CenterUnderline"/>
      </w:pPr>
      <w:bookmarkStart w:id="3" w:name="Commissioners"/>
      <w:bookmarkEnd w:id="3"/>
      <w:r>
        <w:t>ORDER</w:t>
      </w:r>
      <w:bookmarkStart w:id="4" w:name="OrderTitle"/>
      <w:r>
        <w:t xml:space="preserve"> DENYING THE FLORIDA INDUSTRIAL POWER USERS GROUP’S MOTION TO QUASH FLORIDA RISING’S, LEAGUE OF UNITED LATIN AMERICAN CITIZENS’ </w:t>
      </w:r>
      <w:r w:rsidR="00451E4F">
        <w:t>AND</w:t>
      </w:r>
      <w:r>
        <w:t xml:space="preserve"> ENVIRONMENTAL CONFEDERATION OF SOUTHWEST FLORIDA’S FIRST SET OF INTERROGATORIES (NOS. 1-7) </w:t>
      </w:r>
      <w:r w:rsidR="00451E4F">
        <w:t>AND</w:t>
      </w:r>
      <w:r>
        <w:t xml:space="preserve"> FIRST REQUEST FOR PRODUCTION OF DOCUMENTS TO FLORIDA INDUSTRIAL POWER USERS GROUP </w:t>
      </w:r>
      <w:bookmarkEnd w:id="4"/>
    </w:p>
    <w:p w14:paraId="27B279A6" w14:textId="5B28C6F8" w:rsidR="009942D6" w:rsidRDefault="009942D6" w:rsidP="009942D6">
      <w:pPr>
        <w:pStyle w:val="CenterUnderline"/>
      </w:pPr>
    </w:p>
    <w:p w14:paraId="414FCFDF" w14:textId="77777777" w:rsidR="00432542" w:rsidRDefault="00432542" w:rsidP="006F2706">
      <w:pPr>
        <w:jc w:val="both"/>
      </w:pPr>
      <w:bookmarkStart w:id="5" w:name="OrderText"/>
      <w:bookmarkEnd w:id="5"/>
    </w:p>
    <w:p w14:paraId="2DE675D4" w14:textId="18A79C99" w:rsidR="00432542" w:rsidRPr="00617815" w:rsidRDefault="00432542" w:rsidP="00617815">
      <w:pPr>
        <w:jc w:val="center"/>
        <w:rPr>
          <w:u w:val="single"/>
        </w:rPr>
      </w:pPr>
      <w:r w:rsidRPr="00617815">
        <w:rPr>
          <w:u w:val="single"/>
        </w:rPr>
        <w:t>B</w:t>
      </w:r>
      <w:r w:rsidR="00617815" w:rsidRPr="00617815">
        <w:rPr>
          <w:u w:val="single"/>
        </w:rPr>
        <w:t>ackground</w:t>
      </w:r>
    </w:p>
    <w:p w14:paraId="7D431B5B" w14:textId="77777777" w:rsidR="00432542" w:rsidRDefault="00432542" w:rsidP="006F2706">
      <w:pPr>
        <w:jc w:val="both"/>
      </w:pPr>
    </w:p>
    <w:p w14:paraId="1BFF24F0" w14:textId="7CF7117D" w:rsidR="0046331B" w:rsidRDefault="006F2706" w:rsidP="002B07C5">
      <w:pPr>
        <w:ind w:firstLine="720"/>
        <w:jc w:val="both"/>
      </w:pPr>
      <w:r>
        <w:t>O</w:t>
      </w:r>
      <w:r w:rsidR="00545873">
        <w:t>n June 25, 2025, Florida Rising,</w:t>
      </w:r>
      <w:r>
        <w:t xml:space="preserve"> the League of United Latin American Citizens, and the Environmental Confederation of  Southwest Florida (collectively FEL) served its First Set of Interrogatories (Nos. 1-7) and First Request for Production of Documents to </w:t>
      </w:r>
      <w:r w:rsidR="002B07C5">
        <w:t>the Florida Industrial Power Users Group (</w:t>
      </w:r>
      <w:r>
        <w:t>FIPUG</w:t>
      </w:r>
      <w:r w:rsidR="002B07C5">
        <w:t>)</w:t>
      </w:r>
      <w:r w:rsidR="00ED70BD">
        <w:t xml:space="preserve"> (Contested Discovery)</w:t>
      </w:r>
      <w:r w:rsidR="002B07C5">
        <w:t>.</w:t>
      </w:r>
      <w:r>
        <w:t xml:space="preserve"> </w:t>
      </w:r>
      <w:r w:rsidR="00FE5FB2">
        <w:t xml:space="preserve">A </w:t>
      </w:r>
      <w:r w:rsidR="00545873">
        <w:t>Notice of Service was filed with the Commission that same day.</w:t>
      </w:r>
      <w:r w:rsidR="00545873">
        <w:rPr>
          <w:rStyle w:val="FootnoteReference"/>
        </w:rPr>
        <w:footnoteReference w:id="1"/>
      </w:r>
      <w:r w:rsidR="00545873">
        <w:t xml:space="preserve"> </w:t>
      </w:r>
      <w:r>
        <w:t xml:space="preserve">Under the Order Establishing Procedure (OEP), </w:t>
      </w:r>
      <w:r w:rsidR="00A66CCC">
        <w:t>r</w:t>
      </w:r>
      <w:r>
        <w:t xml:space="preserve">esponses to the </w:t>
      </w:r>
      <w:r w:rsidRPr="00ED70BD">
        <w:t>Contested Discover</w:t>
      </w:r>
      <w:r>
        <w:t xml:space="preserve">y were due </w:t>
      </w:r>
      <w:r w:rsidR="006A22CB">
        <w:t>within 20 days of the date the request was received</w:t>
      </w:r>
      <w:r>
        <w:t>.</w:t>
      </w:r>
      <w:r w:rsidR="00545873">
        <w:rPr>
          <w:rStyle w:val="FootnoteReference"/>
        </w:rPr>
        <w:footnoteReference w:id="2"/>
      </w:r>
      <w:r>
        <w:t xml:space="preserve"> </w:t>
      </w:r>
      <w:r w:rsidR="0046331B">
        <w:t>The OEP further established that all discovery was to be completed by July 23, 2025.</w:t>
      </w:r>
    </w:p>
    <w:p w14:paraId="2014826B" w14:textId="77777777" w:rsidR="0046331B" w:rsidRDefault="0046331B" w:rsidP="002B07C5">
      <w:pPr>
        <w:ind w:firstLine="720"/>
        <w:jc w:val="both"/>
      </w:pPr>
    </w:p>
    <w:p w14:paraId="127D6DFE" w14:textId="60FAA4FD" w:rsidR="006F2706" w:rsidRDefault="00545873" w:rsidP="002B07C5">
      <w:pPr>
        <w:ind w:firstLine="720"/>
        <w:jc w:val="both"/>
      </w:pPr>
      <w:r>
        <w:t>On A</w:t>
      </w:r>
      <w:r w:rsidR="00615D3D">
        <w:t>ugust 8</w:t>
      </w:r>
      <w:r>
        <w:t>, 2025,</w:t>
      </w:r>
      <w:r w:rsidR="00615D3D">
        <w:t xml:space="preserve"> Florida Power &amp; Light Company </w:t>
      </w:r>
      <w:r w:rsidR="002B07C5">
        <w:t>(</w:t>
      </w:r>
      <w:r w:rsidR="00615D3D">
        <w:t>FPL)</w:t>
      </w:r>
      <w:r>
        <w:t xml:space="preserve"> </w:t>
      </w:r>
      <w:r w:rsidR="00615D3D">
        <w:t xml:space="preserve">filed a Notice of Settlement in Principle and Joint Motion to Suspend Schedule and Amend Procedural Order.  </w:t>
      </w:r>
      <w:r w:rsidR="00ED70BD">
        <w:t xml:space="preserve">On August 11, 2025, the first day of the hearing scheduled by the OEP, the Commission </w:t>
      </w:r>
      <w:r w:rsidR="00C1032B">
        <w:t>heard argument from the parties and granted</w:t>
      </w:r>
      <w:r w:rsidR="00ED70BD">
        <w:t xml:space="preserve"> </w:t>
      </w:r>
      <w:r w:rsidR="00C1032B">
        <w:t>t</w:t>
      </w:r>
      <w:r w:rsidR="00615D3D">
        <w:t>he Motion to Suspend Schedule</w:t>
      </w:r>
      <w:r w:rsidR="00C1032B">
        <w:t>.</w:t>
      </w:r>
      <w:r w:rsidR="00615D3D">
        <w:rPr>
          <w:rStyle w:val="FootnoteReference"/>
        </w:rPr>
        <w:footnoteReference w:id="3"/>
      </w:r>
      <w:r w:rsidR="00615D3D">
        <w:t xml:space="preserve"> </w:t>
      </w:r>
      <w:r w:rsidR="00C1032B">
        <w:t>S</w:t>
      </w:r>
      <w:r w:rsidR="00615D3D">
        <w:t>ubsequently</w:t>
      </w:r>
      <w:r w:rsidR="00C1032B">
        <w:t>,</w:t>
      </w:r>
      <w:r w:rsidR="00615D3D">
        <w:t xml:space="preserve"> a First Order Revising Order Establishing Procedure (Revised OEP) was issued which established a </w:t>
      </w:r>
      <w:r w:rsidR="00C1032B">
        <w:t xml:space="preserve">new hearing schedule, and a </w:t>
      </w:r>
      <w:r w:rsidR="00615D3D">
        <w:t>new deadline for discovery actions to be complete of October 3, 2025.</w:t>
      </w:r>
      <w:r w:rsidR="00615D3D">
        <w:rPr>
          <w:rStyle w:val="FootnoteReference"/>
        </w:rPr>
        <w:footnoteReference w:id="4"/>
      </w:r>
      <w:r w:rsidR="00615D3D">
        <w:t xml:space="preserve"> Contained within the Revised OEP is a direction that “Discovery shall be limited to the issues in </w:t>
      </w:r>
      <w:r w:rsidR="006E3563">
        <w:t>the Settlement</w:t>
      </w:r>
      <w:r w:rsidR="00615D3D">
        <w:t xml:space="preserve"> Agreement.”</w:t>
      </w:r>
      <w:r w:rsidR="00615D3D">
        <w:rPr>
          <w:rStyle w:val="FootnoteReference"/>
        </w:rPr>
        <w:footnoteReference w:id="5"/>
      </w:r>
      <w:r w:rsidR="00615D3D">
        <w:t xml:space="preserve"> On August 22, 2025, FEL served </w:t>
      </w:r>
      <w:r w:rsidR="006A22CB">
        <w:t xml:space="preserve">its </w:t>
      </w:r>
      <w:r w:rsidR="00615D3D">
        <w:t xml:space="preserve">Renewed First Set of </w:t>
      </w:r>
      <w:r w:rsidR="006E3563">
        <w:t>Interrogatories</w:t>
      </w:r>
      <w:r w:rsidR="00615D3D">
        <w:t xml:space="preserve"> (Nos. 1-7) </w:t>
      </w:r>
      <w:r w:rsidR="000F32C6">
        <w:t xml:space="preserve">and </w:t>
      </w:r>
      <w:r w:rsidR="006A22CB">
        <w:t xml:space="preserve">its </w:t>
      </w:r>
      <w:r w:rsidR="000F32C6">
        <w:t xml:space="preserve">Renewed First Request for </w:t>
      </w:r>
      <w:r w:rsidR="00FE5FB2">
        <w:t>Production</w:t>
      </w:r>
      <w:r w:rsidR="000F32C6">
        <w:t xml:space="preserve"> of Documents (Nos. 1-3)</w:t>
      </w:r>
      <w:r w:rsidR="006A22CB">
        <w:t xml:space="preserve"> </w:t>
      </w:r>
      <w:r w:rsidR="00615D3D">
        <w:t xml:space="preserve">to </w:t>
      </w:r>
      <w:r w:rsidR="00A66CCC">
        <w:t>FIPUG</w:t>
      </w:r>
      <w:r w:rsidR="00615D3D">
        <w:t xml:space="preserve"> (</w:t>
      </w:r>
      <w:r w:rsidR="006A22CB">
        <w:t>collectively</w:t>
      </w:r>
      <w:r w:rsidR="00451E4F">
        <w:t>,</w:t>
      </w:r>
      <w:r w:rsidR="006A22CB">
        <w:t xml:space="preserve"> </w:t>
      </w:r>
      <w:r w:rsidR="00615D3D">
        <w:t>Renewed Contested Discovery).</w:t>
      </w:r>
      <w:r w:rsidR="009C190D">
        <w:rPr>
          <w:rStyle w:val="FootnoteReference"/>
        </w:rPr>
        <w:footnoteReference w:id="6"/>
      </w:r>
      <w:r w:rsidR="00615D3D">
        <w:t xml:space="preserve"> </w:t>
      </w:r>
      <w:r w:rsidR="006805E2">
        <w:t xml:space="preserve">The Renewed Contested Discovery seeks information regarding the organizational structure </w:t>
      </w:r>
      <w:r w:rsidR="00B14B0D">
        <w:t xml:space="preserve">and membership </w:t>
      </w:r>
      <w:r w:rsidR="00313E29">
        <w:t>o</w:t>
      </w:r>
      <w:r w:rsidR="00B14B0D">
        <w:t>f FIPUG.</w:t>
      </w:r>
    </w:p>
    <w:p w14:paraId="70F16D88" w14:textId="77777777" w:rsidR="006A4D3D" w:rsidRDefault="006A4D3D" w:rsidP="006F2706">
      <w:pPr>
        <w:jc w:val="both"/>
      </w:pPr>
    </w:p>
    <w:p w14:paraId="7903E673" w14:textId="5577BF40" w:rsidR="006A4D3D" w:rsidRDefault="006A4D3D" w:rsidP="006A4D3D">
      <w:pPr>
        <w:jc w:val="both"/>
      </w:pPr>
      <w:r w:rsidRPr="00463EB5">
        <w:tab/>
      </w:r>
      <w:r>
        <w:t xml:space="preserve">On August 29, 2025, </w:t>
      </w:r>
      <w:r w:rsidR="002B07C5">
        <w:t xml:space="preserve">FIPUG </w:t>
      </w:r>
      <w:r>
        <w:t xml:space="preserve">filed </w:t>
      </w:r>
      <w:r w:rsidR="00ED70BD">
        <w:t>a</w:t>
      </w:r>
      <w:r>
        <w:t xml:space="preserve"> Motion to Quash </w:t>
      </w:r>
      <w:r w:rsidR="00ED70BD">
        <w:t>FEL’s Renewed Contested Discovery</w:t>
      </w:r>
      <w:r>
        <w:t xml:space="preserve">. On September 2, 2025, </w:t>
      </w:r>
      <w:r w:rsidR="006A22CB">
        <w:t>FEL</w:t>
      </w:r>
      <w:r>
        <w:t xml:space="preserve"> filed its Response in Opposition to FIPUG’s Motion to Quash (Response).</w:t>
      </w:r>
      <w:r w:rsidR="00617815">
        <w:t xml:space="preserve"> Both the Motion to Quash and the Response acknowledge an informal </w:t>
      </w:r>
      <w:r w:rsidR="00617815">
        <w:lastRenderedPageBreak/>
        <w:t>agreement between the parties to extend the deadline to respond</w:t>
      </w:r>
      <w:r w:rsidR="0046331B">
        <w:t xml:space="preserve"> to the Contested Discovery</w:t>
      </w:r>
      <w:r w:rsidR="00617815">
        <w:t xml:space="preserve"> until the discovery deadline established by the OEP of July 23, 2025.</w:t>
      </w:r>
      <w:r w:rsidR="00617815">
        <w:rPr>
          <w:rStyle w:val="FootnoteReference"/>
        </w:rPr>
        <w:footnoteReference w:id="7"/>
      </w:r>
    </w:p>
    <w:p w14:paraId="25ACC749" w14:textId="77777777" w:rsidR="006A4D3D" w:rsidRDefault="006A4D3D" w:rsidP="006A4D3D">
      <w:pPr>
        <w:jc w:val="both"/>
      </w:pPr>
    </w:p>
    <w:p w14:paraId="7065F895" w14:textId="77777777" w:rsidR="006A4D3D" w:rsidRPr="00617815" w:rsidRDefault="006A4D3D" w:rsidP="00617815">
      <w:pPr>
        <w:jc w:val="center"/>
        <w:rPr>
          <w:u w:val="single"/>
        </w:rPr>
      </w:pPr>
      <w:r w:rsidRPr="00617815">
        <w:rPr>
          <w:u w:val="single"/>
        </w:rPr>
        <w:t>Analysis and Decision</w:t>
      </w:r>
    </w:p>
    <w:p w14:paraId="12FE6DC2" w14:textId="77777777" w:rsidR="006A4D3D" w:rsidRDefault="006A4D3D" w:rsidP="006A4D3D">
      <w:pPr>
        <w:jc w:val="both"/>
      </w:pPr>
    </w:p>
    <w:p w14:paraId="12D86613" w14:textId="404D262E" w:rsidR="00617815" w:rsidRDefault="00617815" w:rsidP="00E14EBD">
      <w:pPr>
        <w:ind w:firstLine="720"/>
        <w:jc w:val="both"/>
      </w:pPr>
      <w:r>
        <w:t xml:space="preserve">FIPUG points to Rule 1.280, Florida </w:t>
      </w:r>
      <w:r w:rsidR="005D5EFF">
        <w:t>Rules of Civil Procedure (Fla. R. Civ. P.)</w:t>
      </w:r>
      <w:r>
        <w:t>, as grounds for the relief requested in its Motion to Quash.</w:t>
      </w:r>
      <w:r w:rsidR="005D5EFF">
        <w:rPr>
          <w:rStyle w:val="FootnoteReference"/>
        </w:rPr>
        <w:footnoteReference w:id="8"/>
      </w:r>
      <w:r>
        <w:t xml:space="preserve"> FIPUG states that FEL agreed to grant FIPUG an extension of time through July 23, 2025</w:t>
      </w:r>
      <w:r w:rsidR="00ED70BD">
        <w:t>,</w:t>
      </w:r>
      <w:r>
        <w:t xml:space="preserve"> and that no further discussion or activity relating to FEL’s discovery occurred until the afternoon of August 6, 2025, </w:t>
      </w:r>
      <w:r w:rsidR="006E3563">
        <w:t>only</w:t>
      </w:r>
      <w:r>
        <w:t xml:space="preserve"> two business days before the beginning of the rate case and two weeks after the discovery cutoff date.</w:t>
      </w:r>
      <w:r>
        <w:rPr>
          <w:rStyle w:val="FootnoteReference"/>
        </w:rPr>
        <w:footnoteReference w:id="9"/>
      </w:r>
      <w:r>
        <w:t xml:space="preserve"> FIPUG argues that this passage of time constitutes a waiver of FEL’s rights to pursue the Contested Discovery. </w:t>
      </w:r>
      <w:r w:rsidR="006E3563">
        <w:t>FIPUG also argues that</w:t>
      </w:r>
      <w:r w:rsidR="00FF5000">
        <w:t>, inasmuch as the Renewed Contested Discovery relates to standing,</w:t>
      </w:r>
      <w:r w:rsidR="006E3563">
        <w:t xml:space="preserve"> FEL had the opportunity to depose </w:t>
      </w:r>
      <w:r w:rsidR="00FF5000">
        <w:t xml:space="preserve">FIPUG’s </w:t>
      </w:r>
      <w:r w:rsidR="006E3563">
        <w:t xml:space="preserve">witness who filed testimony </w:t>
      </w:r>
      <w:r w:rsidR="00FF5000">
        <w:t>on that issue</w:t>
      </w:r>
      <w:r w:rsidR="006E3563">
        <w:t>, and that FIPUG has previously been granted standing in Public Service Commission proceedings. Additionally, FIPUG argues that the Revised OEP created only a limited window for narrow discovery on new issues of fact or law that may have emerged as a result of the settlement, and not for discovery that could have been previously pursued but was not.</w:t>
      </w:r>
      <w:r w:rsidR="00FC4293">
        <w:rPr>
          <w:rStyle w:val="FootnoteReference"/>
        </w:rPr>
        <w:footnoteReference w:id="10"/>
      </w:r>
      <w:r w:rsidR="006E3563">
        <w:t xml:space="preserve">  </w:t>
      </w:r>
    </w:p>
    <w:p w14:paraId="52C87A27" w14:textId="03AC59AF" w:rsidR="00EE0CC1" w:rsidRDefault="00EE0CC1" w:rsidP="006A4D3D">
      <w:pPr>
        <w:jc w:val="both"/>
      </w:pPr>
    </w:p>
    <w:p w14:paraId="05F92E93" w14:textId="433B8CEE" w:rsidR="00EE0CC1" w:rsidRDefault="00EE0CC1" w:rsidP="00E14EBD">
      <w:pPr>
        <w:ind w:firstLine="720"/>
        <w:jc w:val="both"/>
      </w:pPr>
      <w:r>
        <w:t xml:space="preserve">In its Response, FEL </w:t>
      </w:r>
      <w:r w:rsidR="006A22CB">
        <w:t>states</w:t>
      </w:r>
      <w:r>
        <w:t xml:space="preserve"> that the </w:t>
      </w:r>
      <w:r w:rsidR="006A22CB">
        <w:t xml:space="preserve">“the baseline test for discovery is </w:t>
      </w:r>
      <w:r w:rsidR="00A66CCC">
        <w:t>al</w:t>
      </w:r>
      <w:r w:rsidR="00FE5FB2">
        <w:t>ways</w:t>
      </w:r>
      <w:r w:rsidR="006A22CB">
        <w:t xml:space="preserve"> relevance to the disputed issues of the underlying action.”</w:t>
      </w:r>
      <w:r w:rsidR="006A22CB">
        <w:rPr>
          <w:rStyle w:val="FootnoteReference"/>
        </w:rPr>
        <w:footnoteReference w:id="11"/>
      </w:r>
      <w:r w:rsidR="006A22CB">
        <w:t xml:space="preserve"> FEL argues that the </w:t>
      </w:r>
      <w:r>
        <w:t>Motion to Quash is untimely and that FIPUG’s own failure to file a Motion for Protective Order</w:t>
      </w:r>
      <w:r w:rsidR="006009E2">
        <w:t xml:space="preserve"> in turn constitutes a waiver of any objection to the discovery.</w:t>
      </w:r>
      <w:r>
        <w:t xml:space="preserve"> FEL also argues that regardless of whether or not the initial Contested Discovery was waived, the Renewed Contested Discovery remains relevant and </w:t>
      </w:r>
      <w:r w:rsidR="006A22CB">
        <w:t xml:space="preserve">timely and </w:t>
      </w:r>
      <w:r>
        <w:t>therefore should be an</w:t>
      </w:r>
      <w:r w:rsidR="006009E2">
        <w:t>s</w:t>
      </w:r>
      <w:r>
        <w:t>wered.</w:t>
      </w:r>
      <w:r w:rsidR="00FC4293">
        <w:rPr>
          <w:rStyle w:val="FootnoteReference"/>
        </w:rPr>
        <w:footnoteReference w:id="12"/>
      </w:r>
      <w:r w:rsidR="00FB32B6">
        <w:t xml:space="preserve"> FEL argues that FIPUG was only provisionally granted standing and that FIPUG’s ability to participate in this proceeding remains within the scope of the Revised OEP, as well as its ability to bind other parties, enter into contracts, and have those contracts enforced.</w:t>
      </w:r>
      <w:r w:rsidR="00FB32B6">
        <w:rPr>
          <w:rStyle w:val="FootnoteReference"/>
        </w:rPr>
        <w:footnoteReference w:id="13"/>
      </w:r>
    </w:p>
    <w:p w14:paraId="0BEF60FC" w14:textId="19FA38C5" w:rsidR="0067757D" w:rsidRDefault="0067757D" w:rsidP="006A4D3D">
      <w:pPr>
        <w:jc w:val="both"/>
      </w:pPr>
    </w:p>
    <w:p w14:paraId="5BC5963C" w14:textId="5B0AEB54" w:rsidR="006009E2" w:rsidRDefault="0067757D" w:rsidP="00E14EBD">
      <w:pPr>
        <w:ind w:firstLine="720"/>
        <w:jc w:val="both"/>
      </w:pPr>
      <w:r>
        <w:t>FIPUG points to no authority t</w:t>
      </w:r>
      <w:r w:rsidR="00414CFB">
        <w:t>o support its assertion that</w:t>
      </w:r>
      <w:r>
        <w:t xml:space="preserve"> FEL has waived its right to a response to the original Contested Discovery. On the other hand, FEL cites multiple decisions which support its argument that FIPUG’s failure to object to the discovery in a timely fashion constitutes a waiver of its objection.</w:t>
      </w:r>
      <w:r w:rsidR="00414CFB">
        <w:rPr>
          <w:rStyle w:val="FootnoteReference"/>
        </w:rPr>
        <w:footnoteReference w:id="14"/>
      </w:r>
      <w:r>
        <w:t xml:space="preserve"> </w:t>
      </w:r>
      <w:r w:rsidR="006805E2">
        <w:t>Additionally</w:t>
      </w:r>
      <w:r>
        <w:t xml:space="preserve">, </w:t>
      </w:r>
      <w:r w:rsidR="006009E2">
        <w:t>Rule 1.280</w:t>
      </w:r>
      <w:r w:rsidR="000F32C6">
        <w:t>(c)</w:t>
      </w:r>
      <w:r w:rsidR="006009E2">
        <w:t>, F</w:t>
      </w:r>
      <w:r w:rsidR="005D5EFF">
        <w:t>la. R. Civ. P.</w:t>
      </w:r>
      <w:r w:rsidR="006009E2">
        <w:t>, states:</w:t>
      </w:r>
    </w:p>
    <w:p w14:paraId="08989FEF" w14:textId="77777777" w:rsidR="006009E2" w:rsidRDefault="006009E2" w:rsidP="006A4D3D">
      <w:pPr>
        <w:jc w:val="both"/>
      </w:pPr>
    </w:p>
    <w:p w14:paraId="538808B4" w14:textId="04BC3D4B" w:rsidR="00AB6B0E" w:rsidRDefault="006009E2" w:rsidP="00C24E2A">
      <w:pPr>
        <w:ind w:left="720" w:right="720"/>
        <w:jc w:val="both"/>
        <w:rPr>
          <w:shd w:val="clear" w:color="auto" w:fill="FFFFFF"/>
        </w:rPr>
      </w:pPr>
      <w:r w:rsidRPr="006009E2">
        <w:rPr>
          <w:shd w:val="clear" w:color="auto" w:fill="FFFFFF"/>
        </w:rPr>
        <w:lastRenderedPageBreak/>
        <w:t>Upon motion by a party or by the person from whom discovery is sought, and for good cause shown, the court in which the action is pending may make any order to protect a party or person from annoyance, embarrassment, oppression, or undue burden or expense that justice requires, including one or more of the following: (1) that the discovery not be had</w:t>
      </w:r>
      <w:r w:rsidR="006912EF">
        <w:rPr>
          <w:shd w:val="clear" w:color="auto" w:fill="FFFFFF"/>
        </w:rPr>
        <w:t>;</w:t>
      </w:r>
      <w:r w:rsidR="00AB6B0E">
        <w:rPr>
          <w:shd w:val="clear" w:color="auto" w:fill="FFFFFF"/>
        </w:rPr>
        <w:t xml:space="preserve"> . . . </w:t>
      </w:r>
      <w:r w:rsidR="00951965" w:rsidRPr="006009E2">
        <w:rPr>
          <w:shd w:val="clear" w:color="auto" w:fill="FFFFFF"/>
        </w:rPr>
        <w:t>If the motion for a protective order is denied in whole or in part, the court may, on such terms and conditions as are just, order that any party or person provide or permit discovery.</w:t>
      </w:r>
      <w:r w:rsidR="00951965">
        <w:rPr>
          <w:shd w:val="clear" w:color="auto" w:fill="FFFFFF"/>
        </w:rPr>
        <w:t xml:space="preserve"> </w:t>
      </w:r>
    </w:p>
    <w:p w14:paraId="1FB92D87" w14:textId="77777777" w:rsidR="00AB6B0E" w:rsidRDefault="00AB6B0E" w:rsidP="006805E2">
      <w:pPr>
        <w:jc w:val="both"/>
        <w:rPr>
          <w:shd w:val="clear" w:color="auto" w:fill="FFFFFF"/>
        </w:rPr>
      </w:pPr>
    </w:p>
    <w:p w14:paraId="2F674886" w14:textId="500F3FD0" w:rsidR="00EE0CC1" w:rsidRDefault="005C5993" w:rsidP="006805E2">
      <w:pPr>
        <w:jc w:val="both"/>
      </w:pPr>
      <w:r>
        <w:t xml:space="preserve">It is </w:t>
      </w:r>
      <w:r w:rsidR="00951965">
        <w:t xml:space="preserve">therefore </w:t>
      </w:r>
      <w:r>
        <w:t>within the Prehearing Officer’s discretion to protect a party or person from annoyance, embarrassment, oppression, or undue burden or expense under Rule 1.280(</w:t>
      </w:r>
      <w:r w:rsidR="006912EF">
        <w:t>d</w:t>
      </w:r>
      <w:r>
        <w:t xml:space="preserve">), </w:t>
      </w:r>
      <w:r w:rsidR="005D5EFF">
        <w:t>Fla. R. Civ. P.</w:t>
      </w:r>
      <w:r>
        <w:t xml:space="preserve">, if good cause is shown. </w:t>
      </w:r>
      <w:r w:rsidR="0036029A">
        <w:t xml:space="preserve">FIPUG has neither alleged nor demonstrated that the Contested Discovery or Renewed Contested Discovery </w:t>
      </w:r>
      <w:r w:rsidR="000F32C6">
        <w:t>presents an annoyance, embarrassment, oppression, or undue burden or expense,</w:t>
      </w:r>
      <w:r w:rsidR="0036029A">
        <w:t xml:space="preserve"> only that the Revised OEP is not intended for the pursuit of discovery that could</w:t>
      </w:r>
      <w:r w:rsidR="000F32C6">
        <w:t xml:space="preserve"> </w:t>
      </w:r>
      <w:r w:rsidR="0036029A">
        <w:t>have been previously pursued but was not.</w:t>
      </w:r>
      <w:r w:rsidR="000F32C6">
        <w:t xml:space="preserve"> FIPUG has</w:t>
      </w:r>
      <w:r w:rsidR="0067757D">
        <w:t xml:space="preserve"> likewise</w:t>
      </w:r>
      <w:r w:rsidR="000F32C6">
        <w:t xml:space="preserve"> not alleged that the Contested Discovery is not relevant, only that the information FEL seeks could possibly have been obtained </w:t>
      </w:r>
      <w:r w:rsidR="0067757D">
        <w:t xml:space="preserve">previously or </w:t>
      </w:r>
      <w:r w:rsidR="000F32C6">
        <w:t>through other avenues. Accordingly</w:t>
      </w:r>
      <w:r w:rsidR="006A22CB">
        <w:t>,</w:t>
      </w:r>
      <w:r w:rsidR="000F32C6">
        <w:t xml:space="preserve"> FIPUG has failed to demonstrate the good cause necessary for relief under Rule 1.280(</w:t>
      </w:r>
      <w:r w:rsidR="006912EF">
        <w:t>d</w:t>
      </w:r>
      <w:r w:rsidR="000F32C6">
        <w:t xml:space="preserve">), </w:t>
      </w:r>
      <w:r w:rsidR="005D5EFF">
        <w:t>Fla. R. Civ. P.</w:t>
      </w:r>
    </w:p>
    <w:p w14:paraId="352F13E0" w14:textId="27B5C10F" w:rsidR="003C2AB2" w:rsidRDefault="003C2AB2" w:rsidP="0066269F">
      <w:pPr>
        <w:jc w:val="both"/>
      </w:pPr>
    </w:p>
    <w:p w14:paraId="02BC146D" w14:textId="5582E963" w:rsidR="003C2AB2" w:rsidRDefault="003C2AB2" w:rsidP="0066269F">
      <w:pPr>
        <w:jc w:val="both"/>
      </w:pPr>
      <w:r>
        <w:tab/>
        <w:t>Having considered the foregoing, I find that FIPUG’s Motion to Quash shall be denied. Further, FIPUG shall respond to the Renewed Contested Discovery by September 1</w:t>
      </w:r>
      <w:r w:rsidR="00313E29">
        <w:t>9</w:t>
      </w:r>
      <w:r>
        <w:t>, 2025.</w:t>
      </w:r>
    </w:p>
    <w:p w14:paraId="24544E09" w14:textId="77777777" w:rsidR="008C7882" w:rsidRPr="00817318" w:rsidRDefault="008C7882" w:rsidP="008C7882">
      <w:pPr>
        <w:pStyle w:val="ListParagraph"/>
        <w:ind w:left="0"/>
        <w:jc w:val="both"/>
        <w:rPr>
          <w:rFonts w:ascii="Times New Roman" w:hAnsi="Times New Roman"/>
          <w:iCs/>
          <w:color w:val="212121"/>
        </w:rPr>
      </w:pPr>
    </w:p>
    <w:p w14:paraId="5142879C" w14:textId="77777777" w:rsidR="008C7882" w:rsidRPr="00817318" w:rsidRDefault="008C7882" w:rsidP="008C7882">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00594B6F" w14:textId="77777777" w:rsidR="008C7882" w:rsidRPr="00817318" w:rsidRDefault="008C7882" w:rsidP="008C7882">
      <w:pPr>
        <w:pStyle w:val="ListParagraph"/>
        <w:ind w:left="0"/>
        <w:jc w:val="both"/>
        <w:rPr>
          <w:rFonts w:ascii="Times New Roman" w:hAnsi="Times New Roman"/>
          <w:iCs/>
          <w:color w:val="212121"/>
        </w:rPr>
      </w:pPr>
    </w:p>
    <w:p w14:paraId="7CAF9A0B" w14:textId="58C26E9A" w:rsidR="00CB5276" w:rsidRDefault="008C7882" w:rsidP="008C7882">
      <w:pPr>
        <w:pStyle w:val="OrderBody"/>
        <w:rPr>
          <w:iCs/>
          <w:color w:val="212121"/>
        </w:rPr>
      </w:pPr>
      <w:r w:rsidRPr="00817318">
        <w:rPr>
          <w:iCs/>
          <w:color w:val="212121"/>
        </w:rPr>
        <w:tab/>
        <w:t xml:space="preserve">ORDERED by </w:t>
      </w:r>
      <w:r>
        <w:rPr>
          <w:iCs/>
          <w:color w:val="212121"/>
        </w:rPr>
        <w:t>Chairman Mike La Rosa</w:t>
      </w:r>
      <w:r w:rsidRPr="00817318">
        <w:rPr>
          <w:iCs/>
          <w:color w:val="212121"/>
        </w:rPr>
        <w:t>, as Prehearing Officer, that the</w:t>
      </w:r>
      <w:r w:rsidR="003C2AB2">
        <w:rPr>
          <w:iCs/>
          <w:color w:val="212121"/>
        </w:rPr>
        <w:t xml:space="preserve"> Florida Industrial Power Users Group’s</w:t>
      </w:r>
      <w:r w:rsidRPr="00817318">
        <w:rPr>
          <w:iCs/>
          <w:color w:val="212121"/>
        </w:rPr>
        <w:t xml:space="preserve"> </w:t>
      </w:r>
      <w:r w:rsidR="00E321B2">
        <w:t xml:space="preserve">Motion to Quash Florida Rising’s, League of united Latin American Citizens’, and Environmental Confederation of Southwest Florida’s </w:t>
      </w:r>
      <w:r w:rsidR="000F1DA2">
        <w:t xml:space="preserve">Renewed </w:t>
      </w:r>
      <w:r w:rsidR="00E321B2">
        <w:t xml:space="preserve">First Set of Interrogatories (Nos. 1-7) and First Request for Production of Documents to Florida Industrial Power Users Group is </w:t>
      </w:r>
      <w:r w:rsidR="000F1DA2">
        <w:t>denied</w:t>
      </w:r>
      <w:r w:rsidRPr="00817318">
        <w:rPr>
          <w:iCs/>
          <w:color w:val="212121"/>
        </w:rPr>
        <w:t>.  It is further,</w:t>
      </w:r>
    </w:p>
    <w:p w14:paraId="6715C048" w14:textId="32022A4C" w:rsidR="00E321B2" w:rsidRDefault="00E321B2" w:rsidP="008C7882">
      <w:pPr>
        <w:pStyle w:val="OrderBody"/>
        <w:rPr>
          <w:iCs/>
          <w:color w:val="212121"/>
        </w:rPr>
      </w:pPr>
    </w:p>
    <w:p w14:paraId="77B58517" w14:textId="537C7B54" w:rsidR="008C7882" w:rsidRDefault="00E321B2">
      <w:pPr>
        <w:pStyle w:val="OrderBody"/>
      </w:pPr>
      <w:r>
        <w:tab/>
      </w:r>
      <w:r w:rsidRPr="00817318">
        <w:rPr>
          <w:iCs/>
          <w:color w:val="212121"/>
        </w:rPr>
        <w:t>ORDERED</w:t>
      </w:r>
      <w:r>
        <w:rPr>
          <w:iCs/>
          <w:color w:val="212121"/>
        </w:rPr>
        <w:t xml:space="preserve"> t</w:t>
      </w:r>
      <w:r w:rsidRPr="00817318">
        <w:rPr>
          <w:iCs/>
          <w:color w:val="212121"/>
        </w:rPr>
        <w:t>hat the</w:t>
      </w:r>
      <w:r>
        <w:rPr>
          <w:iCs/>
          <w:color w:val="212121"/>
        </w:rPr>
        <w:t xml:space="preserve"> Florida Industrial Power Users Group must</w:t>
      </w:r>
      <w:r w:rsidR="000F32C6">
        <w:rPr>
          <w:iCs/>
          <w:color w:val="212121"/>
        </w:rPr>
        <w:t xml:space="preserve"> provide responses</w:t>
      </w:r>
      <w:r>
        <w:rPr>
          <w:iCs/>
          <w:color w:val="212121"/>
        </w:rPr>
        <w:t xml:space="preserve"> to the Renewed Contested Discovery by September 1</w:t>
      </w:r>
      <w:r w:rsidR="00313E29">
        <w:rPr>
          <w:iCs/>
          <w:color w:val="212121"/>
        </w:rPr>
        <w:t>9</w:t>
      </w:r>
      <w:r>
        <w:rPr>
          <w:iCs/>
          <w:color w:val="212121"/>
        </w:rPr>
        <w:t xml:space="preserve">, 2025. </w:t>
      </w:r>
    </w:p>
    <w:p w14:paraId="09BFBD91" w14:textId="77777777" w:rsidR="008C7882" w:rsidRDefault="008C7882">
      <w:pPr>
        <w:pStyle w:val="OrderBody"/>
      </w:pPr>
    </w:p>
    <w:p w14:paraId="4D7873C5" w14:textId="46D9AC8A" w:rsidR="00B756C5" w:rsidRDefault="00B756C5" w:rsidP="00B756C5">
      <w:pPr>
        <w:pStyle w:val="OrderBody"/>
        <w:keepNext/>
        <w:keepLines/>
      </w:pPr>
      <w:r>
        <w:lastRenderedPageBreak/>
        <w:tab/>
        <w:t xml:space="preserve">By ORDER of Chairman Mike La Rosa, as Prehearing Officer, this </w:t>
      </w:r>
      <w:bookmarkStart w:id="6" w:name="replaceDate"/>
      <w:bookmarkEnd w:id="6"/>
      <w:r w:rsidR="00F06DF3">
        <w:rPr>
          <w:u w:val="single"/>
        </w:rPr>
        <w:t>12th</w:t>
      </w:r>
      <w:r w:rsidR="00F06DF3">
        <w:t xml:space="preserve"> day of </w:t>
      </w:r>
      <w:r w:rsidR="00F06DF3">
        <w:rPr>
          <w:u w:val="single"/>
        </w:rPr>
        <w:t>September</w:t>
      </w:r>
      <w:r w:rsidR="00F06DF3">
        <w:t xml:space="preserve">, </w:t>
      </w:r>
      <w:r w:rsidR="00F06DF3">
        <w:rPr>
          <w:u w:val="single"/>
        </w:rPr>
        <w:t>2025</w:t>
      </w:r>
      <w:r w:rsidR="00F06DF3">
        <w:t>.</w:t>
      </w:r>
    </w:p>
    <w:p w14:paraId="27BD10ED" w14:textId="77777777" w:rsidR="00F06DF3" w:rsidRPr="00F06DF3" w:rsidRDefault="00F06DF3" w:rsidP="00B756C5">
      <w:pPr>
        <w:pStyle w:val="OrderBody"/>
        <w:keepNext/>
        <w:keepLines/>
      </w:pPr>
    </w:p>
    <w:p w14:paraId="20FE1F11" w14:textId="77777777" w:rsidR="00B756C5" w:rsidRDefault="00B756C5" w:rsidP="00B756C5">
      <w:pPr>
        <w:pStyle w:val="OrderBody"/>
        <w:keepNext/>
        <w:keepLines/>
      </w:pPr>
    </w:p>
    <w:p w14:paraId="4FFA8220" w14:textId="77777777" w:rsidR="00B756C5" w:rsidRDefault="00B756C5" w:rsidP="00B756C5">
      <w:pPr>
        <w:pStyle w:val="OrderBody"/>
        <w:keepNext/>
        <w:keepLines/>
      </w:pPr>
    </w:p>
    <w:p w14:paraId="585EF33E" w14:textId="77777777" w:rsidR="00B756C5" w:rsidRDefault="00B756C5" w:rsidP="00B756C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756C5" w14:paraId="58644674" w14:textId="77777777" w:rsidTr="00B756C5">
        <w:tc>
          <w:tcPr>
            <w:tcW w:w="720" w:type="dxa"/>
            <w:shd w:val="clear" w:color="auto" w:fill="auto"/>
          </w:tcPr>
          <w:p w14:paraId="4DA687C3" w14:textId="77777777" w:rsidR="00B756C5" w:rsidRDefault="00B756C5" w:rsidP="00B756C5">
            <w:pPr>
              <w:pStyle w:val="OrderBody"/>
              <w:keepNext/>
              <w:keepLines/>
            </w:pPr>
            <w:bookmarkStart w:id="7" w:name="bkmrkSignature" w:colFirst="0" w:colLast="0"/>
          </w:p>
        </w:tc>
        <w:tc>
          <w:tcPr>
            <w:tcW w:w="4320" w:type="dxa"/>
            <w:tcBorders>
              <w:bottom w:val="single" w:sz="4" w:space="0" w:color="auto"/>
            </w:tcBorders>
            <w:shd w:val="clear" w:color="auto" w:fill="auto"/>
          </w:tcPr>
          <w:p w14:paraId="08B30F72" w14:textId="7BE99D9A" w:rsidR="00B756C5" w:rsidRDefault="00F06DF3" w:rsidP="00B756C5">
            <w:pPr>
              <w:pStyle w:val="OrderBody"/>
              <w:keepNext/>
              <w:keepLines/>
            </w:pPr>
            <w:r>
              <w:t>/s/ Mike La Rosa</w:t>
            </w:r>
            <w:bookmarkStart w:id="8" w:name="_GoBack"/>
            <w:bookmarkEnd w:id="8"/>
          </w:p>
        </w:tc>
      </w:tr>
      <w:bookmarkEnd w:id="7"/>
      <w:tr w:rsidR="00B756C5" w14:paraId="13588EDF" w14:textId="77777777" w:rsidTr="00B756C5">
        <w:tc>
          <w:tcPr>
            <w:tcW w:w="720" w:type="dxa"/>
            <w:shd w:val="clear" w:color="auto" w:fill="auto"/>
          </w:tcPr>
          <w:p w14:paraId="19EFB945" w14:textId="77777777" w:rsidR="00B756C5" w:rsidRDefault="00B756C5" w:rsidP="00B756C5">
            <w:pPr>
              <w:pStyle w:val="OrderBody"/>
              <w:keepNext/>
              <w:keepLines/>
            </w:pPr>
          </w:p>
        </w:tc>
        <w:tc>
          <w:tcPr>
            <w:tcW w:w="4320" w:type="dxa"/>
            <w:tcBorders>
              <w:top w:val="single" w:sz="4" w:space="0" w:color="auto"/>
            </w:tcBorders>
            <w:shd w:val="clear" w:color="auto" w:fill="auto"/>
          </w:tcPr>
          <w:p w14:paraId="1CA3397A" w14:textId="77777777" w:rsidR="00B756C5" w:rsidRDefault="00B756C5" w:rsidP="00B756C5">
            <w:pPr>
              <w:pStyle w:val="OrderBody"/>
              <w:keepNext/>
              <w:keepLines/>
            </w:pPr>
            <w:r>
              <w:t>Mike La Rosa</w:t>
            </w:r>
          </w:p>
          <w:p w14:paraId="3CE0B3A5" w14:textId="77777777" w:rsidR="00B756C5" w:rsidRDefault="00B756C5" w:rsidP="00B756C5">
            <w:pPr>
              <w:pStyle w:val="OrderBody"/>
              <w:keepNext/>
              <w:keepLines/>
            </w:pPr>
            <w:r>
              <w:t>Chairman and Prehearing Officer</w:t>
            </w:r>
          </w:p>
        </w:tc>
      </w:tr>
    </w:tbl>
    <w:p w14:paraId="476DB0E4" w14:textId="77777777" w:rsidR="00B756C5" w:rsidRDefault="00B756C5" w:rsidP="00B756C5">
      <w:pPr>
        <w:pStyle w:val="OrderSigInfo"/>
        <w:keepNext/>
        <w:keepLines/>
      </w:pPr>
      <w:r>
        <w:t>Florida Public Service Commission</w:t>
      </w:r>
    </w:p>
    <w:p w14:paraId="5627F74A" w14:textId="77777777" w:rsidR="00B756C5" w:rsidRDefault="00B756C5" w:rsidP="00B756C5">
      <w:pPr>
        <w:pStyle w:val="OrderSigInfo"/>
        <w:keepNext/>
        <w:keepLines/>
      </w:pPr>
      <w:r>
        <w:t>2540 Shumard Oak Boulevard</w:t>
      </w:r>
    </w:p>
    <w:p w14:paraId="5646B144" w14:textId="77777777" w:rsidR="00B756C5" w:rsidRDefault="00B756C5" w:rsidP="00B756C5">
      <w:pPr>
        <w:pStyle w:val="OrderSigInfo"/>
        <w:keepNext/>
        <w:keepLines/>
      </w:pPr>
      <w:r>
        <w:t>Tallahassee, Florida 32399</w:t>
      </w:r>
    </w:p>
    <w:p w14:paraId="710B604E" w14:textId="77777777" w:rsidR="00B756C5" w:rsidRDefault="00B756C5" w:rsidP="00B756C5">
      <w:pPr>
        <w:pStyle w:val="OrderSigInfo"/>
        <w:keepNext/>
        <w:keepLines/>
      </w:pPr>
      <w:r>
        <w:t>(850) 413</w:t>
      </w:r>
      <w:r>
        <w:noBreakHyphen/>
        <w:t>6770</w:t>
      </w:r>
    </w:p>
    <w:p w14:paraId="5C7A9209" w14:textId="77777777" w:rsidR="00B756C5" w:rsidRDefault="00B756C5" w:rsidP="00B756C5">
      <w:pPr>
        <w:pStyle w:val="OrderSigInfo"/>
        <w:keepNext/>
        <w:keepLines/>
      </w:pPr>
      <w:r>
        <w:t>www.floridapsc.com</w:t>
      </w:r>
    </w:p>
    <w:p w14:paraId="65414D4B" w14:textId="77777777" w:rsidR="00B756C5" w:rsidRDefault="00B756C5" w:rsidP="00B756C5">
      <w:pPr>
        <w:pStyle w:val="OrderSigInfo"/>
        <w:keepNext/>
        <w:keepLines/>
      </w:pPr>
    </w:p>
    <w:p w14:paraId="153F10EA" w14:textId="77777777" w:rsidR="00B756C5" w:rsidRDefault="00B756C5" w:rsidP="00B756C5">
      <w:pPr>
        <w:pStyle w:val="OrderSigInfo"/>
        <w:keepNext/>
        <w:keepLines/>
      </w:pPr>
      <w:r>
        <w:t>Copies furnished:  A copy of this document is provided to the parties of record at the time of issuance and, if applicable, interested persons.</w:t>
      </w:r>
    </w:p>
    <w:p w14:paraId="2F788C3E" w14:textId="77777777" w:rsidR="00B756C5" w:rsidRDefault="00B756C5" w:rsidP="00B756C5">
      <w:pPr>
        <w:pStyle w:val="OrderBody"/>
        <w:keepNext/>
        <w:keepLines/>
      </w:pPr>
    </w:p>
    <w:p w14:paraId="3EA8F8F2" w14:textId="77777777" w:rsidR="00B756C5" w:rsidRDefault="00B756C5" w:rsidP="00B756C5">
      <w:pPr>
        <w:pStyle w:val="OrderBody"/>
        <w:keepNext/>
        <w:keepLines/>
      </w:pPr>
    </w:p>
    <w:p w14:paraId="73632E42" w14:textId="65CBC367" w:rsidR="00B756C5" w:rsidRDefault="00FE5FB2" w:rsidP="00B756C5">
      <w:pPr>
        <w:pStyle w:val="OrderBody"/>
        <w:keepNext/>
        <w:keepLines/>
      </w:pPr>
      <w:r>
        <w:t>T</w:t>
      </w:r>
      <w:r w:rsidR="00B756C5">
        <w:t>PS</w:t>
      </w:r>
    </w:p>
    <w:p w14:paraId="3EF28BB8" w14:textId="77777777" w:rsidR="00B756C5" w:rsidRDefault="00B756C5" w:rsidP="00B756C5">
      <w:pPr>
        <w:pStyle w:val="OrderBody"/>
      </w:pPr>
    </w:p>
    <w:p w14:paraId="79E6E17D" w14:textId="77777777" w:rsidR="00B756C5" w:rsidRDefault="00B756C5" w:rsidP="00B756C5">
      <w:pPr>
        <w:pStyle w:val="OrderBody"/>
      </w:pPr>
    </w:p>
    <w:p w14:paraId="29657BD6" w14:textId="77777777" w:rsidR="00B756C5" w:rsidRDefault="00B756C5" w:rsidP="00B756C5">
      <w:pPr>
        <w:pStyle w:val="CenterUnderline"/>
      </w:pPr>
      <w:r>
        <w:t>NOTICE OF FURTHER PROCEEDINGS OR JUDICIAL REVIEW</w:t>
      </w:r>
    </w:p>
    <w:p w14:paraId="354C8B4C" w14:textId="77777777" w:rsidR="00B756C5" w:rsidRDefault="00B756C5" w:rsidP="00B756C5">
      <w:pPr>
        <w:pStyle w:val="CenterUnderline"/>
      </w:pPr>
    </w:p>
    <w:p w14:paraId="5488B22F" w14:textId="77777777" w:rsidR="00B756C5" w:rsidRDefault="00B756C5" w:rsidP="00B756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B288B2B" w14:textId="77777777" w:rsidR="00B756C5" w:rsidRDefault="00B756C5" w:rsidP="00B756C5">
      <w:pPr>
        <w:pStyle w:val="OrderBody"/>
      </w:pPr>
    </w:p>
    <w:p w14:paraId="7D6FBF24" w14:textId="77777777" w:rsidR="00B756C5" w:rsidRDefault="00B756C5" w:rsidP="00B756C5">
      <w:pPr>
        <w:pStyle w:val="OrderBody"/>
      </w:pPr>
      <w:r>
        <w:tab/>
        <w:t>Mediation may be available on a case-by-case basis.  If mediation is conducted, it does not affect a substantially interested person's right to a hearing.</w:t>
      </w:r>
    </w:p>
    <w:p w14:paraId="4304D611" w14:textId="77777777" w:rsidR="00B756C5" w:rsidRDefault="00B756C5" w:rsidP="00B756C5">
      <w:pPr>
        <w:pStyle w:val="OrderBody"/>
      </w:pPr>
    </w:p>
    <w:p w14:paraId="2B952C1C" w14:textId="77777777" w:rsidR="00B756C5" w:rsidRDefault="00B756C5" w:rsidP="00B756C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4C9F129" w14:textId="77777777" w:rsidR="00B756C5" w:rsidRDefault="00B756C5" w:rsidP="00B756C5">
      <w:pPr>
        <w:pStyle w:val="OrderBody"/>
      </w:pPr>
    </w:p>
    <w:sectPr w:rsidR="00B756C5">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7F4C5" w14:textId="77777777" w:rsidR="009942D6" w:rsidRDefault="009942D6">
      <w:r>
        <w:separator/>
      </w:r>
    </w:p>
  </w:endnote>
  <w:endnote w:type="continuationSeparator" w:id="0">
    <w:p w14:paraId="1166EB51" w14:textId="77777777" w:rsidR="009942D6" w:rsidRDefault="0099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D23C0" w14:textId="77777777" w:rsidR="009942D6" w:rsidRDefault="009942D6">
      <w:r>
        <w:separator/>
      </w:r>
    </w:p>
  </w:footnote>
  <w:footnote w:type="continuationSeparator" w:id="0">
    <w:p w14:paraId="62E9A62E" w14:textId="77777777" w:rsidR="009942D6" w:rsidRDefault="009942D6">
      <w:r>
        <w:continuationSeparator/>
      </w:r>
    </w:p>
  </w:footnote>
  <w:footnote w:id="1">
    <w:p w14:paraId="279DF4D2" w14:textId="3A908B5B" w:rsidR="00545873" w:rsidRDefault="00545873">
      <w:pPr>
        <w:pStyle w:val="FootnoteText"/>
      </w:pPr>
      <w:r>
        <w:rPr>
          <w:rStyle w:val="FootnoteReference"/>
        </w:rPr>
        <w:footnoteRef/>
      </w:r>
      <w:r>
        <w:t xml:space="preserve"> Document </w:t>
      </w:r>
      <w:r w:rsidR="00080B6A">
        <w:t>No. 05210-2025</w:t>
      </w:r>
      <w:r>
        <w:t>.</w:t>
      </w:r>
    </w:p>
  </w:footnote>
  <w:footnote w:id="2">
    <w:p w14:paraId="71C5DD66" w14:textId="547FFA65" w:rsidR="00545873" w:rsidRDefault="00545873">
      <w:pPr>
        <w:pStyle w:val="FootnoteText"/>
      </w:pPr>
      <w:r>
        <w:rPr>
          <w:rStyle w:val="FootnoteReference"/>
        </w:rPr>
        <w:footnoteRef/>
      </w:r>
      <w:r>
        <w:t xml:space="preserve"> Order </w:t>
      </w:r>
      <w:r w:rsidR="00080B6A">
        <w:t xml:space="preserve">No. PSC-2025-0075-PCO-EI, </w:t>
      </w:r>
      <w:r w:rsidR="001446D4">
        <w:t>i</w:t>
      </w:r>
      <w:r w:rsidR="00080B6A">
        <w:t>ssued March 14, 2025</w:t>
      </w:r>
      <w:r w:rsidR="006A22CB">
        <w:t>, at page 4</w:t>
      </w:r>
      <w:r>
        <w:t>.</w:t>
      </w:r>
      <w:r w:rsidR="006A22CB">
        <w:t xml:space="preserve"> </w:t>
      </w:r>
    </w:p>
  </w:footnote>
  <w:footnote w:id="3">
    <w:p w14:paraId="71D3A9DD" w14:textId="7191D0AA" w:rsidR="00615D3D" w:rsidRDefault="00615D3D">
      <w:pPr>
        <w:pStyle w:val="FootnoteText"/>
      </w:pPr>
      <w:r>
        <w:rPr>
          <w:rStyle w:val="FootnoteReference"/>
        </w:rPr>
        <w:footnoteRef/>
      </w:r>
      <w:r>
        <w:t xml:space="preserve"> Order No. PSC-2025-0304-</w:t>
      </w:r>
      <w:r w:rsidR="00080B6A">
        <w:t>PC</w:t>
      </w:r>
      <w:r>
        <w:t>O-EI,</w:t>
      </w:r>
      <w:r w:rsidR="00080B6A">
        <w:rPr>
          <w:i/>
        </w:rPr>
        <w:t xml:space="preserve"> </w:t>
      </w:r>
      <w:r>
        <w:t xml:space="preserve"> issued August 12, 2025. </w:t>
      </w:r>
    </w:p>
  </w:footnote>
  <w:footnote w:id="4">
    <w:p w14:paraId="60286F55" w14:textId="72E6449B" w:rsidR="00615D3D" w:rsidRDefault="00615D3D">
      <w:pPr>
        <w:pStyle w:val="FootnoteText"/>
      </w:pPr>
      <w:r>
        <w:rPr>
          <w:rStyle w:val="FootnoteReference"/>
        </w:rPr>
        <w:footnoteRef/>
      </w:r>
      <w:r>
        <w:t xml:space="preserve"> Order No. PSC-2025-0323-PCO-EI, issued August 22, 2025</w:t>
      </w:r>
      <w:r w:rsidR="001446D4">
        <w:t>, at page 3</w:t>
      </w:r>
      <w:r>
        <w:t xml:space="preserve">. </w:t>
      </w:r>
    </w:p>
  </w:footnote>
  <w:footnote w:id="5">
    <w:p w14:paraId="0A43E706" w14:textId="77777777" w:rsidR="00615D3D" w:rsidRDefault="00615D3D">
      <w:pPr>
        <w:pStyle w:val="FootnoteText"/>
      </w:pPr>
      <w:r>
        <w:rPr>
          <w:rStyle w:val="FootnoteReference"/>
        </w:rPr>
        <w:footnoteRef/>
      </w:r>
      <w:r>
        <w:t xml:space="preserve"> Revised OEP at page 2. </w:t>
      </w:r>
    </w:p>
  </w:footnote>
  <w:footnote w:id="6">
    <w:p w14:paraId="6D2B704A" w14:textId="6E4765A0" w:rsidR="009C190D" w:rsidRDefault="009C190D">
      <w:pPr>
        <w:pStyle w:val="FootnoteText"/>
      </w:pPr>
      <w:r>
        <w:rPr>
          <w:rStyle w:val="FootnoteReference"/>
        </w:rPr>
        <w:footnoteRef/>
      </w:r>
      <w:r>
        <w:t xml:space="preserve"> </w:t>
      </w:r>
      <w:r w:rsidR="002B1A2C">
        <w:t xml:space="preserve">The </w:t>
      </w:r>
      <w:r>
        <w:t xml:space="preserve">Renewed Contested Discovery </w:t>
      </w:r>
      <w:r w:rsidR="002B1A2C">
        <w:t>appears</w:t>
      </w:r>
      <w:r>
        <w:t xml:space="preserve"> identical in all aspects</w:t>
      </w:r>
      <w:r w:rsidR="002B1A2C">
        <w:t xml:space="preserve"> to the initial discovery served by FEL to FIPUG on</w:t>
      </w:r>
      <w:r>
        <w:t xml:space="preserve"> </w:t>
      </w:r>
      <w:r w:rsidR="002B1A2C">
        <w:t xml:space="preserve">June 23, 2025, </w:t>
      </w:r>
      <w:r>
        <w:t>except that Interrogatory 5 contains an additional subpart a in the Renewed Contested Discovery.</w:t>
      </w:r>
    </w:p>
  </w:footnote>
  <w:footnote w:id="7">
    <w:p w14:paraId="34738FC3" w14:textId="77777777" w:rsidR="00617815" w:rsidRDefault="00617815" w:rsidP="00617815">
      <w:pPr>
        <w:pStyle w:val="FootnoteText"/>
      </w:pPr>
      <w:r>
        <w:rPr>
          <w:rStyle w:val="FootnoteReference"/>
        </w:rPr>
        <w:footnoteRef/>
      </w:r>
      <w:r>
        <w:t xml:space="preserve"> Motion to Quash at page 1, Response at page 2.</w:t>
      </w:r>
    </w:p>
  </w:footnote>
  <w:footnote w:id="8">
    <w:p w14:paraId="318E352B" w14:textId="01243686" w:rsidR="005D5EFF" w:rsidRPr="005D5EFF" w:rsidRDefault="005D5EFF">
      <w:pPr>
        <w:pStyle w:val="FootnoteText"/>
      </w:pPr>
      <w:r>
        <w:rPr>
          <w:rStyle w:val="FootnoteReference"/>
        </w:rPr>
        <w:footnoteRef/>
      </w:r>
      <w:r>
        <w:t xml:space="preserve"> Rule 1.280 is incorporated by reference into the Uniform Rules of Procedure, which apply to proceedings before the Commission. </w:t>
      </w:r>
      <w:r w:rsidRPr="006805E2">
        <w:rPr>
          <w:i/>
        </w:rPr>
        <w:t>See</w:t>
      </w:r>
      <w:r>
        <w:t xml:space="preserve"> Rule 28-106.206, Florida Administrative Code (“</w:t>
      </w:r>
      <w:r>
        <w:rPr>
          <w:noProof/>
          <w:color w:val="000000"/>
        </w:rPr>
        <w:t>After commencement of a proceeding, parties may obtain discovery through the means and in the manner provided in Rules 1.280 through 1.400, Florida Rules of Civil Procedure.”)</w:t>
      </w:r>
    </w:p>
  </w:footnote>
  <w:footnote w:id="9">
    <w:p w14:paraId="53418513" w14:textId="325810A0" w:rsidR="00617815" w:rsidRDefault="00617815">
      <w:pPr>
        <w:pStyle w:val="FootnoteText"/>
      </w:pPr>
      <w:r>
        <w:rPr>
          <w:rStyle w:val="FootnoteReference"/>
        </w:rPr>
        <w:footnoteRef/>
      </w:r>
      <w:r>
        <w:t xml:space="preserve"> Motion to Quash at page 1.</w:t>
      </w:r>
    </w:p>
  </w:footnote>
  <w:footnote w:id="10">
    <w:p w14:paraId="7C253DE3" w14:textId="7478EECF" w:rsidR="00FC4293" w:rsidRDefault="00FC4293">
      <w:pPr>
        <w:pStyle w:val="FootnoteText"/>
      </w:pPr>
      <w:r>
        <w:rPr>
          <w:rStyle w:val="FootnoteReference"/>
        </w:rPr>
        <w:footnoteRef/>
      </w:r>
      <w:r>
        <w:t xml:space="preserve"> </w:t>
      </w:r>
      <w:r w:rsidR="00FB32B6" w:rsidRPr="00C866ED">
        <w:rPr>
          <w:i/>
        </w:rPr>
        <w:t>Id</w:t>
      </w:r>
      <w:r w:rsidR="00FB32B6">
        <w:t xml:space="preserve">. At </w:t>
      </w:r>
      <w:r>
        <w:t>page 2.</w:t>
      </w:r>
    </w:p>
  </w:footnote>
  <w:footnote w:id="11">
    <w:p w14:paraId="683358F3" w14:textId="67303E8E" w:rsidR="006A22CB" w:rsidRPr="006A22CB" w:rsidRDefault="006A22CB">
      <w:pPr>
        <w:pStyle w:val="FootnoteText"/>
      </w:pPr>
      <w:r>
        <w:rPr>
          <w:rStyle w:val="FootnoteReference"/>
        </w:rPr>
        <w:footnoteRef/>
      </w:r>
      <w:r>
        <w:t xml:space="preserve"> Response at page 1, </w:t>
      </w:r>
      <w:r w:rsidRPr="006805E2">
        <w:rPr>
          <w:i/>
        </w:rPr>
        <w:t>citing</w:t>
      </w:r>
      <w:r>
        <w:rPr>
          <w:i/>
        </w:rPr>
        <w:t xml:space="preserve"> </w:t>
      </w:r>
      <w:r w:rsidR="00FE5FB2">
        <w:rPr>
          <w:i/>
        </w:rPr>
        <w:t>Owners</w:t>
      </w:r>
      <w:r>
        <w:rPr>
          <w:i/>
        </w:rPr>
        <w:t xml:space="preserve"> Insurance Co. v. </w:t>
      </w:r>
      <w:r w:rsidR="00FE5FB2">
        <w:rPr>
          <w:i/>
        </w:rPr>
        <w:t>Armour</w:t>
      </w:r>
      <w:r>
        <w:t>, 303 So. 3d 263, 267 (Fla. 2d DCA 2020).</w:t>
      </w:r>
    </w:p>
  </w:footnote>
  <w:footnote w:id="12">
    <w:p w14:paraId="309861F4" w14:textId="60768A92" w:rsidR="00FC4293" w:rsidRDefault="00FC4293">
      <w:pPr>
        <w:pStyle w:val="FootnoteText"/>
      </w:pPr>
      <w:r>
        <w:rPr>
          <w:rStyle w:val="FootnoteReference"/>
        </w:rPr>
        <w:footnoteRef/>
      </w:r>
      <w:r>
        <w:t xml:space="preserve"> Response at page 7.</w:t>
      </w:r>
    </w:p>
  </w:footnote>
  <w:footnote w:id="13">
    <w:p w14:paraId="57FB3E86" w14:textId="389244C4" w:rsidR="00FB32B6" w:rsidRDefault="00FB32B6">
      <w:pPr>
        <w:pStyle w:val="FootnoteText"/>
      </w:pPr>
      <w:r>
        <w:rPr>
          <w:rStyle w:val="FootnoteReference"/>
        </w:rPr>
        <w:footnoteRef/>
      </w:r>
      <w:r>
        <w:t xml:space="preserve"> </w:t>
      </w:r>
      <w:r w:rsidRPr="00C866ED">
        <w:rPr>
          <w:i/>
        </w:rPr>
        <w:t>Id</w:t>
      </w:r>
      <w:r>
        <w:t>.</w:t>
      </w:r>
    </w:p>
  </w:footnote>
  <w:footnote w:id="14">
    <w:p w14:paraId="4D1E943C" w14:textId="72FBD864" w:rsidR="00414CFB" w:rsidRPr="00414CFB" w:rsidRDefault="00414CFB">
      <w:pPr>
        <w:pStyle w:val="FootnoteText"/>
      </w:pPr>
      <w:r>
        <w:rPr>
          <w:rStyle w:val="FootnoteReference"/>
        </w:rPr>
        <w:footnoteRef/>
      </w:r>
      <w:r>
        <w:t xml:space="preserve"> </w:t>
      </w:r>
      <w:r w:rsidRPr="006805E2">
        <w:rPr>
          <w:i/>
        </w:rPr>
        <w:t>See</w:t>
      </w:r>
      <w:r>
        <w:t xml:space="preserve"> </w:t>
      </w:r>
      <w:r>
        <w:rPr>
          <w:i/>
        </w:rPr>
        <w:t>Bainter v. League of Women Voters of Florida</w:t>
      </w:r>
      <w:r>
        <w:t xml:space="preserve">, 150 So. 3d 1115, 1127-31 (Fla. 2014); </w:t>
      </w:r>
      <w:r>
        <w:rPr>
          <w:i/>
        </w:rPr>
        <w:t>Insurance Co. of N. Am. V. Noya</w:t>
      </w:r>
      <w:r>
        <w:t>, 398 So. 2d 836, 838 (Fla 5</w:t>
      </w:r>
      <w:r w:rsidRPr="00414CFB">
        <w:rPr>
          <w:vertAlign w:val="superscript"/>
        </w:rPr>
        <w:t>th</w:t>
      </w:r>
      <w:r>
        <w:t xml:space="preserve"> DCA 1981).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AEAA5" w14:textId="5736DC7F" w:rsidR="00FA6EFD" w:rsidRDefault="00FA6EFD">
    <w:pPr>
      <w:pStyle w:val="OrderHeader"/>
    </w:pPr>
    <w:r>
      <w:t xml:space="preserve">ORDER NO. </w:t>
    </w:r>
    <w:fldSimple w:instr=" REF OrderNo0344 ">
      <w:r w:rsidR="00F06DF3">
        <w:t>PSC-2025-0344-PCO-EI</w:t>
      </w:r>
    </w:fldSimple>
  </w:p>
  <w:p w14:paraId="0C987138" w14:textId="77777777" w:rsidR="00FA6EFD" w:rsidRDefault="009942D6">
    <w:pPr>
      <w:pStyle w:val="OrderHeader"/>
    </w:pPr>
    <w:bookmarkStart w:id="9" w:name="HeaderDocketNo"/>
    <w:bookmarkEnd w:id="9"/>
    <w:r>
      <w:t>DOCKET NO. 20250011-EI</w:t>
    </w:r>
  </w:p>
  <w:p w14:paraId="4F3C2A70" w14:textId="08C1854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6DF3">
      <w:rPr>
        <w:rStyle w:val="PageNumber"/>
        <w:noProof/>
      </w:rPr>
      <w:t>4</w:t>
    </w:r>
    <w:r>
      <w:rPr>
        <w:rStyle w:val="PageNumber"/>
      </w:rPr>
      <w:fldChar w:fldCharType="end"/>
    </w:r>
  </w:p>
  <w:p w14:paraId="5234F443"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9942D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0B6A"/>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1DA2"/>
    <w:rsid w:val="000F32C6"/>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46D4"/>
    <w:rsid w:val="001513DE"/>
    <w:rsid w:val="00154A71"/>
    <w:rsid w:val="001655D4"/>
    <w:rsid w:val="00165803"/>
    <w:rsid w:val="00174E67"/>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2C8A"/>
    <w:rsid w:val="00255291"/>
    <w:rsid w:val="002613E4"/>
    <w:rsid w:val="00262C43"/>
    <w:rsid w:val="0026544B"/>
    <w:rsid w:val="00270F89"/>
    <w:rsid w:val="00276CDC"/>
    <w:rsid w:val="00277655"/>
    <w:rsid w:val="002824B7"/>
    <w:rsid w:val="00282AC4"/>
    <w:rsid w:val="00285637"/>
    <w:rsid w:val="00293DC9"/>
    <w:rsid w:val="00297C37"/>
    <w:rsid w:val="002A11AC"/>
    <w:rsid w:val="002A1B95"/>
    <w:rsid w:val="002A6F30"/>
    <w:rsid w:val="002A7884"/>
    <w:rsid w:val="002B07C5"/>
    <w:rsid w:val="002B1A2C"/>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3E29"/>
    <w:rsid w:val="003140E8"/>
    <w:rsid w:val="00321702"/>
    <w:rsid w:val="003231C7"/>
    <w:rsid w:val="00323839"/>
    <w:rsid w:val="003270C4"/>
    <w:rsid w:val="00331ED0"/>
    <w:rsid w:val="00332B0A"/>
    <w:rsid w:val="00333A41"/>
    <w:rsid w:val="00341036"/>
    <w:rsid w:val="0034327E"/>
    <w:rsid w:val="00345434"/>
    <w:rsid w:val="00351C22"/>
    <w:rsid w:val="0035495B"/>
    <w:rsid w:val="00355A93"/>
    <w:rsid w:val="0036029A"/>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2AB2"/>
    <w:rsid w:val="003D3989"/>
    <w:rsid w:val="003D4CCA"/>
    <w:rsid w:val="003D52A6"/>
    <w:rsid w:val="003D6416"/>
    <w:rsid w:val="003E1D48"/>
    <w:rsid w:val="003E711F"/>
    <w:rsid w:val="003F0B5F"/>
    <w:rsid w:val="003F1D2B"/>
    <w:rsid w:val="003F49A6"/>
    <w:rsid w:val="003F518F"/>
    <w:rsid w:val="003F6BA7"/>
    <w:rsid w:val="003F7445"/>
    <w:rsid w:val="00411DF2"/>
    <w:rsid w:val="00411E8F"/>
    <w:rsid w:val="00414CFB"/>
    <w:rsid w:val="004247F5"/>
    <w:rsid w:val="0042527B"/>
    <w:rsid w:val="0042705B"/>
    <w:rsid w:val="00427EAC"/>
    <w:rsid w:val="00432542"/>
    <w:rsid w:val="004431B4"/>
    <w:rsid w:val="00445604"/>
    <w:rsid w:val="0044775A"/>
    <w:rsid w:val="00451158"/>
    <w:rsid w:val="00451E4F"/>
    <w:rsid w:val="0045537F"/>
    <w:rsid w:val="00457DC7"/>
    <w:rsid w:val="0046331B"/>
    <w:rsid w:val="00463EB5"/>
    <w:rsid w:val="004640B3"/>
    <w:rsid w:val="00472BCC"/>
    <w:rsid w:val="00477699"/>
    <w:rsid w:val="00492B3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5873"/>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993"/>
    <w:rsid w:val="005D4E1B"/>
    <w:rsid w:val="005D5EFF"/>
    <w:rsid w:val="005E751B"/>
    <w:rsid w:val="005F2751"/>
    <w:rsid w:val="005F3354"/>
    <w:rsid w:val="005F4AD6"/>
    <w:rsid w:val="0060005E"/>
    <w:rsid w:val="0060095B"/>
    <w:rsid w:val="006009E2"/>
    <w:rsid w:val="00601266"/>
    <w:rsid w:val="00610221"/>
    <w:rsid w:val="00610E73"/>
    <w:rsid w:val="00615D3D"/>
    <w:rsid w:val="00615F9B"/>
    <w:rsid w:val="00616DF2"/>
    <w:rsid w:val="00617815"/>
    <w:rsid w:val="0062385D"/>
    <w:rsid w:val="0063168D"/>
    <w:rsid w:val="00635C79"/>
    <w:rsid w:val="006423A7"/>
    <w:rsid w:val="006455DF"/>
    <w:rsid w:val="00645AF6"/>
    <w:rsid w:val="00647025"/>
    <w:rsid w:val="0064730A"/>
    <w:rsid w:val="006507DA"/>
    <w:rsid w:val="006531A4"/>
    <w:rsid w:val="00660774"/>
    <w:rsid w:val="0066269F"/>
    <w:rsid w:val="0066389A"/>
    <w:rsid w:val="0066495C"/>
    <w:rsid w:val="00665CC7"/>
    <w:rsid w:val="00672612"/>
    <w:rsid w:val="00674ECC"/>
    <w:rsid w:val="0067757D"/>
    <w:rsid w:val="00677F18"/>
    <w:rsid w:val="006805E2"/>
    <w:rsid w:val="006912EF"/>
    <w:rsid w:val="00693483"/>
    <w:rsid w:val="006A0BF3"/>
    <w:rsid w:val="006A22CB"/>
    <w:rsid w:val="006A4D3D"/>
    <w:rsid w:val="006A502B"/>
    <w:rsid w:val="006B0036"/>
    <w:rsid w:val="006B0DA6"/>
    <w:rsid w:val="006B3FA9"/>
    <w:rsid w:val="006C547E"/>
    <w:rsid w:val="006D2B51"/>
    <w:rsid w:val="006D5575"/>
    <w:rsid w:val="006D7191"/>
    <w:rsid w:val="006E21C4"/>
    <w:rsid w:val="006E3563"/>
    <w:rsid w:val="006E42BE"/>
    <w:rsid w:val="006E5D4D"/>
    <w:rsid w:val="006E6D16"/>
    <w:rsid w:val="006F2706"/>
    <w:rsid w:val="00703F2A"/>
    <w:rsid w:val="00704C5D"/>
    <w:rsid w:val="007072BC"/>
    <w:rsid w:val="00715275"/>
    <w:rsid w:val="00721B44"/>
    <w:rsid w:val="007232A2"/>
    <w:rsid w:val="00726366"/>
    <w:rsid w:val="00731AB6"/>
    <w:rsid w:val="00733B6B"/>
    <w:rsid w:val="00740808"/>
    <w:rsid w:val="00740A1B"/>
    <w:rsid w:val="007467C4"/>
    <w:rsid w:val="00755702"/>
    <w:rsid w:val="007613F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5842"/>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0243"/>
    <w:rsid w:val="008B14BE"/>
    <w:rsid w:val="008B19A6"/>
    <w:rsid w:val="008B4EFB"/>
    <w:rsid w:val="008B7615"/>
    <w:rsid w:val="008C21C8"/>
    <w:rsid w:val="008C6375"/>
    <w:rsid w:val="008C6A5B"/>
    <w:rsid w:val="008C7882"/>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1965"/>
    <w:rsid w:val="00964A38"/>
    <w:rsid w:val="00966A9D"/>
    <w:rsid w:val="0096742B"/>
    <w:rsid w:val="00967C64"/>
    <w:rsid w:val="009718C5"/>
    <w:rsid w:val="00976AFF"/>
    <w:rsid w:val="00986AED"/>
    <w:rsid w:val="009924CF"/>
    <w:rsid w:val="00994100"/>
    <w:rsid w:val="009942D6"/>
    <w:rsid w:val="009A04B7"/>
    <w:rsid w:val="009A6B17"/>
    <w:rsid w:val="009B052E"/>
    <w:rsid w:val="009B4E00"/>
    <w:rsid w:val="009C190D"/>
    <w:rsid w:val="009D1311"/>
    <w:rsid w:val="009D4C29"/>
    <w:rsid w:val="009E2B6D"/>
    <w:rsid w:val="009E58E9"/>
    <w:rsid w:val="009E6803"/>
    <w:rsid w:val="009F6AD2"/>
    <w:rsid w:val="009F6F84"/>
    <w:rsid w:val="009F7C1B"/>
    <w:rsid w:val="00A00B5B"/>
    <w:rsid w:val="00A00D8D"/>
    <w:rsid w:val="00A01BB6"/>
    <w:rsid w:val="00A108A7"/>
    <w:rsid w:val="00A228DA"/>
    <w:rsid w:val="00A22B28"/>
    <w:rsid w:val="00A3351E"/>
    <w:rsid w:val="00A4303C"/>
    <w:rsid w:val="00A46CAF"/>
    <w:rsid w:val="00A470FD"/>
    <w:rsid w:val="00A50B5E"/>
    <w:rsid w:val="00A62DAB"/>
    <w:rsid w:val="00A66CCC"/>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6B0E"/>
    <w:rsid w:val="00AC4B09"/>
    <w:rsid w:val="00AC5A01"/>
    <w:rsid w:val="00AD10EB"/>
    <w:rsid w:val="00AD1ED3"/>
    <w:rsid w:val="00AD3717"/>
    <w:rsid w:val="00AD74F4"/>
    <w:rsid w:val="00B019C1"/>
    <w:rsid w:val="00B02001"/>
    <w:rsid w:val="00B03C50"/>
    <w:rsid w:val="00B0777D"/>
    <w:rsid w:val="00B11576"/>
    <w:rsid w:val="00B1195F"/>
    <w:rsid w:val="00B14B0D"/>
    <w:rsid w:val="00B14D10"/>
    <w:rsid w:val="00B209C7"/>
    <w:rsid w:val="00B26480"/>
    <w:rsid w:val="00B3644F"/>
    <w:rsid w:val="00B4041B"/>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6C5"/>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32B"/>
    <w:rsid w:val="00C10ED5"/>
    <w:rsid w:val="00C12574"/>
    <w:rsid w:val="00C151A6"/>
    <w:rsid w:val="00C24098"/>
    <w:rsid w:val="00C24E2A"/>
    <w:rsid w:val="00C30A4E"/>
    <w:rsid w:val="00C411F3"/>
    <w:rsid w:val="00C44105"/>
    <w:rsid w:val="00C523EC"/>
    <w:rsid w:val="00C55A33"/>
    <w:rsid w:val="00C64D49"/>
    <w:rsid w:val="00C66692"/>
    <w:rsid w:val="00C673B5"/>
    <w:rsid w:val="00C7063D"/>
    <w:rsid w:val="00C72339"/>
    <w:rsid w:val="00C820BC"/>
    <w:rsid w:val="00C830BC"/>
    <w:rsid w:val="00C8524D"/>
    <w:rsid w:val="00C866E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7C3E"/>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4EBD"/>
    <w:rsid w:val="00E321B2"/>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D70BD"/>
    <w:rsid w:val="00EE0CC1"/>
    <w:rsid w:val="00EE17DF"/>
    <w:rsid w:val="00EF1482"/>
    <w:rsid w:val="00EF4621"/>
    <w:rsid w:val="00EF4D52"/>
    <w:rsid w:val="00EF6312"/>
    <w:rsid w:val="00F00C4B"/>
    <w:rsid w:val="00F017E9"/>
    <w:rsid w:val="00F038B0"/>
    <w:rsid w:val="00F05F34"/>
    <w:rsid w:val="00F06DF3"/>
    <w:rsid w:val="00F22B27"/>
    <w:rsid w:val="00F234A7"/>
    <w:rsid w:val="00F277B6"/>
    <w:rsid w:val="00F27DA5"/>
    <w:rsid w:val="00F37E07"/>
    <w:rsid w:val="00F4182A"/>
    <w:rsid w:val="00F464ED"/>
    <w:rsid w:val="00F51492"/>
    <w:rsid w:val="00F54380"/>
    <w:rsid w:val="00F54B47"/>
    <w:rsid w:val="00F61247"/>
    <w:rsid w:val="00F61F61"/>
    <w:rsid w:val="00F63191"/>
    <w:rsid w:val="00F6702E"/>
    <w:rsid w:val="00F70E84"/>
    <w:rsid w:val="00F80685"/>
    <w:rsid w:val="00F94968"/>
    <w:rsid w:val="00FA092B"/>
    <w:rsid w:val="00FA4F6C"/>
    <w:rsid w:val="00FA6EFD"/>
    <w:rsid w:val="00FB2A8E"/>
    <w:rsid w:val="00FB32B6"/>
    <w:rsid w:val="00FB3791"/>
    <w:rsid w:val="00FB6780"/>
    <w:rsid w:val="00FB74EA"/>
    <w:rsid w:val="00FC4293"/>
    <w:rsid w:val="00FD0ADB"/>
    <w:rsid w:val="00FD2C9E"/>
    <w:rsid w:val="00FD4786"/>
    <w:rsid w:val="00FD616C"/>
    <w:rsid w:val="00FE53F2"/>
    <w:rsid w:val="00FE5FB2"/>
    <w:rsid w:val="00FF0A00"/>
    <w:rsid w:val="00FF1C57"/>
    <w:rsid w:val="00FF2581"/>
    <w:rsid w:val="00FF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05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8C7882"/>
    <w:pPr>
      <w:ind w:left="720"/>
      <w:contextualSpacing/>
    </w:pPr>
    <w:rPr>
      <w:rFonts w:ascii="Calibri" w:eastAsia="Calibri" w:hAnsi="Calibri"/>
    </w:rPr>
  </w:style>
  <w:style w:type="character" w:styleId="CommentReference">
    <w:name w:val="annotation reference"/>
    <w:basedOn w:val="DefaultParagraphFont"/>
    <w:semiHidden/>
    <w:unhideWhenUsed/>
    <w:rsid w:val="00545873"/>
    <w:rPr>
      <w:sz w:val="16"/>
      <w:szCs w:val="16"/>
    </w:rPr>
  </w:style>
  <w:style w:type="paragraph" w:styleId="CommentText">
    <w:name w:val="annotation text"/>
    <w:basedOn w:val="Normal"/>
    <w:link w:val="CommentTextChar"/>
    <w:semiHidden/>
    <w:unhideWhenUsed/>
    <w:rsid w:val="00545873"/>
    <w:rPr>
      <w:sz w:val="20"/>
      <w:szCs w:val="20"/>
    </w:rPr>
  </w:style>
  <w:style w:type="character" w:customStyle="1" w:styleId="CommentTextChar">
    <w:name w:val="Comment Text Char"/>
    <w:basedOn w:val="DefaultParagraphFont"/>
    <w:link w:val="CommentText"/>
    <w:semiHidden/>
    <w:rsid w:val="00545873"/>
  </w:style>
  <w:style w:type="paragraph" w:styleId="CommentSubject">
    <w:name w:val="annotation subject"/>
    <w:basedOn w:val="CommentText"/>
    <w:next w:val="CommentText"/>
    <w:link w:val="CommentSubjectChar"/>
    <w:semiHidden/>
    <w:unhideWhenUsed/>
    <w:rsid w:val="00545873"/>
    <w:rPr>
      <w:b/>
      <w:bCs/>
    </w:rPr>
  </w:style>
  <w:style w:type="character" w:customStyle="1" w:styleId="CommentSubjectChar">
    <w:name w:val="Comment Subject Char"/>
    <w:basedOn w:val="CommentTextChar"/>
    <w:link w:val="CommentSubject"/>
    <w:semiHidden/>
    <w:rsid w:val="00545873"/>
    <w:rPr>
      <w:b/>
      <w:bCs/>
    </w:rPr>
  </w:style>
  <w:style w:type="paragraph" w:styleId="BalloonText">
    <w:name w:val="Balloon Text"/>
    <w:basedOn w:val="Normal"/>
    <w:link w:val="BalloonTextChar"/>
    <w:semiHidden/>
    <w:unhideWhenUsed/>
    <w:rsid w:val="00545873"/>
    <w:rPr>
      <w:rFonts w:ascii="Segoe UI" w:hAnsi="Segoe UI" w:cs="Segoe UI"/>
      <w:sz w:val="18"/>
      <w:szCs w:val="18"/>
    </w:rPr>
  </w:style>
  <w:style w:type="character" w:customStyle="1" w:styleId="BalloonTextChar">
    <w:name w:val="Balloon Text Char"/>
    <w:basedOn w:val="DefaultParagraphFont"/>
    <w:link w:val="BalloonText"/>
    <w:semiHidden/>
    <w:rsid w:val="00545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604F-0AA0-4C28-BB15-7BC70B0A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2025-09-12T20:10:00Z</dcterms:created>
  <dcterms:modified xsi:type="dcterms:W3CDTF">2025-09-12T20:17:00Z</dcterms:modified>
</cp:coreProperties>
</file>