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9C9C7" w14:textId="77777777" w:rsidR="00CB5276" w:rsidRDefault="00FF1D47" w:rsidP="00FF1D47">
      <w:pPr>
        <w:pStyle w:val="OrderHeading"/>
      </w:pPr>
      <w:r>
        <w:t>BEFORE THE FLORIDA PUBLIC SERVICE COMMISSION</w:t>
      </w:r>
    </w:p>
    <w:p w14:paraId="00CEBBB3" w14:textId="77777777" w:rsidR="00FF1D47" w:rsidRDefault="00FF1D47" w:rsidP="00FF1D47">
      <w:pPr>
        <w:pStyle w:val="OrderBody"/>
      </w:pPr>
    </w:p>
    <w:p w14:paraId="160384CB" w14:textId="77777777" w:rsidR="00FF1D47" w:rsidRDefault="00FF1D47" w:rsidP="00FF1D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1D47" w:rsidRPr="00C63FCF" w14:paraId="53467188" w14:textId="77777777" w:rsidTr="00C63FCF">
        <w:trPr>
          <w:trHeight w:val="828"/>
        </w:trPr>
        <w:tc>
          <w:tcPr>
            <w:tcW w:w="4788" w:type="dxa"/>
            <w:tcBorders>
              <w:bottom w:val="single" w:sz="8" w:space="0" w:color="auto"/>
              <w:right w:val="double" w:sz="6" w:space="0" w:color="auto"/>
            </w:tcBorders>
            <w:shd w:val="clear" w:color="auto" w:fill="auto"/>
          </w:tcPr>
          <w:p w14:paraId="200A0D28" w14:textId="77777777" w:rsidR="00FF1D47" w:rsidRDefault="00FF1D47"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14:paraId="3CA7795B" w14:textId="77777777" w:rsidR="00FF1D47" w:rsidRDefault="00FF1D47" w:rsidP="00FF1D47">
            <w:pPr>
              <w:pStyle w:val="OrderBody"/>
            </w:pPr>
            <w:r>
              <w:t xml:space="preserve">DOCKET NO. </w:t>
            </w:r>
            <w:bookmarkStart w:id="1" w:name="SSDocketNo"/>
            <w:bookmarkEnd w:id="1"/>
            <w:r>
              <w:t>20250035-GU</w:t>
            </w:r>
          </w:p>
          <w:p w14:paraId="7FE774A1" w14:textId="02A7878D" w:rsidR="00FF1D47" w:rsidRDefault="00FF1D47" w:rsidP="00C63FCF">
            <w:pPr>
              <w:pStyle w:val="OrderBody"/>
              <w:tabs>
                <w:tab w:val="center" w:pos="4320"/>
                <w:tab w:val="right" w:pos="8640"/>
              </w:tabs>
              <w:jc w:val="left"/>
            </w:pPr>
            <w:r>
              <w:t xml:space="preserve">ORDER NO. </w:t>
            </w:r>
            <w:bookmarkStart w:id="2" w:name="OrderNo0360"/>
            <w:r w:rsidR="00B04824">
              <w:t>PSC-2025-0360-PCO-GU</w:t>
            </w:r>
            <w:bookmarkEnd w:id="2"/>
          </w:p>
          <w:p w14:paraId="6D724177" w14:textId="37B4B968" w:rsidR="00FF1D47" w:rsidRDefault="00FF1D47" w:rsidP="00C63FCF">
            <w:pPr>
              <w:pStyle w:val="OrderBody"/>
              <w:tabs>
                <w:tab w:val="center" w:pos="4320"/>
                <w:tab w:val="right" w:pos="8640"/>
              </w:tabs>
              <w:jc w:val="left"/>
            </w:pPr>
            <w:r>
              <w:t xml:space="preserve">ISSUED: </w:t>
            </w:r>
            <w:r w:rsidR="00B04824">
              <w:t>September 24, 2025</w:t>
            </w:r>
          </w:p>
        </w:tc>
      </w:tr>
    </w:tbl>
    <w:p w14:paraId="507E5F9F" w14:textId="77777777" w:rsidR="00FF1D47" w:rsidRDefault="00FF1D47" w:rsidP="00FF1D47"/>
    <w:p w14:paraId="1B274236" w14:textId="77777777" w:rsidR="00FF1D47" w:rsidRDefault="00FF1D47" w:rsidP="00FF1D47"/>
    <w:p w14:paraId="4C23D73A" w14:textId="77777777" w:rsidR="00FF1D47" w:rsidRDefault="00FF1D47" w:rsidP="00B67A43">
      <w:pPr>
        <w:ind w:firstLine="720"/>
        <w:jc w:val="both"/>
      </w:pPr>
      <w:bookmarkStart w:id="3" w:name="Commissioners"/>
      <w:bookmarkEnd w:id="3"/>
      <w:r>
        <w:t>The following Commissioners participated in the disposition of this matter:</w:t>
      </w:r>
    </w:p>
    <w:p w14:paraId="16049C19" w14:textId="77777777" w:rsidR="00FF1D47" w:rsidRDefault="00FF1D47" w:rsidP="00B67A43"/>
    <w:p w14:paraId="49E51E42" w14:textId="77777777" w:rsidR="00FF1D47" w:rsidRDefault="00FF1D47" w:rsidP="00477699">
      <w:pPr>
        <w:jc w:val="center"/>
      </w:pPr>
      <w:r>
        <w:t>MIKE LA ROSA, Chairman</w:t>
      </w:r>
    </w:p>
    <w:p w14:paraId="75C6A623" w14:textId="77777777" w:rsidR="00FF1D47" w:rsidRDefault="00FF1D47" w:rsidP="00B67A43">
      <w:pPr>
        <w:jc w:val="center"/>
      </w:pPr>
      <w:r>
        <w:t>ART GRAHAM</w:t>
      </w:r>
    </w:p>
    <w:p w14:paraId="60E07696" w14:textId="77777777" w:rsidR="00FF1D47" w:rsidRDefault="00FF1D47" w:rsidP="00B67A43">
      <w:pPr>
        <w:jc w:val="center"/>
      </w:pPr>
      <w:r>
        <w:t>GARY F. CLARK</w:t>
      </w:r>
    </w:p>
    <w:p w14:paraId="1E324BA9" w14:textId="77777777" w:rsidR="00FF1D47" w:rsidRDefault="00FF1D47" w:rsidP="00B67A43">
      <w:pPr>
        <w:jc w:val="center"/>
      </w:pPr>
      <w:r>
        <w:t>ANDREW GILES FAY</w:t>
      </w:r>
    </w:p>
    <w:p w14:paraId="0A8D4CD8" w14:textId="77777777" w:rsidR="00FF1D47" w:rsidRPr="005F2751" w:rsidRDefault="00FF1D47" w:rsidP="00B67A43">
      <w:pPr>
        <w:jc w:val="center"/>
      </w:pPr>
      <w:r w:rsidRPr="005F2751">
        <w:rPr>
          <w:lang w:val="en"/>
        </w:rPr>
        <w:t>GABRIELLA PASSIDOMO</w:t>
      </w:r>
      <w:r>
        <w:rPr>
          <w:lang w:val="en"/>
        </w:rPr>
        <w:t xml:space="preserve"> SMITH</w:t>
      </w:r>
    </w:p>
    <w:p w14:paraId="69C9A1A7" w14:textId="77777777" w:rsidR="00FF1D47" w:rsidRDefault="00FF1D47" w:rsidP="00B67A43"/>
    <w:p w14:paraId="774B83CB" w14:textId="77777777" w:rsidR="00FF1D47" w:rsidRDefault="00FF1D47"/>
    <w:p w14:paraId="270BF3D1" w14:textId="77777777" w:rsidR="00BF0E4F" w:rsidRDefault="00FF1D47">
      <w:pPr>
        <w:pStyle w:val="OrderBody"/>
        <w:jc w:val="center"/>
        <w:rPr>
          <w:u w:val="single"/>
        </w:rPr>
      </w:pPr>
      <w:bookmarkStart w:id="4" w:name="OrderText"/>
      <w:bookmarkEnd w:id="4"/>
      <w:r w:rsidRPr="003E4B2D">
        <w:rPr>
          <w:u w:val="single"/>
        </w:rPr>
        <w:t>ORDER</w:t>
      </w:r>
      <w:bookmarkStart w:id="5" w:name="OrderTitle"/>
      <w:r w:rsidR="00BF0E4F">
        <w:rPr>
          <w:u w:val="single"/>
        </w:rPr>
        <w:t xml:space="preserve"> DENYING</w:t>
      </w:r>
      <w:r w:rsidR="00E24780">
        <w:rPr>
          <w:u w:val="single"/>
        </w:rPr>
        <w:t xml:space="preserve"> THE</w:t>
      </w:r>
      <w:r w:rsidR="00BF0E4F">
        <w:rPr>
          <w:u w:val="single"/>
        </w:rPr>
        <w:t xml:space="preserve"> OFFICE OF PUBLIC COUNSEL’S</w:t>
      </w:r>
    </w:p>
    <w:p w14:paraId="10955027" w14:textId="77777777" w:rsidR="00FF1D47" w:rsidRPr="003E4B2D" w:rsidRDefault="00BF0E4F">
      <w:pPr>
        <w:pStyle w:val="OrderBody"/>
        <w:jc w:val="center"/>
        <w:rPr>
          <w:u w:val="single"/>
        </w:rPr>
      </w:pPr>
      <w:r>
        <w:rPr>
          <w:u w:val="single"/>
        </w:rPr>
        <w:t xml:space="preserve">MOTION TO DISMISS AND MOTION FOR </w:t>
      </w:r>
      <w:r w:rsidR="00F43F93">
        <w:rPr>
          <w:u w:val="single"/>
        </w:rPr>
        <w:t>RECONSIDERATION</w:t>
      </w:r>
      <w:r w:rsidR="00FF1D47">
        <w:rPr>
          <w:u w:val="single"/>
        </w:rPr>
        <w:t xml:space="preserve"> </w:t>
      </w:r>
      <w:bookmarkEnd w:id="5"/>
    </w:p>
    <w:p w14:paraId="4B3096A0" w14:textId="77777777" w:rsidR="00FF1D47" w:rsidRPr="003E4B2D" w:rsidRDefault="00FF1D47">
      <w:pPr>
        <w:pStyle w:val="OrderBody"/>
      </w:pPr>
    </w:p>
    <w:p w14:paraId="220F4348" w14:textId="77777777" w:rsidR="00FF1D47" w:rsidRPr="003E4B2D" w:rsidRDefault="00FF1D47">
      <w:pPr>
        <w:pStyle w:val="OrderBody"/>
      </w:pPr>
    </w:p>
    <w:p w14:paraId="3E94DBC0" w14:textId="77777777" w:rsidR="00FF1D47" w:rsidRPr="003E4B2D" w:rsidRDefault="00FF1D47">
      <w:pPr>
        <w:pStyle w:val="OrderBody"/>
      </w:pPr>
      <w:r w:rsidRPr="003E4B2D">
        <w:t>BY THE COMMISSION:</w:t>
      </w:r>
    </w:p>
    <w:p w14:paraId="680BB606" w14:textId="0AA6E1AE" w:rsidR="00FF1D47" w:rsidRDefault="00FF1D47" w:rsidP="00945439">
      <w:pPr>
        <w:pStyle w:val="CenterUnderline"/>
        <w:jc w:val="left"/>
      </w:pPr>
    </w:p>
    <w:p w14:paraId="24530103" w14:textId="77777777" w:rsidR="00E739C6" w:rsidRPr="00BF0E4F" w:rsidRDefault="00E739C6" w:rsidP="00E739C6">
      <w:pPr>
        <w:pStyle w:val="RecommendationMajorSectionHeading"/>
        <w:rPr>
          <w:rFonts w:ascii="Times New Roman" w:hAnsi="Times New Roman" w:cs="Times New Roman"/>
        </w:rPr>
      </w:pPr>
      <w:r w:rsidRPr="00BF0E4F">
        <w:rPr>
          <w:rFonts w:ascii="Times New Roman" w:hAnsi="Times New Roman" w:cs="Times New Roman"/>
        </w:rPr>
        <w:t>Background</w:t>
      </w:r>
      <w:r w:rsidRPr="00BF0E4F">
        <w:rPr>
          <w:rFonts w:ascii="Times New Roman" w:hAnsi="Times New Roman" w:cs="Times New Roman"/>
        </w:rPr>
        <w:fldChar w:fldCharType="begin"/>
      </w:r>
      <w:r w:rsidRPr="00BF0E4F">
        <w:rPr>
          <w:rFonts w:ascii="Times New Roman" w:hAnsi="Times New Roman" w:cs="Times New Roman"/>
        </w:rPr>
        <w:instrText xml:space="preserve"> TC  "</w:instrText>
      </w:r>
      <w:r w:rsidRPr="00BF0E4F">
        <w:rPr>
          <w:rFonts w:ascii="Times New Roman" w:hAnsi="Times New Roman" w:cs="Times New Roman"/>
        </w:rPr>
        <w:tab/>
      </w:r>
      <w:bookmarkStart w:id="6" w:name="_Toc94516455"/>
      <w:r w:rsidRPr="00BF0E4F">
        <w:rPr>
          <w:rFonts w:ascii="Times New Roman" w:hAnsi="Times New Roman" w:cs="Times New Roman"/>
        </w:rPr>
        <w:instrText>Case Background</w:instrText>
      </w:r>
      <w:bookmarkEnd w:id="6"/>
      <w:r w:rsidRPr="00BF0E4F">
        <w:rPr>
          <w:rFonts w:ascii="Times New Roman" w:hAnsi="Times New Roman" w:cs="Times New Roman"/>
        </w:rPr>
        <w:instrText xml:space="preserve">" \l 1 </w:instrText>
      </w:r>
      <w:r w:rsidRPr="00BF0E4F">
        <w:rPr>
          <w:rFonts w:ascii="Times New Roman" w:hAnsi="Times New Roman" w:cs="Times New Roman"/>
        </w:rPr>
        <w:fldChar w:fldCharType="end"/>
      </w:r>
    </w:p>
    <w:p w14:paraId="1F5A9B18" w14:textId="77777777" w:rsidR="00E739C6" w:rsidRDefault="00E739C6" w:rsidP="00BF0E4F">
      <w:pPr>
        <w:pStyle w:val="BodyText"/>
        <w:ind w:firstLine="720"/>
        <w:jc w:val="both"/>
      </w:pPr>
      <w:r>
        <w:t xml:space="preserve">On February 24, 2025, Florida City Gas (FCG or Company) filed a Petition for Approval of Depreciation Study and for Approval to Amortize Reserve Imbalance under Rule 25-7.045, Florida Administrative Code (F.A.C.). The petition includes a depreciation study (2025 Depreciation Study) and proposes depreciation parameters that result in a total calculated reserve surplus of $27.3 million. FCG seeks approval of its 2025 Depreciation Study; an effective date for new depreciation rates of January 1, 2025; and approval to amortize the calculated $27.3 million reserve surplus over a two-year period. </w:t>
      </w:r>
    </w:p>
    <w:p w14:paraId="71FCBABD" w14:textId="77777777" w:rsidR="00E739C6" w:rsidRDefault="006E0804" w:rsidP="00BF0E4F">
      <w:pPr>
        <w:pStyle w:val="CenterUnderline"/>
        <w:ind w:firstLine="720"/>
        <w:jc w:val="both"/>
        <w:rPr>
          <w:u w:val="none"/>
        </w:rPr>
      </w:pPr>
      <w:r>
        <w:rPr>
          <w:u w:val="none"/>
        </w:rPr>
        <w:t>We</w:t>
      </w:r>
      <w:r w:rsidR="00E739C6" w:rsidRPr="00E739C6">
        <w:rPr>
          <w:u w:val="none"/>
        </w:rPr>
        <w:t xml:space="preserve"> last approved depreciation rates for FCG in 2023, in connection with the Company’s 2022 request for base rate increase, by Order No. PSC-2023-0177-FOF-GU (2023</w:t>
      </w:r>
      <w:r w:rsidR="00BF0E4F" w:rsidRPr="00BF0E4F">
        <w:rPr>
          <w:u w:val="none"/>
        </w:rPr>
        <w:t xml:space="preserve"> </w:t>
      </w:r>
      <w:r w:rsidR="00E739C6" w:rsidRPr="00BF0E4F">
        <w:rPr>
          <w:u w:val="none"/>
        </w:rPr>
        <w:t>Final Order).</w:t>
      </w:r>
      <w:r w:rsidR="00E739C6" w:rsidRPr="00BF0E4F">
        <w:rPr>
          <w:rStyle w:val="FootnoteReference"/>
          <w:u w:val="none"/>
        </w:rPr>
        <w:footnoteReference w:id="1"/>
      </w:r>
      <w:r w:rsidR="00E739C6" w:rsidRPr="00BF0E4F">
        <w:rPr>
          <w:u w:val="none"/>
        </w:rPr>
        <w:t xml:space="preserve"> That order approved depreciation parameters that resulted in a total reserve surplus of $52,126,500, of which $25 million could be amortized over a four-year period using a Reserve Surplus Amortization Mechanism (RSAM) requested by FCG. The Office of Public Counsel (OPC) appealed the </w:t>
      </w:r>
      <w:r w:rsidR="00B05739">
        <w:rPr>
          <w:u w:val="none"/>
        </w:rPr>
        <w:t>2023 Final Order, as well as</w:t>
      </w:r>
      <w:r w:rsidR="00E739C6" w:rsidRPr="00BF0E4F">
        <w:rPr>
          <w:u w:val="none"/>
        </w:rPr>
        <w:t xml:space="preserve"> </w:t>
      </w:r>
      <w:r>
        <w:rPr>
          <w:u w:val="none"/>
        </w:rPr>
        <w:t>our</w:t>
      </w:r>
      <w:r w:rsidR="00E739C6" w:rsidRPr="00BF0E4F">
        <w:rPr>
          <w:u w:val="none"/>
        </w:rPr>
        <w:t xml:space="preserve"> subsequent Clarifying Order. The matter is currently pending before the Florida Supreme Court, awaiting the Court’s decision. </w:t>
      </w:r>
    </w:p>
    <w:p w14:paraId="0794C865" w14:textId="77777777" w:rsidR="00BF0E4F" w:rsidRPr="00BF0E4F" w:rsidRDefault="00BF0E4F" w:rsidP="00BF0E4F">
      <w:pPr>
        <w:pStyle w:val="CenterUnderline"/>
        <w:ind w:firstLine="720"/>
        <w:jc w:val="both"/>
        <w:rPr>
          <w:b/>
          <w:u w:val="none"/>
        </w:rPr>
      </w:pPr>
    </w:p>
    <w:p w14:paraId="71D8752C" w14:textId="55E2185D" w:rsidR="00E739C6" w:rsidRDefault="00E739C6" w:rsidP="00BF0E4F">
      <w:pPr>
        <w:pStyle w:val="BodyText"/>
        <w:ind w:firstLine="720"/>
        <w:jc w:val="both"/>
      </w:pPr>
      <w:r>
        <w:t>On February 26, 2025, OPC filed a Notice of Intervention</w:t>
      </w:r>
      <w:r>
        <w:rPr>
          <w:rStyle w:val="FootnoteReference"/>
        </w:rPr>
        <w:footnoteReference w:id="2"/>
      </w:r>
      <w:r>
        <w:t xml:space="preserve"> pursuant to Section 350.0611, Florida Statutes (F.S.). The following day, OPC filed a Motion to Hold Proceedings in Abeyance (Abeyance Motion), which was denied by the Prehearing Officer by Order No. PSC-2025-0102-</w:t>
      </w:r>
      <w:r>
        <w:lastRenderedPageBreak/>
        <w:t>PCO-GU, issued on April 1, 2025 (Denial Order). OPC subsequently filed a Motion for Reconsideration of the Denial Order on April 11, 2025, and an accompanying Request for Oral Argument, to which FCG filed a Response in Opposition to Citizens’ Motion for Reconsideration and Response to Request for Oral Argument (Reconsideration Response) on April 17, 2025.</w:t>
      </w:r>
    </w:p>
    <w:p w14:paraId="181418D1" w14:textId="3E59A198" w:rsidR="00E739C6" w:rsidRDefault="00E739C6" w:rsidP="00BF0E4F">
      <w:pPr>
        <w:pStyle w:val="BodyText"/>
        <w:ind w:firstLine="720"/>
        <w:jc w:val="both"/>
      </w:pPr>
      <w:r>
        <w:t>Separately, on June 20, 2025, OPC filed a Motion to Dismiss, in which it argued t</w:t>
      </w:r>
      <w:r w:rsidR="006E0804">
        <w:t>hat</w:t>
      </w:r>
      <w:r>
        <w:t xml:space="preserve"> </w:t>
      </w:r>
      <w:r w:rsidR="006E0804">
        <w:t>we</w:t>
      </w:r>
      <w:r>
        <w:t xml:space="preserve"> lack jurisdiction to consider FCG’s Petition, and an accompanying Request for Oral Argument on its Motion to Dismiss. On June 30, 2025, FCG filed a Response in Opposition to OPC’s Motion to Dismiss and Response to Request for Oral Argument (Dismissal Response).</w:t>
      </w:r>
    </w:p>
    <w:p w14:paraId="5608B8E8" w14:textId="780DEAAA" w:rsidR="00FF1D47" w:rsidRPr="00737F17" w:rsidRDefault="00BF0E4F" w:rsidP="00BF0E4F">
      <w:pPr>
        <w:pStyle w:val="CenterUnderline"/>
        <w:ind w:firstLine="720"/>
        <w:jc w:val="both"/>
        <w:rPr>
          <w:b/>
          <w:u w:val="none"/>
        </w:rPr>
      </w:pPr>
      <w:r>
        <w:rPr>
          <w:u w:val="none"/>
        </w:rPr>
        <w:t>This order</w:t>
      </w:r>
      <w:r w:rsidR="00E739C6" w:rsidRPr="00737F17">
        <w:rPr>
          <w:u w:val="none"/>
        </w:rPr>
        <w:t xml:space="preserve"> addresses OPC’s Motion to Dismiss and Motion for Reconsideration, as well as its corresponding Requests for Oral Argument (c</w:t>
      </w:r>
      <w:r w:rsidR="006E0804">
        <w:rPr>
          <w:u w:val="none"/>
        </w:rPr>
        <w:t>ollectively OPC’s Motions). We have</w:t>
      </w:r>
      <w:r w:rsidR="00E739C6" w:rsidRPr="00737F17">
        <w:rPr>
          <w:u w:val="none"/>
        </w:rPr>
        <w:t xml:space="preserve"> jurisdiction pursuant to Chapter 366, F.S., including Section 366.0</w:t>
      </w:r>
      <w:r w:rsidR="00C8353B">
        <w:rPr>
          <w:u w:val="none"/>
        </w:rPr>
        <w:t>4</w:t>
      </w:r>
      <w:r w:rsidR="00E739C6" w:rsidRPr="00737F17">
        <w:rPr>
          <w:u w:val="none"/>
        </w:rPr>
        <w:t xml:space="preserve"> and 366.05, F.S., as well as Rules 25-22.0022, 25-22.0376, and 28-106.204, F.A.C.</w:t>
      </w:r>
    </w:p>
    <w:p w14:paraId="27AA71DA" w14:textId="77777777" w:rsidR="00FF1D47" w:rsidRPr="00737F17" w:rsidRDefault="00FF1D47" w:rsidP="00123BFA">
      <w:pPr>
        <w:pStyle w:val="CenterUnderline"/>
        <w:jc w:val="both"/>
        <w:rPr>
          <w:b/>
          <w:u w:val="none"/>
        </w:rPr>
      </w:pPr>
    </w:p>
    <w:p w14:paraId="50DE7C4E" w14:textId="77777777" w:rsidR="00737F17" w:rsidRPr="006E0804" w:rsidRDefault="006E0804" w:rsidP="006E0804">
      <w:pPr>
        <w:pStyle w:val="First-LevelSubheading"/>
        <w:ind w:firstLine="720"/>
        <w:rPr>
          <w:rFonts w:ascii="Times New Roman" w:hAnsi="Times New Roman" w:cs="Times New Roman"/>
        </w:rPr>
      </w:pPr>
      <w:r w:rsidRPr="006E0804">
        <w:rPr>
          <w:rFonts w:ascii="Times New Roman" w:hAnsi="Times New Roman" w:cs="Times New Roman"/>
        </w:rPr>
        <w:t xml:space="preserve">A.   </w:t>
      </w:r>
      <w:r w:rsidR="00737F17" w:rsidRPr="006E0804">
        <w:rPr>
          <w:rFonts w:ascii="Times New Roman" w:hAnsi="Times New Roman" w:cs="Times New Roman"/>
        </w:rPr>
        <w:t>Review of OPC’s Motions</w:t>
      </w:r>
    </w:p>
    <w:p w14:paraId="02539A73" w14:textId="77777777" w:rsidR="00BF0E4F" w:rsidRPr="00BF0E4F" w:rsidRDefault="00BF0E4F" w:rsidP="00BF0E4F">
      <w:pPr>
        <w:pStyle w:val="BodyText"/>
        <w:spacing w:after="0"/>
      </w:pPr>
    </w:p>
    <w:p w14:paraId="599542FA" w14:textId="14832BBE" w:rsidR="00E739C6" w:rsidRDefault="00EF6134" w:rsidP="00C76E09">
      <w:pPr>
        <w:pStyle w:val="BodyText"/>
        <w:ind w:firstLine="720"/>
        <w:jc w:val="both"/>
      </w:pPr>
      <w:r>
        <w:t>As a threshold matter, we note</w:t>
      </w:r>
      <w:r w:rsidR="00737F17" w:rsidRPr="006368CA">
        <w:t xml:space="preserve"> that </w:t>
      </w:r>
      <w:r w:rsidR="00737F17">
        <w:t xml:space="preserve">both of </w:t>
      </w:r>
      <w:r w:rsidR="00737F17" w:rsidRPr="006368CA">
        <w:t>OPC’s Motion</w:t>
      </w:r>
      <w:r w:rsidR="00737F17">
        <w:t>s, as well as its prior Abeyance Motion,</w:t>
      </w:r>
      <w:r w:rsidR="00737F17" w:rsidRPr="006368CA">
        <w:t xml:space="preserve"> </w:t>
      </w:r>
      <w:r w:rsidR="00737F17">
        <w:t xml:space="preserve">raise questions related to </w:t>
      </w:r>
      <w:r w:rsidR="006E0804">
        <w:t>our</w:t>
      </w:r>
      <w:r w:rsidR="00737F17">
        <w:t xml:space="preserve"> jurisdiction to consider FCG’s petition in this docket or </w:t>
      </w:r>
      <w:r w:rsidR="006E0804">
        <w:t>requests that we</w:t>
      </w:r>
      <w:r w:rsidR="00737F17" w:rsidRPr="006368CA">
        <w:t xml:space="preserve"> should not consider FCG’s petition until the </w:t>
      </w:r>
      <w:r w:rsidR="00737F17">
        <w:t xml:space="preserve">Florida </w:t>
      </w:r>
      <w:r w:rsidR="00737F17" w:rsidRPr="006368CA">
        <w:t xml:space="preserve">Supreme Court renders a decision on OPC’s appeal of </w:t>
      </w:r>
      <w:r w:rsidR="00C8353B">
        <w:t>our</w:t>
      </w:r>
      <w:r w:rsidR="009A6404">
        <w:t xml:space="preserve"> Rate Case Order. While we acknowledge</w:t>
      </w:r>
      <w:r w:rsidR="00737F17" w:rsidRPr="006368CA">
        <w:t xml:space="preserve"> that OPC has a right to raise lack of jurisdiction at any time in a case,</w:t>
      </w:r>
      <w:r w:rsidR="00737F17">
        <w:rPr>
          <w:rStyle w:val="FootnoteReference"/>
        </w:rPr>
        <w:footnoteReference w:id="3"/>
      </w:r>
      <w:r w:rsidR="00737F17">
        <w:t xml:space="preserve"> </w:t>
      </w:r>
      <w:r w:rsidR="00C8353B">
        <w:t xml:space="preserve">we </w:t>
      </w:r>
      <w:r w:rsidR="00737F17">
        <w:t>note that each of these motions has been filed under different legal standards. For the sake of clarif</w:t>
      </w:r>
      <w:r w:rsidR="009A6404">
        <w:t>ying the scope of this order</w:t>
      </w:r>
      <w:r w:rsidR="00737F17">
        <w:t xml:space="preserve"> and the </w:t>
      </w:r>
      <w:r w:rsidR="009A6404">
        <w:t>standard by which we shall</w:t>
      </w:r>
      <w:r w:rsidR="00737F17">
        <w:t xml:space="preserve"> consider and rule</w:t>
      </w:r>
      <w:r w:rsidR="009A6404">
        <w:t xml:space="preserve"> on each of OPC’s Motions, we </w:t>
      </w:r>
      <w:r w:rsidR="00C8353B">
        <w:t xml:space="preserve">include </w:t>
      </w:r>
      <w:r w:rsidR="00737F17">
        <w:t>a brief review of the prior motions.</w:t>
      </w:r>
    </w:p>
    <w:p w14:paraId="4E37450A" w14:textId="77777777" w:rsidR="00E57E7D" w:rsidRDefault="00E57E7D" w:rsidP="00BF0E4F">
      <w:pPr>
        <w:pStyle w:val="BodyText"/>
        <w:ind w:firstLine="720"/>
        <w:jc w:val="both"/>
      </w:pPr>
      <w:r>
        <w:t>OPC’s first motion in this docket, the Abeyance Motion, was resolved by the Prehearing Officer’s Denial Order, issued on April 1, 2025. That motion was filed pursuant to Rule 28-106.211, F.A.C., which provides that the prehearing officer “may issue any orders necessary to effectuate discovery, to prevent delay, and to promote the just, speedy, and inexpensive determination of all aspects of the case.” As such, the Prehearing Officer’s decision to deny the Abeyance Motion was an exercise of discretion that, as stated in the order, “pragmatically balance[d] regulatory efficiency, fairness to all the concerned parties, and the public interest in general.”</w:t>
      </w:r>
      <w:r>
        <w:rPr>
          <w:rStyle w:val="FootnoteReference"/>
        </w:rPr>
        <w:footnoteReference w:id="4"/>
      </w:r>
    </w:p>
    <w:p w14:paraId="396070C4" w14:textId="1A46D854" w:rsidR="00E57E7D" w:rsidRDefault="00E57E7D" w:rsidP="00BF0E4F">
      <w:pPr>
        <w:pStyle w:val="BodyText"/>
        <w:ind w:firstLine="720"/>
        <w:jc w:val="both"/>
      </w:pPr>
      <w:r>
        <w:t>OPC’s second motion, the Motion for Reconsideration of the Prehearing Officer’s order denying its Abeyan</w:t>
      </w:r>
      <w:r w:rsidR="006E0804">
        <w:t xml:space="preserve">ce Motion, </w:t>
      </w:r>
      <w:r>
        <w:t>was filed pursuant to Rule 25-22.0376, F.A.C., which allows a party to seek reconsideration of non-final or</w:t>
      </w:r>
      <w:r w:rsidR="006E0804">
        <w:t>ders. The standard by which we</w:t>
      </w:r>
      <w:r>
        <w:t xml:space="preserve"> consider a motion for reconsideration is whether the motion identifies a point of fact or law that the prehearing officer overlooked or failed to consider in rendering an order. </w:t>
      </w:r>
      <w:r w:rsidRPr="00B72D92">
        <w:rPr>
          <w:i/>
          <w:iCs/>
        </w:rPr>
        <w:t xml:space="preserve">See </w:t>
      </w:r>
      <w:r w:rsidRPr="00ED7282">
        <w:rPr>
          <w:i/>
          <w:iCs/>
        </w:rPr>
        <w:t>Stewart Bonded Warehouse, Inc. v. Bevis</w:t>
      </w:r>
      <w:r w:rsidRPr="00ED7282">
        <w:t xml:space="preserve">, 294 So. 2d 315 (Fla. 1974); </w:t>
      </w:r>
      <w:r w:rsidRPr="00ED7282">
        <w:rPr>
          <w:i/>
          <w:iCs/>
        </w:rPr>
        <w:t>Diamond Cab Co. v. King</w:t>
      </w:r>
      <w:r w:rsidRPr="00ED7282">
        <w:t xml:space="preserve">, 146 So. 2d 889 (Fla. 1962); </w:t>
      </w:r>
      <w:r w:rsidRPr="00ED7282">
        <w:rPr>
          <w:i/>
          <w:iCs/>
        </w:rPr>
        <w:t>Pingree v. Quaintance</w:t>
      </w:r>
      <w:r w:rsidRPr="00ED7282">
        <w:t>, 394 So. 2d 161 (Fla. 1st DCA 1981).</w:t>
      </w:r>
    </w:p>
    <w:p w14:paraId="43D2EAC4" w14:textId="3444C0AB" w:rsidR="00E57E7D" w:rsidRDefault="00E57E7D" w:rsidP="00BF0E4F">
      <w:pPr>
        <w:pStyle w:val="BodyText"/>
        <w:ind w:firstLine="720"/>
        <w:jc w:val="both"/>
      </w:pPr>
      <w:r>
        <w:lastRenderedPageBreak/>
        <w:t>OPC’s third motion, the Motion to Dismiss, raise</w:t>
      </w:r>
      <w:r w:rsidR="00C8353B">
        <w:t>d</w:t>
      </w:r>
      <w:r w:rsidR="006E0804">
        <w:t xml:space="preserve"> as a legal question whether</w:t>
      </w:r>
      <w:r>
        <w:t xml:space="preserve"> </w:t>
      </w:r>
      <w:r w:rsidR="006E0804">
        <w:t>we</w:t>
      </w:r>
      <w:r>
        <w:t xml:space="preserve"> ha</w:t>
      </w:r>
      <w:r w:rsidR="00C8353B">
        <w:t>ve</w:t>
      </w:r>
      <w:r>
        <w:t xml:space="preserve"> jurisdiction to consi</w:t>
      </w:r>
      <w:r w:rsidR="006E0804">
        <w:t xml:space="preserve">der FCG’s petition. </w:t>
      </w:r>
      <w:r w:rsidR="00577C44">
        <w:t>W</w:t>
      </w:r>
      <w:r w:rsidR="006E0804">
        <w:t>e are</w:t>
      </w:r>
      <w:r>
        <w:t xml:space="preserve"> a creature of statute that can properly exercise only such power as is given </w:t>
      </w:r>
      <w:r w:rsidR="00C8353B">
        <w:t xml:space="preserve">to us </w:t>
      </w:r>
      <w:r>
        <w:t>by the Legislature</w:t>
      </w:r>
      <w:r w:rsidR="00577C44">
        <w:t>.</w:t>
      </w:r>
      <w:r>
        <w:t xml:space="preserve"> </w:t>
      </w:r>
      <w:r w:rsidR="00577C44">
        <w:t>I</w:t>
      </w:r>
      <w:r>
        <w:t xml:space="preserve">f at any stage of a proceeding </w:t>
      </w:r>
      <w:r w:rsidR="00C8353B">
        <w:t>we</w:t>
      </w:r>
      <w:r>
        <w:t xml:space="preserve"> determine that </w:t>
      </w:r>
      <w:r w:rsidR="00C8353B">
        <w:t>we</w:t>
      </w:r>
      <w:r>
        <w:t xml:space="preserve"> lack jurisdiction and thus the power to adjudicate a particular claim or to take a particular action, </w:t>
      </w:r>
      <w:r w:rsidR="00C8353B">
        <w:t>we</w:t>
      </w:r>
      <w:r>
        <w:t xml:space="preserve"> must enter an appropriate order. </w:t>
      </w:r>
      <w:r>
        <w:rPr>
          <w:i/>
        </w:rPr>
        <w:t>See, e.g.</w:t>
      </w:r>
      <w:r>
        <w:t xml:space="preserve">, </w:t>
      </w:r>
      <w:r>
        <w:rPr>
          <w:i/>
        </w:rPr>
        <w:t>Polk Cty. v. Sofka</w:t>
      </w:r>
      <w:r>
        <w:t>, 702 So. 2d 1243, 1245 (Fla. 1997). Thus, in consider</w:t>
      </w:r>
      <w:r w:rsidR="006E0804">
        <w:t>ing OPC’s Motion to Dismiss,</w:t>
      </w:r>
      <w:r>
        <w:t xml:space="preserve"> </w:t>
      </w:r>
      <w:r w:rsidR="006E0804">
        <w:t>we</w:t>
      </w:r>
      <w:r>
        <w:t xml:space="preserve"> must determine as a </w:t>
      </w:r>
      <w:r w:rsidR="00577C44">
        <w:t xml:space="preserve">matter </w:t>
      </w:r>
      <w:r>
        <w:t>of law whether</w:t>
      </w:r>
      <w:r w:rsidR="006E0804">
        <w:t xml:space="preserve"> we have</w:t>
      </w:r>
      <w:r>
        <w:t xml:space="preserve"> jurisdiction.</w:t>
      </w:r>
    </w:p>
    <w:p w14:paraId="0D8539B2" w14:textId="77777777" w:rsidR="00BA73E7" w:rsidRDefault="00BF0E4F" w:rsidP="00BF0E4F">
      <w:pPr>
        <w:ind w:firstLine="720"/>
        <w:jc w:val="both"/>
      </w:pPr>
      <w:r>
        <w:t xml:space="preserve">OPC requested </w:t>
      </w:r>
      <w:r w:rsidR="00BA73E7">
        <w:t>oral argument on both of these Motions. At the September 4</w:t>
      </w:r>
      <w:r w:rsidR="0041275D">
        <w:t>, 2025</w:t>
      </w:r>
      <w:r w:rsidR="00BA73E7">
        <w:t xml:space="preserve"> Agenda Conference we denied OPC oral argument on both Motions</w:t>
      </w:r>
      <w:r w:rsidR="00F927D6">
        <w:t>, because we found the pleading</w:t>
      </w:r>
      <w:r w:rsidR="000D4B5E">
        <w:t>s</w:t>
      </w:r>
      <w:r w:rsidR="00F927D6">
        <w:t xml:space="preserve"> sufficient</w:t>
      </w:r>
      <w:r w:rsidR="008A3BBE">
        <w:t xml:space="preserve"> to make a determination</w:t>
      </w:r>
      <w:r>
        <w:t xml:space="preserve">. </w:t>
      </w:r>
    </w:p>
    <w:p w14:paraId="4B0328FF" w14:textId="77777777" w:rsidR="00BA73E7" w:rsidRDefault="00BA73E7" w:rsidP="00BF0E4F">
      <w:pPr>
        <w:ind w:firstLine="720"/>
        <w:jc w:val="both"/>
      </w:pPr>
    </w:p>
    <w:p w14:paraId="5348957A" w14:textId="563AEBC9" w:rsidR="00E57E7D" w:rsidRDefault="00BF0E4F" w:rsidP="00BF0E4F">
      <w:pPr>
        <w:ind w:firstLine="720"/>
        <w:jc w:val="both"/>
        <w:rPr>
          <w:b/>
        </w:rPr>
      </w:pPr>
      <w:r>
        <w:t>Section</w:t>
      </w:r>
      <w:r w:rsidR="00BA73E7">
        <w:t xml:space="preserve"> 1 of this order</w:t>
      </w:r>
      <w:r w:rsidR="00E57E7D">
        <w:t xml:space="preserve"> will address OPC’s Motion to Dismiss for lack of jurisdiction. Because all three of OPC’s motions have raised the issue of </w:t>
      </w:r>
      <w:r w:rsidR="006E0804">
        <w:t>our</w:t>
      </w:r>
      <w:r w:rsidR="00E57E7D">
        <w:t xml:space="preserve"> jurisdiction, </w:t>
      </w:r>
      <w:r>
        <w:t>we find</w:t>
      </w:r>
      <w:r w:rsidR="00E57E7D">
        <w:t xml:space="preserve"> that </w:t>
      </w:r>
      <w:r>
        <w:t>our decision in Section</w:t>
      </w:r>
      <w:r w:rsidR="00BA73E7">
        <w:t xml:space="preserve"> 1</w:t>
      </w:r>
      <w:r w:rsidR="009A6404">
        <w:t xml:space="preserve"> </w:t>
      </w:r>
      <w:r w:rsidR="00E57E7D">
        <w:t>squarely resolve</w:t>
      </w:r>
      <w:r w:rsidR="009A6404">
        <w:t>s</w:t>
      </w:r>
      <w:r w:rsidR="00C76E09">
        <w:t xml:space="preserve"> the question of our</w:t>
      </w:r>
      <w:r w:rsidR="00E57E7D">
        <w:t xml:space="preserve"> jurisdiction to consider FCG’s Petition, whether raised explicitly in OPC’s Motion to Dismiss or implicitly in OPC’s prior motions. </w:t>
      </w:r>
      <w:r w:rsidR="00BA73E7">
        <w:t>To that end, this order</w:t>
      </w:r>
      <w:r w:rsidR="00E57E7D">
        <w:t xml:space="preserve"> will cite to and discuss the jurisdictional arguments raised by OPC in each of its motions and in FCG’s responses to those motions. Because a decision on OPC’s Motion for Reconsidera</w:t>
      </w:r>
      <w:r>
        <w:t>tion depends upon us</w:t>
      </w:r>
      <w:r w:rsidR="00E57E7D">
        <w:t xml:space="preserve"> having jurisdiction over this case, this </w:t>
      </w:r>
      <w:r>
        <w:t>order</w:t>
      </w:r>
      <w:r w:rsidR="00E57E7D">
        <w:t xml:space="preserve"> will address that motion in </w:t>
      </w:r>
      <w:r>
        <w:t>Section</w:t>
      </w:r>
      <w:r w:rsidR="00BA73E7">
        <w:t xml:space="preserve"> 2</w:t>
      </w:r>
      <w:r w:rsidR="00E57E7D">
        <w:t>.</w:t>
      </w:r>
    </w:p>
    <w:p w14:paraId="229B572B" w14:textId="77777777" w:rsidR="00E739C6" w:rsidRDefault="00E739C6" w:rsidP="00E57E7D">
      <w:pPr>
        <w:rPr>
          <w:b/>
        </w:rPr>
      </w:pPr>
    </w:p>
    <w:p w14:paraId="3C6BCB09" w14:textId="77777777" w:rsidR="00E57E7D" w:rsidRPr="00BA73E7" w:rsidRDefault="00BF0E4F" w:rsidP="00BA73E7">
      <w:pPr>
        <w:pStyle w:val="RecommendationMajorSectionHeading"/>
        <w:rPr>
          <w:rFonts w:ascii="Times New Roman" w:hAnsi="Times New Roman" w:cs="Times New Roman"/>
        </w:rPr>
      </w:pPr>
      <w:bookmarkStart w:id="7" w:name="DiscussionOfIssues"/>
      <w:r w:rsidRPr="00BF0E4F">
        <w:rPr>
          <w:rFonts w:ascii="Times New Roman" w:hAnsi="Times New Roman" w:cs="Times New Roman"/>
        </w:rPr>
        <w:t>Decision and Analysis</w:t>
      </w:r>
      <w:bookmarkEnd w:id="7"/>
    </w:p>
    <w:p w14:paraId="0E58FDE0" w14:textId="77777777" w:rsidR="00E57E7D" w:rsidRDefault="00BA73E7" w:rsidP="00BA73E7">
      <w:pPr>
        <w:pStyle w:val="BodyText"/>
        <w:spacing w:after="0"/>
        <w:jc w:val="both"/>
      </w:pPr>
      <w:r>
        <w:t>1.</w:t>
      </w:r>
      <w:r>
        <w:tab/>
      </w:r>
      <w:r w:rsidR="00E57E7D" w:rsidRPr="00BA73E7">
        <w:rPr>
          <w:u w:val="single"/>
        </w:rPr>
        <w:t>OPC’s Motion to Dismiss</w:t>
      </w:r>
      <w:r w:rsidR="00E57E7D" w:rsidRPr="006368CA">
        <w:t xml:space="preserve"> </w:t>
      </w:r>
    </w:p>
    <w:p w14:paraId="0710398B" w14:textId="77777777" w:rsidR="00BA73E7" w:rsidRDefault="00BA73E7" w:rsidP="00BA73E7">
      <w:pPr>
        <w:pStyle w:val="BodyText"/>
        <w:spacing w:after="0"/>
        <w:jc w:val="both"/>
      </w:pPr>
    </w:p>
    <w:p w14:paraId="147C41B2" w14:textId="77777777" w:rsidR="00E57E7D" w:rsidRDefault="00BA73E7" w:rsidP="00AF09E6">
      <w:pPr>
        <w:pStyle w:val="BodyText"/>
        <w:ind w:firstLine="720"/>
        <w:jc w:val="both"/>
      </w:pPr>
      <w:r>
        <w:t>We</w:t>
      </w:r>
      <w:r w:rsidR="00BC7DE0">
        <w:t xml:space="preserve"> find</w:t>
      </w:r>
      <w:r w:rsidR="006E0804">
        <w:t xml:space="preserve"> that</w:t>
      </w:r>
      <w:r w:rsidR="00E57E7D">
        <w:t xml:space="preserve"> </w:t>
      </w:r>
      <w:r w:rsidR="006E0804">
        <w:t>we have</w:t>
      </w:r>
      <w:r w:rsidR="00E57E7D">
        <w:t xml:space="preserve"> jurisdiction to hear and decide FCG’s petition for the following reasons:</w:t>
      </w:r>
    </w:p>
    <w:p w14:paraId="7DF105FA" w14:textId="77777777" w:rsidR="00E57E7D" w:rsidRDefault="00E57E7D" w:rsidP="00123BFA">
      <w:pPr>
        <w:pStyle w:val="BodyText"/>
        <w:numPr>
          <w:ilvl w:val="0"/>
          <w:numId w:val="1"/>
        </w:numPr>
        <w:spacing w:after="240"/>
        <w:jc w:val="both"/>
      </w:pPr>
      <w:r>
        <w:t>“</w:t>
      </w:r>
      <w:r w:rsidRPr="001D116B">
        <w:t>Subject-matter jurisdiction</w:t>
      </w:r>
      <w:r>
        <w:t>”</w:t>
      </w:r>
      <w:r w:rsidRPr="001D116B">
        <w:t xml:space="preserve"> concerns the power of the trial court to deal with a class of cases to </w:t>
      </w:r>
      <w:r>
        <w:t>which a particular case belongs.</w:t>
      </w:r>
      <w:r>
        <w:rPr>
          <w:rStyle w:val="FootnoteReference"/>
        </w:rPr>
        <w:footnoteReference w:id="5"/>
      </w:r>
      <w:r w:rsidRPr="001D116B">
        <w:t xml:space="preserve"> </w:t>
      </w:r>
      <w:r w:rsidR="006E0804">
        <w:t>We</w:t>
      </w:r>
      <w:r>
        <w:t xml:space="preserve"> ha</w:t>
      </w:r>
      <w:r w:rsidR="006E0804">
        <w:t>ve</w:t>
      </w:r>
      <w:r>
        <w:t xml:space="preserve"> subject matter jurisdiction over FCG’s rates and service pursuant to Section 366.04(1), F.S. Because FCG’s Petition pertains t</w:t>
      </w:r>
      <w:r w:rsidR="006E0804">
        <w:t>o FCG’s depreciation rates, we have</w:t>
      </w:r>
      <w:r>
        <w:t xml:space="preserve"> subject matter jurisdiction to hear and decide this case.</w:t>
      </w:r>
    </w:p>
    <w:p w14:paraId="227F507E" w14:textId="14BEB707" w:rsidR="00E57E7D" w:rsidRDefault="00E57E7D" w:rsidP="00123BFA">
      <w:pPr>
        <w:pStyle w:val="BodyText"/>
        <w:numPr>
          <w:ilvl w:val="0"/>
          <w:numId w:val="1"/>
        </w:numPr>
        <w:spacing w:after="240"/>
        <w:jc w:val="both"/>
      </w:pPr>
      <w:r>
        <w:t xml:space="preserve">“Case jurisdiction” concerns </w:t>
      </w:r>
      <w:r w:rsidR="000D4B5E">
        <w:t xml:space="preserve">our </w:t>
      </w:r>
      <w:r w:rsidR="006E0804">
        <w:t xml:space="preserve">power </w:t>
      </w:r>
      <w:r w:rsidRPr="003B28DE">
        <w:t xml:space="preserve">over a particular case that is within </w:t>
      </w:r>
      <w:r w:rsidR="000D4B5E">
        <w:t>our</w:t>
      </w:r>
      <w:r w:rsidRPr="003B28DE">
        <w:t xml:space="preserve"> subject matter jurisdiction</w:t>
      </w:r>
      <w:r>
        <w:t>.</w:t>
      </w:r>
      <w:r>
        <w:rPr>
          <w:rStyle w:val="FootnoteReference"/>
        </w:rPr>
        <w:footnoteReference w:id="6"/>
      </w:r>
      <w:r>
        <w:t xml:space="preserve"> When a Commission order is appealed, exclusive jurisdiction lies with the appellate court,</w:t>
      </w:r>
      <w:r>
        <w:rPr>
          <w:rStyle w:val="FootnoteReference"/>
        </w:rPr>
        <w:footnoteReference w:id="7"/>
      </w:r>
      <w:r w:rsidR="006E0804">
        <w:t xml:space="preserve"> and we lose</w:t>
      </w:r>
      <w:r>
        <w:t xml:space="preserve"> case jurisdiction over the particular case and any matter that would a</w:t>
      </w:r>
      <w:r w:rsidR="006E0804">
        <w:t>ffect the issues on appeal. We have</w:t>
      </w:r>
      <w:r>
        <w:t xml:space="preserve"> case jurisdiction because FCG’s Petition in the present docket is distinct from the case decided by </w:t>
      </w:r>
      <w:r w:rsidR="000D4B5E">
        <w:t xml:space="preserve">our </w:t>
      </w:r>
      <w:r>
        <w:t>2023 Rate Case Order that is currently pending before the Florida Supreme Court, and because FCG’s Petition does not raise issues that affect the appeal.</w:t>
      </w:r>
      <w:r>
        <w:rPr>
          <w:rStyle w:val="FootnoteReference"/>
        </w:rPr>
        <w:footnoteReference w:id="8"/>
      </w:r>
    </w:p>
    <w:p w14:paraId="093FB13E" w14:textId="77777777" w:rsidR="00E57E7D" w:rsidRDefault="00E57E7D" w:rsidP="00123BFA">
      <w:pPr>
        <w:pStyle w:val="BodyText"/>
        <w:numPr>
          <w:ilvl w:val="0"/>
          <w:numId w:val="1"/>
        </w:numPr>
        <w:spacing w:after="240"/>
        <w:jc w:val="both"/>
      </w:pPr>
      <w:r>
        <w:lastRenderedPageBreak/>
        <w:t xml:space="preserve">Even if FCG’s Petition is in some way connected with the prior case and could affect the issues on appeal, </w:t>
      </w:r>
      <w:r w:rsidRPr="00856CB6">
        <w:t xml:space="preserve">Florida law </w:t>
      </w:r>
      <w:r w:rsidRPr="00877E56">
        <w:t xml:space="preserve">favors administrative hearings to develop and flesh out the differences between successive administrative </w:t>
      </w:r>
      <w:r>
        <w:t>proceedings.</w:t>
      </w:r>
      <w:r>
        <w:rPr>
          <w:rStyle w:val="FootnoteReference"/>
        </w:rPr>
        <w:footnoteReference w:id="9"/>
      </w:r>
      <w:r>
        <w:t xml:space="preserve"> Thus, </w:t>
      </w:r>
      <w:r w:rsidRPr="00C03A02">
        <w:t xml:space="preserve">it </w:t>
      </w:r>
      <w:r>
        <w:t>would be</w:t>
      </w:r>
      <w:r w:rsidRPr="00C03A02">
        <w:t xml:space="preserve"> premature to dismiss the case</w:t>
      </w:r>
      <w:r>
        <w:t xml:space="preserve"> for lack of jurisdiction</w:t>
      </w:r>
      <w:r w:rsidRPr="00C03A02">
        <w:t>.</w:t>
      </w:r>
    </w:p>
    <w:p w14:paraId="6B7F453A" w14:textId="77777777" w:rsidR="00E57E7D" w:rsidRDefault="00E57E7D" w:rsidP="00AF09E6">
      <w:pPr>
        <w:ind w:firstLine="720"/>
        <w:jc w:val="both"/>
        <w:rPr>
          <w:b/>
        </w:rPr>
      </w:pPr>
      <w:r>
        <w:t xml:space="preserve">For these reasons, as discussed in more detail below, </w:t>
      </w:r>
      <w:r w:rsidR="00BC7DE0">
        <w:t xml:space="preserve">we </w:t>
      </w:r>
      <w:r>
        <w:t>deny OPC’s Motion to Dismiss and find that</w:t>
      </w:r>
      <w:r w:rsidR="00BC7DE0">
        <w:t xml:space="preserve"> we have</w:t>
      </w:r>
      <w:r>
        <w:t xml:space="preserve"> jurisdiction over FCG’s Petition in this case.</w:t>
      </w:r>
    </w:p>
    <w:p w14:paraId="0C8FBAA2" w14:textId="77777777" w:rsidR="00E739C6" w:rsidRDefault="00E739C6" w:rsidP="00123BFA">
      <w:pPr>
        <w:jc w:val="both"/>
        <w:rPr>
          <w:b/>
        </w:rPr>
      </w:pPr>
    </w:p>
    <w:p w14:paraId="00F7965F" w14:textId="77777777" w:rsidR="00E57E7D" w:rsidRPr="00F43F93" w:rsidRDefault="00BA73E7" w:rsidP="00F43F93">
      <w:pPr>
        <w:pStyle w:val="First-LevelSubheading"/>
        <w:ind w:firstLine="360"/>
        <w:rPr>
          <w:rFonts w:ascii="Times New Roman" w:hAnsi="Times New Roman" w:cs="Times New Roman"/>
          <w:b w:val="0"/>
          <w:i/>
        </w:rPr>
      </w:pPr>
      <w:r w:rsidRPr="00F43F93">
        <w:rPr>
          <w:rFonts w:ascii="Times New Roman" w:hAnsi="Times New Roman" w:cs="Times New Roman"/>
          <w:b w:val="0"/>
          <w:i/>
        </w:rPr>
        <w:t>A.</w:t>
      </w:r>
      <w:r w:rsidR="00F43F93" w:rsidRPr="00F43F93">
        <w:rPr>
          <w:rFonts w:ascii="Times New Roman" w:hAnsi="Times New Roman" w:cs="Times New Roman"/>
          <w:b w:val="0"/>
          <w:i/>
        </w:rPr>
        <w:t xml:space="preserve">   </w:t>
      </w:r>
      <w:r w:rsidR="00E57E7D" w:rsidRPr="00F43F93">
        <w:rPr>
          <w:rFonts w:ascii="Times New Roman" w:hAnsi="Times New Roman" w:cs="Times New Roman"/>
          <w:b w:val="0"/>
          <w:i/>
        </w:rPr>
        <w:t>Legal Standard of Review &amp; Jurisdiction</w:t>
      </w:r>
    </w:p>
    <w:p w14:paraId="355072DC" w14:textId="77777777" w:rsidR="00BA73E7" w:rsidRPr="00BA73E7" w:rsidRDefault="00BA73E7" w:rsidP="00F43F93">
      <w:pPr>
        <w:pStyle w:val="BodyText"/>
        <w:spacing w:after="0"/>
      </w:pPr>
    </w:p>
    <w:p w14:paraId="6A532C2D" w14:textId="09F95CC8" w:rsidR="00E57E7D" w:rsidRDefault="00E57E7D" w:rsidP="00BA73E7">
      <w:pPr>
        <w:pStyle w:val="BodyText"/>
        <w:ind w:firstLine="720"/>
        <w:jc w:val="both"/>
      </w:pPr>
      <w:r>
        <w:t>Florida courts distinguish “</w:t>
      </w:r>
      <w:r w:rsidRPr="003B28DE">
        <w:t>subject matter jurisdiction,</w:t>
      </w:r>
      <w:r>
        <w:t xml:space="preserve">” which </w:t>
      </w:r>
      <w:r w:rsidRPr="003B28DE">
        <w:t>concerns the power of the trial court to deal with a class of cases to w</w:t>
      </w:r>
      <w:r>
        <w:t>hich a particular case belongs,</w:t>
      </w:r>
      <w:r w:rsidRPr="003B28DE">
        <w:t xml:space="preserve"> and “procedural” or “case</w:t>
      </w:r>
      <w:r>
        <w:t xml:space="preserve">” jurisdiction, which concerns </w:t>
      </w:r>
      <w:r w:rsidRPr="003B28DE">
        <w:t>the power of the court over a particular case that is within its subject matter jurisdiction</w:t>
      </w:r>
      <w:r>
        <w:t xml:space="preserve">. </w:t>
      </w:r>
      <w:r>
        <w:rPr>
          <w:i/>
        </w:rPr>
        <w:t>Allen v. Helms</w:t>
      </w:r>
      <w:r>
        <w:t xml:space="preserve">, 293 So. 3d 572, 577-78 (Fla. 1st DCA 2020). If at any stage of a proceeding an agency determines that it lacks jurisdiction and thus the power to adjudicate a particular claim, it must enter an appropriate order. </w:t>
      </w:r>
      <w:r>
        <w:rPr>
          <w:i/>
        </w:rPr>
        <w:t>Polk Cty. v. Sofka</w:t>
      </w:r>
      <w:r>
        <w:t>, 702 So. 2d 1243, 1245 (Fla. 1997).</w:t>
      </w:r>
    </w:p>
    <w:p w14:paraId="13D29FEA" w14:textId="1481A48C" w:rsidR="00E57E7D" w:rsidRPr="008C7499" w:rsidRDefault="00E57E7D" w:rsidP="00BA73E7">
      <w:pPr>
        <w:pStyle w:val="BodyText"/>
        <w:ind w:firstLine="720"/>
        <w:jc w:val="both"/>
      </w:pPr>
      <w:r>
        <w:t xml:space="preserve">Subject </w:t>
      </w:r>
      <w:r w:rsidRPr="00D75765">
        <w:t xml:space="preserve">matter jurisdiction </w:t>
      </w:r>
      <w:r>
        <w:t>relates to</w:t>
      </w:r>
      <w:r w:rsidRPr="00D75765">
        <w:t xml:space="preserve"> the power of </w:t>
      </w:r>
      <w:r>
        <w:t>a</w:t>
      </w:r>
      <w:r w:rsidRPr="00D75765">
        <w:t xml:space="preserve"> court</w:t>
      </w:r>
      <w:r>
        <w:t xml:space="preserve"> or agency to deal with the</w:t>
      </w:r>
      <w:r w:rsidRPr="00D75765">
        <w:t xml:space="preserve"> class of cases to which a particular case belongs</w:t>
      </w:r>
      <w:r>
        <w:t xml:space="preserve">, and </w:t>
      </w:r>
      <w:r w:rsidRPr="00C71124">
        <w:t xml:space="preserve">does not depend upon </w:t>
      </w:r>
      <w:r>
        <w:t xml:space="preserve">whether a plaintiff ultimately has </w:t>
      </w:r>
      <w:r w:rsidRPr="00C71124">
        <w:t>a good cause of action in the particular case</w:t>
      </w:r>
      <w:r>
        <w:t xml:space="preserve">. </w:t>
      </w:r>
      <w:r w:rsidRPr="00FC1656">
        <w:rPr>
          <w:i/>
        </w:rPr>
        <w:t>Viverette v. Dep</w:t>
      </w:r>
      <w:r>
        <w:rPr>
          <w:i/>
        </w:rPr>
        <w:t>’</w:t>
      </w:r>
      <w:r w:rsidRPr="00FC1656">
        <w:rPr>
          <w:i/>
        </w:rPr>
        <w:t>t of Transp.</w:t>
      </w:r>
      <w:r>
        <w:t xml:space="preserve">, </w:t>
      </w:r>
      <w:r w:rsidRPr="00FC1656">
        <w:t>227 So.</w:t>
      </w:r>
      <w:r>
        <w:t xml:space="preserve"> </w:t>
      </w:r>
      <w:r w:rsidRPr="00FC1656">
        <w:t>3d 1274</w:t>
      </w:r>
      <w:r>
        <w:t>, 1278 (Fla</w:t>
      </w:r>
      <w:r w:rsidR="00C95190">
        <w:t>.</w:t>
      </w:r>
      <w:r>
        <w:t xml:space="preserve"> 1st DCA 2017). Subject</w:t>
      </w:r>
      <w:r w:rsidRPr="008C7499">
        <w:t xml:space="preserve"> matter jurisdictio</w:t>
      </w:r>
      <w:r>
        <w:t>n is conferred upon a court by</w:t>
      </w:r>
      <w:r w:rsidRPr="008C7499">
        <w:t xml:space="preserve"> constitution or statute, and </w:t>
      </w:r>
      <w:r>
        <w:t xml:space="preserve">thus </w:t>
      </w:r>
      <w:r w:rsidRPr="008C7499">
        <w:t xml:space="preserve">cannot be </w:t>
      </w:r>
      <w:r>
        <w:t xml:space="preserve">waived or </w:t>
      </w:r>
      <w:r w:rsidRPr="008C7499">
        <w:t xml:space="preserve">created </w:t>
      </w:r>
      <w:r>
        <w:t xml:space="preserve">by agreement of the parties. </w:t>
      </w:r>
      <w:r>
        <w:rPr>
          <w:i/>
        </w:rPr>
        <w:t>See, e.g.</w:t>
      </w:r>
      <w:r>
        <w:t xml:space="preserve">, </w:t>
      </w:r>
      <w:r>
        <w:rPr>
          <w:i/>
        </w:rPr>
        <w:t>Snider v. Snider</w:t>
      </w:r>
      <w:r>
        <w:t xml:space="preserve">, 686 So. 2d 802, 804 (Fla. 4th DCA 1997); </w:t>
      </w:r>
      <w:r w:rsidR="005A36BF">
        <w:rPr>
          <w:i/>
        </w:rPr>
        <w:t>s</w:t>
      </w:r>
      <w:r>
        <w:rPr>
          <w:i/>
        </w:rPr>
        <w:t>ee also, City of Cape Coral v. GAC Utilities, Inc. of Fla.</w:t>
      </w:r>
      <w:r>
        <w:t xml:space="preserve">, 281 So. 2d 493, 495-96 (Fla. 1973) (stating that as a “creature[] of statute . . . the Commission’s powers, duties and authority are those and only those that are conferred expressly or impliedly by statute”). Thus, to determine whether an agency has subject matter jurisdiction over a class of cases, one must look to Florida’s constitution and statutes. </w:t>
      </w:r>
    </w:p>
    <w:p w14:paraId="124DA2D6" w14:textId="2AB82AB9" w:rsidR="00E57E7D" w:rsidRPr="00856CB6" w:rsidRDefault="00E57E7D" w:rsidP="00BA73E7">
      <w:pPr>
        <w:pStyle w:val="BodyText"/>
        <w:ind w:firstLine="720"/>
        <w:jc w:val="both"/>
      </w:pPr>
      <w:r>
        <w:t>Subject matter jurisdiction is “</w:t>
      </w:r>
      <w:r w:rsidRPr="00FC1656">
        <w:t>generally tested by the good-faith allegations in the complaint and is not dependent upon the ultimate disposition of the lawsuit.”</w:t>
      </w:r>
      <w:r>
        <w:t xml:space="preserve"> </w:t>
      </w:r>
      <w:r>
        <w:rPr>
          <w:i/>
        </w:rPr>
        <w:t>Faulk v. Dep’t of Revenue</w:t>
      </w:r>
      <w:r>
        <w:t>, 157 So. 3d 534, 536 (Fla. 1st DCA 2015) (</w:t>
      </w:r>
      <w:r w:rsidRPr="005A36BF">
        <w:t>quoting</w:t>
      </w:r>
      <w:r>
        <w:t xml:space="preserve"> </w:t>
      </w:r>
      <w:r w:rsidRPr="00FC1656">
        <w:rPr>
          <w:i/>
        </w:rPr>
        <w:t>Seven Hills, Inc. v. Bentley</w:t>
      </w:r>
      <w:r w:rsidRPr="00FC1656">
        <w:t>, 848 So.</w:t>
      </w:r>
      <w:r>
        <w:t xml:space="preserve"> </w:t>
      </w:r>
      <w:r w:rsidRPr="00FC1656">
        <w:t>2d 345, 350 (Fla. 1st DCA 2003)</w:t>
      </w:r>
      <w:r>
        <w:t xml:space="preserve">). However, when considering a motion to dismiss for lack of subject matter jurisdiction, </w:t>
      </w:r>
      <w:r w:rsidR="000D4B5E">
        <w:t>we</w:t>
      </w:r>
      <w:r>
        <w:t xml:space="preserve"> may look beyond the four walls of the petition. </w:t>
      </w:r>
      <w:r>
        <w:rPr>
          <w:i/>
        </w:rPr>
        <w:t>See Morgan v. Dep’t of Envtl. Protection</w:t>
      </w:r>
      <w:r>
        <w:t>, 98 So. 3d 651, 653 (Fla. 3d DCA 2012) (“</w:t>
      </w:r>
      <w:r w:rsidRPr="007977AB">
        <w:t>A trial court may look to facts gathered outside the pleadings, including affidavits, to determine subject matter jurisdiction.</w:t>
      </w:r>
      <w:r>
        <w:t xml:space="preserve">”); </w:t>
      </w:r>
      <w:r w:rsidRPr="00532E42">
        <w:rPr>
          <w:i/>
        </w:rPr>
        <w:t>Mancher v. Seminole Tribe of Fl</w:t>
      </w:r>
      <w:r w:rsidR="000D4B5E">
        <w:rPr>
          <w:i/>
        </w:rPr>
        <w:t>a.</w:t>
      </w:r>
      <w:r w:rsidRPr="00532E42">
        <w:rPr>
          <w:i/>
        </w:rPr>
        <w:t>, Inc.</w:t>
      </w:r>
      <w:r>
        <w:t>, 708 So. 2d 327, 328 (Fla. 4th DCA 1998) (“</w:t>
      </w:r>
      <w:r w:rsidRPr="007977AB">
        <w:t>A motion to dismiss based on lack of subject matter jurisdiction may properly go beyond the four corners of the complaint when it raises solely a question of law.</w:t>
      </w:r>
      <w:r>
        <w:t xml:space="preserve">”). Additionally, </w:t>
      </w:r>
      <w:r w:rsidRPr="00D75765">
        <w:t xml:space="preserve">the test for whether a pleading sufficiently involves the jurisdiction of a court is not as stringent as the test </w:t>
      </w:r>
      <w:r>
        <w:t>to determine whether the claimant has failed</w:t>
      </w:r>
      <w:r w:rsidRPr="00D75765">
        <w:t xml:space="preserve"> to state a cause of action.</w:t>
      </w:r>
      <w:r>
        <w:t xml:space="preserve"> </w:t>
      </w:r>
      <w:r>
        <w:rPr>
          <w:i/>
        </w:rPr>
        <w:t>See</w:t>
      </w:r>
      <w:r>
        <w:t xml:space="preserve"> </w:t>
      </w:r>
      <w:r>
        <w:rPr>
          <w:i/>
        </w:rPr>
        <w:t>Fla. Power &amp; Light Co. v. Canal Auth. of Fla.</w:t>
      </w:r>
      <w:r>
        <w:t>, 423 So. 2d 421, 425 (Fla. 5th DCA 1982).</w:t>
      </w:r>
    </w:p>
    <w:p w14:paraId="476CA284" w14:textId="0F0A25BE" w:rsidR="00E57E7D" w:rsidRDefault="005A36BF" w:rsidP="00BA73E7">
      <w:pPr>
        <w:pStyle w:val="BodyText"/>
        <w:ind w:firstLine="720"/>
        <w:jc w:val="both"/>
      </w:pPr>
      <w:r>
        <w:t>L</w:t>
      </w:r>
      <w:r w:rsidR="00E57E7D">
        <w:t xml:space="preserve">ack of </w:t>
      </w:r>
      <w:r>
        <w:t>“</w:t>
      </w:r>
      <w:r w:rsidR="00E57E7D">
        <w:t>case jurisdiction</w:t>
      </w:r>
      <w:r>
        <w:t>”</w:t>
      </w:r>
      <w:r w:rsidR="00E57E7D">
        <w:t xml:space="preserve"> is an issue where a lower court has subject matter jurisdiction over the class of cases but is divested of jurisdiction over a particular case due to, for instance, </w:t>
      </w:r>
      <w:r w:rsidR="00E57E7D">
        <w:lastRenderedPageBreak/>
        <w:t xml:space="preserve">procedural posture. </w:t>
      </w:r>
      <w:r w:rsidR="00E57E7D">
        <w:rPr>
          <w:i/>
        </w:rPr>
        <w:t>See Stokes v. Jones</w:t>
      </w:r>
      <w:r w:rsidR="00E57E7D">
        <w:t>, 319 So. 3d 166, 169 (Fla. 1st DCA</w:t>
      </w:r>
      <w:r w:rsidR="000D4B5E">
        <w:t xml:space="preserve"> 2021</w:t>
      </w:r>
      <w:r w:rsidR="00E57E7D">
        <w:t>). Courts have sometimes referred to this as “continuing jurisdiction” or “procedural jurisdiction” because it turns on the procedural posture of a case or whether certain issues remain to be resolved after a final judgment.</w:t>
      </w:r>
      <w:r w:rsidR="00E57E7D">
        <w:rPr>
          <w:rStyle w:val="FootnoteReference"/>
        </w:rPr>
        <w:footnoteReference w:id="10"/>
      </w:r>
      <w:r w:rsidR="00E57E7D">
        <w:t xml:space="preserve"> In the context of gas utility regulation, the Florida Supreme Court has exclusive jurisdiction </w:t>
      </w:r>
      <w:r w:rsidR="00E57E7D" w:rsidRPr="00856CB6">
        <w:t>to “review action of statewide agencies relating to rates or service of utilities providing electric, gas, or telephone service.”</w:t>
      </w:r>
      <w:r w:rsidR="00E57E7D" w:rsidRPr="00856CB6">
        <w:rPr>
          <w:vertAlign w:val="superscript"/>
        </w:rPr>
        <w:footnoteReference w:id="11"/>
      </w:r>
      <w:r w:rsidR="00E57E7D">
        <w:t xml:space="preserve"> </w:t>
      </w:r>
      <w:r w:rsidR="00E57E7D" w:rsidRPr="00856CB6">
        <w:t xml:space="preserve">However, </w:t>
      </w:r>
      <w:r w:rsidR="000D4B5E">
        <w:t>we</w:t>
      </w:r>
      <w:r w:rsidR="00E57E7D" w:rsidRPr="00856CB6">
        <w:t xml:space="preserve"> do not </w:t>
      </w:r>
      <w:r w:rsidR="00E57E7D">
        <w:t xml:space="preserve">lose </w:t>
      </w:r>
      <w:r w:rsidR="00E57E7D" w:rsidRPr="00856CB6">
        <w:t xml:space="preserve">jurisdiction over the utility involved in the case on appeal, nor over the entire class of subject matter </w:t>
      </w:r>
      <w:r w:rsidR="00E57E7D">
        <w:t>involved in</w:t>
      </w:r>
      <w:r w:rsidR="00E57E7D" w:rsidRPr="00856CB6">
        <w:t xml:space="preserve"> the appeal; the appellate court’s jurisdiction only covers the subject</w:t>
      </w:r>
      <w:r w:rsidR="00E57E7D">
        <w:t xml:space="preserve"> </w:t>
      </w:r>
      <w:r w:rsidR="00E57E7D" w:rsidRPr="00856CB6">
        <w:t xml:space="preserve">matter of the </w:t>
      </w:r>
      <w:r w:rsidR="00E57E7D">
        <w:t xml:space="preserve">particular </w:t>
      </w:r>
      <w:r w:rsidR="00E57E7D" w:rsidRPr="00856CB6">
        <w:t>case on appeal.</w:t>
      </w:r>
      <w:r w:rsidR="00E57E7D">
        <w:t xml:space="preserve"> </w:t>
      </w:r>
      <w:r w:rsidR="00E57E7D">
        <w:rPr>
          <w:i/>
        </w:rPr>
        <w:t>See, e.g.</w:t>
      </w:r>
      <w:r w:rsidR="00E57E7D">
        <w:t xml:space="preserve">, </w:t>
      </w:r>
      <w:r w:rsidR="00E57E7D" w:rsidRPr="00856CB6">
        <w:rPr>
          <w:i/>
        </w:rPr>
        <w:t>Thursby v. Stewart</w:t>
      </w:r>
      <w:r w:rsidR="00E57E7D" w:rsidRPr="00856CB6">
        <w:t>, 138 So. 742, 751 (Fla. 1931)</w:t>
      </w:r>
      <w:r w:rsidR="00E57E7D">
        <w:t xml:space="preserve"> </w:t>
      </w:r>
      <w:r w:rsidR="00E57E7D" w:rsidRPr="00856CB6">
        <w:t xml:space="preserve">(stating that “when an appeal is perfected . . . [t]he authority of the lower court is terminated, and it cannot proceed in the cause, </w:t>
      </w:r>
      <w:r w:rsidR="00E57E7D" w:rsidRPr="00856CB6">
        <w:rPr>
          <w:i/>
        </w:rPr>
        <w:t>at least as to the subject-matter of the appeal</w:t>
      </w:r>
      <w:r w:rsidR="00E57E7D" w:rsidRPr="00856CB6">
        <w:t>, until the appeal is heard and determined”) (emphasis added)</w:t>
      </w:r>
      <w:r w:rsidR="00E57E7D">
        <w:t xml:space="preserve">; </w:t>
      </w:r>
      <w:r w:rsidR="00E57E7D" w:rsidRPr="00856CB6">
        <w:rPr>
          <w:i/>
        </w:rPr>
        <w:t>Schultz v. Schickendanz</w:t>
      </w:r>
      <w:r w:rsidR="00E57E7D" w:rsidRPr="00856CB6">
        <w:t>, 884 So. 2d 422, 424 (Fla. 4th DCA 2004)</w:t>
      </w:r>
      <w:r w:rsidR="00E57E7D">
        <w:t xml:space="preserve"> (holding that a court “</w:t>
      </w:r>
      <w:r w:rsidR="00E57E7D" w:rsidRPr="00856CB6">
        <w:t xml:space="preserve">is divested of jurisdiction upon notice of appeal </w:t>
      </w:r>
      <w:r w:rsidR="00E57E7D" w:rsidRPr="00877E56">
        <w:rPr>
          <w:i/>
        </w:rPr>
        <w:t>except with regard to those matters which do not interfere with the power and authority of the appellate court</w:t>
      </w:r>
      <w:r w:rsidR="00E57E7D" w:rsidRPr="00856CB6">
        <w:t xml:space="preserve">.” </w:t>
      </w:r>
      <w:r w:rsidR="00E57E7D">
        <w:t xml:space="preserve">(emphasis added) </w:t>
      </w:r>
      <w:r w:rsidR="00E57E7D" w:rsidRPr="00856CB6">
        <w:t xml:space="preserve">(quoting </w:t>
      </w:r>
      <w:r w:rsidR="00E57E7D" w:rsidRPr="00856CB6">
        <w:rPr>
          <w:i/>
        </w:rPr>
        <w:t>Palma Sola Harbour Condo., Inc. v. Huber</w:t>
      </w:r>
      <w:r w:rsidR="00E57E7D" w:rsidRPr="00856CB6">
        <w:t xml:space="preserve">, 374 So. 2d </w:t>
      </w:r>
      <w:r w:rsidR="00E57E7D">
        <w:t>1135, 1138 (Fla. 2d DCA 1979)).</w:t>
      </w:r>
    </w:p>
    <w:p w14:paraId="2DA37354" w14:textId="7126F876" w:rsidR="00E57E7D" w:rsidRDefault="00E57E7D" w:rsidP="00BA73E7">
      <w:pPr>
        <w:pStyle w:val="BodyText"/>
        <w:ind w:firstLine="720"/>
        <w:jc w:val="both"/>
      </w:pPr>
      <w:r>
        <w:t>Additionally, “</w:t>
      </w:r>
      <w:r w:rsidRPr="00856CB6">
        <w:t xml:space="preserve">the test to determine loss of jurisdiction is not whether the [Commission] is proceeding in matters </w:t>
      </w:r>
      <w:r w:rsidRPr="00856CB6">
        <w:rPr>
          <w:i/>
        </w:rPr>
        <w:t>related to the final judgment</w:t>
      </w:r>
      <w:r w:rsidRPr="00856CB6">
        <w:t xml:space="preserve">, but rather the proper test is whether the [Commission] is proceeding in a matter which </w:t>
      </w:r>
      <w:r w:rsidRPr="00856CB6">
        <w:rPr>
          <w:i/>
        </w:rPr>
        <w:t>affects the subject matter on appeal</w:t>
      </w:r>
      <w:r w:rsidRPr="00856CB6">
        <w:t>.</w:t>
      </w:r>
      <w:r>
        <w:t>”</w:t>
      </w:r>
      <w:r w:rsidRPr="00856CB6">
        <w:t xml:space="preserve"> </w:t>
      </w:r>
      <w:r w:rsidRPr="00856CB6">
        <w:rPr>
          <w:i/>
        </w:rPr>
        <w:t>Dep’t of Revenue ex rel. Simmons v. Wardlaw</w:t>
      </w:r>
      <w:r w:rsidRPr="00856CB6">
        <w:t>, 25 So. 3d 80, 82 (Fla. 4th DCA 2009)</w:t>
      </w:r>
      <w:r>
        <w:t xml:space="preserve"> </w:t>
      </w:r>
      <w:r w:rsidRPr="00856CB6">
        <w:t>(emphasis added)</w:t>
      </w:r>
      <w:r w:rsidR="00F60EC0">
        <w:t>;</w:t>
      </w:r>
      <w:r>
        <w:t xml:space="preserve"> </w:t>
      </w:r>
      <w:r w:rsidR="00F60EC0">
        <w:rPr>
          <w:i/>
        </w:rPr>
        <w:t>s</w:t>
      </w:r>
      <w:r>
        <w:rPr>
          <w:i/>
        </w:rPr>
        <w:t>ee</w:t>
      </w:r>
      <w:r>
        <w:t xml:space="preserve"> </w:t>
      </w:r>
      <w:r>
        <w:rPr>
          <w:i/>
        </w:rPr>
        <w:t>Hollywood, Inc. v. Clark</w:t>
      </w:r>
      <w:r>
        <w:t>, 15 So. 2d 175, 181 (Fla. 1943) (“</w:t>
      </w:r>
      <w:r w:rsidRPr="00DD172A">
        <w:t>The scope of the ‘subject matter of an appeal’ must be measured by what the appeal is from and what it brings before the appellate court for review.</w:t>
      </w:r>
      <w:r>
        <w:t xml:space="preserve">”); </w:t>
      </w:r>
      <w:r>
        <w:rPr>
          <w:i/>
        </w:rPr>
        <w:t>Waltham A. Condo. Ass’n v. Vill. Mgmt., Inc.</w:t>
      </w:r>
      <w:r>
        <w:t>, 330 So. 2d 227, 234 (Fla. 4th DCA 1976) (“[S]ubsequent proceedings in the lower court may not interfere with the power of the appellate court to make its jurisdiction effective with respect to the . . . order on appeal.”). Therefore, the Commission may lose case jurisdiction over certain issues in a case where those issues affect the subject matter of a pending appeal, but retain case jurisdiction as to issues that would not affect the appeal.</w:t>
      </w:r>
    </w:p>
    <w:p w14:paraId="728C1B07" w14:textId="2F17FBF1" w:rsidR="00E57E7D" w:rsidRDefault="00E57E7D" w:rsidP="00BA73E7">
      <w:pPr>
        <w:pStyle w:val="BodyText"/>
        <w:ind w:firstLine="720"/>
        <w:jc w:val="both"/>
      </w:pPr>
      <w:r>
        <w:t xml:space="preserve">Florida law also recognizes significant differences between courts and administrative agencies, and cautions against applying analogous procedural and jurisdictional doctrines in a manner that precludes an agency from exercising its regulatory jurisdiction. As the Florida Supreme Court </w:t>
      </w:r>
      <w:r w:rsidR="000D4B5E">
        <w:t xml:space="preserve">has </w:t>
      </w:r>
      <w:r>
        <w:t>explained:</w:t>
      </w:r>
    </w:p>
    <w:p w14:paraId="03F5E09F" w14:textId="77777777" w:rsidR="00E57E7D" w:rsidRDefault="00E57E7D" w:rsidP="00C27BF6">
      <w:pPr>
        <w:pStyle w:val="BodyText"/>
        <w:ind w:left="720" w:right="720"/>
        <w:jc w:val="both"/>
      </w:pPr>
      <w:r w:rsidRPr="00295EF3">
        <w:t xml:space="preserve">We understand well the differences between the functions and orders of courts and those of administrative agencies, particularly those regulatory agencies which exercise a continuing supervisory jurisdiction over the persons and activities regulated. </w:t>
      </w:r>
      <w:r>
        <w:t>. . . [W]</w:t>
      </w:r>
      <w:r w:rsidRPr="00295EF3">
        <w:t xml:space="preserve">hereas courts usually decide cases on relatively fixed principles of law for the principal purpose of settling the rights of the parties litigant, the actions of administrative agencies are usually concerned with deciding issues according to a public interest that often changes with shifting circumstances and passage of time. Such considerations should warn us against a too doctrinaire analogy between courts and administrative agencies and also against inadvertently </w:t>
      </w:r>
      <w:r w:rsidRPr="00295EF3">
        <w:lastRenderedPageBreak/>
        <w:t>precluding agency-initiated action concerning the subject matter dealt with in an earlier order.</w:t>
      </w:r>
      <w:r>
        <w:rPr>
          <w:rStyle w:val="FootnoteReference"/>
        </w:rPr>
        <w:footnoteReference w:id="12"/>
      </w:r>
    </w:p>
    <w:p w14:paraId="0AB6D7A8" w14:textId="77777777" w:rsidR="00E57E7D" w:rsidRDefault="00E57E7D" w:rsidP="00945439">
      <w:pPr>
        <w:pStyle w:val="BodyText"/>
        <w:spacing w:after="0"/>
        <w:ind w:firstLine="720"/>
        <w:jc w:val="both"/>
      </w:pPr>
      <w:r>
        <w:t xml:space="preserve">Likewise, </w:t>
      </w:r>
      <w:r w:rsidRPr="00856CB6">
        <w:t xml:space="preserve">Florida law generally </w:t>
      </w:r>
      <w:r>
        <w:t>“</w:t>
      </w:r>
      <w:r w:rsidRPr="00877E56">
        <w:t>favors administrative hearings to develop and flesh out the differences between”</w:t>
      </w:r>
      <w:r>
        <w:t xml:space="preserve"> cases before arriving at conclusions on an agency’s power to hear and decide the issues. </w:t>
      </w:r>
      <w:r w:rsidRPr="00877E56">
        <w:rPr>
          <w:i/>
        </w:rPr>
        <w:t>Delray Medical Center, Inc. v. State, Agency for Health Care Admin.</w:t>
      </w:r>
      <w:r w:rsidRPr="00877E56">
        <w:t>, 5 So. 3d</w:t>
      </w:r>
      <w:r>
        <w:t xml:space="preserve"> </w:t>
      </w:r>
      <w:r w:rsidRPr="00877E56">
        <w:t>26, 30 (Fla. 4th DCA 2009)</w:t>
      </w:r>
      <w:r>
        <w:t xml:space="preserve">. Thus, </w:t>
      </w:r>
      <w:r w:rsidR="00EF6134">
        <w:t>our</w:t>
      </w:r>
      <w:r>
        <w:t xml:space="preserve"> view is that Florida law favors allowing a proceeding to continue if a potential decision on a utility’s petition could fall within the </w:t>
      </w:r>
      <w:r w:rsidR="006E0804">
        <w:t>our</w:t>
      </w:r>
      <w:r>
        <w:t xml:space="preserve"> jurisdiction, and that dismissal for lack of jurisdiction prior to the point of a final agency action in such cases would be premature.</w:t>
      </w:r>
    </w:p>
    <w:p w14:paraId="237BFBBC" w14:textId="77777777" w:rsidR="00945439" w:rsidRPr="00295EF3" w:rsidRDefault="00945439" w:rsidP="00945439">
      <w:pPr>
        <w:pStyle w:val="BodyText"/>
        <w:spacing w:after="0"/>
        <w:ind w:firstLine="720"/>
        <w:jc w:val="both"/>
      </w:pPr>
    </w:p>
    <w:p w14:paraId="66751B82" w14:textId="77777777" w:rsidR="00E57E7D" w:rsidRPr="00F43F93" w:rsidRDefault="00BA73E7" w:rsidP="00F43F93">
      <w:pPr>
        <w:pStyle w:val="First-LevelSubheading"/>
        <w:ind w:firstLine="720"/>
        <w:rPr>
          <w:rFonts w:ascii="Times New Roman" w:hAnsi="Times New Roman" w:cs="Times New Roman"/>
          <w:b w:val="0"/>
          <w:i/>
        </w:rPr>
      </w:pPr>
      <w:r w:rsidRPr="00F43F93">
        <w:rPr>
          <w:rFonts w:ascii="Times New Roman" w:hAnsi="Times New Roman" w:cs="Times New Roman"/>
          <w:b w:val="0"/>
          <w:i/>
        </w:rPr>
        <w:t>B.</w:t>
      </w:r>
      <w:r w:rsidR="00F43F93" w:rsidRPr="00F43F93">
        <w:rPr>
          <w:rFonts w:ascii="Times New Roman" w:hAnsi="Times New Roman" w:cs="Times New Roman"/>
          <w:b w:val="0"/>
          <w:i/>
        </w:rPr>
        <w:t xml:space="preserve">   </w:t>
      </w:r>
      <w:r w:rsidR="00E57E7D" w:rsidRPr="00F43F93">
        <w:rPr>
          <w:rFonts w:ascii="Times New Roman" w:hAnsi="Times New Roman" w:cs="Times New Roman"/>
          <w:b w:val="0"/>
          <w:i/>
        </w:rPr>
        <w:t>OPC’s Arguments</w:t>
      </w:r>
    </w:p>
    <w:p w14:paraId="35AD3D9E" w14:textId="77777777" w:rsidR="00BA73E7" w:rsidRPr="00BA73E7" w:rsidRDefault="00BA73E7" w:rsidP="00BA73E7">
      <w:pPr>
        <w:pStyle w:val="BodyText"/>
        <w:spacing w:after="0"/>
      </w:pPr>
    </w:p>
    <w:p w14:paraId="5221A5BF" w14:textId="651E79CF" w:rsidR="00E57E7D" w:rsidRPr="00552177" w:rsidRDefault="00E57E7D" w:rsidP="00BA73E7">
      <w:pPr>
        <w:pStyle w:val="BodyText"/>
        <w:ind w:firstLine="720"/>
        <w:jc w:val="both"/>
      </w:pPr>
      <w:r>
        <w:t xml:space="preserve">In its Motion to Dismiss, OPC argues that “[t]he Commission lacks the authority, at this time, to change FCG’s RSAM-adjusted depreciation rates when the legality of the Commission’s approval of those same depreciation rates and application of Rule 25-7.045, F.A.C.[,] is currently pending before the Florida Supreme Court.” (OPC Motion to Dismiss 5) OPC alleges that “a Commission decision to change the depreciation rates in the instant docket </w:t>
      </w:r>
      <w:r>
        <w:rPr>
          <w:i/>
        </w:rPr>
        <w:t>affects</w:t>
      </w:r>
      <w:r>
        <w:t xml:space="preserve"> the depreciation rates on appeal.” </w:t>
      </w:r>
      <w:r>
        <w:rPr>
          <w:i/>
        </w:rPr>
        <w:t>Id.</w:t>
      </w:r>
      <w:r>
        <w:t xml:space="preserve"> (emphasis in original) (citing </w:t>
      </w:r>
      <w:r w:rsidRPr="00856CB6">
        <w:rPr>
          <w:i/>
        </w:rPr>
        <w:t>Wardlaw</w:t>
      </w:r>
      <w:r w:rsidRPr="00856CB6">
        <w:t xml:space="preserve">, 25 So. 3d </w:t>
      </w:r>
      <w:r>
        <w:t>at</w:t>
      </w:r>
      <w:r w:rsidRPr="00856CB6">
        <w:t xml:space="preserve"> 82</w:t>
      </w:r>
      <w:r>
        <w:t>). Similarly, in its Motion for Reconsideration, OPC state</w:t>
      </w:r>
      <w:r w:rsidR="003D56F1">
        <w:t>s</w:t>
      </w:r>
      <w:r>
        <w:t xml:space="preserve"> that “the Commission lacks jurisdiction to proceed with determining whether to change depreciation rates in this docket since doing so directly affects the very same depreciation rates currently being reviewed by the Florida Supreme Court.” (OPC Motion for Reconsideration 6)</w:t>
      </w:r>
    </w:p>
    <w:p w14:paraId="6FE077EF" w14:textId="77777777" w:rsidR="00E57E7D" w:rsidRPr="00F43F93" w:rsidRDefault="00F43F93" w:rsidP="00F43F93">
      <w:pPr>
        <w:pStyle w:val="First-LevelSubheading"/>
        <w:ind w:firstLine="720"/>
        <w:rPr>
          <w:rFonts w:ascii="Times New Roman" w:hAnsi="Times New Roman" w:cs="Times New Roman"/>
          <w:b w:val="0"/>
          <w:i/>
        </w:rPr>
      </w:pPr>
      <w:r w:rsidRPr="00F43F93">
        <w:rPr>
          <w:rFonts w:ascii="Times New Roman" w:hAnsi="Times New Roman" w:cs="Times New Roman"/>
          <w:b w:val="0"/>
          <w:i/>
        </w:rPr>
        <w:t xml:space="preserve">C.   </w:t>
      </w:r>
      <w:r w:rsidR="00E57E7D" w:rsidRPr="00F43F93">
        <w:rPr>
          <w:rFonts w:ascii="Times New Roman" w:hAnsi="Times New Roman" w:cs="Times New Roman"/>
          <w:b w:val="0"/>
          <w:i/>
        </w:rPr>
        <w:t>FCG’s Response</w:t>
      </w:r>
    </w:p>
    <w:p w14:paraId="11660D14" w14:textId="77777777" w:rsidR="00F43F93" w:rsidRPr="00F43F93" w:rsidRDefault="00F43F93" w:rsidP="00F43F93">
      <w:pPr>
        <w:pStyle w:val="BodyText"/>
        <w:spacing w:after="0"/>
      </w:pPr>
    </w:p>
    <w:p w14:paraId="1310787B" w14:textId="77777777" w:rsidR="00E57E7D" w:rsidRPr="00B5638E" w:rsidRDefault="006E0804" w:rsidP="00F43F93">
      <w:pPr>
        <w:pStyle w:val="BodyText"/>
        <w:ind w:firstLine="720"/>
        <w:jc w:val="both"/>
      </w:pPr>
      <w:r>
        <w:t>FCG argues that we are</w:t>
      </w:r>
      <w:r w:rsidR="00E57E7D">
        <w:t xml:space="preserve"> vested with subject matter jurisdiction by Chapters 350 and 366, and that the depreciation study filed in this docket was “filed in accordance with Rule 25-7.045, F.A.C.” (FCG Dismissal Response 2) FCG argues that </w:t>
      </w:r>
      <w:r w:rsidR="00E57E7D">
        <w:rPr>
          <w:i/>
        </w:rPr>
        <w:t>Wardlaw</w:t>
      </w:r>
      <w:r w:rsidR="00E57E7D">
        <w:t xml:space="preserve"> is inapplicable because, unlike this case, the </w:t>
      </w:r>
      <w:r w:rsidR="00E57E7D">
        <w:rPr>
          <w:i/>
        </w:rPr>
        <w:t>Wardlaw</w:t>
      </w:r>
      <w:r w:rsidR="00E57E7D">
        <w:t xml:space="preserve"> case arose when a party appealed an agency order then subsequently filed a motion to vacate the same order from which he appealed. FCG argues that this case is distinguishable because “[t]he depreciation study, parameters, and reserve surplus addressed in the [2023 Final Order] are not at issue in the current proceeding, nor is the 2025 Depreciation Study the subject of an ongoing appeal at the Florida Supreme Court.” </w:t>
      </w:r>
      <w:r w:rsidR="00E57E7D">
        <w:rPr>
          <w:i/>
        </w:rPr>
        <w:t>Id.</w:t>
      </w:r>
      <w:r w:rsidR="00E57E7D">
        <w:t xml:space="preserve"> at 3. FCG also states that the two cases OPC cites along with </w:t>
      </w:r>
      <w:r w:rsidR="00E57E7D">
        <w:rPr>
          <w:i/>
        </w:rPr>
        <w:t>Wardlaw</w:t>
      </w:r>
      <w:r w:rsidR="00E57E7D">
        <w:rPr>
          <w:rStyle w:val="FootnoteReference"/>
        </w:rPr>
        <w:footnoteReference w:id="13"/>
      </w:r>
      <w:r w:rsidR="00E57E7D">
        <w:t xml:space="preserve"> involve cases in which “the appellate courts determined the trial court retained jurisdiction to address the separate requests for attorney’s fees.” </w:t>
      </w:r>
      <w:r w:rsidR="00E57E7D">
        <w:rPr>
          <w:i/>
        </w:rPr>
        <w:t>Id.</w:t>
      </w:r>
    </w:p>
    <w:p w14:paraId="79EAD3B5" w14:textId="77777777" w:rsidR="00E57E7D" w:rsidRDefault="00E57E7D" w:rsidP="00F43F93">
      <w:pPr>
        <w:pStyle w:val="BodyText"/>
        <w:ind w:firstLine="720"/>
        <w:jc w:val="both"/>
      </w:pPr>
      <w:r>
        <w:t xml:space="preserve">FCG also argues that: </w:t>
      </w:r>
    </w:p>
    <w:p w14:paraId="40C8BC77" w14:textId="77777777" w:rsidR="00E57E7D" w:rsidRDefault="00E57E7D" w:rsidP="00945439">
      <w:pPr>
        <w:pStyle w:val="BodyText"/>
        <w:spacing w:after="0"/>
        <w:ind w:left="720" w:right="720"/>
        <w:jc w:val="both"/>
      </w:pPr>
      <w:r>
        <w:lastRenderedPageBreak/>
        <w:t xml:space="preserve">While it is true that FCG is seeking to change the actual rates that are a component of the </w:t>
      </w:r>
      <w:r w:rsidRPr="00E73C1C">
        <w:t>issues appeal</w:t>
      </w:r>
      <w:r>
        <w:t xml:space="preserve"> [</w:t>
      </w:r>
      <w:r>
        <w:rPr>
          <w:i/>
        </w:rPr>
        <w:t>sic</w:t>
      </w:r>
      <w:r>
        <w:t xml:space="preserve">], FCG’s requests in this docket do not alter the prior Rate Case Order whatsoever, nor would a Commission decision addressing FCG’s current requests impede the Court’s ability to address the Commission’s prior decision to accept the RSAM and RSAM-adjusted depreciation parameters. </w:t>
      </w:r>
      <w:r>
        <w:rPr>
          <w:i/>
        </w:rPr>
        <w:t>Id.</w:t>
      </w:r>
      <w:r>
        <w:t xml:space="preserve"> at 4.</w:t>
      </w:r>
    </w:p>
    <w:p w14:paraId="6FF308DB" w14:textId="77777777" w:rsidR="00945439" w:rsidRDefault="00945439" w:rsidP="00945439">
      <w:pPr>
        <w:pStyle w:val="BodyText"/>
        <w:spacing w:after="0"/>
        <w:ind w:left="720" w:right="720"/>
        <w:jc w:val="both"/>
      </w:pPr>
    </w:p>
    <w:p w14:paraId="59A79B6A" w14:textId="77777777" w:rsidR="00E57E7D" w:rsidRDefault="00E57E7D" w:rsidP="00945439">
      <w:pPr>
        <w:pStyle w:val="BodyText"/>
        <w:spacing w:after="0"/>
        <w:ind w:firstLine="720"/>
        <w:jc w:val="both"/>
      </w:pPr>
      <w:r>
        <w:t xml:space="preserve">FCG also argues that OPC’s argument “blurs the line between ‘subject matter jurisdiction’ and ‘case jurisdiction.’” (FCG Dismissal Response 4-5) FCG states that subject matter jurisdiction “involves the power of a court to hear a class of cases,” while case jurisdiction is “the power of a court or agency over a particular case that is within its subject matter jurisdiction.” </w:t>
      </w:r>
      <w:r>
        <w:rPr>
          <w:i/>
        </w:rPr>
        <w:t>Id.</w:t>
      </w:r>
      <w:r>
        <w:t xml:space="preserve"> Although FCG states that distinguishing between the two types of jurisdiction is “critical, because lack of ‘case’ jurisdiction does </w:t>
      </w:r>
      <w:r w:rsidRPr="001D116B">
        <w:t>not</w:t>
      </w:r>
      <w:r>
        <w:t xml:space="preserve"> render proceedings or decisions automatic</w:t>
      </w:r>
      <w:r w:rsidR="006E0804">
        <w:t>ally void,” FCG argues that we</w:t>
      </w:r>
      <w:r>
        <w:t xml:space="preserve"> ha</w:t>
      </w:r>
      <w:r w:rsidR="006E0804">
        <w:t>ve</w:t>
      </w:r>
      <w:r>
        <w:t xml:space="preserve"> both case jurisdiction and subject matter jurisdiction to address FCG’s Petition and 2025 Depreciation Study. </w:t>
      </w:r>
      <w:r>
        <w:rPr>
          <w:i/>
        </w:rPr>
        <w:t xml:space="preserve">Id. </w:t>
      </w:r>
      <w:r>
        <w:t>at 5-6 (emphasis removed).</w:t>
      </w:r>
    </w:p>
    <w:p w14:paraId="0E02140B" w14:textId="77777777" w:rsidR="00945439" w:rsidRPr="000207BF" w:rsidRDefault="00945439" w:rsidP="00945439">
      <w:pPr>
        <w:pStyle w:val="BodyText"/>
        <w:spacing w:after="0"/>
        <w:ind w:firstLine="720"/>
        <w:jc w:val="both"/>
      </w:pPr>
    </w:p>
    <w:p w14:paraId="00C79802" w14:textId="77777777" w:rsidR="00E57E7D" w:rsidRPr="00F43F93" w:rsidRDefault="00F43F93" w:rsidP="00F43F93">
      <w:pPr>
        <w:pStyle w:val="First-LevelSubheading"/>
        <w:ind w:firstLine="720"/>
        <w:rPr>
          <w:rFonts w:ascii="Times New Roman" w:hAnsi="Times New Roman" w:cs="Times New Roman"/>
          <w:b w:val="0"/>
          <w:i/>
        </w:rPr>
      </w:pPr>
      <w:r w:rsidRPr="00F43F93">
        <w:rPr>
          <w:rFonts w:ascii="Times New Roman" w:hAnsi="Times New Roman" w:cs="Times New Roman"/>
          <w:b w:val="0"/>
          <w:i/>
        </w:rPr>
        <w:t xml:space="preserve">D.   </w:t>
      </w:r>
      <w:r>
        <w:rPr>
          <w:rFonts w:ascii="Times New Roman" w:hAnsi="Times New Roman" w:cs="Times New Roman"/>
          <w:b w:val="0"/>
          <w:i/>
        </w:rPr>
        <w:t>Analysis</w:t>
      </w:r>
    </w:p>
    <w:p w14:paraId="041F2613" w14:textId="77777777" w:rsidR="00F43F93" w:rsidRPr="00F43F93" w:rsidRDefault="00F43F93" w:rsidP="00F43F93">
      <w:pPr>
        <w:pStyle w:val="BodyText"/>
        <w:spacing w:after="0"/>
      </w:pPr>
    </w:p>
    <w:p w14:paraId="3A0453DC" w14:textId="269582B6" w:rsidR="00E57E7D" w:rsidRDefault="00E57E7D" w:rsidP="00F43F93">
      <w:pPr>
        <w:pStyle w:val="BodyText"/>
        <w:ind w:firstLine="720"/>
        <w:jc w:val="both"/>
      </w:pPr>
      <w:r>
        <w:t>A closer look at OPC’s Motion to Dismiss shows that it i</w:t>
      </w:r>
      <w:r w:rsidR="0041275D">
        <w:t xml:space="preserve">s not actually arguing that </w:t>
      </w:r>
      <w:r w:rsidR="006E0804">
        <w:t>we</w:t>
      </w:r>
      <w:r>
        <w:t xml:space="preserve"> do</w:t>
      </w:r>
      <w:r w:rsidR="006E0804">
        <w:t xml:space="preserve"> not</w:t>
      </w:r>
      <w:r>
        <w:t xml:space="preserve"> have subject matter jurisdiction over this case. Because OPC’s arguments relate to </w:t>
      </w:r>
      <w:r w:rsidR="0041275D">
        <w:t>our</w:t>
      </w:r>
      <w:r>
        <w:t xml:space="preserve"> power to proceed in a particular case ba</w:t>
      </w:r>
      <w:r w:rsidR="00EF6134">
        <w:t>sed on procedural posture, we agree</w:t>
      </w:r>
      <w:r>
        <w:t xml:space="preserve"> with FCG that OPC’s arguments are better </w:t>
      </w:r>
      <w:r w:rsidR="000D762D">
        <w:t>understood as a challenge to</w:t>
      </w:r>
      <w:r>
        <w:t xml:space="preserve"> </w:t>
      </w:r>
      <w:r w:rsidR="009320CB">
        <w:t>our</w:t>
      </w:r>
      <w:r>
        <w:t xml:space="preserve"> “case jurisdiction,” according to the legal doctrine articulated by Florida courts.</w:t>
      </w:r>
      <w:r>
        <w:rPr>
          <w:rStyle w:val="FootnoteReference"/>
        </w:rPr>
        <w:footnoteReference w:id="14"/>
      </w:r>
      <w:r>
        <w:t xml:space="preserve"> However, construing OPC’s Motion to Dismiss liberally, and applying the relevant law, the threshold legal standards for both subject matter jurisdiction and case jurisdiction are satisfie</w:t>
      </w:r>
      <w:r w:rsidR="009320CB">
        <w:t>d in this case, and we therefore have</w:t>
      </w:r>
      <w:r>
        <w:t xml:space="preserve"> jurisdiction to consider and decide FCG’s Petition.</w:t>
      </w:r>
    </w:p>
    <w:p w14:paraId="531203A8" w14:textId="77777777" w:rsidR="00E57E7D" w:rsidRPr="007B6CF6" w:rsidRDefault="00E57E7D" w:rsidP="00F43F93">
      <w:pPr>
        <w:pStyle w:val="BodyText"/>
        <w:ind w:firstLine="720"/>
        <w:jc w:val="both"/>
      </w:pPr>
      <w:r>
        <w:t>With respect to subject matter jurisdiction, t</w:t>
      </w:r>
      <w:r w:rsidR="009F7168">
        <w:t>he Legislature granted</w:t>
      </w:r>
      <w:r w:rsidRPr="00856CB6">
        <w:t xml:space="preserve"> </w:t>
      </w:r>
      <w:r w:rsidR="009F7168">
        <w:t>us</w:t>
      </w:r>
      <w:r w:rsidRPr="00856CB6">
        <w:t xml:space="preserve"> </w:t>
      </w:r>
      <w:r>
        <w:t>exclusive</w:t>
      </w:r>
      <w:r w:rsidRPr="00856CB6">
        <w:t xml:space="preserve"> jurisdiction “to regulate and supervise each public utility with respect to its rates and service.”</w:t>
      </w:r>
      <w:r w:rsidRPr="00856CB6">
        <w:rPr>
          <w:vertAlign w:val="superscript"/>
        </w:rPr>
        <w:footnoteReference w:id="15"/>
      </w:r>
      <w:r w:rsidRPr="00856CB6">
        <w:t xml:space="preserve"> </w:t>
      </w:r>
      <w:r>
        <w:t>Thus</w:t>
      </w:r>
      <w:r w:rsidR="009F7168">
        <w:t>, there is no question that we</w:t>
      </w:r>
      <w:r>
        <w:t xml:space="preserve"> ha</w:t>
      </w:r>
      <w:r w:rsidR="009F7168">
        <w:t>ve</w:t>
      </w:r>
      <w:r>
        <w:t xml:space="preserve"> subject matter jurisdiction over the class of cases regulating FCG’s depreciation rates. Because FCG’s Petition requests approval of its 2025 Depreciation Study, approval of new depreciation parameters resulting from that study, and approval of a two-year amortization of a resulting depreciation reserve surplus, </w:t>
      </w:r>
      <w:r w:rsidR="00EF6134">
        <w:t>our</w:t>
      </w:r>
      <w:r>
        <w:t xml:space="preserve"> view is that this docket falls into the class of cases addressing FCG’s depreciation rates. Therefore, </w:t>
      </w:r>
      <w:r w:rsidR="00BC7DE0">
        <w:t>we find that we have</w:t>
      </w:r>
      <w:r>
        <w:t xml:space="preserve"> subject matter jurisdiction over FCG’s Petition.</w:t>
      </w:r>
    </w:p>
    <w:p w14:paraId="752331B9" w14:textId="6691D76B" w:rsidR="00E57E7D" w:rsidRDefault="00E57E7D" w:rsidP="00F43F93">
      <w:pPr>
        <w:pStyle w:val="BodyText"/>
        <w:ind w:firstLine="720"/>
        <w:jc w:val="both"/>
      </w:pPr>
      <w:r>
        <w:t xml:space="preserve">Next, </w:t>
      </w:r>
      <w:r w:rsidR="00BC7DE0">
        <w:t>we find that we have</w:t>
      </w:r>
      <w:r>
        <w:t xml:space="preserve"> case jurisdiction over FCG’s Petition for two reasons: (1) the prior case decided by the 2023 Rate Case Order is distinct and independent of the present case; and (2) even assuming the two proceedings orig</w:t>
      </w:r>
      <w:r w:rsidR="009F7168">
        <w:t>inate from the same “case,” we retain</w:t>
      </w:r>
      <w:r>
        <w:t xml:space="preserve"> jurisdiction to address FCG’s Petition because a final order would not alter the Court’s analysis of the issues raised in OPC’s appeal of the 2023 Rate Case Order nor impair the court’s ability to resolve the appeal. Each of these reasons is sufficient on its</w:t>
      </w:r>
      <w:r w:rsidR="009F7168">
        <w:t xml:space="preserve"> own to find that we have</w:t>
      </w:r>
      <w:r>
        <w:t xml:space="preserve"> case jurisdiction, a</w:t>
      </w:r>
      <w:r w:rsidR="00EF6134">
        <w:t xml:space="preserve">nd they are supported by </w:t>
      </w:r>
      <w:r>
        <w:t>the facts discussed below.</w:t>
      </w:r>
    </w:p>
    <w:p w14:paraId="62378369" w14:textId="25DF1ABA" w:rsidR="00E739C6" w:rsidRDefault="00EF6134" w:rsidP="00F43F93">
      <w:pPr>
        <w:ind w:firstLine="720"/>
        <w:jc w:val="both"/>
        <w:rPr>
          <w:b/>
        </w:rPr>
      </w:pPr>
      <w:r>
        <w:lastRenderedPageBreak/>
        <w:t>First, we view</w:t>
      </w:r>
      <w:r w:rsidR="00E57E7D" w:rsidRPr="006D6ECD">
        <w:t xml:space="preserve"> the prior case decided by the 2023 Rate Case Order as distinct and independent of the current case because each arises from a separate petition supported by an independent </w:t>
      </w:r>
      <w:r w:rsidR="00E57E7D">
        <w:t xml:space="preserve">evidentiary </w:t>
      </w:r>
      <w:r w:rsidR="00E57E7D" w:rsidRPr="006D6ECD">
        <w:t>record.</w:t>
      </w:r>
      <w:r w:rsidR="00E57E7D">
        <w:t xml:space="preserve"> While OPC does not explicitly allege in its Motions that FCG’s Petition in this docket is so </w:t>
      </w:r>
      <w:r w:rsidR="00E57E7D" w:rsidRPr="00C7555A">
        <w:t xml:space="preserve">interrelated </w:t>
      </w:r>
      <w:r w:rsidR="00E57E7D">
        <w:t xml:space="preserve">with the prior proceeding </w:t>
      </w:r>
      <w:r w:rsidR="00E57E7D" w:rsidRPr="00C7555A">
        <w:t>as to essentially</w:t>
      </w:r>
      <w:r w:rsidR="00E57E7D">
        <w:t xml:space="preserve"> originate from the same “case,” it argues in its Motion for Reconsideration that the reserve surplus at issue in this case is the same as that recogn</w:t>
      </w:r>
      <w:r w:rsidR="009F7168">
        <w:t>ized by</w:t>
      </w:r>
      <w:r w:rsidR="00E57E7D">
        <w:t xml:space="preserve"> </w:t>
      </w:r>
      <w:r w:rsidR="009F7168">
        <w:t>us</w:t>
      </w:r>
      <w:r w:rsidR="00E57E7D">
        <w:t xml:space="preserve"> in the 2023 Rate Case Order. (OPC Motion for Reconsideration 5) Additionally, OPC argues that “the depreciation parameters and rates on appeal and the proposed depreciation parameters and rates in FCG’s 2025 Depreciation Study are inextricably intertwined.” </w:t>
      </w:r>
      <w:r w:rsidR="00E57E7D">
        <w:rPr>
          <w:i/>
        </w:rPr>
        <w:t>Id.</w:t>
      </w:r>
      <w:r w:rsidR="00E57E7D">
        <w:t xml:space="preserve"> at 7.</w:t>
      </w:r>
    </w:p>
    <w:p w14:paraId="06B94111" w14:textId="77777777" w:rsidR="00E739C6" w:rsidRDefault="00E739C6" w:rsidP="00C27BF6">
      <w:pPr>
        <w:jc w:val="both"/>
        <w:rPr>
          <w:b/>
        </w:rPr>
      </w:pPr>
    </w:p>
    <w:p w14:paraId="0C01EE90" w14:textId="25692B16" w:rsidR="00E57E7D" w:rsidRDefault="00F43F93" w:rsidP="00F43F93">
      <w:pPr>
        <w:pStyle w:val="BodyText"/>
        <w:ind w:firstLine="720"/>
        <w:jc w:val="both"/>
      </w:pPr>
      <w:r>
        <w:t>We disagree</w:t>
      </w:r>
      <w:r w:rsidR="00E57E7D">
        <w:t xml:space="preserve">. In utility regulation, a depreciation study is meant to provide the regulator with a current-view update on the utility’s recovery of its plant investment, and </w:t>
      </w:r>
      <w:r w:rsidR="00E57E7D" w:rsidRPr="002A5894">
        <w:t>a request for updated depreciation rates and parameters is meant to align the cost recovery period for utility assets on a going-forward basis with the projected service lives of those assets.</w:t>
      </w:r>
      <w:r w:rsidR="00501992">
        <w:rPr>
          <w:rStyle w:val="FootnoteReference"/>
        </w:rPr>
        <w:footnoteReference w:id="16"/>
      </w:r>
      <w:r w:rsidR="00E57E7D">
        <w:t xml:space="preserve"> Thus, while it is clear from FCG’s Petition that th</w:t>
      </w:r>
      <w:r w:rsidR="009F7168">
        <w:t>e Company is requesting that</w:t>
      </w:r>
      <w:r w:rsidR="00E57E7D">
        <w:t xml:space="preserve"> </w:t>
      </w:r>
      <w:r w:rsidR="009F7168">
        <w:t>we</w:t>
      </w:r>
      <w:r w:rsidR="00E57E7D">
        <w:t xml:space="preserve"> change depreciation rates previously established by the Rate Case Order, that is the extent of the rela</w:t>
      </w:r>
      <w:r w:rsidR="009F7168">
        <w:t>tionship between the cases. We</w:t>
      </w:r>
      <w:r w:rsidR="00E57E7D">
        <w:t xml:space="preserve"> would not be considering modifying </w:t>
      </w:r>
      <w:r w:rsidR="00761866">
        <w:t xml:space="preserve">our </w:t>
      </w:r>
      <w:r w:rsidR="00E57E7D">
        <w:t xml:space="preserve">previous order nor </w:t>
      </w:r>
      <w:r w:rsidR="009F7168">
        <w:t>any aspect thereof. Rather, we</w:t>
      </w:r>
      <w:r w:rsidR="00E57E7D">
        <w:t xml:space="preserve"> would consider FCG’s current circumstances and updated projections to decide the questions at issue on the basis of a distinct, independent petition and evidentiary record.</w:t>
      </w:r>
    </w:p>
    <w:p w14:paraId="4129C56E" w14:textId="77777777" w:rsidR="00E57E7D" w:rsidRDefault="00E57E7D" w:rsidP="00F43F93">
      <w:pPr>
        <w:pStyle w:val="BodyText"/>
        <w:ind w:firstLine="720"/>
        <w:jc w:val="both"/>
      </w:pPr>
      <w:r>
        <w:t>Here, FCG’s Petition requests approval of its 2025 Depreciation Study, approval of updated depreciation parameters resulting from that study, and approval of a two-year amortization of a resulting depreciation reserve surplus. As previously observed by the Prehearing Officer in this docket, FCG represents that this petition is supported by an independent record, including a different expert witness and a new depreciation study.</w:t>
      </w:r>
      <w:r>
        <w:rPr>
          <w:rStyle w:val="FootnoteReference"/>
        </w:rPr>
        <w:footnoteReference w:id="17"/>
      </w:r>
      <w:r>
        <w:t xml:space="preserve"> Further, </w:t>
      </w:r>
      <w:r w:rsidR="00EF6134">
        <w:t xml:space="preserve">our </w:t>
      </w:r>
      <w:r>
        <w:t xml:space="preserve">staff is actively engaging with the Company in the discovery process to investigate FCG’s requests based upon the evidence provided in this docket. Thus, FCG’s Petition initiated a new </w:t>
      </w:r>
      <w:r w:rsidR="009F7168">
        <w:t>case, and we therefore have</w:t>
      </w:r>
      <w:r>
        <w:t xml:space="preserve"> case jurisdiction because the Florida Supreme Court’s jurisdiction extends only to the prior case on appeal.</w:t>
      </w:r>
    </w:p>
    <w:p w14:paraId="7A87F2DC" w14:textId="478A00B7" w:rsidR="00E57E7D" w:rsidRDefault="00E57E7D" w:rsidP="00F43F93">
      <w:pPr>
        <w:pStyle w:val="BodyText"/>
        <w:ind w:firstLine="720"/>
        <w:jc w:val="both"/>
      </w:pPr>
      <w:r>
        <w:t>Second, even if the two dockets originate from the same “case</w:t>
      </w:r>
      <w:r w:rsidR="00D6067D">
        <w:t>,</w:t>
      </w:r>
      <w:r>
        <w:t>”</w:t>
      </w:r>
      <w:r w:rsidR="009F7168">
        <w:t xml:space="preserve"> we</w:t>
      </w:r>
      <w:r>
        <w:t xml:space="preserve"> retain case jurisdiction over FCG’s Petition in this docket because it does not affect the issues raised by OPC on appeal. As discussed above, an appeal from one of </w:t>
      </w:r>
      <w:r w:rsidR="009F7168">
        <w:t>our</w:t>
      </w:r>
      <w:r>
        <w:t xml:space="preserve"> orders only divests </w:t>
      </w:r>
      <w:r w:rsidR="00761866">
        <w:t xml:space="preserve">use </w:t>
      </w:r>
      <w:r>
        <w:t>of jurisdiction over matters that affect the issues on appeal.</w:t>
      </w:r>
      <w:r>
        <w:rPr>
          <w:rStyle w:val="FootnoteReference"/>
        </w:rPr>
        <w:footnoteReference w:id="18"/>
      </w:r>
    </w:p>
    <w:p w14:paraId="4C7CE353" w14:textId="77777777" w:rsidR="00E57E7D" w:rsidRDefault="009F7168" w:rsidP="00F43F93">
      <w:pPr>
        <w:ind w:firstLine="720"/>
        <w:jc w:val="both"/>
      </w:pPr>
      <w:r>
        <w:t>In its appeal of</w:t>
      </w:r>
      <w:r w:rsidR="00E57E7D">
        <w:t xml:space="preserve"> </w:t>
      </w:r>
      <w:r>
        <w:t>our</w:t>
      </w:r>
      <w:r w:rsidR="00E57E7D">
        <w:t xml:space="preserve"> 2023 Rate Case Order, OPC raised three main arguments related to FCG’s depreciation ra</w:t>
      </w:r>
      <w:r>
        <w:t>tes. First, OPC argued that our</w:t>
      </w:r>
      <w:r w:rsidR="00E57E7D" w:rsidRPr="005A71F8">
        <w:t xml:space="preserve"> approval of </w:t>
      </w:r>
      <w:r w:rsidR="00E57E7D">
        <w:t xml:space="preserve">FCG’s alternative, </w:t>
      </w:r>
      <w:r w:rsidR="00E57E7D" w:rsidRPr="005A71F8">
        <w:t xml:space="preserve">RSAM-Adjusted Depreciation Parameters to create a reserve surplus </w:t>
      </w:r>
      <w:r w:rsidR="00E57E7D">
        <w:t>was inconsistent with</w:t>
      </w:r>
      <w:r w:rsidR="00E57E7D" w:rsidRPr="005A71F8">
        <w:t xml:space="preserve"> Rule 25-</w:t>
      </w:r>
      <w:r w:rsidR="00E57E7D" w:rsidRPr="005A71F8">
        <w:lastRenderedPageBreak/>
        <w:t>7.045, F.A.C.</w:t>
      </w:r>
      <w:r w:rsidR="00E57E7D">
        <w:rPr>
          <w:rStyle w:val="FootnoteReference"/>
        </w:rPr>
        <w:footnoteReference w:id="19"/>
      </w:r>
      <w:r w:rsidR="00E57E7D">
        <w:t xml:space="preserve"> Second, </w:t>
      </w:r>
      <w:r>
        <w:t>OPC argued that</w:t>
      </w:r>
      <w:r w:rsidR="00E57E7D" w:rsidRPr="00721FE2">
        <w:t xml:space="preserve"> </w:t>
      </w:r>
      <w:r>
        <w:t>our</w:t>
      </w:r>
      <w:r w:rsidR="00E57E7D" w:rsidRPr="00721FE2">
        <w:t xml:space="preserve"> approval of the RSAM and RSAM-Adjusted Depreciation Parameters deviated </w:t>
      </w:r>
      <w:r w:rsidR="00E57E7D">
        <w:t xml:space="preserve">without explanation </w:t>
      </w:r>
      <w:r w:rsidR="00E57E7D" w:rsidRPr="00721FE2">
        <w:t>from a policy that “reserve imbalances represent intergenerational inequity and . . . that such imbalances therefore should be corrected.”</w:t>
      </w:r>
      <w:r w:rsidR="00E57E7D">
        <w:rPr>
          <w:rStyle w:val="FootnoteReference"/>
        </w:rPr>
        <w:footnoteReference w:id="20"/>
      </w:r>
      <w:r>
        <w:t xml:space="preserve"> And third, OPC argued that our</w:t>
      </w:r>
      <w:r w:rsidR="00E57E7D" w:rsidRPr="00721FE2">
        <w:t xml:space="preserve"> approval of the RSAM and RSAM-Ad</w:t>
      </w:r>
      <w:r w:rsidR="00E57E7D">
        <w:t>justed Depreciation Parameters wa</w:t>
      </w:r>
      <w:r w:rsidR="00E57E7D" w:rsidRPr="00721FE2">
        <w:t xml:space="preserve">s </w:t>
      </w:r>
      <w:r w:rsidR="00E57E7D">
        <w:t xml:space="preserve">not </w:t>
      </w:r>
      <w:r w:rsidR="00E57E7D" w:rsidRPr="00721FE2">
        <w:t>supported by competent, substantial evidence</w:t>
      </w:r>
      <w:r w:rsidR="00E57E7D">
        <w:t>.</w:t>
      </w:r>
      <w:r w:rsidR="00E57E7D">
        <w:rPr>
          <w:rStyle w:val="FootnoteReference"/>
        </w:rPr>
        <w:footnoteReference w:id="21"/>
      </w:r>
    </w:p>
    <w:p w14:paraId="6E29B54D" w14:textId="77777777" w:rsidR="00E57E7D" w:rsidRDefault="00E57E7D" w:rsidP="00C27BF6">
      <w:pPr>
        <w:jc w:val="both"/>
      </w:pPr>
    </w:p>
    <w:p w14:paraId="68B21382" w14:textId="20BF33C5" w:rsidR="00E57E7D" w:rsidRDefault="00F43F93" w:rsidP="00AF09E6">
      <w:pPr>
        <w:ind w:firstLine="720"/>
        <w:jc w:val="both"/>
      </w:pPr>
      <w:r>
        <w:t>We agree</w:t>
      </w:r>
      <w:r w:rsidR="00E57E7D">
        <w:t xml:space="preserve"> with OPC that the test of determining loss of jurisdiction is “</w:t>
      </w:r>
      <w:r w:rsidR="00E57E7D" w:rsidRPr="00856CB6">
        <w:t xml:space="preserve">whether </w:t>
      </w:r>
      <w:r w:rsidR="00761866">
        <w:t>[we are]</w:t>
      </w:r>
      <w:r w:rsidR="00E57E7D" w:rsidRPr="00856CB6">
        <w:t xml:space="preserve"> proceeding in a matter which </w:t>
      </w:r>
      <w:r w:rsidR="00E57E7D" w:rsidRPr="00541A6A">
        <w:t>affec</w:t>
      </w:r>
      <w:r w:rsidR="00E57E7D">
        <w:t>ts the subject matter on appeal.</w:t>
      </w:r>
      <w:r w:rsidR="00E57E7D" w:rsidRPr="00856CB6">
        <w:t>”</w:t>
      </w:r>
      <w:r w:rsidR="00E57E7D">
        <w:rPr>
          <w:rStyle w:val="FootnoteReference"/>
        </w:rPr>
        <w:footnoteReference w:id="22"/>
      </w:r>
      <w:r w:rsidR="00E57E7D" w:rsidRPr="00856CB6">
        <w:t xml:space="preserve"> </w:t>
      </w:r>
      <w:r w:rsidR="00E57E7D">
        <w:t>A decision</w:t>
      </w:r>
      <w:r w:rsidR="00761866">
        <w:t xml:space="preserve"> </w:t>
      </w:r>
      <w:r w:rsidR="009F7168">
        <w:t>by us</w:t>
      </w:r>
      <w:r w:rsidR="00E57E7D">
        <w:t xml:space="preserve"> in </w:t>
      </w:r>
      <w:r w:rsidR="00E57E7D" w:rsidRPr="00796767">
        <w:t>this</w:t>
      </w:r>
      <w:r w:rsidR="00E57E7D">
        <w:t xml:space="preserve"> docket would not affect or interfere with the Florida Supreme Court’s ability to resolve the case on appeal because none of the three aforementioned issues could be considered or altered by a decision in this docket. FCG’s Petition here does not include a new RSAM, RSAM-adjusted depreciation parameters, nor a request to modify the terms of the 4-year RSAM approved in</w:t>
      </w:r>
      <w:r w:rsidR="00EF6134">
        <w:t xml:space="preserve"> the 2023 Rate Case Order. We agree</w:t>
      </w:r>
      <w:r w:rsidR="00E57E7D">
        <w:t xml:space="preserve"> with FCG that “FCG’s requests in this docket do not alter the prior Rate Case Order whatsoever, nor would a Commission decision addressing FCG’s current requests impede the Court’s ability to address the Commission’s prior decision to accept the RSAM and RSAM-adjusted depreciation parameters.” (FCG Dismissal Response 4)</w:t>
      </w:r>
    </w:p>
    <w:p w14:paraId="12A350AD" w14:textId="77777777" w:rsidR="00761866" w:rsidRDefault="00761866" w:rsidP="00AF09E6">
      <w:pPr>
        <w:ind w:firstLine="720"/>
        <w:jc w:val="both"/>
      </w:pPr>
    </w:p>
    <w:p w14:paraId="1E5AA649" w14:textId="6C2ED281" w:rsidR="00E57E7D" w:rsidRDefault="00D6067D" w:rsidP="00F43F93">
      <w:pPr>
        <w:pStyle w:val="BodyText"/>
        <w:ind w:firstLine="720"/>
        <w:jc w:val="both"/>
      </w:pPr>
      <w:r>
        <w:t>The</w:t>
      </w:r>
      <w:r w:rsidR="00E57E7D">
        <w:t xml:space="preserve"> depreciation reserve imbalance in each case </w:t>
      </w:r>
      <w:r w:rsidR="00084FF7">
        <w:t>i</w:t>
      </w:r>
      <w:r w:rsidR="00E57E7D">
        <w:t>s a</w:t>
      </w:r>
      <w:r w:rsidR="00084FF7">
        <w:t xml:space="preserve"> calculation – or “a</w:t>
      </w:r>
      <w:r w:rsidR="00E57E7D">
        <w:t xml:space="preserve"> fallout issue</w:t>
      </w:r>
      <w:r w:rsidR="00084FF7">
        <w:t>” –</w:t>
      </w:r>
      <w:r w:rsidR="00E57E7D">
        <w:t xml:space="preserve"> </w:t>
      </w:r>
      <w:r w:rsidR="00084FF7">
        <w:t>based on</w:t>
      </w:r>
      <w:r w:rsidR="00E57E7D">
        <w:t xml:space="preserve"> the depreciation rates and parameters </w:t>
      </w:r>
      <w:r w:rsidR="00084FF7">
        <w:t xml:space="preserve">and </w:t>
      </w:r>
      <w:r w:rsidR="00E57E7D">
        <w:t xml:space="preserve">record evidence </w:t>
      </w:r>
      <w:r w:rsidR="00084FF7">
        <w:t xml:space="preserve">established in the separate </w:t>
      </w:r>
      <w:r w:rsidR="00E57E7D">
        <w:t>docket</w:t>
      </w:r>
      <w:r w:rsidR="001B2FC8">
        <w:t>s</w:t>
      </w:r>
      <w:r w:rsidR="00E57E7D">
        <w:t xml:space="preserve">. </w:t>
      </w:r>
      <w:r w:rsidR="00E57E7D" w:rsidRPr="002A5894">
        <w:t>I</w:t>
      </w:r>
      <w:r w:rsidR="00E57E7D">
        <w:t xml:space="preserve">n this docket </w:t>
      </w:r>
      <w:r w:rsidR="009F7168">
        <w:t xml:space="preserve">we </w:t>
      </w:r>
      <w:r w:rsidR="00E57E7D" w:rsidRPr="002A5894">
        <w:t>will determine appropriate depreciation parameters and rates for FCG’s assets on a going-forward basis, and, if a reserve imbalance exists as</w:t>
      </w:r>
      <w:r w:rsidR="009F7168">
        <w:t xml:space="preserve"> a result of that decision, we</w:t>
      </w:r>
      <w:r w:rsidR="00E57E7D" w:rsidRPr="002A5894">
        <w:t xml:space="preserve"> will prescribe a going-forward treatment to addre</w:t>
      </w:r>
      <w:r w:rsidR="00EF6134">
        <w:t xml:space="preserve">ss that imbalance. Thus, </w:t>
      </w:r>
      <w:r w:rsidR="009F7168">
        <w:t>our</w:t>
      </w:r>
      <w:r w:rsidR="00E57E7D" w:rsidRPr="002A5894">
        <w:t xml:space="preserve"> decisions in this docket will not have a retroactive effect that would interfere with the case on appeal.</w:t>
      </w:r>
    </w:p>
    <w:p w14:paraId="16AA0328" w14:textId="77777777" w:rsidR="00E57E7D" w:rsidRDefault="00E57E7D" w:rsidP="00945439">
      <w:pPr>
        <w:pStyle w:val="BodyText"/>
        <w:spacing w:after="0"/>
        <w:ind w:firstLine="720"/>
        <w:jc w:val="both"/>
      </w:pPr>
      <w:r>
        <w:t xml:space="preserve">Therefore, because </w:t>
      </w:r>
      <w:r w:rsidR="00F43F93">
        <w:t>our</w:t>
      </w:r>
      <w:r>
        <w:t xml:space="preserve"> view is that matters involved in this docket do not affect the issues raised in OPC’s appeal of the 2023 Rate Case Order, </w:t>
      </w:r>
      <w:r w:rsidR="00BC7DE0">
        <w:t xml:space="preserve">we find that we have </w:t>
      </w:r>
      <w:r>
        <w:t>case jurisdiction to hear and decide FCG’s Petition in this case.</w:t>
      </w:r>
    </w:p>
    <w:p w14:paraId="1347D7B2" w14:textId="77777777" w:rsidR="00945439" w:rsidRDefault="00945439" w:rsidP="00945439">
      <w:pPr>
        <w:pStyle w:val="BodyText"/>
        <w:spacing w:after="0"/>
        <w:ind w:firstLine="720"/>
        <w:jc w:val="both"/>
      </w:pPr>
    </w:p>
    <w:p w14:paraId="462A8A0D" w14:textId="77777777" w:rsidR="00E57E7D" w:rsidRPr="00F43F93" w:rsidRDefault="00F43F93" w:rsidP="00F43F93">
      <w:pPr>
        <w:pStyle w:val="First-LevelSubheading"/>
        <w:ind w:firstLine="720"/>
        <w:rPr>
          <w:rFonts w:ascii="Times New Roman" w:hAnsi="Times New Roman" w:cs="Times New Roman"/>
          <w:b w:val="0"/>
          <w:i/>
          <w:u w:val="single"/>
        </w:rPr>
      </w:pPr>
      <w:r w:rsidRPr="00F43F93">
        <w:rPr>
          <w:rFonts w:ascii="Times New Roman" w:hAnsi="Times New Roman" w:cs="Times New Roman"/>
          <w:b w:val="0"/>
          <w:i/>
        </w:rPr>
        <w:t>E.</w:t>
      </w:r>
      <w:r>
        <w:rPr>
          <w:rFonts w:ascii="Times New Roman" w:hAnsi="Times New Roman" w:cs="Times New Roman"/>
          <w:b w:val="0"/>
          <w:i/>
        </w:rPr>
        <w:t xml:space="preserve">   </w:t>
      </w:r>
      <w:r w:rsidR="00E57E7D" w:rsidRPr="00F43F93">
        <w:rPr>
          <w:rFonts w:ascii="Times New Roman" w:hAnsi="Times New Roman" w:cs="Times New Roman"/>
          <w:b w:val="0"/>
          <w:i/>
        </w:rPr>
        <w:t>Conclusion</w:t>
      </w:r>
    </w:p>
    <w:p w14:paraId="68FEEC03" w14:textId="77777777" w:rsidR="00F43F93" w:rsidRPr="00F43F93" w:rsidRDefault="00F43F93" w:rsidP="00F43F93">
      <w:pPr>
        <w:pStyle w:val="BodyText"/>
        <w:spacing w:after="0"/>
      </w:pPr>
    </w:p>
    <w:p w14:paraId="16B12062" w14:textId="77777777" w:rsidR="00E57E7D" w:rsidRDefault="00E57E7D" w:rsidP="00F43F93">
      <w:pPr>
        <w:ind w:firstLine="720"/>
        <w:jc w:val="both"/>
      </w:pPr>
      <w:r>
        <w:t xml:space="preserve">For the reasons stated above, </w:t>
      </w:r>
      <w:r w:rsidR="00BC7DE0">
        <w:t>we find that we have</w:t>
      </w:r>
      <w:r>
        <w:t xml:space="preserve"> jurisdiction to hear and decide F</w:t>
      </w:r>
      <w:r w:rsidR="009F7168">
        <w:t>CG’s Petition in this case. We</w:t>
      </w:r>
      <w:r>
        <w:t xml:space="preserve"> ha</w:t>
      </w:r>
      <w:r w:rsidR="009F7168">
        <w:t>ve</w:t>
      </w:r>
      <w:r>
        <w:t xml:space="preserve"> subject matter jurisdiction because Sect</w:t>
      </w:r>
      <w:r w:rsidR="009F7168">
        <w:t>ion 366.04(1), F.S., grants us</w:t>
      </w:r>
      <w:r>
        <w:t xml:space="preserve"> jurisdiction to regulate the rates and service of public utilities, in</w:t>
      </w:r>
      <w:r w:rsidR="009F7168">
        <w:t>cluding depreciation rates. We have</w:t>
      </w:r>
      <w:r>
        <w:t xml:space="preserve"> case jurisdiction because the present case is distinct and independent from the one decided by the 2023 Rate Case Order currently pending on appeal, and because the matters at issue in this docket do not affect the issues raised in the appeal.</w:t>
      </w:r>
    </w:p>
    <w:p w14:paraId="24341BA8" w14:textId="77777777" w:rsidR="00E57E7D" w:rsidRDefault="00E57E7D" w:rsidP="00C27BF6">
      <w:pPr>
        <w:jc w:val="both"/>
      </w:pPr>
    </w:p>
    <w:p w14:paraId="7E15BD84" w14:textId="77777777" w:rsidR="00E739C6" w:rsidRDefault="00E57E7D" w:rsidP="00F43F93">
      <w:pPr>
        <w:ind w:firstLine="720"/>
        <w:jc w:val="both"/>
        <w:rPr>
          <w:b/>
        </w:rPr>
      </w:pPr>
      <w:r>
        <w:lastRenderedPageBreak/>
        <w:t>Even assuming fo</w:t>
      </w:r>
      <w:r w:rsidR="009F7168">
        <w:t>r the sake of argument that we</w:t>
      </w:r>
      <w:r>
        <w:t xml:space="preserve"> </w:t>
      </w:r>
      <w:r>
        <w:rPr>
          <w:i/>
        </w:rPr>
        <w:t>could</w:t>
      </w:r>
      <w:r>
        <w:t xml:space="preserve"> make a decision in this case that affects the subject matter of the appeal, </w:t>
      </w:r>
      <w:r w:rsidR="00BC7DE0">
        <w:t>we find</w:t>
      </w:r>
      <w:r>
        <w:t xml:space="preserve"> it is premature to dismiss the case before completing discovery and </w:t>
      </w:r>
      <w:r w:rsidR="009F7168">
        <w:t xml:space="preserve">litigating the case to help us </w:t>
      </w:r>
      <w:r>
        <w:t>“</w:t>
      </w:r>
      <w:r w:rsidRPr="00877E56">
        <w:t>develop and flesh out the differences between”</w:t>
      </w:r>
      <w:r>
        <w:t xml:space="preserve"> the two cases and the potential effect a decision in this docket might have. </w:t>
      </w:r>
      <w:r>
        <w:rPr>
          <w:i/>
        </w:rPr>
        <w:t>See</w:t>
      </w:r>
      <w:r>
        <w:t xml:space="preserve"> </w:t>
      </w:r>
      <w:r w:rsidRPr="00877E56">
        <w:rPr>
          <w:i/>
        </w:rPr>
        <w:t>Delray Medical</w:t>
      </w:r>
      <w:r w:rsidRPr="00877E56">
        <w:t xml:space="preserve">, 5 So. 3d </w:t>
      </w:r>
      <w:r>
        <w:t>at</w:t>
      </w:r>
      <w:r w:rsidRPr="00877E56">
        <w:t xml:space="preserve"> 30</w:t>
      </w:r>
      <w:r w:rsidR="00BC7DE0">
        <w:t>. Therefore, we</w:t>
      </w:r>
      <w:r>
        <w:t xml:space="preserve"> deny OPC’s Motion to Dismiss.</w:t>
      </w:r>
    </w:p>
    <w:p w14:paraId="231467B7" w14:textId="77777777" w:rsidR="00E57E7D" w:rsidRDefault="00E57E7D" w:rsidP="00C27BF6">
      <w:pPr>
        <w:pStyle w:val="CenterUnderline"/>
        <w:jc w:val="both"/>
        <w:rPr>
          <w:b/>
          <w:u w:val="none"/>
        </w:rPr>
      </w:pPr>
    </w:p>
    <w:p w14:paraId="60DBAD92" w14:textId="77777777" w:rsidR="00E57E7D" w:rsidRDefault="00F43F93" w:rsidP="00F43F93">
      <w:pPr>
        <w:pStyle w:val="BodyText"/>
        <w:spacing w:after="0"/>
        <w:jc w:val="both"/>
      </w:pPr>
      <w:r>
        <w:t>2.</w:t>
      </w:r>
      <w:r>
        <w:tab/>
      </w:r>
      <w:r w:rsidR="00E57E7D" w:rsidRPr="00F43F93">
        <w:rPr>
          <w:u w:val="single"/>
        </w:rPr>
        <w:t>OPC’s Motion for Reconsideration</w:t>
      </w:r>
    </w:p>
    <w:p w14:paraId="669EAEED" w14:textId="77777777" w:rsidR="00F43F93" w:rsidRDefault="00F43F93" w:rsidP="00F43F93">
      <w:pPr>
        <w:pStyle w:val="BodyText"/>
        <w:spacing w:after="0"/>
        <w:jc w:val="both"/>
      </w:pPr>
    </w:p>
    <w:p w14:paraId="70A9A1B9" w14:textId="77777777" w:rsidR="00E57E7D" w:rsidRDefault="00F43F93" w:rsidP="00F43F93">
      <w:pPr>
        <w:pStyle w:val="First-LevelSubheading"/>
        <w:ind w:firstLine="720"/>
        <w:rPr>
          <w:rFonts w:ascii="Times New Roman" w:hAnsi="Times New Roman" w:cs="Times New Roman"/>
          <w:b w:val="0"/>
          <w:i/>
        </w:rPr>
      </w:pPr>
      <w:r w:rsidRPr="00F43F93">
        <w:rPr>
          <w:rFonts w:ascii="Times New Roman" w:hAnsi="Times New Roman" w:cs="Times New Roman"/>
          <w:b w:val="0"/>
          <w:i/>
        </w:rPr>
        <w:t xml:space="preserve">A.   </w:t>
      </w:r>
      <w:r w:rsidR="00E57E7D" w:rsidRPr="00F43F93">
        <w:rPr>
          <w:rFonts w:ascii="Times New Roman" w:hAnsi="Times New Roman" w:cs="Times New Roman"/>
          <w:b w:val="0"/>
          <w:i/>
        </w:rPr>
        <w:t>Law: Standard of Review</w:t>
      </w:r>
    </w:p>
    <w:p w14:paraId="36AE1810" w14:textId="77777777" w:rsidR="00F43F93" w:rsidRPr="00F43F93" w:rsidRDefault="00F43F93" w:rsidP="00F43F93">
      <w:pPr>
        <w:pStyle w:val="BodyText"/>
        <w:spacing w:after="0"/>
      </w:pPr>
    </w:p>
    <w:p w14:paraId="4FDE0058" w14:textId="653CC29F" w:rsidR="00E57E7D" w:rsidRDefault="00E57E7D" w:rsidP="00F43F93">
      <w:pPr>
        <w:autoSpaceDE w:val="0"/>
        <w:autoSpaceDN w:val="0"/>
        <w:adjustRightInd w:val="0"/>
        <w:ind w:firstLine="720"/>
        <w:jc w:val="both"/>
        <w:rPr>
          <w:i/>
          <w:iCs/>
        </w:rPr>
      </w:pPr>
      <w:r w:rsidRPr="00B72D92">
        <w:t>The standard of review for reconsideration of a Commission order is whether the motion</w:t>
      </w:r>
      <w:r>
        <w:t xml:space="preserve"> </w:t>
      </w:r>
      <w:r w:rsidRPr="00B72D92">
        <w:t>identifies a point of fact or law that</w:t>
      </w:r>
      <w:r w:rsidR="006F7C50">
        <w:t xml:space="preserve"> we</w:t>
      </w:r>
      <w:r w:rsidRPr="00B72D92">
        <w:t xml:space="preserve">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Pr>
          <w:i/>
          <w:iCs/>
        </w:rPr>
        <w:t xml:space="preserve">State ex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w:t>
      </w:r>
    </w:p>
    <w:p w14:paraId="6B73454F" w14:textId="77777777" w:rsidR="00E57E7D" w:rsidRDefault="00E57E7D" w:rsidP="00E57E7D">
      <w:pPr>
        <w:pStyle w:val="BodyText"/>
        <w:spacing w:after="0"/>
      </w:pPr>
    </w:p>
    <w:p w14:paraId="4036E162" w14:textId="77777777" w:rsidR="00E57E7D" w:rsidRDefault="001B08AF" w:rsidP="001B08AF">
      <w:pPr>
        <w:pStyle w:val="First-LevelSubheading"/>
        <w:ind w:firstLine="720"/>
        <w:rPr>
          <w:rFonts w:ascii="Times New Roman" w:hAnsi="Times New Roman" w:cs="Times New Roman"/>
          <w:b w:val="0"/>
        </w:rPr>
      </w:pPr>
      <w:r>
        <w:rPr>
          <w:rFonts w:ascii="Times New Roman" w:hAnsi="Times New Roman" w:cs="Times New Roman"/>
          <w:b w:val="0"/>
        </w:rPr>
        <w:t xml:space="preserve">B.   </w:t>
      </w:r>
      <w:r w:rsidR="00E57E7D" w:rsidRPr="001B08AF">
        <w:rPr>
          <w:rFonts w:ascii="Times New Roman" w:hAnsi="Times New Roman" w:cs="Times New Roman"/>
          <w:b w:val="0"/>
        </w:rPr>
        <w:t>OPC’s Arguments</w:t>
      </w:r>
    </w:p>
    <w:p w14:paraId="147145D8" w14:textId="77777777" w:rsidR="001B08AF" w:rsidRPr="001B08AF" w:rsidRDefault="001B08AF" w:rsidP="001B08AF">
      <w:pPr>
        <w:pStyle w:val="BodyText"/>
        <w:spacing w:after="0"/>
      </w:pPr>
    </w:p>
    <w:p w14:paraId="58912FC2" w14:textId="77777777" w:rsidR="00E57E7D" w:rsidRDefault="00E57E7D" w:rsidP="001B08AF">
      <w:pPr>
        <w:ind w:firstLine="720"/>
        <w:jc w:val="both"/>
      </w:pPr>
      <w:r>
        <w:t xml:space="preserve">As an initial matter, </w:t>
      </w:r>
      <w:r w:rsidRPr="00F26013">
        <w:t xml:space="preserve">OPC asserts that </w:t>
      </w:r>
      <w:r>
        <w:t>“</w:t>
      </w:r>
      <w:r w:rsidRPr="00F26013">
        <w:t>the Commission practice of ap</w:t>
      </w:r>
      <w:r>
        <w:t>plying the same review standard w</w:t>
      </w:r>
      <w:r w:rsidRPr="00F26013">
        <w:t>hen the full Commission reviews the decision of a single Commis</w:t>
      </w:r>
      <w:r>
        <w:t>sioner is neither in the public i</w:t>
      </w:r>
      <w:r w:rsidRPr="00F26013">
        <w:t>nterest nor just.</w:t>
      </w:r>
      <w:r>
        <w:t>”</w:t>
      </w:r>
      <w:r w:rsidRPr="00F26013">
        <w:t xml:space="preserve"> </w:t>
      </w:r>
      <w:r>
        <w:t xml:space="preserve">(OPC Motion for Reconsideration 2) OPC argues the ordinary standard for reconsideration should not apply here because “the majority of the Commission has not reviewed, considered, or ruled upon the specific matters in OPC’s [Abeyance Motion],” and because the matters OPC raises “have not been previously considered by a majority of the Commission nor have they been the subject of any hearing or public deliberation.” </w:t>
      </w:r>
      <w:r>
        <w:rPr>
          <w:i/>
        </w:rPr>
        <w:t xml:space="preserve">Id. </w:t>
      </w:r>
      <w:r w:rsidR="009F7168">
        <w:t>OPC therefore asks that we</w:t>
      </w:r>
      <w:r>
        <w:t xml:space="preserve"> apply a </w:t>
      </w:r>
      <w:r w:rsidRPr="00272C4B">
        <w:rPr>
          <w:i/>
        </w:rPr>
        <w:t>de novo</w:t>
      </w:r>
      <w:r>
        <w:t xml:space="preserve"> standard of review to its motion.</w:t>
      </w:r>
    </w:p>
    <w:p w14:paraId="54E1F978" w14:textId="77777777" w:rsidR="00E57E7D" w:rsidRPr="00691630" w:rsidRDefault="00E57E7D" w:rsidP="00C27BF6">
      <w:pPr>
        <w:pStyle w:val="BodyText"/>
        <w:spacing w:after="0"/>
        <w:jc w:val="both"/>
      </w:pPr>
    </w:p>
    <w:p w14:paraId="7C2C622F" w14:textId="77777777" w:rsidR="00E57E7D" w:rsidRDefault="00E57E7D" w:rsidP="001B08AF">
      <w:pPr>
        <w:pStyle w:val="BodyText"/>
        <w:spacing w:after="0"/>
        <w:ind w:firstLine="720"/>
        <w:jc w:val="both"/>
      </w:pPr>
      <w:r>
        <w:t>In regard to the merits of its Motion, OPC makes three arguments. First, OPC argues</w:t>
      </w:r>
      <w:r w:rsidRPr="00F26013">
        <w:t xml:space="preserve"> that</w:t>
      </w:r>
      <w:r>
        <w:t>, in its original Motion for Abeyance, it stated</w:t>
      </w:r>
      <w:r w:rsidRPr="00F26013">
        <w:t xml:space="preserve"> “[i]t would be prematur</w:t>
      </w:r>
      <w:r>
        <w:t xml:space="preserve">e of the Commission to initiate </w:t>
      </w:r>
      <w:r w:rsidRPr="00F26013">
        <w:t>proceedings regarding amortization of the remaining $27.3 million reserve surplus when the</w:t>
      </w:r>
      <w:r>
        <w:t xml:space="preserve"> legality of the creation of the surplus is pending before the Florida Supreme Court.” </w:t>
      </w:r>
      <w:r>
        <w:rPr>
          <w:i/>
        </w:rPr>
        <w:t>Id.</w:t>
      </w:r>
      <w:r>
        <w:t xml:space="preserve"> at 4-5. OPC asserts </w:t>
      </w:r>
      <w:r w:rsidR="009F7168">
        <w:t>this is the same as stating we lack</w:t>
      </w:r>
      <w:r>
        <w:t xml:space="preserve"> jurisdiction to hear this case at this time. To support this position, OPC argues that “[t]he Commission cannot entertain the transmutation or relabeling of the reserve surplus and associated parameters on appeal without encroaching on the Florida Supreme Court’s jurisdiction” and that “[p]roceeding with this docket directly affects the subject matter of the appeal in violation of Florida Law.” </w:t>
      </w:r>
      <w:r>
        <w:rPr>
          <w:i/>
        </w:rPr>
        <w:t>Id.</w:t>
      </w:r>
      <w:r>
        <w:t xml:space="preserve"> at 5. OPC argues the Prehearing Officer overlooked or failed to consider this point of law.</w:t>
      </w:r>
    </w:p>
    <w:p w14:paraId="4DBF8D00" w14:textId="77777777" w:rsidR="00E57E7D" w:rsidRDefault="00E57E7D" w:rsidP="00C27BF6">
      <w:pPr>
        <w:jc w:val="both"/>
      </w:pPr>
    </w:p>
    <w:p w14:paraId="48911071" w14:textId="77777777" w:rsidR="00E57E7D" w:rsidRDefault="009F7168" w:rsidP="001B08AF">
      <w:pPr>
        <w:pStyle w:val="BodyText"/>
        <w:spacing w:after="0"/>
        <w:ind w:firstLine="720"/>
        <w:jc w:val="both"/>
      </w:pPr>
      <w:r>
        <w:t>Second, OPC argues we</w:t>
      </w:r>
      <w:r w:rsidR="00E57E7D">
        <w:t xml:space="preserve"> should </w:t>
      </w:r>
      <w:r w:rsidR="00E57E7D" w:rsidRPr="006930D0">
        <w:t xml:space="preserve">reconsider its Order because the </w:t>
      </w:r>
      <w:r w:rsidR="00E57E7D">
        <w:t xml:space="preserve">Prehearing Officer </w:t>
      </w:r>
      <w:r w:rsidR="00E57E7D" w:rsidRPr="006930D0">
        <w:t>overlooked or fail</w:t>
      </w:r>
      <w:r w:rsidR="00E57E7D">
        <w:t xml:space="preserve">ed to consider that the issue of whether FCG </w:t>
      </w:r>
      <w:r w:rsidR="00E57E7D" w:rsidRPr="006930D0">
        <w:t>conducted its in-house 2025</w:t>
      </w:r>
      <w:r w:rsidR="00E57E7D">
        <w:t xml:space="preserve"> </w:t>
      </w:r>
      <w:r w:rsidR="00E57E7D" w:rsidRPr="006930D0">
        <w:lastRenderedPageBreak/>
        <w:t>Depreciation Study “in accord with previ</w:t>
      </w:r>
      <w:r w:rsidR="00E57E7D">
        <w:t xml:space="preserve">ous practices” is a legal issue </w:t>
      </w:r>
      <w:r w:rsidR="00E57E7D" w:rsidRPr="006930D0">
        <w:t xml:space="preserve">to be litigated in this docket and </w:t>
      </w:r>
      <w:r w:rsidR="00E57E7D">
        <w:t xml:space="preserve">therefore </w:t>
      </w:r>
      <w:r w:rsidR="00E57E7D" w:rsidRPr="006930D0">
        <w:t>must not be prejudged.</w:t>
      </w:r>
      <w:r w:rsidR="00E57E7D">
        <w:t xml:space="preserve"> (OPC Motion for Reconsideration 5-6)</w:t>
      </w:r>
    </w:p>
    <w:p w14:paraId="003097EC" w14:textId="77777777" w:rsidR="00E57E7D" w:rsidRDefault="00E57E7D" w:rsidP="00C27BF6">
      <w:pPr>
        <w:pStyle w:val="BodyText"/>
        <w:spacing w:after="0"/>
        <w:jc w:val="both"/>
      </w:pPr>
    </w:p>
    <w:p w14:paraId="6340D62E" w14:textId="71107FE7" w:rsidR="00E57E7D" w:rsidRPr="00F80954" w:rsidRDefault="00E57E7D" w:rsidP="001B08AF">
      <w:pPr>
        <w:pStyle w:val="BodyText"/>
        <w:spacing w:after="0"/>
        <w:ind w:firstLine="720"/>
        <w:jc w:val="both"/>
        <w:rPr>
          <w:i/>
        </w:rPr>
      </w:pPr>
      <w:r>
        <w:t xml:space="preserve">Third, OPC argues that the Prehearing Officer failed to consider the fact that the depreciation parameters on appeal and those from the 2025 Depreciation study are from the same source, namely, FCG. </w:t>
      </w:r>
      <w:r>
        <w:rPr>
          <w:i/>
        </w:rPr>
        <w:t>Id.</w:t>
      </w:r>
      <w:r>
        <w:t xml:space="preserve"> at 7. OPC states that, as </w:t>
      </w:r>
      <w:r w:rsidRPr="00E669DB">
        <w:t xml:space="preserve">FCG is the source of </w:t>
      </w:r>
      <w:r>
        <w:t xml:space="preserve">both the 2022 and the 2025 </w:t>
      </w:r>
      <w:r w:rsidRPr="00E669DB">
        <w:t>Depreciation Study</w:t>
      </w:r>
      <w:r>
        <w:t xml:space="preserve">, “the [Prehearing] Order’s conclusion that the in-house 2025 Depreciation Study ‘is a new study conducted by a different expert’ is not accurate.” </w:t>
      </w:r>
      <w:r>
        <w:rPr>
          <w:i/>
        </w:rPr>
        <w:t>Id.</w:t>
      </w:r>
      <w:r>
        <w:t xml:space="preserve"> OPC additionally argues that t</w:t>
      </w:r>
      <w:r w:rsidRPr="00E669DB">
        <w:t>his</w:t>
      </w:r>
      <w:r>
        <w:t xml:space="preserve"> fact </w:t>
      </w:r>
      <w:r w:rsidRPr="00E669DB">
        <w:t>further demonstrates how the depreciation parameters on appe</w:t>
      </w:r>
      <w:r>
        <w:t xml:space="preserve">al </w:t>
      </w:r>
      <w:r w:rsidRPr="00E669DB">
        <w:t xml:space="preserve">and the proposed depreciation parameters </w:t>
      </w:r>
      <w:r>
        <w:t xml:space="preserve">are </w:t>
      </w:r>
      <w:r w:rsidRPr="00E669DB">
        <w:t xml:space="preserve">inextricably intertwined. </w:t>
      </w:r>
      <w:r w:rsidR="0025600C">
        <w:t>OPC argues that</w:t>
      </w:r>
      <w:r>
        <w:t xml:space="preserve"> “[s]ince</w:t>
      </w:r>
      <w:r w:rsidRPr="00E669DB">
        <w:t xml:space="preserve"> the </w:t>
      </w:r>
      <w:r>
        <w:t>Commission</w:t>
      </w:r>
      <w:r w:rsidRPr="00E669DB">
        <w:t xml:space="preserve"> overlooked or failed </w:t>
      </w:r>
      <w:r>
        <w:t xml:space="preserve">to consider this point of fact, </w:t>
      </w:r>
      <w:r w:rsidRPr="00E669DB">
        <w:t xml:space="preserve">the Commission should reconsider </w:t>
      </w:r>
      <w:r>
        <w:t>its</w:t>
      </w:r>
      <w:r w:rsidRPr="00E669DB">
        <w:t xml:space="preserve"> Order and hold these proceedings in abeyance.</w:t>
      </w:r>
      <w:r>
        <w:t xml:space="preserve">” </w:t>
      </w:r>
      <w:r>
        <w:rPr>
          <w:i/>
        </w:rPr>
        <w:t>Id.</w:t>
      </w:r>
    </w:p>
    <w:p w14:paraId="49658B50" w14:textId="77777777" w:rsidR="00E57E7D" w:rsidRPr="00C529F6" w:rsidRDefault="00E57E7D" w:rsidP="00E57E7D">
      <w:pPr>
        <w:pStyle w:val="BodyText"/>
        <w:spacing w:after="0"/>
      </w:pPr>
    </w:p>
    <w:p w14:paraId="579E53CD" w14:textId="77777777" w:rsidR="00E57E7D" w:rsidRDefault="001B08AF" w:rsidP="001B08AF">
      <w:pPr>
        <w:pStyle w:val="First-LevelSubheading"/>
        <w:ind w:firstLine="720"/>
        <w:rPr>
          <w:rFonts w:ascii="Times New Roman" w:hAnsi="Times New Roman" w:cs="Times New Roman"/>
          <w:b w:val="0"/>
          <w:i/>
        </w:rPr>
      </w:pPr>
      <w:r>
        <w:rPr>
          <w:rFonts w:ascii="Times New Roman" w:hAnsi="Times New Roman" w:cs="Times New Roman"/>
          <w:b w:val="0"/>
          <w:i/>
        </w:rPr>
        <w:t xml:space="preserve">C.   </w:t>
      </w:r>
      <w:r w:rsidR="00E57E7D" w:rsidRPr="001B08AF">
        <w:rPr>
          <w:rFonts w:ascii="Times New Roman" w:hAnsi="Times New Roman" w:cs="Times New Roman"/>
          <w:b w:val="0"/>
          <w:i/>
        </w:rPr>
        <w:t>FCG’s Response</w:t>
      </w:r>
    </w:p>
    <w:p w14:paraId="7001D435" w14:textId="77777777" w:rsidR="001B08AF" w:rsidRPr="001B08AF" w:rsidRDefault="001B08AF" w:rsidP="001B08AF">
      <w:pPr>
        <w:pStyle w:val="BodyText"/>
        <w:spacing w:after="0"/>
      </w:pPr>
    </w:p>
    <w:p w14:paraId="1136F54F" w14:textId="2AAE2CD0" w:rsidR="00E57E7D" w:rsidRPr="009213AF" w:rsidRDefault="00E57E7D" w:rsidP="001B08AF">
      <w:pPr>
        <w:ind w:firstLine="720"/>
        <w:jc w:val="both"/>
        <w:rPr>
          <w:i/>
        </w:rPr>
      </w:pPr>
      <w:r>
        <w:t>In re</w:t>
      </w:r>
      <w:r w:rsidR="00D20F2E">
        <w:t>sponse</w:t>
      </w:r>
      <w:r w:rsidR="009F7168">
        <w:t xml:space="preserve">, FCG argues that, </w:t>
      </w:r>
      <w:r w:rsidR="006F7C50">
        <w:t xml:space="preserve">as </w:t>
      </w:r>
      <w:r w:rsidR="009F7168">
        <w:t>we</w:t>
      </w:r>
      <w:r w:rsidRPr="00992A3D">
        <w:t xml:space="preserve"> ha</w:t>
      </w:r>
      <w:r w:rsidR="009F7168">
        <w:t>ve</w:t>
      </w:r>
      <w:r w:rsidRPr="00992A3D">
        <w:t xml:space="preserve"> recognized time and again, the appr</w:t>
      </w:r>
      <w:r>
        <w:t>opriate standard of review in a m</w:t>
      </w:r>
      <w:r w:rsidRPr="00992A3D">
        <w:t>otion for reconsideration is whether the motion identifies a</w:t>
      </w:r>
      <w:r>
        <w:t xml:space="preserve"> point of fact or law that was o</w:t>
      </w:r>
      <w:r w:rsidRPr="00992A3D">
        <w:t xml:space="preserve">verlooked or </w:t>
      </w:r>
      <w:r>
        <w:t>that</w:t>
      </w:r>
      <w:r w:rsidRPr="00992A3D">
        <w:t xml:space="preserve"> the Prehearing Officer failed to consider in rendering his or her decision.</w:t>
      </w:r>
      <w:r>
        <w:t xml:space="preserve"> (FCG Reconsideration Response 1) FCG argues that OPC’s motion fails to elaborate on why departing from the norm in this case is necessary or why the application of the traditional standard is not in the public interest, and that some rationale is required to make such a departure. FCG states that </w:t>
      </w:r>
      <w:r w:rsidR="006F7C50">
        <w:t>we</w:t>
      </w:r>
      <w:r>
        <w:t xml:space="preserve"> previously rejected OPC arguments and should reject them again here. Applying the traditional standard, FCG argues that OPC’s Motion must be denied because it fails to identify any mistake of fact or law in the Prehearing Officer’s decision, or anything that was overlooked in rendering that decision. </w:t>
      </w:r>
      <w:r>
        <w:rPr>
          <w:i/>
        </w:rPr>
        <w:t>Id.</w:t>
      </w:r>
      <w:r>
        <w:t xml:space="preserve"> at 2. Instead, OPC simply disagrees with the Prehearing Officer’s conclusion, which is not sufficient to merit reconsideration. </w:t>
      </w:r>
      <w:r>
        <w:rPr>
          <w:i/>
        </w:rPr>
        <w:t>Id.</w:t>
      </w:r>
    </w:p>
    <w:p w14:paraId="046D9B83" w14:textId="77777777" w:rsidR="00E57E7D" w:rsidRDefault="00E57E7D" w:rsidP="00C27BF6">
      <w:pPr>
        <w:jc w:val="both"/>
      </w:pPr>
    </w:p>
    <w:p w14:paraId="7BF3B2D3" w14:textId="77777777" w:rsidR="00E57E7D" w:rsidRDefault="00E57E7D" w:rsidP="001B08AF">
      <w:pPr>
        <w:pStyle w:val="BodyText"/>
        <w:spacing w:after="0"/>
        <w:ind w:firstLine="720"/>
        <w:jc w:val="both"/>
      </w:pPr>
      <w:r>
        <w:t xml:space="preserve">FCG states </w:t>
      </w:r>
      <w:r w:rsidRPr="00EF7708">
        <w:t xml:space="preserve">OPC’s </w:t>
      </w:r>
      <w:r>
        <w:t xml:space="preserve">first </w:t>
      </w:r>
      <w:r w:rsidRPr="00EF7708">
        <w:t>argument</w:t>
      </w:r>
      <w:r>
        <w:t xml:space="preserve"> regarding</w:t>
      </w:r>
      <w:r w:rsidRPr="00EF7708">
        <w:t xml:space="preserve"> </w:t>
      </w:r>
      <w:r>
        <w:t xml:space="preserve">jurisdiction </w:t>
      </w:r>
      <w:r w:rsidRPr="00EF7708">
        <w:t>is wrong for several reasons</w:t>
      </w:r>
      <w:r>
        <w:t>, but mainly contends the matter pending before the Commission is FCG’s 2025 Depreciation Study, while the subject matter of the appeal pending before the Florida Supreme Court in Docket SC2023-0988 is FCG’s 2022 Depreciation Study.</w:t>
      </w:r>
    </w:p>
    <w:p w14:paraId="4F20385F" w14:textId="77777777" w:rsidR="00E57E7D" w:rsidRPr="00EF7708" w:rsidRDefault="00E57E7D" w:rsidP="00C27BF6">
      <w:pPr>
        <w:pStyle w:val="BodyText"/>
        <w:spacing w:after="0"/>
        <w:jc w:val="both"/>
      </w:pPr>
    </w:p>
    <w:p w14:paraId="221F67C2" w14:textId="3FDA37C3" w:rsidR="00E57E7D" w:rsidRDefault="00E57E7D" w:rsidP="001B08AF">
      <w:pPr>
        <w:pStyle w:val="BodyText"/>
        <w:spacing w:after="0"/>
        <w:ind w:firstLine="720"/>
        <w:jc w:val="both"/>
      </w:pPr>
      <w:r>
        <w:t xml:space="preserve">FCG argues </w:t>
      </w:r>
      <w:r w:rsidRPr="00D34895">
        <w:t>OPC</w:t>
      </w:r>
      <w:r>
        <w:t>’s second argument, which</w:t>
      </w:r>
      <w:r w:rsidRPr="00D34895">
        <w:t xml:space="preserve"> </w:t>
      </w:r>
      <w:r>
        <w:t>claims</w:t>
      </w:r>
      <w:r w:rsidRPr="00D34895">
        <w:t xml:space="preserve"> that the Prehearing Officer prejudged whether FCG’s 2025 Study was</w:t>
      </w:r>
      <w:r>
        <w:t xml:space="preserve"> </w:t>
      </w:r>
      <w:r w:rsidRPr="00D34895">
        <w:t>conducted “in acc</w:t>
      </w:r>
      <w:r>
        <w:t>ord with previous practices</w:t>
      </w:r>
      <w:r w:rsidR="00D20F2E">
        <w:t>,</w:t>
      </w:r>
      <w:r>
        <w:t>” is demonstrably incorrect by the language in the Denial Order itself. FCG contends that, a</w:t>
      </w:r>
      <w:r w:rsidRPr="00D34895">
        <w:t xml:space="preserve">s stated </w:t>
      </w:r>
      <w:r>
        <w:t>in the Denial Order</w:t>
      </w:r>
      <w:r w:rsidRPr="00D34895">
        <w:t>, the Prehearing</w:t>
      </w:r>
      <w:r>
        <w:t xml:space="preserve"> Officer simply determined that the subject of the appeal and the 2025 Depreciation Study which is the subject of this docket were “sufficiently distinct to allow this docket to proceed.” (FCG Reconsideration Response 4-5) In that context, the Prehearing Officer also recognized that the 2023 Final Order, as well as the 2023 Clari</w:t>
      </w:r>
      <w:r w:rsidR="0025600C">
        <w:t>fying Order</w:t>
      </w:r>
      <w:r>
        <w:t xml:space="preserve"> regarding FCG’s 2022 rate Request and 2022 Depreciation Study, have not been stayed. FCG argues OPC has identified no mistake of fact or law in the Prehearing Officer’s Decision on this point.</w:t>
      </w:r>
    </w:p>
    <w:p w14:paraId="29DC4FC0" w14:textId="77777777" w:rsidR="00E57E7D" w:rsidRDefault="00E57E7D" w:rsidP="00C27BF6">
      <w:pPr>
        <w:pStyle w:val="BodyText"/>
        <w:spacing w:after="0"/>
        <w:jc w:val="both"/>
      </w:pPr>
    </w:p>
    <w:p w14:paraId="03EC3D2A" w14:textId="37704EC6" w:rsidR="00E57E7D" w:rsidRPr="00935E51" w:rsidRDefault="00E57E7D" w:rsidP="001B08AF">
      <w:pPr>
        <w:ind w:firstLine="720"/>
        <w:jc w:val="both"/>
      </w:pPr>
      <w:r>
        <w:t xml:space="preserve">FCG states that </w:t>
      </w:r>
      <w:r w:rsidR="00D20F2E">
        <w:t>OPC’s final argument</w:t>
      </w:r>
      <w:r>
        <w:t xml:space="preserve"> </w:t>
      </w:r>
      <w:r w:rsidRPr="00935E51">
        <w:t>is a</w:t>
      </w:r>
      <w:r>
        <w:t xml:space="preserve"> </w:t>
      </w:r>
      <w:r w:rsidRPr="00935E51">
        <w:t>re-argument that should not serve as the basis for reconsideration.</w:t>
      </w:r>
      <w:r>
        <w:t xml:space="preserve"> </w:t>
      </w:r>
      <w:r>
        <w:rPr>
          <w:i/>
        </w:rPr>
        <w:t>Id.</w:t>
      </w:r>
      <w:r>
        <w:t xml:space="preserve"> at 5. The Prehearing Officer both understood and acknowledged that the depreciation study that is the subject of the appeal currently being considered in SC2023-0988 </w:t>
      </w:r>
      <w:r>
        <w:lastRenderedPageBreak/>
        <w:t>was submitted by the same Company that has submitted the 2025 Depreciation Study in this proceeding. That both were submitted by the same Company does not, however, demonstrate that the parameters and rates are “inextricably intertwined” nor does it demonstrate that the Prehearing Officer’s determination that to allow this case to proceed was erroneous. FCG states that OPC has failed to identify a mistake of fact or law in the Denial Order on this point and argues that its motion must therefore be denied.</w:t>
      </w:r>
    </w:p>
    <w:p w14:paraId="18F32184" w14:textId="77777777" w:rsidR="00E57E7D" w:rsidRPr="00D34895" w:rsidRDefault="00E57E7D" w:rsidP="00C27BF6">
      <w:pPr>
        <w:pStyle w:val="BodyText"/>
        <w:spacing w:after="0"/>
        <w:jc w:val="both"/>
      </w:pPr>
    </w:p>
    <w:p w14:paraId="425993B4" w14:textId="77777777" w:rsidR="00E57E7D" w:rsidRDefault="001B08AF" w:rsidP="001B08AF">
      <w:pPr>
        <w:pStyle w:val="First-LevelSubheading"/>
        <w:ind w:firstLine="720"/>
        <w:rPr>
          <w:rFonts w:ascii="Times New Roman" w:hAnsi="Times New Roman" w:cs="Times New Roman"/>
          <w:b w:val="0"/>
          <w:i/>
        </w:rPr>
      </w:pPr>
      <w:r>
        <w:rPr>
          <w:rFonts w:ascii="Times New Roman" w:hAnsi="Times New Roman" w:cs="Times New Roman"/>
          <w:b w:val="0"/>
          <w:i/>
        </w:rPr>
        <w:t>D.   Analysis</w:t>
      </w:r>
    </w:p>
    <w:p w14:paraId="01843690" w14:textId="77777777" w:rsidR="001B08AF" w:rsidRPr="001B08AF" w:rsidRDefault="001B08AF" w:rsidP="001B08AF">
      <w:pPr>
        <w:pStyle w:val="BodyText"/>
        <w:spacing w:after="0"/>
      </w:pPr>
    </w:p>
    <w:p w14:paraId="482DE171" w14:textId="65C0320B" w:rsidR="00E57E7D" w:rsidRPr="00AF003B" w:rsidRDefault="00E57E7D" w:rsidP="001B08AF">
      <w:pPr>
        <w:autoSpaceDE w:val="0"/>
        <w:autoSpaceDN w:val="0"/>
        <w:adjustRightInd w:val="0"/>
        <w:ind w:firstLine="720"/>
        <w:jc w:val="both"/>
        <w:rPr>
          <w:iCs/>
        </w:rPr>
      </w:pPr>
      <w:r w:rsidRPr="00691630">
        <w:t xml:space="preserve">In regard to the </w:t>
      </w:r>
      <w:r>
        <w:t xml:space="preserve">appropriate </w:t>
      </w:r>
      <w:r w:rsidRPr="00691630">
        <w:t xml:space="preserve">standard of review, </w:t>
      </w:r>
      <w:r w:rsidR="009A6404">
        <w:t>we agree</w:t>
      </w:r>
      <w:r>
        <w:t xml:space="preserve"> with FCG that the </w:t>
      </w:r>
      <w:r w:rsidR="009A6404">
        <w:t>our</w:t>
      </w:r>
      <w:r>
        <w:t xml:space="preserve"> traditional standard regarding motions for reconsideration should apply here, and OPC failed to provide sufficient rationale to differ from </w:t>
      </w:r>
      <w:r w:rsidR="006F7C50">
        <w:t xml:space="preserve">our </w:t>
      </w:r>
      <w:r>
        <w:t xml:space="preserve">long-standing precedent for review of a Prehearing Officer’s decision on a motion for abeyance. </w:t>
      </w:r>
      <w:r>
        <w:rPr>
          <w:iCs/>
        </w:rPr>
        <w:t xml:space="preserve">OPC contends a mistake of fact or law standard does not fit this scenario because the matters for which OPC seeks review have either not been previously considered by the majority of the Commission, or have not been the subject of a hearing. </w:t>
      </w:r>
      <w:r>
        <w:t>Pursuant to Rule 28-106.211, F.A.C., the Prehearing Officer may issue any orders necessary to effectuate discovery, to prevent delay, and to promote the just, speedy, and inexpensive determination of all aspects of the case. Accordingly, the Prehearing Officer has wide discretion in balancing the interests of parties in the furtherance of the orderly administration of justice.</w:t>
      </w:r>
      <w:r>
        <w:rPr>
          <w:rStyle w:val="FootnoteReference"/>
        </w:rPr>
        <w:footnoteReference w:id="23"/>
      </w:r>
      <w:r>
        <w:t xml:space="preserve"> </w:t>
      </w:r>
      <w:r w:rsidR="009F7168">
        <w:rPr>
          <w:iCs/>
        </w:rPr>
        <w:t>We have</w:t>
      </w:r>
      <w:r>
        <w:rPr>
          <w:iCs/>
        </w:rPr>
        <w:t xml:space="preserve"> repeatedly held that the traditional standard, whether a point of fact or law was overlooked or unconsidered, applies to reconsideration by the Commission of a Prehearing Officer’s order.</w:t>
      </w:r>
      <w:r>
        <w:rPr>
          <w:rStyle w:val="FootnoteReference"/>
          <w:iCs/>
        </w:rPr>
        <w:footnoteReference w:id="24"/>
      </w:r>
      <w:r>
        <w:rPr>
          <w:iCs/>
        </w:rPr>
        <w:t xml:space="preserve"> </w:t>
      </w:r>
      <w:r>
        <w:t xml:space="preserve">OPC has failed to provide a compelling reason to differ from prior practices, and </w:t>
      </w:r>
      <w:r w:rsidR="00BC7DE0">
        <w:t xml:space="preserve">therefore, we will not do </w:t>
      </w:r>
      <w:r>
        <w:t>so in this case.</w:t>
      </w:r>
    </w:p>
    <w:p w14:paraId="232E8F8F" w14:textId="77777777" w:rsidR="00E57E7D" w:rsidRDefault="00E57E7D" w:rsidP="00E57E7D">
      <w:pPr>
        <w:autoSpaceDE w:val="0"/>
        <w:autoSpaceDN w:val="0"/>
        <w:adjustRightInd w:val="0"/>
        <w:jc w:val="both"/>
      </w:pPr>
    </w:p>
    <w:p w14:paraId="4C462848" w14:textId="77777777" w:rsidR="00E57E7D" w:rsidRDefault="00E57E7D" w:rsidP="001B08AF">
      <w:pPr>
        <w:autoSpaceDE w:val="0"/>
        <w:autoSpaceDN w:val="0"/>
        <w:adjustRightInd w:val="0"/>
        <w:ind w:firstLine="720"/>
        <w:jc w:val="both"/>
        <w:rPr>
          <w:iCs/>
        </w:rPr>
      </w:pPr>
      <w:r>
        <w:rPr>
          <w:iCs/>
        </w:rPr>
        <w:t xml:space="preserve">In </w:t>
      </w:r>
      <w:r w:rsidR="00EF6134">
        <w:rPr>
          <w:iCs/>
        </w:rPr>
        <w:t>our</w:t>
      </w:r>
      <w:r>
        <w:rPr>
          <w:iCs/>
        </w:rPr>
        <w:t xml:space="preserve"> view, by requesting </w:t>
      </w:r>
      <w:r>
        <w:rPr>
          <w:i/>
          <w:iCs/>
        </w:rPr>
        <w:t>de novo</w:t>
      </w:r>
      <w:r w:rsidR="00243443">
        <w:rPr>
          <w:iCs/>
        </w:rPr>
        <w:t xml:space="preserve"> review rather than our</w:t>
      </w:r>
      <w:r>
        <w:rPr>
          <w:iCs/>
        </w:rPr>
        <w:t xml:space="preserve"> traditional standard of review, OPC is essentially requesting something approximating </w:t>
      </w:r>
      <w:r>
        <w:rPr>
          <w:i/>
          <w:iCs/>
        </w:rPr>
        <w:t>en banc</w:t>
      </w:r>
      <w:r w:rsidRPr="00AE3CAB">
        <w:rPr>
          <w:i/>
          <w:iCs/>
        </w:rPr>
        <w:t xml:space="preserve"> </w:t>
      </w:r>
      <w:r>
        <w:rPr>
          <w:iCs/>
        </w:rPr>
        <w:t>review by the full Commission. Contrary to OPC’s assertions, the fact that a majority of Commissioners has not considered the specific matters raised in a prehearing motion is not grounds to grant a mot</w:t>
      </w:r>
      <w:r w:rsidR="00243443">
        <w:rPr>
          <w:iCs/>
        </w:rPr>
        <w:t>ion for reconsideration. As we have</w:t>
      </w:r>
      <w:r>
        <w:rPr>
          <w:iCs/>
        </w:rPr>
        <w:t xml:space="preserve"> previously stated, “[t]he unequivocal rejection by the Prehearing Officer of [a party’s] arguments . . . does not allow [the party] to restate the entirety of its </w:t>
      </w:r>
      <w:r>
        <w:rPr>
          <w:iCs/>
        </w:rPr>
        <w:lastRenderedPageBreak/>
        <w:t>arguments under the guise of a motion for reconsideration or clarification by this whole Commission.”</w:t>
      </w:r>
      <w:r>
        <w:rPr>
          <w:rStyle w:val="FootnoteReference"/>
          <w:iCs/>
        </w:rPr>
        <w:footnoteReference w:id="25"/>
      </w:r>
    </w:p>
    <w:p w14:paraId="3A842900" w14:textId="77777777" w:rsidR="001B08AF" w:rsidRDefault="001B08AF" w:rsidP="001B08AF">
      <w:pPr>
        <w:autoSpaceDE w:val="0"/>
        <w:autoSpaceDN w:val="0"/>
        <w:adjustRightInd w:val="0"/>
        <w:ind w:firstLine="720"/>
        <w:jc w:val="both"/>
        <w:rPr>
          <w:iCs/>
        </w:rPr>
      </w:pPr>
    </w:p>
    <w:p w14:paraId="7B25AC7A" w14:textId="4807E3AB" w:rsidR="00E57E7D" w:rsidRDefault="00E57E7D" w:rsidP="001B08AF">
      <w:pPr>
        <w:autoSpaceDE w:val="0"/>
        <w:autoSpaceDN w:val="0"/>
        <w:adjustRightInd w:val="0"/>
        <w:ind w:firstLine="720"/>
        <w:jc w:val="both"/>
        <w:rPr>
          <w:iCs/>
        </w:rPr>
      </w:pPr>
      <w:r>
        <w:rPr>
          <w:iCs/>
        </w:rPr>
        <w:t xml:space="preserve">Not only would granting OPC’s </w:t>
      </w:r>
      <w:r w:rsidR="00243443">
        <w:rPr>
          <w:iCs/>
        </w:rPr>
        <w:t>request be a departure from our</w:t>
      </w:r>
      <w:r>
        <w:rPr>
          <w:iCs/>
        </w:rPr>
        <w:t xml:space="preserve"> established practice, it would also be contrary to well-established principles of Florida law governing motions for reconsideration and rehearing.</w:t>
      </w:r>
      <w:r>
        <w:rPr>
          <w:rStyle w:val="FootnoteReference"/>
          <w:iCs/>
        </w:rPr>
        <w:footnoteReference w:id="26"/>
      </w:r>
      <w:r>
        <w:rPr>
          <w:iCs/>
        </w:rPr>
        <w:t xml:space="preserve"> For example, the Florida Supreme Court has held that the purpose of a motion for rehearing is “merely to bring to the attention of the trial court or, . . . the administrative agency, some point which it overlooked or failed to consider when it rendered its order in the first instance.” </w:t>
      </w:r>
      <w:r>
        <w:rPr>
          <w:i/>
          <w:iCs/>
        </w:rPr>
        <w:t>Diamond Cab</w:t>
      </w:r>
      <w:r>
        <w:rPr>
          <w:iCs/>
        </w:rPr>
        <w:t>, 146 So. 2d at 891.</w:t>
      </w:r>
      <w:r>
        <w:rPr>
          <w:rStyle w:val="FootnoteReference"/>
          <w:iCs/>
        </w:rPr>
        <w:footnoteReference w:id="27"/>
      </w:r>
      <w:r>
        <w:rPr>
          <w:iCs/>
        </w:rPr>
        <w:t xml:space="preserve"> Florida courts have also explained that t</w:t>
      </w:r>
      <w:r w:rsidRPr="00247ED7">
        <w:rPr>
          <w:iCs/>
        </w:rPr>
        <w:t xml:space="preserve">he alleged overlooked fact or law must be such that if it was considered, the </w:t>
      </w:r>
      <w:r>
        <w:rPr>
          <w:iCs/>
        </w:rPr>
        <w:t>court</w:t>
      </w:r>
      <w:r w:rsidRPr="00247ED7">
        <w:rPr>
          <w:iCs/>
        </w:rPr>
        <w:t xml:space="preserve"> would have reached a different decision. </w:t>
      </w:r>
      <w:r w:rsidRPr="00247ED7">
        <w:rPr>
          <w:i/>
          <w:iCs/>
        </w:rPr>
        <w:t>Sherwood</w:t>
      </w:r>
      <w:r>
        <w:rPr>
          <w:iCs/>
        </w:rPr>
        <w:t>, 111 So. 2d at 98</w:t>
      </w:r>
      <w:r w:rsidRPr="00247ED7">
        <w:rPr>
          <w:iCs/>
        </w:rPr>
        <w:t xml:space="preserve"> (citing </w:t>
      </w:r>
      <w:r>
        <w:rPr>
          <w:i/>
          <w:iCs/>
        </w:rPr>
        <w:t xml:space="preserve">State ex rel. </w:t>
      </w:r>
      <w:r w:rsidRPr="00A11D02">
        <w:rPr>
          <w:i/>
          <w:iCs/>
        </w:rPr>
        <w:t>Jaytex Realty Co.</w:t>
      </w:r>
      <w:r>
        <w:rPr>
          <w:iCs/>
        </w:rPr>
        <w:t>, 105 So. 2d at 818-19</w:t>
      </w:r>
      <w:r w:rsidRPr="00247ED7">
        <w:rPr>
          <w:iCs/>
        </w:rPr>
        <w:t xml:space="preserve">). Furthermore, it is not necessary for </w:t>
      </w:r>
      <w:r>
        <w:rPr>
          <w:iCs/>
        </w:rPr>
        <w:t>a Prehearing Officer</w:t>
      </w:r>
      <w:r w:rsidRPr="00247ED7">
        <w:rPr>
          <w:iCs/>
        </w:rPr>
        <w:t xml:space="preserve"> to respond to every argument and fact raised by each party</w:t>
      </w:r>
      <w:r>
        <w:rPr>
          <w:iCs/>
        </w:rPr>
        <w:t xml:space="preserve">. </w:t>
      </w:r>
      <w:r>
        <w:rPr>
          <w:i/>
          <w:iCs/>
        </w:rPr>
        <w:t>State ex rel. Jaytex Realty Co.</w:t>
      </w:r>
      <w:r>
        <w:rPr>
          <w:iCs/>
        </w:rPr>
        <w:t>, 105 So. 2d at 819). Additionally, the Flori</w:t>
      </w:r>
      <w:r w:rsidR="00243443">
        <w:rPr>
          <w:iCs/>
        </w:rPr>
        <w:t>da Supreme Court has upheld our</w:t>
      </w:r>
      <w:r>
        <w:rPr>
          <w:iCs/>
        </w:rPr>
        <w:t xml:space="preserve"> denial of a motion for reconsideration under </w:t>
      </w:r>
      <w:r w:rsidR="006F7C50">
        <w:rPr>
          <w:iCs/>
        </w:rPr>
        <w:t xml:space="preserve">our </w:t>
      </w:r>
      <w:r>
        <w:rPr>
          <w:iCs/>
        </w:rPr>
        <w:t>traditional standard of review.</w:t>
      </w:r>
      <w:r>
        <w:rPr>
          <w:rStyle w:val="FootnoteReference"/>
          <w:iCs/>
        </w:rPr>
        <w:footnoteReference w:id="28"/>
      </w:r>
    </w:p>
    <w:p w14:paraId="6F56CF76" w14:textId="77777777" w:rsidR="00E57E7D" w:rsidRDefault="00E57E7D" w:rsidP="00E57E7D">
      <w:pPr>
        <w:autoSpaceDE w:val="0"/>
        <w:autoSpaceDN w:val="0"/>
        <w:adjustRightInd w:val="0"/>
        <w:jc w:val="both"/>
        <w:rPr>
          <w:iCs/>
        </w:rPr>
      </w:pPr>
    </w:p>
    <w:p w14:paraId="7061C78B" w14:textId="179B2351" w:rsidR="00E57E7D" w:rsidRPr="0083662F" w:rsidRDefault="00BC7DE0" w:rsidP="001B08AF">
      <w:pPr>
        <w:autoSpaceDE w:val="0"/>
        <w:autoSpaceDN w:val="0"/>
        <w:adjustRightInd w:val="0"/>
        <w:ind w:firstLine="720"/>
        <w:jc w:val="both"/>
        <w:rPr>
          <w:iCs/>
        </w:rPr>
      </w:pPr>
      <w:r>
        <w:rPr>
          <w:iCs/>
        </w:rPr>
        <w:t>We do not find it appropriate for us</w:t>
      </w:r>
      <w:r w:rsidR="00E57E7D">
        <w:rPr>
          <w:iCs/>
        </w:rPr>
        <w:t xml:space="preserve"> to, contrary to guidance from Florida Supreme Court, grant OPC’s motion to reconsider the same arguments already presented to the Prehearing Officer based upon an “arbitrary feeling that a mistake may have been made,” nor merely because OPC disagrees with the judgment of the Prehearing Officer. </w:t>
      </w:r>
      <w:r w:rsidR="00E57E7D">
        <w:rPr>
          <w:i/>
          <w:iCs/>
        </w:rPr>
        <w:t>Stewart Bonded Warehouse, Inc.</w:t>
      </w:r>
      <w:r w:rsidR="00EF6134">
        <w:rPr>
          <w:iCs/>
        </w:rPr>
        <w:t>, 294 So. 2d at 317. In our</w:t>
      </w:r>
      <w:r w:rsidR="00E57E7D">
        <w:rPr>
          <w:iCs/>
        </w:rPr>
        <w:t xml:space="preserve"> view, it is not the role of the full Commission sitting in a prehearing posture to second-guess every decision made by individual Commissioners, acting within their capacity as Prehearing Officers, with which any party disagrees. Rather, </w:t>
      </w:r>
      <w:r>
        <w:rPr>
          <w:iCs/>
        </w:rPr>
        <w:t>we find</w:t>
      </w:r>
      <w:r w:rsidR="00E57E7D">
        <w:rPr>
          <w:iCs/>
        </w:rPr>
        <w:t xml:space="preserve"> that limiting</w:t>
      </w:r>
      <w:r w:rsidR="006F7C50">
        <w:rPr>
          <w:iCs/>
        </w:rPr>
        <w:t xml:space="preserve"> our</w:t>
      </w:r>
      <w:r w:rsidR="00E57E7D">
        <w:rPr>
          <w:iCs/>
        </w:rPr>
        <w:t xml:space="preserve"> review in such cases to ensuring that a Prehearing Officer properly considers all the facts and law relevant to a motion or issue that arises strikes a fair balance between justice and </w:t>
      </w:r>
      <w:r w:rsidR="00E57E7D">
        <w:rPr>
          <w:iCs/>
        </w:rPr>
        <w:lastRenderedPageBreak/>
        <w:t xml:space="preserve">efficiency. Florida law provides an aggrieved party ample remedies for review of agency decisions, whether non-final or final, and </w:t>
      </w:r>
      <w:r w:rsidR="00EF6134">
        <w:rPr>
          <w:iCs/>
        </w:rPr>
        <w:t>we see</w:t>
      </w:r>
      <w:r w:rsidR="00E57E7D">
        <w:rPr>
          <w:iCs/>
        </w:rPr>
        <w:t xml:space="preserve"> no need to add another administrative hurdle that delays a final order resolving a party’s petition for regulatory relief. Thus, </w:t>
      </w:r>
      <w:r>
        <w:rPr>
          <w:iCs/>
        </w:rPr>
        <w:t>we find that our</w:t>
      </w:r>
      <w:r w:rsidR="00E57E7D">
        <w:rPr>
          <w:iCs/>
        </w:rPr>
        <w:t xml:space="preserve"> traditional standard of review is sufficient in this instance.</w:t>
      </w:r>
    </w:p>
    <w:p w14:paraId="72310C11" w14:textId="77777777" w:rsidR="00E57E7D" w:rsidRDefault="00E57E7D" w:rsidP="00E57E7D">
      <w:pPr>
        <w:rPr>
          <w:b/>
        </w:rPr>
      </w:pPr>
    </w:p>
    <w:p w14:paraId="5EA8C9A8" w14:textId="77777777" w:rsidR="00E57E7D" w:rsidRDefault="00E57E7D" w:rsidP="001B08AF">
      <w:pPr>
        <w:pStyle w:val="BodyText"/>
        <w:spacing w:after="0"/>
        <w:ind w:firstLine="720"/>
        <w:jc w:val="both"/>
      </w:pPr>
      <w:r>
        <w:t xml:space="preserve">Turning to the merits of the Motion for Reconsideration, </w:t>
      </w:r>
      <w:r w:rsidR="00BC7DE0">
        <w:t>we find</w:t>
      </w:r>
      <w:r>
        <w:t xml:space="preserve"> that OPC has not clearly identified any specific mistakes of fact or law the Prehearing Officer made or overlooked in issuing the Denial Order. Without a specific point of fact or law overlooked or unconsidered, a motion for reconsideration must be denied, even if the reviewing body may have reached a different decision.</w:t>
      </w:r>
      <w:r>
        <w:rPr>
          <w:rStyle w:val="FootnoteReference"/>
        </w:rPr>
        <w:footnoteReference w:id="29"/>
      </w:r>
    </w:p>
    <w:p w14:paraId="0C4D1803" w14:textId="77777777" w:rsidR="00E57E7D" w:rsidRDefault="00E57E7D" w:rsidP="00C27BF6">
      <w:pPr>
        <w:pStyle w:val="BodyText"/>
        <w:spacing w:after="0"/>
        <w:ind w:left="720"/>
        <w:jc w:val="both"/>
        <w:rPr>
          <w:u w:val="single"/>
        </w:rPr>
      </w:pPr>
    </w:p>
    <w:p w14:paraId="049EE6BD" w14:textId="77777777" w:rsidR="00E57E7D" w:rsidRDefault="00E57E7D" w:rsidP="001B08AF">
      <w:pPr>
        <w:ind w:firstLine="720"/>
        <w:jc w:val="both"/>
      </w:pPr>
      <w:r w:rsidRPr="00887C68">
        <w:t xml:space="preserve">As to OPC’s first argument, OPC essentially acknowledges it is simply restating an argument that was considered and rejected by the </w:t>
      </w:r>
      <w:r>
        <w:t>P</w:t>
      </w:r>
      <w:r w:rsidRPr="00887C68">
        <w:t xml:space="preserve">rehearing </w:t>
      </w:r>
      <w:r>
        <w:t>O</w:t>
      </w:r>
      <w:r w:rsidR="009A6404">
        <w:t>fficer and therefore will</w:t>
      </w:r>
      <w:r w:rsidRPr="00887C68">
        <w:t xml:space="preserve"> be rejected here.</w:t>
      </w:r>
      <w:r>
        <w:rPr>
          <w:rStyle w:val="FootnoteReference"/>
        </w:rPr>
        <w:footnoteReference w:id="30"/>
      </w:r>
    </w:p>
    <w:p w14:paraId="5F068440" w14:textId="77777777" w:rsidR="00E57E7D" w:rsidRDefault="00E57E7D" w:rsidP="00C27BF6">
      <w:pPr>
        <w:jc w:val="both"/>
      </w:pPr>
    </w:p>
    <w:p w14:paraId="180C6FCE" w14:textId="317AC60B" w:rsidR="00E57E7D" w:rsidRDefault="00E57E7D" w:rsidP="001B08AF">
      <w:pPr>
        <w:pStyle w:val="BodyText"/>
        <w:spacing w:after="0"/>
        <w:ind w:firstLine="720"/>
        <w:jc w:val="both"/>
      </w:pPr>
      <w:r w:rsidRPr="002C3E19">
        <w:t xml:space="preserve">As to OPC’s </w:t>
      </w:r>
      <w:r>
        <w:t>second</w:t>
      </w:r>
      <w:r w:rsidRPr="002C3E19">
        <w:t xml:space="preserve"> argument, </w:t>
      </w:r>
      <w:r>
        <w:t>a plain reading of the Order does not reflect any prejudgment in regard to the study or the veracity of any of the claims made by FCG, nor of any of the claims made by OPC. Instead, the Denial Order merely concludes that the two matters are sufficiently distinct to proceed “[b]ased on the representations of FCG,” and that moving forward “pragmatically balances regulatory efficiency, fairness to all the concerned parties, and the public interest in general.” Accordingly, OPC has identified no mistake of fact or overlooked point of law in the decision on this point,</w:t>
      </w:r>
      <w:r w:rsidR="009A6404">
        <w:t xml:space="preserve"> and therefore, no relief will</w:t>
      </w:r>
      <w:r>
        <w:t xml:space="preserve"> be granted on these grounds. </w:t>
      </w:r>
    </w:p>
    <w:p w14:paraId="302A0289" w14:textId="77777777" w:rsidR="00E57E7D" w:rsidRPr="00252EEE" w:rsidRDefault="00E57E7D" w:rsidP="00C27BF6">
      <w:pPr>
        <w:pStyle w:val="BodyText"/>
        <w:spacing w:after="0"/>
        <w:jc w:val="both"/>
      </w:pPr>
    </w:p>
    <w:p w14:paraId="56B00D4C" w14:textId="1CDB4539" w:rsidR="00E57E7D" w:rsidRDefault="00E57E7D" w:rsidP="001B08AF">
      <w:pPr>
        <w:ind w:firstLine="720"/>
        <w:jc w:val="both"/>
      </w:pPr>
      <w:r w:rsidRPr="002C3E19">
        <w:t>As to OPC’s third argument,</w:t>
      </w:r>
      <w:r>
        <w:t xml:space="preserve"> </w:t>
      </w:r>
      <w:r w:rsidR="00EF6134">
        <w:t>we</w:t>
      </w:r>
      <w:r>
        <w:t xml:space="preserve"> </w:t>
      </w:r>
      <w:r w:rsidR="007E10FD">
        <w:t xml:space="preserve">find </w:t>
      </w:r>
      <w:r>
        <w:t>that the</w:t>
      </w:r>
      <w:r w:rsidRPr="00CD6E15">
        <w:t xml:space="preserve"> </w:t>
      </w:r>
      <w:r>
        <w:t>Prehearing Officer correctly denied the abeyance motion because, as discussed above</w:t>
      </w:r>
      <w:r w:rsidR="00571F84">
        <w:t xml:space="preserve"> </w:t>
      </w:r>
      <w:r w:rsidR="007E10FD">
        <w:t xml:space="preserve">in </w:t>
      </w:r>
      <w:r w:rsidR="00571F84">
        <w:t>Section 1</w:t>
      </w:r>
      <w:r>
        <w:t>, there has been no demonstration that the cases are “inextricably intertwined” such that a decision in this case would affect the matter on appeal. The Denial Order acknowledges that FCG filed both the depreciation study that is the subject in this docket and the depreciation study that is the subject of the appeal currently being considered in SC2023-0988. That alone sufficiently demonstrates that the Prehearing Officer did not overlook or fail to consider this fact. Furthermore, the fact that both were submitted by the same Company does not demonstrate that the parameters and rates are “inextricably intertwined.” Nor does it render “the Order’s conclusion that the in-house 2025 Depreciation Study ‘is a new study conducted by a different expert’” inaccurate, as the Denial Order explicitly states this conclusion is based on FCG’s representations. OPC has failed to identify a mistake of fact or law in the Prehearing Officer’s Denial Order and therefore, the Motion for Reconsideratio</w:t>
      </w:r>
      <w:r w:rsidR="009A6404">
        <w:t>n will</w:t>
      </w:r>
      <w:r>
        <w:t xml:space="preserve"> not be granted on these grounds.</w:t>
      </w:r>
    </w:p>
    <w:p w14:paraId="689D471C" w14:textId="77777777" w:rsidR="002714F5" w:rsidRDefault="002714F5" w:rsidP="001B08AF">
      <w:pPr>
        <w:ind w:firstLine="720"/>
        <w:jc w:val="both"/>
      </w:pPr>
    </w:p>
    <w:p w14:paraId="3AFAFA0C" w14:textId="1870A649" w:rsidR="00E57E7D" w:rsidRDefault="00E57E7D" w:rsidP="00C27BF6">
      <w:pPr>
        <w:pStyle w:val="BodyText"/>
        <w:spacing w:after="0"/>
        <w:jc w:val="both"/>
        <w:rPr>
          <w:u w:val="single"/>
        </w:rPr>
      </w:pPr>
    </w:p>
    <w:p w14:paraId="34A80E78" w14:textId="75520FC5" w:rsidR="0025600C" w:rsidRDefault="0025600C" w:rsidP="00C27BF6">
      <w:pPr>
        <w:pStyle w:val="BodyText"/>
        <w:spacing w:after="0"/>
        <w:jc w:val="both"/>
        <w:rPr>
          <w:u w:val="single"/>
        </w:rPr>
      </w:pPr>
    </w:p>
    <w:p w14:paraId="6833DD1E" w14:textId="77777777" w:rsidR="0025600C" w:rsidRDefault="0025600C" w:rsidP="00C27BF6">
      <w:pPr>
        <w:pStyle w:val="BodyText"/>
        <w:spacing w:after="0"/>
        <w:jc w:val="both"/>
        <w:rPr>
          <w:u w:val="single"/>
        </w:rPr>
      </w:pPr>
    </w:p>
    <w:p w14:paraId="4957653E" w14:textId="77777777" w:rsidR="00E57E7D" w:rsidRDefault="001B08AF" w:rsidP="001B08AF">
      <w:pPr>
        <w:pStyle w:val="First-LevelSubheading"/>
        <w:ind w:firstLine="720"/>
        <w:rPr>
          <w:rFonts w:ascii="Times New Roman" w:hAnsi="Times New Roman" w:cs="Times New Roman"/>
          <w:b w:val="0"/>
          <w:i/>
        </w:rPr>
      </w:pPr>
      <w:r>
        <w:rPr>
          <w:rFonts w:ascii="Times New Roman" w:hAnsi="Times New Roman" w:cs="Times New Roman"/>
          <w:b w:val="0"/>
          <w:i/>
        </w:rPr>
        <w:lastRenderedPageBreak/>
        <w:t xml:space="preserve">E.   </w:t>
      </w:r>
      <w:r w:rsidR="00E57E7D" w:rsidRPr="001B08AF">
        <w:rPr>
          <w:rFonts w:ascii="Times New Roman" w:hAnsi="Times New Roman" w:cs="Times New Roman"/>
          <w:b w:val="0"/>
          <w:i/>
        </w:rPr>
        <w:t>Conclusion</w:t>
      </w:r>
    </w:p>
    <w:p w14:paraId="38D3CEEB" w14:textId="77777777" w:rsidR="001B08AF" w:rsidRPr="001B08AF" w:rsidRDefault="001B08AF" w:rsidP="001B08AF">
      <w:pPr>
        <w:pStyle w:val="BodyText"/>
        <w:spacing w:after="0"/>
      </w:pPr>
    </w:p>
    <w:p w14:paraId="30B5ED95" w14:textId="77777777" w:rsidR="00E57E7D" w:rsidRDefault="00BC7DE0" w:rsidP="001B08AF">
      <w:pPr>
        <w:ind w:firstLine="720"/>
        <w:jc w:val="both"/>
        <w:rPr>
          <w:b/>
        </w:rPr>
      </w:pPr>
      <w:r>
        <w:t>We deny</w:t>
      </w:r>
      <w:r w:rsidR="00E57E7D">
        <w:t xml:space="preserve"> OPC’s Motion for Reconsideration under </w:t>
      </w:r>
      <w:r w:rsidR="006E0804">
        <w:t>our</w:t>
      </w:r>
      <w:r w:rsidR="00E57E7D">
        <w:t xml:space="preserve"> traditional standard of review for such motions because OPC has failed to articulate a reason to depart from that standard and because the Motion </w:t>
      </w:r>
      <w:r w:rsidR="00E57E7D" w:rsidRPr="00887C68">
        <w:t>fails to raise a point of fact or law that the Prehearing Officer overlooked or failed to consider in rendering the</w:t>
      </w:r>
      <w:r w:rsidR="00E57E7D">
        <w:t xml:space="preserve"> Denial Order.</w:t>
      </w:r>
    </w:p>
    <w:p w14:paraId="4E68294C" w14:textId="77777777" w:rsidR="00FF1D47" w:rsidRDefault="00FF1D47" w:rsidP="00FF1D47">
      <w:pPr>
        <w:pStyle w:val="ListParagraph"/>
        <w:ind w:left="0"/>
        <w:jc w:val="both"/>
        <w:rPr>
          <w:rFonts w:ascii="Times New Roman" w:hAnsi="Times New Roman"/>
          <w:iCs/>
          <w:color w:val="212121"/>
        </w:rPr>
      </w:pPr>
    </w:p>
    <w:p w14:paraId="0D051CFB" w14:textId="77777777" w:rsidR="00FF1D47" w:rsidRPr="00817318" w:rsidRDefault="00FF1D47" w:rsidP="00FF1D47">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183590E5" w14:textId="77777777" w:rsidR="00FF1D47" w:rsidRPr="00817318" w:rsidRDefault="00FF1D47" w:rsidP="00FF1D47">
      <w:pPr>
        <w:pStyle w:val="ListParagraph"/>
        <w:ind w:left="0"/>
        <w:jc w:val="both"/>
        <w:rPr>
          <w:rFonts w:ascii="Times New Roman" w:hAnsi="Times New Roman"/>
          <w:iCs/>
          <w:color w:val="212121"/>
        </w:rPr>
      </w:pPr>
    </w:p>
    <w:p w14:paraId="5A044E26" w14:textId="53C73A68" w:rsidR="00FF1D47" w:rsidRDefault="00FF1D47" w:rsidP="00FF1D47">
      <w:pPr>
        <w:pStyle w:val="ListParagraph"/>
        <w:ind w:left="0"/>
        <w:jc w:val="both"/>
        <w:rPr>
          <w:rFonts w:ascii="Times New Roman" w:hAnsi="Times New Roman"/>
          <w:iCs/>
          <w:color w:val="212121"/>
        </w:rPr>
      </w:pPr>
      <w:r w:rsidRPr="00817318">
        <w:rPr>
          <w:rFonts w:ascii="Times New Roman" w:hAnsi="Times New Roman"/>
          <w:iCs/>
          <w:color w:val="212121"/>
        </w:rPr>
        <w:tab/>
      </w:r>
      <w:r w:rsidR="00945439" w:rsidRPr="00945439">
        <w:rPr>
          <w:rFonts w:ascii="Times New Roman" w:hAnsi="Times New Roman"/>
        </w:rPr>
        <w:t>ORDERED by the Florida Public Service Commission</w:t>
      </w:r>
      <w:r w:rsidR="00945439" w:rsidRPr="00BC7535">
        <w:t xml:space="preserve"> </w:t>
      </w:r>
      <w:r w:rsidR="00BA73E7">
        <w:rPr>
          <w:rFonts w:ascii="Times New Roman" w:hAnsi="Times New Roman"/>
          <w:iCs/>
          <w:color w:val="212121"/>
        </w:rPr>
        <w:t>that</w:t>
      </w:r>
      <w:r w:rsidR="00BA73E7" w:rsidRPr="00BA73E7">
        <w:rPr>
          <w:rFonts w:ascii="Times New Roman" w:hAnsi="Times New Roman"/>
        </w:rPr>
        <w:t xml:space="preserve"> </w:t>
      </w:r>
      <w:r w:rsidR="00BA73E7">
        <w:rPr>
          <w:rFonts w:ascii="Times New Roman" w:hAnsi="Times New Roman"/>
        </w:rPr>
        <w:t xml:space="preserve">the </w:t>
      </w:r>
      <w:r w:rsidR="00BA73E7" w:rsidRPr="00BA73E7">
        <w:rPr>
          <w:rFonts w:ascii="Times New Roman" w:hAnsi="Times New Roman"/>
        </w:rPr>
        <w:t>O</w:t>
      </w:r>
      <w:r w:rsidR="00BA73E7">
        <w:rPr>
          <w:rFonts w:ascii="Times New Roman" w:hAnsi="Times New Roman"/>
        </w:rPr>
        <w:t xml:space="preserve">ffice of </w:t>
      </w:r>
      <w:r w:rsidR="00BA73E7" w:rsidRPr="00BA73E7">
        <w:rPr>
          <w:rFonts w:ascii="Times New Roman" w:hAnsi="Times New Roman"/>
        </w:rPr>
        <w:t>P</w:t>
      </w:r>
      <w:r w:rsidR="00BA73E7">
        <w:rPr>
          <w:rFonts w:ascii="Times New Roman" w:hAnsi="Times New Roman"/>
        </w:rPr>
        <w:t xml:space="preserve">ublic </w:t>
      </w:r>
      <w:r w:rsidR="00BA73E7" w:rsidRPr="00BA73E7">
        <w:rPr>
          <w:rFonts w:ascii="Times New Roman" w:hAnsi="Times New Roman"/>
        </w:rPr>
        <w:t>C</w:t>
      </w:r>
      <w:r w:rsidR="00BA73E7">
        <w:rPr>
          <w:rFonts w:ascii="Times New Roman" w:hAnsi="Times New Roman"/>
        </w:rPr>
        <w:t>ounsel</w:t>
      </w:r>
      <w:r w:rsidR="00BA73E7" w:rsidRPr="00BA73E7">
        <w:rPr>
          <w:rFonts w:ascii="Times New Roman" w:hAnsi="Times New Roman"/>
        </w:rPr>
        <w:t xml:space="preserve">’s Motion </w:t>
      </w:r>
      <w:r w:rsidR="00BA73E7">
        <w:rPr>
          <w:rFonts w:ascii="Times New Roman" w:hAnsi="Times New Roman"/>
        </w:rPr>
        <w:t>to Dismiss is denied</w:t>
      </w:r>
      <w:r w:rsidR="00BA73E7" w:rsidRPr="00BA73E7">
        <w:rPr>
          <w:rFonts w:ascii="Times New Roman" w:hAnsi="Times New Roman"/>
        </w:rPr>
        <w:t xml:space="preserve">. </w:t>
      </w:r>
      <w:r w:rsidR="00BA73E7">
        <w:rPr>
          <w:rFonts w:ascii="Times New Roman" w:hAnsi="Times New Roman"/>
          <w:iCs/>
          <w:color w:val="212121"/>
        </w:rPr>
        <w:t xml:space="preserve"> </w:t>
      </w:r>
      <w:r w:rsidRPr="00BA73E7">
        <w:rPr>
          <w:rFonts w:ascii="Times New Roman" w:hAnsi="Times New Roman"/>
          <w:iCs/>
          <w:color w:val="212121"/>
        </w:rPr>
        <w:t>It is further,</w:t>
      </w:r>
    </w:p>
    <w:p w14:paraId="7236E10B" w14:textId="77777777" w:rsidR="00F43F93" w:rsidRDefault="00F43F93" w:rsidP="00FF1D47">
      <w:pPr>
        <w:pStyle w:val="ListParagraph"/>
        <w:ind w:left="0"/>
        <w:jc w:val="both"/>
        <w:rPr>
          <w:rFonts w:ascii="Times New Roman" w:hAnsi="Times New Roman"/>
          <w:iCs/>
          <w:color w:val="212121"/>
        </w:rPr>
      </w:pPr>
    </w:p>
    <w:p w14:paraId="3E6449A6" w14:textId="5A372209" w:rsidR="00F43F93" w:rsidRDefault="00F43F93" w:rsidP="00F43F93">
      <w:pPr>
        <w:pStyle w:val="ListParagraph"/>
        <w:ind w:left="0" w:firstLine="720"/>
        <w:jc w:val="both"/>
        <w:rPr>
          <w:rFonts w:ascii="Times New Roman" w:hAnsi="Times New Roman"/>
        </w:rPr>
      </w:pPr>
      <w:r>
        <w:rPr>
          <w:rFonts w:ascii="Times New Roman" w:hAnsi="Times New Roman"/>
          <w:iCs/>
          <w:color w:val="212121"/>
        </w:rPr>
        <w:t xml:space="preserve">ORDERED that the </w:t>
      </w:r>
      <w:r w:rsidRPr="00F43F93">
        <w:rPr>
          <w:rFonts w:ascii="Times New Roman" w:hAnsi="Times New Roman"/>
        </w:rPr>
        <w:t>O</w:t>
      </w:r>
      <w:r>
        <w:rPr>
          <w:rFonts w:ascii="Times New Roman" w:hAnsi="Times New Roman"/>
        </w:rPr>
        <w:t xml:space="preserve">ffice of </w:t>
      </w:r>
      <w:r w:rsidRPr="00F43F93">
        <w:rPr>
          <w:rFonts w:ascii="Times New Roman" w:hAnsi="Times New Roman"/>
        </w:rPr>
        <w:t>P</w:t>
      </w:r>
      <w:r>
        <w:rPr>
          <w:rFonts w:ascii="Times New Roman" w:hAnsi="Times New Roman"/>
        </w:rPr>
        <w:t xml:space="preserve">ublic </w:t>
      </w:r>
      <w:r w:rsidRPr="00F43F93">
        <w:rPr>
          <w:rFonts w:ascii="Times New Roman" w:hAnsi="Times New Roman"/>
        </w:rPr>
        <w:t>C</w:t>
      </w:r>
      <w:r>
        <w:rPr>
          <w:rFonts w:ascii="Times New Roman" w:hAnsi="Times New Roman"/>
        </w:rPr>
        <w:t>ounsel</w:t>
      </w:r>
      <w:r w:rsidRPr="00F43F93">
        <w:rPr>
          <w:rFonts w:ascii="Times New Roman" w:hAnsi="Times New Roman"/>
        </w:rPr>
        <w:t>’s Motion for Reconsideration is denied.</w:t>
      </w:r>
      <w:r w:rsidR="001B08AF">
        <w:rPr>
          <w:rFonts w:ascii="Times New Roman" w:hAnsi="Times New Roman"/>
        </w:rPr>
        <w:t xml:space="preserve"> It is further</w:t>
      </w:r>
    </w:p>
    <w:p w14:paraId="286A3973" w14:textId="77777777" w:rsidR="001B08AF" w:rsidRDefault="001B08AF" w:rsidP="00F43F93">
      <w:pPr>
        <w:pStyle w:val="ListParagraph"/>
        <w:ind w:left="0" w:firstLine="720"/>
        <w:jc w:val="both"/>
        <w:rPr>
          <w:rFonts w:ascii="Times New Roman" w:hAnsi="Times New Roman"/>
        </w:rPr>
      </w:pPr>
    </w:p>
    <w:p w14:paraId="0E2AC9F2" w14:textId="77777777" w:rsidR="001B08AF" w:rsidRDefault="001B08AF" w:rsidP="001B08AF">
      <w:pPr>
        <w:pStyle w:val="BodyText"/>
        <w:ind w:firstLine="720"/>
        <w:jc w:val="both"/>
      </w:pPr>
      <w:r>
        <w:t>ORDERED that t</w:t>
      </w:r>
      <w:r w:rsidRPr="006368CA">
        <w:t>his docket</w:t>
      </w:r>
      <w:r w:rsidR="009A6404">
        <w:t xml:space="preserve"> shall</w:t>
      </w:r>
      <w:r w:rsidRPr="006368CA">
        <w:t xml:space="preserve"> remain open pending the Commission’s final resolution of F</w:t>
      </w:r>
      <w:r>
        <w:t xml:space="preserve">lorida </w:t>
      </w:r>
      <w:r w:rsidRPr="006368CA">
        <w:t>C</w:t>
      </w:r>
      <w:r>
        <w:t xml:space="preserve">ity </w:t>
      </w:r>
      <w:r w:rsidRPr="006368CA">
        <w:t>G</w:t>
      </w:r>
      <w:r>
        <w:t>as</w:t>
      </w:r>
      <w:r w:rsidRPr="006368CA">
        <w:t>’s Petition for Approval of Depreciation Study and for Approval to Amortize Reserve Imbalance.</w:t>
      </w:r>
    </w:p>
    <w:p w14:paraId="1A92023D" w14:textId="77777777" w:rsidR="00290D6B" w:rsidRDefault="00290D6B" w:rsidP="00290D6B">
      <w:pPr>
        <w:pStyle w:val="ListParagraph"/>
        <w:ind w:left="0"/>
        <w:jc w:val="both"/>
        <w:rPr>
          <w:rFonts w:ascii="Times New Roman" w:hAnsi="Times New Roman"/>
          <w:iCs/>
          <w:color w:val="212121"/>
        </w:rPr>
      </w:pPr>
    </w:p>
    <w:p w14:paraId="55D9CEDC" w14:textId="1B794C34" w:rsidR="002C2EC6" w:rsidRDefault="002C2EC6" w:rsidP="002C2EC6">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the Florida Public Service Commission this </w:t>
      </w:r>
      <w:bookmarkStart w:id="8" w:name="replaceDate"/>
      <w:bookmarkEnd w:id="8"/>
      <w:r w:rsidR="00B04824">
        <w:rPr>
          <w:rFonts w:ascii="Times New Roman" w:hAnsi="Times New Roman"/>
          <w:iCs/>
          <w:color w:val="212121"/>
          <w:u w:val="single"/>
        </w:rPr>
        <w:t>24th</w:t>
      </w:r>
      <w:r w:rsidR="00B04824">
        <w:rPr>
          <w:rFonts w:ascii="Times New Roman" w:hAnsi="Times New Roman"/>
          <w:iCs/>
          <w:color w:val="212121"/>
        </w:rPr>
        <w:t xml:space="preserve"> day of </w:t>
      </w:r>
      <w:r w:rsidR="00B04824">
        <w:rPr>
          <w:rFonts w:ascii="Times New Roman" w:hAnsi="Times New Roman"/>
          <w:iCs/>
          <w:color w:val="212121"/>
          <w:u w:val="single"/>
        </w:rPr>
        <w:t>September</w:t>
      </w:r>
      <w:r w:rsidR="00B04824">
        <w:rPr>
          <w:rFonts w:ascii="Times New Roman" w:hAnsi="Times New Roman"/>
          <w:iCs/>
          <w:color w:val="212121"/>
        </w:rPr>
        <w:t xml:space="preserve">, </w:t>
      </w:r>
      <w:r w:rsidR="00B04824">
        <w:rPr>
          <w:rFonts w:ascii="Times New Roman" w:hAnsi="Times New Roman"/>
          <w:iCs/>
          <w:color w:val="212121"/>
          <w:u w:val="single"/>
        </w:rPr>
        <w:t>2025</w:t>
      </w:r>
      <w:r w:rsidR="00B04824">
        <w:rPr>
          <w:rFonts w:ascii="Times New Roman" w:hAnsi="Times New Roman"/>
          <w:iCs/>
          <w:color w:val="212121"/>
        </w:rPr>
        <w:t>.</w:t>
      </w:r>
    </w:p>
    <w:p w14:paraId="176D2D7A" w14:textId="77777777" w:rsidR="00B04824" w:rsidRPr="00B04824" w:rsidRDefault="00B04824" w:rsidP="002C2EC6">
      <w:pPr>
        <w:pStyle w:val="ListParagraph"/>
        <w:keepNext/>
        <w:keepLines/>
        <w:ind w:left="0"/>
        <w:jc w:val="both"/>
        <w:rPr>
          <w:rFonts w:ascii="Times New Roman" w:hAnsi="Times New Roman"/>
          <w:iCs/>
          <w:color w:val="212121"/>
        </w:rPr>
      </w:pPr>
    </w:p>
    <w:p w14:paraId="1FE1B972" w14:textId="77777777" w:rsidR="002C2EC6" w:rsidRDefault="002C2EC6" w:rsidP="002C2EC6">
      <w:pPr>
        <w:pStyle w:val="ListParagraph"/>
        <w:keepNext/>
        <w:keepLines/>
        <w:ind w:left="0"/>
        <w:jc w:val="both"/>
        <w:rPr>
          <w:rFonts w:ascii="Times New Roman" w:hAnsi="Times New Roman"/>
          <w:iCs/>
          <w:color w:val="212121"/>
        </w:rPr>
      </w:pPr>
    </w:p>
    <w:p w14:paraId="319416FE" w14:textId="77777777" w:rsidR="002C2EC6" w:rsidRDefault="002C2EC6" w:rsidP="002C2EC6">
      <w:pPr>
        <w:pStyle w:val="ListParagraph"/>
        <w:keepNext/>
        <w:keepLines/>
        <w:ind w:left="0"/>
        <w:jc w:val="both"/>
        <w:rPr>
          <w:rFonts w:ascii="Times New Roman" w:hAnsi="Times New Roman"/>
          <w:iCs/>
          <w:color w:val="212121"/>
        </w:rPr>
      </w:pPr>
    </w:p>
    <w:p w14:paraId="1942DA2E" w14:textId="77777777" w:rsidR="002C2EC6" w:rsidRDefault="002C2EC6" w:rsidP="002C2EC6">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2C2EC6" w14:paraId="60472673" w14:textId="77777777" w:rsidTr="002C2EC6">
        <w:tc>
          <w:tcPr>
            <w:tcW w:w="720" w:type="dxa"/>
            <w:shd w:val="clear" w:color="auto" w:fill="auto"/>
          </w:tcPr>
          <w:p w14:paraId="34B8CA43" w14:textId="77777777" w:rsidR="002C2EC6" w:rsidRDefault="002C2EC6" w:rsidP="002C2EC6">
            <w:pPr>
              <w:pStyle w:val="ListParagraph"/>
              <w:keepNext/>
              <w:keepLines/>
              <w:ind w:left="0"/>
              <w:jc w:val="both"/>
              <w:rPr>
                <w:rFonts w:ascii="Times New Roman" w:hAnsi="Times New Roman"/>
                <w:iCs/>
                <w:color w:val="212121"/>
              </w:rPr>
            </w:pPr>
            <w:bookmarkStart w:id="9" w:name="bkmrkSignature" w:colFirst="0" w:colLast="0"/>
          </w:p>
        </w:tc>
        <w:tc>
          <w:tcPr>
            <w:tcW w:w="4320" w:type="dxa"/>
            <w:tcBorders>
              <w:bottom w:val="single" w:sz="4" w:space="0" w:color="auto"/>
            </w:tcBorders>
            <w:shd w:val="clear" w:color="auto" w:fill="auto"/>
          </w:tcPr>
          <w:p w14:paraId="303444FB" w14:textId="76D1D95A" w:rsidR="002C2EC6" w:rsidRDefault="00B04824" w:rsidP="002C2EC6">
            <w:pPr>
              <w:pStyle w:val="ListParagraph"/>
              <w:keepNext/>
              <w:keepLines/>
              <w:ind w:left="0"/>
              <w:jc w:val="both"/>
              <w:rPr>
                <w:rFonts w:ascii="Times New Roman" w:hAnsi="Times New Roman"/>
                <w:iCs/>
                <w:color w:val="212121"/>
              </w:rPr>
            </w:pPr>
            <w:r>
              <w:rPr>
                <w:rFonts w:ascii="Times New Roman" w:hAnsi="Times New Roman"/>
                <w:iCs/>
                <w:color w:val="212121"/>
              </w:rPr>
              <w:t>/s/ Adam J. Teitzman</w:t>
            </w:r>
            <w:bookmarkStart w:id="10" w:name="_GoBack"/>
            <w:bookmarkEnd w:id="10"/>
          </w:p>
        </w:tc>
      </w:tr>
      <w:bookmarkEnd w:id="9"/>
      <w:tr w:rsidR="002C2EC6" w14:paraId="3C2A8717" w14:textId="77777777" w:rsidTr="002C2EC6">
        <w:tc>
          <w:tcPr>
            <w:tcW w:w="720" w:type="dxa"/>
            <w:shd w:val="clear" w:color="auto" w:fill="auto"/>
          </w:tcPr>
          <w:p w14:paraId="249AFEBE" w14:textId="77777777" w:rsidR="002C2EC6" w:rsidRDefault="002C2EC6" w:rsidP="002C2EC6">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692B8741" w14:textId="77777777" w:rsidR="002C2EC6" w:rsidRDefault="002C2EC6" w:rsidP="002C2EC6">
            <w:pPr>
              <w:pStyle w:val="ListParagraph"/>
              <w:keepNext/>
              <w:keepLines/>
              <w:ind w:left="0"/>
              <w:jc w:val="both"/>
              <w:rPr>
                <w:rFonts w:ascii="Times New Roman" w:hAnsi="Times New Roman"/>
                <w:iCs/>
                <w:color w:val="212121"/>
              </w:rPr>
            </w:pPr>
            <w:r>
              <w:rPr>
                <w:rFonts w:ascii="Times New Roman" w:hAnsi="Times New Roman"/>
                <w:iCs/>
                <w:color w:val="212121"/>
              </w:rPr>
              <w:t>ADAM J. TEITZMAN</w:t>
            </w:r>
          </w:p>
          <w:p w14:paraId="45F0A659" w14:textId="77777777" w:rsidR="002C2EC6" w:rsidRDefault="002C2EC6" w:rsidP="002C2EC6">
            <w:pPr>
              <w:pStyle w:val="ListParagraph"/>
              <w:keepNext/>
              <w:keepLines/>
              <w:ind w:left="0"/>
              <w:jc w:val="both"/>
              <w:rPr>
                <w:rFonts w:ascii="Times New Roman" w:hAnsi="Times New Roman"/>
                <w:iCs/>
                <w:color w:val="212121"/>
              </w:rPr>
            </w:pPr>
            <w:r>
              <w:rPr>
                <w:rFonts w:ascii="Times New Roman" w:hAnsi="Times New Roman"/>
                <w:iCs/>
                <w:color w:val="212121"/>
              </w:rPr>
              <w:t>Commission Clerk</w:t>
            </w:r>
          </w:p>
        </w:tc>
      </w:tr>
    </w:tbl>
    <w:p w14:paraId="468D4044" w14:textId="77777777" w:rsidR="002C2EC6" w:rsidRDefault="002C2EC6" w:rsidP="002C2EC6">
      <w:pPr>
        <w:pStyle w:val="OrderSigInfo"/>
        <w:keepNext/>
        <w:keepLines/>
      </w:pPr>
      <w:r>
        <w:t>Florida Public Service Commission</w:t>
      </w:r>
    </w:p>
    <w:p w14:paraId="33E75269" w14:textId="77777777" w:rsidR="002C2EC6" w:rsidRDefault="002C2EC6" w:rsidP="002C2EC6">
      <w:pPr>
        <w:pStyle w:val="OrderSigInfo"/>
        <w:keepNext/>
        <w:keepLines/>
      </w:pPr>
      <w:r>
        <w:t>2540 Shumard Oak Boulevard</w:t>
      </w:r>
    </w:p>
    <w:p w14:paraId="4C515A97" w14:textId="77777777" w:rsidR="002C2EC6" w:rsidRDefault="002C2EC6" w:rsidP="002C2EC6">
      <w:pPr>
        <w:pStyle w:val="OrderSigInfo"/>
        <w:keepNext/>
        <w:keepLines/>
      </w:pPr>
      <w:r>
        <w:t>Tallahassee, Florida 32399</w:t>
      </w:r>
    </w:p>
    <w:p w14:paraId="680D2187" w14:textId="77777777" w:rsidR="002C2EC6" w:rsidRDefault="002C2EC6" w:rsidP="002C2EC6">
      <w:pPr>
        <w:pStyle w:val="OrderSigInfo"/>
        <w:keepNext/>
        <w:keepLines/>
      </w:pPr>
      <w:r>
        <w:t>(850) 413</w:t>
      </w:r>
      <w:r>
        <w:noBreakHyphen/>
        <w:t>6770</w:t>
      </w:r>
    </w:p>
    <w:p w14:paraId="5ACC2D9B" w14:textId="77777777" w:rsidR="002C2EC6" w:rsidRDefault="002C2EC6" w:rsidP="002C2EC6">
      <w:pPr>
        <w:pStyle w:val="OrderSigInfo"/>
        <w:keepNext/>
        <w:keepLines/>
      </w:pPr>
      <w:r>
        <w:t>www.floridapsc.com</w:t>
      </w:r>
    </w:p>
    <w:p w14:paraId="65FE6CEC" w14:textId="77777777" w:rsidR="002C2EC6" w:rsidRDefault="002C2EC6" w:rsidP="002C2EC6">
      <w:pPr>
        <w:pStyle w:val="OrderSigInfo"/>
        <w:keepNext/>
        <w:keepLines/>
      </w:pPr>
    </w:p>
    <w:p w14:paraId="6CA57CDD" w14:textId="77777777" w:rsidR="002C2EC6" w:rsidRDefault="009A6404" w:rsidP="002C2EC6">
      <w:pPr>
        <w:pStyle w:val="OrderSigInfo"/>
        <w:keepNext/>
        <w:keepLines/>
      </w:pPr>
      <w:r>
        <w:t xml:space="preserve">Copies furnished: </w:t>
      </w:r>
      <w:r w:rsidR="002C2EC6">
        <w:t>A copy of this document is provided to the parties of record at the time of issuance and, if applicable, interested persons.</w:t>
      </w:r>
    </w:p>
    <w:p w14:paraId="23B4100A" w14:textId="77777777" w:rsidR="002C2EC6" w:rsidRDefault="002C2EC6" w:rsidP="002C2EC6">
      <w:pPr>
        <w:pStyle w:val="OrderBody"/>
        <w:keepNext/>
        <w:keepLines/>
      </w:pPr>
    </w:p>
    <w:p w14:paraId="4DD81CE2" w14:textId="77777777" w:rsidR="002C2EC6" w:rsidRDefault="002C2EC6" w:rsidP="002C2EC6">
      <w:pPr>
        <w:pStyle w:val="ListParagraph"/>
        <w:keepNext/>
        <w:keepLines/>
        <w:ind w:left="0"/>
        <w:jc w:val="both"/>
        <w:rPr>
          <w:rFonts w:ascii="Times New Roman" w:hAnsi="Times New Roman"/>
          <w:iCs/>
          <w:color w:val="212121"/>
        </w:rPr>
      </w:pPr>
    </w:p>
    <w:p w14:paraId="76D8EE5A" w14:textId="77777777" w:rsidR="002C2EC6" w:rsidRDefault="002C2EC6" w:rsidP="002C2EC6">
      <w:pPr>
        <w:pStyle w:val="ListParagraph"/>
        <w:keepNext/>
        <w:keepLines/>
        <w:ind w:left="0"/>
        <w:jc w:val="both"/>
        <w:rPr>
          <w:rFonts w:ascii="Times New Roman" w:hAnsi="Times New Roman"/>
          <w:iCs/>
          <w:color w:val="212121"/>
        </w:rPr>
      </w:pPr>
      <w:r>
        <w:rPr>
          <w:rFonts w:ascii="Times New Roman" w:hAnsi="Times New Roman"/>
          <w:iCs/>
          <w:color w:val="212121"/>
        </w:rPr>
        <w:t>JDI</w:t>
      </w:r>
    </w:p>
    <w:p w14:paraId="7B3CF43E" w14:textId="77777777" w:rsidR="002C2EC6" w:rsidRDefault="002C2EC6" w:rsidP="002C2EC6">
      <w:pPr>
        <w:pStyle w:val="ListParagraph"/>
        <w:ind w:left="0"/>
        <w:jc w:val="both"/>
        <w:rPr>
          <w:rFonts w:ascii="Times New Roman" w:hAnsi="Times New Roman"/>
          <w:iCs/>
          <w:color w:val="212121"/>
        </w:rPr>
      </w:pPr>
    </w:p>
    <w:p w14:paraId="6C72F0F9" w14:textId="77777777" w:rsidR="002C2EC6" w:rsidRDefault="002C2EC6" w:rsidP="002C2EC6">
      <w:pPr>
        <w:pStyle w:val="ListParagraph"/>
        <w:ind w:left="0"/>
        <w:jc w:val="both"/>
        <w:rPr>
          <w:rFonts w:ascii="Times New Roman" w:hAnsi="Times New Roman"/>
          <w:iCs/>
          <w:color w:val="212121"/>
        </w:rPr>
      </w:pPr>
    </w:p>
    <w:p w14:paraId="10936371" w14:textId="77777777" w:rsidR="002C2EC6" w:rsidRDefault="002C2EC6" w:rsidP="002C2EC6">
      <w:pPr>
        <w:pStyle w:val="ListParagraph"/>
        <w:ind w:left="0"/>
        <w:jc w:val="both"/>
        <w:rPr>
          <w:rFonts w:ascii="Times New Roman" w:hAnsi="Times New Roman"/>
          <w:iCs/>
          <w:color w:val="212121"/>
        </w:rPr>
      </w:pPr>
    </w:p>
    <w:p w14:paraId="015A9795" w14:textId="77777777" w:rsidR="002C2EC6" w:rsidRDefault="002C2EC6" w:rsidP="002C2EC6">
      <w:pPr>
        <w:pStyle w:val="ListParagraph"/>
        <w:ind w:left="0"/>
        <w:jc w:val="both"/>
        <w:rPr>
          <w:rFonts w:ascii="Times New Roman" w:hAnsi="Times New Roman"/>
          <w:iCs/>
          <w:color w:val="212121"/>
        </w:rPr>
      </w:pPr>
    </w:p>
    <w:p w14:paraId="44E201B7" w14:textId="1D91C5A9" w:rsidR="00290D6B" w:rsidRDefault="00290D6B" w:rsidP="00290D6B">
      <w:pPr>
        <w:pStyle w:val="ListParagraph"/>
        <w:ind w:left="0"/>
        <w:jc w:val="both"/>
        <w:rPr>
          <w:rFonts w:ascii="Times New Roman" w:hAnsi="Times New Roman"/>
          <w:iCs/>
          <w:color w:val="212121"/>
        </w:rPr>
      </w:pPr>
    </w:p>
    <w:p w14:paraId="7C58B371" w14:textId="77777777" w:rsidR="00B04824" w:rsidRDefault="00B04824" w:rsidP="00290D6B">
      <w:pPr>
        <w:pStyle w:val="ListParagraph"/>
        <w:ind w:left="0"/>
        <w:jc w:val="both"/>
        <w:rPr>
          <w:rFonts w:ascii="Times New Roman" w:hAnsi="Times New Roman"/>
          <w:iCs/>
          <w:color w:val="212121"/>
        </w:rPr>
      </w:pPr>
    </w:p>
    <w:p w14:paraId="20D4536F" w14:textId="77777777" w:rsidR="00290D6B" w:rsidRDefault="00290D6B" w:rsidP="0010616B">
      <w:pPr>
        <w:jc w:val="center"/>
      </w:pPr>
      <w:r>
        <w:lastRenderedPageBreak/>
        <w:t>NOTICE OF FURTHER PROCEEDINGS OR JUDICIAL REVIEW</w:t>
      </w:r>
    </w:p>
    <w:p w14:paraId="0C917DB4" w14:textId="77777777" w:rsidR="000B7AD2" w:rsidRDefault="000B7AD2" w:rsidP="00290D6B">
      <w:pPr>
        <w:pStyle w:val="CenterUnderline"/>
      </w:pPr>
    </w:p>
    <w:p w14:paraId="44901498" w14:textId="77777777" w:rsidR="00290D6B" w:rsidRDefault="00290D6B" w:rsidP="00290D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672D984" w14:textId="77777777" w:rsidR="00290D6B" w:rsidRDefault="00290D6B" w:rsidP="00290D6B">
      <w:pPr>
        <w:pStyle w:val="OrderBody"/>
      </w:pPr>
    </w:p>
    <w:p w14:paraId="5F0F9609" w14:textId="77777777" w:rsidR="00290D6B" w:rsidRDefault="00290D6B" w:rsidP="00290D6B">
      <w:pPr>
        <w:pStyle w:val="OrderBody"/>
      </w:pPr>
      <w:r>
        <w:tab/>
        <w:t>Mediation may be available on a case-by-case basis.  If mediation is conducted, it does not affect a substantially interested person's right to a hearing.</w:t>
      </w:r>
    </w:p>
    <w:p w14:paraId="73FBC57C" w14:textId="77777777" w:rsidR="00290D6B" w:rsidRDefault="00290D6B" w:rsidP="00290D6B">
      <w:pPr>
        <w:pStyle w:val="OrderBody"/>
      </w:pPr>
    </w:p>
    <w:p w14:paraId="1CD42DAB" w14:textId="77777777" w:rsidR="00290D6B" w:rsidRDefault="00290D6B" w:rsidP="00290D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2E8CA46" w14:textId="77777777" w:rsidR="00290D6B" w:rsidRDefault="00290D6B" w:rsidP="00290D6B">
      <w:pPr>
        <w:pStyle w:val="OrderBody"/>
      </w:pPr>
    </w:p>
    <w:p w14:paraId="07A4880B" w14:textId="77777777" w:rsidR="00290D6B" w:rsidRDefault="00290D6B" w:rsidP="00290D6B">
      <w:pPr>
        <w:pStyle w:val="OrderBody"/>
      </w:pPr>
    </w:p>
    <w:p w14:paraId="4E03D2B4" w14:textId="77777777" w:rsidR="00290D6B" w:rsidRDefault="00290D6B" w:rsidP="00290D6B">
      <w:pPr>
        <w:pStyle w:val="OrderBody"/>
      </w:pPr>
    </w:p>
    <w:sectPr w:rsidR="00290D6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0DAB8" w14:textId="77777777" w:rsidR="00FF1D47" w:rsidRDefault="00FF1D47">
      <w:r>
        <w:separator/>
      </w:r>
    </w:p>
  </w:endnote>
  <w:endnote w:type="continuationSeparator" w:id="0">
    <w:p w14:paraId="34472CCB" w14:textId="77777777" w:rsidR="00FF1D47" w:rsidRDefault="00FF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78671" w14:textId="77777777" w:rsidR="00FA6EFD" w:rsidRDefault="00FA6EFD">
    <w:pPr>
      <w:pStyle w:val="Footer"/>
    </w:pPr>
  </w:p>
  <w:p w14:paraId="5B7D5F5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53384" w14:textId="77777777" w:rsidR="00FF1D47" w:rsidRDefault="00FF1D47">
      <w:r>
        <w:separator/>
      </w:r>
    </w:p>
  </w:footnote>
  <w:footnote w:type="continuationSeparator" w:id="0">
    <w:p w14:paraId="5F45DE4E" w14:textId="77777777" w:rsidR="00FF1D47" w:rsidRDefault="00FF1D47">
      <w:r>
        <w:continuationSeparator/>
      </w:r>
    </w:p>
  </w:footnote>
  <w:footnote w:id="1">
    <w:p w14:paraId="46D44E76" w14:textId="77777777" w:rsidR="00E739C6" w:rsidRPr="00AE0EEF" w:rsidRDefault="00E739C6" w:rsidP="00E739C6">
      <w:pPr>
        <w:pStyle w:val="FootnoteText"/>
        <w:rPr>
          <w:i/>
        </w:rPr>
      </w:pPr>
      <w:r>
        <w:rPr>
          <w:rStyle w:val="FootnoteReference"/>
        </w:rPr>
        <w:footnoteRef/>
      </w:r>
      <w:r>
        <w:t xml:space="preserve"> Order No. PSC-2023-0177-FOF-GU, issued June 9, 2023, in Docket No. 20220069-GU, </w:t>
      </w:r>
      <w:r>
        <w:rPr>
          <w:i/>
        </w:rPr>
        <w:t xml:space="preserve">In re: </w:t>
      </w:r>
      <w:r w:rsidRPr="00012497">
        <w:rPr>
          <w:i/>
        </w:rPr>
        <w:t>Petition for rate increase by Florida City Gas.</w:t>
      </w:r>
    </w:p>
  </w:footnote>
  <w:footnote w:id="2">
    <w:p w14:paraId="59D2D0D8" w14:textId="77777777" w:rsidR="00E739C6" w:rsidRDefault="00E739C6" w:rsidP="00E739C6">
      <w:pPr>
        <w:pStyle w:val="FootnoteText"/>
      </w:pPr>
      <w:r>
        <w:rPr>
          <w:rStyle w:val="FootnoteReference"/>
        </w:rPr>
        <w:footnoteRef/>
      </w:r>
      <w:r>
        <w:t xml:space="preserve"> Document No. </w:t>
      </w:r>
      <w:r w:rsidRPr="00116F73">
        <w:t>01130-2025</w:t>
      </w:r>
      <w:r>
        <w:t>.</w:t>
      </w:r>
    </w:p>
  </w:footnote>
  <w:footnote w:id="3">
    <w:p w14:paraId="1AF51C11" w14:textId="77777777" w:rsidR="00737F17" w:rsidRPr="003D5ABA" w:rsidRDefault="00737F17" w:rsidP="00737F17">
      <w:pPr>
        <w:pStyle w:val="FootnoteText"/>
      </w:pPr>
      <w:r>
        <w:rPr>
          <w:rStyle w:val="FootnoteReference"/>
        </w:rPr>
        <w:footnoteRef/>
      </w:r>
      <w:r>
        <w:t xml:space="preserve"> </w:t>
      </w:r>
      <w:r>
        <w:rPr>
          <w:i/>
        </w:rPr>
        <w:t xml:space="preserve">See </w:t>
      </w:r>
      <w:r>
        <w:t>Rule 28-106.204(2), F.A.C.</w:t>
      </w:r>
    </w:p>
  </w:footnote>
  <w:footnote w:id="4">
    <w:p w14:paraId="484275D7" w14:textId="77777777" w:rsidR="00E57E7D" w:rsidRPr="003D5ABA" w:rsidRDefault="00E57E7D" w:rsidP="00E57E7D">
      <w:pPr>
        <w:pStyle w:val="FootnoteText"/>
        <w:rPr>
          <w:i/>
        </w:rPr>
      </w:pPr>
      <w:r>
        <w:rPr>
          <w:rStyle w:val="FootnoteReference"/>
        </w:rPr>
        <w:footnoteRef/>
      </w:r>
      <w:r>
        <w:t xml:space="preserve"> Order No. PSC-2025-0102-PCO-GU, at p. 3.</w:t>
      </w:r>
    </w:p>
  </w:footnote>
  <w:footnote w:id="5">
    <w:p w14:paraId="38AFA5C1" w14:textId="77777777" w:rsidR="00E57E7D" w:rsidRDefault="00E57E7D" w:rsidP="00E57E7D">
      <w:pPr>
        <w:pStyle w:val="FootnoteText"/>
      </w:pPr>
      <w:r>
        <w:rPr>
          <w:rStyle w:val="FootnoteReference"/>
        </w:rPr>
        <w:footnoteRef/>
      </w:r>
      <w:r>
        <w:t xml:space="preserve"> </w:t>
      </w:r>
      <w:r w:rsidRPr="001D116B">
        <w:rPr>
          <w:i/>
        </w:rPr>
        <w:t>Viverette v. State, Dep’t of Transp.</w:t>
      </w:r>
      <w:r w:rsidRPr="001D116B">
        <w:t>, 227 So. 3d 1274, 1278 (Fla 1st DCA 2017)</w:t>
      </w:r>
      <w:r>
        <w:t>.</w:t>
      </w:r>
    </w:p>
  </w:footnote>
  <w:footnote w:id="6">
    <w:p w14:paraId="45769F20" w14:textId="77777777" w:rsidR="00E57E7D" w:rsidRDefault="00E57E7D" w:rsidP="00E57E7D">
      <w:pPr>
        <w:pStyle w:val="FootnoteText"/>
      </w:pPr>
      <w:r>
        <w:rPr>
          <w:rStyle w:val="FootnoteReference"/>
        </w:rPr>
        <w:footnoteRef/>
      </w:r>
      <w:r>
        <w:t xml:space="preserve"> </w:t>
      </w:r>
      <w:r>
        <w:rPr>
          <w:i/>
        </w:rPr>
        <w:t>Allen v. Helms</w:t>
      </w:r>
      <w:r>
        <w:t>, 293 So. 3d 572, 577-578 (Fla. 1st DCA 2020).</w:t>
      </w:r>
    </w:p>
  </w:footnote>
  <w:footnote w:id="7">
    <w:p w14:paraId="72C3696F" w14:textId="77777777" w:rsidR="00E57E7D" w:rsidRDefault="00E57E7D" w:rsidP="00E57E7D">
      <w:pPr>
        <w:pStyle w:val="FootnoteText"/>
      </w:pPr>
      <w:r>
        <w:rPr>
          <w:rStyle w:val="FootnoteReference"/>
        </w:rPr>
        <w:footnoteRef/>
      </w:r>
      <w:r>
        <w:t xml:space="preserve"> Art. V., § 3(b)(2), Fla. Const.</w:t>
      </w:r>
    </w:p>
  </w:footnote>
  <w:footnote w:id="8">
    <w:p w14:paraId="4DB0CD38" w14:textId="77777777" w:rsidR="00E57E7D" w:rsidRDefault="00E57E7D" w:rsidP="00E57E7D">
      <w:pPr>
        <w:pStyle w:val="FootnoteText"/>
      </w:pPr>
      <w:r>
        <w:rPr>
          <w:rStyle w:val="FootnoteReference"/>
        </w:rPr>
        <w:footnoteRef/>
      </w:r>
      <w:r>
        <w:t xml:space="preserve"> </w:t>
      </w:r>
      <w:r w:rsidRPr="00856CB6">
        <w:rPr>
          <w:i/>
        </w:rPr>
        <w:t>Dep’t of Revenue ex rel. Simmons v. Wardlaw</w:t>
      </w:r>
      <w:r w:rsidRPr="00856CB6">
        <w:t>, 25 So. 3d 80, 82 (Fla. 4th DCA 2009)</w:t>
      </w:r>
      <w:r>
        <w:t xml:space="preserve">; </w:t>
      </w:r>
      <w:r w:rsidRPr="00856CB6">
        <w:rPr>
          <w:i/>
        </w:rPr>
        <w:t>Schultz v. Schickendanz</w:t>
      </w:r>
      <w:r w:rsidRPr="00856CB6">
        <w:t>, 884 So. 2d 422, 424 (Fla. 4th DCA 2004)</w:t>
      </w:r>
      <w:r>
        <w:t xml:space="preserve">; </w:t>
      </w:r>
      <w:r w:rsidRPr="00856CB6">
        <w:rPr>
          <w:i/>
        </w:rPr>
        <w:t>Thursby v. Stewart</w:t>
      </w:r>
      <w:r w:rsidRPr="00856CB6">
        <w:t>, 138 So. 742, 751 (Fla. 1931)</w:t>
      </w:r>
      <w:r>
        <w:t>.</w:t>
      </w:r>
    </w:p>
  </w:footnote>
  <w:footnote w:id="9">
    <w:p w14:paraId="12BDCDF7" w14:textId="77777777" w:rsidR="00E57E7D" w:rsidRDefault="00E57E7D" w:rsidP="00E57E7D">
      <w:pPr>
        <w:pStyle w:val="FootnoteText"/>
      </w:pPr>
      <w:r>
        <w:rPr>
          <w:rStyle w:val="FootnoteReference"/>
        </w:rPr>
        <w:footnoteRef/>
      </w:r>
      <w:r>
        <w:t xml:space="preserve"> </w:t>
      </w:r>
      <w:r w:rsidRPr="00877E56">
        <w:rPr>
          <w:i/>
        </w:rPr>
        <w:t>Delray Medical Center, Inc. v. State, Agency for Health Care Admin.</w:t>
      </w:r>
      <w:r w:rsidRPr="00877E56">
        <w:t>, 5 So. 3d 26, 30 (Fla. 4th DCA 2009)</w:t>
      </w:r>
      <w:r>
        <w:t>.</w:t>
      </w:r>
    </w:p>
  </w:footnote>
  <w:footnote w:id="10">
    <w:p w14:paraId="1693306F" w14:textId="77777777" w:rsidR="00E57E7D" w:rsidRPr="00493844" w:rsidRDefault="00E57E7D" w:rsidP="00E57E7D">
      <w:pPr>
        <w:pStyle w:val="FootnoteText"/>
      </w:pPr>
      <w:r>
        <w:rPr>
          <w:rStyle w:val="FootnoteReference"/>
        </w:rPr>
        <w:footnoteRef/>
      </w:r>
      <w:r>
        <w:t xml:space="preserve"> </w:t>
      </w:r>
      <w:r>
        <w:rPr>
          <w:i/>
        </w:rPr>
        <w:t>See</w:t>
      </w:r>
      <w:r>
        <w:t xml:space="preserve"> Judge Scott Stephens, </w:t>
      </w:r>
      <w:r>
        <w:rPr>
          <w:i/>
        </w:rPr>
        <w:t>Florida’s Third Species of Jurisdiction</w:t>
      </w:r>
      <w:r>
        <w:t>, 82 Fla. Bar J. 10, 16 (Mar. 2008).</w:t>
      </w:r>
    </w:p>
  </w:footnote>
  <w:footnote w:id="11">
    <w:p w14:paraId="27B5D28A" w14:textId="77777777" w:rsidR="00E57E7D" w:rsidRDefault="00E57E7D" w:rsidP="00E57E7D">
      <w:pPr>
        <w:pStyle w:val="FootnoteText"/>
      </w:pPr>
      <w:r>
        <w:rPr>
          <w:rStyle w:val="FootnoteReference"/>
        </w:rPr>
        <w:footnoteRef/>
      </w:r>
      <w:r>
        <w:t xml:space="preserve"> Art. V., § 3(b)(2), Fla. Const.</w:t>
      </w:r>
    </w:p>
  </w:footnote>
  <w:footnote w:id="12">
    <w:p w14:paraId="055AC52A" w14:textId="483887DC" w:rsidR="00E57E7D" w:rsidRPr="0086614B" w:rsidRDefault="00E57E7D" w:rsidP="00E57E7D">
      <w:pPr>
        <w:pStyle w:val="FootnoteText"/>
      </w:pPr>
      <w:r>
        <w:rPr>
          <w:rStyle w:val="FootnoteReference"/>
        </w:rPr>
        <w:footnoteRef/>
      </w:r>
      <w:r>
        <w:t xml:space="preserve"> </w:t>
      </w:r>
      <w:r>
        <w:rPr>
          <w:i/>
        </w:rPr>
        <w:t>Peoples Gas System</w:t>
      </w:r>
      <w:r w:rsidR="009C7B1B">
        <w:rPr>
          <w:i/>
        </w:rPr>
        <w:t>, Inc. v. Mason</w:t>
      </w:r>
      <w:r>
        <w:t xml:space="preserve">, </w:t>
      </w:r>
      <w:r w:rsidR="00761866" w:rsidRPr="00295EF3">
        <w:t>187 So. 2d 335, 339 (Fla. 1966)</w:t>
      </w:r>
      <w:r>
        <w:t xml:space="preserve">. </w:t>
      </w:r>
      <w:r>
        <w:rPr>
          <w:i/>
        </w:rPr>
        <w:t>See also</w:t>
      </w:r>
      <w:r>
        <w:t xml:space="preserve">, </w:t>
      </w:r>
      <w:r>
        <w:rPr>
          <w:i/>
        </w:rPr>
        <w:t>Cmtys. Fin. Corp. v. Fla. Dep’t of Envtl. Regulation</w:t>
      </w:r>
      <w:r>
        <w:t xml:space="preserve">, 416 So. 2d 813, 817 (Fla. 1st DCA 1982) (stating that the purpose of the </w:t>
      </w:r>
      <w:r w:rsidR="00761866">
        <w:t xml:space="preserve">Administrative Procedures Act </w:t>
      </w:r>
      <w:r>
        <w:t>is to favor resolution by agencies rather than courts those “disputes which are particularly within the administrative agency’s expertise”).</w:t>
      </w:r>
    </w:p>
  </w:footnote>
  <w:footnote w:id="13">
    <w:p w14:paraId="064A853F" w14:textId="77777777" w:rsidR="00E57E7D" w:rsidRPr="007C24D2" w:rsidRDefault="00E57E7D" w:rsidP="00E57E7D">
      <w:pPr>
        <w:pStyle w:val="FootnoteText"/>
      </w:pPr>
      <w:r>
        <w:rPr>
          <w:rStyle w:val="FootnoteReference"/>
        </w:rPr>
        <w:footnoteRef/>
      </w:r>
      <w:r>
        <w:t xml:space="preserve"> </w:t>
      </w:r>
      <w:r w:rsidRPr="00856CB6">
        <w:rPr>
          <w:i/>
        </w:rPr>
        <w:t>Casavan v. Land O'Lakes Realty, Inc. of Leesburg</w:t>
      </w:r>
      <w:r>
        <w:t>, 526 So. 2d 215</w:t>
      </w:r>
      <w:r w:rsidRPr="00856CB6">
        <w:t xml:space="preserve"> (Fla. 5th DCA 1988)</w:t>
      </w:r>
      <w:r>
        <w:t xml:space="preserve">; </w:t>
      </w:r>
      <w:r>
        <w:rPr>
          <w:i/>
        </w:rPr>
        <w:t>Bernstein v. Berrin</w:t>
      </w:r>
      <w:r>
        <w:t>, 516 So. 2d 1042 (Fla. 2d DCA 1987).</w:t>
      </w:r>
    </w:p>
  </w:footnote>
  <w:footnote w:id="14">
    <w:p w14:paraId="73E68312" w14:textId="77777777" w:rsidR="00E57E7D" w:rsidRDefault="00E57E7D" w:rsidP="00E57E7D">
      <w:pPr>
        <w:pStyle w:val="FootnoteText"/>
      </w:pPr>
      <w:r>
        <w:rPr>
          <w:rStyle w:val="FootnoteReference"/>
        </w:rPr>
        <w:footnoteRef/>
      </w:r>
      <w:r>
        <w:t xml:space="preserve"> </w:t>
      </w:r>
      <w:r>
        <w:rPr>
          <w:i/>
        </w:rPr>
        <w:t>Allen v. Helms</w:t>
      </w:r>
      <w:r>
        <w:t xml:space="preserve">, 293 So. 3d at 577-578; </w:t>
      </w:r>
      <w:r>
        <w:rPr>
          <w:i/>
        </w:rPr>
        <w:t>Stokes v. Jones</w:t>
      </w:r>
      <w:r>
        <w:t>, 319 So. 3d at 169.</w:t>
      </w:r>
    </w:p>
  </w:footnote>
  <w:footnote w:id="15">
    <w:p w14:paraId="6D3F4ACA" w14:textId="77777777" w:rsidR="00E57E7D" w:rsidRDefault="00E57E7D" w:rsidP="00E57E7D">
      <w:pPr>
        <w:pStyle w:val="FootnoteText"/>
      </w:pPr>
      <w:r>
        <w:rPr>
          <w:rStyle w:val="FootnoteReference"/>
        </w:rPr>
        <w:footnoteRef/>
      </w:r>
      <w:r>
        <w:t xml:space="preserve"> Section 366.04(1), F.S.</w:t>
      </w:r>
    </w:p>
  </w:footnote>
  <w:footnote w:id="16">
    <w:p w14:paraId="358458AF" w14:textId="1908649D" w:rsidR="00501992" w:rsidRDefault="00501992" w:rsidP="007E6C46">
      <w:pPr>
        <w:pStyle w:val="FootnoteText"/>
      </w:pPr>
      <w:r>
        <w:rPr>
          <w:rStyle w:val="FootnoteReference"/>
        </w:rPr>
        <w:footnoteRef/>
      </w:r>
      <w:r>
        <w:t xml:space="preserve"> </w:t>
      </w:r>
      <w:r w:rsidR="007E6C46">
        <w:rPr>
          <w:i/>
        </w:rPr>
        <w:t>See, e.g.</w:t>
      </w:r>
      <w:r w:rsidR="007E6C46">
        <w:t>, Rule 25-7.045(5)(b), F.A.C. (requiring a utility depreciation study to provide “[a]</w:t>
      </w:r>
      <w:r w:rsidR="007E6C46" w:rsidRPr="007E6C46">
        <w:t xml:space="preserve"> comparison of current and proposed annual </w:t>
      </w:r>
      <w:r w:rsidR="007E6C46">
        <w:t xml:space="preserve">depreciation rates and expenses” and to “identify the </w:t>
      </w:r>
      <w:r w:rsidR="007E6C46" w:rsidRPr="007E6C46">
        <w:t>proposed effective date for the proposed rates</w:t>
      </w:r>
      <w:r w:rsidR="007E6C46">
        <w:t>”);</w:t>
      </w:r>
      <w:r>
        <w:t xml:space="preserve"> </w:t>
      </w:r>
      <w:r w:rsidRPr="00501992">
        <w:t>Order No. PSC-10-0153-FOF-EI</w:t>
      </w:r>
      <w:r>
        <w:t xml:space="preserve">, at p. 82 n.25, issued Mar. 17, 2010, in Docket No. 080677-EI, </w:t>
      </w:r>
      <w:r w:rsidRPr="00E562A9">
        <w:rPr>
          <w:i/>
        </w:rPr>
        <w:t>In re: Petition for increase in rates by Florida Power &amp; Light Company</w:t>
      </w:r>
      <w:r>
        <w:t>. (</w:t>
      </w:r>
      <w:r w:rsidR="007E6C46">
        <w:t>stating that “[t]he matching of the period of time over which depreciation expense is collected with the service life of the group of assets is called the matching principle”).</w:t>
      </w:r>
    </w:p>
  </w:footnote>
  <w:footnote w:id="17">
    <w:p w14:paraId="30250DF6" w14:textId="77777777" w:rsidR="00E57E7D" w:rsidRDefault="00E57E7D" w:rsidP="00E57E7D">
      <w:pPr>
        <w:pStyle w:val="FootnoteText"/>
      </w:pPr>
      <w:r>
        <w:rPr>
          <w:rStyle w:val="FootnoteReference"/>
        </w:rPr>
        <w:footnoteRef/>
      </w:r>
      <w:r>
        <w:t xml:space="preserve"> Order No. PSC-2025-0102-PCO-GU, at p. 3.</w:t>
      </w:r>
    </w:p>
  </w:footnote>
  <w:footnote w:id="18">
    <w:p w14:paraId="18956379" w14:textId="77777777" w:rsidR="00E57E7D" w:rsidRDefault="00E57E7D" w:rsidP="00E57E7D">
      <w:pPr>
        <w:pStyle w:val="FootnoteText"/>
      </w:pPr>
      <w:r>
        <w:rPr>
          <w:rStyle w:val="FootnoteReference"/>
        </w:rPr>
        <w:footnoteRef/>
      </w:r>
      <w:r>
        <w:t xml:space="preserve"> </w:t>
      </w:r>
      <w:r w:rsidRPr="00856CB6">
        <w:rPr>
          <w:i/>
        </w:rPr>
        <w:t>Wardlaw</w:t>
      </w:r>
      <w:r w:rsidRPr="00856CB6">
        <w:t xml:space="preserve">, 25 So. 3d </w:t>
      </w:r>
      <w:r>
        <w:t>at</w:t>
      </w:r>
      <w:r w:rsidRPr="00856CB6">
        <w:t xml:space="preserve"> 82</w:t>
      </w:r>
      <w:r>
        <w:t xml:space="preserve">; </w:t>
      </w:r>
      <w:r w:rsidRPr="00856CB6">
        <w:rPr>
          <w:i/>
        </w:rPr>
        <w:t>Schultz</w:t>
      </w:r>
      <w:r w:rsidRPr="00856CB6">
        <w:t xml:space="preserve">, 884 So. 2d </w:t>
      </w:r>
      <w:r>
        <w:t>at</w:t>
      </w:r>
      <w:r w:rsidRPr="00856CB6">
        <w:t xml:space="preserve"> 424</w:t>
      </w:r>
      <w:r>
        <w:t xml:space="preserve">; </w:t>
      </w:r>
      <w:r w:rsidRPr="00856CB6">
        <w:rPr>
          <w:i/>
        </w:rPr>
        <w:t>Thursby</w:t>
      </w:r>
      <w:r w:rsidRPr="00856CB6">
        <w:t xml:space="preserve">, 138 So. </w:t>
      </w:r>
      <w:r>
        <w:t>at</w:t>
      </w:r>
      <w:r w:rsidRPr="00856CB6">
        <w:t xml:space="preserve"> 751</w:t>
      </w:r>
      <w:r>
        <w:t>.</w:t>
      </w:r>
    </w:p>
  </w:footnote>
  <w:footnote w:id="19">
    <w:p w14:paraId="3615C8E9" w14:textId="77777777" w:rsidR="00E57E7D" w:rsidRPr="005A71F8" w:rsidRDefault="00E57E7D" w:rsidP="00E57E7D">
      <w:pPr>
        <w:pStyle w:val="FootnoteText"/>
      </w:pPr>
      <w:r>
        <w:rPr>
          <w:rStyle w:val="FootnoteReference"/>
        </w:rPr>
        <w:footnoteRef/>
      </w:r>
      <w:r>
        <w:t xml:space="preserve"> </w:t>
      </w:r>
      <w:r>
        <w:rPr>
          <w:i/>
        </w:rPr>
        <w:t>See</w:t>
      </w:r>
      <w:r>
        <w:t xml:space="preserve"> Citizens’ Initial Brief at 26, </w:t>
      </w:r>
      <w:r>
        <w:rPr>
          <w:i/>
        </w:rPr>
        <w:t>Citizens of State v. Fla. Pub. Serv. Comm’n</w:t>
      </w:r>
      <w:r>
        <w:t>, No. SC2023-0988 (Fla. filed Jan. 31, 2024).</w:t>
      </w:r>
    </w:p>
  </w:footnote>
  <w:footnote w:id="20">
    <w:p w14:paraId="7CC97612" w14:textId="77777777" w:rsidR="00E57E7D" w:rsidRPr="00721FE2" w:rsidRDefault="00E57E7D" w:rsidP="00E57E7D">
      <w:pPr>
        <w:pStyle w:val="FootnoteText"/>
      </w:pPr>
      <w:r>
        <w:rPr>
          <w:rStyle w:val="FootnoteReference"/>
        </w:rPr>
        <w:footnoteRef/>
      </w:r>
      <w:r>
        <w:t xml:space="preserve"> </w:t>
      </w:r>
      <w:r>
        <w:rPr>
          <w:i/>
        </w:rPr>
        <w:t>Id.</w:t>
      </w:r>
      <w:r>
        <w:t xml:space="preserve"> at 33.</w:t>
      </w:r>
    </w:p>
  </w:footnote>
  <w:footnote w:id="21">
    <w:p w14:paraId="57C3922A" w14:textId="77777777" w:rsidR="00E57E7D" w:rsidRPr="00721FE2" w:rsidRDefault="00E57E7D" w:rsidP="00E57E7D">
      <w:pPr>
        <w:pStyle w:val="FootnoteText"/>
      </w:pPr>
      <w:r>
        <w:rPr>
          <w:rStyle w:val="FootnoteReference"/>
        </w:rPr>
        <w:footnoteRef/>
      </w:r>
      <w:r>
        <w:t xml:space="preserve"> </w:t>
      </w:r>
      <w:r>
        <w:rPr>
          <w:i/>
        </w:rPr>
        <w:t>Id.</w:t>
      </w:r>
      <w:r>
        <w:t xml:space="preserve"> at 40.</w:t>
      </w:r>
    </w:p>
  </w:footnote>
  <w:footnote w:id="22">
    <w:p w14:paraId="04CB3864" w14:textId="77777777" w:rsidR="00E57E7D" w:rsidRPr="00516667" w:rsidRDefault="00E57E7D" w:rsidP="00E57E7D">
      <w:pPr>
        <w:pStyle w:val="FootnoteText"/>
      </w:pPr>
      <w:r>
        <w:rPr>
          <w:rStyle w:val="FootnoteReference"/>
        </w:rPr>
        <w:footnoteRef/>
      </w:r>
      <w:r>
        <w:t xml:space="preserve"> </w:t>
      </w:r>
      <w:r>
        <w:rPr>
          <w:i/>
        </w:rPr>
        <w:t>Wardlaw</w:t>
      </w:r>
      <w:r>
        <w:t>, 25 So. 3d at 82. I</w:t>
      </w:r>
      <w:r w:rsidRPr="00796767">
        <w:t xml:space="preserve">n some of the pleadings in this docket, OPC seems to reverse this test, arguing instead based on the potential for the </w:t>
      </w:r>
      <w:r w:rsidRPr="00796767">
        <w:rPr>
          <w:i/>
        </w:rPr>
        <w:t>Supreme Court’s</w:t>
      </w:r>
      <w:r w:rsidRPr="00796767">
        <w:t xml:space="preserve"> decision to impact the Commission’s ability to resolve FCG’s Petition in </w:t>
      </w:r>
      <w:r w:rsidRPr="00796767">
        <w:rPr>
          <w:i/>
        </w:rPr>
        <w:t>this</w:t>
      </w:r>
      <w:r w:rsidRPr="00796767">
        <w:t xml:space="preserve"> docket.</w:t>
      </w:r>
    </w:p>
  </w:footnote>
  <w:footnote w:id="23">
    <w:p w14:paraId="033F13B9" w14:textId="77777777" w:rsidR="00E57E7D" w:rsidRPr="005759AB" w:rsidRDefault="00E57E7D" w:rsidP="00E57E7D">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t xml:space="preserve"> (balancing competing interests of new counsel desiring more time to prepare and party seeking to proceed with discovery by delaying deposition)</w:t>
      </w:r>
      <w:r w:rsidRPr="00BB386D">
        <w:t>.</w:t>
      </w:r>
    </w:p>
  </w:footnote>
  <w:footnote w:id="24">
    <w:p w14:paraId="25E446F2" w14:textId="77777777" w:rsidR="00E57E7D" w:rsidRPr="00B05F48" w:rsidRDefault="00E57E7D" w:rsidP="00E57E7D">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25">
    <w:p w14:paraId="4182883C" w14:textId="77777777" w:rsidR="00E57E7D" w:rsidRPr="00DD494C" w:rsidRDefault="00E57E7D" w:rsidP="00E57E7D">
      <w:pPr>
        <w:pStyle w:val="FootnoteText"/>
      </w:pPr>
      <w:r>
        <w:rPr>
          <w:rStyle w:val="FootnoteReference"/>
        </w:rPr>
        <w:footnoteRef/>
      </w:r>
      <w:r>
        <w:t xml:space="preserve"> Order No. PSC-08-0549-PCO-TP, issued Aug. 19, 2008, in Docket No. 20070691-TP, </w:t>
      </w:r>
      <w:r w:rsidRPr="00674433">
        <w:rPr>
          <w:i/>
        </w:rPr>
        <w:t>Complaint and request for emergency relief against Verizon Florida, LLC for anticompetitive behavior in violation of Sections 364.01(4), 364.3381, and 364.10, F.S., and for failure to facilitate transfer of customers' numbers to Bright House Networks Information Services (Florida), LLC, and its affiliate, Bright House Networks, LLC.</w:t>
      </w:r>
      <w:r>
        <w:t xml:space="preserve">, and Docket No. 20080036-TP, </w:t>
      </w:r>
      <w:r w:rsidRPr="00674433">
        <w:rPr>
          <w:i/>
        </w:rPr>
        <w:t>Complaint and request for emergency relief against Verizon Florida, L.L.C. for anticompetitive behavior in violation of Sections 364.01(4), 364.3381, and 364.10, F.S., and for failure to facilitate transfer of customers' numbers to Comcast Phone of Florida, L.L.C. d/b/a Comcast Digital Phone.</w:t>
      </w:r>
    </w:p>
  </w:footnote>
  <w:footnote w:id="26">
    <w:p w14:paraId="47B139DE" w14:textId="77777777" w:rsidR="00E57E7D" w:rsidRDefault="00E57E7D" w:rsidP="00E57E7D">
      <w:pPr>
        <w:pStyle w:val="FootnoteText"/>
      </w:pPr>
      <w:r>
        <w:rPr>
          <w:rStyle w:val="FootnoteReference"/>
        </w:rPr>
        <w:footnoteRef/>
      </w:r>
      <w:r>
        <w:t xml:space="preserve"> A motion for rehearing is the civil or criminal law analogue to a motion for reconsideration in the administrative law context. </w:t>
      </w:r>
      <w:r>
        <w:rPr>
          <w:i/>
        </w:rPr>
        <w:t>See, e.g.</w:t>
      </w:r>
      <w:r>
        <w:t>,</w:t>
      </w:r>
      <w:r>
        <w:rPr>
          <w:i/>
        </w:rPr>
        <w:t xml:space="preserve"> </w:t>
      </w:r>
      <w:r w:rsidRPr="009220FB">
        <w:rPr>
          <w:i/>
        </w:rPr>
        <w:t>State v. Clark</w:t>
      </w:r>
      <w:r w:rsidRPr="009220FB">
        <w:t>, 373 So. 3d 1128, 1131-32 (Fla. 2023) (discussing principles derived from cases addressing motions for rehearing and applying them to motions for reconsideration before the Commission).</w:t>
      </w:r>
    </w:p>
  </w:footnote>
  <w:footnote w:id="27">
    <w:p w14:paraId="7505CBD8" w14:textId="77777777" w:rsidR="00E57E7D" w:rsidRPr="007F173D" w:rsidRDefault="00E57E7D" w:rsidP="00E57E7D">
      <w:pPr>
        <w:pStyle w:val="FootnoteText"/>
      </w:pPr>
      <w:r>
        <w:rPr>
          <w:rStyle w:val="FootnoteReference"/>
        </w:rPr>
        <w:footnoteRef/>
      </w:r>
      <w:r>
        <w:t xml:space="preserve"> </w:t>
      </w:r>
      <w:r w:rsidRPr="005D2838">
        <w:rPr>
          <w:i/>
        </w:rPr>
        <w:t>See also</w:t>
      </w:r>
      <w:r w:rsidRPr="005D2838">
        <w:t xml:space="preserve"> </w:t>
      </w:r>
      <w:r w:rsidRPr="005D2838">
        <w:rPr>
          <w:i/>
        </w:rPr>
        <w:t>State ex rel. Jaytex Realty Co. v. Green</w:t>
      </w:r>
      <w:r w:rsidRPr="005D2838">
        <w:t>, 105 So. 2d 817, 818-19 (Fla. 1st DCA 1958) (“The sole and only purpose of a petition for rehearing is to call to the attention of the court some fact, precedent or rule of law which the court has overlooked in rendering its decision. . . . It is only in those instances in which [a careful] analysis leads to an honest conviction that the court did in fact fail to consider (as distinguished from agreeing with) a question of law or fact which, had it been considered, would require a different decision, that a petition for rehearing should be filed.”).</w:t>
      </w:r>
      <w:r>
        <w:t xml:space="preserve"> </w:t>
      </w:r>
      <w:r w:rsidRPr="009220FB">
        <w:t xml:space="preserve">The Florida Supreme Court recently clarified that a motion for reconsideration is also appropriate “when a final order addresses substantive issues or reaches legal conclusions that have not been previously raised or challenged.” </w:t>
      </w:r>
      <w:r w:rsidRPr="009220FB">
        <w:rPr>
          <w:i/>
        </w:rPr>
        <w:t>State v. Clark</w:t>
      </w:r>
      <w:r w:rsidRPr="009220FB">
        <w:t xml:space="preserve">, 373 So. 3d at 1131. However, as the order challenged by OPC </w:t>
      </w:r>
      <w:r>
        <w:t xml:space="preserve">the present docket </w:t>
      </w:r>
      <w:r w:rsidRPr="009220FB">
        <w:t>is a non-final order, and because OPC’s rights to argue and make objections and its ability to preserve arguments for appeal are not at issue, this additional purpose and standard for a motion for reconsideration is inapplicable.</w:t>
      </w:r>
    </w:p>
  </w:footnote>
  <w:footnote w:id="28">
    <w:p w14:paraId="7A6A0145" w14:textId="77777777" w:rsidR="00E57E7D" w:rsidRPr="00FF2BDE" w:rsidRDefault="00E57E7D" w:rsidP="00E57E7D">
      <w:pPr>
        <w:pStyle w:val="FootnoteText"/>
      </w:pPr>
      <w:r>
        <w:rPr>
          <w:rStyle w:val="FootnoteReference"/>
        </w:rPr>
        <w:footnoteRef/>
      </w:r>
      <w:r>
        <w:t xml:space="preserve"> </w:t>
      </w:r>
      <w:r>
        <w:rPr>
          <w:i/>
        </w:rPr>
        <w:t>See McDonald v. Fla. Pub. Serv. Comm’n</w:t>
      </w:r>
      <w:r>
        <w:t xml:space="preserve">, 147 So. 3d. 524 (Fla. 2014) (holding that the Commission “properly denied [a] motion for reconsideration when [the movant] did not provide any facts or law overlooked by the Commission”). </w:t>
      </w:r>
    </w:p>
  </w:footnote>
  <w:footnote w:id="29">
    <w:p w14:paraId="4FBFB22C" w14:textId="77777777" w:rsidR="00E57E7D" w:rsidRPr="00836FE9" w:rsidRDefault="00E57E7D" w:rsidP="00E57E7D">
      <w:pPr>
        <w:pStyle w:val="FootnoteText"/>
        <w:rPr>
          <w:b/>
        </w:rPr>
      </w:pPr>
      <w:r>
        <w:rPr>
          <w:rStyle w:val="FootnoteReference"/>
        </w:rPr>
        <w:footnoteRef/>
      </w:r>
      <w:r w:rsidRPr="00836FE9">
        <w:rPr>
          <w:i/>
        </w:rPr>
        <w:t xml:space="preserve"> Stewart Bonded Warehouse, Inc. v. Bevis</w:t>
      </w:r>
      <w:r>
        <w:t xml:space="preserve">, 294 So. 2d 315, 317 (Fla. 1974); Order No. PSC-2016-0231-FOF-EI, issued June 10, 2016, in Docket No. 20160021-EI, </w:t>
      </w:r>
      <w:r w:rsidRPr="00836FE9">
        <w:rPr>
          <w:i/>
        </w:rPr>
        <w:t>In re: Petition for rate increase by Florida Power &amp; Light Company</w:t>
      </w:r>
      <w:r>
        <w:t xml:space="preserve"> (page 5).</w:t>
      </w:r>
    </w:p>
  </w:footnote>
  <w:footnote w:id="30">
    <w:p w14:paraId="08231070" w14:textId="77777777" w:rsidR="00E57E7D" w:rsidRDefault="00E57E7D" w:rsidP="00E57E7D">
      <w:pPr>
        <w:pStyle w:val="FootnoteText"/>
      </w:pPr>
      <w:r>
        <w:rPr>
          <w:rStyle w:val="FootnoteReference"/>
        </w:rPr>
        <w:footnoteRef/>
      </w:r>
      <w:r>
        <w:t xml:space="preserve"> To the extent</w:t>
      </w:r>
      <w:r w:rsidRPr="00887C68">
        <w:t xml:space="preserve"> OPC claims the Commission lacks jurisdiction, </w:t>
      </w:r>
      <w:r>
        <w:t xml:space="preserve">these arguments were discussed above in </w:t>
      </w:r>
      <w:r w:rsidR="00571F84">
        <w:t>Section</w:t>
      </w:r>
      <w:r>
        <w:t xml:space="preserve"> </w:t>
      </w:r>
      <w:r w:rsidR="00571F84">
        <w:t>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651D4" w14:textId="5270430B" w:rsidR="00FA6EFD" w:rsidRDefault="00FA6EFD">
    <w:pPr>
      <w:pStyle w:val="OrderHeader"/>
    </w:pPr>
    <w:r>
      <w:t xml:space="preserve">ORDER NO. </w:t>
    </w:r>
    <w:fldSimple w:instr=" REF OrderNo0360 ">
      <w:r w:rsidR="00B04824">
        <w:t>PSC-2025-0360-PCO-GU</w:t>
      </w:r>
    </w:fldSimple>
  </w:p>
  <w:p w14:paraId="7D6E12F8" w14:textId="77777777" w:rsidR="00FA6EFD" w:rsidRDefault="00FF1D47">
    <w:pPr>
      <w:pStyle w:val="OrderHeader"/>
    </w:pPr>
    <w:bookmarkStart w:id="11" w:name="HeaderDocketNo"/>
    <w:bookmarkEnd w:id="11"/>
    <w:r>
      <w:t>DOCKET NO. 20250035-GU</w:t>
    </w:r>
  </w:p>
  <w:p w14:paraId="02DAB5F3" w14:textId="7904E0E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4824">
      <w:rPr>
        <w:rStyle w:val="PageNumber"/>
        <w:noProof/>
      </w:rPr>
      <w:t>15</w:t>
    </w:r>
    <w:r>
      <w:rPr>
        <w:rStyle w:val="PageNumber"/>
      </w:rPr>
      <w:fldChar w:fldCharType="end"/>
    </w:r>
  </w:p>
  <w:p w14:paraId="1B82D68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D30D7"/>
    <w:multiLevelType w:val="hybridMultilevel"/>
    <w:tmpl w:val="C114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FF1D4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4FF7"/>
    <w:rsid w:val="00090AFC"/>
    <w:rsid w:val="00096507"/>
    <w:rsid w:val="000A774F"/>
    <w:rsid w:val="000B1603"/>
    <w:rsid w:val="000B783E"/>
    <w:rsid w:val="000B7AD2"/>
    <w:rsid w:val="000B7D81"/>
    <w:rsid w:val="000C1994"/>
    <w:rsid w:val="000C6926"/>
    <w:rsid w:val="000D02B8"/>
    <w:rsid w:val="000D06E8"/>
    <w:rsid w:val="000D4B5E"/>
    <w:rsid w:val="000D52C1"/>
    <w:rsid w:val="000D6E65"/>
    <w:rsid w:val="000D762D"/>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16B"/>
    <w:rsid w:val="001107B3"/>
    <w:rsid w:val="001114B1"/>
    <w:rsid w:val="001139D8"/>
    <w:rsid w:val="00116AD3"/>
    <w:rsid w:val="00121957"/>
    <w:rsid w:val="0012387E"/>
    <w:rsid w:val="00123BFA"/>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08AF"/>
    <w:rsid w:val="001B2FC8"/>
    <w:rsid w:val="001C2847"/>
    <w:rsid w:val="001C3BB5"/>
    <w:rsid w:val="001C3F8C"/>
    <w:rsid w:val="001C445C"/>
    <w:rsid w:val="001C6097"/>
    <w:rsid w:val="001C7126"/>
    <w:rsid w:val="001D008A"/>
    <w:rsid w:val="001E0152"/>
    <w:rsid w:val="001E0FF5"/>
    <w:rsid w:val="001E4BD2"/>
    <w:rsid w:val="001F0095"/>
    <w:rsid w:val="001F36B0"/>
    <w:rsid w:val="001F4CA3"/>
    <w:rsid w:val="001F59E0"/>
    <w:rsid w:val="002002ED"/>
    <w:rsid w:val="002044DD"/>
    <w:rsid w:val="002170E5"/>
    <w:rsid w:val="002179AC"/>
    <w:rsid w:val="00220D57"/>
    <w:rsid w:val="00223B99"/>
    <w:rsid w:val="0022721A"/>
    <w:rsid w:val="00227223"/>
    <w:rsid w:val="00230BB9"/>
    <w:rsid w:val="00241CEF"/>
    <w:rsid w:val="00243443"/>
    <w:rsid w:val="0025124E"/>
    <w:rsid w:val="00252B30"/>
    <w:rsid w:val="00255291"/>
    <w:rsid w:val="00255AEC"/>
    <w:rsid w:val="0025600C"/>
    <w:rsid w:val="002613E4"/>
    <w:rsid w:val="00262C43"/>
    <w:rsid w:val="0026544B"/>
    <w:rsid w:val="00270F89"/>
    <w:rsid w:val="002714F5"/>
    <w:rsid w:val="00276CDC"/>
    <w:rsid w:val="00277655"/>
    <w:rsid w:val="002824B7"/>
    <w:rsid w:val="00282AC4"/>
    <w:rsid w:val="00290D6B"/>
    <w:rsid w:val="00293DC9"/>
    <w:rsid w:val="00297C37"/>
    <w:rsid w:val="002A11AC"/>
    <w:rsid w:val="002A1B95"/>
    <w:rsid w:val="002A6F30"/>
    <w:rsid w:val="002A7884"/>
    <w:rsid w:val="002B3111"/>
    <w:rsid w:val="002C09F5"/>
    <w:rsid w:val="002C118E"/>
    <w:rsid w:val="002C2096"/>
    <w:rsid w:val="002C2EC6"/>
    <w:rsid w:val="002C7908"/>
    <w:rsid w:val="002D391B"/>
    <w:rsid w:val="002D4B1F"/>
    <w:rsid w:val="002D7D15"/>
    <w:rsid w:val="002E1B2E"/>
    <w:rsid w:val="002E27EB"/>
    <w:rsid w:val="002E4EA7"/>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5CEE"/>
    <w:rsid w:val="00397C3E"/>
    <w:rsid w:val="003A5642"/>
    <w:rsid w:val="003B1A09"/>
    <w:rsid w:val="003B6F02"/>
    <w:rsid w:val="003C0431"/>
    <w:rsid w:val="003C29BB"/>
    <w:rsid w:val="003D3989"/>
    <w:rsid w:val="003D4CCA"/>
    <w:rsid w:val="003D52A6"/>
    <w:rsid w:val="003D56F1"/>
    <w:rsid w:val="003D6416"/>
    <w:rsid w:val="003E1D48"/>
    <w:rsid w:val="003E711F"/>
    <w:rsid w:val="003F1D2B"/>
    <w:rsid w:val="003F49A6"/>
    <w:rsid w:val="003F518F"/>
    <w:rsid w:val="003F6BA7"/>
    <w:rsid w:val="003F7445"/>
    <w:rsid w:val="00411DF2"/>
    <w:rsid w:val="00411E8F"/>
    <w:rsid w:val="0041275D"/>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1992"/>
    <w:rsid w:val="00514B1F"/>
    <w:rsid w:val="00523C5C"/>
    <w:rsid w:val="00524884"/>
    <w:rsid w:val="00525E93"/>
    <w:rsid w:val="0052671D"/>
    <w:rsid w:val="005300C0"/>
    <w:rsid w:val="00533EF6"/>
    <w:rsid w:val="00540E6B"/>
    <w:rsid w:val="0054109E"/>
    <w:rsid w:val="0055595D"/>
    <w:rsid w:val="00556A10"/>
    <w:rsid w:val="00557F50"/>
    <w:rsid w:val="00571D3D"/>
    <w:rsid w:val="00571F84"/>
    <w:rsid w:val="00577C44"/>
    <w:rsid w:val="0058264B"/>
    <w:rsid w:val="00586368"/>
    <w:rsid w:val="005868AA"/>
    <w:rsid w:val="00590845"/>
    <w:rsid w:val="005963C2"/>
    <w:rsid w:val="005A0D69"/>
    <w:rsid w:val="005A31F4"/>
    <w:rsid w:val="005A36BF"/>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62F4"/>
    <w:rsid w:val="00672612"/>
    <w:rsid w:val="00674ECC"/>
    <w:rsid w:val="00677F18"/>
    <w:rsid w:val="00693483"/>
    <w:rsid w:val="006A0BF3"/>
    <w:rsid w:val="006A502B"/>
    <w:rsid w:val="006B0036"/>
    <w:rsid w:val="006B0DA6"/>
    <w:rsid w:val="006B3FA9"/>
    <w:rsid w:val="006C547E"/>
    <w:rsid w:val="006D2B51"/>
    <w:rsid w:val="006D5575"/>
    <w:rsid w:val="006D7191"/>
    <w:rsid w:val="006E0804"/>
    <w:rsid w:val="006E21C4"/>
    <w:rsid w:val="006E42BE"/>
    <w:rsid w:val="006E5D4D"/>
    <w:rsid w:val="006E6D16"/>
    <w:rsid w:val="006F7C50"/>
    <w:rsid w:val="00703F2A"/>
    <w:rsid w:val="00704C5D"/>
    <w:rsid w:val="007072BC"/>
    <w:rsid w:val="00715275"/>
    <w:rsid w:val="00721B44"/>
    <w:rsid w:val="007232A2"/>
    <w:rsid w:val="00726366"/>
    <w:rsid w:val="00731AB6"/>
    <w:rsid w:val="00733B6B"/>
    <w:rsid w:val="00737F17"/>
    <w:rsid w:val="00740808"/>
    <w:rsid w:val="00740A1B"/>
    <w:rsid w:val="007467C4"/>
    <w:rsid w:val="00755702"/>
    <w:rsid w:val="0076170F"/>
    <w:rsid w:val="00761866"/>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10FD"/>
    <w:rsid w:val="007E3AFD"/>
    <w:rsid w:val="007E542E"/>
    <w:rsid w:val="007E6C46"/>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7C37"/>
    <w:rsid w:val="008703D7"/>
    <w:rsid w:val="00874429"/>
    <w:rsid w:val="00875D22"/>
    <w:rsid w:val="00880CBA"/>
    <w:rsid w:val="00883D9A"/>
    <w:rsid w:val="008919EF"/>
    <w:rsid w:val="00892B20"/>
    <w:rsid w:val="008931BC"/>
    <w:rsid w:val="0089695B"/>
    <w:rsid w:val="00897740"/>
    <w:rsid w:val="008A12EC"/>
    <w:rsid w:val="008A3BBE"/>
    <w:rsid w:val="008B14BE"/>
    <w:rsid w:val="008B19A6"/>
    <w:rsid w:val="008B4EFB"/>
    <w:rsid w:val="008B7615"/>
    <w:rsid w:val="008C21C8"/>
    <w:rsid w:val="008C6375"/>
    <w:rsid w:val="008C6A5B"/>
    <w:rsid w:val="008C6C0E"/>
    <w:rsid w:val="008D441D"/>
    <w:rsid w:val="008D498D"/>
    <w:rsid w:val="008D6D36"/>
    <w:rsid w:val="008E0693"/>
    <w:rsid w:val="008E26A5"/>
    <w:rsid w:val="008E42D2"/>
    <w:rsid w:val="008E453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20CB"/>
    <w:rsid w:val="00933C47"/>
    <w:rsid w:val="00943D21"/>
    <w:rsid w:val="0094504B"/>
    <w:rsid w:val="00945439"/>
    <w:rsid w:val="00964A38"/>
    <w:rsid w:val="00966A9D"/>
    <w:rsid w:val="0096742B"/>
    <w:rsid w:val="00967C64"/>
    <w:rsid w:val="009718C5"/>
    <w:rsid w:val="00976AFF"/>
    <w:rsid w:val="00986AED"/>
    <w:rsid w:val="009924CF"/>
    <w:rsid w:val="00994100"/>
    <w:rsid w:val="009A04B7"/>
    <w:rsid w:val="009A6404"/>
    <w:rsid w:val="009A6B17"/>
    <w:rsid w:val="009B052E"/>
    <w:rsid w:val="009B4E00"/>
    <w:rsid w:val="009C2F67"/>
    <w:rsid w:val="009C7B1B"/>
    <w:rsid w:val="009D4C29"/>
    <w:rsid w:val="009E58E9"/>
    <w:rsid w:val="009E6803"/>
    <w:rsid w:val="009F6AD2"/>
    <w:rsid w:val="009F7168"/>
    <w:rsid w:val="009F7C1B"/>
    <w:rsid w:val="00A00B5B"/>
    <w:rsid w:val="00A00D8D"/>
    <w:rsid w:val="00A01BB6"/>
    <w:rsid w:val="00A108A7"/>
    <w:rsid w:val="00A228DA"/>
    <w:rsid w:val="00A22B28"/>
    <w:rsid w:val="00A3351E"/>
    <w:rsid w:val="00A4303C"/>
    <w:rsid w:val="00A46CAF"/>
    <w:rsid w:val="00A470FD"/>
    <w:rsid w:val="00A50B5E"/>
    <w:rsid w:val="00A57FD3"/>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09E6"/>
    <w:rsid w:val="00B019C1"/>
    <w:rsid w:val="00B02001"/>
    <w:rsid w:val="00B03C50"/>
    <w:rsid w:val="00B04824"/>
    <w:rsid w:val="00B05739"/>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AD8"/>
    <w:rsid w:val="00BA73E7"/>
    <w:rsid w:val="00BB0182"/>
    <w:rsid w:val="00BB2F4A"/>
    <w:rsid w:val="00BC786E"/>
    <w:rsid w:val="00BC7DE0"/>
    <w:rsid w:val="00BD5C92"/>
    <w:rsid w:val="00BE50E6"/>
    <w:rsid w:val="00BE7A0C"/>
    <w:rsid w:val="00BF0E4F"/>
    <w:rsid w:val="00BF2928"/>
    <w:rsid w:val="00BF5D60"/>
    <w:rsid w:val="00BF6691"/>
    <w:rsid w:val="00C028FC"/>
    <w:rsid w:val="00C037F2"/>
    <w:rsid w:val="00C0386D"/>
    <w:rsid w:val="00C065A1"/>
    <w:rsid w:val="00C10ED5"/>
    <w:rsid w:val="00C12574"/>
    <w:rsid w:val="00C151A6"/>
    <w:rsid w:val="00C24098"/>
    <w:rsid w:val="00C25A69"/>
    <w:rsid w:val="00C27BF6"/>
    <w:rsid w:val="00C30A4E"/>
    <w:rsid w:val="00C411F3"/>
    <w:rsid w:val="00C44105"/>
    <w:rsid w:val="00C523EC"/>
    <w:rsid w:val="00C55A33"/>
    <w:rsid w:val="00C64D49"/>
    <w:rsid w:val="00C66692"/>
    <w:rsid w:val="00C673B5"/>
    <w:rsid w:val="00C7063D"/>
    <w:rsid w:val="00C72339"/>
    <w:rsid w:val="00C76E09"/>
    <w:rsid w:val="00C820BC"/>
    <w:rsid w:val="00C830BC"/>
    <w:rsid w:val="00C8353B"/>
    <w:rsid w:val="00C8524D"/>
    <w:rsid w:val="00C90904"/>
    <w:rsid w:val="00C91123"/>
    <w:rsid w:val="00C95190"/>
    <w:rsid w:val="00CA1595"/>
    <w:rsid w:val="00CA6CC2"/>
    <w:rsid w:val="00CA71FF"/>
    <w:rsid w:val="00CB2393"/>
    <w:rsid w:val="00CB2456"/>
    <w:rsid w:val="00CB5276"/>
    <w:rsid w:val="00CB5BFC"/>
    <w:rsid w:val="00CB68D7"/>
    <w:rsid w:val="00CB785B"/>
    <w:rsid w:val="00CC4A9A"/>
    <w:rsid w:val="00CC7E68"/>
    <w:rsid w:val="00CD3D74"/>
    <w:rsid w:val="00CD7132"/>
    <w:rsid w:val="00CE0E6F"/>
    <w:rsid w:val="00CE3B21"/>
    <w:rsid w:val="00CE56FC"/>
    <w:rsid w:val="00CE7A4D"/>
    <w:rsid w:val="00CF32D2"/>
    <w:rsid w:val="00CF4CFE"/>
    <w:rsid w:val="00CF7D5A"/>
    <w:rsid w:val="00D00E8E"/>
    <w:rsid w:val="00D01116"/>
    <w:rsid w:val="00D02E0F"/>
    <w:rsid w:val="00D03EE8"/>
    <w:rsid w:val="00D10250"/>
    <w:rsid w:val="00D13535"/>
    <w:rsid w:val="00D15497"/>
    <w:rsid w:val="00D17B79"/>
    <w:rsid w:val="00D205F5"/>
    <w:rsid w:val="00D20F2E"/>
    <w:rsid w:val="00D23FEA"/>
    <w:rsid w:val="00D269CA"/>
    <w:rsid w:val="00D30B48"/>
    <w:rsid w:val="00D3168A"/>
    <w:rsid w:val="00D350D1"/>
    <w:rsid w:val="00D46FAA"/>
    <w:rsid w:val="00D47A40"/>
    <w:rsid w:val="00D51D33"/>
    <w:rsid w:val="00D57BB2"/>
    <w:rsid w:val="00D57E57"/>
    <w:rsid w:val="00D6067D"/>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4780"/>
    <w:rsid w:val="00E33F44"/>
    <w:rsid w:val="00E37D48"/>
    <w:rsid w:val="00E401D0"/>
    <w:rsid w:val="00E4225C"/>
    <w:rsid w:val="00E44879"/>
    <w:rsid w:val="00E562A9"/>
    <w:rsid w:val="00E57E7D"/>
    <w:rsid w:val="00E72914"/>
    <w:rsid w:val="00E739C6"/>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134"/>
    <w:rsid w:val="00EF6312"/>
    <w:rsid w:val="00F00C4B"/>
    <w:rsid w:val="00F038B0"/>
    <w:rsid w:val="00F05F34"/>
    <w:rsid w:val="00F22B27"/>
    <w:rsid w:val="00F234A7"/>
    <w:rsid w:val="00F277B6"/>
    <w:rsid w:val="00F27DA5"/>
    <w:rsid w:val="00F37E07"/>
    <w:rsid w:val="00F4182A"/>
    <w:rsid w:val="00F43F93"/>
    <w:rsid w:val="00F464ED"/>
    <w:rsid w:val="00F54380"/>
    <w:rsid w:val="00F54B47"/>
    <w:rsid w:val="00F60EC0"/>
    <w:rsid w:val="00F61247"/>
    <w:rsid w:val="00F61F61"/>
    <w:rsid w:val="00F63191"/>
    <w:rsid w:val="00F6702E"/>
    <w:rsid w:val="00F70E84"/>
    <w:rsid w:val="00F80685"/>
    <w:rsid w:val="00F927D6"/>
    <w:rsid w:val="00F94968"/>
    <w:rsid w:val="00FA092B"/>
    <w:rsid w:val="00FA4F6C"/>
    <w:rsid w:val="00FA6EFD"/>
    <w:rsid w:val="00FB2A8E"/>
    <w:rsid w:val="00FB3791"/>
    <w:rsid w:val="00FB6780"/>
    <w:rsid w:val="00FB74EA"/>
    <w:rsid w:val="00FD0ADB"/>
    <w:rsid w:val="00FD2C9E"/>
    <w:rsid w:val="00FD4786"/>
    <w:rsid w:val="00FD616C"/>
    <w:rsid w:val="00FD6463"/>
    <w:rsid w:val="00FE53F2"/>
    <w:rsid w:val="00FF0A00"/>
    <w:rsid w:val="00FF1C57"/>
    <w:rsid w:val="00FF1D47"/>
    <w:rsid w:val="00FF2581"/>
    <w:rsid w:val="00FF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32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F1D47"/>
    <w:pPr>
      <w:ind w:left="720"/>
      <w:contextualSpacing/>
    </w:pPr>
    <w:rPr>
      <w:rFonts w:ascii="Calibri" w:eastAsia="Calibri" w:hAnsi="Calibri"/>
    </w:rPr>
  </w:style>
  <w:style w:type="paragraph" w:customStyle="1" w:styleId="MemoAddresses">
    <w:name w:val="Memo Addresses"/>
    <w:basedOn w:val="Normal"/>
    <w:next w:val="Normal"/>
    <w:rsid w:val="00E739C6"/>
    <w:pPr>
      <w:spacing w:before="120"/>
      <w:ind w:left="1008" w:hanging="1008"/>
      <w:jc w:val="both"/>
    </w:pPr>
  </w:style>
  <w:style w:type="paragraph" w:customStyle="1" w:styleId="RecommendationMajorSectionHeading">
    <w:name w:val="Recommendation Major Section Heading"/>
    <w:basedOn w:val="Heading1"/>
    <w:next w:val="BodyText"/>
    <w:rsid w:val="00E739C6"/>
    <w:pPr>
      <w:jc w:val="center"/>
    </w:pPr>
    <w:rPr>
      <w:rFonts w:ascii="Arial" w:hAnsi="Arial"/>
      <w:b/>
    </w:rPr>
  </w:style>
  <w:style w:type="character" w:customStyle="1" w:styleId="FootnoteTextChar">
    <w:name w:val="Footnote Text Char"/>
    <w:basedOn w:val="DefaultParagraphFont"/>
    <w:link w:val="FootnoteText"/>
    <w:uiPriority w:val="99"/>
    <w:rsid w:val="00E739C6"/>
  </w:style>
  <w:style w:type="paragraph" w:customStyle="1" w:styleId="First-LevelSubheading">
    <w:name w:val="First-Level Subheading"/>
    <w:basedOn w:val="Normal"/>
    <w:next w:val="BodyText"/>
    <w:qFormat/>
    <w:rsid w:val="00737F17"/>
    <w:pPr>
      <w:jc w:val="both"/>
      <w:outlineLvl w:val="2"/>
    </w:pPr>
    <w:rPr>
      <w:rFonts w:ascii="Arial" w:hAnsi="Arial" w:cs="Arial"/>
      <w:b/>
      <w:bCs/>
      <w:iCs/>
      <w:szCs w:val="28"/>
    </w:rPr>
  </w:style>
  <w:style w:type="paragraph" w:customStyle="1" w:styleId="IssueHeading">
    <w:name w:val="Issue Heading"/>
    <w:basedOn w:val="Heading1"/>
    <w:next w:val="BodyText"/>
    <w:link w:val="IssueHeadingChar"/>
    <w:qFormat/>
    <w:rsid w:val="00E57E7D"/>
    <w:pPr>
      <w:keepNext w:val="0"/>
    </w:pPr>
    <w:rPr>
      <w:rFonts w:ascii="Arial" w:hAnsi="Arial"/>
      <w:b/>
      <w:i/>
    </w:rPr>
  </w:style>
  <w:style w:type="character" w:customStyle="1" w:styleId="IssueHeadingChar">
    <w:name w:val="Issue Heading Char"/>
    <w:link w:val="IssueHeading"/>
    <w:rsid w:val="00E57E7D"/>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57E7D"/>
    <w:pPr>
      <w:keepNext w:val="0"/>
    </w:pPr>
    <w:rPr>
      <w:rFonts w:ascii="Arial" w:hAnsi="Arial"/>
      <w:b/>
      <w:i/>
    </w:rPr>
  </w:style>
  <w:style w:type="character" w:customStyle="1" w:styleId="IssueSubsectionHeadingChar">
    <w:name w:val="Issue Subsection Heading Char"/>
    <w:link w:val="IssueSubsectionHeading"/>
    <w:rsid w:val="00E57E7D"/>
    <w:rPr>
      <w:rFonts w:ascii="Arial" w:hAnsi="Arial" w:cs="Arial"/>
      <w:b/>
      <w:bCs/>
      <w:i/>
      <w:iCs/>
      <w:sz w:val="24"/>
      <w:szCs w:val="28"/>
    </w:rPr>
  </w:style>
  <w:style w:type="character" w:styleId="CommentReference">
    <w:name w:val="annotation reference"/>
    <w:basedOn w:val="DefaultParagraphFont"/>
    <w:semiHidden/>
    <w:unhideWhenUsed/>
    <w:rsid w:val="00C8353B"/>
    <w:rPr>
      <w:sz w:val="16"/>
      <w:szCs w:val="16"/>
    </w:rPr>
  </w:style>
  <w:style w:type="paragraph" w:styleId="CommentText">
    <w:name w:val="annotation text"/>
    <w:basedOn w:val="Normal"/>
    <w:link w:val="CommentTextChar"/>
    <w:semiHidden/>
    <w:unhideWhenUsed/>
    <w:rsid w:val="00C8353B"/>
    <w:rPr>
      <w:sz w:val="20"/>
      <w:szCs w:val="20"/>
    </w:rPr>
  </w:style>
  <w:style w:type="character" w:customStyle="1" w:styleId="CommentTextChar">
    <w:name w:val="Comment Text Char"/>
    <w:basedOn w:val="DefaultParagraphFont"/>
    <w:link w:val="CommentText"/>
    <w:semiHidden/>
    <w:rsid w:val="00C8353B"/>
  </w:style>
  <w:style w:type="paragraph" w:styleId="CommentSubject">
    <w:name w:val="annotation subject"/>
    <w:basedOn w:val="CommentText"/>
    <w:next w:val="CommentText"/>
    <w:link w:val="CommentSubjectChar"/>
    <w:semiHidden/>
    <w:unhideWhenUsed/>
    <w:rsid w:val="00C8353B"/>
    <w:rPr>
      <w:b/>
      <w:bCs/>
    </w:rPr>
  </w:style>
  <w:style w:type="character" w:customStyle="1" w:styleId="CommentSubjectChar">
    <w:name w:val="Comment Subject Char"/>
    <w:basedOn w:val="CommentTextChar"/>
    <w:link w:val="CommentSubject"/>
    <w:semiHidden/>
    <w:rsid w:val="00C8353B"/>
    <w:rPr>
      <w:b/>
      <w:bCs/>
    </w:rPr>
  </w:style>
  <w:style w:type="paragraph" w:styleId="BalloonText">
    <w:name w:val="Balloon Text"/>
    <w:basedOn w:val="Normal"/>
    <w:link w:val="BalloonTextChar"/>
    <w:semiHidden/>
    <w:unhideWhenUsed/>
    <w:rsid w:val="00C8353B"/>
    <w:rPr>
      <w:rFonts w:ascii="Segoe UI" w:hAnsi="Segoe UI" w:cs="Segoe UI"/>
      <w:sz w:val="18"/>
      <w:szCs w:val="18"/>
    </w:rPr>
  </w:style>
  <w:style w:type="character" w:customStyle="1" w:styleId="BalloonTextChar">
    <w:name w:val="Balloon Text Char"/>
    <w:basedOn w:val="DefaultParagraphFont"/>
    <w:link w:val="BalloonText"/>
    <w:semiHidden/>
    <w:rsid w:val="00C83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16</Pages>
  <Words>6388</Words>
  <Characters>36417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2025-09-24T16:30:00Z</dcterms:created>
  <dcterms:modified xsi:type="dcterms:W3CDTF">2025-09-24T16:55:00Z</dcterms:modified>
</cp:coreProperties>
</file>