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420D" w:rsidP="00F4420D">
      <w:pPr>
        <w:pStyle w:val="OrderHeading"/>
      </w:pPr>
      <w:r>
        <w:t>BEFORE THE FLORIDA PUBLIC SERVICE COMMISSION</w:t>
      </w:r>
    </w:p>
    <w:p w:rsidR="00F4420D" w:rsidRDefault="00F4420D" w:rsidP="00F4420D">
      <w:pPr>
        <w:pStyle w:val="OrderHeading"/>
      </w:pPr>
    </w:p>
    <w:p w:rsidR="00F4420D" w:rsidRDefault="00F4420D" w:rsidP="00F442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420D" w:rsidRPr="00C63FCF" w:rsidTr="00C63FCF">
        <w:trPr>
          <w:trHeight w:val="828"/>
        </w:trPr>
        <w:tc>
          <w:tcPr>
            <w:tcW w:w="4788" w:type="dxa"/>
            <w:tcBorders>
              <w:bottom w:val="single" w:sz="8" w:space="0" w:color="auto"/>
              <w:right w:val="double" w:sz="6" w:space="0" w:color="auto"/>
            </w:tcBorders>
            <w:shd w:val="clear" w:color="auto" w:fill="auto"/>
          </w:tcPr>
          <w:p w:rsidR="00F4420D" w:rsidRDefault="00F4420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4420D" w:rsidRDefault="00F4420D" w:rsidP="00F4420D">
            <w:pPr>
              <w:pStyle w:val="OrderBody"/>
            </w:pPr>
            <w:r>
              <w:t xml:space="preserve">DOCKET NO. </w:t>
            </w:r>
            <w:bookmarkStart w:id="1" w:name="SSDocketNo"/>
            <w:bookmarkEnd w:id="1"/>
            <w:r>
              <w:t>150001-EI</w:t>
            </w:r>
          </w:p>
          <w:p w:rsidR="00F4420D" w:rsidRDefault="00F4420D" w:rsidP="00C63FCF">
            <w:pPr>
              <w:pStyle w:val="OrderBody"/>
              <w:tabs>
                <w:tab w:val="center" w:pos="4320"/>
                <w:tab w:val="right" w:pos="8640"/>
              </w:tabs>
              <w:jc w:val="left"/>
            </w:pPr>
            <w:r>
              <w:t xml:space="preserve">ORDER NO. </w:t>
            </w:r>
            <w:bookmarkStart w:id="2" w:name="OrderNo0419"/>
            <w:r w:rsidR="001B7356">
              <w:t>PSC-15-0419-PCO-EI</w:t>
            </w:r>
            <w:bookmarkEnd w:id="2"/>
          </w:p>
          <w:p w:rsidR="00F4420D" w:rsidRDefault="00F4420D" w:rsidP="00C63FCF">
            <w:pPr>
              <w:pStyle w:val="OrderBody"/>
              <w:tabs>
                <w:tab w:val="center" w:pos="4320"/>
                <w:tab w:val="right" w:pos="8640"/>
              </w:tabs>
              <w:jc w:val="left"/>
            </w:pPr>
            <w:r>
              <w:t xml:space="preserve">ISSUED: </w:t>
            </w:r>
            <w:r w:rsidR="001B7356">
              <w:t>October 2, 2015</w:t>
            </w:r>
          </w:p>
        </w:tc>
      </w:tr>
    </w:tbl>
    <w:p w:rsidR="00F4420D" w:rsidRDefault="00F4420D" w:rsidP="00F4420D"/>
    <w:p w:rsidR="00F4420D" w:rsidRDefault="00F4420D" w:rsidP="00F4420D"/>
    <w:p w:rsidR="00CB5276" w:rsidRDefault="00F4420D" w:rsidP="00F4420D">
      <w:pPr>
        <w:pStyle w:val="CenterUnderline"/>
      </w:pPr>
      <w:bookmarkStart w:id="3" w:name="Commissioners"/>
      <w:bookmarkEnd w:id="3"/>
      <w:r>
        <w:t>ORDER</w:t>
      </w:r>
      <w:bookmarkStart w:id="4" w:name="OrderTitle"/>
      <w:r>
        <w:t xml:space="preserve"> GRANTING INCLUSION OF CEDAR BAY ISSUES </w:t>
      </w:r>
      <w:bookmarkEnd w:id="4"/>
    </w:p>
    <w:p w:rsidR="00F4420D" w:rsidRDefault="00F4420D" w:rsidP="00F4420D">
      <w:pPr>
        <w:pStyle w:val="CenterUnderline"/>
      </w:pPr>
    </w:p>
    <w:p w:rsidR="00F4420D" w:rsidRDefault="00F4420D">
      <w:pPr>
        <w:pStyle w:val="OrderBody"/>
      </w:pPr>
      <w:bookmarkStart w:id="5" w:name="OrderText"/>
      <w:bookmarkEnd w:id="5"/>
      <w:r>
        <w:tab/>
        <w:t xml:space="preserve">On September 29, 2015, a noticed, informal meeting was held to develop an issue list for this docket.  At that time, </w:t>
      </w:r>
      <w:r w:rsidR="003601D9">
        <w:t xml:space="preserve">the Florida Industrial Power Users Group (FIPUG) raised </w:t>
      </w:r>
      <w:r>
        <w:t xml:space="preserve">an objection to the inclusion of issues related to the purchase by Florida Power &amp; Light Company </w:t>
      </w:r>
      <w:r w:rsidR="003601D9">
        <w:t xml:space="preserve">(FPL) </w:t>
      </w:r>
      <w:r>
        <w:t>of the Cedar Bay power plant approved by Order No. PSC-15-0401-AS-EI.</w:t>
      </w:r>
      <w:r>
        <w:rPr>
          <w:rStyle w:val="FootnoteReference"/>
        </w:rPr>
        <w:footnoteReference w:id="1"/>
      </w:r>
      <w:r>
        <w:t xml:space="preserve">  The contested issues state as follows:</w:t>
      </w:r>
    </w:p>
    <w:p w:rsidR="00F4420D" w:rsidRDefault="00F4420D">
      <w:pPr>
        <w:pStyle w:val="OrderBody"/>
      </w:pPr>
    </w:p>
    <w:p w:rsidR="00CB5276" w:rsidRDefault="00F4420D" w:rsidP="003601D9">
      <w:pPr>
        <w:pStyle w:val="OrderBody"/>
        <w:ind w:left="1728" w:right="720" w:hanging="1008"/>
      </w:pPr>
      <w:r>
        <w:t>Issue 3P:</w:t>
      </w:r>
      <w:r w:rsidR="003601D9">
        <w:tab/>
      </w:r>
      <w:r>
        <w:t>Has FPL properly reflected in the</w:t>
      </w:r>
      <w:r w:rsidR="003601D9">
        <w:t xml:space="preserve"> </w:t>
      </w:r>
      <w:r>
        <w:t>fuel and purchased power cost recovery</w:t>
      </w:r>
      <w:r w:rsidR="003601D9">
        <w:t xml:space="preserve"> clause the effects of acquiring the Cedar Bay facility and terminating the existing Cedar Bay power purchase agreement consistent with the terms of the settlement agreement between FPL and OPC approved in Docket No. 150075-EI? </w:t>
      </w:r>
    </w:p>
    <w:p w:rsidR="003601D9" w:rsidRDefault="003601D9" w:rsidP="003601D9">
      <w:pPr>
        <w:pStyle w:val="OrderBody"/>
        <w:ind w:left="1728" w:right="720" w:hanging="1008"/>
      </w:pPr>
    </w:p>
    <w:p w:rsidR="003601D9" w:rsidRDefault="003601D9" w:rsidP="003601D9">
      <w:pPr>
        <w:pStyle w:val="OrderBody"/>
        <w:ind w:left="1872" w:right="720" w:hanging="1152"/>
      </w:pPr>
      <w:r>
        <w:t>Issue 14A:</w:t>
      </w:r>
      <w:r>
        <w:tab/>
        <w:t xml:space="preserve">Has FPL properly reflected in its 2016 GPIF targets/ranges the effects of acquiring the Cedar Bay facility and terminating the existing Cedar Bay power purchase agreement consistent with the terms of the settlement agreement between FPL and OPC approved in Docket No. 150075-EI? </w:t>
      </w:r>
    </w:p>
    <w:p w:rsidR="003601D9" w:rsidRDefault="003601D9" w:rsidP="003601D9">
      <w:pPr>
        <w:pStyle w:val="OrderBody"/>
        <w:ind w:left="1728" w:right="720" w:hanging="1008"/>
      </w:pPr>
    </w:p>
    <w:p w:rsidR="003601D9" w:rsidRDefault="003601D9" w:rsidP="003601D9">
      <w:pPr>
        <w:pStyle w:val="OrderBody"/>
        <w:ind w:left="1872" w:right="720" w:hanging="1152"/>
      </w:pPr>
      <w:r>
        <w:t>Issue 25C:</w:t>
      </w:r>
      <w:r w:rsidRPr="003601D9">
        <w:t xml:space="preserve"> </w:t>
      </w:r>
      <w:r>
        <w:t xml:space="preserve">Has FPL properly reflected in the capacity cost recovery clause the effects of acquiring the Cedar Bay facility and terminating the existing Cedar Bay power purchase agreement consistent with the terms of the settlement agreement between FPL and OPC approved in Docket No. 150075-EI? </w:t>
      </w:r>
    </w:p>
    <w:p w:rsidR="003601D9" w:rsidRPr="0052573F" w:rsidRDefault="003601D9" w:rsidP="0052573F">
      <w:pPr>
        <w:jc w:val="both"/>
      </w:pPr>
    </w:p>
    <w:p w:rsidR="008A3454" w:rsidRDefault="003601D9" w:rsidP="0052573F">
      <w:pPr>
        <w:jc w:val="both"/>
      </w:pPr>
      <w:r>
        <w:tab/>
        <w:t>FIPUG argues that th</w:t>
      </w:r>
      <w:r w:rsidR="00EB0926">
        <w:t>e</w:t>
      </w:r>
      <w:r>
        <w:t>s</w:t>
      </w:r>
      <w:r w:rsidR="00EB0926">
        <w:t>e</w:t>
      </w:r>
      <w:r>
        <w:t xml:space="preserve"> issue</w:t>
      </w:r>
      <w:r w:rsidR="00EB0926">
        <w:t>s</w:t>
      </w:r>
      <w:r>
        <w:t xml:space="preserve"> w</w:t>
      </w:r>
      <w:r w:rsidR="00EB0926">
        <w:t>ere</w:t>
      </w:r>
      <w:r>
        <w:t xml:space="preserve"> raised by FPL for the first time in supplemental testimony filed on September 21, 2015</w:t>
      </w:r>
      <w:r w:rsidR="0052573F">
        <w:t xml:space="preserve">, approximately 45 days after the filing dates for testimony related to actual and projected 2015 expenses </w:t>
      </w:r>
      <w:r w:rsidR="000D3B76">
        <w:t xml:space="preserve">(August 4) </w:t>
      </w:r>
      <w:r w:rsidR="0052573F">
        <w:t>and 20 days after testimony related to projected 2016 expenses</w:t>
      </w:r>
      <w:r w:rsidR="000D3B76">
        <w:t xml:space="preserve"> (September 1)</w:t>
      </w:r>
      <w:r w:rsidR="0052573F">
        <w:t xml:space="preserve">.  That being the case, FIPUG argues that it simply has not had adequate time to review the extensive supplemental testimony filed by </w:t>
      </w:r>
      <w:r w:rsidR="004D2A63">
        <w:t>four</w:t>
      </w:r>
      <w:r w:rsidR="0052573F">
        <w:t xml:space="preserve"> FPL witnesses: Gerard J. Yupp, Don Grissette, Terry Keith, and Charles Rote.  FPL states that on September 17, 2015</w:t>
      </w:r>
      <w:r w:rsidR="00AA5BD9">
        <w:t>,</w:t>
      </w:r>
      <w:r w:rsidR="0052573F">
        <w:t xml:space="preserve"> it finalized its purchase of the Cedar Bay facility and that </w:t>
      </w:r>
      <w:r w:rsidR="000D3B76">
        <w:t xml:space="preserve">the data contained in its earlier September 1 testimony reflected its purchase of power from the Cedar Bay facility rather than the capital and operational expenses of the Cedar Bay facility.  Thus, its </w:t>
      </w:r>
      <w:r w:rsidR="000D3B76">
        <w:lastRenderedPageBreak/>
        <w:t>September 1 testimony does not accurately reflect current financial data and projections.  FPL also notes that the fuel cost recovery factor it is requesting in its September 21 testimony is lower than that requested in</w:t>
      </w:r>
      <w:r w:rsidR="008A3454">
        <w:t xml:space="preserve"> its earlier testimony.  That being the case, FPL argues that deferring consideration of these issues results in its </w:t>
      </w:r>
      <w:r w:rsidR="000C4BE3">
        <w:t xml:space="preserve">overcharging its </w:t>
      </w:r>
      <w:r w:rsidR="008A3454">
        <w:t>ratepayers</w:t>
      </w:r>
      <w:r w:rsidR="000C4BE3">
        <w:t xml:space="preserve"> now and generating refunds next year.</w:t>
      </w:r>
      <w:r w:rsidR="008A3454">
        <w:t xml:space="preserve"> </w:t>
      </w:r>
    </w:p>
    <w:p w:rsidR="008A3454" w:rsidRDefault="008A3454" w:rsidP="0052573F">
      <w:pPr>
        <w:jc w:val="both"/>
      </w:pPr>
    </w:p>
    <w:p w:rsidR="000C4BE3" w:rsidRDefault="008A3454" w:rsidP="0052573F">
      <w:pPr>
        <w:jc w:val="both"/>
      </w:pPr>
      <w:r>
        <w:tab/>
        <w:t xml:space="preserve">Having given this matter due consideration, I find the better course of action is to include these issues.  Deciding these issues now matches the actual expenses </w:t>
      </w:r>
      <w:r w:rsidR="000C4BE3">
        <w:t xml:space="preserve">already incurred by </w:t>
      </w:r>
      <w:r w:rsidR="004D35B8">
        <w:t xml:space="preserve">FPL for </w:t>
      </w:r>
      <w:r w:rsidR="000C4BE3">
        <w:t xml:space="preserve">the purchase of Cedar Bay and the </w:t>
      </w:r>
      <w:r>
        <w:t xml:space="preserve">projected </w:t>
      </w:r>
      <w:r w:rsidR="004D35B8">
        <w:t xml:space="preserve">expenses </w:t>
      </w:r>
      <w:r>
        <w:t xml:space="preserve">to be incurred by the utility </w:t>
      </w:r>
      <w:r w:rsidR="004D35B8">
        <w:t>in 2016,</w:t>
      </w:r>
      <w:r w:rsidR="000C4BE3">
        <w:t xml:space="preserve"> with the rates charged FPL’s customers</w:t>
      </w:r>
      <w:r w:rsidR="004D35B8">
        <w:t xml:space="preserve"> during that same time period</w:t>
      </w:r>
      <w:r w:rsidR="000C4BE3">
        <w:t>.</w:t>
      </w:r>
      <w:r w:rsidR="004D35B8">
        <w:t xml:space="preserve">  However, all parties should have an opportunity to file testimony in response to FPL’s September 21 testimony which includes the purchase of Cedar Bay and to conduct discovery on Cedar Bay’s included costs and projected costs.  Therefore, I will allow all intervenors to file supplemental direct testimony limited to the Cedar Bay issues on October 5, 2015, and FPL to file supplemental rebuttal to the intervenor’s Cedar Bay supplemental testimony on October 16, 2015.</w:t>
      </w:r>
      <w:r w:rsidR="00E410DD">
        <w:t xml:space="preserve">  Further, discovery shall be extended until October 23, 2015 for the purposes of the Cedar Bay issue</w:t>
      </w:r>
      <w:r w:rsidR="00EB0926">
        <w:t>s</w:t>
      </w:r>
      <w:r w:rsidR="00E410DD">
        <w:t xml:space="preserve"> only. </w:t>
      </w:r>
      <w:r w:rsidR="004D35B8">
        <w:t xml:space="preserve">     </w:t>
      </w:r>
      <w:r w:rsidR="000C4BE3">
        <w:t xml:space="preserve">  </w:t>
      </w:r>
    </w:p>
    <w:p w:rsidR="000C4BE3" w:rsidRDefault="000C4BE3" w:rsidP="0052573F">
      <w:pPr>
        <w:jc w:val="both"/>
      </w:pPr>
    </w:p>
    <w:p w:rsidR="00CB5276" w:rsidRDefault="000C4BE3" w:rsidP="0052573F">
      <w:pPr>
        <w:jc w:val="both"/>
      </w:pPr>
      <w:r>
        <w:tab/>
      </w:r>
      <w:r w:rsidR="004D35B8">
        <w:t>Therefore</w:t>
      </w:r>
      <w:r>
        <w:t>, it is</w:t>
      </w:r>
    </w:p>
    <w:p w:rsidR="000C4BE3" w:rsidRDefault="000C4BE3" w:rsidP="0052573F">
      <w:pPr>
        <w:jc w:val="both"/>
      </w:pPr>
    </w:p>
    <w:p w:rsidR="004D35B8" w:rsidRDefault="000C4BE3" w:rsidP="0052573F">
      <w:pPr>
        <w:jc w:val="both"/>
      </w:pPr>
      <w:r>
        <w:tab/>
        <w:t>ORDERED that Issues 3P, 14A and 25C shall be included as issues to be decided in this docket.</w:t>
      </w:r>
      <w:r w:rsidR="004D35B8">
        <w:t xml:space="preserve">  It is  further</w:t>
      </w:r>
    </w:p>
    <w:p w:rsidR="004D35B8" w:rsidRDefault="004D35B8" w:rsidP="0052573F">
      <w:pPr>
        <w:jc w:val="both"/>
      </w:pPr>
    </w:p>
    <w:p w:rsidR="00644947" w:rsidRDefault="004D35B8" w:rsidP="0052573F">
      <w:pPr>
        <w:jc w:val="both"/>
      </w:pPr>
      <w:r>
        <w:tab/>
        <w:t>ORDERED that intervenors will have until October 5, 2015, to file supplemental direct testimony limited to the Cedar Bay issues and Florida Power &amp; Light Company will have until October 16, 2015</w:t>
      </w:r>
      <w:r w:rsidR="004D2A63">
        <w:t>,</w:t>
      </w:r>
      <w:r>
        <w:t xml:space="preserve"> to file rebuttal testimony </w:t>
      </w:r>
      <w:r w:rsidR="00644947">
        <w:t>to the intervenor’s Cedar Bay supplemental testimony on October 16, 2015.</w:t>
      </w:r>
      <w:r w:rsidR="00E410DD">
        <w:t xml:space="preserve">  It is further</w:t>
      </w:r>
    </w:p>
    <w:p w:rsidR="00E410DD" w:rsidRDefault="00E410DD" w:rsidP="0052573F">
      <w:pPr>
        <w:jc w:val="both"/>
      </w:pPr>
    </w:p>
    <w:p w:rsidR="00E410DD" w:rsidRDefault="00E410DD" w:rsidP="0052573F">
      <w:pPr>
        <w:jc w:val="both"/>
      </w:pPr>
      <w:r>
        <w:tab/>
        <w:t>ORDERED that discovery will be extended until October 23, 2015 for the purposes of the Cedar Bay issues only.</w:t>
      </w:r>
    </w:p>
    <w:p w:rsidR="00644947" w:rsidRDefault="00644947" w:rsidP="0052573F">
      <w:pPr>
        <w:jc w:val="both"/>
      </w:pPr>
    </w:p>
    <w:p w:rsidR="00644947" w:rsidRDefault="00644947" w:rsidP="00644947">
      <w:pPr>
        <w:keepNext/>
        <w:keepLines/>
        <w:jc w:val="both"/>
      </w:pPr>
      <w:r>
        <w:lastRenderedPageBreak/>
        <w:tab/>
        <w:t xml:space="preserve">By ORDER of Chairman Art Graham, as Presiding Officer, this </w:t>
      </w:r>
      <w:bookmarkStart w:id="6" w:name="replaceDate"/>
      <w:bookmarkEnd w:id="6"/>
      <w:r w:rsidR="001B7356">
        <w:rPr>
          <w:u w:val="single"/>
        </w:rPr>
        <w:t>2nd</w:t>
      </w:r>
      <w:r w:rsidR="001B7356">
        <w:t xml:space="preserve"> day of </w:t>
      </w:r>
      <w:r w:rsidR="001B7356">
        <w:rPr>
          <w:u w:val="single"/>
        </w:rPr>
        <w:t>October</w:t>
      </w:r>
      <w:r w:rsidR="001B7356">
        <w:t xml:space="preserve">, </w:t>
      </w:r>
      <w:r w:rsidR="001B7356">
        <w:rPr>
          <w:u w:val="single"/>
        </w:rPr>
        <w:t>2015</w:t>
      </w:r>
      <w:r w:rsidR="001B7356">
        <w:t>.</w:t>
      </w:r>
    </w:p>
    <w:p w:rsidR="001B7356" w:rsidRPr="001B7356" w:rsidRDefault="001B7356" w:rsidP="0064494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44947" w:rsidTr="00644947">
        <w:tc>
          <w:tcPr>
            <w:tcW w:w="720" w:type="dxa"/>
            <w:shd w:val="clear" w:color="auto" w:fill="auto"/>
          </w:tcPr>
          <w:p w:rsidR="00644947" w:rsidRDefault="00644947" w:rsidP="00644947">
            <w:pPr>
              <w:keepNext/>
              <w:keepLines/>
              <w:jc w:val="both"/>
            </w:pPr>
            <w:bookmarkStart w:id="7" w:name="bkmrkSignature" w:colFirst="0" w:colLast="0"/>
          </w:p>
        </w:tc>
        <w:tc>
          <w:tcPr>
            <w:tcW w:w="4320" w:type="dxa"/>
            <w:tcBorders>
              <w:bottom w:val="single" w:sz="4" w:space="0" w:color="auto"/>
            </w:tcBorders>
            <w:shd w:val="clear" w:color="auto" w:fill="auto"/>
          </w:tcPr>
          <w:p w:rsidR="00644947" w:rsidRDefault="001B7356" w:rsidP="00644947">
            <w:pPr>
              <w:keepNext/>
              <w:keepLines/>
              <w:jc w:val="both"/>
            </w:pPr>
            <w:r>
              <w:t>/s/ Art Graham</w:t>
            </w:r>
            <w:bookmarkStart w:id="8" w:name="_GoBack"/>
            <w:bookmarkEnd w:id="8"/>
          </w:p>
        </w:tc>
      </w:tr>
      <w:bookmarkEnd w:id="7"/>
      <w:tr w:rsidR="00644947" w:rsidTr="00644947">
        <w:tc>
          <w:tcPr>
            <w:tcW w:w="720" w:type="dxa"/>
            <w:shd w:val="clear" w:color="auto" w:fill="auto"/>
          </w:tcPr>
          <w:p w:rsidR="00644947" w:rsidRDefault="00644947" w:rsidP="00644947">
            <w:pPr>
              <w:keepNext/>
              <w:keepLines/>
              <w:jc w:val="both"/>
            </w:pPr>
          </w:p>
        </w:tc>
        <w:tc>
          <w:tcPr>
            <w:tcW w:w="4320" w:type="dxa"/>
            <w:tcBorders>
              <w:top w:val="single" w:sz="4" w:space="0" w:color="auto"/>
            </w:tcBorders>
            <w:shd w:val="clear" w:color="auto" w:fill="auto"/>
          </w:tcPr>
          <w:p w:rsidR="00644947" w:rsidRDefault="00644947" w:rsidP="00644947">
            <w:pPr>
              <w:keepNext/>
              <w:keepLines/>
              <w:jc w:val="both"/>
            </w:pPr>
            <w:r>
              <w:t>ART GRAHAM</w:t>
            </w:r>
          </w:p>
          <w:p w:rsidR="00644947" w:rsidRDefault="00644947" w:rsidP="00644947">
            <w:pPr>
              <w:keepNext/>
              <w:keepLines/>
              <w:jc w:val="both"/>
            </w:pPr>
            <w:r>
              <w:t>Chairman and Presiding Officer</w:t>
            </w:r>
          </w:p>
        </w:tc>
      </w:tr>
    </w:tbl>
    <w:p w:rsidR="00644947" w:rsidRDefault="00644947" w:rsidP="00644947">
      <w:pPr>
        <w:pStyle w:val="OrderSigInfo"/>
        <w:keepNext/>
        <w:keepLines/>
      </w:pPr>
      <w:r>
        <w:t>Florida Public Service Commission</w:t>
      </w:r>
    </w:p>
    <w:p w:rsidR="00644947" w:rsidRDefault="00644947" w:rsidP="00644947">
      <w:pPr>
        <w:pStyle w:val="OrderSigInfo"/>
        <w:keepNext/>
        <w:keepLines/>
      </w:pPr>
      <w:r>
        <w:t>2540 Shumard Oak Boulevard</w:t>
      </w:r>
    </w:p>
    <w:p w:rsidR="00644947" w:rsidRDefault="00644947" w:rsidP="00644947">
      <w:pPr>
        <w:pStyle w:val="OrderSigInfo"/>
        <w:keepNext/>
        <w:keepLines/>
      </w:pPr>
      <w:r>
        <w:t>Tallahassee, Florida  32399</w:t>
      </w:r>
    </w:p>
    <w:p w:rsidR="00644947" w:rsidRDefault="00644947" w:rsidP="00644947">
      <w:pPr>
        <w:pStyle w:val="OrderSigInfo"/>
        <w:keepNext/>
        <w:keepLines/>
      </w:pPr>
      <w:r>
        <w:t>(850) 413</w:t>
      </w:r>
      <w:r>
        <w:noBreakHyphen/>
        <w:t>6770</w:t>
      </w:r>
    </w:p>
    <w:p w:rsidR="00644947" w:rsidRDefault="00644947" w:rsidP="00644947">
      <w:pPr>
        <w:pStyle w:val="OrderSigInfo"/>
        <w:keepNext/>
        <w:keepLines/>
      </w:pPr>
      <w:r>
        <w:t>www.floridapsc.com</w:t>
      </w:r>
    </w:p>
    <w:p w:rsidR="00644947" w:rsidRDefault="00644947" w:rsidP="00644947">
      <w:pPr>
        <w:pStyle w:val="OrderSigInfo"/>
        <w:keepNext/>
        <w:keepLines/>
      </w:pPr>
    </w:p>
    <w:p w:rsidR="00644947" w:rsidRDefault="00644947" w:rsidP="00644947">
      <w:pPr>
        <w:pStyle w:val="OrderSigInfo"/>
        <w:keepNext/>
        <w:keepLines/>
      </w:pPr>
      <w:r>
        <w:t>Copies furnished:  A copy of this document is provided to the parties of record at the time of issuance and, if applicable, interested persons.</w:t>
      </w:r>
    </w:p>
    <w:p w:rsidR="00644947" w:rsidRDefault="00644947" w:rsidP="00644947">
      <w:pPr>
        <w:pStyle w:val="OrderBody"/>
        <w:keepNext/>
        <w:keepLines/>
      </w:pPr>
    </w:p>
    <w:p w:rsidR="00644947" w:rsidRDefault="00644947" w:rsidP="00644947">
      <w:pPr>
        <w:keepNext/>
        <w:keepLines/>
        <w:jc w:val="both"/>
      </w:pPr>
      <w:r>
        <w:t>SBr</w:t>
      </w:r>
    </w:p>
    <w:p w:rsidR="00644947" w:rsidRDefault="00644947">
      <w:r>
        <w:br w:type="page"/>
      </w:r>
    </w:p>
    <w:p w:rsidR="00644947" w:rsidRDefault="00644947" w:rsidP="00644947">
      <w:pPr>
        <w:pStyle w:val="CenterUnderline"/>
      </w:pPr>
      <w:r>
        <w:lastRenderedPageBreak/>
        <w:t>NOTICE OF FURTHER PROCEEDINGS OR JUDICIAL REVIEW</w:t>
      </w:r>
    </w:p>
    <w:p w:rsidR="00644947" w:rsidRDefault="00644947" w:rsidP="00644947">
      <w:pPr>
        <w:pStyle w:val="CenterUnderline"/>
      </w:pPr>
    </w:p>
    <w:p w:rsidR="00644947" w:rsidRDefault="00644947" w:rsidP="0064494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4947" w:rsidRDefault="00644947" w:rsidP="00644947">
      <w:pPr>
        <w:pStyle w:val="OrderBody"/>
      </w:pPr>
    </w:p>
    <w:p w:rsidR="00644947" w:rsidRDefault="00644947" w:rsidP="00644947">
      <w:pPr>
        <w:pStyle w:val="OrderBody"/>
      </w:pPr>
      <w:r>
        <w:tab/>
        <w:t>Mediation may be available on a case-by-case basis.  If mediation is conducted, it does not affect a substantially interested person's right to a hearing.</w:t>
      </w:r>
    </w:p>
    <w:p w:rsidR="00644947" w:rsidRDefault="00644947" w:rsidP="00644947">
      <w:pPr>
        <w:pStyle w:val="OrderBody"/>
      </w:pPr>
    </w:p>
    <w:p w:rsidR="00644947" w:rsidRDefault="00644947" w:rsidP="0064494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44947" w:rsidRDefault="00644947" w:rsidP="00644947">
      <w:pPr>
        <w:pStyle w:val="OrderBody"/>
      </w:pPr>
    </w:p>
    <w:p w:rsidR="00644947" w:rsidRDefault="00644947" w:rsidP="00644947">
      <w:pPr>
        <w:pStyle w:val="OrderBody"/>
      </w:pPr>
    </w:p>
    <w:p w:rsidR="00644947" w:rsidRDefault="00644947" w:rsidP="00644947">
      <w:pPr>
        <w:pStyle w:val="OrderBody"/>
      </w:pPr>
    </w:p>
    <w:sectPr w:rsidR="0064494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0D" w:rsidRDefault="00F4420D">
      <w:r>
        <w:separator/>
      </w:r>
    </w:p>
  </w:endnote>
  <w:endnote w:type="continuationSeparator" w:id="0">
    <w:p w:rsidR="00F4420D" w:rsidRDefault="00F4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0D" w:rsidRDefault="00F4420D">
      <w:r>
        <w:separator/>
      </w:r>
    </w:p>
  </w:footnote>
  <w:footnote w:type="continuationSeparator" w:id="0">
    <w:p w:rsidR="00F4420D" w:rsidRDefault="00F4420D">
      <w:r>
        <w:continuationSeparator/>
      </w:r>
    </w:p>
  </w:footnote>
  <w:footnote w:id="1">
    <w:p w:rsidR="00F4420D" w:rsidRPr="00F4420D" w:rsidRDefault="00F4420D">
      <w:pPr>
        <w:pStyle w:val="FootnoteText"/>
        <w:rPr>
          <w:i/>
          <w:u w:val="single"/>
        </w:rPr>
      </w:pPr>
      <w:r>
        <w:rPr>
          <w:rStyle w:val="FootnoteReference"/>
        </w:rPr>
        <w:footnoteRef/>
      </w:r>
      <w:r>
        <w:t xml:space="preserve"> Order No. PSC-15-0401-AS-EI, issued on September 23, 2015, in Docket No. 150075-EI, </w:t>
      </w:r>
      <w:r>
        <w:rPr>
          <w:u w:val="single"/>
        </w:rPr>
        <w:t>In re: Petition for approval of arrangement to mitigate impact of unfavorable Cedar Bay power purchase obligation by Florida Power &amp; Light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9 ">
      <w:r w:rsidR="001B7356">
        <w:t>PSC-15-0419-PCO-EI</w:t>
      </w:r>
    </w:fldSimple>
  </w:p>
  <w:p w:rsidR="00FA6EFD" w:rsidRDefault="00F4420D">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735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F4420D"/>
    <w:rsid w:val="000022B8"/>
    <w:rsid w:val="00053AB9"/>
    <w:rsid w:val="00056229"/>
    <w:rsid w:val="00065FC2"/>
    <w:rsid w:val="00090AFC"/>
    <w:rsid w:val="000C4BE3"/>
    <w:rsid w:val="000D06E8"/>
    <w:rsid w:val="000D3B76"/>
    <w:rsid w:val="000E344D"/>
    <w:rsid w:val="000F3B2C"/>
    <w:rsid w:val="000F7BE3"/>
    <w:rsid w:val="00116AD3"/>
    <w:rsid w:val="00126593"/>
    <w:rsid w:val="00142A96"/>
    <w:rsid w:val="00187E32"/>
    <w:rsid w:val="00194E81"/>
    <w:rsid w:val="001A33C9"/>
    <w:rsid w:val="001B7356"/>
    <w:rsid w:val="001D008A"/>
    <w:rsid w:val="002002ED"/>
    <w:rsid w:val="0022721A"/>
    <w:rsid w:val="00230BB9"/>
    <w:rsid w:val="00252B30"/>
    <w:rsid w:val="002A11AC"/>
    <w:rsid w:val="002A6F30"/>
    <w:rsid w:val="002D7D15"/>
    <w:rsid w:val="00303FDE"/>
    <w:rsid w:val="003140E8"/>
    <w:rsid w:val="003231C7"/>
    <w:rsid w:val="00331ED0"/>
    <w:rsid w:val="0035495B"/>
    <w:rsid w:val="003601D9"/>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A63"/>
    <w:rsid w:val="004D2D1B"/>
    <w:rsid w:val="004D35B8"/>
    <w:rsid w:val="004F2DDE"/>
    <w:rsid w:val="0050097F"/>
    <w:rsid w:val="00514B1F"/>
    <w:rsid w:val="0052573F"/>
    <w:rsid w:val="00556A10"/>
    <w:rsid w:val="005963C2"/>
    <w:rsid w:val="005B45F7"/>
    <w:rsid w:val="005B63EA"/>
    <w:rsid w:val="00644947"/>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3454"/>
    <w:rsid w:val="008C6A5B"/>
    <w:rsid w:val="008E26A5"/>
    <w:rsid w:val="008E42D2"/>
    <w:rsid w:val="009040EE"/>
    <w:rsid w:val="009057FD"/>
    <w:rsid w:val="00922A7F"/>
    <w:rsid w:val="00923A5E"/>
    <w:rsid w:val="00994100"/>
    <w:rsid w:val="009D4C29"/>
    <w:rsid w:val="00A62DAB"/>
    <w:rsid w:val="00A726A6"/>
    <w:rsid w:val="00A97535"/>
    <w:rsid w:val="00AA5BD9"/>
    <w:rsid w:val="00AA73F1"/>
    <w:rsid w:val="00AB0E1A"/>
    <w:rsid w:val="00AB1A30"/>
    <w:rsid w:val="00AD1ED3"/>
    <w:rsid w:val="00B0777D"/>
    <w:rsid w:val="00B4057A"/>
    <w:rsid w:val="00B40894"/>
    <w:rsid w:val="00B45E75"/>
    <w:rsid w:val="00B5053F"/>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0B1B"/>
    <w:rsid w:val="00D46FAA"/>
    <w:rsid w:val="00D57BB2"/>
    <w:rsid w:val="00D8560E"/>
    <w:rsid w:val="00D8758F"/>
    <w:rsid w:val="00DC1D94"/>
    <w:rsid w:val="00DE057F"/>
    <w:rsid w:val="00DE2082"/>
    <w:rsid w:val="00DE2289"/>
    <w:rsid w:val="00E04410"/>
    <w:rsid w:val="00E11351"/>
    <w:rsid w:val="00E410DD"/>
    <w:rsid w:val="00EA172C"/>
    <w:rsid w:val="00EA259B"/>
    <w:rsid w:val="00EA35A3"/>
    <w:rsid w:val="00EA3E6A"/>
    <w:rsid w:val="00EB0926"/>
    <w:rsid w:val="00EB18EF"/>
    <w:rsid w:val="00EE17DF"/>
    <w:rsid w:val="00EF4621"/>
    <w:rsid w:val="00F277B6"/>
    <w:rsid w:val="00F4420D"/>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A9C40-2F51-4839-9B94-382D5FBB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982</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2015-10-02T15:12:00Z</dcterms:created>
  <dcterms:modified xsi:type="dcterms:W3CDTF">2015-10-02T15:26:00Z</dcterms:modified>
</cp:coreProperties>
</file>