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B7B46" w:rsidRDefault="00BB7B46" w:rsidP="00BB7B46">
      <w:pPr>
        <w:pStyle w:val="OrderHeading"/>
      </w:pPr>
      <w:bookmarkStart w:id="0" w:name="_GoBack"/>
      <w:bookmarkEnd w:id="0"/>
      <w:r>
        <w:t>B</w:t>
      </w:r>
      <w:r w:rsidRPr="00BB7B46">
        <w:t>EFORE THE FLORIDA PUBLIC SERVICE COMMISSION</w:t>
      </w:r>
    </w:p>
    <w:p w:rsidR="00BB7B46" w:rsidRPr="00BB7B46" w:rsidRDefault="00BB7B46" w:rsidP="00BB7B46">
      <w:pPr>
        <w:pStyle w:val="OrderHeading"/>
      </w:pPr>
    </w:p>
    <w:p w:rsidR="00BB7B46" w:rsidRPr="00BB7B46" w:rsidRDefault="00BB7B46" w:rsidP="00BB7B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7B46" w:rsidRPr="00BB7B46" w:rsidTr="00C63FCF">
        <w:trPr>
          <w:trHeight w:val="828"/>
        </w:trPr>
        <w:tc>
          <w:tcPr>
            <w:tcW w:w="4788" w:type="dxa"/>
            <w:tcBorders>
              <w:bottom w:val="single" w:sz="8" w:space="0" w:color="auto"/>
              <w:right w:val="double" w:sz="6" w:space="0" w:color="auto"/>
            </w:tcBorders>
            <w:shd w:val="clear" w:color="auto" w:fill="auto"/>
          </w:tcPr>
          <w:p w:rsidR="00BB7B46" w:rsidRPr="00BB7B46" w:rsidRDefault="00BB7B46" w:rsidP="00C63FCF">
            <w:pPr>
              <w:pStyle w:val="OrderBody"/>
              <w:tabs>
                <w:tab w:val="center" w:pos="4320"/>
                <w:tab w:val="right" w:pos="8640"/>
              </w:tabs>
              <w:jc w:val="left"/>
            </w:pPr>
            <w:r w:rsidRPr="00BB7B46">
              <w:t xml:space="preserve">In re: </w:t>
            </w:r>
            <w:bookmarkStart w:id="1" w:name="SSInRe"/>
            <w:bookmarkEnd w:id="1"/>
            <w:r w:rsidRPr="00BB7B46">
              <w:t>Petition for determination of need for Duval-Raven 230 kV transmission line in Baker, Columbia, Duval, and Nassau Counties, by Florida Power &amp; Light Company.</w:t>
            </w:r>
          </w:p>
        </w:tc>
        <w:tc>
          <w:tcPr>
            <w:tcW w:w="4788" w:type="dxa"/>
            <w:tcBorders>
              <w:left w:val="double" w:sz="6" w:space="0" w:color="auto"/>
            </w:tcBorders>
            <w:shd w:val="clear" w:color="auto" w:fill="auto"/>
          </w:tcPr>
          <w:p w:rsidR="00BB7B46" w:rsidRPr="00BB7B46" w:rsidRDefault="00BB7B46" w:rsidP="00BB7B46">
            <w:pPr>
              <w:pStyle w:val="OrderBody"/>
            </w:pPr>
            <w:r w:rsidRPr="00BB7B46">
              <w:t xml:space="preserve">DOCKET NO. </w:t>
            </w:r>
            <w:bookmarkStart w:id="2" w:name="SSDocketNo"/>
            <w:bookmarkEnd w:id="2"/>
            <w:r w:rsidRPr="00BB7B46">
              <w:t>150263-EI</w:t>
            </w:r>
          </w:p>
          <w:p w:rsidR="00BB7B46" w:rsidRPr="00BB7B46" w:rsidRDefault="00BB7B46" w:rsidP="00C63FCF">
            <w:pPr>
              <w:pStyle w:val="OrderBody"/>
              <w:tabs>
                <w:tab w:val="center" w:pos="4320"/>
                <w:tab w:val="right" w:pos="8640"/>
              </w:tabs>
              <w:jc w:val="left"/>
            </w:pPr>
            <w:r w:rsidRPr="00BB7B46">
              <w:t xml:space="preserve">ORDER NO. </w:t>
            </w:r>
            <w:bookmarkStart w:id="3" w:name="OrderNo0077"/>
            <w:r w:rsidR="001F28C5">
              <w:t>PSC-16-0077-PHO-EI</w:t>
            </w:r>
            <w:bookmarkEnd w:id="3"/>
          </w:p>
          <w:p w:rsidR="00BB7B46" w:rsidRPr="00BB7B46" w:rsidRDefault="00BB7B46" w:rsidP="00C63FCF">
            <w:pPr>
              <w:pStyle w:val="OrderBody"/>
              <w:tabs>
                <w:tab w:val="center" w:pos="4320"/>
                <w:tab w:val="right" w:pos="8640"/>
              </w:tabs>
              <w:jc w:val="left"/>
            </w:pPr>
            <w:r w:rsidRPr="00BB7B46">
              <w:t xml:space="preserve">ISSUED: </w:t>
            </w:r>
            <w:r w:rsidR="001F28C5">
              <w:t>February 18, 2016</w:t>
            </w:r>
          </w:p>
        </w:tc>
      </w:tr>
    </w:tbl>
    <w:p w:rsidR="00CB5276" w:rsidRPr="00BB7B46" w:rsidRDefault="00BB7B46" w:rsidP="00BB7B46">
      <w:pPr>
        <w:pStyle w:val="CenterUnderline"/>
      </w:pPr>
      <w:bookmarkStart w:id="4" w:name="Commissioners"/>
      <w:bookmarkStart w:id="5" w:name="OrderTitle"/>
      <w:bookmarkEnd w:id="4"/>
      <w:r w:rsidRPr="00BB7B46">
        <w:t xml:space="preserve"> </w:t>
      </w:r>
      <w:bookmarkEnd w:id="5"/>
    </w:p>
    <w:p w:rsidR="00CB5276" w:rsidRPr="00BB7B46" w:rsidRDefault="00CB5276">
      <w:pPr>
        <w:pStyle w:val="OrderBody"/>
      </w:pPr>
      <w:bookmarkStart w:id="6" w:name="OrderText"/>
      <w:bookmarkEnd w:id="6"/>
    </w:p>
    <w:p w:rsidR="00BB7B46" w:rsidRPr="00BB7B46" w:rsidRDefault="00BB7B46" w:rsidP="00BB7B46">
      <w:pPr>
        <w:ind w:firstLine="720"/>
        <w:jc w:val="both"/>
      </w:pPr>
      <w:r w:rsidRPr="00BB7B46">
        <w:t xml:space="preserve">Pursuant to Notice and in accordance with Rule 28-106.209, Florida Administrative Code (F.A.C.), a Prehearing Conference was held on </w:t>
      </w:r>
      <w:r>
        <w:t>February 10, 2016</w:t>
      </w:r>
      <w:r w:rsidRPr="00BB7B46">
        <w:t xml:space="preserve">, in Tallahassee, Florida, before Commissioner </w:t>
      </w:r>
      <w:r>
        <w:t xml:space="preserve">Jimmy </w:t>
      </w:r>
      <w:proofErr w:type="spellStart"/>
      <w:r>
        <w:t>Patronis</w:t>
      </w:r>
      <w:proofErr w:type="spellEnd"/>
      <w:r w:rsidRPr="00BB7B46">
        <w:t>, as Prehearing Officer.</w:t>
      </w:r>
    </w:p>
    <w:p w:rsidR="00BB7B46" w:rsidRPr="00BB7B46" w:rsidRDefault="00BB7B46" w:rsidP="00BB7B46">
      <w:pPr>
        <w:jc w:val="both"/>
      </w:pPr>
    </w:p>
    <w:p w:rsidR="00BB7B46" w:rsidRPr="00BB7B46" w:rsidRDefault="00BB7B46" w:rsidP="00BB7B46">
      <w:pPr>
        <w:jc w:val="both"/>
      </w:pPr>
      <w:r w:rsidRPr="00BB7B46">
        <w:t>APPEARANCES:</w:t>
      </w:r>
    </w:p>
    <w:p w:rsidR="00BB7B46" w:rsidRPr="00BB7B46" w:rsidRDefault="00BB7B46" w:rsidP="00BB7B46">
      <w:pPr>
        <w:jc w:val="both"/>
      </w:pPr>
    </w:p>
    <w:p w:rsidR="00BB7B46" w:rsidRPr="00BB7B46" w:rsidRDefault="00BB7B46" w:rsidP="00BB7B46">
      <w:pPr>
        <w:ind w:left="1440"/>
        <w:jc w:val="both"/>
      </w:pPr>
      <w:r>
        <w:t>William P. Cox</w:t>
      </w:r>
      <w:r w:rsidRPr="00BB7B46">
        <w:t xml:space="preserve">, ESQUIRE, </w:t>
      </w:r>
      <w:r>
        <w:t>700 Universe Blvd., Juno Beach, Florida 33408</w:t>
      </w:r>
    </w:p>
    <w:p w:rsidR="00BB7B46" w:rsidRPr="00BB7B46" w:rsidRDefault="00BB7B46" w:rsidP="00BB7B46">
      <w:pPr>
        <w:ind w:left="720" w:firstLine="720"/>
        <w:jc w:val="both"/>
      </w:pPr>
      <w:r w:rsidRPr="00BB7B46">
        <w:rPr>
          <w:u w:val="single"/>
        </w:rPr>
        <w:t xml:space="preserve">On behalf of </w:t>
      </w:r>
      <w:r>
        <w:rPr>
          <w:u w:val="single"/>
        </w:rPr>
        <w:t>Florida Power &amp; Light Company</w:t>
      </w:r>
      <w:r w:rsidRPr="00BB7B46">
        <w:rPr>
          <w:u w:val="single"/>
        </w:rPr>
        <w:t xml:space="preserve"> (</w:t>
      </w:r>
      <w:r>
        <w:rPr>
          <w:u w:val="single"/>
        </w:rPr>
        <w:t>FPL</w:t>
      </w:r>
      <w:r w:rsidRPr="00BB7B46">
        <w:rPr>
          <w:u w:val="single"/>
        </w:rPr>
        <w:t>)</w:t>
      </w:r>
      <w:r w:rsidRPr="00BB7B46">
        <w:t>.</w:t>
      </w:r>
    </w:p>
    <w:p w:rsidR="00BB7B46" w:rsidRPr="00BB7B46" w:rsidRDefault="00BB7B46" w:rsidP="00BB7B46">
      <w:pPr>
        <w:jc w:val="both"/>
      </w:pPr>
    </w:p>
    <w:p w:rsidR="00BB7B46" w:rsidRPr="00BB7B46" w:rsidRDefault="00BB7B46" w:rsidP="00BB7B46">
      <w:pPr>
        <w:ind w:left="1440"/>
        <w:jc w:val="both"/>
      </w:pPr>
      <w:r>
        <w:t xml:space="preserve">Lee </w:t>
      </w:r>
      <w:proofErr w:type="spellStart"/>
      <w:r>
        <w:t>Eng</w:t>
      </w:r>
      <w:proofErr w:type="spellEnd"/>
      <w:r>
        <w:t xml:space="preserve"> Tan</w:t>
      </w:r>
      <w:r w:rsidR="006F6B9D">
        <w:t xml:space="preserve"> and Charles Murphy</w:t>
      </w:r>
      <w:r w:rsidRPr="00BB7B46">
        <w:t>, ESQUIRE</w:t>
      </w:r>
      <w:r w:rsidR="006F6B9D">
        <w:t>S</w:t>
      </w:r>
      <w:r w:rsidRPr="00BB7B46">
        <w:t>, Florida Public Service Commission, 2540 Shumard Oak Boulevard, Tallahassee, Florida 32399-0850</w:t>
      </w:r>
    </w:p>
    <w:p w:rsidR="00BB7B46" w:rsidRPr="00BB7B46" w:rsidRDefault="00BB7B46" w:rsidP="00BB7B46">
      <w:pPr>
        <w:ind w:left="720" w:firstLine="720"/>
        <w:jc w:val="both"/>
      </w:pPr>
      <w:r w:rsidRPr="00BB7B46">
        <w:rPr>
          <w:u w:val="single"/>
        </w:rPr>
        <w:t>On behalf of the Florida Public Service Commission (Staff)</w:t>
      </w:r>
      <w:r w:rsidRPr="00BB7B46">
        <w:t>.</w:t>
      </w:r>
    </w:p>
    <w:p w:rsidR="00BB7B46" w:rsidRPr="00BB7B46" w:rsidRDefault="00BB7B46" w:rsidP="00BB7B46">
      <w:pPr>
        <w:jc w:val="both"/>
      </w:pPr>
    </w:p>
    <w:p w:rsidR="00BB7B46" w:rsidRPr="00BB7B46" w:rsidRDefault="00BB7B46" w:rsidP="00BB7B46">
      <w:pPr>
        <w:ind w:left="1440"/>
        <w:jc w:val="both"/>
      </w:pPr>
      <w:r w:rsidRPr="00BB7B46">
        <w:t>Mary Anne Helton, Deputy General Counsel, Florida Public Service Commission, 2540 Shumard Oak Boulevard, Tallahassee, Florida 32399-0850</w:t>
      </w:r>
    </w:p>
    <w:p w:rsidR="00BB7B46" w:rsidRPr="00BB7B46" w:rsidRDefault="00BB7B46" w:rsidP="00BB7B46">
      <w:pPr>
        <w:ind w:left="720" w:firstLine="720"/>
        <w:jc w:val="both"/>
      </w:pPr>
      <w:r w:rsidRPr="00BB7B46">
        <w:rPr>
          <w:u w:val="single"/>
        </w:rPr>
        <w:t>Advisor to the Florida Public Service Commission</w:t>
      </w:r>
      <w:r w:rsidRPr="00BB7B46">
        <w:t>.</w:t>
      </w:r>
    </w:p>
    <w:p w:rsidR="00BB7B46" w:rsidRPr="00BB7B46" w:rsidRDefault="00BB7B46" w:rsidP="00BB7B46">
      <w:pPr>
        <w:jc w:val="center"/>
        <w:rPr>
          <w:b/>
          <w:bCs/>
          <w:u w:val="single"/>
        </w:rPr>
      </w:pPr>
    </w:p>
    <w:p w:rsidR="00BB7B46" w:rsidRPr="00BB7B46" w:rsidRDefault="00BB7B46" w:rsidP="00BB7B46">
      <w:pPr>
        <w:jc w:val="center"/>
        <w:rPr>
          <w:b/>
          <w:bCs/>
          <w:u w:val="single"/>
        </w:rPr>
      </w:pPr>
    </w:p>
    <w:p w:rsidR="00BB7B46" w:rsidRPr="00BB7B46" w:rsidRDefault="00BB7B46" w:rsidP="00BB7B46">
      <w:pPr>
        <w:jc w:val="center"/>
      </w:pPr>
      <w:r w:rsidRPr="00BB7B46">
        <w:rPr>
          <w:b/>
          <w:bCs/>
          <w:u w:val="single"/>
        </w:rPr>
        <w:t>PREHEARING ORDER</w:t>
      </w:r>
    </w:p>
    <w:p w:rsidR="00BB7B46" w:rsidRPr="00BB7B46" w:rsidRDefault="00BB7B46" w:rsidP="00BB7B46">
      <w:pPr>
        <w:jc w:val="both"/>
      </w:pPr>
    </w:p>
    <w:p w:rsidR="00BB7B46" w:rsidRPr="00BB7B46" w:rsidRDefault="00BB7B46" w:rsidP="00BB7B46">
      <w:pPr>
        <w:jc w:val="both"/>
      </w:pPr>
      <w:r w:rsidRPr="00BB7B46">
        <w:t>I.</w:t>
      </w:r>
      <w:r w:rsidRPr="00BB7B46">
        <w:tab/>
      </w:r>
      <w:r w:rsidRPr="00BB7B46">
        <w:rPr>
          <w:u w:val="single"/>
        </w:rPr>
        <w:t>CASE BACKGROUND</w:t>
      </w:r>
    </w:p>
    <w:p w:rsidR="00BB7B46" w:rsidRPr="00BB7B46" w:rsidRDefault="00BB7B46" w:rsidP="00BB7B46">
      <w:pPr>
        <w:jc w:val="both"/>
      </w:pPr>
    </w:p>
    <w:p w:rsidR="00C72950" w:rsidRPr="00100DC5" w:rsidRDefault="00BB7B46" w:rsidP="00C72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B7B46">
        <w:tab/>
      </w:r>
      <w:r w:rsidR="00C72950" w:rsidRPr="00100DC5">
        <w:t>On December 11, 2015, Florida</w:t>
      </w:r>
      <w:r w:rsidR="005534D0">
        <w:t xml:space="preserve"> Power &amp; Light Company filed a notice of intent to file a petition for Determination of N</w:t>
      </w:r>
      <w:r w:rsidR="00C72950" w:rsidRPr="00100DC5">
        <w:t xml:space="preserve">eed for Duval-Raven 230 kV transmission line in </w:t>
      </w:r>
      <w:r w:rsidR="000A2C59">
        <w:t xml:space="preserve">Baker, </w:t>
      </w:r>
      <w:r w:rsidR="00C72950" w:rsidRPr="00100DC5">
        <w:t>Columbia</w:t>
      </w:r>
      <w:r w:rsidR="000A2C59">
        <w:t>, Duval, and Nassau Counties</w:t>
      </w:r>
      <w:r w:rsidR="00C72950" w:rsidRPr="00100DC5">
        <w:t>, pursuant to Section 403.537, Florida Statutes (F.S.)</w:t>
      </w:r>
      <w:r w:rsidR="00C72950">
        <w:t>,</w:t>
      </w:r>
      <w:r w:rsidR="00C72950" w:rsidRPr="00100DC5">
        <w:t xml:space="preserve"> and Rule 25-22.075, Florida Administrative Code (F.A.C.). </w:t>
      </w:r>
      <w:r w:rsidR="005534D0">
        <w:t xml:space="preserve">On January 11, 2016, FPL filed its petition to determine need for electrical transmission line. </w:t>
      </w:r>
      <w:r w:rsidR="00C72950" w:rsidRPr="00100DC5">
        <w:t>This matter has been scheduled for a formal administrative hearing on February 24, 201</w:t>
      </w:r>
      <w:r w:rsidR="000A2C59">
        <w:t>6</w:t>
      </w:r>
      <w:r w:rsidR="00C72950" w:rsidRPr="00100DC5">
        <w:t>.</w:t>
      </w:r>
    </w:p>
    <w:p w:rsidR="00BB7B46" w:rsidRPr="00BB7B46" w:rsidRDefault="00BB7B46" w:rsidP="00BB7B46">
      <w:pPr>
        <w:jc w:val="both"/>
      </w:pPr>
    </w:p>
    <w:p w:rsidR="00BB7B46" w:rsidRPr="00BB7B46" w:rsidRDefault="00BB7B46" w:rsidP="00BB7B46">
      <w:pPr>
        <w:jc w:val="both"/>
      </w:pPr>
      <w:r w:rsidRPr="00BB7B46">
        <w:t>II.</w:t>
      </w:r>
      <w:r w:rsidRPr="00BB7B46">
        <w:tab/>
      </w:r>
      <w:r w:rsidRPr="00BB7B46">
        <w:rPr>
          <w:u w:val="single"/>
        </w:rPr>
        <w:t>CONDUCT OF PROCEEDINGS</w:t>
      </w:r>
    </w:p>
    <w:p w:rsidR="00BB7B46" w:rsidRPr="00BB7B46" w:rsidRDefault="00BB7B46" w:rsidP="00BB7B46">
      <w:pPr>
        <w:jc w:val="both"/>
      </w:pPr>
    </w:p>
    <w:p w:rsidR="00BB7B46" w:rsidRPr="00BB7B46" w:rsidRDefault="00BB7B46" w:rsidP="00BB7B46">
      <w:pPr>
        <w:jc w:val="both"/>
      </w:pPr>
      <w:r w:rsidRPr="00BB7B46">
        <w:tab/>
        <w:t>Pursuant to Rule 28-106.211, F.A.C., this Prehearing Order is issued to prevent delay and to promote the just, speedy, and inexpensive determination of all aspects of this case.</w:t>
      </w:r>
    </w:p>
    <w:p w:rsidR="00BB7B46" w:rsidRDefault="00BB7B46" w:rsidP="00BB7B46">
      <w:pPr>
        <w:jc w:val="both"/>
      </w:pPr>
    </w:p>
    <w:p w:rsidR="005534D0" w:rsidRDefault="005534D0" w:rsidP="00BB7B46">
      <w:pPr>
        <w:jc w:val="both"/>
      </w:pPr>
    </w:p>
    <w:p w:rsidR="005534D0" w:rsidRPr="00BB7B46" w:rsidRDefault="005534D0" w:rsidP="00BB7B46">
      <w:pPr>
        <w:jc w:val="both"/>
      </w:pPr>
    </w:p>
    <w:p w:rsidR="00C72950" w:rsidRDefault="00C72950" w:rsidP="00BB7B46">
      <w:pPr>
        <w:jc w:val="both"/>
      </w:pPr>
    </w:p>
    <w:p w:rsidR="00BB7B46" w:rsidRPr="00BB7B46" w:rsidRDefault="00BB7B46" w:rsidP="00BB7B46">
      <w:pPr>
        <w:jc w:val="both"/>
      </w:pPr>
      <w:smartTag w:uri="urn:schemas-microsoft-com:office:smarttags" w:element="stockticker">
        <w:r w:rsidRPr="00BB7B46">
          <w:lastRenderedPageBreak/>
          <w:t>III</w:t>
        </w:r>
      </w:smartTag>
      <w:r w:rsidRPr="00BB7B46">
        <w:t>.</w:t>
      </w:r>
      <w:r w:rsidRPr="00BB7B46">
        <w:tab/>
      </w:r>
      <w:r w:rsidRPr="00BB7B46">
        <w:rPr>
          <w:u w:val="single"/>
        </w:rPr>
        <w:t>JURISDICTION</w:t>
      </w:r>
    </w:p>
    <w:p w:rsidR="00BB7B46" w:rsidRPr="00BB7B46" w:rsidRDefault="00BB7B46" w:rsidP="00BB7B46">
      <w:pPr>
        <w:jc w:val="both"/>
      </w:pPr>
    </w:p>
    <w:p w:rsidR="00BB7B46" w:rsidRPr="00BB7B46" w:rsidRDefault="00BB7B46" w:rsidP="00BB7B46">
      <w:pPr>
        <w:jc w:val="both"/>
      </w:pPr>
      <w:r w:rsidRPr="00BB7B46">
        <w:tab/>
        <w:t>This Commission is vested with jurisdiction over the subject matter by the provisions of Chapter</w:t>
      </w:r>
      <w:r w:rsidR="00C72950">
        <w:t xml:space="preserve"> 366</w:t>
      </w:r>
      <w:r w:rsidRPr="00BB7B46">
        <w:t>, Florida Statutes (F.S.).  This hearing will be govern</w:t>
      </w:r>
      <w:r w:rsidR="00C72950">
        <w:t>ed by said Chapter and Chapters</w:t>
      </w:r>
      <w:r w:rsidRPr="00BB7B46">
        <w:t xml:space="preserve"> 25-6, 25-22, and 28-106, F.A.C., as well as any other applicable provisions of law.</w:t>
      </w:r>
    </w:p>
    <w:p w:rsidR="00BB7B46" w:rsidRPr="00BB7B46" w:rsidRDefault="00BB7B46" w:rsidP="00BB7B46">
      <w:pPr>
        <w:jc w:val="both"/>
      </w:pPr>
    </w:p>
    <w:p w:rsidR="00BB7B46" w:rsidRPr="00BB7B46" w:rsidRDefault="00BB7B46" w:rsidP="00BB7B46">
      <w:pPr>
        <w:jc w:val="both"/>
      </w:pPr>
      <w:r w:rsidRPr="00BB7B46">
        <w:t>IV.</w:t>
      </w:r>
      <w:r w:rsidRPr="00BB7B46">
        <w:tab/>
      </w:r>
      <w:r w:rsidRPr="00BB7B46">
        <w:rPr>
          <w:u w:val="single"/>
        </w:rPr>
        <w:t>PROCEDURE FOR HANDLING CONFIDENTIAL INFORMATION</w:t>
      </w:r>
    </w:p>
    <w:p w:rsidR="00BB7B46" w:rsidRPr="00BB7B46" w:rsidRDefault="00BB7B46" w:rsidP="00BB7B46">
      <w:pPr>
        <w:jc w:val="both"/>
      </w:pPr>
    </w:p>
    <w:p w:rsidR="00BB7B46" w:rsidRPr="00BB7B46" w:rsidRDefault="00BB7B46" w:rsidP="00BB7B46">
      <w:pPr>
        <w:jc w:val="both"/>
      </w:pPr>
      <w:r w:rsidRPr="00BB7B46">
        <w:tab/>
        <w:t xml:space="preserve">Information for which proprietary confidential business information status is requested pursuant to Section </w:t>
      </w:r>
      <w:r w:rsidR="00C72950">
        <w:t>366.093</w:t>
      </w:r>
      <w:r w:rsidRPr="00BB7B46">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C72950">
        <w:t>366.093</w:t>
      </w:r>
      <w:r w:rsidRPr="00BB7B46">
        <w:t>, F.S.  The Commission may determine that continued possession of the information is necessary for the Commission to conduct its business.</w:t>
      </w:r>
    </w:p>
    <w:p w:rsidR="00BB7B46" w:rsidRPr="00BB7B46" w:rsidRDefault="00BB7B46" w:rsidP="00BB7B46">
      <w:pPr>
        <w:jc w:val="both"/>
      </w:pPr>
    </w:p>
    <w:p w:rsidR="00BB7B46" w:rsidRPr="00BB7B46" w:rsidRDefault="00BB7B46" w:rsidP="00BB7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B7B46">
        <w:tab/>
        <w:t xml:space="preserve">It is the policy of this Commission that all Commission hearings be open to the public at all times.  The Commission also recognizes its obligation pursuant to Section </w:t>
      </w:r>
      <w:r w:rsidR="00C72950">
        <w:t>366.093</w:t>
      </w:r>
      <w:r w:rsidRPr="00BB7B46">
        <w:t>, F.S., to protect proprietary confidential business information from disclosure outside the proceeding.  Therefore, any party wishing to use any proprietary confidential business information, as that term is defined in Section</w:t>
      </w:r>
      <w:r w:rsidR="00C72950">
        <w:t xml:space="preserve"> 366.093</w:t>
      </w:r>
      <w:r w:rsidRPr="00BB7B46">
        <w:t>, F.S., at the hearing shall adhere to the following:</w:t>
      </w:r>
    </w:p>
    <w:p w:rsidR="00BB7B46" w:rsidRPr="00BB7B46" w:rsidRDefault="00BB7B46" w:rsidP="00BB7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B7B46" w:rsidRPr="00BB7B46" w:rsidRDefault="00BB7B46" w:rsidP="00BB7B46">
      <w:pPr>
        <w:spacing w:line="2" w:lineRule="exact"/>
        <w:jc w:val="both"/>
      </w:pPr>
    </w:p>
    <w:p w:rsidR="00BB7B46" w:rsidRPr="00BB7B46" w:rsidRDefault="00BB7B46" w:rsidP="00BB7B46">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BB7B46">
        <w:t>When confidential information is used in the hearing</w:t>
      </w:r>
      <w:r w:rsidR="000C0753">
        <w:t xml:space="preserve"> that has </w:t>
      </w:r>
      <w:r w:rsidR="00C30798">
        <w:t xml:space="preserve">not </w:t>
      </w:r>
      <w:r w:rsidR="000C0753">
        <w:t xml:space="preserve">been filed as </w:t>
      </w:r>
      <w:proofErr w:type="spellStart"/>
      <w:r w:rsidR="000C0753">
        <w:t>prefiled</w:t>
      </w:r>
      <w:proofErr w:type="spellEnd"/>
      <w:r w:rsidR="000C0753">
        <w:t xml:space="preserve"> testimony or </w:t>
      </w:r>
      <w:proofErr w:type="spellStart"/>
      <w:r w:rsidR="000C0753">
        <w:t>prefiled</w:t>
      </w:r>
      <w:proofErr w:type="spellEnd"/>
      <w:r w:rsidR="000C0753">
        <w:t xml:space="preserve"> exhibits</w:t>
      </w:r>
      <w:r w:rsidRPr="00BB7B46">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B7B46" w:rsidRPr="00BB7B46" w:rsidRDefault="00BB7B46" w:rsidP="00BB7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B7B46" w:rsidRPr="00BB7B46" w:rsidRDefault="00BB7B46" w:rsidP="00BB7B46">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BB7B46">
        <w:t>Counsel and witnesses are cautioned to avoid verbalizing confidential information in such a way that would compromise confidentiality.  Therefore, confidential information should be presented by written exhibit when reasonably possible.</w:t>
      </w:r>
    </w:p>
    <w:p w:rsidR="00BB7B46" w:rsidRPr="00BB7B46" w:rsidRDefault="00BB7B46" w:rsidP="00BB7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B7B46">
        <w:tab/>
      </w:r>
    </w:p>
    <w:p w:rsidR="00BB7B46" w:rsidRPr="00BB7B46" w:rsidRDefault="00BB7B46" w:rsidP="00BB7B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B7B46">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w:t>
      </w:r>
      <w:r w:rsidRPr="00BB7B46">
        <w:lastRenderedPageBreak/>
        <w:t>classification of the information within 21 days of the conclusion of the hearing, as set forth in Rule 25-22.006(8)(b), F.A.C., if continued confidentiality of the information is to be maintained.</w:t>
      </w:r>
    </w:p>
    <w:p w:rsidR="00BB7B46" w:rsidRPr="00BB7B46" w:rsidRDefault="00BB7B46" w:rsidP="00BB7B46">
      <w:pPr>
        <w:jc w:val="both"/>
      </w:pPr>
    </w:p>
    <w:p w:rsidR="00BB7B46" w:rsidRPr="00BB7B46" w:rsidRDefault="00BB7B46" w:rsidP="00BB7B46">
      <w:pPr>
        <w:jc w:val="both"/>
      </w:pPr>
      <w:r w:rsidRPr="00BB7B46">
        <w:t>V.</w:t>
      </w:r>
      <w:r w:rsidRPr="00BB7B46">
        <w:tab/>
      </w:r>
      <w:r w:rsidRPr="00BB7B46">
        <w:rPr>
          <w:u w:val="single"/>
        </w:rPr>
        <w:t xml:space="preserve">PREFILED TESTIMONY </w:t>
      </w:r>
      <w:smartTag w:uri="urn:schemas-microsoft-com:office:smarttags" w:element="stockticker">
        <w:r w:rsidRPr="00BB7B46">
          <w:rPr>
            <w:u w:val="single"/>
          </w:rPr>
          <w:t>AND</w:t>
        </w:r>
      </w:smartTag>
      <w:r w:rsidRPr="00BB7B46">
        <w:rPr>
          <w:u w:val="single"/>
        </w:rPr>
        <w:t xml:space="preserve"> EXHIBITS; WITNESSES</w:t>
      </w:r>
    </w:p>
    <w:p w:rsidR="00BB7B46" w:rsidRPr="00BB7B46" w:rsidRDefault="00BB7B46" w:rsidP="00BB7B46">
      <w:pPr>
        <w:jc w:val="both"/>
      </w:pPr>
    </w:p>
    <w:p w:rsidR="00BB7B46" w:rsidRPr="00BB7B46" w:rsidRDefault="00BB7B46" w:rsidP="00BB7B46">
      <w:pPr>
        <w:jc w:val="both"/>
      </w:pPr>
      <w:r w:rsidRPr="00BB7B46">
        <w:tab/>
        <w:t xml:space="preserve">Testimony of all witnesses to be sponsored by the parties (and Staff) has been </w:t>
      </w:r>
      <w:proofErr w:type="spellStart"/>
      <w:r w:rsidRPr="00BB7B46">
        <w:t>prefiled</w:t>
      </w:r>
      <w:proofErr w:type="spellEnd"/>
      <w:r w:rsidRPr="00BB7B46">
        <w:t xml:space="preserve">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BB7B46" w:rsidRPr="00BB7B46" w:rsidRDefault="00BB7B46" w:rsidP="00BB7B46">
      <w:pPr>
        <w:jc w:val="both"/>
      </w:pPr>
    </w:p>
    <w:p w:rsidR="00BB7B46" w:rsidRPr="00BB7B46" w:rsidRDefault="00BB7B46" w:rsidP="00BB7B46">
      <w:pPr>
        <w:ind w:firstLine="720"/>
        <w:jc w:val="both"/>
      </w:pPr>
      <w:r w:rsidRPr="00BB7B46">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BB7B46" w:rsidRPr="00BB7B46" w:rsidRDefault="00BB7B46" w:rsidP="00BB7B46">
      <w:pPr>
        <w:jc w:val="both"/>
      </w:pPr>
    </w:p>
    <w:p w:rsidR="00BB7B46" w:rsidRPr="00BB7B46" w:rsidRDefault="00BB7B46" w:rsidP="00BB7B46">
      <w:pPr>
        <w:jc w:val="both"/>
      </w:pPr>
      <w:r w:rsidRPr="00BB7B46">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BB7B46" w:rsidRPr="00BB7B46" w:rsidRDefault="00BB7B46" w:rsidP="00BB7B46">
      <w:pPr>
        <w:jc w:val="both"/>
      </w:pPr>
    </w:p>
    <w:p w:rsidR="00BB7B46" w:rsidRPr="00BB7B46" w:rsidRDefault="00BB7B46" w:rsidP="00BB7B46">
      <w:pPr>
        <w:ind w:firstLine="720"/>
        <w:jc w:val="both"/>
      </w:pPr>
      <w:r w:rsidRPr="00BB7B46">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BB7B46" w:rsidRPr="00BB7B46" w:rsidRDefault="00BB7B46" w:rsidP="00BB7B46">
      <w:pPr>
        <w:jc w:val="both"/>
      </w:pPr>
    </w:p>
    <w:p w:rsidR="00BB7B46" w:rsidRDefault="00BB7B46" w:rsidP="00BB7B46">
      <w:pPr>
        <w:jc w:val="both"/>
        <w:rPr>
          <w:u w:val="single"/>
        </w:rPr>
      </w:pPr>
      <w:r w:rsidRPr="00BB7B46">
        <w:t>VI.</w:t>
      </w:r>
      <w:r w:rsidRPr="00BB7B46">
        <w:tab/>
      </w:r>
      <w:r w:rsidRPr="00BB7B46">
        <w:rPr>
          <w:u w:val="single"/>
        </w:rPr>
        <w:t>ORDER OF WITNESSES</w:t>
      </w:r>
    </w:p>
    <w:p w:rsidR="00F91030" w:rsidRPr="00BB7B46" w:rsidRDefault="00F91030" w:rsidP="00BB7B46">
      <w:pPr>
        <w:jc w:val="both"/>
      </w:pPr>
    </w:p>
    <w:p w:rsidR="00BB7B46" w:rsidRDefault="00F91030" w:rsidP="00BB7B46">
      <w:pPr>
        <w:jc w:val="both"/>
      </w:pPr>
      <w:r>
        <w:tab/>
        <w:t xml:space="preserve">In light of the proposed stipulated </w:t>
      </w:r>
      <w:r w:rsidR="00543282">
        <w:t>positions</w:t>
      </w:r>
      <w:r>
        <w:t xml:space="preserve"> to the issues in this case, FPL’s witness may be excused from the hearing if no Commissioner </w:t>
      </w:r>
      <w:r w:rsidR="00543282">
        <w:t>assigned</w:t>
      </w:r>
      <w:r>
        <w:t xml:space="preserve"> to the case seeks to cross-examine him.  Staff will notify FPL prior to the hearing conference, whether the witness will be required to be present at the hearing.  If the witness is excused, his testimony will be inserted into the record as though read, and all exhibits submitted with the testimony shall be </w:t>
      </w:r>
      <w:r w:rsidR="00543282">
        <w:t>identified</w:t>
      </w:r>
      <w:r>
        <w:t xml:space="preserve"> as shown in Section IX of this Prehearing Order and admitted into the record.</w:t>
      </w:r>
    </w:p>
    <w:p w:rsidR="00F91030" w:rsidRPr="00BB7B46" w:rsidRDefault="00F91030" w:rsidP="00BB7B46">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BB7B46" w:rsidRPr="00BB7B46" w:rsidTr="00BB7B46">
        <w:trPr>
          <w:cantSplit/>
          <w:trHeight w:val="362"/>
          <w:tblHeader/>
        </w:trPr>
        <w:tc>
          <w:tcPr>
            <w:tcW w:w="3507" w:type="dxa"/>
          </w:tcPr>
          <w:p w:rsidR="00BB7B46" w:rsidRPr="00BB7B46" w:rsidRDefault="00BB7B46" w:rsidP="00AD0EFB">
            <w:pPr>
              <w:jc w:val="both"/>
            </w:pPr>
            <w:r w:rsidRPr="00BB7B46">
              <w:rPr>
                <w:u w:val="single"/>
              </w:rPr>
              <w:t>Witness</w:t>
            </w:r>
          </w:p>
        </w:tc>
        <w:tc>
          <w:tcPr>
            <w:tcW w:w="2511" w:type="dxa"/>
          </w:tcPr>
          <w:p w:rsidR="00BB7B46" w:rsidRPr="00BB7B46" w:rsidRDefault="00BB7B46" w:rsidP="00AD0EFB">
            <w:pPr>
              <w:jc w:val="center"/>
            </w:pPr>
            <w:r w:rsidRPr="00BB7B46">
              <w:rPr>
                <w:u w:val="single"/>
              </w:rPr>
              <w:t>Proffered By</w:t>
            </w:r>
          </w:p>
        </w:tc>
        <w:tc>
          <w:tcPr>
            <w:tcW w:w="3546" w:type="dxa"/>
          </w:tcPr>
          <w:p w:rsidR="00BB7B46" w:rsidRPr="00BB7B46" w:rsidRDefault="00BB7B46" w:rsidP="00AD0EFB">
            <w:pPr>
              <w:jc w:val="both"/>
            </w:pPr>
            <w:r w:rsidRPr="00BB7B46">
              <w:rPr>
                <w:u w:val="single"/>
              </w:rPr>
              <w:t>Issues #</w:t>
            </w:r>
          </w:p>
        </w:tc>
      </w:tr>
      <w:tr w:rsidR="00BB7B46" w:rsidRPr="00BB7B46" w:rsidTr="00BB7B46">
        <w:trPr>
          <w:cantSplit/>
          <w:trHeight w:val="362"/>
        </w:trPr>
        <w:tc>
          <w:tcPr>
            <w:tcW w:w="3507" w:type="dxa"/>
          </w:tcPr>
          <w:p w:rsidR="00BB7B46" w:rsidRPr="00BB7B46" w:rsidRDefault="00BB7B46" w:rsidP="00AD0EFB">
            <w:pPr>
              <w:jc w:val="both"/>
              <w:rPr>
                <w:u w:val="single"/>
              </w:rPr>
            </w:pPr>
            <w:r w:rsidRPr="00BB7B46">
              <w:tab/>
            </w:r>
            <w:r w:rsidRPr="00BB7B46">
              <w:rPr>
                <w:u w:val="single"/>
              </w:rPr>
              <w:t>Direct</w:t>
            </w:r>
          </w:p>
        </w:tc>
        <w:tc>
          <w:tcPr>
            <w:tcW w:w="2511" w:type="dxa"/>
          </w:tcPr>
          <w:p w:rsidR="00BB7B46" w:rsidRPr="00BB7B46" w:rsidRDefault="00BB7B46" w:rsidP="00AD0EFB">
            <w:pPr>
              <w:jc w:val="center"/>
            </w:pPr>
          </w:p>
        </w:tc>
        <w:tc>
          <w:tcPr>
            <w:tcW w:w="3546" w:type="dxa"/>
          </w:tcPr>
          <w:p w:rsidR="00BB7B46" w:rsidRPr="00BB7B46" w:rsidRDefault="00BB7B46" w:rsidP="00AD0EFB"/>
        </w:tc>
      </w:tr>
      <w:tr w:rsidR="00BB7B46" w:rsidRPr="00BB7B46" w:rsidTr="00BB7B46">
        <w:trPr>
          <w:cantSplit/>
          <w:trHeight w:val="362"/>
        </w:trPr>
        <w:tc>
          <w:tcPr>
            <w:tcW w:w="3507" w:type="dxa"/>
          </w:tcPr>
          <w:p w:rsidR="00BB7B46" w:rsidRPr="00BB7B46" w:rsidRDefault="00BB7B46" w:rsidP="00AD0EFB">
            <w:pPr>
              <w:jc w:val="both"/>
            </w:pPr>
            <w:r>
              <w:t>Francisco Prieto</w:t>
            </w:r>
          </w:p>
        </w:tc>
        <w:tc>
          <w:tcPr>
            <w:tcW w:w="2511" w:type="dxa"/>
          </w:tcPr>
          <w:p w:rsidR="00BB7B46" w:rsidRPr="00BB7B46" w:rsidRDefault="00BB7B46" w:rsidP="00AD0EFB">
            <w:pPr>
              <w:jc w:val="center"/>
            </w:pPr>
            <w:r>
              <w:t>FPL</w:t>
            </w:r>
          </w:p>
        </w:tc>
        <w:tc>
          <w:tcPr>
            <w:tcW w:w="3546" w:type="dxa"/>
          </w:tcPr>
          <w:p w:rsidR="00BB7B46" w:rsidRPr="00BB7B46" w:rsidRDefault="00BB7B46" w:rsidP="00AD0EFB">
            <w:r>
              <w:t>1, 2, 3, 4</w:t>
            </w:r>
          </w:p>
        </w:tc>
      </w:tr>
    </w:tbl>
    <w:p w:rsidR="00BB7B46" w:rsidRPr="00BB7B46" w:rsidRDefault="00BB7B46" w:rsidP="00BB7B46">
      <w:pPr>
        <w:jc w:val="both"/>
      </w:pPr>
    </w:p>
    <w:p w:rsidR="00BB7B46" w:rsidRDefault="00BB7B46" w:rsidP="00BB7B46">
      <w:pPr>
        <w:jc w:val="both"/>
      </w:pPr>
      <w:r w:rsidRPr="00BB7B46">
        <w:lastRenderedPageBreak/>
        <w:t>VII.</w:t>
      </w:r>
      <w:r w:rsidRPr="00BB7B46">
        <w:tab/>
      </w:r>
      <w:r w:rsidRPr="00BB7B46">
        <w:rPr>
          <w:u w:val="single"/>
        </w:rPr>
        <w:t>BASIC POSITIONS</w:t>
      </w:r>
    </w:p>
    <w:p w:rsidR="00BB7B46" w:rsidRDefault="00BB7B46" w:rsidP="00BB7B46">
      <w:pPr>
        <w:jc w:val="both"/>
      </w:pPr>
    </w:p>
    <w:p w:rsidR="00BB7B46" w:rsidRDefault="00BB7B46" w:rsidP="00BB7B46">
      <w:pPr>
        <w:jc w:val="both"/>
        <w:rPr>
          <w:szCs w:val="20"/>
        </w:rPr>
      </w:pPr>
      <w:r>
        <w:rPr>
          <w:b/>
          <w:bCs/>
          <w:u w:val="single"/>
        </w:rPr>
        <w:t>FPL</w:t>
      </w:r>
      <w:r w:rsidRPr="00BB7B46">
        <w:rPr>
          <w:b/>
          <w:bCs/>
        </w:rPr>
        <w:t>:</w:t>
      </w:r>
      <w:r>
        <w:tab/>
      </w:r>
      <w:r w:rsidRPr="00BB7B46">
        <w:rPr>
          <w:szCs w:val="20"/>
        </w:rPr>
        <w:t xml:space="preserve">FPL has petitioned the Commission for an affirmative determination need for the </w:t>
      </w:r>
      <w:r>
        <w:rPr>
          <w:szCs w:val="20"/>
        </w:rPr>
        <w:tab/>
      </w:r>
      <w:r w:rsidRPr="00BB7B46">
        <w:rPr>
          <w:szCs w:val="20"/>
        </w:rPr>
        <w:t xml:space="preserve">construction and operation of an electrical transmission line, the Duval-Raven 230 kV </w:t>
      </w:r>
      <w:r>
        <w:rPr>
          <w:szCs w:val="20"/>
        </w:rPr>
        <w:tab/>
      </w:r>
      <w:r w:rsidRPr="00BB7B46">
        <w:rPr>
          <w:szCs w:val="20"/>
        </w:rPr>
        <w:t xml:space="preserve">Project (“DRP”). The DRP maximizes system reliability, increases power transfer </w:t>
      </w:r>
      <w:r>
        <w:rPr>
          <w:szCs w:val="20"/>
        </w:rPr>
        <w:tab/>
      </w:r>
      <w:r w:rsidRPr="00BB7B46">
        <w:rPr>
          <w:szCs w:val="20"/>
        </w:rPr>
        <w:t xml:space="preserve">capability, and meets local area load requirements by serving proposed future distribution </w:t>
      </w:r>
      <w:r>
        <w:rPr>
          <w:szCs w:val="20"/>
        </w:rPr>
        <w:tab/>
      </w:r>
      <w:r w:rsidRPr="00BB7B46">
        <w:rPr>
          <w:szCs w:val="20"/>
        </w:rPr>
        <w:t xml:space="preserve">substations east of Interstate-75, south of Interstate-10, and west of the existing 230 kV </w:t>
      </w:r>
      <w:r>
        <w:rPr>
          <w:szCs w:val="20"/>
        </w:rPr>
        <w:tab/>
      </w:r>
      <w:r w:rsidRPr="00BB7B46">
        <w:rPr>
          <w:szCs w:val="20"/>
        </w:rPr>
        <w:t xml:space="preserve">transmission line in Baker, Columbia, and Union Counties while minimizing cost to </w:t>
      </w:r>
      <w:r>
        <w:rPr>
          <w:szCs w:val="20"/>
        </w:rPr>
        <w:tab/>
      </w:r>
      <w:r w:rsidRPr="00BB7B46">
        <w:rPr>
          <w:szCs w:val="20"/>
        </w:rPr>
        <w:t xml:space="preserve">customers. </w:t>
      </w:r>
      <w:r>
        <w:rPr>
          <w:szCs w:val="20"/>
        </w:rPr>
        <w:tab/>
      </w:r>
      <w:r w:rsidRPr="00BB7B46">
        <w:rPr>
          <w:szCs w:val="20"/>
        </w:rPr>
        <w:t xml:space="preserve">The DRP will primarily consist of the construction of approximately 38.5 </w:t>
      </w:r>
      <w:r>
        <w:rPr>
          <w:szCs w:val="20"/>
        </w:rPr>
        <w:tab/>
      </w:r>
      <w:r w:rsidRPr="00BB7B46">
        <w:rPr>
          <w:szCs w:val="20"/>
        </w:rPr>
        <w:t xml:space="preserve">miles (subject to final certification under the Florida Transmission Line Siting Act or </w:t>
      </w:r>
      <w:r>
        <w:rPr>
          <w:szCs w:val="20"/>
        </w:rPr>
        <w:tab/>
      </w:r>
      <w:r w:rsidRPr="00BB7B46">
        <w:rPr>
          <w:szCs w:val="20"/>
        </w:rPr>
        <w:t xml:space="preserve">“TLSA”) of a single circuit 230 kV transmission line in portions of Baker, Columbia, </w:t>
      </w:r>
      <w:r>
        <w:rPr>
          <w:szCs w:val="20"/>
        </w:rPr>
        <w:tab/>
      </w:r>
      <w:r w:rsidRPr="00BB7B46">
        <w:rPr>
          <w:szCs w:val="20"/>
        </w:rPr>
        <w:t xml:space="preserve">Duval, and Nassau Counties. </w:t>
      </w:r>
    </w:p>
    <w:p w:rsidR="005534D0" w:rsidRPr="00BB7B46" w:rsidRDefault="005534D0" w:rsidP="00BB7B46">
      <w:pPr>
        <w:jc w:val="both"/>
      </w:pPr>
    </w:p>
    <w:p w:rsidR="00BB7B46" w:rsidRPr="00BB7B46" w:rsidRDefault="00BB7B46" w:rsidP="00BB7B46">
      <w:pPr>
        <w:ind w:firstLine="720"/>
        <w:jc w:val="both"/>
        <w:outlineLvl w:val="2"/>
        <w:rPr>
          <w:szCs w:val="20"/>
        </w:rPr>
      </w:pPr>
      <w:r w:rsidRPr="00BB7B46">
        <w:rPr>
          <w:szCs w:val="20"/>
        </w:rPr>
        <w:t>The need for the DRP is based on the following considerations:</w:t>
      </w:r>
    </w:p>
    <w:p w:rsidR="00BB7B46" w:rsidRPr="00BB7B46" w:rsidRDefault="00BB7B46" w:rsidP="00BB7B46">
      <w:pPr>
        <w:ind w:firstLine="720"/>
        <w:jc w:val="both"/>
        <w:outlineLvl w:val="2"/>
        <w:rPr>
          <w:szCs w:val="20"/>
        </w:rPr>
      </w:pPr>
      <w:r w:rsidRPr="00BB7B46">
        <w:rPr>
          <w:szCs w:val="20"/>
        </w:rPr>
        <w:t>•</w:t>
      </w:r>
      <w:r w:rsidRPr="00BB7B46">
        <w:rPr>
          <w:szCs w:val="20"/>
        </w:rPr>
        <w:tab/>
        <w:t xml:space="preserve">The need to provide additional transmission reinforcement to the existing 115 kV </w:t>
      </w:r>
      <w:r>
        <w:rPr>
          <w:szCs w:val="20"/>
        </w:rPr>
        <w:tab/>
      </w:r>
      <w:r>
        <w:rPr>
          <w:szCs w:val="20"/>
        </w:rPr>
        <w:tab/>
      </w:r>
      <w:r>
        <w:rPr>
          <w:szCs w:val="20"/>
        </w:rPr>
        <w:tab/>
      </w:r>
      <w:r w:rsidRPr="00BB7B46">
        <w:rPr>
          <w:szCs w:val="20"/>
        </w:rPr>
        <w:t xml:space="preserve">and 230 kV transmission network between Columbia, Bradford, and Baldwin </w:t>
      </w:r>
      <w:r>
        <w:rPr>
          <w:szCs w:val="20"/>
        </w:rPr>
        <w:tab/>
      </w:r>
      <w:r>
        <w:rPr>
          <w:szCs w:val="20"/>
        </w:rPr>
        <w:tab/>
      </w:r>
      <w:r>
        <w:rPr>
          <w:szCs w:val="20"/>
        </w:rPr>
        <w:tab/>
      </w:r>
      <w:r w:rsidRPr="00BB7B46">
        <w:rPr>
          <w:szCs w:val="20"/>
        </w:rPr>
        <w:t xml:space="preserve">substations in a reliable manner consistent with reliability standards and criteria </w:t>
      </w:r>
      <w:r>
        <w:rPr>
          <w:szCs w:val="20"/>
        </w:rPr>
        <w:tab/>
      </w:r>
      <w:r>
        <w:rPr>
          <w:szCs w:val="20"/>
        </w:rPr>
        <w:tab/>
      </w:r>
      <w:r>
        <w:rPr>
          <w:szCs w:val="20"/>
        </w:rPr>
        <w:tab/>
      </w:r>
      <w:r w:rsidRPr="00BB7B46">
        <w:rPr>
          <w:szCs w:val="20"/>
        </w:rPr>
        <w:t xml:space="preserve">established by the North American Electric Reliability Council (“NERC”), at the </w:t>
      </w:r>
      <w:r>
        <w:rPr>
          <w:szCs w:val="20"/>
        </w:rPr>
        <w:tab/>
      </w:r>
      <w:r>
        <w:rPr>
          <w:szCs w:val="20"/>
        </w:rPr>
        <w:tab/>
      </w:r>
      <w:r>
        <w:rPr>
          <w:szCs w:val="20"/>
        </w:rPr>
        <w:tab/>
      </w:r>
      <w:r w:rsidRPr="00BB7B46">
        <w:rPr>
          <w:szCs w:val="20"/>
        </w:rPr>
        <w:t xml:space="preserve">direction of the Federal Energy Regulatory Commission (“FERC”), and adopted </w:t>
      </w:r>
      <w:r>
        <w:rPr>
          <w:szCs w:val="20"/>
        </w:rPr>
        <w:tab/>
      </w:r>
      <w:r>
        <w:rPr>
          <w:szCs w:val="20"/>
        </w:rPr>
        <w:tab/>
      </w:r>
      <w:r>
        <w:rPr>
          <w:szCs w:val="20"/>
        </w:rPr>
        <w:tab/>
      </w:r>
      <w:r w:rsidRPr="00BB7B46">
        <w:rPr>
          <w:szCs w:val="20"/>
        </w:rPr>
        <w:t>by the Florida Reliability Coordinating Council (“FRCC”).</w:t>
      </w:r>
    </w:p>
    <w:p w:rsidR="00BB7B46" w:rsidRPr="00BB7B46" w:rsidRDefault="00BB7B46" w:rsidP="00BB7B46">
      <w:pPr>
        <w:ind w:firstLine="720"/>
        <w:jc w:val="both"/>
        <w:outlineLvl w:val="2"/>
        <w:rPr>
          <w:szCs w:val="20"/>
        </w:rPr>
      </w:pPr>
      <w:r w:rsidRPr="00BB7B46">
        <w:rPr>
          <w:szCs w:val="20"/>
        </w:rPr>
        <w:t>•</w:t>
      </w:r>
      <w:r w:rsidRPr="00BB7B46">
        <w:rPr>
          <w:szCs w:val="20"/>
        </w:rPr>
        <w:tab/>
        <w:t xml:space="preserve">The need to serve the increasing load and customer base in the area east of </w:t>
      </w:r>
      <w:r>
        <w:rPr>
          <w:szCs w:val="20"/>
        </w:rPr>
        <w:tab/>
      </w:r>
      <w:r>
        <w:rPr>
          <w:szCs w:val="20"/>
        </w:rPr>
        <w:tab/>
      </w:r>
      <w:r>
        <w:rPr>
          <w:szCs w:val="20"/>
        </w:rPr>
        <w:tab/>
      </w:r>
      <w:r w:rsidRPr="00BB7B46">
        <w:rPr>
          <w:szCs w:val="20"/>
        </w:rPr>
        <w:t>Columbia and west of Baldwin and Bradford Substations.</w:t>
      </w:r>
    </w:p>
    <w:p w:rsidR="00BB7B46" w:rsidRDefault="00BB7B46" w:rsidP="00BB7B46">
      <w:pPr>
        <w:ind w:firstLine="720"/>
        <w:jc w:val="both"/>
        <w:outlineLvl w:val="2"/>
        <w:rPr>
          <w:szCs w:val="20"/>
        </w:rPr>
      </w:pPr>
      <w:r w:rsidRPr="00BB7B46">
        <w:rPr>
          <w:szCs w:val="20"/>
        </w:rPr>
        <w:t>•</w:t>
      </w:r>
      <w:r w:rsidRPr="00BB7B46">
        <w:rPr>
          <w:szCs w:val="20"/>
        </w:rPr>
        <w:tab/>
        <w:t xml:space="preserve">The opportunity, subject to final corridor siting certification under the TLSA, to </w:t>
      </w:r>
      <w:r>
        <w:rPr>
          <w:szCs w:val="20"/>
        </w:rPr>
        <w:tab/>
      </w:r>
      <w:r>
        <w:rPr>
          <w:szCs w:val="20"/>
        </w:rPr>
        <w:tab/>
      </w:r>
      <w:r>
        <w:rPr>
          <w:szCs w:val="20"/>
        </w:rPr>
        <w:tab/>
      </w:r>
      <w:r w:rsidRPr="00BB7B46">
        <w:rPr>
          <w:szCs w:val="20"/>
        </w:rPr>
        <w:t xml:space="preserve">efficiently and effectively integrate and serve existing and future new distribution </w:t>
      </w:r>
      <w:r>
        <w:rPr>
          <w:szCs w:val="20"/>
        </w:rPr>
        <w:tab/>
      </w:r>
      <w:r>
        <w:rPr>
          <w:szCs w:val="20"/>
        </w:rPr>
        <w:tab/>
      </w:r>
      <w:r>
        <w:rPr>
          <w:szCs w:val="20"/>
        </w:rPr>
        <w:tab/>
      </w:r>
      <w:r w:rsidRPr="00BB7B46">
        <w:rPr>
          <w:szCs w:val="20"/>
        </w:rPr>
        <w:t xml:space="preserve">substations that are needed to serve projected load growth within Baker, Bradford, </w:t>
      </w:r>
      <w:r>
        <w:rPr>
          <w:szCs w:val="20"/>
        </w:rPr>
        <w:tab/>
      </w:r>
      <w:r>
        <w:rPr>
          <w:szCs w:val="20"/>
        </w:rPr>
        <w:tab/>
      </w:r>
      <w:r w:rsidRPr="00BB7B46">
        <w:rPr>
          <w:szCs w:val="20"/>
        </w:rPr>
        <w:t>Columbia, and Union Counties.</w:t>
      </w:r>
    </w:p>
    <w:p w:rsidR="005534D0" w:rsidRPr="00BB7B46" w:rsidRDefault="005534D0" w:rsidP="00BB7B46">
      <w:pPr>
        <w:ind w:firstLine="720"/>
        <w:jc w:val="both"/>
        <w:outlineLvl w:val="2"/>
        <w:rPr>
          <w:szCs w:val="20"/>
        </w:rPr>
      </w:pPr>
    </w:p>
    <w:p w:rsidR="00BB7B46" w:rsidRDefault="00BB7B46" w:rsidP="00BB7B46">
      <w:pPr>
        <w:ind w:firstLine="720"/>
        <w:jc w:val="both"/>
        <w:outlineLvl w:val="2"/>
        <w:rPr>
          <w:szCs w:val="20"/>
        </w:rPr>
      </w:pPr>
      <w:r w:rsidRPr="00BB7B46">
        <w:rPr>
          <w:szCs w:val="20"/>
        </w:rPr>
        <w:t xml:space="preserve">Over the past five years (2010-2014), the load in FPL’s North Region, an area that </w:t>
      </w:r>
      <w:r>
        <w:rPr>
          <w:szCs w:val="20"/>
        </w:rPr>
        <w:tab/>
      </w:r>
      <w:r w:rsidRPr="00BB7B46">
        <w:rPr>
          <w:szCs w:val="20"/>
        </w:rPr>
        <w:t xml:space="preserve">includes all or portions of Brevard, Volusia, Flagler, St. Johns, Putnam, Bradford, Union, </w:t>
      </w:r>
      <w:r>
        <w:rPr>
          <w:szCs w:val="20"/>
        </w:rPr>
        <w:tab/>
      </w:r>
      <w:r w:rsidRPr="00BB7B46">
        <w:rPr>
          <w:szCs w:val="20"/>
        </w:rPr>
        <w:t xml:space="preserve">Columbia, Baker, and Duval Counties and the specific Project Service Area, has grown </w:t>
      </w:r>
      <w:r>
        <w:rPr>
          <w:szCs w:val="20"/>
        </w:rPr>
        <w:tab/>
      </w:r>
      <w:r w:rsidRPr="00BB7B46">
        <w:rPr>
          <w:szCs w:val="20"/>
        </w:rPr>
        <w:t xml:space="preserve">by a Compound Annual Average Growth Rate (“CAAGR”) of 1.3%.  FPL is forecasting </w:t>
      </w:r>
      <w:r>
        <w:rPr>
          <w:szCs w:val="20"/>
        </w:rPr>
        <w:tab/>
      </w:r>
      <w:r w:rsidRPr="00BB7B46">
        <w:rPr>
          <w:szCs w:val="20"/>
        </w:rPr>
        <w:t>the North Region to continue to grow at CAAGR of 1.8% over the next five years (2015-</w:t>
      </w:r>
      <w:r>
        <w:rPr>
          <w:szCs w:val="20"/>
        </w:rPr>
        <w:tab/>
      </w:r>
      <w:r w:rsidRPr="00BB7B46">
        <w:rPr>
          <w:szCs w:val="20"/>
        </w:rPr>
        <w:t xml:space="preserve">2019).  Transmission assessment studies conducted by FPL during 2014 and 2015 have </w:t>
      </w:r>
      <w:r>
        <w:rPr>
          <w:szCs w:val="20"/>
        </w:rPr>
        <w:tab/>
      </w:r>
      <w:r w:rsidRPr="00BB7B46">
        <w:rPr>
          <w:szCs w:val="20"/>
        </w:rPr>
        <w:t xml:space="preserve">identified regional transmission system limitations in Baker, Bradford, Columbia, and </w:t>
      </w:r>
      <w:r>
        <w:rPr>
          <w:szCs w:val="20"/>
        </w:rPr>
        <w:tab/>
      </w:r>
      <w:r w:rsidRPr="00BB7B46">
        <w:rPr>
          <w:szCs w:val="20"/>
        </w:rPr>
        <w:t xml:space="preserve">Union Counties.  These studies show that by 2018, the existing 115 kV transmission </w:t>
      </w:r>
      <w:r>
        <w:rPr>
          <w:szCs w:val="20"/>
        </w:rPr>
        <w:tab/>
      </w:r>
      <w:r w:rsidRPr="00BB7B46">
        <w:rPr>
          <w:szCs w:val="20"/>
        </w:rPr>
        <w:t xml:space="preserve">network between Baldwin, Bradford, and Columbia Substations will not have sufficient </w:t>
      </w:r>
      <w:r>
        <w:rPr>
          <w:szCs w:val="20"/>
        </w:rPr>
        <w:tab/>
      </w:r>
      <w:r w:rsidRPr="00BB7B46">
        <w:rPr>
          <w:szCs w:val="20"/>
        </w:rPr>
        <w:t>capacity to provide reliable service to potential future distribution substations.</w:t>
      </w:r>
    </w:p>
    <w:p w:rsidR="005534D0" w:rsidRPr="00BB7B46" w:rsidRDefault="005534D0" w:rsidP="00BB7B46">
      <w:pPr>
        <w:ind w:firstLine="720"/>
        <w:jc w:val="both"/>
        <w:outlineLvl w:val="2"/>
        <w:rPr>
          <w:szCs w:val="20"/>
        </w:rPr>
      </w:pPr>
    </w:p>
    <w:p w:rsidR="00BB7B46" w:rsidRDefault="00BB7B46" w:rsidP="00BB7B46">
      <w:pPr>
        <w:ind w:firstLine="720"/>
        <w:jc w:val="both"/>
        <w:outlineLvl w:val="2"/>
        <w:rPr>
          <w:szCs w:val="20"/>
        </w:rPr>
      </w:pPr>
      <w:r w:rsidRPr="00BB7B46">
        <w:rPr>
          <w:szCs w:val="20"/>
        </w:rPr>
        <w:t xml:space="preserve">A new transmission line sited west from FPL’s existing Duval Substation in Duval </w:t>
      </w:r>
      <w:r>
        <w:rPr>
          <w:szCs w:val="20"/>
        </w:rPr>
        <w:tab/>
      </w:r>
      <w:r w:rsidRPr="00BB7B46">
        <w:rPr>
          <w:szCs w:val="20"/>
        </w:rPr>
        <w:t xml:space="preserve">County to FPL’s planned Raven Substation in Columbia County would be the most </w:t>
      </w:r>
      <w:r>
        <w:rPr>
          <w:szCs w:val="20"/>
        </w:rPr>
        <w:tab/>
      </w:r>
      <w:r w:rsidRPr="00BB7B46">
        <w:rPr>
          <w:szCs w:val="20"/>
        </w:rPr>
        <w:t xml:space="preserve">reliable, cost-effective means to serve the projected load growth within Baker, Bradford, </w:t>
      </w:r>
      <w:r>
        <w:rPr>
          <w:szCs w:val="20"/>
        </w:rPr>
        <w:tab/>
      </w:r>
      <w:r w:rsidRPr="00BB7B46">
        <w:rPr>
          <w:szCs w:val="20"/>
        </w:rPr>
        <w:t xml:space="preserve">Columbia, and Union Counties.  A study of transmission improvements for this area </w:t>
      </w:r>
      <w:r>
        <w:rPr>
          <w:szCs w:val="20"/>
        </w:rPr>
        <w:tab/>
      </w:r>
      <w:r w:rsidRPr="00BB7B46">
        <w:rPr>
          <w:szCs w:val="20"/>
        </w:rPr>
        <w:t>evaluated various alternatives which resulted in the selection of the DRP as the most cost-</w:t>
      </w:r>
      <w:r>
        <w:rPr>
          <w:szCs w:val="20"/>
        </w:rPr>
        <w:tab/>
      </w:r>
      <w:r w:rsidRPr="00BB7B46">
        <w:rPr>
          <w:szCs w:val="20"/>
        </w:rPr>
        <w:t xml:space="preserve">effective and efficient means to both reinforce the existing 230 kV and 115 kV networks </w:t>
      </w:r>
      <w:r>
        <w:rPr>
          <w:szCs w:val="20"/>
        </w:rPr>
        <w:tab/>
      </w:r>
      <w:r w:rsidRPr="00BB7B46">
        <w:rPr>
          <w:szCs w:val="20"/>
        </w:rPr>
        <w:t xml:space="preserve">and provide electrical service to existing and future load areas and substations within the </w:t>
      </w:r>
      <w:r>
        <w:rPr>
          <w:szCs w:val="20"/>
        </w:rPr>
        <w:lastRenderedPageBreak/>
        <w:tab/>
      </w:r>
      <w:r w:rsidRPr="00BB7B46">
        <w:rPr>
          <w:szCs w:val="20"/>
        </w:rPr>
        <w:t xml:space="preserve">Baldwin-Columbia-Bradford transmission facilities.  In summary, the DRP presents the </w:t>
      </w:r>
      <w:r>
        <w:rPr>
          <w:szCs w:val="20"/>
        </w:rPr>
        <w:tab/>
      </w:r>
      <w:r w:rsidRPr="00BB7B46">
        <w:rPr>
          <w:szCs w:val="20"/>
        </w:rPr>
        <w:t xml:space="preserve">best alternative for satisfying the need for a reliable and cost-effective supply of power to </w:t>
      </w:r>
      <w:r>
        <w:rPr>
          <w:szCs w:val="20"/>
        </w:rPr>
        <w:tab/>
      </w:r>
      <w:r w:rsidRPr="00BB7B46">
        <w:rPr>
          <w:szCs w:val="20"/>
        </w:rPr>
        <w:t xml:space="preserve">FPL’s existing and future customers within Baker, Bradford, Columbia, and Union </w:t>
      </w:r>
      <w:r>
        <w:rPr>
          <w:szCs w:val="20"/>
        </w:rPr>
        <w:tab/>
      </w:r>
      <w:r w:rsidRPr="00BB7B46">
        <w:rPr>
          <w:szCs w:val="20"/>
        </w:rPr>
        <w:t xml:space="preserve">Counties.  FPL’s petition, </w:t>
      </w:r>
      <w:proofErr w:type="spellStart"/>
      <w:r w:rsidRPr="00BB7B46">
        <w:rPr>
          <w:szCs w:val="20"/>
        </w:rPr>
        <w:t>prefiled</w:t>
      </w:r>
      <w:proofErr w:type="spellEnd"/>
      <w:r w:rsidRPr="00BB7B46">
        <w:rPr>
          <w:szCs w:val="20"/>
        </w:rPr>
        <w:t xml:space="preserve"> testimony, and exhibits demonstrate the need for the </w:t>
      </w:r>
      <w:r>
        <w:rPr>
          <w:szCs w:val="20"/>
        </w:rPr>
        <w:tab/>
      </w:r>
      <w:r w:rsidRPr="00BB7B46">
        <w:rPr>
          <w:szCs w:val="20"/>
        </w:rPr>
        <w:t xml:space="preserve">Duval-Raven Project in the proposed time frame as the most cost-effective alternative </w:t>
      </w:r>
      <w:r>
        <w:rPr>
          <w:szCs w:val="20"/>
        </w:rPr>
        <w:tab/>
      </w:r>
      <w:r w:rsidRPr="00BB7B46">
        <w:rPr>
          <w:szCs w:val="20"/>
        </w:rPr>
        <w:t xml:space="preserve">available, taking into account the demand for electricity, the need for electric system </w:t>
      </w:r>
      <w:r>
        <w:rPr>
          <w:szCs w:val="20"/>
        </w:rPr>
        <w:tab/>
      </w:r>
      <w:r w:rsidRPr="00BB7B46">
        <w:rPr>
          <w:szCs w:val="20"/>
        </w:rPr>
        <w:t xml:space="preserve">reliability and integrity, the need for abundant, low-cost electrical energy to assure the </w:t>
      </w:r>
      <w:r>
        <w:rPr>
          <w:szCs w:val="20"/>
        </w:rPr>
        <w:tab/>
      </w:r>
      <w:r w:rsidRPr="00BB7B46">
        <w:rPr>
          <w:szCs w:val="20"/>
        </w:rPr>
        <w:t xml:space="preserve">economic well-being of the residents of this state, the location of the project (starting and </w:t>
      </w:r>
      <w:r>
        <w:rPr>
          <w:szCs w:val="20"/>
        </w:rPr>
        <w:tab/>
      </w:r>
      <w:r w:rsidRPr="00BB7B46">
        <w:rPr>
          <w:szCs w:val="20"/>
        </w:rPr>
        <w:t xml:space="preserve">ending points of the line), and other relevant matters pursuant to Section 403.537(1)(c), </w:t>
      </w:r>
      <w:r>
        <w:rPr>
          <w:szCs w:val="20"/>
        </w:rPr>
        <w:tab/>
      </w:r>
      <w:r w:rsidRPr="00BB7B46">
        <w:rPr>
          <w:szCs w:val="20"/>
        </w:rPr>
        <w:t>Florida Statutes (2015).</w:t>
      </w:r>
    </w:p>
    <w:p w:rsidR="00BB7B46" w:rsidRPr="00BB7B46" w:rsidRDefault="00BB7B46" w:rsidP="00BB7B46">
      <w:pPr>
        <w:ind w:firstLine="720"/>
        <w:jc w:val="both"/>
        <w:outlineLvl w:val="2"/>
        <w:rPr>
          <w:szCs w:val="20"/>
        </w:rPr>
      </w:pPr>
    </w:p>
    <w:p w:rsidR="00BB7B46" w:rsidRPr="00BB7B46" w:rsidRDefault="00BB7B46" w:rsidP="00BB7B46">
      <w:pPr>
        <w:ind w:left="1440" w:hanging="1440"/>
        <w:jc w:val="both"/>
      </w:pPr>
      <w:r>
        <w:rPr>
          <w:szCs w:val="20"/>
        </w:rPr>
        <w:tab/>
      </w:r>
      <w:r w:rsidRPr="00BB7B46">
        <w:rPr>
          <w:szCs w:val="20"/>
        </w:rPr>
        <w:t xml:space="preserve">For these reasons, and those set forth more fully in FPL’s Petition and </w:t>
      </w:r>
      <w:proofErr w:type="spellStart"/>
      <w:r w:rsidRPr="00BB7B46">
        <w:rPr>
          <w:szCs w:val="20"/>
        </w:rPr>
        <w:t>prefiled</w:t>
      </w:r>
      <w:proofErr w:type="spellEnd"/>
      <w:r w:rsidRPr="00BB7B46">
        <w:rPr>
          <w:szCs w:val="20"/>
        </w:rPr>
        <w:t xml:space="preserve"> testimony and exhibits, FPL satisfies the statutory elements for granting an affirmative determination of need for DRP pursuant to Section 403.537, Florida Statutes.</w:t>
      </w:r>
    </w:p>
    <w:p w:rsidR="00BB7B46" w:rsidRPr="00BB7B46" w:rsidRDefault="00BB7B46" w:rsidP="00BB7B46">
      <w:pPr>
        <w:jc w:val="both"/>
      </w:pPr>
    </w:p>
    <w:p w:rsidR="00BB7B46" w:rsidRPr="00BB7B46" w:rsidRDefault="00BB7B46" w:rsidP="00A160CB">
      <w:pPr>
        <w:ind w:left="1440" w:hanging="1440"/>
        <w:jc w:val="both"/>
      </w:pPr>
      <w:r w:rsidRPr="00BB7B46">
        <w:rPr>
          <w:b/>
          <w:bCs/>
          <w:u w:val="single"/>
        </w:rPr>
        <w:t>STAFF</w:t>
      </w:r>
      <w:r w:rsidRPr="00BB7B46">
        <w:rPr>
          <w:b/>
          <w:bCs/>
        </w:rPr>
        <w:t>:</w:t>
      </w:r>
      <w:r w:rsidRPr="00BB7B46">
        <w:rPr>
          <w:b/>
          <w:bCs/>
        </w:rPr>
        <w:tab/>
      </w:r>
      <w:r w:rsidRPr="00BB7B46">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BB7B46" w:rsidRPr="00BB7B46" w:rsidRDefault="00BB7B46" w:rsidP="00BB7B46">
      <w:pPr>
        <w:ind w:left="1440" w:hanging="1440"/>
        <w:jc w:val="both"/>
      </w:pPr>
    </w:p>
    <w:p w:rsidR="00BB7B46" w:rsidRDefault="00BB7B46" w:rsidP="00BB7B46">
      <w:pPr>
        <w:jc w:val="both"/>
        <w:rPr>
          <w:u w:val="single"/>
        </w:rPr>
      </w:pPr>
      <w:r w:rsidRPr="00BB7B46">
        <w:t>VIII.</w:t>
      </w:r>
      <w:r w:rsidRPr="00BB7B46">
        <w:tab/>
      </w:r>
      <w:r w:rsidRPr="00BB7B46">
        <w:rPr>
          <w:u w:val="single"/>
        </w:rPr>
        <w:t xml:space="preserve">ISSUES </w:t>
      </w:r>
      <w:smartTag w:uri="urn:schemas-microsoft-com:office:smarttags" w:element="stockticker">
        <w:r w:rsidRPr="00BB7B46">
          <w:rPr>
            <w:u w:val="single"/>
          </w:rPr>
          <w:t>AND</w:t>
        </w:r>
      </w:smartTag>
      <w:r w:rsidRPr="00BB7B46">
        <w:rPr>
          <w:u w:val="single"/>
        </w:rPr>
        <w:t xml:space="preserve"> POSITIONS</w:t>
      </w:r>
    </w:p>
    <w:p w:rsidR="00500673" w:rsidRDefault="00500673" w:rsidP="00BB7B46">
      <w:pPr>
        <w:jc w:val="both"/>
        <w:rPr>
          <w:u w:val="single"/>
        </w:rPr>
      </w:pPr>
    </w:p>
    <w:p w:rsidR="00500673" w:rsidRPr="00500673" w:rsidRDefault="00500673" w:rsidP="00BB7B46">
      <w:pPr>
        <w:jc w:val="both"/>
      </w:pPr>
      <w:r>
        <w:tab/>
      </w:r>
      <w:r>
        <w:tab/>
        <w:t>FPL and staff have proposed stipulations on the issues set out below.</w:t>
      </w:r>
    </w:p>
    <w:p w:rsidR="00BB7B46" w:rsidRPr="00BB7B46" w:rsidRDefault="00BB7B46" w:rsidP="00BB7B46">
      <w:pPr>
        <w:jc w:val="both"/>
      </w:pPr>
    </w:p>
    <w:p w:rsidR="00B64BB2" w:rsidRDefault="00B64BB2" w:rsidP="000C0753">
      <w:pPr>
        <w:ind w:left="1440" w:hanging="1440"/>
        <w:jc w:val="both"/>
        <w:rPr>
          <w:b/>
          <w:bCs/>
          <w:u w:val="single"/>
        </w:rPr>
      </w:pPr>
      <w:r>
        <w:rPr>
          <w:b/>
          <w:bCs/>
          <w:u w:val="single"/>
        </w:rPr>
        <w:t>PROPOSED</w:t>
      </w:r>
    </w:p>
    <w:p w:rsidR="00500673" w:rsidRDefault="00500673" w:rsidP="00500673">
      <w:pPr>
        <w:ind w:left="1440" w:hanging="1440"/>
        <w:jc w:val="both"/>
        <w:rPr>
          <w:b/>
          <w:bCs/>
          <w:u w:val="single"/>
        </w:rPr>
      </w:pPr>
      <w:r>
        <w:rPr>
          <w:b/>
          <w:bCs/>
          <w:u w:val="single"/>
        </w:rPr>
        <w:t>STIPULATION</w:t>
      </w:r>
    </w:p>
    <w:p w:rsidR="00BB7B46" w:rsidRPr="000C0753" w:rsidRDefault="00BB7B46" w:rsidP="000C0753">
      <w:pPr>
        <w:ind w:left="1440" w:hanging="1440"/>
        <w:jc w:val="both"/>
        <w:rPr>
          <w:b/>
        </w:rPr>
      </w:pPr>
      <w:r w:rsidRPr="00BB7B46">
        <w:rPr>
          <w:b/>
          <w:bCs/>
          <w:u w:val="single"/>
        </w:rPr>
        <w:t>ISSUE 1</w:t>
      </w:r>
      <w:r w:rsidRPr="00BB7B46">
        <w:rPr>
          <w:b/>
          <w:bCs/>
        </w:rPr>
        <w:t>:</w:t>
      </w:r>
      <w:r w:rsidRPr="00BB7B46">
        <w:tab/>
      </w:r>
      <w:r w:rsidR="007A15D0" w:rsidRPr="000C0753">
        <w:rPr>
          <w:b/>
        </w:rPr>
        <w:t>Is there a need for Florida Power &amp; Light Company’s proposed Duval-Raven 230 kV transmission line project, given the need for electric system reliability and integrity, as prescribed in section 403.537, Florida Statutes?</w:t>
      </w:r>
    </w:p>
    <w:p w:rsidR="00BB7B46" w:rsidRPr="00BB7B46" w:rsidRDefault="00BB7B46" w:rsidP="00BB7B46">
      <w:pPr>
        <w:jc w:val="both"/>
      </w:pPr>
    </w:p>
    <w:p w:rsidR="00BB7B46" w:rsidRPr="00BB7B46" w:rsidRDefault="00BB7B46" w:rsidP="00BB7B46">
      <w:pPr>
        <w:jc w:val="both"/>
      </w:pPr>
      <w:r w:rsidRPr="00BB7B46">
        <w:rPr>
          <w:b/>
          <w:bCs/>
          <w:u w:val="single"/>
        </w:rPr>
        <w:t>POSITION</w:t>
      </w:r>
      <w:r w:rsidR="00B64BB2">
        <w:rPr>
          <w:b/>
          <w:bCs/>
          <w:u w:val="single"/>
        </w:rPr>
        <w:t>:</w:t>
      </w:r>
    </w:p>
    <w:p w:rsidR="00BB7B46" w:rsidRPr="00BB7B46" w:rsidRDefault="00BB7B46" w:rsidP="00BB7B46">
      <w:pPr>
        <w:jc w:val="both"/>
      </w:pPr>
    </w:p>
    <w:p w:rsidR="00B64BB2" w:rsidRPr="006024C5" w:rsidRDefault="00B64BB2" w:rsidP="00B64BB2">
      <w:pPr>
        <w:spacing w:after="240"/>
        <w:ind w:left="1440"/>
        <w:jc w:val="both"/>
      </w:pPr>
      <w:r w:rsidRPr="006024C5">
        <w:t xml:space="preserve">Yes. FPL has demonstrated a need for the proposed Duval-Raven 230 kV transmission line project, taking into account the need for electric system reliability and integrity. This transmission line is needed to: (a) serve the forecasted load and customer base in FPL’s North Region; (b) increase the capacity of the existing 230 kV transmission network between the Duval, Baldwin, and Bradford Substations and relieve the loading on the existing 115 kV transmission network between the Baldwin, Bradford, and Columbia Substations consistent with the reliability standards and criteria established by the North American Electric Reliability Corporation; and (c) provide another electrical feed from the Duval Substation in Duval County to the Lake City area in Columbia County largely adjacent to an existing 115 kV transmission network. FPL’s studies estimate that the proposed project would reduce transmission losses by </w:t>
      </w:r>
      <w:r w:rsidRPr="006024C5">
        <w:lastRenderedPageBreak/>
        <w:t>approximately 6.2 MW at peak load. Therefore, the proposed Duval-Raven 230 kV transmission line project should maintain and improve the reliability and improve the power transfer capability to FPL’s customers in this area.</w:t>
      </w:r>
    </w:p>
    <w:p w:rsidR="00B64BB2" w:rsidRPr="006024C5" w:rsidRDefault="00B64BB2" w:rsidP="00B64BB2">
      <w:pPr>
        <w:spacing w:after="240"/>
        <w:ind w:left="1440"/>
        <w:jc w:val="both"/>
      </w:pPr>
      <w:r w:rsidRPr="006024C5">
        <w:t>The need for transmission system upgrades is most frequently based on potential overload or low voltage conditions associated with contingency events, which occur when a facility such as a generator, transmission circuit or transformer is disconnected from the system. The record in this case demonstrates that if FPL does not add or improve transmission capacity in the projected service area by December 2018, potential overloads ranging from 9 to 14 percent of the thermal line rating for certain existing lines are forecasted under certain contingencies.</w:t>
      </w:r>
    </w:p>
    <w:p w:rsidR="007A15D0" w:rsidRDefault="007A15D0" w:rsidP="00BB7B46">
      <w:pPr>
        <w:jc w:val="both"/>
        <w:rPr>
          <w:b/>
          <w:bCs/>
        </w:rPr>
      </w:pPr>
    </w:p>
    <w:p w:rsidR="00B64BB2" w:rsidRDefault="00B64BB2" w:rsidP="00B64BB2">
      <w:pPr>
        <w:ind w:left="1440" w:hanging="1440"/>
        <w:jc w:val="both"/>
        <w:rPr>
          <w:b/>
          <w:bCs/>
          <w:u w:val="single"/>
        </w:rPr>
      </w:pPr>
      <w:r>
        <w:rPr>
          <w:b/>
          <w:bCs/>
          <w:u w:val="single"/>
        </w:rPr>
        <w:t xml:space="preserve">PROPOSED </w:t>
      </w:r>
    </w:p>
    <w:p w:rsidR="00B64BB2" w:rsidRDefault="00500673" w:rsidP="00500673">
      <w:pPr>
        <w:ind w:left="1440" w:hanging="1440"/>
        <w:jc w:val="both"/>
        <w:rPr>
          <w:b/>
          <w:bCs/>
          <w:u w:val="single"/>
        </w:rPr>
      </w:pPr>
      <w:r>
        <w:rPr>
          <w:b/>
          <w:bCs/>
          <w:u w:val="single"/>
        </w:rPr>
        <w:t>STIPULATION</w:t>
      </w:r>
    </w:p>
    <w:p w:rsidR="00B64BB2" w:rsidRDefault="007A15D0" w:rsidP="00B64BB2">
      <w:pPr>
        <w:ind w:left="1440" w:hanging="1440"/>
        <w:jc w:val="both"/>
      </w:pPr>
      <w:r w:rsidRPr="00BB7B46">
        <w:rPr>
          <w:b/>
          <w:bCs/>
          <w:u w:val="single"/>
        </w:rPr>
        <w:t xml:space="preserve">ISSUE </w:t>
      </w:r>
      <w:r>
        <w:rPr>
          <w:b/>
          <w:bCs/>
          <w:u w:val="single"/>
        </w:rPr>
        <w:t>2</w:t>
      </w:r>
      <w:r w:rsidRPr="00BB7B46">
        <w:rPr>
          <w:b/>
          <w:bCs/>
        </w:rPr>
        <w:t>:</w:t>
      </w:r>
      <w:r w:rsidRPr="00BB7B46">
        <w:tab/>
      </w:r>
      <w:r w:rsidRPr="000C0753">
        <w:rPr>
          <w:b/>
          <w:szCs w:val="20"/>
        </w:rPr>
        <w:t>Is there a need for Florida Power &amp; Li</w:t>
      </w:r>
      <w:r w:rsidR="00C72950" w:rsidRPr="000C0753">
        <w:rPr>
          <w:b/>
          <w:szCs w:val="20"/>
        </w:rPr>
        <w:t>ght Company’s proposed Duval-</w:t>
      </w:r>
      <w:r w:rsidRPr="000C0753">
        <w:rPr>
          <w:b/>
          <w:szCs w:val="20"/>
        </w:rPr>
        <w:t>Raven 230 kV transmission line project given th</w:t>
      </w:r>
      <w:r w:rsidR="000C0753">
        <w:rPr>
          <w:b/>
          <w:szCs w:val="20"/>
        </w:rPr>
        <w:t xml:space="preserve">e need for abundant, low cost </w:t>
      </w:r>
      <w:r w:rsidR="00C72950" w:rsidRPr="000C0753">
        <w:rPr>
          <w:b/>
          <w:szCs w:val="20"/>
        </w:rPr>
        <w:t xml:space="preserve">electrical </w:t>
      </w:r>
      <w:r w:rsidRPr="000C0753">
        <w:rPr>
          <w:b/>
          <w:szCs w:val="20"/>
        </w:rPr>
        <w:t xml:space="preserve">energy to assure the economic well-being </w:t>
      </w:r>
      <w:r w:rsidR="00C72950" w:rsidRPr="000C0753">
        <w:rPr>
          <w:b/>
          <w:szCs w:val="20"/>
        </w:rPr>
        <w:t xml:space="preserve">of the citizens of the State, </w:t>
      </w:r>
      <w:r w:rsidRPr="000C0753">
        <w:rPr>
          <w:b/>
          <w:szCs w:val="20"/>
        </w:rPr>
        <w:t>as prescribed in section 403.537, Florida Statutes?</w:t>
      </w:r>
    </w:p>
    <w:p w:rsidR="005534D0" w:rsidRPr="00BB7B46" w:rsidRDefault="005534D0" w:rsidP="007A15D0">
      <w:pPr>
        <w:jc w:val="both"/>
      </w:pPr>
    </w:p>
    <w:p w:rsidR="00B64BB2" w:rsidRDefault="007A15D0" w:rsidP="00B64BB2">
      <w:pPr>
        <w:spacing w:after="240"/>
        <w:jc w:val="both"/>
        <w:rPr>
          <w:b/>
          <w:bCs/>
          <w:u w:val="single"/>
        </w:rPr>
      </w:pPr>
      <w:r w:rsidRPr="00BB7B46">
        <w:rPr>
          <w:b/>
          <w:bCs/>
          <w:u w:val="single"/>
        </w:rPr>
        <w:t>POSITION</w:t>
      </w:r>
      <w:r w:rsidR="00B64BB2">
        <w:rPr>
          <w:b/>
          <w:bCs/>
          <w:u w:val="single"/>
        </w:rPr>
        <w:t>:</w:t>
      </w:r>
    </w:p>
    <w:p w:rsidR="00B64BB2" w:rsidRPr="006024C5" w:rsidRDefault="00B64BB2" w:rsidP="00B64BB2">
      <w:pPr>
        <w:spacing w:after="240"/>
        <w:ind w:left="1440"/>
        <w:jc w:val="both"/>
        <w:rPr>
          <w:strike/>
        </w:rPr>
      </w:pPr>
      <w:r w:rsidRPr="006024C5">
        <w:t>Yes. FPL has demonstrated a need for the proposed Duval-Raven 230 kV transmission line project, taking into account the need for abundant, low cost electrical energy to assure the economic well-being of the citizens of the state. The record in this case demonstrates that the proposed Duval-Raven 230 kV transmission line project is the most cost-effective and efficient means to both reinforce the existing 230 kV and 115 kV networks and provide electrical service to existing and future load areas and substations within the Baldwin-Columbia-Bradford transmission facilities.</w:t>
      </w:r>
    </w:p>
    <w:p w:rsidR="00B64BB2" w:rsidRPr="006024C5" w:rsidRDefault="00B64BB2" w:rsidP="00B64BB2">
      <w:pPr>
        <w:spacing w:after="240"/>
        <w:ind w:left="1440"/>
        <w:jc w:val="both"/>
      </w:pPr>
      <w:r w:rsidRPr="006024C5">
        <w:t>The estimated capital cost of the proposed Duval-Raven 230 kV transmission line project is $71 million, including approximately $15 million for the new Raven substation.</w:t>
      </w:r>
      <w:r w:rsidRPr="006024C5">
        <w:rPr>
          <w:rFonts w:ascii="TimesNewRoman" w:hAnsi="TimesNewRoman" w:cs="TimesNewRoman"/>
        </w:rPr>
        <w:t xml:space="preserve"> </w:t>
      </w:r>
      <w:r w:rsidRPr="006024C5">
        <w:rPr>
          <w:rFonts w:cstheme="minorHAnsi"/>
        </w:rPr>
        <w:t xml:space="preserve">Approximately </w:t>
      </w:r>
      <w:r w:rsidRPr="006024C5">
        <w:t>96% of the length of the new transmission line will be located within an existing transmission line right-of-way. While the final cost is subject to the final route and other conditions that could be imposed through the Transmission Line Siting Act process, the estimated cost appears reasonable.</w:t>
      </w:r>
    </w:p>
    <w:p w:rsidR="00B64BB2" w:rsidRPr="006024C5" w:rsidRDefault="00FD5EF0" w:rsidP="00B64BB2">
      <w:pPr>
        <w:spacing w:after="240"/>
        <w:ind w:left="1440"/>
        <w:jc w:val="both"/>
      </w:pPr>
      <w:r>
        <w:t>FPL evaluated three</w:t>
      </w:r>
      <w:r w:rsidR="00B64BB2" w:rsidRPr="006024C5">
        <w:t xml:space="preserve"> alternatives to the proposed Duval-Raven Project. Alternative I consists of ampacity upgrades of several line sections, some of the sections requiring </w:t>
      </w:r>
      <w:proofErr w:type="spellStart"/>
      <w:r w:rsidR="00B64BB2" w:rsidRPr="006024C5">
        <w:t>reconductoring</w:t>
      </w:r>
      <w:proofErr w:type="spellEnd"/>
      <w:r w:rsidR="00B64BB2" w:rsidRPr="006024C5">
        <w:t xml:space="preserve">, in the existing 115 kV transmission lines in the region and installation of additional substation equipment to provide voltage support. The estimated capital cost of Alternative I is $101 million. Alternative I would reduce transmission losses by approximately 0.5 MW at peak load and delay the construction of additional 230 kV transmission upgrades by six years. Alternative I was rejected by FPL based upon economics, potential construction delays due to </w:t>
      </w:r>
      <w:r w:rsidR="00B64BB2" w:rsidRPr="006024C5">
        <w:lastRenderedPageBreak/>
        <w:t xml:space="preserve">required clearances for </w:t>
      </w:r>
      <w:proofErr w:type="spellStart"/>
      <w:r w:rsidR="00B64BB2" w:rsidRPr="006024C5">
        <w:t>reconductoring</w:t>
      </w:r>
      <w:proofErr w:type="spellEnd"/>
      <w:r w:rsidR="00B64BB2" w:rsidRPr="006024C5">
        <w:t xml:space="preserve"> the existing 115 kV transmission line sections, the lack of future transmission network flexibility, and the fact it would require significant future transmission improvements in the area. Alternatives II and III consist of various configurations of a new 230 kV transmission line connecting the existing Suwannee River or Fort White substations with the existing Columbia substation. Alternatives II and III would provide a long term transmission solution, but would require additional rights of way acquisitions and expansion of the existing Columbia Substation which is built out and located in a residential area. Therefore, Alternatives II and III were not considered practical or feasible options by FPL.</w:t>
      </w:r>
    </w:p>
    <w:p w:rsidR="007A15D0" w:rsidRPr="00BB7B46" w:rsidRDefault="007A15D0" w:rsidP="007A15D0">
      <w:pPr>
        <w:jc w:val="both"/>
      </w:pPr>
    </w:p>
    <w:p w:rsidR="00B64BB2" w:rsidRDefault="00B64BB2" w:rsidP="00B64BB2">
      <w:pPr>
        <w:jc w:val="both"/>
        <w:rPr>
          <w:b/>
          <w:u w:val="single"/>
        </w:rPr>
      </w:pPr>
      <w:r>
        <w:rPr>
          <w:b/>
          <w:u w:val="single"/>
        </w:rPr>
        <w:t xml:space="preserve">PROPOSED </w:t>
      </w:r>
    </w:p>
    <w:p w:rsidR="00500673" w:rsidRDefault="00500673" w:rsidP="00500673">
      <w:pPr>
        <w:ind w:left="1440" w:hanging="1440"/>
        <w:jc w:val="both"/>
        <w:rPr>
          <w:b/>
          <w:bCs/>
          <w:u w:val="single"/>
        </w:rPr>
      </w:pPr>
      <w:r>
        <w:rPr>
          <w:b/>
          <w:bCs/>
          <w:u w:val="single"/>
        </w:rPr>
        <w:t>STIPULATION</w:t>
      </w:r>
    </w:p>
    <w:p w:rsidR="007A15D0" w:rsidRPr="00B64BB2" w:rsidRDefault="00B64BB2" w:rsidP="00B64BB2">
      <w:pPr>
        <w:ind w:left="1440" w:hanging="1440"/>
        <w:jc w:val="both"/>
        <w:rPr>
          <w:b/>
          <w:u w:val="single"/>
        </w:rPr>
      </w:pPr>
      <w:r w:rsidRPr="00B64BB2">
        <w:rPr>
          <w:b/>
          <w:u w:val="single"/>
        </w:rPr>
        <w:t xml:space="preserve">ISSUE </w:t>
      </w:r>
      <w:r w:rsidR="007A15D0" w:rsidRPr="00B64BB2">
        <w:rPr>
          <w:b/>
          <w:u w:val="single"/>
        </w:rPr>
        <w:t>3:</w:t>
      </w:r>
      <w:r w:rsidR="007A15D0" w:rsidRPr="00B64BB2">
        <w:rPr>
          <w:b/>
        </w:rPr>
        <w:tab/>
        <w:t>Are Florida Power &amp; Light Company’s Duva</w:t>
      </w:r>
      <w:r w:rsidR="000C0753" w:rsidRPr="00B64BB2">
        <w:rPr>
          <w:b/>
        </w:rPr>
        <w:t xml:space="preserve">l Substation in Duval County </w:t>
      </w:r>
      <w:r w:rsidR="007A15D0" w:rsidRPr="00B64BB2">
        <w:rPr>
          <w:b/>
        </w:rPr>
        <w:t>and its planned Raven Substation in Col</w:t>
      </w:r>
      <w:r w:rsidR="000C0753" w:rsidRPr="00B64BB2">
        <w:rPr>
          <w:b/>
        </w:rPr>
        <w:t xml:space="preserve">umbia County the appropriate </w:t>
      </w:r>
      <w:r w:rsidR="007A15D0" w:rsidRPr="00B64BB2">
        <w:rPr>
          <w:b/>
        </w:rPr>
        <w:t>starting and ending points for the</w:t>
      </w:r>
      <w:r w:rsidR="000C0753" w:rsidRPr="00B64BB2">
        <w:rPr>
          <w:b/>
        </w:rPr>
        <w:t xml:space="preserve"> proposed Duval-Raven 230kV </w:t>
      </w:r>
      <w:r w:rsidR="007A15D0" w:rsidRPr="00B64BB2">
        <w:rPr>
          <w:b/>
        </w:rPr>
        <w:t>transmission line as prescri</w:t>
      </w:r>
      <w:r w:rsidR="000C0753" w:rsidRPr="00B64BB2">
        <w:rPr>
          <w:b/>
        </w:rPr>
        <w:t xml:space="preserve">bed in section 403.537, Florida </w:t>
      </w:r>
      <w:r w:rsidR="007A15D0" w:rsidRPr="00B64BB2">
        <w:rPr>
          <w:b/>
        </w:rPr>
        <w:t>Statutes?</w:t>
      </w:r>
    </w:p>
    <w:p w:rsidR="007A15D0" w:rsidRPr="00BB7B46" w:rsidRDefault="007A15D0" w:rsidP="007A15D0">
      <w:pPr>
        <w:jc w:val="both"/>
      </w:pPr>
    </w:p>
    <w:p w:rsidR="007A15D0" w:rsidRDefault="007A15D0" w:rsidP="007A15D0">
      <w:pPr>
        <w:jc w:val="both"/>
        <w:rPr>
          <w:b/>
          <w:bCs/>
          <w:u w:val="single"/>
        </w:rPr>
      </w:pPr>
      <w:r w:rsidRPr="00BB7B46">
        <w:rPr>
          <w:b/>
          <w:bCs/>
          <w:u w:val="single"/>
        </w:rPr>
        <w:t>POSITION</w:t>
      </w:r>
      <w:r w:rsidR="00B64BB2">
        <w:rPr>
          <w:b/>
          <w:bCs/>
          <w:u w:val="single"/>
        </w:rPr>
        <w:t>:</w:t>
      </w:r>
    </w:p>
    <w:p w:rsidR="00B64BB2" w:rsidRDefault="00B64BB2" w:rsidP="00B64BB2">
      <w:pPr>
        <w:pStyle w:val="Default"/>
        <w:spacing w:after="240"/>
        <w:jc w:val="both"/>
        <w:rPr>
          <w:b/>
          <w:bCs/>
        </w:rPr>
      </w:pPr>
      <w:r>
        <w:rPr>
          <w:b/>
          <w:bCs/>
        </w:rPr>
        <w:tab/>
      </w:r>
      <w:r>
        <w:rPr>
          <w:b/>
          <w:bCs/>
        </w:rPr>
        <w:tab/>
      </w:r>
    </w:p>
    <w:p w:rsidR="00B64BB2" w:rsidRPr="006024C5" w:rsidRDefault="00B64BB2" w:rsidP="00B64BB2">
      <w:pPr>
        <w:pStyle w:val="Default"/>
        <w:spacing w:after="240"/>
        <w:ind w:left="1440"/>
        <w:jc w:val="both"/>
      </w:pPr>
      <w:r w:rsidRPr="006024C5">
        <w:t>Yes. A new transmission line sited west from FPL’s existing Duval Substation in Duval County to FPL’s planned Raven Substation in Columbia County would be the most reliable, cost-effective means to serve the projected load growth within Baker, Bradford, Columbia, and Union Counties. The record demonstrates that the appropriate starting and ending points are the Duval Substation and the planned Raven Substation, respectively. The Transmission Line Siting Board will make the final determination concerning the length and route of the proposed transmission line.</w:t>
      </w:r>
    </w:p>
    <w:p w:rsidR="00B64BB2" w:rsidRDefault="00B64BB2" w:rsidP="00B64BB2">
      <w:pPr>
        <w:jc w:val="both"/>
        <w:rPr>
          <w:b/>
          <w:u w:val="single"/>
        </w:rPr>
      </w:pPr>
      <w:r>
        <w:rPr>
          <w:b/>
          <w:u w:val="single"/>
        </w:rPr>
        <w:t xml:space="preserve">PROPOSED </w:t>
      </w:r>
    </w:p>
    <w:p w:rsidR="00500673" w:rsidRDefault="00500673" w:rsidP="00500673">
      <w:pPr>
        <w:ind w:left="1440" w:hanging="1440"/>
        <w:jc w:val="both"/>
        <w:rPr>
          <w:b/>
          <w:bCs/>
          <w:u w:val="single"/>
        </w:rPr>
      </w:pPr>
      <w:r>
        <w:rPr>
          <w:b/>
          <w:bCs/>
          <w:u w:val="single"/>
        </w:rPr>
        <w:t>STIPULATION</w:t>
      </w:r>
    </w:p>
    <w:p w:rsidR="007A15D0" w:rsidRPr="00774764" w:rsidRDefault="007A15D0" w:rsidP="00B64BB2">
      <w:pPr>
        <w:jc w:val="both"/>
        <w:rPr>
          <w:b/>
        </w:rPr>
      </w:pPr>
      <w:r w:rsidRPr="00B64BB2">
        <w:rPr>
          <w:b/>
          <w:u w:val="single"/>
        </w:rPr>
        <w:t>ISSUE 4:</w:t>
      </w:r>
      <w:r w:rsidRPr="00BB7B46">
        <w:tab/>
      </w:r>
      <w:r w:rsidRPr="00B64BB2">
        <w:rPr>
          <w:b/>
        </w:rPr>
        <w:t xml:space="preserve">Should the Commission grant Florida Power &amp; Light Company’s petition for </w:t>
      </w:r>
      <w:r w:rsidRPr="00B64BB2">
        <w:rPr>
          <w:b/>
        </w:rPr>
        <w:tab/>
      </w:r>
      <w:r w:rsidRPr="00B64BB2">
        <w:rPr>
          <w:b/>
        </w:rPr>
        <w:tab/>
        <w:t>determination of need for the proposed Du</w:t>
      </w:r>
      <w:r w:rsidR="000C0753" w:rsidRPr="00B64BB2">
        <w:rPr>
          <w:b/>
        </w:rPr>
        <w:t xml:space="preserve">val-Raven 230kV transmission </w:t>
      </w:r>
      <w:r w:rsidR="000C0753" w:rsidRPr="00B64BB2">
        <w:rPr>
          <w:b/>
        </w:rPr>
        <w:tab/>
      </w:r>
      <w:r w:rsidR="000C0753" w:rsidRPr="00B64BB2">
        <w:rPr>
          <w:b/>
        </w:rPr>
        <w:tab/>
      </w:r>
      <w:r w:rsidR="000C0753" w:rsidRPr="00B64BB2">
        <w:rPr>
          <w:b/>
        </w:rPr>
        <w:tab/>
      </w:r>
      <w:r w:rsidRPr="00B64BB2">
        <w:rPr>
          <w:b/>
        </w:rPr>
        <w:t>line project?</w:t>
      </w:r>
    </w:p>
    <w:p w:rsidR="007A15D0" w:rsidRPr="00BB7B46" w:rsidRDefault="007A15D0" w:rsidP="007A15D0">
      <w:pPr>
        <w:jc w:val="both"/>
      </w:pPr>
    </w:p>
    <w:p w:rsidR="007A15D0" w:rsidRPr="00BB7B46" w:rsidRDefault="007A15D0" w:rsidP="007A15D0">
      <w:pPr>
        <w:jc w:val="both"/>
      </w:pPr>
      <w:r w:rsidRPr="00BB7B46">
        <w:rPr>
          <w:b/>
          <w:bCs/>
          <w:u w:val="single"/>
        </w:rPr>
        <w:t>POSITION</w:t>
      </w:r>
      <w:r w:rsidR="00B64BB2">
        <w:rPr>
          <w:b/>
          <w:bCs/>
          <w:u w:val="single"/>
        </w:rPr>
        <w:t>:</w:t>
      </w:r>
    </w:p>
    <w:p w:rsidR="007A15D0" w:rsidRPr="00BB7B46" w:rsidRDefault="007A15D0" w:rsidP="007A15D0">
      <w:pPr>
        <w:jc w:val="both"/>
      </w:pPr>
    </w:p>
    <w:p w:rsidR="00701BB9" w:rsidRPr="006024C5" w:rsidRDefault="00B64BB2" w:rsidP="00701BB9">
      <w:pPr>
        <w:spacing w:after="240"/>
        <w:ind w:left="1440"/>
        <w:jc w:val="both"/>
      </w:pPr>
      <w:r w:rsidRPr="006024C5">
        <w:t xml:space="preserve">Yes. FPL has demonstrated a need for the Duval-Raven 230 kV transmission line project starting in December 2018, taking into account the need for electric system reliability and integrity, the need for abundant, low-cost electrical energy to assure the economic well-being of the residents of this state. The appropriate starting and ending points of the line are the existing Duval Substation in Duval County and FPL’s planned Raven Substation in Columbia County, respectively. </w:t>
      </w:r>
      <w:r w:rsidR="00701BB9" w:rsidRPr="006024C5">
        <w:lastRenderedPageBreak/>
        <w:t>The Transmission Line Siting Board will make the final determination concerning the length and route of the transmission line.</w:t>
      </w:r>
    </w:p>
    <w:p w:rsidR="00701BB9" w:rsidRDefault="00701BB9" w:rsidP="00701BB9">
      <w:pPr>
        <w:ind w:left="1440" w:hanging="1440"/>
        <w:jc w:val="both"/>
        <w:rPr>
          <w:b/>
          <w:bCs/>
          <w:u w:val="single"/>
        </w:rPr>
      </w:pPr>
      <w:r>
        <w:rPr>
          <w:b/>
          <w:bCs/>
          <w:u w:val="single"/>
        </w:rPr>
        <w:t>POTENTIAL</w:t>
      </w:r>
    </w:p>
    <w:p w:rsidR="00701BB9" w:rsidRDefault="00701BB9" w:rsidP="00701BB9">
      <w:pPr>
        <w:ind w:left="1440" w:hanging="1440"/>
        <w:jc w:val="both"/>
        <w:rPr>
          <w:b/>
          <w:bCs/>
          <w:u w:val="single"/>
        </w:rPr>
      </w:pPr>
      <w:r>
        <w:rPr>
          <w:b/>
          <w:bCs/>
          <w:u w:val="single"/>
        </w:rPr>
        <w:t>STIPULATION</w:t>
      </w:r>
    </w:p>
    <w:p w:rsidR="00701BB9" w:rsidRPr="000C0753" w:rsidRDefault="00701BB9" w:rsidP="00701BB9">
      <w:pPr>
        <w:ind w:left="1440" w:hanging="1440"/>
        <w:jc w:val="both"/>
        <w:rPr>
          <w:b/>
        </w:rPr>
      </w:pPr>
      <w:r w:rsidRPr="00BB7B46">
        <w:rPr>
          <w:b/>
          <w:bCs/>
          <w:u w:val="single"/>
        </w:rPr>
        <w:t xml:space="preserve">ISSUE </w:t>
      </w:r>
      <w:r>
        <w:rPr>
          <w:b/>
          <w:bCs/>
          <w:u w:val="single"/>
        </w:rPr>
        <w:t>5</w:t>
      </w:r>
      <w:r w:rsidRPr="00BB7B46">
        <w:rPr>
          <w:b/>
          <w:bCs/>
        </w:rPr>
        <w:t>:</w:t>
      </w:r>
      <w:r w:rsidRPr="00BB7B46">
        <w:tab/>
      </w:r>
      <w:r>
        <w:rPr>
          <w:b/>
        </w:rPr>
        <w:t xml:space="preserve">Should this docket be closed? </w:t>
      </w:r>
    </w:p>
    <w:p w:rsidR="00701BB9" w:rsidRDefault="00701BB9" w:rsidP="00B64BB2">
      <w:pPr>
        <w:spacing w:after="240"/>
        <w:ind w:left="1440"/>
        <w:jc w:val="both"/>
      </w:pPr>
    </w:p>
    <w:p w:rsidR="00701BB9" w:rsidRDefault="00701BB9" w:rsidP="00701BB9">
      <w:pPr>
        <w:jc w:val="both"/>
      </w:pPr>
      <w:r w:rsidRPr="00BB7B46">
        <w:rPr>
          <w:b/>
          <w:bCs/>
          <w:u w:val="single"/>
        </w:rPr>
        <w:t>POSITION</w:t>
      </w:r>
      <w:r>
        <w:rPr>
          <w:b/>
          <w:bCs/>
          <w:u w:val="single"/>
        </w:rPr>
        <w:t>:</w:t>
      </w:r>
      <w:r>
        <w:tab/>
        <w:t xml:space="preserve">Yes. The docket should be closed upon issuance of the Commission’s final order </w:t>
      </w:r>
      <w:r>
        <w:tab/>
      </w:r>
      <w:r>
        <w:tab/>
      </w:r>
      <w:r>
        <w:tab/>
        <w:t>in the case.</w:t>
      </w:r>
    </w:p>
    <w:p w:rsidR="00CE5F08" w:rsidRDefault="00CE5F08" w:rsidP="007A15D0">
      <w:pPr>
        <w:jc w:val="both"/>
        <w:rPr>
          <w:b/>
          <w:bCs/>
        </w:rPr>
      </w:pPr>
    </w:p>
    <w:p w:rsidR="00BB7B46" w:rsidRPr="00BB7B46" w:rsidRDefault="00BB7B46" w:rsidP="00BB7B46">
      <w:pPr>
        <w:jc w:val="both"/>
      </w:pPr>
      <w:r w:rsidRPr="00BB7B46">
        <w:t>IX.</w:t>
      </w:r>
      <w:r w:rsidRPr="00BB7B46">
        <w:tab/>
      </w:r>
      <w:r w:rsidRPr="00BB7B46">
        <w:rPr>
          <w:u w:val="single"/>
        </w:rPr>
        <w:t>EXHIBIT LIST</w:t>
      </w:r>
    </w:p>
    <w:p w:rsidR="00BB7B46" w:rsidRPr="00BB7B46" w:rsidRDefault="00BB7B46" w:rsidP="00BB7B46">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7A15D0" w:rsidRPr="00BB7B46" w:rsidTr="007A15D0">
        <w:trPr>
          <w:cantSplit/>
          <w:trHeight w:val="373"/>
          <w:tblHeader/>
        </w:trPr>
        <w:tc>
          <w:tcPr>
            <w:tcW w:w="3198" w:type="dxa"/>
          </w:tcPr>
          <w:p w:rsidR="00BB7B46" w:rsidRPr="00BB7B46" w:rsidRDefault="00BB7B46" w:rsidP="00AD0EFB">
            <w:pPr>
              <w:jc w:val="both"/>
            </w:pPr>
            <w:r w:rsidRPr="00BB7B46">
              <w:rPr>
                <w:u w:val="single"/>
              </w:rPr>
              <w:t>Witness</w:t>
            </w:r>
          </w:p>
        </w:tc>
        <w:tc>
          <w:tcPr>
            <w:tcW w:w="1680" w:type="dxa"/>
          </w:tcPr>
          <w:p w:rsidR="00BB7B46" w:rsidRPr="00BB7B46" w:rsidRDefault="00BB7B46" w:rsidP="00AD0EFB">
            <w:pPr>
              <w:jc w:val="center"/>
            </w:pPr>
            <w:r w:rsidRPr="00BB7B46">
              <w:rPr>
                <w:u w:val="single"/>
              </w:rPr>
              <w:t>Proffered By</w:t>
            </w:r>
          </w:p>
        </w:tc>
        <w:tc>
          <w:tcPr>
            <w:tcW w:w="1482" w:type="dxa"/>
          </w:tcPr>
          <w:p w:rsidR="00BB7B46" w:rsidRPr="00BB7B46" w:rsidRDefault="00BB7B46" w:rsidP="00AD0EFB">
            <w:pPr>
              <w:jc w:val="center"/>
            </w:pPr>
          </w:p>
        </w:tc>
        <w:tc>
          <w:tcPr>
            <w:tcW w:w="3205" w:type="dxa"/>
          </w:tcPr>
          <w:p w:rsidR="00BB7B46" w:rsidRPr="00BB7B46" w:rsidRDefault="00BB7B46" w:rsidP="00AD0EFB">
            <w:pPr>
              <w:jc w:val="both"/>
            </w:pPr>
            <w:r w:rsidRPr="00BB7B46">
              <w:rPr>
                <w:u w:val="single"/>
              </w:rPr>
              <w:t>Description</w:t>
            </w:r>
          </w:p>
        </w:tc>
      </w:tr>
      <w:tr w:rsidR="007A15D0" w:rsidRPr="00BB7B46" w:rsidTr="007A15D0">
        <w:trPr>
          <w:cantSplit/>
          <w:trHeight w:val="353"/>
        </w:trPr>
        <w:tc>
          <w:tcPr>
            <w:tcW w:w="3198" w:type="dxa"/>
          </w:tcPr>
          <w:p w:rsidR="00BB7B46" w:rsidRPr="00BB7B46" w:rsidRDefault="00BB7B46" w:rsidP="00AD0EFB">
            <w:pPr>
              <w:jc w:val="both"/>
            </w:pPr>
            <w:r w:rsidRPr="00BB7B46">
              <w:tab/>
            </w:r>
            <w:r w:rsidRPr="00BB7B46">
              <w:rPr>
                <w:u w:val="single"/>
              </w:rPr>
              <w:t>Direct</w:t>
            </w:r>
          </w:p>
        </w:tc>
        <w:tc>
          <w:tcPr>
            <w:tcW w:w="1680" w:type="dxa"/>
          </w:tcPr>
          <w:p w:rsidR="00BB7B46" w:rsidRPr="00BB7B46" w:rsidRDefault="00BB7B46" w:rsidP="00AD0EFB">
            <w:pPr>
              <w:jc w:val="center"/>
            </w:pPr>
          </w:p>
        </w:tc>
        <w:tc>
          <w:tcPr>
            <w:tcW w:w="1482" w:type="dxa"/>
          </w:tcPr>
          <w:p w:rsidR="00BB7B46" w:rsidRPr="00BB7B46" w:rsidRDefault="00BB7B46" w:rsidP="00AD0EFB">
            <w:pPr>
              <w:jc w:val="center"/>
            </w:pPr>
          </w:p>
        </w:tc>
        <w:tc>
          <w:tcPr>
            <w:tcW w:w="3205" w:type="dxa"/>
          </w:tcPr>
          <w:p w:rsidR="00BB7B46" w:rsidRPr="00BB7B46" w:rsidRDefault="00BB7B46" w:rsidP="00AD0EFB"/>
        </w:tc>
      </w:tr>
      <w:tr w:rsidR="007A15D0" w:rsidRPr="00BB7B46" w:rsidTr="007A15D0">
        <w:trPr>
          <w:cantSplit/>
          <w:trHeight w:val="353"/>
        </w:trPr>
        <w:tc>
          <w:tcPr>
            <w:tcW w:w="3198" w:type="dxa"/>
          </w:tcPr>
          <w:p w:rsidR="00BB7B46" w:rsidRPr="00BB7B46" w:rsidRDefault="00CE5F08" w:rsidP="00AD0EFB">
            <w:pPr>
              <w:jc w:val="both"/>
            </w:pPr>
            <w:r>
              <w:rPr>
                <w:bCs/>
              </w:rPr>
              <w:t>None</w:t>
            </w:r>
          </w:p>
        </w:tc>
        <w:tc>
          <w:tcPr>
            <w:tcW w:w="1680" w:type="dxa"/>
          </w:tcPr>
          <w:p w:rsidR="00BB7B46" w:rsidRPr="00BB7B46" w:rsidRDefault="00CE5F08" w:rsidP="00AD0EFB">
            <w:pPr>
              <w:jc w:val="center"/>
            </w:pPr>
            <w:r>
              <w:t>FPL</w:t>
            </w:r>
          </w:p>
        </w:tc>
        <w:tc>
          <w:tcPr>
            <w:tcW w:w="1482" w:type="dxa"/>
          </w:tcPr>
          <w:p w:rsidR="00735DC3" w:rsidRDefault="00735DC3" w:rsidP="00735DC3">
            <w:pPr>
              <w:jc w:val="center"/>
            </w:pPr>
            <w:r>
              <w:t>_______</w:t>
            </w:r>
          </w:p>
          <w:p w:rsidR="00735DC3" w:rsidRPr="00BB7B46" w:rsidRDefault="00735DC3" w:rsidP="00735DC3">
            <w:pPr>
              <w:jc w:val="center"/>
            </w:pPr>
            <w:r>
              <w:t>N/A</w:t>
            </w:r>
          </w:p>
        </w:tc>
        <w:tc>
          <w:tcPr>
            <w:tcW w:w="3205" w:type="dxa"/>
          </w:tcPr>
          <w:p w:rsidR="00BB7B46" w:rsidRPr="00BB7B46" w:rsidRDefault="00CE5F08" w:rsidP="00AD0EFB">
            <w:r>
              <w:t>Notices of Final Hearing and Affidavits of Publication</w:t>
            </w:r>
          </w:p>
        </w:tc>
      </w:tr>
      <w:tr w:rsidR="007A15D0" w:rsidRPr="00BB7B46" w:rsidTr="007A15D0">
        <w:trPr>
          <w:cantSplit/>
          <w:trHeight w:val="373"/>
        </w:trPr>
        <w:tc>
          <w:tcPr>
            <w:tcW w:w="3198" w:type="dxa"/>
          </w:tcPr>
          <w:p w:rsidR="00BB7B46" w:rsidRPr="00BB7B46" w:rsidRDefault="00CE5F08" w:rsidP="00AD0EFB">
            <w:pPr>
              <w:jc w:val="both"/>
            </w:pPr>
            <w:r w:rsidRPr="007E4704">
              <w:rPr>
                <w:bCs/>
              </w:rPr>
              <w:t>Francisco Prieto</w:t>
            </w:r>
          </w:p>
        </w:tc>
        <w:tc>
          <w:tcPr>
            <w:tcW w:w="1680" w:type="dxa"/>
          </w:tcPr>
          <w:p w:rsidR="00BB7B46" w:rsidRPr="00BB7B46" w:rsidRDefault="00CE5F08" w:rsidP="00AD0EFB">
            <w:pPr>
              <w:jc w:val="center"/>
            </w:pPr>
            <w:r>
              <w:t>FPL</w:t>
            </w:r>
          </w:p>
        </w:tc>
        <w:tc>
          <w:tcPr>
            <w:tcW w:w="1482" w:type="dxa"/>
          </w:tcPr>
          <w:p w:rsidR="00735DC3" w:rsidRDefault="00735DC3" w:rsidP="00735DC3">
            <w:pPr>
              <w:jc w:val="center"/>
            </w:pPr>
            <w:r>
              <w:t>_______</w:t>
            </w:r>
          </w:p>
          <w:p w:rsidR="00735DC3" w:rsidRPr="00BB7B46" w:rsidRDefault="00735DC3" w:rsidP="00735DC3">
            <w:pPr>
              <w:jc w:val="center"/>
            </w:pPr>
            <w:r>
              <w:t>N/A</w:t>
            </w:r>
          </w:p>
        </w:tc>
        <w:tc>
          <w:tcPr>
            <w:tcW w:w="3205" w:type="dxa"/>
          </w:tcPr>
          <w:p w:rsidR="00BB7B46" w:rsidRPr="00BB7B46" w:rsidRDefault="00CE5F08" w:rsidP="00AD0EFB">
            <w:r>
              <w:t>Exhibit “A” to the Petition to Determine Need for the Duval-Raven 230 kV transmission line in Baker, Columbia, Duval, and Nassau Counties</w:t>
            </w:r>
            <w:r w:rsidR="002011DF">
              <w:t xml:space="preserve"> and Second Errata sheet of Francisco Prieto, filed February 17, 2016.</w:t>
            </w:r>
            <w:r>
              <w:t xml:space="preserve"> </w:t>
            </w:r>
            <w:r w:rsidRPr="00CE5F08">
              <w:rPr>
                <w:b/>
              </w:rPr>
              <w:t>(CONFIDENTIAL)</w:t>
            </w:r>
          </w:p>
        </w:tc>
      </w:tr>
      <w:tr w:rsidR="007A15D0" w:rsidRPr="00BB7B46" w:rsidTr="007A15D0">
        <w:trPr>
          <w:cantSplit/>
          <w:trHeight w:val="353"/>
        </w:trPr>
        <w:tc>
          <w:tcPr>
            <w:tcW w:w="3198" w:type="dxa"/>
          </w:tcPr>
          <w:p w:rsidR="00BB7B46" w:rsidRPr="00BB7B46" w:rsidRDefault="00CE5F08" w:rsidP="00AD0EFB">
            <w:pPr>
              <w:jc w:val="both"/>
            </w:pPr>
            <w:r w:rsidRPr="007E4704">
              <w:rPr>
                <w:bCs/>
              </w:rPr>
              <w:t>Francisco Prieto</w:t>
            </w:r>
          </w:p>
        </w:tc>
        <w:tc>
          <w:tcPr>
            <w:tcW w:w="1680" w:type="dxa"/>
          </w:tcPr>
          <w:p w:rsidR="00BB7B46" w:rsidRPr="00BB7B46" w:rsidRDefault="00CE5F08" w:rsidP="00AD0EFB">
            <w:pPr>
              <w:jc w:val="center"/>
            </w:pPr>
            <w:r>
              <w:t>FPL</w:t>
            </w:r>
          </w:p>
        </w:tc>
        <w:tc>
          <w:tcPr>
            <w:tcW w:w="1482" w:type="dxa"/>
          </w:tcPr>
          <w:p w:rsidR="00BB7B46" w:rsidRPr="00BB7B46" w:rsidRDefault="00CE5F08" w:rsidP="00AD0EFB">
            <w:pPr>
              <w:jc w:val="center"/>
            </w:pPr>
            <w:r>
              <w:rPr>
                <w:bCs/>
              </w:rPr>
              <w:t>FP-1</w:t>
            </w:r>
          </w:p>
        </w:tc>
        <w:tc>
          <w:tcPr>
            <w:tcW w:w="3205" w:type="dxa"/>
          </w:tcPr>
          <w:p w:rsidR="00BB7B46" w:rsidRPr="00BB7B46" w:rsidRDefault="00CE5F08" w:rsidP="00AD0EFB">
            <w:r>
              <w:t>Map of Transmission and Generation</w:t>
            </w:r>
          </w:p>
        </w:tc>
      </w:tr>
      <w:tr w:rsidR="007A15D0" w:rsidRPr="00BB7B46" w:rsidTr="007A15D0">
        <w:trPr>
          <w:cantSplit/>
          <w:trHeight w:val="353"/>
        </w:trPr>
        <w:tc>
          <w:tcPr>
            <w:tcW w:w="3198" w:type="dxa"/>
          </w:tcPr>
          <w:p w:rsidR="00BB7B46" w:rsidRPr="00BB7B46" w:rsidRDefault="00CE5F08" w:rsidP="00AD0EFB">
            <w:pPr>
              <w:jc w:val="both"/>
            </w:pPr>
            <w:r w:rsidRPr="007E4704">
              <w:rPr>
                <w:bCs/>
              </w:rPr>
              <w:t>Francisco Prieto</w:t>
            </w:r>
          </w:p>
        </w:tc>
        <w:tc>
          <w:tcPr>
            <w:tcW w:w="1680" w:type="dxa"/>
          </w:tcPr>
          <w:p w:rsidR="00BB7B46" w:rsidRPr="00BB7B46" w:rsidRDefault="00CE5F08" w:rsidP="00AD0EFB">
            <w:pPr>
              <w:jc w:val="center"/>
            </w:pPr>
            <w:r>
              <w:t>FPL</w:t>
            </w:r>
          </w:p>
        </w:tc>
        <w:tc>
          <w:tcPr>
            <w:tcW w:w="1482" w:type="dxa"/>
          </w:tcPr>
          <w:p w:rsidR="00BB7B46" w:rsidRPr="00BB7B46" w:rsidRDefault="00CE5F08" w:rsidP="00AD0EFB">
            <w:pPr>
              <w:jc w:val="center"/>
            </w:pPr>
            <w:r>
              <w:rPr>
                <w:bCs/>
              </w:rPr>
              <w:t>FP-2</w:t>
            </w:r>
          </w:p>
        </w:tc>
        <w:tc>
          <w:tcPr>
            <w:tcW w:w="3205" w:type="dxa"/>
          </w:tcPr>
          <w:p w:rsidR="00BB7B46" w:rsidRPr="00BB7B46" w:rsidRDefault="00CE5F08" w:rsidP="00AD0EFB">
            <w:r>
              <w:t>Duval-Raven Expected Construction Schedule</w:t>
            </w:r>
          </w:p>
        </w:tc>
      </w:tr>
      <w:tr w:rsidR="007A15D0" w:rsidRPr="00BB7B46" w:rsidTr="007A15D0">
        <w:trPr>
          <w:cantSplit/>
          <w:trHeight w:val="373"/>
        </w:trPr>
        <w:tc>
          <w:tcPr>
            <w:tcW w:w="3198" w:type="dxa"/>
          </w:tcPr>
          <w:p w:rsidR="00BB7B46" w:rsidRPr="00BB7B46" w:rsidRDefault="00CE5F08" w:rsidP="00AD0EFB">
            <w:pPr>
              <w:jc w:val="both"/>
            </w:pPr>
            <w:r w:rsidRPr="007E4704">
              <w:rPr>
                <w:bCs/>
              </w:rPr>
              <w:t>Francisco Prieto</w:t>
            </w:r>
          </w:p>
        </w:tc>
        <w:tc>
          <w:tcPr>
            <w:tcW w:w="1680" w:type="dxa"/>
          </w:tcPr>
          <w:p w:rsidR="00BB7B46" w:rsidRPr="00BB7B46" w:rsidRDefault="00CE5F08" w:rsidP="00AD0EFB">
            <w:pPr>
              <w:jc w:val="center"/>
            </w:pPr>
            <w:r>
              <w:t>FPL</w:t>
            </w:r>
          </w:p>
        </w:tc>
        <w:tc>
          <w:tcPr>
            <w:tcW w:w="1482" w:type="dxa"/>
          </w:tcPr>
          <w:p w:rsidR="00BB7B46" w:rsidRPr="00BB7B46" w:rsidRDefault="00CE5F08" w:rsidP="00AD0EFB">
            <w:pPr>
              <w:jc w:val="center"/>
            </w:pPr>
            <w:r>
              <w:rPr>
                <w:bCs/>
              </w:rPr>
              <w:t>FP</w:t>
            </w:r>
            <w:r w:rsidRPr="005A15F7">
              <w:rPr>
                <w:bCs/>
              </w:rPr>
              <w:t>-3</w:t>
            </w:r>
          </w:p>
        </w:tc>
        <w:tc>
          <w:tcPr>
            <w:tcW w:w="3205" w:type="dxa"/>
          </w:tcPr>
          <w:p w:rsidR="00BB7B46" w:rsidRDefault="00CE5F08" w:rsidP="00AD0EFB">
            <w:r>
              <w:t>List of Contingencies</w:t>
            </w:r>
          </w:p>
          <w:p w:rsidR="00C8471B" w:rsidRPr="00C8471B" w:rsidRDefault="00C8471B" w:rsidP="00AD0EFB">
            <w:pPr>
              <w:rPr>
                <w:b/>
              </w:rPr>
            </w:pPr>
            <w:r w:rsidRPr="00C8471B">
              <w:rPr>
                <w:b/>
              </w:rPr>
              <w:t>(CONFIDENTIAL)</w:t>
            </w:r>
          </w:p>
        </w:tc>
      </w:tr>
    </w:tbl>
    <w:p w:rsidR="00BB7B46" w:rsidRPr="00BB7B46" w:rsidRDefault="00BB7B46" w:rsidP="00BB7B46">
      <w:pPr>
        <w:jc w:val="both"/>
      </w:pPr>
    </w:p>
    <w:p w:rsidR="00BB7B46" w:rsidRPr="00BB7B46" w:rsidRDefault="00BB7B46" w:rsidP="00BB7B46">
      <w:pPr>
        <w:jc w:val="both"/>
      </w:pPr>
      <w:r w:rsidRPr="00BB7B46">
        <w:tab/>
        <w:t>Parties and Staff reserve the right to identify additional exhibits for the purpose of cross-examination.</w:t>
      </w:r>
    </w:p>
    <w:p w:rsidR="00BB7B46" w:rsidRPr="00BB7B46" w:rsidRDefault="00BB7B46" w:rsidP="00BB7B46">
      <w:pPr>
        <w:jc w:val="both"/>
      </w:pPr>
    </w:p>
    <w:p w:rsidR="00BB7B46" w:rsidRPr="00BB7B46" w:rsidRDefault="00BB7B46" w:rsidP="00BB7B46">
      <w:pPr>
        <w:jc w:val="both"/>
      </w:pPr>
      <w:r w:rsidRPr="00BB7B46">
        <w:t>X.</w:t>
      </w:r>
      <w:r w:rsidRPr="00BB7B46">
        <w:tab/>
      </w:r>
      <w:r w:rsidRPr="00BB7B46">
        <w:rPr>
          <w:u w:val="single"/>
        </w:rPr>
        <w:t>PROPOSED STIPULATIONS</w:t>
      </w:r>
    </w:p>
    <w:p w:rsidR="00BB7B46" w:rsidRPr="00BB7B46" w:rsidRDefault="00BB7B46" w:rsidP="00BB7B46">
      <w:pPr>
        <w:jc w:val="both"/>
      </w:pPr>
    </w:p>
    <w:p w:rsidR="00BB7B46" w:rsidRPr="00BB7B46" w:rsidRDefault="006320CD" w:rsidP="00B64BB2">
      <w:pPr>
        <w:ind w:left="720"/>
        <w:jc w:val="both"/>
      </w:pPr>
      <w:r>
        <w:t xml:space="preserve">As set out in Section VIII, </w:t>
      </w:r>
      <w:r w:rsidR="00B64BB2">
        <w:t>FPL and staff</w:t>
      </w:r>
      <w:r>
        <w:t xml:space="preserve"> have proposed</w:t>
      </w:r>
      <w:r w:rsidR="00B64BB2">
        <w:t xml:space="preserve"> stipulations for </w:t>
      </w:r>
      <w:r>
        <w:t>all issues.</w:t>
      </w:r>
    </w:p>
    <w:p w:rsidR="00BB7B46" w:rsidRDefault="00BB7B46" w:rsidP="00BB7B46">
      <w:pPr>
        <w:ind w:left="1440" w:hanging="1440"/>
        <w:jc w:val="both"/>
        <w:rPr>
          <w:bCs/>
        </w:rPr>
      </w:pPr>
    </w:p>
    <w:p w:rsidR="00BB7B46" w:rsidRPr="00BB7B46" w:rsidRDefault="00BB7B46" w:rsidP="00BB7B46">
      <w:pPr>
        <w:jc w:val="both"/>
      </w:pPr>
      <w:r w:rsidRPr="00BB7B46">
        <w:lastRenderedPageBreak/>
        <w:t>XI.</w:t>
      </w:r>
      <w:r w:rsidRPr="00BB7B46">
        <w:tab/>
      </w:r>
      <w:r w:rsidRPr="00BB7B46">
        <w:rPr>
          <w:u w:val="single"/>
        </w:rPr>
        <w:t>PENDING MOTIONS</w:t>
      </w:r>
    </w:p>
    <w:p w:rsidR="00BB7B46" w:rsidRPr="00BB7B46" w:rsidRDefault="00BB7B46" w:rsidP="002F72F8">
      <w:pPr>
        <w:jc w:val="both"/>
      </w:pPr>
    </w:p>
    <w:p w:rsidR="00BB7B46" w:rsidRPr="00BB7B46" w:rsidRDefault="00BB7B46" w:rsidP="00A160CB">
      <w:pPr>
        <w:ind w:firstLine="720"/>
        <w:jc w:val="both"/>
      </w:pPr>
      <w:r w:rsidRPr="00BB7B46">
        <w:t>There are no pending motions at this time.</w:t>
      </w:r>
    </w:p>
    <w:p w:rsidR="00BB7B46" w:rsidRPr="00BB7B46" w:rsidRDefault="00BB7B46" w:rsidP="00BB7B46">
      <w:pPr>
        <w:jc w:val="both"/>
      </w:pPr>
    </w:p>
    <w:p w:rsidR="00BB7B46" w:rsidRPr="00BB7B46" w:rsidRDefault="00BB7B46" w:rsidP="00BB7B46">
      <w:pPr>
        <w:jc w:val="both"/>
      </w:pPr>
      <w:r w:rsidRPr="00BB7B46">
        <w:t>XII.</w:t>
      </w:r>
      <w:r w:rsidRPr="00BB7B46">
        <w:tab/>
      </w:r>
      <w:r w:rsidRPr="00BB7B46">
        <w:rPr>
          <w:u w:val="single"/>
        </w:rPr>
        <w:t>PENDING CONFIDENTIALITY MATTERS</w:t>
      </w:r>
    </w:p>
    <w:p w:rsidR="00BB7B46" w:rsidRDefault="00BB7B46" w:rsidP="00BB7B46">
      <w:pPr>
        <w:jc w:val="both"/>
      </w:pPr>
    </w:p>
    <w:p w:rsidR="00DA63BD" w:rsidRDefault="00667A82" w:rsidP="00BB7B46">
      <w:pPr>
        <w:jc w:val="both"/>
      </w:pPr>
      <w:r>
        <w:rPr>
          <w:b/>
        </w:rPr>
        <w:tab/>
      </w:r>
      <w:r>
        <w:t>There are no pending confidentiality motions at this time.</w:t>
      </w:r>
    </w:p>
    <w:p w:rsidR="004A418A" w:rsidRDefault="004A418A" w:rsidP="00BB7B46">
      <w:pPr>
        <w:jc w:val="both"/>
      </w:pPr>
    </w:p>
    <w:p w:rsidR="00BB7B46" w:rsidRPr="00BB7B46" w:rsidRDefault="00BB7B46" w:rsidP="00BB7B46">
      <w:pPr>
        <w:jc w:val="both"/>
      </w:pPr>
      <w:r w:rsidRPr="00BB7B46">
        <w:t>XIII.</w:t>
      </w:r>
      <w:r w:rsidRPr="00BB7B46">
        <w:tab/>
      </w:r>
      <w:r w:rsidRPr="00BB7B46">
        <w:rPr>
          <w:u w:val="single"/>
        </w:rPr>
        <w:t>POST-HEARING PROCEDURES</w:t>
      </w:r>
    </w:p>
    <w:p w:rsidR="00BB7B46" w:rsidRPr="00BB7B46" w:rsidRDefault="00BB7B46" w:rsidP="00BB7B46">
      <w:pPr>
        <w:jc w:val="both"/>
      </w:pPr>
    </w:p>
    <w:p w:rsidR="00BB7B46" w:rsidRPr="00BB7B46" w:rsidRDefault="00BB7B46" w:rsidP="00BB7B46">
      <w:pPr>
        <w:jc w:val="both"/>
      </w:pPr>
      <w:r w:rsidRPr="00BB7B46">
        <w:tab/>
      </w:r>
      <w:r w:rsidR="00500673">
        <w:t xml:space="preserve">Because of the short time-frame allowed by statute for conduct of this case, it is anticipated that the Commission will make a bench decision at the conclusion of the hearing on February 24, 2016. </w:t>
      </w:r>
      <w:r w:rsidRPr="00BB7B46">
        <w:t>If no bench decision is made, each party shall file a post-hearing statement of issues and positions.  A summary of each position of no more than 50 words,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reduced to no more than 50 words.  If a party fails to file a post-hearing statement, that party shall have waived all issues and may be dismissed from the proceeding.</w:t>
      </w:r>
    </w:p>
    <w:p w:rsidR="00BB7B46" w:rsidRPr="00BB7B46" w:rsidRDefault="00BB7B46" w:rsidP="00BB7B46">
      <w:pPr>
        <w:jc w:val="both"/>
      </w:pPr>
    </w:p>
    <w:p w:rsidR="00BB7B46" w:rsidRPr="00BB7B46" w:rsidRDefault="00BB7B46" w:rsidP="00BB7B46">
      <w:pPr>
        <w:jc w:val="both"/>
      </w:pPr>
      <w:r w:rsidRPr="00BB7B46">
        <w:tab/>
        <w:t xml:space="preserve">Pursuant to Rule 28-106.215, F.A.C., a party's proposed findings of fact and conclusions of law, if any, statement of issues and positions, and brief, shall together total no more than </w:t>
      </w:r>
      <w:r w:rsidR="00667A82">
        <w:t xml:space="preserve">40 </w:t>
      </w:r>
      <w:r w:rsidRPr="00BB7B46">
        <w:t>pages and shall be filed at the same time.</w:t>
      </w:r>
    </w:p>
    <w:p w:rsidR="00BB7B46" w:rsidRPr="00BB7B46" w:rsidRDefault="00BB7B46" w:rsidP="00BB7B46">
      <w:pPr>
        <w:jc w:val="both"/>
      </w:pPr>
    </w:p>
    <w:p w:rsidR="00BB7B46" w:rsidRPr="00BB7B46" w:rsidRDefault="00BB7B46" w:rsidP="00BB7B46">
      <w:pPr>
        <w:jc w:val="both"/>
      </w:pPr>
      <w:r w:rsidRPr="00BB7B46">
        <w:t>XIV.</w:t>
      </w:r>
      <w:r w:rsidRPr="00BB7B46">
        <w:tab/>
      </w:r>
      <w:r w:rsidRPr="00BB7B46">
        <w:rPr>
          <w:u w:val="single"/>
        </w:rPr>
        <w:t>RULINGS</w:t>
      </w:r>
    </w:p>
    <w:p w:rsidR="00BB7B46" w:rsidRPr="00BB7B46" w:rsidRDefault="00BB7B46" w:rsidP="00BB7B46">
      <w:pPr>
        <w:jc w:val="both"/>
      </w:pPr>
    </w:p>
    <w:p w:rsidR="00BB7B46" w:rsidRPr="00BB7B46" w:rsidRDefault="00500673" w:rsidP="00BB7B46">
      <w:pPr>
        <w:ind w:firstLine="720"/>
        <w:jc w:val="both"/>
      </w:pPr>
      <w:r>
        <w:t>Opening</w:t>
      </w:r>
      <w:r w:rsidR="00BB7B46" w:rsidRPr="00BB7B46">
        <w:t xml:space="preserve"> statements, if any, shall not exceed </w:t>
      </w:r>
      <w:r w:rsidR="0081437D">
        <w:t>five</w:t>
      </w:r>
      <w:r w:rsidR="00BB7B46" w:rsidRPr="00BB7B46">
        <w:t xml:space="preserve"> minutes </w:t>
      </w:r>
      <w:r w:rsidR="00667A82">
        <w:t>for FPL.</w:t>
      </w:r>
      <w:r w:rsidR="00BB7B46" w:rsidRPr="00BB7B46">
        <w:t xml:space="preserve">  </w:t>
      </w:r>
    </w:p>
    <w:p w:rsidR="00BB7B46" w:rsidRPr="00BB7B46" w:rsidRDefault="00BB7B46" w:rsidP="00BB7B46">
      <w:pPr>
        <w:jc w:val="both"/>
      </w:pPr>
    </w:p>
    <w:p w:rsidR="00BB7B46" w:rsidRPr="00BB7B46" w:rsidRDefault="00BB7B46" w:rsidP="00BB7B46">
      <w:pPr>
        <w:jc w:val="both"/>
      </w:pPr>
      <w:r w:rsidRPr="00BB7B46">
        <w:tab/>
        <w:t>It is therefore,</w:t>
      </w:r>
    </w:p>
    <w:p w:rsidR="00BB7B46" w:rsidRPr="00BB7B46" w:rsidRDefault="00BB7B46" w:rsidP="00BB7B46">
      <w:pPr>
        <w:jc w:val="both"/>
      </w:pPr>
    </w:p>
    <w:p w:rsidR="00BB7B46" w:rsidRPr="00BB7B46" w:rsidRDefault="00BB7B46" w:rsidP="00BB7B46">
      <w:pPr>
        <w:jc w:val="both"/>
      </w:pPr>
      <w:r w:rsidRPr="00BB7B46">
        <w:tab/>
        <w:t xml:space="preserve">ORDERED by Commissioner </w:t>
      </w:r>
      <w:r w:rsidR="007A15D0">
        <w:t xml:space="preserve">Jimmy </w:t>
      </w:r>
      <w:proofErr w:type="spellStart"/>
      <w:r w:rsidR="007A15D0">
        <w:t>Patronis</w:t>
      </w:r>
      <w:proofErr w:type="spellEnd"/>
      <w:r w:rsidRPr="00BB7B46">
        <w:t>, as Prehearing Officer, that this Prehearing Order shall govern the conduct of these proceedings as set forth above unless modified by the Commission.</w:t>
      </w:r>
    </w:p>
    <w:p w:rsidR="00BB7B46" w:rsidRDefault="00BB7B46" w:rsidP="00BB7B46">
      <w:pPr>
        <w:jc w:val="both"/>
      </w:pPr>
    </w:p>
    <w:p w:rsidR="00AC3E04" w:rsidRDefault="00AC3E04" w:rsidP="00BB7B46">
      <w:pPr>
        <w:jc w:val="both"/>
      </w:pPr>
    </w:p>
    <w:p w:rsidR="00AC3E04" w:rsidRDefault="00AC3E04" w:rsidP="00BB7B46">
      <w:pPr>
        <w:jc w:val="both"/>
      </w:pPr>
    </w:p>
    <w:p w:rsidR="00AC3E04" w:rsidRDefault="00AC3E04" w:rsidP="00BB7B46">
      <w:pPr>
        <w:jc w:val="both"/>
      </w:pPr>
    </w:p>
    <w:p w:rsidR="00AC3E04" w:rsidRDefault="00AC3E04" w:rsidP="00BB7B46">
      <w:pPr>
        <w:jc w:val="both"/>
      </w:pPr>
    </w:p>
    <w:p w:rsidR="00AC3E04" w:rsidRDefault="00AC3E04" w:rsidP="00BB7B46">
      <w:pPr>
        <w:jc w:val="both"/>
      </w:pPr>
    </w:p>
    <w:p w:rsidR="00AC3E04" w:rsidRDefault="00AC3E04" w:rsidP="00BB7B46">
      <w:pPr>
        <w:jc w:val="both"/>
      </w:pPr>
    </w:p>
    <w:p w:rsidR="00AC3E04" w:rsidRDefault="00AC3E04" w:rsidP="00BB7B46">
      <w:pPr>
        <w:jc w:val="both"/>
      </w:pPr>
    </w:p>
    <w:p w:rsidR="00AC3E04" w:rsidRDefault="00AC3E04" w:rsidP="00BB7B46">
      <w:pPr>
        <w:jc w:val="both"/>
      </w:pPr>
    </w:p>
    <w:p w:rsidR="00AC3E04" w:rsidRDefault="00AC3E04" w:rsidP="00BB7B46">
      <w:pPr>
        <w:jc w:val="both"/>
      </w:pPr>
    </w:p>
    <w:p w:rsidR="00AC3E04" w:rsidRPr="00BB7B46" w:rsidRDefault="00AC3E04" w:rsidP="00BB7B46">
      <w:pPr>
        <w:jc w:val="both"/>
      </w:pPr>
    </w:p>
    <w:p w:rsidR="007A15D0" w:rsidRDefault="007A15D0" w:rsidP="007A15D0">
      <w:r>
        <w:lastRenderedPageBreak/>
        <w:tab/>
        <w:t xml:space="preserve">By ORDER of Commissioner Jimmy </w:t>
      </w:r>
      <w:proofErr w:type="spellStart"/>
      <w:r>
        <w:t>Patronis</w:t>
      </w:r>
      <w:proofErr w:type="spellEnd"/>
      <w:r>
        <w:t xml:space="preserve">, as Prehearing Officer, this </w:t>
      </w:r>
      <w:bookmarkStart w:id="7" w:name="replaceDate"/>
      <w:bookmarkEnd w:id="7"/>
      <w:r w:rsidR="001F28C5">
        <w:rPr>
          <w:u w:val="single"/>
        </w:rPr>
        <w:t>18th</w:t>
      </w:r>
      <w:r w:rsidR="001F28C5">
        <w:t xml:space="preserve"> day of </w:t>
      </w:r>
      <w:r w:rsidR="001F28C5">
        <w:rPr>
          <w:u w:val="single"/>
        </w:rPr>
        <w:t>February</w:t>
      </w:r>
      <w:r w:rsidR="001F28C5">
        <w:t xml:space="preserve">, </w:t>
      </w:r>
      <w:r w:rsidR="001F28C5">
        <w:rPr>
          <w:u w:val="single"/>
        </w:rPr>
        <w:t>2016</w:t>
      </w:r>
      <w:r w:rsidR="001F28C5">
        <w:t>.</w:t>
      </w:r>
    </w:p>
    <w:p w:rsidR="001F28C5" w:rsidRPr="001F28C5" w:rsidRDefault="001F28C5" w:rsidP="007A15D0"/>
    <w:tbl>
      <w:tblPr>
        <w:tblW w:w="4720" w:type="dxa"/>
        <w:tblInd w:w="3800" w:type="dxa"/>
        <w:tblLayout w:type="fixed"/>
        <w:tblLook w:val="0000" w:firstRow="0" w:lastRow="0" w:firstColumn="0" w:lastColumn="0" w:noHBand="0" w:noVBand="0"/>
      </w:tblPr>
      <w:tblGrid>
        <w:gridCol w:w="686"/>
        <w:gridCol w:w="4034"/>
      </w:tblGrid>
      <w:tr w:rsidR="007A15D0" w:rsidTr="007A15D0">
        <w:tc>
          <w:tcPr>
            <w:tcW w:w="686" w:type="dxa"/>
            <w:shd w:val="clear" w:color="auto" w:fill="auto"/>
          </w:tcPr>
          <w:p w:rsidR="007A15D0" w:rsidRDefault="007A15D0" w:rsidP="007A15D0">
            <w:bookmarkStart w:id="8" w:name="bkmrkSignature" w:colFirst="0" w:colLast="0"/>
          </w:p>
        </w:tc>
        <w:tc>
          <w:tcPr>
            <w:tcW w:w="4034" w:type="dxa"/>
            <w:tcBorders>
              <w:bottom w:val="single" w:sz="4" w:space="0" w:color="auto"/>
            </w:tcBorders>
            <w:shd w:val="clear" w:color="auto" w:fill="auto"/>
          </w:tcPr>
          <w:p w:rsidR="007A15D0" w:rsidRDefault="001F28C5" w:rsidP="007A15D0">
            <w:r>
              <w:t>/s/ Jimmy Patronis</w:t>
            </w:r>
          </w:p>
        </w:tc>
      </w:tr>
      <w:bookmarkEnd w:id="8"/>
      <w:tr w:rsidR="007A15D0" w:rsidTr="007A15D0">
        <w:tc>
          <w:tcPr>
            <w:tcW w:w="686" w:type="dxa"/>
            <w:shd w:val="clear" w:color="auto" w:fill="auto"/>
          </w:tcPr>
          <w:p w:rsidR="007A15D0" w:rsidRDefault="007A15D0" w:rsidP="007A15D0"/>
        </w:tc>
        <w:tc>
          <w:tcPr>
            <w:tcW w:w="4034" w:type="dxa"/>
            <w:tcBorders>
              <w:top w:val="single" w:sz="4" w:space="0" w:color="auto"/>
            </w:tcBorders>
            <w:shd w:val="clear" w:color="auto" w:fill="auto"/>
          </w:tcPr>
          <w:p w:rsidR="007A15D0" w:rsidRDefault="007A15D0" w:rsidP="007A15D0">
            <w:r>
              <w:t>JIMMY PATRONIS</w:t>
            </w:r>
          </w:p>
          <w:p w:rsidR="007A15D0" w:rsidRDefault="007A15D0" w:rsidP="007A15D0">
            <w:r>
              <w:t>Commissioner and Prehearing Officer</w:t>
            </w:r>
          </w:p>
        </w:tc>
      </w:tr>
    </w:tbl>
    <w:p w:rsidR="007A15D0" w:rsidRDefault="007A15D0" w:rsidP="007A15D0">
      <w:pPr>
        <w:pStyle w:val="OrderSigInfo"/>
      </w:pPr>
      <w:r>
        <w:t>Florida Public Service Commission</w:t>
      </w:r>
    </w:p>
    <w:p w:rsidR="007A15D0" w:rsidRDefault="007A15D0" w:rsidP="007A15D0">
      <w:pPr>
        <w:pStyle w:val="OrderSigInfo"/>
      </w:pPr>
      <w:r>
        <w:t>2540 Shumard Oak Boulevard</w:t>
      </w:r>
    </w:p>
    <w:p w:rsidR="007A15D0" w:rsidRDefault="007A15D0" w:rsidP="007A15D0">
      <w:pPr>
        <w:pStyle w:val="OrderSigInfo"/>
      </w:pPr>
      <w:r>
        <w:t>Tallahassee, Florida  32399</w:t>
      </w:r>
    </w:p>
    <w:p w:rsidR="007A15D0" w:rsidRDefault="007A15D0" w:rsidP="007A15D0">
      <w:pPr>
        <w:pStyle w:val="OrderSigInfo"/>
      </w:pPr>
      <w:r>
        <w:t>(850) 413</w:t>
      </w:r>
      <w:r>
        <w:noBreakHyphen/>
        <w:t>6770</w:t>
      </w:r>
    </w:p>
    <w:p w:rsidR="007A15D0" w:rsidRDefault="007A15D0" w:rsidP="007A15D0">
      <w:pPr>
        <w:pStyle w:val="OrderSigInfo"/>
      </w:pPr>
      <w:r>
        <w:t>www.floridapsc.com</w:t>
      </w:r>
    </w:p>
    <w:p w:rsidR="007A15D0" w:rsidRDefault="007A15D0" w:rsidP="007A15D0">
      <w:pPr>
        <w:pStyle w:val="OrderSigInfo"/>
      </w:pPr>
    </w:p>
    <w:p w:rsidR="007A15D0" w:rsidRDefault="007A15D0" w:rsidP="007A15D0">
      <w:pPr>
        <w:pStyle w:val="OrderSigInfo"/>
      </w:pPr>
      <w:r>
        <w:t>Copies furnished:  A copy of this document is provided to the parties of record at the time of issuance and, if applicable, interested persons.</w:t>
      </w:r>
    </w:p>
    <w:p w:rsidR="007A15D0" w:rsidRDefault="007A15D0" w:rsidP="007A15D0">
      <w:pPr>
        <w:keepNext/>
        <w:keepLines/>
      </w:pPr>
      <w:r>
        <w:t>TLT</w:t>
      </w:r>
    </w:p>
    <w:p w:rsidR="007A15D0" w:rsidRDefault="007A15D0"/>
    <w:p w:rsidR="00500673" w:rsidRDefault="00500673"/>
    <w:p w:rsidR="00500673" w:rsidRDefault="00500673"/>
    <w:p w:rsidR="00A160CB" w:rsidRDefault="00A160CB" w:rsidP="00A160CB">
      <w:pPr>
        <w:pStyle w:val="CenterUnderline"/>
      </w:pPr>
      <w:r>
        <w:t>NOTICE OF FURTHER PROCEEDINGS OR JUDICIAL REVIEW</w:t>
      </w:r>
    </w:p>
    <w:p w:rsidR="00CB5276" w:rsidRDefault="00CB5276" w:rsidP="00A160CB">
      <w:pPr>
        <w:pStyle w:val="CenterUnderline"/>
      </w:pPr>
    </w:p>
    <w:p w:rsidR="00A160CB" w:rsidRDefault="00A160CB" w:rsidP="00A160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60CB" w:rsidRDefault="00A160CB" w:rsidP="00A160CB">
      <w:pPr>
        <w:pStyle w:val="OrderBody"/>
      </w:pPr>
    </w:p>
    <w:p w:rsidR="00A160CB" w:rsidRDefault="00A160CB" w:rsidP="00A160CB">
      <w:pPr>
        <w:pStyle w:val="OrderBody"/>
      </w:pPr>
      <w:r>
        <w:tab/>
        <w:t>Mediation may be available on a case-by-case basis.  If mediation is conducted, it does not affect a substantially interested person's right to a hearing.</w:t>
      </w:r>
    </w:p>
    <w:p w:rsidR="00A160CB" w:rsidRDefault="00A160CB" w:rsidP="00A160CB">
      <w:pPr>
        <w:pStyle w:val="OrderBody"/>
      </w:pPr>
    </w:p>
    <w:p w:rsidR="00A160CB" w:rsidRDefault="00A160CB" w:rsidP="00A160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160CB" w:rsidRDefault="00A160CB" w:rsidP="00A160CB">
      <w:pPr>
        <w:pStyle w:val="OrderBody"/>
      </w:pPr>
    </w:p>
    <w:p w:rsidR="00A160CB" w:rsidRDefault="00A160CB" w:rsidP="00A160CB">
      <w:pPr>
        <w:pStyle w:val="OrderBody"/>
      </w:pPr>
    </w:p>
    <w:p w:rsidR="00A160CB" w:rsidRPr="007A15D0" w:rsidRDefault="00A160CB" w:rsidP="00A160CB">
      <w:pPr>
        <w:pStyle w:val="OrderBody"/>
      </w:pPr>
    </w:p>
    <w:sectPr w:rsidR="00A160CB" w:rsidRPr="007A15D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46" w:rsidRDefault="00BB7B46">
      <w:r>
        <w:separator/>
      </w:r>
    </w:p>
  </w:endnote>
  <w:endnote w:type="continuationSeparator" w:id="0">
    <w:p w:rsidR="00BB7B46" w:rsidRDefault="00BB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46" w:rsidRDefault="00BB7B46">
      <w:r>
        <w:separator/>
      </w:r>
    </w:p>
  </w:footnote>
  <w:footnote w:type="continuationSeparator" w:id="0">
    <w:p w:rsidR="00BB7B46" w:rsidRDefault="00BB7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C098F">
      <w:fldChar w:fldCharType="begin"/>
    </w:r>
    <w:r w:rsidR="00BC098F">
      <w:instrText xml:space="preserve"> REF OrderNo0077 </w:instrText>
    </w:r>
    <w:r w:rsidR="00BC098F">
      <w:fldChar w:fldCharType="separate"/>
    </w:r>
    <w:r w:rsidR="00BC098F">
      <w:t>PSC-16-0077-PHO-EI</w:t>
    </w:r>
    <w:r w:rsidR="00BC098F">
      <w:fldChar w:fldCharType="end"/>
    </w:r>
  </w:p>
  <w:p w:rsidR="00FA6EFD" w:rsidRDefault="00BB7B46">
    <w:pPr>
      <w:pStyle w:val="OrderHeader"/>
    </w:pPr>
    <w:bookmarkStart w:id="9" w:name="HeaderDocketNo"/>
    <w:bookmarkEnd w:id="9"/>
    <w:r>
      <w:t>DOCKET NO. 150263-EI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098F">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3-EI"/>
  </w:docVars>
  <w:rsids>
    <w:rsidRoot w:val="00BB7B46"/>
    <w:rsid w:val="000022B8"/>
    <w:rsid w:val="00053AB9"/>
    <w:rsid w:val="00056229"/>
    <w:rsid w:val="00065FC2"/>
    <w:rsid w:val="00090AFC"/>
    <w:rsid w:val="000A2C59"/>
    <w:rsid w:val="000C0753"/>
    <w:rsid w:val="000D06E8"/>
    <w:rsid w:val="000E344D"/>
    <w:rsid w:val="000F3B2C"/>
    <w:rsid w:val="000F7BE3"/>
    <w:rsid w:val="00116AD3"/>
    <w:rsid w:val="00126593"/>
    <w:rsid w:val="00142A96"/>
    <w:rsid w:val="00187E32"/>
    <w:rsid w:val="00194E81"/>
    <w:rsid w:val="001A33C9"/>
    <w:rsid w:val="001D008A"/>
    <w:rsid w:val="001F28C5"/>
    <w:rsid w:val="002002ED"/>
    <w:rsid w:val="002011DF"/>
    <w:rsid w:val="0022721A"/>
    <w:rsid w:val="00230BB9"/>
    <w:rsid w:val="00241CEF"/>
    <w:rsid w:val="00252B30"/>
    <w:rsid w:val="002A11AC"/>
    <w:rsid w:val="002A6F30"/>
    <w:rsid w:val="002D7D15"/>
    <w:rsid w:val="002E27EB"/>
    <w:rsid w:val="002F72F8"/>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A418A"/>
    <w:rsid w:val="004B2108"/>
    <w:rsid w:val="004B3A2B"/>
    <w:rsid w:val="004D2D1B"/>
    <w:rsid w:val="004F2DDE"/>
    <w:rsid w:val="00500673"/>
    <w:rsid w:val="0050097F"/>
    <w:rsid w:val="00514B1F"/>
    <w:rsid w:val="00543282"/>
    <w:rsid w:val="005534D0"/>
    <w:rsid w:val="00556A10"/>
    <w:rsid w:val="00564D55"/>
    <w:rsid w:val="005963C2"/>
    <w:rsid w:val="005B45F7"/>
    <w:rsid w:val="005B63EA"/>
    <w:rsid w:val="005E4F97"/>
    <w:rsid w:val="006320CD"/>
    <w:rsid w:val="00660774"/>
    <w:rsid w:val="00665CC7"/>
    <w:rsid w:val="00667A82"/>
    <w:rsid w:val="006A0BF3"/>
    <w:rsid w:val="006B0DA6"/>
    <w:rsid w:val="006C547E"/>
    <w:rsid w:val="006F6B9D"/>
    <w:rsid w:val="00701BB9"/>
    <w:rsid w:val="00704C5D"/>
    <w:rsid w:val="00715275"/>
    <w:rsid w:val="00733B6B"/>
    <w:rsid w:val="00735DC3"/>
    <w:rsid w:val="0076170F"/>
    <w:rsid w:val="0076669C"/>
    <w:rsid w:val="00767C8C"/>
    <w:rsid w:val="007865E9"/>
    <w:rsid w:val="00792383"/>
    <w:rsid w:val="007A060F"/>
    <w:rsid w:val="007A15D0"/>
    <w:rsid w:val="007D3D20"/>
    <w:rsid w:val="007E3AFD"/>
    <w:rsid w:val="00803189"/>
    <w:rsid w:val="00804E7A"/>
    <w:rsid w:val="00805FBB"/>
    <w:rsid w:val="0081437D"/>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160CB"/>
    <w:rsid w:val="00A62DAB"/>
    <w:rsid w:val="00A726A6"/>
    <w:rsid w:val="00A97535"/>
    <w:rsid w:val="00AA73F1"/>
    <w:rsid w:val="00AB0E1A"/>
    <w:rsid w:val="00AB1A30"/>
    <w:rsid w:val="00AC3E04"/>
    <w:rsid w:val="00AD1ED3"/>
    <w:rsid w:val="00AE7B9F"/>
    <w:rsid w:val="00B0777D"/>
    <w:rsid w:val="00B4057A"/>
    <w:rsid w:val="00B40894"/>
    <w:rsid w:val="00B45E75"/>
    <w:rsid w:val="00B50876"/>
    <w:rsid w:val="00B55EE5"/>
    <w:rsid w:val="00B64BB2"/>
    <w:rsid w:val="00B73DE6"/>
    <w:rsid w:val="00B86EF0"/>
    <w:rsid w:val="00B97900"/>
    <w:rsid w:val="00BA44A8"/>
    <w:rsid w:val="00BB7B46"/>
    <w:rsid w:val="00BC098F"/>
    <w:rsid w:val="00BF6691"/>
    <w:rsid w:val="00C028FC"/>
    <w:rsid w:val="00C30798"/>
    <w:rsid w:val="00C41172"/>
    <w:rsid w:val="00C66692"/>
    <w:rsid w:val="00C72950"/>
    <w:rsid w:val="00C8471B"/>
    <w:rsid w:val="00C91123"/>
    <w:rsid w:val="00CA71FF"/>
    <w:rsid w:val="00CB5276"/>
    <w:rsid w:val="00CB68D7"/>
    <w:rsid w:val="00CC7E68"/>
    <w:rsid w:val="00CD7132"/>
    <w:rsid w:val="00CE0E6F"/>
    <w:rsid w:val="00CE5F08"/>
    <w:rsid w:val="00D30B48"/>
    <w:rsid w:val="00D46FAA"/>
    <w:rsid w:val="00D57BB2"/>
    <w:rsid w:val="00D8560E"/>
    <w:rsid w:val="00D8758F"/>
    <w:rsid w:val="00DA63BD"/>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1030"/>
    <w:rsid w:val="00FA6EFD"/>
    <w:rsid w:val="00FB74EA"/>
    <w:rsid w:val="00FD2C9E"/>
    <w:rsid w:val="00FD4786"/>
    <w:rsid w:val="00FD5EF0"/>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B7B46"/>
    <w:pPr>
      <w:autoSpaceDE w:val="0"/>
      <w:autoSpaceDN w:val="0"/>
      <w:adjustRightInd w:val="0"/>
      <w:ind w:left="1440"/>
    </w:pPr>
    <w:rPr>
      <w:sz w:val="24"/>
      <w:szCs w:val="24"/>
    </w:rPr>
  </w:style>
  <w:style w:type="paragraph" w:customStyle="1" w:styleId="IssueHeading">
    <w:name w:val="Issue Heading"/>
    <w:basedOn w:val="Heading3"/>
    <w:next w:val="Normal"/>
    <w:rsid w:val="007A15D0"/>
    <w:pPr>
      <w:spacing w:before="240" w:after="60"/>
      <w:ind w:firstLine="0"/>
    </w:pPr>
    <w:rPr>
      <w:rFonts w:cs="Arial"/>
      <w:b/>
      <w:bCs/>
      <w:szCs w:val="26"/>
    </w:rPr>
  </w:style>
  <w:style w:type="paragraph" w:customStyle="1" w:styleId="PositionHeading">
    <w:name w:val="Position Heading"/>
    <w:basedOn w:val="IssueHeading"/>
    <w:next w:val="Normal"/>
    <w:rsid w:val="007A15D0"/>
    <w:pPr>
      <w:outlineLvl w:val="3"/>
    </w:pPr>
  </w:style>
  <w:style w:type="paragraph" w:styleId="BalloonText">
    <w:name w:val="Balloon Text"/>
    <w:basedOn w:val="Normal"/>
    <w:link w:val="BalloonTextChar"/>
    <w:rsid w:val="00F91030"/>
    <w:rPr>
      <w:rFonts w:ascii="Tahoma" w:hAnsi="Tahoma" w:cs="Tahoma"/>
      <w:sz w:val="16"/>
      <w:szCs w:val="16"/>
    </w:rPr>
  </w:style>
  <w:style w:type="character" w:customStyle="1" w:styleId="BalloonTextChar">
    <w:name w:val="Balloon Text Char"/>
    <w:basedOn w:val="DefaultParagraphFont"/>
    <w:link w:val="BalloonText"/>
    <w:rsid w:val="00F91030"/>
    <w:rPr>
      <w:rFonts w:ascii="Tahoma" w:hAnsi="Tahoma" w:cs="Tahoma"/>
      <w:sz w:val="16"/>
      <w:szCs w:val="16"/>
    </w:rPr>
  </w:style>
  <w:style w:type="paragraph" w:customStyle="1" w:styleId="Default">
    <w:name w:val="Default"/>
    <w:rsid w:val="00B64BB2"/>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B7B46"/>
    <w:pPr>
      <w:autoSpaceDE w:val="0"/>
      <w:autoSpaceDN w:val="0"/>
      <w:adjustRightInd w:val="0"/>
      <w:ind w:left="1440"/>
    </w:pPr>
    <w:rPr>
      <w:sz w:val="24"/>
      <w:szCs w:val="24"/>
    </w:rPr>
  </w:style>
  <w:style w:type="paragraph" w:customStyle="1" w:styleId="IssueHeading">
    <w:name w:val="Issue Heading"/>
    <w:basedOn w:val="Heading3"/>
    <w:next w:val="Normal"/>
    <w:rsid w:val="007A15D0"/>
    <w:pPr>
      <w:spacing w:before="240" w:after="60"/>
      <w:ind w:firstLine="0"/>
    </w:pPr>
    <w:rPr>
      <w:rFonts w:cs="Arial"/>
      <w:b/>
      <w:bCs/>
      <w:szCs w:val="26"/>
    </w:rPr>
  </w:style>
  <w:style w:type="paragraph" w:customStyle="1" w:styleId="PositionHeading">
    <w:name w:val="Position Heading"/>
    <w:basedOn w:val="IssueHeading"/>
    <w:next w:val="Normal"/>
    <w:rsid w:val="007A15D0"/>
    <w:pPr>
      <w:outlineLvl w:val="3"/>
    </w:pPr>
  </w:style>
  <w:style w:type="paragraph" w:styleId="BalloonText">
    <w:name w:val="Balloon Text"/>
    <w:basedOn w:val="Normal"/>
    <w:link w:val="BalloonTextChar"/>
    <w:rsid w:val="00F91030"/>
    <w:rPr>
      <w:rFonts w:ascii="Tahoma" w:hAnsi="Tahoma" w:cs="Tahoma"/>
      <w:sz w:val="16"/>
      <w:szCs w:val="16"/>
    </w:rPr>
  </w:style>
  <w:style w:type="character" w:customStyle="1" w:styleId="BalloonTextChar">
    <w:name w:val="Balloon Text Char"/>
    <w:basedOn w:val="DefaultParagraphFont"/>
    <w:link w:val="BalloonText"/>
    <w:rsid w:val="00F91030"/>
    <w:rPr>
      <w:rFonts w:ascii="Tahoma" w:hAnsi="Tahoma" w:cs="Tahoma"/>
      <w:sz w:val="16"/>
      <w:szCs w:val="16"/>
    </w:rPr>
  </w:style>
  <w:style w:type="paragraph" w:customStyle="1" w:styleId="Default">
    <w:name w:val="Default"/>
    <w:rsid w:val="00B64BB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428F-6897-49EA-953C-955D0C90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10</Pages>
  <Words>3500</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2016-02-18T19:33:00Z</cp:lastPrinted>
  <dcterms:created xsi:type="dcterms:W3CDTF">2016-02-18T19:19:00Z</dcterms:created>
  <dcterms:modified xsi:type="dcterms:W3CDTF">2016-02-18T19:33:00Z</dcterms:modified>
</cp:coreProperties>
</file>