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F018D3" w:rsidP="00F018D3">
      <w:pPr>
        <w:pStyle w:val="OrderHeading"/>
      </w:pPr>
      <w:r>
        <w:t>BEFORE THE FLORIDA PUBLIC SERVICE COMMISSION</w:t>
      </w:r>
    </w:p>
    <w:p w:rsidR="00F018D3" w:rsidRDefault="00F018D3" w:rsidP="00F018D3">
      <w:pPr>
        <w:pStyle w:val="OrderHeading"/>
      </w:pPr>
    </w:p>
    <w:p w:rsidR="00F018D3" w:rsidRDefault="00F018D3" w:rsidP="00F018D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F018D3" w:rsidRPr="00C63FCF" w:rsidTr="00103CA5">
        <w:trPr>
          <w:trHeight w:val="828"/>
        </w:trPr>
        <w:tc>
          <w:tcPr>
            <w:tcW w:w="4788" w:type="dxa"/>
            <w:tcBorders>
              <w:bottom w:val="single" w:sz="8" w:space="0" w:color="auto"/>
              <w:right w:val="double" w:sz="6" w:space="0" w:color="auto"/>
            </w:tcBorders>
            <w:shd w:val="clear" w:color="auto" w:fill="auto"/>
          </w:tcPr>
          <w:p w:rsidR="00F018D3" w:rsidRDefault="00F018D3" w:rsidP="00103CA5">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F018D3" w:rsidRDefault="00F018D3" w:rsidP="00F018D3">
            <w:pPr>
              <w:pStyle w:val="OrderBody"/>
            </w:pPr>
            <w:r>
              <w:t xml:space="preserve">DOCKET NO. </w:t>
            </w:r>
            <w:bookmarkStart w:id="1" w:name="SSDocketNo"/>
            <w:bookmarkEnd w:id="1"/>
            <w:r>
              <w:t>160001-EI</w:t>
            </w:r>
          </w:p>
          <w:p w:rsidR="00F018D3" w:rsidRDefault="00F018D3" w:rsidP="00103CA5">
            <w:pPr>
              <w:pStyle w:val="OrderBody"/>
              <w:tabs>
                <w:tab w:val="center" w:pos="4320"/>
                <w:tab w:val="right" w:pos="8640"/>
              </w:tabs>
              <w:jc w:val="left"/>
            </w:pPr>
            <w:r>
              <w:t xml:space="preserve">ORDER NO. </w:t>
            </w:r>
            <w:bookmarkStart w:id="2" w:name="OrderNo0120"/>
            <w:r w:rsidR="004B591F">
              <w:t>PSC-16-0120-PCO-EI</w:t>
            </w:r>
            <w:bookmarkEnd w:id="2"/>
          </w:p>
          <w:p w:rsidR="00F018D3" w:rsidRDefault="00F018D3" w:rsidP="00103CA5">
            <w:pPr>
              <w:pStyle w:val="OrderBody"/>
              <w:tabs>
                <w:tab w:val="center" w:pos="4320"/>
                <w:tab w:val="right" w:pos="8640"/>
              </w:tabs>
              <w:jc w:val="left"/>
            </w:pPr>
            <w:r>
              <w:t xml:space="preserve">ISSUED: </w:t>
            </w:r>
            <w:r w:rsidR="004B591F">
              <w:t>March 21, 2016</w:t>
            </w:r>
          </w:p>
        </w:tc>
      </w:tr>
    </w:tbl>
    <w:p w:rsidR="00F018D3" w:rsidRDefault="00F018D3" w:rsidP="00F018D3"/>
    <w:p w:rsidR="00F018D3" w:rsidRDefault="00F018D3" w:rsidP="00F018D3"/>
    <w:p w:rsidR="00F018D3" w:rsidRPr="00E46E1F" w:rsidRDefault="00F018D3">
      <w:pPr>
        <w:ind w:firstLine="720"/>
        <w:jc w:val="both"/>
      </w:pPr>
      <w:bookmarkStart w:id="3" w:name="Commissioners"/>
      <w:bookmarkEnd w:id="3"/>
      <w:r w:rsidRPr="00E46E1F">
        <w:t>The following Commissioners participated in the disposition of this matter:</w:t>
      </w:r>
    </w:p>
    <w:p w:rsidR="00F018D3" w:rsidRPr="00E46E1F" w:rsidRDefault="00F018D3"/>
    <w:p w:rsidR="00F018D3" w:rsidRDefault="00F018D3">
      <w:pPr>
        <w:jc w:val="center"/>
      </w:pPr>
      <w:r>
        <w:t>JULIE I. BROWN</w:t>
      </w:r>
      <w:r w:rsidRPr="00E46E1F">
        <w:t>, Chairman</w:t>
      </w:r>
    </w:p>
    <w:p w:rsidR="00F018D3" w:rsidRPr="00E46E1F" w:rsidRDefault="00F018D3">
      <w:pPr>
        <w:jc w:val="center"/>
      </w:pPr>
      <w:r w:rsidRPr="00E46E1F">
        <w:t>LISA POLAK EDGAR</w:t>
      </w:r>
    </w:p>
    <w:p w:rsidR="00F018D3" w:rsidRDefault="00F018D3">
      <w:pPr>
        <w:jc w:val="center"/>
      </w:pPr>
      <w:r>
        <w:t>ART GRAHAM</w:t>
      </w:r>
    </w:p>
    <w:p w:rsidR="00F018D3" w:rsidRDefault="00F018D3">
      <w:pPr>
        <w:jc w:val="center"/>
      </w:pPr>
      <w:r>
        <w:t>RONALD A. BRISÉ</w:t>
      </w:r>
    </w:p>
    <w:p w:rsidR="00F018D3" w:rsidRDefault="00F018D3">
      <w:pPr>
        <w:jc w:val="center"/>
      </w:pPr>
      <w:r>
        <w:t>JIMMY PATRONIS</w:t>
      </w:r>
    </w:p>
    <w:p w:rsidR="00CB5276" w:rsidRDefault="00CB5276">
      <w:pPr>
        <w:pStyle w:val="OrderBody"/>
      </w:pPr>
    </w:p>
    <w:p w:rsidR="00F018D3" w:rsidRDefault="00F018D3" w:rsidP="00F018D3">
      <w:pPr>
        <w:pStyle w:val="CenterUnderline"/>
      </w:pPr>
      <w:r>
        <w:t>ORDER</w:t>
      </w:r>
      <w:bookmarkStart w:id="4" w:name="OrderTitle"/>
      <w:r>
        <w:t xml:space="preserve"> </w:t>
      </w:r>
      <w:r w:rsidR="00103CA5">
        <w:t>APPROVING PETITION</w:t>
      </w:r>
      <w:r w:rsidR="003F1E4C">
        <w:t>S</w:t>
      </w:r>
      <w:r w:rsidR="00103CA5">
        <w:t xml:space="preserve"> FOR MID-COURSE CORRECTION</w:t>
      </w:r>
      <w:r>
        <w:t xml:space="preserve"> </w:t>
      </w:r>
      <w:bookmarkEnd w:id="4"/>
    </w:p>
    <w:p w:rsidR="00F018D3" w:rsidRDefault="00F018D3" w:rsidP="00F018D3">
      <w:pPr>
        <w:pStyle w:val="CenterUnderline"/>
      </w:pPr>
    </w:p>
    <w:p w:rsidR="00F018D3" w:rsidRDefault="00F018D3" w:rsidP="00F018D3">
      <w:pPr>
        <w:pStyle w:val="OrderBody"/>
      </w:pPr>
      <w:r>
        <w:t>BY THE COMMISSION:</w:t>
      </w:r>
    </w:p>
    <w:p w:rsidR="00F018D3" w:rsidRDefault="00F018D3" w:rsidP="00F018D3">
      <w:pPr>
        <w:pStyle w:val="OrderBody"/>
      </w:pPr>
    </w:p>
    <w:p w:rsidR="00CB5276" w:rsidRPr="00F018D3" w:rsidRDefault="00F018D3" w:rsidP="00F018D3">
      <w:pPr>
        <w:pStyle w:val="OrderBody"/>
        <w:jc w:val="center"/>
        <w:rPr>
          <w:b/>
        </w:rPr>
      </w:pPr>
      <w:bookmarkStart w:id="5" w:name="OrderText"/>
      <w:bookmarkEnd w:id="5"/>
      <w:r w:rsidRPr="00F018D3">
        <w:rPr>
          <w:b/>
        </w:rPr>
        <w:t>Background</w:t>
      </w:r>
    </w:p>
    <w:p w:rsidR="00CB5276" w:rsidRDefault="00CB5276"/>
    <w:p w:rsidR="00F018D3" w:rsidRPr="00F018D3" w:rsidRDefault="00F018D3" w:rsidP="00F018D3">
      <w:pPr>
        <w:spacing w:after="240"/>
        <w:ind w:firstLine="720"/>
        <w:jc w:val="both"/>
      </w:pPr>
      <w:r w:rsidRPr="00F018D3">
        <w:t xml:space="preserve">On February 1, 2016, Duke Energy Florida, LLC (DEF) filed a Notice Of Intent to File a Petition for Mid-Course Correction, asserting that its Petition for Mid-Course Correction would be filed on or before February 8, 2016. </w:t>
      </w:r>
      <w:r w:rsidR="00103CA5">
        <w:t xml:space="preserve"> </w:t>
      </w:r>
      <w:r w:rsidRPr="00F018D3">
        <w:t xml:space="preserve">On February 8, 2016, DEF filed its Petition for Mid-Course Correction to its 2016 Fuel Adjustment and Capacity Factors (DEF Petition). </w:t>
      </w:r>
    </w:p>
    <w:p w:rsidR="00F018D3" w:rsidRDefault="00F018D3" w:rsidP="00F018D3">
      <w:pPr>
        <w:spacing w:after="240"/>
        <w:ind w:firstLine="720"/>
        <w:jc w:val="both"/>
      </w:pPr>
      <w:r w:rsidRPr="00F018D3">
        <w:t>On February 2, 2016, Florida Power &amp; Light Company (</w:t>
      </w:r>
      <w:smartTag w:uri="urn:schemas-microsoft-com:office:smarttags" w:element="stockticker">
        <w:r w:rsidRPr="00F018D3">
          <w:t>FPL</w:t>
        </w:r>
      </w:smartTag>
      <w:r w:rsidRPr="00F018D3">
        <w:t>) filed a Petition for Mid-Course Correction to its 2016 Fuel Adjustment Factors (FPL Petition).</w:t>
      </w:r>
    </w:p>
    <w:p w:rsidR="00F018D3" w:rsidRPr="00F018D3" w:rsidRDefault="00F018D3" w:rsidP="00F018D3">
      <w:pPr>
        <w:spacing w:after="240"/>
        <w:ind w:firstLine="720"/>
        <w:jc w:val="both"/>
      </w:pPr>
      <w:r w:rsidRPr="00F018D3">
        <w:t>The DEF and FPL filings seek to reduce the respective 2016 fuel and purchased power cost recovery factors (fuel factors) approved in Order No. PSC-15-0586-FOF-EI.</w:t>
      </w:r>
      <w:r w:rsidRPr="00F018D3">
        <w:rPr>
          <w:vertAlign w:val="superscript"/>
        </w:rPr>
        <w:footnoteReference w:id="1"/>
      </w:r>
      <w:r w:rsidRPr="00F018D3">
        <w:t xml:space="preserve"> </w:t>
      </w:r>
      <w:r w:rsidR="00103CA5">
        <w:t xml:space="preserve"> </w:t>
      </w:r>
      <w:r w:rsidRPr="00F018D3">
        <w:t xml:space="preserve">FPL has requested that the revised fuel factors become effective with the in-service date of the Port Everglades Energy Center, which is expected to be April 1, 2016, and DEF has requested that its revised fuel factors become effective when the April 2016 billing cycle begins. </w:t>
      </w:r>
      <w:r w:rsidR="00103CA5">
        <w:t xml:space="preserve"> </w:t>
      </w:r>
      <w:r w:rsidRPr="00F018D3">
        <w:t>The requested reductions for DEF and FPL are primarily due to decreases in projected 2016 natural gas prices.</w:t>
      </w:r>
    </w:p>
    <w:p w:rsidR="00F018D3" w:rsidRPr="00F018D3" w:rsidRDefault="00F018D3" w:rsidP="00F018D3">
      <w:pPr>
        <w:spacing w:after="240"/>
        <w:ind w:firstLine="720"/>
        <w:jc w:val="both"/>
      </w:pPr>
      <w:r w:rsidRPr="00F018D3">
        <w:t xml:space="preserve">This case </w:t>
      </w:r>
      <w:r w:rsidR="00103CA5">
        <w:t xml:space="preserve">was </w:t>
      </w:r>
      <w:r w:rsidRPr="00F018D3">
        <w:t xml:space="preserve">voted on at the March 1, 2016 Agenda Conference or 30 days before the April 2016 billing cycle begins. </w:t>
      </w:r>
      <w:r w:rsidR="00103CA5">
        <w:t xml:space="preserve"> </w:t>
      </w:r>
      <w:r w:rsidRPr="00F018D3">
        <w:t>Typically, effective dates are set a minimum of 30 days after a Commission vote modifying charges as the result of a mid-course correction.</w:t>
      </w:r>
      <w:r w:rsidRPr="00F018D3">
        <w:rPr>
          <w:vertAlign w:val="superscript"/>
        </w:rPr>
        <w:footnoteReference w:id="2"/>
      </w:r>
      <w:r w:rsidRPr="00F018D3">
        <w:t xml:space="preserve"> </w:t>
      </w:r>
      <w:r w:rsidR="00103CA5">
        <w:t xml:space="preserve"> </w:t>
      </w:r>
      <w:r w:rsidRPr="00F018D3">
        <w:t xml:space="preserve">This time limit is </w:t>
      </w:r>
      <w:r w:rsidRPr="00F018D3">
        <w:lastRenderedPageBreak/>
        <w:t xml:space="preserve">imposed in order to not have new rates applied to energy consumed before the effective date of the Commission’s action, i.e., the date of the vote. </w:t>
      </w:r>
      <w:r w:rsidR="00103CA5">
        <w:t xml:space="preserve"> </w:t>
      </w:r>
      <w:r w:rsidR="003F1E4C">
        <w:t>However, we have</w:t>
      </w:r>
      <w:r w:rsidRPr="00F018D3">
        <w:t xml:space="preserve"> also implemented charges in less than 30 days when circumstances warrant.</w:t>
      </w:r>
      <w:r w:rsidRPr="00F018D3">
        <w:rPr>
          <w:vertAlign w:val="superscript"/>
        </w:rPr>
        <w:footnoteReference w:id="3"/>
      </w:r>
      <w:r w:rsidRPr="00F018D3">
        <w:t xml:space="preserve"> </w:t>
      </w:r>
      <w:r w:rsidR="00103CA5">
        <w:t xml:space="preserve"> </w:t>
      </w:r>
      <w:r w:rsidRPr="00F018D3">
        <w:t xml:space="preserve">In this instance, the interval between the Commission’s vote on this matter (March 1, 2016) and the proposed implementation date (expected to be April 1, 2016) is 30 days, which </w:t>
      </w:r>
      <w:r w:rsidR="00103CA5">
        <w:t xml:space="preserve">we find to be </w:t>
      </w:r>
      <w:r w:rsidRPr="00F018D3">
        <w:t xml:space="preserve">sufficient.  </w:t>
      </w:r>
    </w:p>
    <w:p w:rsidR="00F018D3" w:rsidRPr="00F018D3" w:rsidRDefault="00F018D3" w:rsidP="00F018D3">
      <w:pPr>
        <w:spacing w:after="240"/>
        <w:ind w:firstLine="720"/>
        <w:jc w:val="both"/>
      </w:pPr>
      <w:r w:rsidRPr="00F018D3">
        <w:t xml:space="preserve">Mid-course corrections are part of the fuel and purchased power cost recovery clause (fuel clause) proceeding, and such corrections are used by </w:t>
      </w:r>
      <w:r w:rsidR="00103CA5">
        <w:t>this</w:t>
      </w:r>
      <w:r w:rsidRPr="00F018D3">
        <w:t xml:space="preserve"> Commission between fuel clause hearings whenever costs deviate from revenues by a significant margin. </w:t>
      </w:r>
      <w:r w:rsidR="00103CA5">
        <w:t xml:space="preserve"> </w:t>
      </w:r>
      <w:r w:rsidRPr="00F018D3">
        <w:t xml:space="preserve">Petitions for mid-course corrections to fuel factors are addressed by Rule 25-6.0424, Florida Administrative Code (F.A.C.). </w:t>
      </w:r>
      <w:r w:rsidR="00103CA5">
        <w:t xml:space="preserve"> </w:t>
      </w:r>
      <w:r w:rsidRPr="00F018D3">
        <w:t xml:space="preserve">Under this rule, a utility must notify </w:t>
      </w:r>
      <w:r w:rsidR="00103CA5">
        <w:t>this</w:t>
      </w:r>
      <w:r w:rsidRPr="00F018D3">
        <w:t xml:space="preserve"> Commission whenever it expects to experience an under-recovery or over-recovery greater than 10 percent. </w:t>
      </w:r>
      <w:r w:rsidR="00103CA5">
        <w:t xml:space="preserve"> </w:t>
      </w:r>
      <w:r w:rsidRPr="00F018D3">
        <w:t>Pursuant to Rule 25-6.0424, F.A.C., the mid-course percentage is the estimated end-of-period total net true-up amount divided by the current period’s total actual and estimated jurisdictional fuel revenue applicable to period amount.</w:t>
      </w:r>
    </w:p>
    <w:p w:rsidR="00F018D3" w:rsidRPr="00F018D3" w:rsidRDefault="00F018D3" w:rsidP="00F018D3">
      <w:pPr>
        <w:spacing w:after="240"/>
        <w:ind w:firstLine="720"/>
        <w:jc w:val="both"/>
      </w:pPr>
      <w:r w:rsidRPr="00F018D3">
        <w:t>Mid-course corrections are considered preliminary procedural decisions, and any over-recoveries or under-recoveries caused by or resulting from the new fuel factors adopted by the mid-course correction may be included in the following year’s fuel factors.</w:t>
      </w:r>
    </w:p>
    <w:p w:rsidR="00F018D3" w:rsidRPr="00F018D3" w:rsidRDefault="00103CA5" w:rsidP="00F018D3">
      <w:pPr>
        <w:spacing w:after="240"/>
        <w:ind w:firstLine="720"/>
        <w:jc w:val="both"/>
      </w:pPr>
      <w:r>
        <w:t>Thus</w:t>
      </w:r>
      <w:r w:rsidR="00F018D3" w:rsidRPr="00F018D3">
        <w:t xml:space="preserve"> Commission’s jurisdiction to consider fuel clause proceedings derives from the Commission’s authority to set fair and reasonable rates, found in Section 366.05, Florida Statutes.</w:t>
      </w:r>
    </w:p>
    <w:p w:rsidR="00F018D3" w:rsidRPr="00F018D3" w:rsidRDefault="00F018D3" w:rsidP="00F018D3">
      <w:pPr>
        <w:spacing w:after="240"/>
        <w:jc w:val="center"/>
        <w:rPr>
          <w:b/>
        </w:rPr>
      </w:pPr>
      <w:r w:rsidRPr="00F018D3">
        <w:rPr>
          <w:b/>
        </w:rPr>
        <w:t>Decision</w:t>
      </w:r>
    </w:p>
    <w:p w:rsidR="00F018D3" w:rsidRPr="00F018D3" w:rsidRDefault="00F018D3" w:rsidP="00F018D3">
      <w:pPr>
        <w:spacing w:after="240"/>
        <w:jc w:val="both"/>
        <w:rPr>
          <w:b/>
        </w:rPr>
      </w:pPr>
      <w:r w:rsidRPr="00F018D3">
        <w:rPr>
          <w:b/>
        </w:rPr>
        <w:t>Florida Power &amp; Light Company’s Mid-Course Revision</w:t>
      </w:r>
    </w:p>
    <w:p w:rsidR="00F018D3" w:rsidRPr="00F018D3" w:rsidRDefault="00F018D3" w:rsidP="00F018D3">
      <w:pPr>
        <w:spacing w:after="240"/>
        <w:ind w:firstLine="720"/>
        <w:jc w:val="both"/>
      </w:pPr>
      <w:r w:rsidRPr="00F018D3">
        <w:t>FPL states that its original projected cost for natural gas used the New York Mercantile Exchange (NYMEX)</w:t>
      </w:r>
      <w:r w:rsidRPr="00F018D3">
        <w:rPr>
          <w:vertAlign w:val="superscript"/>
        </w:rPr>
        <w:footnoteReference w:id="4"/>
      </w:r>
      <w:r w:rsidRPr="00F018D3">
        <w:t xml:space="preserve"> futures contract prices for each month of 2016, based on a forward curve as of July 27, 2015. </w:t>
      </w:r>
      <w:r w:rsidR="00103CA5">
        <w:t xml:space="preserve"> </w:t>
      </w:r>
      <w:r w:rsidRPr="00F018D3">
        <w:t xml:space="preserve">Forward curve prices represent the price of gas for delivery in a particular month in the future. </w:t>
      </w:r>
      <w:r w:rsidR="00103CA5">
        <w:t xml:space="preserve"> </w:t>
      </w:r>
      <w:r w:rsidRPr="00F018D3">
        <w:t xml:space="preserve">Futures contracts are actively traded and the prices can change hour-by-hour throughout a trading day. </w:t>
      </w:r>
    </w:p>
    <w:p w:rsidR="00F018D3" w:rsidRPr="00F018D3" w:rsidRDefault="00F018D3" w:rsidP="00F018D3">
      <w:pPr>
        <w:spacing w:after="240"/>
        <w:ind w:firstLine="720"/>
        <w:jc w:val="both"/>
      </w:pPr>
      <w:r w:rsidRPr="00F018D3">
        <w:lastRenderedPageBreak/>
        <w:t xml:space="preserve">In its Petition, </w:t>
      </w:r>
      <w:smartTag w:uri="urn:schemas-microsoft-com:office:smarttags" w:element="stockticker">
        <w:r w:rsidRPr="00F018D3">
          <w:t>FPL</w:t>
        </w:r>
      </w:smartTag>
      <w:r w:rsidRPr="00F018D3">
        <w:t xml:space="preserve"> noted that projected natural gas commodity prices have declined substantially since its original projections were developed. </w:t>
      </w:r>
      <w:r w:rsidR="00103CA5">
        <w:t xml:space="preserve"> </w:t>
      </w:r>
      <w:r w:rsidRPr="00F018D3">
        <w:t xml:space="preserve">For its mid-course calculations, </w:t>
      </w:r>
      <w:smartTag w:uri="urn:schemas-microsoft-com:office:smarttags" w:element="stockticker">
        <w:r w:rsidRPr="00F018D3">
          <w:t>FPL</w:t>
        </w:r>
      </w:smartTag>
      <w:r w:rsidRPr="00F018D3">
        <w:t xml:space="preserve"> used NYMEX futures contract prices based on a forward curve as of January 4, 2016. </w:t>
      </w:r>
      <w:r w:rsidR="00103CA5">
        <w:t xml:space="preserve"> </w:t>
      </w:r>
      <w:r w:rsidRPr="00F018D3">
        <w:t>According to FPL, the decrease in 2016 projected gas prices from the original projections to the mid-course projections is about 21 percent.</w:t>
      </w:r>
      <w:r w:rsidRPr="00F018D3">
        <w:rPr>
          <w:vertAlign w:val="superscript"/>
        </w:rPr>
        <w:footnoteReference w:id="5"/>
      </w:r>
    </w:p>
    <w:p w:rsidR="00F018D3" w:rsidRPr="00F018D3" w:rsidRDefault="00F018D3" w:rsidP="00F018D3">
      <w:pPr>
        <w:spacing w:after="240"/>
        <w:ind w:firstLine="720"/>
        <w:jc w:val="both"/>
      </w:pPr>
      <w:r w:rsidRPr="00F018D3">
        <w:t xml:space="preserve">In addition, </w:t>
      </w:r>
      <w:smartTag w:uri="urn:schemas-microsoft-com:office:smarttags" w:element="stockticker">
        <w:r w:rsidRPr="00F018D3">
          <w:t>FPL</w:t>
        </w:r>
      </w:smartTag>
      <w:r w:rsidRPr="00F018D3">
        <w:t xml:space="preserve"> updated its 2015 true-up amount to reflect twelve months of actual data (January through December 2015).</w:t>
      </w:r>
      <w:r w:rsidR="00103CA5">
        <w:t xml:space="preserve"> </w:t>
      </w:r>
      <w:r w:rsidRPr="00F018D3">
        <w:t xml:space="preserve">Originally, the actual/estimated true-up was an under-recovery of $66,818,243. </w:t>
      </w:r>
      <w:r w:rsidR="00103CA5">
        <w:t xml:space="preserve"> </w:t>
      </w:r>
      <w:r w:rsidRPr="00F018D3">
        <w:t xml:space="preserve">FPL’s mid-course filing shows the actual under-recovery for 2015 was </w:t>
      </w:r>
      <w:r w:rsidRPr="00F018D3">
        <w:rPr>
          <w:b/>
        </w:rPr>
        <w:t>$</w:t>
      </w:r>
      <w:r w:rsidRPr="00F018D3">
        <w:t>37,050,993 or a $29,767,250 reduction in the 2015 under-recovery amount.</w:t>
      </w:r>
      <w:r w:rsidR="00103CA5">
        <w:t xml:space="preserve"> </w:t>
      </w:r>
      <w:r w:rsidRPr="00F018D3">
        <w:t xml:space="preserve"> FPL projects that the current fuel factors for 2016 will produce an over-recovery of approximately $256 million, resulting in a net over-recovery of about $286 million, or 9.66 percent (rounded to 9.7 percent in the FPL Petition). </w:t>
      </w:r>
      <w:r w:rsidR="00103CA5">
        <w:t xml:space="preserve"> </w:t>
      </w:r>
      <w:r w:rsidRPr="00F018D3">
        <w:t>FPL acknowledges that its projected over-recovery percentage of 9.66 percent is less than the threshold identified for notification under Rule 25-6.0424, F.A.C., but states that Section 2 of Rule 25-6.0424, F.A.C., does not preclude it from making a mid-course filing.</w:t>
      </w:r>
    </w:p>
    <w:p w:rsidR="00F018D3" w:rsidRPr="00F018D3" w:rsidRDefault="003F1E4C" w:rsidP="00F018D3">
      <w:pPr>
        <w:spacing w:after="240"/>
        <w:ind w:firstLine="720"/>
        <w:jc w:val="both"/>
      </w:pPr>
      <w:r>
        <w:t>O</w:t>
      </w:r>
      <w:r w:rsidR="00F018D3" w:rsidRPr="00F018D3">
        <w:t>n Schedule E1-B, FPL projected its end of year net true up for 2016 would be an over-recovery of $285,525,014, based on revised estimated figures for January through December 2016. Additionally, FPL projects that Jurisdictional Fuel Revenues Applicable for this Period will be $2,956,151,664.</w:t>
      </w:r>
      <w:r w:rsidR="00103CA5">
        <w:t xml:space="preserve">  </w:t>
      </w:r>
      <w:r w:rsidR="00F018D3" w:rsidRPr="00F018D3">
        <w:t>Based on Rule 25-6.0424, F.A.C., the mid-course percentage is the estimated end-of-period total net true-up amount ($285,525,014) divided by the current period’s total actual and estimated jurisdictional fuel revenue applicable to period amount ($2,956,151,664), resulting in the mid-course calculation of 9.66 percent.</w:t>
      </w:r>
    </w:p>
    <w:p w:rsidR="00F018D3" w:rsidRPr="00F018D3" w:rsidRDefault="00F018D3" w:rsidP="00F018D3">
      <w:pPr>
        <w:spacing w:after="240"/>
        <w:ind w:firstLine="720"/>
        <w:jc w:val="both"/>
      </w:pPr>
      <w:r w:rsidRPr="00F018D3">
        <w:t xml:space="preserve">For 2016, </w:t>
      </w:r>
      <w:smartTag w:uri="urn:schemas-microsoft-com:office:smarttags" w:element="stockticker">
        <w:r w:rsidRPr="00F018D3">
          <w:t>FPL</w:t>
        </w:r>
      </w:smartTag>
      <w:r w:rsidRPr="00F018D3">
        <w:t xml:space="preserve"> projects its generation mix will be approximately 71 percent natural gas. Therefore, a decrease in the projected cost of gas for </w:t>
      </w:r>
      <w:smartTag w:uri="urn:schemas-microsoft-com:office:smarttags" w:element="stockticker">
        <w:r w:rsidRPr="00F018D3">
          <w:t>FPL</w:t>
        </w:r>
      </w:smartTag>
      <w:r w:rsidRPr="00F018D3">
        <w:t xml:space="preserve"> can significantly decrease its fuel factors. </w:t>
      </w:r>
    </w:p>
    <w:p w:rsidR="00F018D3" w:rsidRPr="00F018D3" w:rsidRDefault="00F018D3" w:rsidP="00F018D3">
      <w:pPr>
        <w:spacing w:after="240"/>
        <w:ind w:firstLine="720"/>
        <w:jc w:val="both"/>
      </w:pPr>
      <w:smartTag w:uri="urn:schemas-microsoft-com:office:smarttags" w:element="stockticker">
        <w:r w:rsidRPr="00F018D3">
          <w:t>FPL</w:t>
        </w:r>
      </w:smartTag>
      <w:r w:rsidRPr="00F018D3">
        <w:t xml:space="preserve">’s current 1,000 kilowatt hour (kWh) residential bill is $93.38 per month with a fuel cost recovery component of $25.80 per month. </w:t>
      </w:r>
      <w:r w:rsidR="00103CA5">
        <w:t xml:space="preserve"> </w:t>
      </w:r>
      <w:r w:rsidRPr="00F018D3">
        <w:t xml:space="preserve">In the March billing cycle, FPL will be implementing a $0.32 per month true up adjustment to the Storm Restoration Surcharge, and in April’s billing cycle, FPL plans to implement the fuel factor adjustments </w:t>
      </w:r>
      <w:r w:rsidR="003F1E4C">
        <w:t>this</w:t>
      </w:r>
      <w:r w:rsidRPr="00F018D3">
        <w:t xml:space="preserve"> Commission approved for the Port Everglades Energy Center Generation Base Rate Adjustment (GBRA) approved in Order No. PSC-15-0586-FOF-EI. </w:t>
      </w:r>
      <w:r w:rsidR="00103CA5">
        <w:t xml:space="preserve"> </w:t>
      </w:r>
      <w:r w:rsidRPr="00F018D3">
        <w:t xml:space="preserve">In its Petition, FPL requests that its mid-course correction to fuel factors be implemented concurrent with the GBRA adjustments in the April billing cycle. </w:t>
      </w:r>
      <w:r w:rsidR="00103CA5">
        <w:t xml:space="preserve"> </w:t>
      </w:r>
      <w:r w:rsidRPr="00F018D3">
        <w:t xml:space="preserve">Assuming the Storm Restoration Surcharge adjustment (in March), the GBRA adjustments (in April), and the revised fuel cost recovery factors in its mid-course correction (proposed to coincide with the GBRA adjustments), the total residential bill for 1,000 kWh of usage for April through December 2016 will be $91.73 per month, with a fuel cost recovery component of $21.73 per month. </w:t>
      </w:r>
      <w:r w:rsidR="00103CA5">
        <w:t xml:space="preserve"> </w:t>
      </w:r>
      <w:r w:rsidRPr="00F018D3">
        <w:t xml:space="preserve">Upon approval, the total of all adjustments results in a net reduction of $1.65 per month for residential customers using 1,000 kWh of electricity, as shown in Attachment B. </w:t>
      </w:r>
      <w:r w:rsidR="00103CA5">
        <w:t xml:space="preserve"> </w:t>
      </w:r>
      <w:r w:rsidRPr="00F018D3">
        <w:t xml:space="preserve">FPL believes implementing reduced fuel cost recovery factors is in the best </w:t>
      </w:r>
      <w:r w:rsidRPr="00F018D3">
        <w:lastRenderedPageBreak/>
        <w:t xml:space="preserve">interests of its customers since the factors would be decreasing, not increasing, and customers would get the benefit of reduced rates as quickly as administratively possible. </w:t>
      </w:r>
    </w:p>
    <w:p w:rsidR="00F018D3" w:rsidRPr="00F018D3" w:rsidRDefault="00A466AA" w:rsidP="00F018D3">
      <w:pPr>
        <w:spacing w:after="240"/>
        <w:ind w:firstLine="720"/>
        <w:jc w:val="both"/>
      </w:pPr>
      <w:r>
        <w:t xml:space="preserve">At a noticed </w:t>
      </w:r>
      <w:r w:rsidR="00F018D3" w:rsidRPr="00F018D3">
        <w:t xml:space="preserve">informal meeting between </w:t>
      </w:r>
      <w:r w:rsidR="00103CA5">
        <w:t xml:space="preserve">Commission </w:t>
      </w:r>
      <w:r w:rsidR="00F018D3" w:rsidRPr="00F018D3">
        <w:t>staff and interested parties, FPL stated that it intend</w:t>
      </w:r>
      <w:r w:rsidR="003F1E4C">
        <w:t>ed</w:t>
      </w:r>
      <w:r w:rsidR="00F018D3" w:rsidRPr="00F018D3">
        <w:t xml:space="preserve"> to provide notice to customers in advance of </w:t>
      </w:r>
      <w:r w:rsidR="003F1E4C">
        <w:t>our</w:t>
      </w:r>
      <w:r w:rsidR="00F018D3" w:rsidRPr="00F018D3">
        <w:t xml:space="preserve"> vote regarding its mid-course correction request through bill inserts, and also via website links.</w:t>
      </w:r>
      <w:r w:rsidR="00F018D3" w:rsidRPr="00F018D3">
        <w:rPr>
          <w:vertAlign w:val="superscript"/>
        </w:rPr>
        <w:footnoteReference w:id="6"/>
      </w:r>
      <w:r w:rsidR="00F018D3" w:rsidRPr="00F018D3">
        <w:t xml:space="preserve"> </w:t>
      </w:r>
    </w:p>
    <w:p w:rsidR="00F018D3" w:rsidRPr="00F018D3" w:rsidRDefault="00F018D3" w:rsidP="00F018D3">
      <w:pPr>
        <w:spacing w:after="240"/>
        <w:ind w:left="720"/>
        <w:jc w:val="both"/>
        <w:rPr>
          <w:b/>
        </w:rPr>
      </w:pPr>
      <w:r w:rsidRPr="00F018D3">
        <w:rPr>
          <w:b/>
        </w:rPr>
        <w:t>Conclusion</w:t>
      </w:r>
    </w:p>
    <w:p w:rsidR="00F018D3" w:rsidRPr="00F018D3" w:rsidRDefault="00103CA5" w:rsidP="00F018D3">
      <w:pPr>
        <w:spacing w:after="240"/>
        <w:ind w:firstLine="720"/>
        <w:jc w:val="both"/>
        <w:rPr>
          <w:b/>
        </w:rPr>
      </w:pPr>
      <w:r>
        <w:t>We</w:t>
      </w:r>
      <w:r w:rsidR="00F018D3" w:rsidRPr="00F018D3">
        <w:t xml:space="preserve"> approve </w:t>
      </w:r>
      <w:smartTag w:uri="urn:schemas-microsoft-com:office:smarttags" w:element="stockticker">
        <w:r w:rsidR="00F018D3" w:rsidRPr="00F018D3">
          <w:t>FPL</w:t>
        </w:r>
      </w:smartTag>
      <w:r w:rsidR="00F018D3" w:rsidRPr="00F018D3">
        <w:t>’s Petition for mid-course correction to its 2016 fuel cost recovery factors and the associated tariff sheets.</w:t>
      </w:r>
      <w:r>
        <w:t xml:space="preserve"> </w:t>
      </w:r>
      <w:r w:rsidR="00F018D3" w:rsidRPr="00F018D3">
        <w:t xml:space="preserve"> The revised fuel cost recovery factors and associated tariffs </w:t>
      </w:r>
      <w:r>
        <w:t>shall</w:t>
      </w:r>
      <w:r w:rsidR="00F018D3" w:rsidRPr="00F018D3">
        <w:t xml:space="preserve"> become effective with the in-service date of the Port Everglades Energy Center, which is expected to be April 1, 2016. </w:t>
      </w:r>
      <w:r>
        <w:t xml:space="preserve"> </w:t>
      </w:r>
      <w:r w:rsidR="00F018D3" w:rsidRPr="00F018D3">
        <w:t xml:space="preserve">The </w:t>
      </w:r>
      <w:r>
        <w:t>approved</w:t>
      </w:r>
      <w:r w:rsidR="00F018D3" w:rsidRPr="00F018D3">
        <w:t xml:space="preserve"> fuel cost recovery factors are presented in Attachment A, and the associated tariff sheets are shown in Attachment C.</w:t>
      </w:r>
    </w:p>
    <w:p w:rsidR="00F018D3" w:rsidRPr="00F018D3" w:rsidRDefault="00F018D3" w:rsidP="00F018D3">
      <w:pPr>
        <w:spacing w:after="240"/>
        <w:jc w:val="both"/>
        <w:rPr>
          <w:b/>
        </w:rPr>
      </w:pPr>
      <w:r w:rsidRPr="00F018D3">
        <w:rPr>
          <w:b/>
        </w:rPr>
        <w:t>Duke Energy Florida</w:t>
      </w:r>
      <w:r w:rsidR="00A466AA">
        <w:rPr>
          <w:b/>
        </w:rPr>
        <w:t xml:space="preserve"> LLC</w:t>
      </w:r>
      <w:r w:rsidRPr="00F018D3">
        <w:rPr>
          <w:b/>
        </w:rPr>
        <w:t>’s 2016 Mid-Course Revision</w:t>
      </w:r>
    </w:p>
    <w:p w:rsidR="00F018D3" w:rsidRPr="00F018D3" w:rsidRDefault="00F018D3" w:rsidP="00F018D3">
      <w:pPr>
        <w:spacing w:after="240"/>
        <w:ind w:firstLine="720"/>
        <w:jc w:val="both"/>
        <w:rPr>
          <w:b/>
        </w:rPr>
      </w:pPr>
      <w:r w:rsidRPr="00F018D3">
        <w:rPr>
          <w:b/>
        </w:rPr>
        <w:t>Midcourse Adjustment for Fuel Cost Recovery Factors</w:t>
      </w:r>
    </w:p>
    <w:p w:rsidR="00F018D3" w:rsidRPr="00F018D3" w:rsidRDefault="00F018D3" w:rsidP="00F018D3">
      <w:pPr>
        <w:spacing w:after="240"/>
        <w:ind w:firstLine="720"/>
        <w:jc w:val="both"/>
      </w:pPr>
      <w:r w:rsidRPr="00F018D3">
        <w:t xml:space="preserve">DEF states that its original projected cost for natural gas used NYMEX futures contract prices for each month of 2016, based on a forward curve as of June 11, 2015. </w:t>
      </w:r>
      <w:r w:rsidR="00103CA5">
        <w:t xml:space="preserve"> </w:t>
      </w:r>
      <w:r w:rsidRPr="00F018D3">
        <w:t xml:space="preserve">Forward curve prices represent the price of gas for delivery in a particular month in the future. </w:t>
      </w:r>
      <w:r w:rsidR="00103CA5">
        <w:t xml:space="preserve"> </w:t>
      </w:r>
      <w:r w:rsidRPr="00F018D3">
        <w:t>Futures contracts are actively traded and the prices can change hour-by-hour throughout a trading day.</w:t>
      </w:r>
    </w:p>
    <w:p w:rsidR="00F018D3" w:rsidRPr="00F018D3" w:rsidRDefault="00F018D3" w:rsidP="00F018D3">
      <w:pPr>
        <w:spacing w:after="240"/>
        <w:ind w:firstLine="720"/>
        <w:jc w:val="both"/>
      </w:pPr>
      <w:r w:rsidRPr="00F018D3">
        <w:t xml:space="preserve">In its Petition, DEF noted that projected natural gas commodity prices have declined substantially since its original projections were developed. </w:t>
      </w:r>
      <w:r w:rsidR="00103CA5">
        <w:t xml:space="preserve"> </w:t>
      </w:r>
      <w:r w:rsidRPr="00F018D3">
        <w:t xml:space="preserve">For its mid-course calculations, DEF  used NYMEX futures contract prices based on a forward curve as of January 6, 2016. </w:t>
      </w:r>
      <w:r w:rsidR="00103CA5">
        <w:t xml:space="preserve"> </w:t>
      </w:r>
      <w:r w:rsidRPr="00F018D3">
        <w:t>According to DEF, the decrease in 2016 projected natural gas prices from the original projections to the mid-course projections is about 30 percent.</w:t>
      </w:r>
      <w:r w:rsidRPr="00F018D3">
        <w:rPr>
          <w:vertAlign w:val="superscript"/>
        </w:rPr>
        <w:footnoteReference w:id="7"/>
      </w:r>
    </w:p>
    <w:p w:rsidR="00F018D3" w:rsidRPr="00F018D3" w:rsidRDefault="00F018D3" w:rsidP="00F018D3">
      <w:pPr>
        <w:spacing w:after="240"/>
        <w:ind w:firstLine="720"/>
        <w:jc w:val="both"/>
      </w:pPr>
      <w:r w:rsidRPr="00F018D3">
        <w:t xml:space="preserve">In addition to the revised fuel price projections, DEF updated its 2015 true-up amount to reflect twelve months of actual data (January through December 2015). Originally, the actual/estimated true-up was an over-recovery of $78,731,031. </w:t>
      </w:r>
      <w:r w:rsidR="00103CA5">
        <w:t xml:space="preserve"> </w:t>
      </w:r>
      <w:r w:rsidRPr="00F018D3">
        <w:t xml:space="preserve">DEF’s mid-course filing shows the actual over-recovery for 2015 was $116,588,895, a difference of $37,857,864. Based on the updated projections for 2016, DEF anticipates an end of period total true-up over-recovery of $161,726,581, resulting in a total end of period true-up of $199,584,445.  </w:t>
      </w:r>
    </w:p>
    <w:p w:rsidR="00F018D3" w:rsidRPr="00F018D3" w:rsidRDefault="00F018D3" w:rsidP="00F018D3">
      <w:pPr>
        <w:spacing w:after="240"/>
        <w:ind w:firstLine="720"/>
        <w:jc w:val="both"/>
      </w:pPr>
      <w:r w:rsidRPr="00F018D3">
        <w:t xml:space="preserve">Based on Rule 25-6.0424, F.A.C., the mid-course percentage is the estimated end-of-period total true-up amount ($199,584,445) divided by the current period’s total actual and estimated jurisdictional fuel revenue applicable to period amount. </w:t>
      </w:r>
      <w:r w:rsidR="00AD000D">
        <w:t xml:space="preserve"> </w:t>
      </w:r>
      <w:r w:rsidRPr="00F018D3">
        <w:t xml:space="preserve">Schedule E1-B, attached to DEF’s Petition, shows that DEF’s total actual and estimated jurisdictional fuel revenue </w:t>
      </w:r>
      <w:r w:rsidRPr="00F018D3">
        <w:lastRenderedPageBreak/>
        <w:t>applicable to period amount is $1,544,204,763, resulting in the mid-course calculation of 12.93 percent.</w:t>
      </w:r>
    </w:p>
    <w:p w:rsidR="00F018D3" w:rsidRPr="00F018D3" w:rsidRDefault="00F018D3" w:rsidP="00F018D3">
      <w:pPr>
        <w:spacing w:after="240"/>
        <w:ind w:firstLine="720"/>
        <w:jc w:val="both"/>
      </w:pPr>
      <w:r w:rsidRPr="00F018D3">
        <w:t xml:space="preserve">For 2016, DEF projects its generation mix will include approximately 74 percent natural gas. </w:t>
      </w:r>
      <w:r w:rsidR="00AD000D">
        <w:t xml:space="preserve"> </w:t>
      </w:r>
      <w:r w:rsidRPr="00F018D3">
        <w:t xml:space="preserve">Therefore, a decrease in the projected cost of gas for DEF can significantly decrease its fuel factors. </w:t>
      </w:r>
    </w:p>
    <w:p w:rsidR="00F018D3" w:rsidRPr="00F018D3" w:rsidRDefault="00F018D3" w:rsidP="00F018D3">
      <w:pPr>
        <w:spacing w:after="240"/>
        <w:ind w:firstLine="720"/>
        <w:jc w:val="both"/>
      </w:pPr>
      <w:r w:rsidRPr="00F018D3">
        <w:t>DEF’s current 1,000 kilowatt hour (kWh) residential bill is $114.15 per month with a fuel component of $33.53 per month.</w:t>
      </w:r>
      <w:r w:rsidR="00AD000D">
        <w:t xml:space="preserve">  </w:t>
      </w:r>
      <w:r w:rsidRPr="00F018D3">
        <w:t xml:space="preserve">Assuming that its mid-course correction is approved, the fuel portion of a residential bill for 1,000 kWh of usage for April through December 2016 will be reduced by $6.74 per month, to $26.79 per month. </w:t>
      </w:r>
      <w:r w:rsidR="00AD000D">
        <w:t xml:space="preserve"> </w:t>
      </w:r>
      <w:r w:rsidR="003F1E4C">
        <w:t xml:space="preserve">DEF </w:t>
      </w:r>
      <w:r w:rsidRPr="00F018D3">
        <w:t xml:space="preserve">also requests an adjustment to capacity cost recovery factors due to an error that understated actual costs. </w:t>
      </w:r>
      <w:r w:rsidR="00AD000D">
        <w:t xml:space="preserve"> </w:t>
      </w:r>
      <w:r w:rsidRPr="00F018D3">
        <w:t xml:space="preserve">On a stand-alone basis, the understated capacity costs would have increased the bill for a residential customer using 1,000 kilowatt hours by $1.05 per month. </w:t>
      </w:r>
      <w:r w:rsidR="00AD000D">
        <w:t xml:space="preserve"> </w:t>
      </w:r>
      <w:r w:rsidRPr="00F018D3">
        <w:t xml:space="preserve">However, when implemented concurrent with the reduction to fuel cost recovery factors pursuant to the mid-course correction, the net reduction in fuel cost recovery amounts more than offsets the understated capacity costs. </w:t>
      </w:r>
      <w:r w:rsidR="00AD000D">
        <w:t xml:space="preserve"> </w:t>
      </w:r>
      <w:r w:rsidRPr="00F018D3">
        <w:t>Upon approval, the bill for a residential customer using 1,000 kilowatt hours falls to $108.32 per month, a net reduction of $5.83 per month from February bills, as shown in Attachment E.</w:t>
      </w:r>
    </w:p>
    <w:p w:rsidR="00F018D3" w:rsidRPr="00F018D3" w:rsidRDefault="00F018D3" w:rsidP="00F018D3">
      <w:pPr>
        <w:spacing w:after="240"/>
        <w:ind w:firstLine="720"/>
        <w:jc w:val="both"/>
      </w:pPr>
      <w:r w:rsidRPr="00F018D3">
        <w:t xml:space="preserve">DEF has requested that the revised fuel factors become effective with the first billing cycle of April 2016. </w:t>
      </w:r>
      <w:r w:rsidR="00AD000D">
        <w:t xml:space="preserve"> </w:t>
      </w:r>
      <w:r w:rsidRPr="00F018D3">
        <w:t xml:space="preserve">This case </w:t>
      </w:r>
      <w:r w:rsidR="00AD000D">
        <w:t>was</w:t>
      </w:r>
      <w:r w:rsidRPr="00F018D3">
        <w:t xml:space="preserve"> voted on at the March 1, 2016 agenda conference or 30 days before the April 2016 billing cycle begins. </w:t>
      </w:r>
      <w:r w:rsidR="00AD000D">
        <w:t xml:space="preserve"> </w:t>
      </w:r>
      <w:r w:rsidRPr="00F018D3">
        <w:t>DEF has stated that it will provide notice of its mid-course correction request through on-bill notices in the March billing cycle, and inserts for the April cycle.</w:t>
      </w:r>
      <w:r w:rsidRPr="00F018D3">
        <w:rPr>
          <w:vertAlign w:val="superscript"/>
        </w:rPr>
        <w:footnoteReference w:id="8"/>
      </w:r>
      <w:r w:rsidRPr="00F018D3">
        <w:t xml:space="preserve">  </w:t>
      </w:r>
    </w:p>
    <w:p w:rsidR="00F018D3" w:rsidRPr="00F018D3" w:rsidRDefault="00F018D3" w:rsidP="00F018D3">
      <w:pPr>
        <w:spacing w:after="240"/>
        <w:ind w:firstLine="720"/>
        <w:jc w:val="both"/>
        <w:rPr>
          <w:b/>
        </w:rPr>
      </w:pPr>
      <w:r w:rsidRPr="00F018D3">
        <w:rPr>
          <w:b/>
        </w:rPr>
        <w:t>Midcourse Adjustment for Capacity Cost Recovery Factors</w:t>
      </w:r>
    </w:p>
    <w:p w:rsidR="00F018D3" w:rsidRPr="00F018D3" w:rsidRDefault="00F018D3" w:rsidP="00F018D3">
      <w:pPr>
        <w:spacing w:after="240"/>
        <w:ind w:firstLine="720"/>
        <w:jc w:val="both"/>
      </w:pPr>
      <w:r w:rsidRPr="00F018D3">
        <w:t>In its Petition, DEF stated that it discovered an error in the capacity cost recovery amounts that were used in calculating the factors for 2016, which were codified in Order No. PSC-15-0586-FOF-EI.</w:t>
      </w:r>
      <w:r w:rsidRPr="00F018D3">
        <w:rPr>
          <w:vertAlign w:val="superscript"/>
        </w:rPr>
        <w:footnoteReference w:id="9"/>
      </w:r>
      <w:r w:rsidRPr="00F018D3">
        <w:t xml:space="preserve"> </w:t>
      </w:r>
      <w:r w:rsidR="00AD000D">
        <w:t xml:space="preserve"> </w:t>
      </w:r>
      <w:r w:rsidRPr="00F018D3">
        <w:t>On DEF’s revised Schedule E12-A, its projected capacity costs were understated by $29,153,914, when compared to the similar schedule from its projection filing.</w:t>
      </w:r>
      <w:r w:rsidRPr="00F018D3">
        <w:rPr>
          <w:vertAlign w:val="superscript"/>
        </w:rPr>
        <w:footnoteReference w:id="10"/>
      </w:r>
      <w:r w:rsidRPr="00F018D3">
        <w:t xml:space="preserve"> In addition to revising its capacity cost projections, DEF updated its 2015 true-up amount to reflect twelve months of actual data (January through December 2015). Originally, the actual/estimated true-up was an under-recovery of $38,643,256. </w:t>
      </w:r>
      <w:r w:rsidR="00AD000D">
        <w:t xml:space="preserve"> </w:t>
      </w:r>
      <w:r w:rsidRPr="00F018D3">
        <w:t xml:space="preserve">DEF’s mid-course filing shows the actual under-recovery for 2015 was </w:t>
      </w:r>
      <w:r w:rsidRPr="00F018D3">
        <w:rPr>
          <w:b/>
        </w:rPr>
        <w:t>$</w:t>
      </w:r>
      <w:r w:rsidRPr="00F018D3">
        <w:t xml:space="preserve">35,762,070, a difference of $2,881,186. Based on these updated projections for 2016, the net additional capacity cost DEF seeks recovery for is $26,272,728. </w:t>
      </w:r>
      <w:r w:rsidR="00AD000D">
        <w:t xml:space="preserve"> </w:t>
      </w:r>
      <w:r w:rsidRPr="00F018D3">
        <w:t xml:space="preserve">When the Revenue Tax Multiplier of 1.00072 is applied, the final adjustment DEF is proposing is $26,291,645, as reflected on Line 41 of Schedule E12-A.  </w:t>
      </w:r>
    </w:p>
    <w:p w:rsidR="00F018D3" w:rsidRPr="00F018D3" w:rsidRDefault="003F1E4C" w:rsidP="00F018D3">
      <w:pPr>
        <w:spacing w:after="240"/>
        <w:ind w:firstLine="720"/>
        <w:jc w:val="both"/>
      </w:pPr>
      <w:r>
        <w:lastRenderedPageBreak/>
        <w:t xml:space="preserve">We note </w:t>
      </w:r>
      <w:r w:rsidR="00F018D3" w:rsidRPr="00F018D3">
        <w:t xml:space="preserve">that if the impact of the net changes for these capacity cost recovery amounts were calculated apart from the mid-course correction to fuel cost recovery factors, the result would increase the bill for a residential customer using 1,000 kilowatt hours by $1.05 per month, or 8.45 percent from currently-approved capacity cost recovery amounts. </w:t>
      </w:r>
      <w:r w:rsidR="00AD000D">
        <w:t xml:space="preserve"> </w:t>
      </w:r>
      <w:r w:rsidR="00F018D3" w:rsidRPr="00F018D3">
        <w:t xml:space="preserve">However, in the interest of providing its customers with a more accurate bill and avoiding inaccurate under-recovered amounts, DEF is petitioning for the capacity cost recovery changes to be implemented concurrent with the reduction to fuel cost recovery factors described above. </w:t>
      </w:r>
      <w:r w:rsidR="00AD000D">
        <w:t xml:space="preserve"> </w:t>
      </w:r>
      <w:r w:rsidR="00F018D3" w:rsidRPr="00F018D3">
        <w:t xml:space="preserve">Implementation in this manner more than offsets what would have been a net increase to residential customers using 1,000 kilowatt hours. </w:t>
      </w:r>
      <w:r w:rsidR="00AD000D">
        <w:t xml:space="preserve"> </w:t>
      </w:r>
      <w:r w:rsidR="00F018D3" w:rsidRPr="00F018D3">
        <w:t>Attachment E summarizes the bill impact for a residential customer using 1,000 kilowatt hours, showing that on a total basis, the currently-approved amount of $114.15 per month is reduced to $108.32 per month for April through December 2016, a net reduction of $5.83 per month.</w:t>
      </w:r>
    </w:p>
    <w:p w:rsidR="00F018D3" w:rsidRPr="00F018D3" w:rsidRDefault="00F018D3" w:rsidP="00F018D3">
      <w:pPr>
        <w:spacing w:after="240"/>
        <w:ind w:firstLine="720"/>
        <w:jc w:val="both"/>
        <w:rPr>
          <w:b/>
        </w:rPr>
      </w:pPr>
      <w:r w:rsidRPr="00F018D3">
        <w:rPr>
          <w:b/>
        </w:rPr>
        <w:t>Conclusion</w:t>
      </w:r>
    </w:p>
    <w:p w:rsidR="00F018D3" w:rsidRPr="00F018D3" w:rsidRDefault="00AD000D" w:rsidP="00F018D3">
      <w:pPr>
        <w:spacing w:after="240"/>
        <w:ind w:firstLine="720"/>
        <w:jc w:val="both"/>
      </w:pPr>
      <w:r>
        <w:t xml:space="preserve">We hereby </w:t>
      </w:r>
      <w:r w:rsidR="00F018D3" w:rsidRPr="00F018D3">
        <w:t xml:space="preserve">approve DEF’s Petition for mid-course correction to its 2016 fuel and capacity cost recovery factors and the associated tariff sheet. </w:t>
      </w:r>
      <w:r>
        <w:t xml:space="preserve"> </w:t>
      </w:r>
      <w:r w:rsidR="00F018D3" w:rsidRPr="00F018D3">
        <w:t xml:space="preserve">The revised fuel and capacity cost recovery factors </w:t>
      </w:r>
      <w:r>
        <w:t>shall</w:t>
      </w:r>
      <w:r w:rsidR="00F018D3" w:rsidRPr="00F018D3">
        <w:t xml:space="preserve"> become effective with the first billing cycle in April 2016. The </w:t>
      </w:r>
      <w:r>
        <w:t>approved</w:t>
      </w:r>
      <w:r w:rsidR="00F018D3" w:rsidRPr="00F018D3">
        <w:t xml:space="preserve"> fuel and capacity cost recovery factors are presented in Attachment D, and the associated tariff sheet is shown in Attachment F.</w:t>
      </w:r>
    </w:p>
    <w:p w:rsidR="00F018D3" w:rsidRDefault="00F018D3" w:rsidP="00F018D3">
      <w:pPr>
        <w:pStyle w:val="OrderBody"/>
      </w:pPr>
      <w:r>
        <w:tab/>
        <w:t>Based on the foregoing, it is</w:t>
      </w:r>
    </w:p>
    <w:p w:rsidR="00F018D3" w:rsidRDefault="00F018D3" w:rsidP="00F018D3">
      <w:pPr>
        <w:pStyle w:val="OrderBody"/>
      </w:pPr>
    </w:p>
    <w:p w:rsidR="00F018D3" w:rsidRDefault="00F018D3" w:rsidP="00F018D3">
      <w:pPr>
        <w:pStyle w:val="OrderBody"/>
      </w:pPr>
      <w:r>
        <w:tab/>
        <w:t>ORDERED by the Florida Public Service Commission that</w:t>
      </w:r>
      <w:r w:rsidR="00103CA5">
        <w:t xml:space="preserve"> </w:t>
      </w:r>
      <w:r w:rsidR="00103CA5" w:rsidRPr="00F018D3">
        <w:t>Florida Power &amp; Light Company’s Petition for mid-course correction to its 2016 fuel cost recovery factors and the associated tariff sheets</w:t>
      </w:r>
      <w:r w:rsidR="00103CA5">
        <w:t xml:space="preserve"> is hereby approved</w:t>
      </w:r>
      <w:r w:rsidR="00103CA5" w:rsidRPr="00F018D3">
        <w:t xml:space="preserve">. </w:t>
      </w:r>
      <w:r w:rsidR="00103CA5">
        <w:t xml:space="preserve"> </w:t>
      </w:r>
      <w:r w:rsidR="00103CA5" w:rsidRPr="00F018D3">
        <w:t xml:space="preserve">The revised fuel cost recovery factors and associated tariffs </w:t>
      </w:r>
      <w:r w:rsidR="003F1E4C">
        <w:t>shall</w:t>
      </w:r>
      <w:r w:rsidR="00103CA5" w:rsidRPr="00F018D3">
        <w:t xml:space="preserve"> become effective with the in-service date of the Port Everglades Energy Center, which is expected to be April 1, 2016. The fuel cost recovery factors are presented in Attachment A, and the associated tariff sheets are shown in Attachment C.</w:t>
      </w:r>
      <w:r w:rsidR="00103CA5">
        <w:t xml:space="preserve">  It is further </w:t>
      </w:r>
    </w:p>
    <w:p w:rsidR="00103CA5" w:rsidRDefault="00103CA5" w:rsidP="00F018D3">
      <w:pPr>
        <w:pStyle w:val="OrderBody"/>
      </w:pPr>
    </w:p>
    <w:p w:rsidR="00103CA5" w:rsidRDefault="00103CA5" w:rsidP="00F018D3">
      <w:pPr>
        <w:pStyle w:val="OrderBody"/>
      </w:pPr>
      <w:r>
        <w:tab/>
        <w:t xml:space="preserve">ORDERED that </w:t>
      </w:r>
      <w:r w:rsidRPr="00F018D3">
        <w:t>Duke Energy Florida, LLC</w:t>
      </w:r>
      <w:r>
        <w:t>’</w:t>
      </w:r>
      <w:r w:rsidRPr="00F018D3">
        <w:t>s Petition for mid-course correction to its 2016 fuel and capacity cost recovery factors and the associated tariff sheet</w:t>
      </w:r>
      <w:r>
        <w:t xml:space="preserve"> is hereby approved</w:t>
      </w:r>
      <w:r w:rsidRPr="00F018D3">
        <w:t xml:space="preserve">. The revised fuel and capacity cost recovery factors </w:t>
      </w:r>
      <w:r w:rsidR="003F1E4C">
        <w:t>shall</w:t>
      </w:r>
      <w:r w:rsidRPr="00F018D3">
        <w:t xml:space="preserve"> become effective with the first billing cycle in April 2016. </w:t>
      </w:r>
      <w:r>
        <w:t xml:space="preserve"> </w:t>
      </w:r>
      <w:r w:rsidRPr="00F018D3">
        <w:t>The fuel and capacity cost recovery factors are presented in Attachment D, and the associated tariff sheet is shown in Attachment F.</w:t>
      </w:r>
      <w:r w:rsidR="00AD000D">
        <w:t xml:space="preserve">  It is further</w:t>
      </w:r>
    </w:p>
    <w:p w:rsidR="00103CA5" w:rsidRDefault="00103CA5" w:rsidP="00F018D3">
      <w:pPr>
        <w:pStyle w:val="OrderBody"/>
      </w:pPr>
    </w:p>
    <w:p w:rsidR="001849BC" w:rsidRDefault="001849BC" w:rsidP="001849BC">
      <w:pPr>
        <w:pStyle w:val="OrderBody"/>
        <w:ind w:firstLine="720"/>
      </w:pPr>
      <w:r>
        <w:t>ORDERED that this docket shall remain open.</w:t>
      </w:r>
    </w:p>
    <w:p w:rsidR="00F018D3" w:rsidRDefault="00F018D3" w:rsidP="00F018D3">
      <w:pPr>
        <w:pStyle w:val="OrderBody"/>
      </w:pPr>
    </w:p>
    <w:p w:rsidR="00F018D3" w:rsidRDefault="00F018D3" w:rsidP="00F018D3">
      <w:pPr>
        <w:pStyle w:val="OrderBody"/>
        <w:keepNext/>
        <w:keepLines/>
      </w:pPr>
      <w:r>
        <w:lastRenderedPageBreak/>
        <w:tab/>
        <w:t xml:space="preserve">By ORDER of the Florida Public Service Commission this </w:t>
      </w:r>
      <w:bookmarkStart w:id="6" w:name="replaceDate"/>
      <w:bookmarkEnd w:id="6"/>
      <w:r w:rsidR="004B591F">
        <w:rPr>
          <w:u w:val="single"/>
        </w:rPr>
        <w:t>21st</w:t>
      </w:r>
      <w:r w:rsidR="004B591F">
        <w:t xml:space="preserve"> day of </w:t>
      </w:r>
      <w:r w:rsidR="004B591F">
        <w:rPr>
          <w:u w:val="single"/>
        </w:rPr>
        <w:t>March</w:t>
      </w:r>
      <w:r w:rsidR="004B591F">
        <w:t xml:space="preserve">, </w:t>
      </w:r>
      <w:r w:rsidR="004B591F">
        <w:rPr>
          <w:u w:val="single"/>
        </w:rPr>
        <w:t>2016</w:t>
      </w:r>
      <w:r w:rsidR="004B591F">
        <w:t>.</w:t>
      </w:r>
    </w:p>
    <w:p w:rsidR="004B591F" w:rsidRPr="004B591F" w:rsidRDefault="004B591F" w:rsidP="00F018D3">
      <w:pPr>
        <w:pStyle w:val="OrderBody"/>
        <w:keepNext/>
        <w:keepLines/>
      </w:pPr>
    </w:p>
    <w:p w:rsidR="00F018D3" w:rsidRDefault="00F018D3" w:rsidP="00F018D3">
      <w:pPr>
        <w:pStyle w:val="OrderBody"/>
        <w:keepNext/>
        <w:keepLines/>
      </w:pPr>
    </w:p>
    <w:p w:rsidR="00F018D3" w:rsidRDefault="00F018D3" w:rsidP="00F018D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F018D3" w:rsidTr="00F018D3">
        <w:tc>
          <w:tcPr>
            <w:tcW w:w="720" w:type="dxa"/>
            <w:shd w:val="clear" w:color="auto" w:fill="auto"/>
          </w:tcPr>
          <w:p w:rsidR="00F018D3" w:rsidRDefault="00F018D3" w:rsidP="00F018D3">
            <w:pPr>
              <w:pStyle w:val="OrderBody"/>
              <w:keepNext/>
              <w:keepLines/>
            </w:pPr>
            <w:bookmarkStart w:id="7" w:name="bkmrkSignature" w:colFirst="0" w:colLast="0"/>
          </w:p>
        </w:tc>
        <w:tc>
          <w:tcPr>
            <w:tcW w:w="4320" w:type="dxa"/>
            <w:tcBorders>
              <w:bottom w:val="single" w:sz="4" w:space="0" w:color="auto"/>
            </w:tcBorders>
            <w:shd w:val="clear" w:color="auto" w:fill="auto"/>
          </w:tcPr>
          <w:p w:rsidR="00F018D3" w:rsidRDefault="004B591F" w:rsidP="00F018D3">
            <w:pPr>
              <w:pStyle w:val="OrderBody"/>
              <w:keepNext/>
              <w:keepLines/>
            </w:pPr>
            <w:r>
              <w:t>/s/ Carlotta S. Stauffer</w:t>
            </w:r>
            <w:bookmarkStart w:id="8" w:name="_GoBack"/>
            <w:bookmarkEnd w:id="8"/>
          </w:p>
        </w:tc>
      </w:tr>
      <w:bookmarkEnd w:id="7"/>
      <w:tr w:rsidR="00F018D3" w:rsidTr="00F018D3">
        <w:tc>
          <w:tcPr>
            <w:tcW w:w="720" w:type="dxa"/>
            <w:shd w:val="clear" w:color="auto" w:fill="auto"/>
          </w:tcPr>
          <w:p w:rsidR="00F018D3" w:rsidRDefault="00F018D3" w:rsidP="00F018D3">
            <w:pPr>
              <w:pStyle w:val="OrderBody"/>
              <w:keepNext/>
              <w:keepLines/>
            </w:pPr>
          </w:p>
        </w:tc>
        <w:tc>
          <w:tcPr>
            <w:tcW w:w="4320" w:type="dxa"/>
            <w:tcBorders>
              <w:top w:val="single" w:sz="4" w:space="0" w:color="auto"/>
            </w:tcBorders>
            <w:shd w:val="clear" w:color="auto" w:fill="auto"/>
          </w:tcPr>
          <w:p w:rsidR="00F018D3" w:rsidRDefault="00F018D3" w:rsidP="00F018D3">
            <w:pPr>
              <w:pStyle w:val="OrderBody"/>
              <w:keepNext/>
              <w:keepLines/>
            </w:pPr>
            <w:r>
              <w:t>CARLOTTA S. STAUFFER</w:t>
            </w:r>
          </w:p>
          <w:p w:rsidR="00F018D3" w:rsidRDefault="00F018D3" w:rsidP="00F018D3">
            <w:pPr>
              <w:pStyle w:val="OrderBody"/>
              <w:keepNext/>
              <w:keepLines/>
            </w:pPr>
            <w:r>
              <w:t>Commission Clerk</w:t>
            </w:r>
          </w:p>
        </w:tc>
      </w:tr>
    </w:tbl>
    <w:p w:rsidR="00F018D3" w:rsidRDefault="00F018D3" w:rsidP="00F018D3">
      <w:pPr>
        <w:pStyle w:val="OrderSigInfo"/>
        <w:keepNext/>
        <w:keepLines/>
      </w:pPr>
      <w:r>
        <w:t>Florida Public Service Commission</w:t>
      </w:r>
    </w:p>
    <w:p w:rsidR="00F018D3" w:rsidRDefault="00F018D3" w:rsidP="00F018D3">
      <w:pPr>
        <w:pStyle w:val="OrderSigInfo"/>
        <w:keepNext/>
        <w:keepLines/>
      </w:pPr>
      <w:r>
        <w:t>2540 Shumard Oak Boulevard</w:t>
      </w:r>
    </w:p>
    <w:p w:rsidR="00F018D3" w:rsidRDefault="00F018D3" w:rsidP="00F018D3">
      <w:pPr>
        <w:pStyle w:val="OrderSigInfo"/>
        <w:keepNext/>
        <w:keepLines/>
      </w:pPr>
      <w:r>
        <w:t>Tallahassee, Florida  32399</w:t>
      </w:r>
    </w:p>
    <w:p w:rsidR="00F018D3" w:rsidRDefault="00F018D3" w:rsidP="00F018D3">
      <w:pPr>
        <w:pStyle w:val="OrderSigInfo"/>
        <w:keepNext/>
        <w:keepLines/>
      </w:pPr>
      <w:r>
        <w:t>(850) 413</w:t>
      </w:r>
      <w:r>
        <w:noBreakHyphen/>
        <w:t>6770</w:t>
      </w:r>
    </w:p>
    <w:p w:rsidR="00F018D3" w:rsidRDefault="00F018D3" w:rsidP="00F018D3">
      <w:pPr>
        <w:pStyle w:val="OrderSigInfo"/>
        <w:keepNext/>
        <w:keepLines/>
      </w:pPr>
      <w:r>
        <w:t>www.floridapsc.com</w:t>
      </w:r>
    </w:p>
    <w:p w:rsidR="00F018D3" w:rsidRDefault="00F018D3" w:rsidP="00F018D3">
      <w:pPr>
        <w:pStyle w:val="OrderSigInfo"/>
        <w:keepNext/>
        <w:keepLines/>
      </w:pPr>
    </w:p>
    <w:p w:rsidR="00F018D3" w:rsidRDefault="00F018D3" w:rsidP="00F018D3">
      <w:pPr>
        <w:pStyle w:val="OrderSigInfo"/>
        <w:keepNext/>
        <w:keepLines/>
      </w:pPr>
      <w:r>
        <w:t>Copies furnished:  A copy of this document is provided to the parties of record at the time of issuance and, if applicable, interested persons.</w:t>
      </w:r>
    </w:p>
    <w:p w:rsidR="00F018D3" w:rsidRDefault="00F018D3" w:rsidP="00F018D3">
      <w:pPr>
        <w:pStyle w:val="OrderBody"/>
        <w:keepNext/>
        <w:keepLines/>
      </w:pPr>
    </w:p>
    <w:p w:rsidR="00F018D3" w:rsidRDefault="00F018D3" w:rsidP="00F018D3">
      <w:pPr>
        <w:pStyle w:val="OrderBody"/>
        <w:keepNext/>
        <w:keepLines/>
      </w:pPr>
    </w:p>
    <w:p w:rsidR="00F018D3" w:rsidRDefault="00F018D3" w:rsidP="00F018D3">
      <w:pPr>
        <w:pStyle w:val="OrderBody"/>
        <w:keepNext/>
        <w:keepLines/>
      </w:pPr>
      <w:r>
        <w:t>JEV</w:t>
      </w:r>
    </w:p>
    <w:p w:rsidR="007F439B" w:rsidRDefault="007F439B" w:rsidP="007F439B">
      <w:pPr>
        <w:pStyle w:val="CenterUnderline"/>
      </w:pPr>
    </w:p>
    <w:p w:rsidR="007F439B" w:rsidRDefault="007F439B" w:rsidP="007F439B">
      <w:pPr>
        <w:pStyle w:val="CenterUnderline"/>
      </w:pPr>
      <w:r>
        <w:t>NOTICE OF FURTHER PROCEEDINGS OR JUDICIAL REVIEW</w:t>
      </w:r>
    </w:p>
    <w:p w:rsidR="00F018D3" w:rsidRDefault="00F018D3" w:rsidP="007F439B">
      <w:pPr>
        <w:pStyle w:val="CenterUnderline"/>
      </w:pPr>
    </w:p>
    <w:p w:rsidR="007F439B" w:rsidRDefault="007F439B" w:rsidP="007F439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7F439B" w:rsidRDefault="007F439B" w:rsidP="007F439B">
      <w:pPr>
        <w:pStyle w:val="OrderBody"/>
      </w:pPr>
    </w:p>
    <w:p w:rsidR="007F439B" w:rsidRDefault="007F439B" w:rsidP="007F439B">
      <w:pPr>
        <w:pStyle w:val="OrderBody"/>
      </w:pPr>
      <w:r>
        <w:tab/>
        <w:t>Mediation may be available on a case-by-case basis.  If mediation is conducted, it does not affect a substantially interested person's right to a hearing.</w:t>
      </w:r>
    </w:p>
    <w:p w:rsidR="007F439B" w:rsidRDefault="007F439B" w:rsidP="007F439B">
      <w:pPr>
        <w:pStyle w:val="OrderBody"/>
      </w:pPr>
    </w:p>
    <w:p w:rsidR="007F439B" w:rsidRDefault="007F439B" w:rsidP="007F439B">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7F439B" w:rsidRDefault="007F439B" w:rsidP="007F439B">
      <w:pPr>
        <w:pStyle w:val="OrderBody"/>
      </w:pPr>
    </w:p>
    <w:p w:rsidR="007F439B" w:rsidRDefault="007F439B" w:rsidP="007F439B">
      <w:pPr>
        <w:pStyle w:val="OrderBody"/>
      </w:pPr>
    </w:p>
    <w:p w:rsidR="00F018D3" w:rsidRDefault="00F018D3" w:rsidP="00F018D3">
      <w:pPr>
        <w:pStyle w:val="OrderBody"/>
        <w:sectPr w:rsidR="00F018D3">
          <w:headerReference w:type="default" r:id="rId7"/>
          <w:footerReference w:type="first" r:id="rId8"/>
          <w:pgSz w:w="12240" w:h="15840" w:code="1"/>
          <w:pgMar w:top="1440" w:right="1440" w:bottom="1440" w:left="1440" w:header="720" w:footer="720" w:gutter="0"/>
          <w:cols w:space="720"/>
          <w:titlePg/>
          <w:docGrid w:linePitch="360"/>
        </w:sectPr>
      </w:pPr>
    </w:p>
    <w:p w:rsidR="00F018D3" w:rsidRDefault="00F018D3" w:rsidP="00F018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3327"/>
        <w:gridCol w:w="1533"/>
        <w:gridCol w:w="1702"/>
        <w:gridCol w:w="1916"/>
      </w:tblGrid>
      <w:tr w:rsidR="00F018D3" w:rsidTr="00103CA5">
        <w:trPr>
          <w:trHeight w:val="737"/>
        </w:trPr>
        <w:tc>
          <w:tcPr>
            <w:tcW w:w="9576" w:type="dxa"/>
            <w:gridSpan w:val="5"/>
            <w:shd w:val="clear" w:color="auto" w:fill="auto"/>
            <w:vAlign w:val="center"/>
          </w:tcPr>
          <w:p w:rsidR="00F018D3" w:rsidRDefault="00F018D3" w:rsidP="00103CA5">
            <w:pPr>
              <w:autoSpaceDE w:val="0"/>
              <w:autoSpaceDN w:val="0"/>
              <w:adjustRightInd w:val="0"/>
              <w:jc w:val="center"/>
              <w:rPr>
                <w:b/>
              </w:rPr>
            </w:pPr>
            <w:r w:rsidRPr="006E294A">
              <w:rPr>
                <w:b/>
              </w:rPr>
              <w:t>F</w:t>
            </w:r>
            <w:r>
              <w:rPr>
                <w:b/>
              </w:rPr>
              <w:t>PL’s Mid-Course Correction F</w:t>
            </w:r>
            <w:r w:rsidRPr="006E294A">
              <w:rPr>
                <w:b/>
              </w:rPr>
              <w:t xml:space="preserve">uel </w:t>
            </w:r>
            <w:r>
              <w:rPr>
                <w:b/>
              </w:rPr>
              <w:t xml:space="preserve">Cost </w:t>
            </w:r>
            <w:r w:rsidRPr="006E294A">
              <w:rPr>
                <w:b/>
              </w:rPr>
              <w:t>Recovery Factors</w:t>
            </w:r>
          </w:p>
          <w:p w:rsidR="00F018D3" w:rsidRPr="00CF2D5D" w:rsidRDefault="00F018D3" w:rsidP="00103CA5">
            <w:pPr>
              <w:autoSpaceDE w:val="0"/>
              <w:autoSpaceDN w:val="0"/>
              <w:adjustRightInd w:val="0"/>
              <w:jc w:val="center"/>
              <w:rPr>
                <w:b/>
              </w:rPr>
            </w:pPr>
            <w:r>
              <w:rPr>
                <w:b/>
              </w:rPr>
              <w:t>April 2016 – December 2016</w:t>
            </w:r>
          </w:p>
        </w:tc>
      </w:tr>
      <w:tr w:rsidR="00F018D3" w:rsidTr="00103CA5">
        <w:trPr>
          <w:trHeight w:val="562"/>
        </w:trPr>
        <w:tc>
          <w:tcPr>
            <w:tcW w:w="1098" w:type="dxa"/>
            <w:shd w:val="clear" w:color="auto" w:fill="D9D9D9"/>
            <w:vAlign w:val="center"/>
          </w:tcPr>
          <w:p w:rsidR="00F018D3" w:rsidRDefault="00F018D3" w:rsidP="00103CA5">
            <w:pPr>
              <w:autoSpaceDE w:val="0"/>
              <w:autoSpaceDN w:val="0"/>
              <w:adjustRightInd w:val="0"/>
              <w:jc w:val="center"/>
            </w:pPr>
            <w:r>
              <w:t>GROUP</w:t>
            </w:r>
          </w:p>
        </w:tc>
        <w:tc>
          <w:tcPr>
            <w:tcW w:w="3327" w:type="dxa"/>
            <w:shd w:val="clear" w:color="auto" w:fill="D9D9D9"/>
            <w:vAlign w:val="center"/>
          </w:tcPr>
          <w:p w:rsidR="00F018D3" w:rsidRDefault="00F018D3" w:rsidP="00103CA5">
            <w:pPr>
              <w:autoSpaceDE w:val="0"/>
              <w:autoSpaceDN w:val="0"/>
              <w:adjustRightInd w:val="0"/>
              <w:jc w:val="center"/>
            </w:pPr>
            <w:r>
              <w:t>RATE SCHEDULE</w:t>
            </w:r>
          </w:p>
        </w:tc>
        <w:tc>
          <w:tcPr>
            <w:tcW w:w="1533" w:type="dxa"/>
            <w:shd w:val="clear" w:color="auto" w:fill="D9D9D9"/>
            <w:vAlign w:val="center"/>
          </w:tcPr>
          <w:p w:rsidR="00F018D3" w:rsidRDefault="00F018D3" w:rsidP="00103CA5">
            <w:pPr>
              <w:autoSpaceDE w:val="0"/>
              <w:autoSpaceDN w:val="0"/>
              <w:adjustRightInd w:val="0"/>
              <w:jc w:val="center"/>
            </w:pPr>
            <w:r>
              <w:t>AVERAGE FACTOR</w:t>
            </w:r>
          </w:p>
        </w:tc>
        <w:tc>
          <w:tcPr>
            <w:tcW w:w="1702" w:type="dxa"/>
            <w:shd w:val="clear" w:color="auto" w:fill="D9D9D9"/>
          </w:tcPr>
          <w:p w:rsidR="00F018D3" w:rsidRDefault="00F018D3" w:rsidP="00103CA5">
            <w:pPr>
              <w:autoSpaceDE w:val="0"/>
              <w:autoSpaceDN w:val="0"/>
              <w:adjustRightInd w:val="0"/>
              <w:jc w:val="center"/>
            </w:pPr>
            <w:r>
              <w:t>FUEL RECOVERY LOSS MULTIPLIER</w:t>
            </w:r>
          </w:p>
        </w:tc>
        <w:tc>
          <w:tcPr>
            <w:tcW w:w="1916" w:type="dxa"/>
            <w:shd w:val="clear" w:color="auto" w:fill="D9D9D9"/>
            <w:vAlign w:val="center"/>
          </w:tcPr>
          <w:p w:rsidR="00F018D3" w:rsidRDefault="00F018D3" w:rsidP="00103CA5">
            <w:pPr>
              <w:autoSpaceDE w:val="0"/>
              <w:autoSpaceDN w:val="0"/>
              <w:adjustRightInd w:val="0"/>
              <w:jc w:val="center"/>
            </w:pPr>
            <w:r>
              <w:t>FUEL RECOVERY FACTOR</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A</w:t>
            </w:r>
          </w:p>
        </w:tc>
        <w:tc>
          <w:tcPr>
            <w:tcW w:w="3327" w:type="dxa"/>
            <w:shd w:val="clear" w:color="auto" w:fill="auto"/>
          </w:tcPr>
          <w:p w:rsidR="00F018D3" w:rsidRDefault="00F018D3" w:rsidP="00103CA5">
            <w:pPr>
              <w:autoSpaceDE w:val="0"/>
              <w:autoSpaceDN w:val="0"/>
              <w:adjustRightInd w:val="0"/>
              <w:jc w:val="center"/>
            </w:pPr>
            <w:r>
              <w:t>RS-1 first 1,000kWh</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1.00267</w:t>
            </w:r>
          </w:p>
        </w:tc>
        <w:tc>
          <w:tcPr>
            <w:tcW w:w="1916" w:type="dxa"/>
            <w:shd w:val="clear" w:color="auto" w:fill="auto"/>
          </w:tcPr>
          <w:p w:rsidR="00F018D3" w:rsidRDefault="00F018D3" w:rsidP="00103CA5">
            <w:pPr>
              <w:autoSpaceDE w:val="0"/>
              <w:autoSpaceDN w:val="0"/>
              <w:adjustRightInd w:val="0"/>
              <w:jc w:val="center"/>
            </w:pPr>
            <w:r>
              <w:t>2.173</w:t>
            </w:r>
          </w:p>
        </w:tc>
      </w:tr>
      <w:tr w:rsidR="00F018D3" w:rsidTr="00103CA5">
        <w:tc>
          <w:tcPr>
            <w:tcW w:w="1098" w:type="dxa"/>
            <w:vMerge/>
            <w:shd w:val="clear" w:color="auto" w:fill="auto"/>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RS-1 all additional kWh</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1.00267</w:t>
            </w:r>
          </w:p>
        </w:tc>
        <w:tc>
          <w:tcPr>
            <w:tcW w:w="1916" w:type="dxa"/>
            <w:shd w:val="clear" w:color="auto" w:fill="auto"/>
          </w:tcPr>
          <w:p w:rsidR="00F018D3" w:rsidRDefault="00F018D3" w:rsidP="00103CA5">
            <w:pPr>
              <w:autoSpaceDE w:val="0"/>
              <w:autoSpaceDN w:val="0"/>
              <w:adjustRightInd w:val="0"/>
              <w:jc w:val="center"/>
            </w:pPr>
            <w:r>
              <w:t>3.173</w:t>
            </w:r>
          </w:p>
        </w:tc>
      </w:tr>
      <w:tr w:rsidR="00F018D3" w:rsidTr="00103CA5">
        <w:tc>
          <w:tcPr>
            <w:tcW w:w="1098" w:type="dxa"/>
            <w:shd w:val="clear" w:color="auto" w:fill="auto"/>
          </w:tcPr>
          <w:p w:rsidR="00F018D3" w:rsidRDefault="00F018D3" w:rsidP="00103CA5">
            <w:pPr>
              <w:autoSpaceDE w:val="0"/>
              <w:autoSpaceDN w:val="0"/>
              <w:adjustRightInd w:val="0"/>
              <w:jc w:val="center"/>
            </w:pPr>
            <w:r>
              <w:t>A</w:t>
            </w:r>
          </w:p>
        </w:tc>
        <w:tc>
          <w:tcPr>
            <w:tcW w:w="3327" w:type="dxa"/>
            <w:shd w:val="clear" w:color="auto" w:fill="auto"/>
          </w:tcPr>
          <w:p w:rsidR="00F018D3" w:rsidRDefault="00F018D3" w:rsidP="00103CA5">
            <w:pPr>
              <w:autoSpaceDE w:val="0"/>
              <w:autoSpaceDN w:val="0"/>
              <w:adjustRightInd w:val="0"/>
              <w:jc w:val="center"/>
            </w:pPr>
            <w:r>
              <w:t>GS-1, SL-2, GSCU-1, WIES-1</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1.00267</w:t>
            </w:r>
          </w:p>
        </w:tc>
        <w:tc>
          <w:tcPr>
            <w:tcW w:w="1916" w:type="dxa"/>
            <w:shd w:val="clear" w:color="auto" w:fill="auto"/>
          </w:tcPr>
          <w:p w:rsidR="00F018D3" w:rsidRDefault="00F018D3" w:rsidP="00103CA5">
            <w:pPr>
              <w:autoSpaceDE w:val="0"/>
              <w:autoSpaceDN w:val="0"/>
              <w:adjustRightInd w:val="0"/>
              <w:jc w:val="center"/>
            </w:pPr>
            <w:r>
              <w:t>2.502</w:t>
            </w:r>
          </w:p>
        </w:tc>
      </w:tr>
      <w:tr w:rsidR="00F018D3" w:rsidTr="00103CA5">
        <w:tc>
          <w:tcPr>
            <w:tcW w:w="1098" w:type="dxa"/>
            <w:shd w:val="clear" w:color="auto" w:fill="auto"/>
          </w:tcPr>
          <w:p w:rsidR="00F018D3" w:rsidRDefault="00F018D3" w:rsidP="00103CA5">
            <w:pPr>
              <w:autoSpaceDE w:val="0"/>
              <w:autoSpaceDN w:val="0"/>
              <w:adjustRightInd w:val="0"/>
              <w:jc w:val="center"/>
            </w:pPr>
            <w:r>
              <w:t>A-1</w:t>
            </w:r>
          </w:p>
        </w:tc>
        <w:tc>
          <w:tcPr>
            <w:tcW w:w="3327" w:type="dxa"/>
            <w:shd w:val="clear" w:color="auto" w:fill="auto"/>
          </w:tcPr>
          <w:p w:rsidR="00F018D3" w:rsidRDefault="00F018D3" w:rsidP="00103CA5">
            <w:pPr>
              <w:autoSpaceDE w:val="0"/>
              <w:autoSpaceDN w:val="0"/>
              <w:adjustRightInd w:val="0"/>
              <w:jc w:val="center"/>
            </w:pPr>
            <w:r>
              <w:t>SL-1, OL-1, PL-1</w:t>
            </w:r>
          </w:p>
        </w:tc>
        <w:tc>
          <w:tcPr>
            <w:tcW w:w="1533" w:type="dxa"/>
            <w:shd w:val="clear" w:color="auto" w:fill="auto"/>
          </w:tcPr>
          <w:p w:rsidR="00F018D3" w:rsidRDefault="00F018D3" w:rsidP="00103CA5">
            <w:pPr>
              <w:autoSpaceDE w:val="0"/>
              <w:autoSpaceDN w:val="0"/>
              <w:adjustRightInd w:val="0"/>
              <w:jc w:val="center"/>
            </w:pPr>
            <w:r>
              <w:t>2.349</w:t>
            </w:r>
          </w:p>
        </w:tc>
        <w:tc>
          <w:tcPr>
            <w:tcW w:w="1702" w:type="dxa"/>
            <w:shd w:val="clear" w:color="auto" w:fill="auto"/>
          </w:tcPr>
          <w:p w:rsidR="00F018D3" w:rsidRDefault="00F018D3" w:rsidP="00103CA5">
            <w:pPr>
              <w:autoSpaceDE w:val="0"/>
              <w:autoSpaceDN w:val="0"/>
              <w:adjustRightInd w:val="0"/>
              <w:jc w:val="center"/>
            </w:pPr>
            <w:r>
              <w:t>1.00267</w:t>
            </w:r>
          </w:p>
        </w:tc>
        <w:tc>
          <w:tcPr>
            <w:tcW w:w="1916" w:type="dxa"/>
            <w:shd w:val="clear" w:color="auto" w:fill="auto"/>
          </w:tcPr>
          <w:p w:rsidR="00F018D3" w:rsidRDefault="00F018D3" w:rsidP="00103CA5">
            <w:pPr>
              <w:autoSpaceDE w:val="0"/>
              <w:autoSpaceDN w:val="0"/>
              <w:adjustRightInd w:val="0"/>
              <w:jc w:val="center"/>
            </w:pPr>
            <w:r>
              <w:t>2.355</w:t>
            </w:r>
          </w:p>
        </w:tc>
      </w:tr>
      <w:tr w:rsidR="00F018D3" w:rsidTr="00103CA5">
        <w:tc>
          <w:tcPr>
            <w:tcW w:w="1098" w:type="dxa"/>
            <w:shd w:val="clear" w:color="auto" w:fill="auto"/>
          </w:tcPr>
          <w:p w:rsidR="00F018D3" w:rsidRDefault="00F018D3" w:rsidP="00103CA5">
            <w:pPr>
              <w:autoSpaceDE w:val="0"/>
              <w:autoSpaceDN w:val="0"/>
              <w:adjustRightInd w:val="0"/>
              <w:jc w:val="center"/>
            </w:pPr>
            <w:r>
              <w:t>B</w:t>
            </w:r>
          </w:p>
        </w:tc>
        <w:tc>
          <w:tcPr>
            <w:tcW w:w="3327" w:type="dxa"/>
            <w:shd w:val="clear" w:color="auto" w:fill="auto"/>
          </w:tcPr>
          <w:p w:rsidR="00F018D3" w:rsidRDefault="00F018D3" w:rsidP="00103CA5">
            <w:pPr>
              <w:autoSpaceDE w:val="0"/>
              <w:autoSpaceDN w:val="0"/>
              <w:adjustRightInd w:val="0"/>
              <w:jc w:val="center"/>
            </w:pPr>
            <w:r>
              <w:t>GSD-1</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1.00260</w:t>
            </w:r>
          </w:p>
        </w:tc>
        <w:tc>
          <w:tcPr>
            <w:tcW w:w="1916" w:type="dxa"/>
            <w:shd w:val="clear" w:color="auto" w:fill="auto"/>
          </w:tcPr>
          <w:p w:rsidR="00F018D3" w:rsidRDefault="00F018D3" w:rsidP="00103CA5">
            <w:pPr>
              <w:autoSpaceDE w:val="0"/>
              <w:autoSpaceDN w:val="0"/>
              <w:adjustRightInd w:val="0"/>
              <w:jc w:val="center"/>
            </w:pPr>
            <w:r>
              <w:t>2.501</w:t>
            </w:r>
          </w:p>
        </w:tc>
      </w:tr>
      <w:tr w:rsidR="00F018D3" w:rsidTr="00103CA5">
        <w:tc>
          <w:tcPr>
            <w:tcW w:w="1098" w:type="dxa"/>
            <w:shd w:val="clear" w:color="auto" w:fill="auto"/>
          </w:tcPr>
          <w:p w:rsidR="00F018D3" w:rsidRDefault="00F018D3" w:rsidP="00103CA5">
            <w:pPr>
              <w:autoSpaceDE w:val="0"/>
              <w:autoSpaceDN w:val="0"/>
              <w:adjustRightInd w:val="0"/>
              <w:jc w:val="center"/>
            </w:pPr>
            <w:r>
              <w:t>C</w:t>
            </w:r>
          </w:p>
        </w:tc>
        <w:tc>
          <w:tcPr>
            <w:tcW w:w="3327" w:type="dxa"/>
            <w:shd w:val="clear" w:color="auto" w:fill="auto"/>
          </w:tcPr>
          <w:p w:rsidR="00F018D3" w:rsidRDefault="00F018D3" w:rsidP="00103CA5">
            <w:pPr>
              <w:autoSpaceDE w:val="0"/>
              <w:autoSpaceDN w:val="0"/>
              <w:adjustRightInd w:val="0"/>
              <w:jc w:val="center"/>
            </w:pPr>
            <w:r>
              <w:t>GSLD-1, CS-1</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1.00185</w:t>
            </w:r>
          </w:p>
        </w:tc>
        <w:tc>
          <w:tcPr>
            <w:tcW w:w="1916" w:type="dxa"/>
            <w:shd w:val="clear" w:color="auto" w:fill="auto"/>
          </w:tcPr>
          <w:p w:rsidR="00F018D3" w:rsidRDefault="00F018D3" w:rsidP="00103CA5">
            <w:pPr>
              <w:autoSpaceDE w:val="0"/>
              <w:autoSpaceDN w:val="0"/>
              <w:adjustRightInd w:val="0"/>
              <w:jc w:val="center"/>
            </w:pPr>
            <w:r>
              <w:t>2.500</w:t>
            </w:r>
          </w:p>
        </w:tc>
      </w:tr>
      <w:tr w:rsidR="00F018D3" w:rsidTr="00103CA5">
        <w:tc>
          <w:tcPr>
            <w:tcW w:w="1098" w:type="dxa"/>
            <w:shd w:val="clear" w:color="auto" w:fill="auto"/>
          </w:tcPr>
          <w:p w:rsidR="00F018D3" w:rsidRDefault="00F018D3" w:rsidP="00103CA5">
            <w:pPr>
              <w:autoSpaceDE w:val="0"/>
              <w:autoSpaceDN w:val="0"/>
              <w:adjustRightInd w:val="0"/>
              <w:jc w:val="center"/>
            </w:pPr>
            <w:r>
              <w:t>D</w:t>
            </w:r>
          </w:p>
        </w:tc>
        <w:tc>
          <w:tcPr>
            <w:tcW w:w="3327" w:type="dxa"/>
            <w:shd w:val="clear" w:color="auto" w:fill="auto"/>
          </w:tcPr>
          <w:p w:rsidR="00F018D3" w:rsidRDefault="00F018D3" w:rsidP="00103CA5">
            <w:pPr>
              <w:autoSpaceDE w:val="0"/>
              <w:autoSpaceDN w:val="0"/>
              <w:adjustRightInd w:val="0"/>
              <w:jc w:val="center"/>
            </w:pPr>
            <w:r>
              <w:t>GSLD-2, CS-2, OS-2, MET</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0.99490</w:t>
            </w:r>
          </w:p>
        </w:tc>
        <w:tc>
          <w:tcPr>
            <w:tcW w:w="1916" w:type="dxa"/>
            <w:shd w:val="clear" w:color="auto" w:fill="auto"/>
          </w:tcPr>
          <w:p w:rsidR="00F018D3" w:rsidRDefault="00F018D3" w:rsidP="00103CA5">
            <w:pPr>
              <w:autoSpaceDE w:val="0"/>
              <w:autoSpaceDN w:val="0"/>
              <w:adjustRightInd w:val="0"/>
              <w:jc w:val="center"/>
            </w:pPr>
            <w:r>
              <w:t>2.482</w:t>
            </w:r>
          </w:p>
        </w:tc>
      </w:tr>
      <w:tr w:rsidR="00F018D3" w:rsidTr="00103CA5">
        <w:tc>
          <w:tcPr>
            <w:tcW w:w="1098" w:type="dxa"/>
            <w:shd w:val="clear" w:color="auto" w:fill="auto"/>
          </w:tcPr>
          <w:p w:rsidR="00F018D3" w:rsidRDefault="00F018D3" w:rsidP="00103CA5">
            <w:pPr>
              <w:autoSpaceDE w:val="0"/>
              <w:autoSpaceDN w:val="0"/>
              <w:adjustRightInd w:val="0"/>
              <w:jc w:val="center"/>
            </w:pPr>
            <w:r>
              <w:t>E</w:t>
            </w:r>
          </w:p>
        </w:tc>
        <w:tc>
          <w:tcPr>
            <w:tcW w:w="3327" w:type="dxa"/>
            <w:shd w:val="clear" w:color="auto" w:fill="auto"/>
          </w:tcPr>
          <w:p w:rsidR="00F018D3" w:rsidRDefault="00F018D3" w:rsidP="00103CA5">
            <w:pPr>
              <w:autoSpaceDE w:val="0"/>
              <w:autoSpaceDN w:val="0"/>
              <w:adjustRightInd w:val="0"/>
              <w:jc w:val="center"/>
            </w:pPr>
            <w:r>
              <w:t>GSLD-3, CS-3</w:t>
            </w:r>
          </w:p>
        </w:tc>
        <w:tc>
          <w:tcPr>
            <w:tcW w:w="1533" w:type="dxa"/>
            <w:shd w:val="clear" w:color="auto" w:fill="auto"/>
          </w:tcPr>
          <w:p w:rsidR="00F018D3" w:rsidRDefault="00F018D3" w:rsidP="00103CA5">
            <w:pPr>
              <w:autoSpaceDE w:val="0"/>
              <w:autoSpaceDN w:val="0"/>
              <w:adjustRightInd w:val="0"/>
              <w:jc w:val="center"/>
            </w:pPr>
            <w:r>
              <w:t>2.495</w:t>
            </w:r>
          </w:p>
        </w:tc>
        <w:tc>
          <w:tcPr>
            <w:tcW w:w="1702" w:type="dxa"/>
            <w:shd w:val="clear" w:color="auto" w:fill="auto"/>
          </w:tcPr>
          <w:p w:rsidR="00F018D3" w:rsidRDefault="00F018D3" w:rsidP="00103CA5">
            <w:pPr>
              <w:autoSpaceDE w:val="0"/>
              <w:autoSpaceDN w:val="0"/>
              <w:adjustRightInd w:val="0"/>
              <w:jc w:val="center"/>
            </w:pPr>
            <w:r>
              <w:t>0.97228</w:t>
            </w:r>
          </w:p>
        </w:tc>
        <w:tc>
          <w:tcPr>
            <w:tcW w:w="1916" w:type="dxa"/>
            <w:shd w:val="clear" w:color="auto" w:fill="auto"/>
          </w:tcPr>
          <w:p w:rsidR="00F018D3" w:rsidRDefault="00F018D3" w:rsidP="00103CA5">
            <w:pPr>
              <w:autoSpaceDE w:val="0"/>
              <w:autoSpaceDN w:val="0"/>
              <w:adjustRightInd w:val="0"/>
              <w:jc w:val="center"/>
            </w:pPr>
            <w:r>
              <w:t>2.426</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A</w:t>
            </w:r>
          </w:p>
        </w:tc>
        <w:tc>
          <w:tcPr>
            <w:tcW w:w="3327" w:type="dxa"/>
            <w:shd w:val="clear" w:color="auto" w:fill="auto"/>
          </w:tcPr>
          <w:p w:rsidR="00F018D3" w:rsidRDefault="00F018D3" w:rsidP="00103CA5">
            <w:pPr>
              <w:autoSpaceDE w:val="0"/>
              <w:autoSpaceDN w:val="0"/>
              <w:adjustRightInd w:val="0"/>
              <w:jc w:val="center"/>
            </w:pPr>
            <w:r>
              <w:t xml:space="preserve">GST-1 On-Peak </w:t>
            </w:r>
          </w:p>
        </w:tc>
        <w:tc>
          <w:tcPr>
            <w:tcW w:w="1533" w:type="dxa"/>
            <w:shd w:val="clear" w:color="auto" w:fill="auto"/>
          </w:tcPr>
          <w:p w:rsidR="00F018D3" w:rsidRDefault="00F018D3" w:rsidP="00103CA5">
            <w:pPr>
              <w:autoSpaceDE w:val="0"/>
              <w:autoSpaceDN w:val="0"/>
              <w:adjustRightInd w:val="0"/>
              <w:jc w:val="center"/>
            </w:pPr>
            <w:r>
              <w:t>3.271</w:t>
            </w:r>
          </w:p>
        </w:tc>
        <w:tc>
          <w:tcPr>
            <w:tcW w:w="1702" w:type="dxa"/>
            <w:shd w:val="clear" w:color="auto" w:fill="auto"/>
          </w:tcPr>
          <w:p w:rsidR="00F018D3" w:rsidRDefault="00F018D3" w:rsidP="00103CA5">
            <w:pPr>
              <w:autoSpaceDE w:val="0"/>
              <w:autoSpaceDN w:val="0"/>
              <w:adjustRightInd w:val="0"/>
              <w:jc w:val="center"/>
            </w:pPr>
            <w:r>
              <w:t>1.00267</w:t>
            </w:r>
          </w:p>
        </w:tc>
        <w:tc>
          <w:tcPr>
            <w:tcW w:w="1916" w:type="dxa"/>
            <w:shd w:val="clear" w:color="auto" w:fill="auto"/>
          </w:tcPr>
          <w:p w:rsidR="00F018D3" w:rsidRDefault="00F018D3" w:rsidP="00103CA5">
            <w:pPr>
              <w:autoSpaceDE w:val="0"/>
              <w:autoSpaceDN w:val="0"/>
              <w:adjustRightInd w:val="0"/>
              <w:jc w:val="center"/>
            </w:pPr>
            <w:r>
              <w:t>3.280</w:t>
            </w:r>
          </w:p>
        </w:tc>
      </w:tr>
      <w:tr w:rsidR="00F018D3" w:rsidTr="00103CA5">
        <w:tc>
          <w:tcPr>
            <w:tcW w:w="1098" w:type="dxa"/>
            <w:vMerge/>
            <w:shd w:val="clear" w:color="auto" w:fill="auto"/>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 xml:space="preserve">Off-Peak </w:t>
            </w:r>
          </w:p>
        </w:tc>
        <w:tc>
          <w:tcPr>
            <w:tcW w:w="1533" w:type="dxa"/>
            <w:shd w:val="clear" w:color="auto" w:fill="auto"/>
          </w:tcPr>
          <w:p w:rsidR="00F018D3" w:rsidRDefault="00F018D3" w:rsidP="00103CA5">
            <w:pPr>
              <w:autoSpaceDE w:val="0"/>
              <w:autoSpaceDN w:val="0"/>
              <w:adjustRightInd w:val="0"/>
              <w:jc w:val="center"/>
            </w:pPr>
            <w:r>
              <w:t>2.173</w:t>
            </w:r>
          </w:p>
        </w:tc>
        <w:tc>
          <w:tcPr>
            <w:tcW w:w="1702" w:type="dxa"/>
            <w:shd w:val="clear" w:color="auto" w:fill="auto"/>
          </w:tcPr>
          <w:p w:rsidR="00F018D3" w:rsidRDefault="00F018D3" w:rsidP="00103CA5">
            <w:pPr>
              <w:autoSpaceDE w:val="0"/>
              <w:autoSpaceDN w:val="0"/>
              <w:adjustRightInd w:val="0"/>
              <w:jc w:val="center"/>
            </w:pPr>
            <w:r>
              <w:t>1.00267</w:t>
            </w:r>
          </w:p>
        </w:tc>
        <w:tc>
          <w:tcPr>
            <w:tcW w:w="1916" w:type="dxa"/>
            <w:shd w:val="clear" w:color="auto" w:fill="auto"/>
          </w:tcPr>
          <w:p w:rsidR="00F018D3" w:rsidRDefault="00F018D3" w:rsidP="00103CA5">
            <w:pPr>
              <w:autoSpaceDE w:val="0"/>
              <w:autoSpaceDN w:val="0"/>
              <w:adjustRightInd w:val="0"/>
              <w:jc w:val="center"/>
            </w:pPr>
            <w:r>
              <w:t>2.179</w:t>
            </w:r>
          </w:p>
        </w:tc>
      </w:tr>
      <w:tr w:rsidR="00F018D3" w:rsidTr="00103CA5">
        <w:tc>
          <w:tcPr>
            <w:tcW w:w="1098" w:type="dxa"/>
            <w:vMerge/>
            <w:shd w:val="clear" w:color="auto" w:fill="auto"/>
            <w:vAlign w:val="center"/>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 xml:space="preserve">RTR-1 On-Peak </w:t>
            </w:r>
          </w:p>
        </w:tc>
        <w:tc>
          <w:tcPr>
            <w:tcW w:w="1533" w:type="dxa"/>
            <w:vMerge w:val="restart"/>
            <w:shd w:val="clear" w:color="auto" w:fill="auto"/>
            <w:vAlign w:val="center"/>
          </w:tcPr>
          <w:p w:rsidR="00F018D3" w:rsidRDefault="00F018D3" w:rsidP="00103CA5">
            <w:pPr>
              <w:autoSpaceDE w:val="0"/>
              <w:autoSpaceDN w:val="0"/>
              <w:adjustRightInd w:val="0"/>
              <w:jc w:val="center"/>
            </w:pPr>
          </w:p>
        </w:tc>
        <w:tc>
          <w:tcPr>
            <w:tcW w:w="1702" w:type="dxa"/>
            <w:vMerge w:val="restart"/>
            <w:shd w:val="clear" w:color="auto" w:fill="auto"/>
            <w:vAlign w:val="center"/>
          </w:tcPr>
          <w:p w:rsidR="00F018D3" w:rsidRDefault="00F018D3" w:rsidP="00103CA5">
            <w:pPr>
              <w:autoSpaceDE w:val="0"/>
              <w:autoSpaceDN w:val="0"/>
              <w:adjustRightInd w:val="0"/>
              <w:jc w:val="center"/>
            </w:pPr>
          </w:p>
        </w:tc>
        <w:tc>
          <w:tcPr>
            <w:tcW w:w="1916" w:type="dxa"/>
            <w:shd w:val="clear" w:color="auto" w:fill="auto"/>
          </w:tcPr>
          <w:p w:rsidR="00F018D3" w:rsidRDefault="00F018D3" w:rsidP="00103CA5">
            <w:pPr>
              <w:autoSpaceDE w:val="0"/>
              <w:autoSpaceDN w:val="0"/>
              <w:adjustRightInd w:val="0"/>
              <w:jc w:val="center"/>
            </w:pPr>
            <w:r>
              <w:t>0.778</w:t>
            </w:r>
          </w:p>
        </w:tc>
      </w:tr>
      <w:tr w:rsidR="00F018D3" w:rsidTr="00103CA5">
        <w:tc>
          <w:tcPr>
            <w:tcW w:w="1098" w:type="dxa"/>
            <w:vMerge/>
            <w:shd w:val="clear" w:color="auto" w:fill="auto"/>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 xml:space="preserve">Off-Peak </w:t>
            </w:r>
          </w:p>
        </w:tc>
        <w:tc>
          <w:tcPr>
            <w:tcW w:w="1533" w:type="dxa"/>
            <w:vMerge/>
            <w:shd w:val="clear" w:color="auto" w:fill="auto"/>
          </w:tcPr>
          <w:p w:rsidR="00F018D3" w:rsidRDefault="00F018D3" w:rsidP="00103CA5">
            <w:pPr>
              <w:autoSpaceDE w:val="0"/>
              <w:autoSpaceDN w:val="0"/>
              <w:adjustRightInd w:val="0"/>
              <w:jc w:val="center"/>
            </w:pPr>
          </w:p>
        </w:tc>
        <w:tc>
          <w:tcPr>
            <w:tcW w:w="1702" w:type="dxa"/>
            <w:vMerge/>
            <w:shd w:val="clear" w:color="auto" w:fill="auto"/>
          </w:tcPr>
          <w:p w:rsidR="00F018D3" w:rsidRDefault="00F018D3" w:rsidP="00103CA5">
            <w:pPr>
              <w:autoSpaceDE w:val="0"/>
              <w:autoSpaceDN w:val="0"/>
              <w:adjustRightInd w:val="0"/>
              <w:jc w:val="center"/>
            </w:pPr>
          </w:p>
        </w:tc>
        <w:tc>
          <w:tcPr>
            <w:tcW w:w="1916" w:type="dxa"/>
            <w:shd w:val="clear" w:color="auto" w:fill="auto"/>
          </w:tcPr>
          <w:p w:rsidR="00F018D3" w:rsidRDefault="00F018D3" w:rsidP="00103CA5">
            <w:pPr>
              <w:autoSpaceDE w:val="0"/>
              <w:autoSpaceDN w:val="0"/>
              <w:adjustRightInd w:val="0"/>
              <w:jc w:val="center"/>
            </w:pPr>
            <w:r>
              <w:t>(0.323)</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B</w:t>
            </w:r>
          </w:p>
        </w:tc>
        <w:tc>
          <w:tcPr>
            <w:tcW w:w="3327" w:type="dxa"/>
            <w:shd w:val="clear" w:color="auto" w:fill="auto"/>
          </w:tcPr>
          <w:p w:rsidR="00F018D3" w:rsidRDefault="00F018D3" w:rsidP="00103CA5">
            <w:pPr>
              <w:autoSpaceDE w:val="0"/>
              <w:autoSpaceDN w:val="0"/>
              <w:adjustRightInd w:val="0"/>
              <w:jc w:val="center"/>
            </w:pPr>
            <w:r>
              <w:t xml:space="preserve">GSDT-1, CILC-1(G), </w:t>
            </w:r>
          </w:p>
          <w:p w:rsidR="00F018D3" w:rsidRDefault="00F018D3" w:rsidP="00103CA5">
            <w:pPr>
              <w:autoSpaceDE w:val="0"/>
              <w:autoSpaceDN w:val="0"/>
              <w:adjustRightInd w:val="0"/>
              <w:jc w:val="center"/>
            </w:pPr>
            <w:r>
              <w:t xml:space="preserve">HLFT-1 (21-499 kW)  </w:t>
            </w:r>
          </w:p>
          <w:p w:rsidR="00F018D3" w:rsidRDefault="00F018D3" w:rsidP="00103CA5">
            <w:pPr>
              <w:autoSpaceDE w:val="0"/>
              <w:autoSpaceDN w:val="0"/>
              <w:adjustRightInd w:val="0"/>
              <w:jc w:val="center"/>
            </w:pPr>
            <w:r>
              <w:t>On-Peak</w:t>
            </w:r>
          </w:p>
        </w:tc>
        <w:tc>
          <w:tcPr>
            <w:tcW w:w="1533" w:type="dxa"/>
            <w:shd w:val="clear" w:color="auto" w:fill="auto"/>
            <w:vAlign w:val="center"/>
          </w:tcPr>
          <w:p w:rsidR="00F018D3" w:rsidRDefault="00F018D3" w:rsidP="00103CA5">
            <w:pPr>
              <w:autoSpaceDE w:val="0"/>
              <w:autoSpaceDN w:val="0"/>
              <w:adjustRightInd w:val="0"/>
              <w:jc w:val="center"/>
            </w:pPr>
            <w:r>
              <w:t>3.271</w:t>
            </w:r>
          </w:p>
        </w:tc>
        <w:tc>
          <w:tcPr>
            <w:tcW w:w="1702" w:type="dxa"/>
            <w:shd w:val="clear" w:color="auto" w:fill="auto"/>
            <w:vAlign w:val="center"/>
          </w:tcPr>
          <w:p w:rsidR="00F018D3" w:rsidRDefault="00F018D3" w:rsidP="00103CA5">
            <w:pPr>
              <w:autoSpaceDE w:val="0"/>
              <w:autoSpaceDN w:val="0"/>
              <w:adjustRightInd w:val="0"/>
              <w:jc w:val="center"/>
            </w:pPr>
            <w:r>
              <w:t>1.00260</w:t>
            </w:r>
          </w:p>
        </w:tc>
        <w:tc>
          <w:tcPr>
            <w:tcW w:w="1916" w:type="dxa"/>
            <w:shd w:val="clear" w:color="auto" w:fill="auto"/>
            <w:vAlign w:val="center"/>
          </w:tcPr>
          <w:p w:rsidR="00F018D3" w:rsidRDefault="00F018D3" w:rsidP="00103CA5">
            <w:pPr>
              <w:autoSpaceDE w:val="0"/>
              <w:autoSpaceDN w:val="0"/>
              <w:adjustRightInd w:val="0"/>
              <w:jc w:val="center"/>
            </w:pPr>
            <w:r>
              <w:t>3.280</w:t>
            </w:r>
          </w:p>
        </w:tc>
      </w:tr>
      <w:tr w:rsidR="00F018D3" w:rsidTr="00103CA5">
        <w:tc>
          <w:tcPr>
            <w:tcW w:w="1098" w:type="dxa"/>
            <w:vMerge/>
            <w:shd w:val="clear" w:color="auto" w:fill="auto"/>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Off-Peak</w:t>
            </w:r>
          </w:p>
        </w:tc>
        <w:tc>
          <w:tcPr>
            <w:tcW w:w="1533" w:type="dxa"/>
            <w:shd w:val="clear" w:color="auto" w:fill="auto"/>
          </w:tcPr>
          <w:p w:rsidR="00F018D3" w:rsidRDefault="00F018D3" w:rsidP="00103CA5">
            <w:pPr>
              <w:autoSpaceDE w:val="0"/>
              <w:autoSpaceDN w:val="0"/>
              <w:adjustRightInd w:val="0"/>
              <w:jc w:val="center"/>
            </w:pPr>
            <w:r>
              <w:t>2.173</w:t>
            </w:r>
          </w:p>
        </w:tc>
        <w:tc>
          <w:tcPr>
            <w:tcW w:w="1702" w:type="dxa"/>
            <w:shd w:val="clear" w:color="auto" w:fill="auto"/>
          </w:tcPr>
          <w:p w:rsidR="00F018D3" w:rsidRDefault="00F018D3" w:rsidP="00103CA5">
            <w:pPr>
              <w:autoSpaceDE w:val="0"/>
              <w:autoSpaceDN w:val="0"/>
              <w:adjustRightInd w:val="0"/>
              <w:jc w:val="center"/>
            </w:pPr>
            <w:r>
              <w:t>1.00260</w:t>
            </w:r>
          </w:p>
        </w:tc>
        <w:tc>
          <w:tcPr>
            <w:tcW w:w="1916" w:type="dxa"/>
            <w:shd w:val="clear" w:color="auto" w:fill="auto"/>
          </w:tcPr>
          <w:p w:rsidR="00F018D3" w:rsidRDefault="00F018D3" w:rsidP="00103CA5">
            <w:pPr>
              <w:autoSpaceDE w:val="0"/>
              <w:autoSpaceDN w:val="0"/>
              <w:adjustRightInd w:val="0"/>
              <w:jc w:val="center"/>
            </w:pPr>
            <w:r>
              <w:t>2.179</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C</w:t>
            </w:r>
          </w:p>
        </w:tc>
        <w:tc>
          <w:tcPr>
            <w:tcW w:w="3327" w:type="dxa"/>
            <w:shd w:val="clear" w:color="auto" w:fill="auto"/>
          </w:tcPr>
          <w:p w:rsidR="00F018D3" w:rsidRDefault="00F018D3" w:rsidP="00103CA5">
            <w:pPr>
              <w:autoSpaceDE w:val="0"/>
              <w:autoSpaceDN w:val="0"/>
              <w:adjustRightInd w:val="0"/>
              <w:jc w:val="center"/>
            </w:pPr>
            <w:r>
              <w:t xml:space="preserve">GSLDT-1, CST-1, </w:t>
            </w:r>
          </w:p>
          <w:p w:rsidR="00F018D3" w:rsidRDefault="00F018D3" w:rsidP="00103CA5">
            <w:pPr>
              <w:autoSpaceDE w:val="0"/>
              <w:autoSpaceDN w:val="0"/>
              <w:adjustRightInd w:val="0"/>
              <w:jc w:val="center"/>
            </w:pPr>
            <w:r>
              <w:t>HLFT-2 (500-1,999 kW)</w:t>
            </w:r>
          </w:p>
          <w:p w:rsidR="00F018D3" w:rsidRDefault="00F018D3" w:rsidP="00103CA5">
            <w:pPr>
              <w:autoSpaceDE w:val="0"/>
              <w:autoSpaceDN w:val="0"/>
              <w:adjustRightInd w:val="0"/>
              <w:jc w:val="center"/>
            </w:pPr>
            <w:r>
              <w:t>On-Peak</w:t>
            </w:r>
          </w:p>
        </w:tc>
        <w:tc>
          <w:tcPr>
            <w:tcW w:w="1533" w:type="dxa"/>
            <w:shd w:val="clear" w:color="auto" w:fill="auto"/>
            <w:vAlign w:val="center"/>
          </w:tcPr>
          <w:p w:rsidR="00F018D3" w:rsidRDefault="00F018D3" w:rsidP="00103CA5">
            <w:pPr>
              <w:autoSpaceDE w:val="0"/>
              <w:autoSpaceDN w:val="0"/>
              <w:adjustRightInd w:val="0"/>
              <w:jc w:val="center"/>
            </w:pPr>
            <w:r>
              <w:t>3.271</w:t>
            </w:r>
          </w:p>
        </w:tc>
        <w:tc>
          <w:tcPr>
            <w:tcW w:w="1702" w:type="dxa"/>
            <w:shd w:val="clear" w:color="auto" w:fill="auto"/>
            <w:vAlign w:val="center"/>
          </w:tcPr>
          <w:p w:rsidR="00F018D3" w:rsidRDefault="00F018D3" w:rsidP="00103CA5">
            <w:pPr>
              <w:autoSpaceDE w:val="0"/>
              <w:autoSpaceDN w:val="0"/>
              <w:adjustRightInd w:val="0"/>
              <w:jc w:val="center"/>
            </w:pPr>
            <w:r>
              <w:t>1.00185</w:t>
            </w:r>
          </w:p>
        </w:tc>
        <w:tc>
          <w:tcPr>
            <w:tcW w:w="1916" w:type="dxa"/>
            <w:shd w:val="clear" w:color="auto" w:fill="auto"/>
            <w:vAlign w:val="center"/>
          </w:tcPr>
          <w:p w:rsidR="00F018D3" w:rsidRDefault="00F018D3" w:rsidP="00103CA5">
            <w:pPr>
              <w:autoSpaceDE w:val="0"/>
              <w:autoSpaceDN w:val="0"/>
              <w:adjustRightInd w:val="0"/>
              <w:jc w:val="center"/>
            </w:pPr>
            <w:r>
              <w:t>3.277</w:t>
            </w:r>
          </w:p>
        </w:tc>
      </w:tr>
      <w:tr w:rsidR="00F018D3" w:rsidTr="00103CA5">
        <w:tc>
          <w:tcPr>
            <w:tcW w:w="1098" w:type="dxa"/>
            <w:vMerge/>
            <w:shd w:val="clear" w:color="auto" w:fill="auto"/>
            <w:vAlign w:val="center"/>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Off-Peak</w:t>
            </w:r>
          </w:p>
        </w:tc>
        <w:tc>
          <w:tcPr>
            <w:tcW w:w="1533" w:type="dxa"/>
            <w:shd w:val="clear" w:color="auto" w:fill="auto"/>
          </w:tcPr>
          <w:p w:rsidR="00F018D3" w:rsidRDefault="00F018D3" w:rsidP="00103CA5">
            <w:pPr>
              <w:autoSpaceDE w:val="0"/>
              <w:autoSpaceDN w:val="0"/>
              <w:adjustRightInd w:val="0"/>
              <w:jc w:val="center"/>
            </w:pPr>
            <w:r>
              <w:t>2.173</w:t>
            </w:r>
          </w:p>
        </w:tc>
        <w:tc>
          <w:tcPr>
            <w:tcW w:w="1702" w:type="dxa"/>
            <w:shd w:val="clear" w:color="auto" w:fill="auto"/>
          </w:tcPr>
          <w:p w:rsidR="00F018D3" w:rsidRDefault="00F018D3" w:rsidP="00103CA5">
            <w:pPr>
              <w:autoSpaceDE w:val="0"/>
              <w:autoSpaceDN w:val="0"/>
              <w:adjustRightInd w:val="0"/>
              <w:jc w:val="center"/>
            </w:pPr>
            <w:r>
              <w:t>1.00185</w:t>
            </w:r>
          </w:p>
        </w:tc>
        <w:tc>
          <w:tcPr>
            <w:tcW w:w="1916" w:type="dxa"/>
            <w:shd w:val="clear" w:color="auto" w:fill="auto"/>
          </w:tcPr>
          <w:p w:rsidR="00F018D3" w:rsidRDefault="00F018D3" w:rsidP="00103CA5">
            <w:pPr>
              <w:autoSpaceDE w:val="0"/>
              <w:autoSpaceDN w:val="0"/>
              <w:adjustRightInd w:val="0"/>
              <w:jc w:val="center"/>
            </w:pPr>
            <w:r>
              <w:t>2.177</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D</w:t>
            </w:r>
          </w:p>
        </w:tc>
        <w:tc>
          <w:tcPr>
            <w:tcW w:w="3327" w:type="dxa"/>
            <w:shd w:val="clear" w:color="auto" w:fill="auto"/>
          </w:tcPr>
          <w:p w:rsidR="00F018D3" w:rsidRDefault="00F018D3" w:rsidP="00103CA5">
            <w:pPr>
              <w:autoSpaceDE w:val="0"/>
              <w:autoSpaceDN w:val="0"/>
              <w:adjustRightInd w:val="0"/>
              <w:jc w:val="center"/>
            </w:pPr>
            <w:r>
              <w:t xml:space="preserve">GSLDT-2, CST-2, </w:t>
            </w:r>
          </w:p>
          <w:p w:rsidR="00F018D3" w:rsidRDefault="00F018D3" w:rsidP="00103CA5">
            <w:pPr>
              <w:autoSpaceDE w:val="0"/>
              <w:autoSpaceDN w:val="0"/>
              <w:adjustRightInd w:val="0"/>
              <w:jc w:val="center"/>
            </w:pPr>
            <w:r>
              <w:t>HLFT-3 (2,000+ kW)</w:t>
            </w:r>
          </w:p>
          <w:p w:rsidR="00F018D3" w:rsidRDefault="00F018D3" w:rsidP="00103CA5">
            <w:pPr>
              <w:autoSpaceDE w:val="0"/>
              <w:autoSpaceDN w:val="0"/>
              <w:adjustRightInd w:val="0"/>
              <w:jc w:val="center"/>
            </w:pPr>
            <w:r>
              <w:t xml:space="preserve"> On-Peak</w:t>
            </w:r>
          </w:p>
        </w:tc>
        <w:tc>
          <w:tcPr>
            <w:tcW w:w="1533" w:type="dxa"/>
            <w:shd w:val="clear" w:color="auto" w:fill="auto"/>
            <w:vAlign w:val="center"/>
          </w:tcPr>
          <w:p w:rsidR="00F018D3" w:rsidRDefault="00F018D3" w:rsidP="00103CA5">
            <w:pPr>
              <w:autoSpaceDE w:val="0"/>
              <w:autoSpaceDN w:val="0"/>
              <w:adjustRightInd w:val="0"/>
              <w:jc w:val="center"/>
            </w:pPr>
            <w:r>
              <w:t>3.271</w:t>
            </w:r>
          </w:p>
        </w:tc>
        <w:tc>
          <w:tcPr>
            <w:tcW w:w="1702" w:type="dxa"/>
            <w:shd w:val="clear" w:color="auto" w:fill="auto"/>
            <w:vAlign w:val="center"/>
          </w:tcPr>
          <w:p w:rsidR="00F018D3" w:rsidRDefault="00F018D3" w:rsidP="00103CA5">
            <w:pPr>
              <w:autoSpaceDE w:val="0"/>
              <w:autoSpaceDN w:val="0"/>
              <w:adjustRightInd w:val="0"/>
              <w:jc w:val="center"/>
            </w:pPr>
            <w:r>
              <w:t>0.99545</w:t>
            </w:r>
          </w:p>
        </w:tc>
        <w:tc>
          <w:tcPr>
            <w:tcW w:w="1916" w:type="dxa"/>
            <w:shd w:val="clear" w:color="auto" w:fill="auto"/>
            <w:vAlign w:val="center"/>
          </w:tcPr>
          <w:p w:rsidR="00F018D3" w:rsidRDefault="00F018D3" w:rsidP="00103CA5">
            <w:pPr>
              <w:autoSpaceDE w:val="0"/>
              <w:autoSpaceDN w:val="0"/>
              <w:adjustRightInd w:val="0"/>
              <w:jc w:val="center"/>
            </w:pPr>
            <w:r>
              <w:t>3.256</w:t>
            </w:r>
          </w:p>
        </w:tc>
      </w:tr>
      <w:tr w:rsidR="00F018D3" w:rsidTr="00103CA5">
        <w:tc>
          <w:tcPr>
            <w:tcW w:w="1098" w:type="dxa"/>
            <w:vMerge/>
            <w:shd w:val="clear" w:color="auto" w:fill="auto"/>
            <w:vAlign w:val="center"/>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Off-Peak</w:t>
            </w:r>
          </w:p>
        </w:tc>
        <w:tc>
          <w:tcPr>
            <w:tcW w:w="1533" w:type="dxa"/>
            <w:shd w:val="clear" w:color="auto" w:fill="auto"/>
          </w:tcPr>
          <w:p w:rsidR="00F018D3" w:rsidRDefault="00F018D3" w:rsidP="00103CA5">
            <w:pPr>
              <w:autoSpaceDE w:val="0"/>
              <w:autoSpaceDN w:val="0"/>
              <w:adjustRightInd w:val="0"/>
              <w:jc w:val="center"/>
            </w:pPr>
            <w:r>
              <w:t>2.173</w:t>
            </w:r>
          </w:p>
        </w:tc>
        <w:tc>
          <w:tcPr>
            <w:tcW w:w="1702" w:type="dxa"/>
            <w:shd w:val="clear" w:color="auto" w:fill="auto"/>
          </w:tcPr>
          <w:p w:rsidR="00F018D3" w:rsidRDefault="00F018D3" w:rsidP="00103CA5">
            <w:pPr>
              <w:autoSpaceDE w:val="0"/>
              <w:autoSpaceDN w:val="0"/>
              <w:adjustRightInd w:val="0"/>
              <w:jc w:val="center"/>
            </w:pPr>
            <w:r>
              <w:t>0.99545</w:t>
            </w:r>
          </w:p>
        </w:tc>
        <w:tc>
          <w:tcPr>
            <w:tcW w:w="1916" w:type="dxa"/>
            <w:shd w:val="clear" w:color="auto" w:fill="auto"/>
          </w:tcPr>
          <w:p w:rsidR="00F018D3" w:rsidRDefault="00F018D3" w:rsidP="00103CA5">
            <w:pPr>
              <w:autoSpaceDE w:val="0"/>
              <w:autoSpaceDN w:val="0"/>
              <w:adjustRightInd w:val="0"/>
              <w:jc w:val="center"/>
            </w:pPr>
            <w:r>
              <w:t>2.163</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E</w:t>
            </w:r>
          </w:p>
        </w:tc>
        <w:tc>
          <w:tcPr>
            <w:tcW w:w="3327" w:type="dxa"/>
            <w:shd w:val="clear" w:color="auto" w:fill="auto"/>
          </w:tcPr>
          <w:p w:rsidR="00F018D3" w:rsidRDefault="00F018D3" w:rsidP="00103CA5">
            <w:pPr>
              <w:autoSpaceDE w:val="0"/>
              <w:autoSpaceDN w:val="0"/>
              <w:adjustRightInd w:val="0"/>
              <w:jc w:val="center"/>
            </w:pPr>
            <w:r>
              <w:t>GSLDT-3, CST-3, CILC-1(T), ISST-1(T)</w:t>
            </w:r>
          </w:p>
          <w:p w:rsidR="00F018D3" w:rsidRDefault="00F018D3" w:rsidP="00103CA5">
            <w:pPr>
              <w:autoSpaceDE w:val="0"/>
              <w:autoSpaceDN w:val="0"/>
              <w:adjustRightInd w:val="0"/>
              <w:jc w:val="center"/>
            </w:pPr>
            <w:r>
              <w:t xml:space="preserve"> On-Peak</w:t>
            </w:r>
          </w:p>
        </w:tc>
        <w:tc>
          <w:tcPr>
            <w:tcW w:w="1533" w:type="dxa"/>
            <w:shd w:val="clear" w:color="auto" w:fill="auto"/>
            <w:vAlign w:val="center"/>
          </w:tcPr>
          <w:p w:rsidR="00F018D3" w:rsidRDefault="00F018D3" w:rsidP="00103CA5">
            <w:pPr>
              <w:autoSpaceDE w:val="0"/>
              <w:autoSpaceDN w:val="0"/>
              <w:adjustRightInd w:val="0"/>
              <w:jc w:val="center"/>
            </w:pPr>
            <w:r>
              <w:t>3.271</w:t>
            </w:r>
          </w:p>
        </w:tc>
        <w:tc>
          <w:tcPr>
            <w:tcW w:w="1702" w:type="dxa"/>
            <w:shd w:val="clear" w:color="auto" w:fill="auto"/>
            <w:vAlign w:val="center"/>
          </w:tcPr>
          <w:p w:rsidR="00F018D3" w:rsidRDefault="00F018D3" w:rsidP="00103CA5">
            <w:pPr>
              <w:autoSpaceDE w:val="0"/>
              <w:autoSpaceDN w:val="0"/>
              <w:adjustRightInd w:val="0"/>
              <w:jc w:val="center"/>
            </w:pPr>
            <w:r>
              <w:t>0.97228</w:t>
            </w:r>
          </w:p>
        </w:tc>
        <w:tc>
          <w:tcPr>
            <w:tcW w:w="1916" w:type="dxa"/>
            <w:shd w:val="clear" w:color="auto" w:fill="auto"/>
            <w:vAlign w:val="center"/>
          </w:tcPr>
          <w:p w:rsidR="00F018D3" w:rsidRDefault="00F018D3" w:rsidP="00103CA5">
            <w:pPr>
              <w:autoSpaceDE w:val="0"/>
              <w:autoSpaceDN w:val="0"/>
              <w:adjustRightInd w:val="0"/>
              <w:jc w:val="center"/>
            </w:pPr>
            <w:r>
              <w:t>3.180</w:t>
            </w:r>
          </w:p>
        </w:tc>
      </w:tr>
      <w:tr w:rsidR="00F018D3" w:rsidTr="00103CA5">
        <w:tc>
          <w:tcPr>
            <w:tcW w:w="1098" w:type="dxa"/>
            <w:vMerge/>
            <w:shd w:val="clear" w:color="auto" w:fill="auto"/>
            <w:vAlign w:val="center"/>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 xml:space="preserve">Off-Peak </w:t>
            </w:r>
          </w:p>
        </w:tc>
        <w:tc>
          <w:tcPr>
            <w:tcW w:w="1533" w:type="dxa"/>
            <w:shd w:val="clear" w:color="auto" w:fill="auto"/>
          </w:tcPr>
          <w:p w:rsidR="00F018D3" w:rsidRDefault="00F018D3" w:rsidP="00103CA5">
            <w:pPr>
              <w:autoSpaceDE w:val="0"/>
              <w:autoSpaceDN w:val="0"/>
              <w:adjustRightInd w:val="0"/>
              <w:jc w:val="center"/>
            </w:pPr>
            <w:r>
              <w:t>2.173</w:t>
            </w:r>
          </w:p>
        </w:tc>
        <w:tc>
          <w:tcPr>
            <w:tcW w:w="1702" w:type="dxa"/>
            <w:shd w:val="clear" w:color="auto" w:fill="auto"/>
          </w:tcPr>
          <w:p w:rsidR="00F018D3" w:rsidRDefault="00F018D3" w:rsidP="00103CA5">
            <w:pPr>
              <w:autoSpaceDE w:val="0"/>
              <w:autoSpaceDN w:val="0"/>
              <w:adjustRightInd w:val="0"/>
              <w:jc w:val="center"/>
            </w:pPr>
            <w:r>
              <w:t>0.97228</w:t>
            </w:r>
          </w:p>
        </w:tc>
        <w:tc>
          <w:tcPr>
            <w:tcW w:w="1916" w:type="dxa"/>
            <w:shd w:val="clear" w:color="auto" w:fill="auto"/>
          </w:tcPr>
          <w:p w:rsidR="00F018D3" w:rsidRDefault="00F018D3" w:rsidP="00103CA5">
            <w:pPr>
              <w:autoSpaceDE w:val="0"/>
              <w:autoSpaceDN w:val="0"/>
              <w:adjustRightInd w:val="0"/>
              <w:jc w:val="center"/>
            </w:pPr>
            <w:r>
              <w:t>2.113</w:t>
            </w:r>
          </w:p>
        </w:tc>
      </w:tr>
      <w:tr w:rsidR="00F018D3" w:rsidTr="00103CA5">
        <w:tc>
          <w:tcPr>
            <w:tcW w:w="1098" w:type="dxa"/>
            <w:vMerge w:val="restart"/>
            <w:shd w:val="clear" w:color="auto" w:fill="auto"/>
            <w:vAlign w:val="center"/>
          </w:tcPr>
          <w:p w:rsidR="00F018D3" w:rsidRDefault="00F018D3" w:rsidP="00103CA5">
            <w:pPr>
              <w:autoSpaceDE w:val="0"/>
              <w:autoSpaceDN w:val="0"/>
              <w:adjustRightInd w:val="0"/>
              <w:jc w:val="center"/>
            </w:pPr>
            <w:r>
              <w:t>F</w:t>
            </w:r>
          </w:p>
        </w:tc>
        <w:tc>
          <w:tcPr>
            <w:tcW w:w="3327" w:type="dxa"/>
            <w:shd w:val="clear" w:color="auto" w:fill="auto"/>
          </w:tcPr>
          <w:p w:rsidR="00F018D3" w:rsidRDefault="00F018D3" w:rsidP="00103CA5">
            <w:pPr>
              <w:autoSpaceDE w:val="0"/>
              <w:autoSpaceDN w:val="0"/>
              <w:adjustRightInd w:val="0"/>
              <w:jc w:val="center"/>
            </w:pPr>
            <w:r>
              <w:t>CILC-1(D), ISST-1(D)</w:t>
            </w:r>
          </w:p>
          <w:p w:rsidR="00F018D3" w:rsidRDefault="00F018D3" w:rsidP="00103CA5">
            <w:pPr>
              <w:autoSpaceDE w:val="0"/>
              <w:autoSpaceDN w:val="0"/>
              <w:adjustRightInd w:val="0"/>
              <w:jc w:val="center"/>
            </w:pPr>
            <w:r>
              <w:t>On-Peak</w:t>
            </w:r>
          </w:p>
        </w:tc>
        <w:tc>
          <w:tcPr>
            <w:tcW w:w="1533" w:type="dxa"/>
            <w:shd w:val="clear" w:color="auto" w:fill="auto"/>
            <w:vAlign w:val="center"/>
          </w:tcPr>
          <w:p w:rsidR="00F018D3" w:rsidRDefault="00F018D3" w:rsidP="00103CA5">
            <w:pPr>
              <w:autoSpaceDE w:val="0"/>
              <w:autoSpaceDN w:val="0"/>
              <w:adjustRightInd w:val="0"/>
              <w:jc w:val="center"/>
            </w:pPr>
            <w:r>
              <w:t>3.271</w:t>
            </w:r>
          </w:p>
        </w:tc>
        <w:tc>
          <w:tcPr>
            <w:tcW w:w="1702" w:type="dxa"/>
            <w:shd w:val="clear" w:color="auto" w:fill="auto"/>
            <w:vAlign w:val="center"/>
          </w:tcPr>
          <w:p w:rsidR="00F018D3" w:rsidRDefault="00F018D3" w:rsidP="00103CA5">
            <w:pPr>
              <w:autoSpaceDE w:val="0"/>
              <w:autoSpaceDN w:val="0"/>
              <w:adjustRightInd w:val="0"/>
              <w:jc w:val="center"/>
            </w:pPr>
            <w:r>
              <w:t>0.99459</w:t>
            </w:r>
          </w:p>
        </w:tc>
        <w:tc>
          <w:tcPr>
            <w:tcW w:w="1916" w:type="dxa"/>
            <w:shd w:val="clear" w:color="auto" w:fill="auto"/>
            <w:vAlign w:val="center"/>
          </w:tcPr>
          <w:p w:rsidR="00F018D3" w:rsidRDefault="00F018D3" w:rsidP="00103CA5">
            <w:pPr>
              <w:autoSpaceDE w:val="0"/>
              <w:autoSpaceDN w:val="0"/>
              <w:adjustRightInd w:val="0"/>
              <w:jc w:val="center"/>
            </w:pPr>
            <w:r>
              <w:t>3.253</w:t>
            </w:r>
          </w:p>
        </w:tc>
      </w:tr>
      <w:tr w:rsidR="00F018D3" w:rsidTr="00103CA5">
        <w:tc>
          <w:tcPr>
            <w:tcW w:w="1098" w:type="dxa"/>
            <w:vMerge/>
            <w:shd w:val="clear" w:color="auto" w:fill="auto"/>
          </w:tcPr>
          <w:p w:rsidR="00F018D3" w:rsidRDefault="00F018D3" w:rsidP="00103CA5">
            <w:pPr>
              <w:autoSpaceDE w:val="0"/>
              <w:autoSpaceDN w:val="0"/>
              <w:adjustRightInd w:val="0"/>
              <w:jc w:val="center"/>
            </w:pPr>
          </w:p>
        </w:tc>
        <w:tc>
          <w:tcPr>
            <w:tcW w:w="3327" w:type="dxa"/>
            <w:shd w:val="clear" w:color="auto" w:fill="auto"/>
          </w:tcPr>
          <w:p w:rsidR="00F018D3" w:rsidRDefault="00F018D3" w:rsidP="00103CA5">
            <w:pPr>
              <w:autoSpaceDE w:val="0"/>
              <w:autoSpaceDN w:val="0"/>
              <w:adjustRightInd w:val="0"/>
              <w:jc w:val="center"/>
            </w:pPr>
            <w:r>
              <w:t>Off-Peak</w:t>
            </w:r>
          </w:p>
        </w:tc>
        <w:tc>
          <w:tcPr>
            <w:tcW w:w="1533" w:type="dxa"/>
            <w:shd w:val="clear" w:color="auto" w:fill="auto"/>
          </w:tcPr>
          <w:p w:rsidR="00F018D3" w:rsidRDefault="00F018D3" w:rsidP="00103CA5">
            <w:pPr>
              <w:autoSpaceDE w:val="0"/>
              <w:autoSpaceDN w:val="0"/>
              <w:adjustRightInd w:val="0"/>
              <w:jc w:val="center"/>
            </w:pPr>
            <w:r>
              <w:t>2.173</w:t>
            </w:r>
          </w:p>
        </w:tc>
        <w:tc>
          <w:tcPr>
            <w:tcW w:w="1702" w:type="dxa"/>
            <w:shd w:val="clear" w:color="auto" w:fill="auto"/>
          </w:tcPr>
          <w:p w:rsidR="00F018D3" w:rsidRDefault="00F018D3" w:rsidP="00103CA5">
            <w:pPr>
              <w:autoSpaceDE w:val="0"/>
              <w:autoSpaceDN w:val="0"/>
              <w:adjustRightInd w:val="0"/>
              <w:jc w:val="center"/>
            </w:pPr>
            <w:r>
              <w:t>0.99459</w:t>
            </w:r>
          </w:p>
        </w:tc>
        <w:tc>
          <w:tcPr>
            <w:tcW w:w="1916" w:type="dxa"/>
            <w:shd w:val="clear" w:color="auto" w:fill="auto"/>
          </w:tcPr>
          <w:p w:rsidR="00F018D3" w:rsidRPr="00D236FA" w:rsidRDefault="00F018D3" w:rsidP="00103CA5">
            <w:pPr>
              <w:autoSpaceDE w:val="0"/>
              <w:autoSpaceDN w:val="0"/>
              <w:adjustRightInd w:val="0"/>
              <w:jc w:val="center"/>
            </w:pPr>
            <w:r>
              <w:t>2.161</w:t>
            </w:r>
          </w:p>
        </w:tc>
      </w:tr>
    </w:tbl>
    <w:p w:rsidR="00F018D3" w:rsidRDefault="00F018D3" w:rsidP="00F018D3"/>
    <w:p w:rsidR="00F018D3" w:rsidRDefault="00F018D3" w:rsidP="00F018D3">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194"/>
        <w:gridCol w:w="1606"/>
        <w:gridCol w:w="1672"/>
        <w:gridCol w:w="1808"/>
      </w:tblGrid>
      <w:tr w:rsidR="00F018D3" w:rsidTr="00103CA5">
        <w:tc>
          <w:tcPr>
            <w:tcW w:w="9360" w:type="dxa"/>
            <w:gridSpan w:val="5"/>
            <w:shd w:val="clear" w:color="auto" w:fill="auto"/>
          </w:tcPr>
          <w:p w:rsidR="00F018D3" w:rsidRDefault="00F018D3" w:rsidP="00103CA5">
            <w:pPr>
              <w:autoSpaceDE w:val="0"/>
              <w:autoSpaceDN w:val="0"/>
              <w:adjustRightInd w:val="0"/>
              <w:jc w:val="center"/>
              <w:rPr>
                <w:b/>
              </w:rPr>
            </w:pPr>
            <w:r>
              <w:rPr>
                <w:b/>
              </w:rPr>
              <w:lastRenderedPageBreak/>
              <w:t>FPL’s Mid-Course Correction</w:t>
            </w:r>
            <w:r w:rsidRPr="006E294A">
              <w:rPr>
                <w:b/>
              </w:rPr>
              <w:t xml:space="preserve"> </w:t>
            </w:r>
          </w:p>
          <w:p w:rsidR="00F018D3" w:rsidRPr="006E294A" w:rsidRDefault="00F018D3" w:rsidP="00103CA5">
            <w:pPr>
              <w:autoSpaceDE w:val="0"/>
              <w:autoSpaceDN w:val="0"/>
              <w:adjustRightInd w:val="0"/>
              <w:jc w:val="center"/>
              <w:rPr>
                <w:b/>
              </w:rPr>
            </w:pPr>
            <w:r w:rsidRPr="006E294A">
              <w:rPr>
                <w:b/>
              </w:rPr>
              <w:t>Seasonal Demand Time of Use Rider (SDTR) Fuel Recovery Factors</w:t>
            </w:r>
          </w:p>
          <w:p w:rsidR="00F018D3" w:rsidRPr="0091659B" w:rsidRDefault="00F018D3" w:rsidP="00103CA5">
            <w:pPr>
              <w:autoSpaceDE w:val="0"/>
              <w:autoSpaceDN w:val="0"/>
              <w:adjustRightInd w:val="0"/>
              <w:jc w:val="center"/>
            </w:pPr>
            <w:r>
              <w:t>On-Peak: June 2016 through September 2016</w:t>
            </w:r>
            <w:r w:rsidRPr="0091659B">
              <w:t xml:space="preserve"> </w:t>
            </w:r>
          </w:p>
          <w:p w:rsidR="00F018D3" w:rsidRPr="0091659B" w:rsidRDefault="00F018D3" w:rsidP="00103CA5">
            <w:pPr>
              <w:autoSpaceDE w:val="0"/>
              <w:autoSpaceDN w:val="0"/>
              <w:adjustRightInd w:val="0"/>
              <w:jc w:val="center"/>
            </w:pPr>
            <w:r w:rsidRPr="0091659B">
              <w:t>Weekdays 3:00 pm to 6:00 pm</w:t>
            </w:r>
          </w:p>
          <w:p w:rsidR="00F018D3" w:rsidRDefault="00F018D3" w:rsidP="00103CA5">
            <w:pPr>
              <w:autoSpaceDE w:val="0"/>
              <w:autoSpaceDN w:val="0"/>
              <w:adjustRightInd w:val="0"/>
              <w:jc w:val="center"/>
            </w:pPr>
            <w:r w:rsidRPr="0091659B">
              <w:t xml:space="preserve">Off-Peak: All Other Hours </w:t>
            </w:r>
          </w:p>
        </w:tc>
      </w:tr>
      <w:tr w:rsidR="00F018D3" w:rsidTr="00103CA5">
        <w:trPr>
          <w:trHeight w:val="562"/>
        </w:trPr>
        <w:tc>
          <w:tcPr>
            <w:tcW w:w="1080" w:type="dxa"/>
            <w:shd w:val="clear" w:color="auto" w:fill="D9D9D9"/>
            <w:vAlign w:val="center"/>
          </w:tcPr>
          <w:p w:rsidR="00F018D3" w:rsidRDefault="00F018D3" w:rsidP="00103CA5">
            <w:pPr>
              <w:autoSpaceDE w:val="0"/>
              <w:autoSpaceDN w:val="0"/>
              <w:adjustRightInd w:val="0"/>
              <w:jc w:val="center"/>
            </w:pPr>
            <w:r>
              <w:t>GROUP</w:t>
            </w:r>
          </w:p>
        </w:tc>
        <w:tc>
          <w:tcPr>
            <w:tcW w:w="3194" w:type="dxa"/>
            <w:shd w:val="clear" w:color="auto" w:fill="D9D9D9"/>
            <w:vAlign w:val="center"/>
          </w:tcPr>
          <w:p w:rsidR="00F018D3" w:rsidRDefault="00F018D3" w:rsidP="00103CA5">
            <w:pPr>
              <w:autoSpaceDE w:val="0"/>
              <w:autoSpaceDN w:val="0"/>
              <w:adjustRightInd w:val="0"/>
              <w:jc w:val="center"/>
            </w:pPr>
            <w:r>
              <w:t>OTHERWISE APPLICABLE RATE SCHEDULE</w:t>
            </w:r>
          </w:p>
        </w:tc>
        <w:tc>
          <w:tcPr>
            <w:tcW w:w="1606" w:type="dxa"/>
            <w:shd w:val="clear" w:color="auto" w:fill="D9D9D9"/>
            <w:vAlign w:val="center"/>
          </w:tcPr>
          <w:p w:rsidR="00F018D3" w:rsidRDefault="00F018D3" w:rsidP="00103CA5">
            <w:pPr>
              <w:autoSpaceDE w:val="0"/>
              <w:autoSpaceDN w:val="0"/>
              <w:adjustRightInd w:val="0"/>
              <w:jc w:val="center"/>
            </w:pPr>
            <w:r>
              <w:t>AVERAGE FACTOR</w:t>
            </w:r>
          </w:p>
        </w:tc>
        <w:tc>
          <w:tcPr>
            <w:tcW w:w="1672" w:type="dxa"/>
            <w:shd w:val="clear" w:color="auto" w:fill="D9D9D9"/>
          </w:tcPr>
          <w:p w:rsidR="00F018D3" w:rsidRDefault="00F018D3" w:rsidP="00103CA5">
            <w:pPr>
              <w:autoSpaceDE w:val="0"/>
              <w:autoSpaceDN w:val="0"/>
              <w:adjustRightInd w:val="0"/>
              <w:jc w:val="center"/>
            </w:pPr>
            <w:r>
              <w:t>FUEL RECOVERY LOSS MULTIPLIER</w:t>
            </w:r>
          </w:p>
        </w:tc>
        <w:tc>
          <w:tcPr>
            <w:tcW w:w="1808" w:type="dxa"/>
            <w:shd w:val="clear" w:color="auto" w:fill="D9D9D9"/>
          </w:tcPr>
          <w:p w:rsidR="00F018D3" w:rsidRDefault="00F018D3" w:rsidP="00103CA5">
            <w:pPr>
              <w:autoSpaceDE w:val="0"/>
              <w:autoSpaceDN w:val="0"/>
              <w:adjustRightInd w:val="0"/>
              <w:jc w:val="center"/>
            </w:pPr>
            <w:r>
              <w:t>SDTR</w:t>
            </w:r>
          </w:p>
          <w:p w:rsidR="00F018D3" w:rsidRDefault="00F018D3" w:rsidP="00103CA5">
            <w:pPr>
              <w:autoSpaceDE w:val="0"/>
              <w:autoSpaceDN w:val="0"/>
              <w:adjustRightInd w:val="0"/>
              <w:jc w:val="center"/>
            </w:pPr>
            <w:r>
              <w:t>FUEL RECOVERY FACTOR</w:t>
            </w:r>
          </w:p>
        </w:tc>
      </w:tr>
      <w:tr w:rsidR="00F018D3" w:rsidTr="00103CA5">
        <w:tc>
          <w:tcPr>
            <w:tcW w:w="1080" w:type="dxa"/>
            <w:vMerge w:val="restart"/>
            <w:shd w:val="clear" w:color="auto" w:fill="auto"/>
            <w:vAlign w:val="center"/>
          </w:tcPr>
          <w:p w:rsidR="00F018D3" w:rsidRDefault="00F018D3" w:rsidP="00103CA5">
            <w:pPr>
              <w:autoSpaceDE w:val="0"/>
              <w:autoSpaceDN w:val="0"/>
              <w:adjustRightInd w:val="0"/>
              <w:jc w:val="center"/>
            </w:pPr>
            <w:r>
              <w:t>B</w:t>
            </w:r>
          </w:p>
        </w:tc>
        <w:tc>
          <w:tcPr>
            <w:tcW w:w="3194" w:type="dxa"/>
            <w:shd w:val="clear" w:color="auto" w:fill="auto"/>
          </w:tcPr>
          <w:p w:rsidR="00F018D3" w:rsidRDefault="00F018D3" w:rsidP="00103CA5">
            <w:pPr>
              <w:autoSpaceDE w:val="0"/>
              <w:autoSpaceDN w:val="0"/>
              <w:adjustRightInd w:val="0"/>
              <w:jc w:val="center"/>
            </w:pPr>
            <w:r>
              <w:t>GSD(T)-1 On-Peak</w:t>
            </w:r>
          </w:p>
        </w:tc>
        <w:tc>
          <w:tcPr>
            <w:tcW w:w="1606" w:type="dxa"/>
            <w:shd w:val="clear" w:color="auto" w:fill="auto"/>
          </w:tcPr>
          <w:p w:rsidR="00F018D3" w:rsidRDefault="00F018D3" w:rsidP="00103CA5">
            <w:pPr>
              <w:autoSpaceDE w:val="0"/>
              <w:autoSpaceDN w:val="0"/>
              <w:adjustRightInd w:val="0"/>
              <w:jc w:val="center"/>
            </w:pPr>
            <w:r>
              <w:t>4.608</w:t>
            </w:r>
          </w:p>
        </w:tc>
        <w:tc>
          <w:tcPr>
            <w:tcW w:w="1672" w:type="dxa"/>
            <w:shd w:val="clear" w:color="auto" w:fill="auto"/>
          </w:tcPr>
          <w:p w:rsidR="00F018D3" w:rsidRDefault="00F018D3" w:rsidP="00103CA5">
            <w:pPr>
              <w:autoSpaceDE w:val="0"/>
              <w:autoSpaceDN w:val="0"/>
              <w:adjustRightInd w:val="0"/>
              <w:jc w:val="center"/>
            </w:pPr>
            <w:r>
              <w:t>1.00260</w:t>
            </w:r>
          </w:p>
        </w:tc>
        <w:tc>
          <w:tcPr>
            <w:tcW w:w="1808" w:type="dxa"/>
            <w:shd w:val="clear" w:color="auto" w:fill="auto"/>
          </w:tcPr>
          <w:p w:rsidR="00F018D3" w:rsidRDefault="00F018D3" w:rsidP="00103CA5">
            <w:pPr>
              <w:autoSpaceDE w:val="0"/>
              <w:autoSpaceDN w:val="0"/>
              <w:adjustRightInd w:val="0"/>
              <w:jc w:val="center"/>
            </w:pPr>
            <w:r>
              <w:t>4.620</w:t>
            </w:r>
          </w:p>
        </w:tc>
      </w:tr>
      <w:tr w:rsidR="00F018D3" w:rsidTr="00103CA5">
        <w:tc>
          <w:tcPr>
            <w:tcW w:w="1080" w:type="dxa"/>
            <w:vMerge/>
            <w:shd w:val="clear" w:color="auto" w:fill="auto"/>
            <w:vAlign w:val="center"/>
          </w:tcPr>
          <w:p w:rsidR="00F018D3" w:rsidRDefault="00F018D3" w:rsidP="00103CA5">
            <w:pPr>
              <w:autoSpaceDE w:val="0"/>
              <w:autoSpaceDN w:val="0"/>
              <w:adjustRightInd w:val="0"/>
              <w:jc w:val="center"/>
            </w:pPr>
          </w:p>
        </w:tc>
        <w:tc>
          <w:tcPr>
            <w:tcW w:w="3194" w:type="dxa"/>
            <w:shd w:val="clear" w:color="auto" w:fill="auto"/>
          </w:tcPr>
          <w:p w:rsidR="00F018D3" w:rsidRDefault="00F018D3" w:rsidP="00103CA5">
            <w:pPr>
              <w:autoSpaceDE w:val="0"/>
              <w:autoSpaceDN w:val="0"/>
              <w:adjustRightInd w:val="0"/>
              <w:jc w:val="center"/>
            </w:pPr>
            <w:r>
              <w:t>Off-Peak</w:t>
            </w:r>
          </w:p>
        </w:tc>
        <w:tc>
          <w:tcPr>
            <w:tcW w:w="1606" w:type="dxa"/>
            <w:shd w:val="clear" w:color="auto" w:fill="auto"/>
          </w:tcPr>
          <w:p w:rsidR="00F018D3" w:rsidRDefault="00F018D3" w:rsidP="00103CA5">
            <w:pPr>
              <w:autoSpaceDE w:val="0"/>
              <w:autoSpaceDN w:val="0"/>
              <w:adjustRightInd w:val="0"/>
              <w:jc w:val="center"/>
            </w:pPr>
            <w:r>
              <w:t>2.218</w:t>
            </w:r>
          </w:p>
        </w:tc>
        <w:tc>
          <w:tcPr>
            <w:tcW w:w="1672" w:type="dxa"/>
            <w:shd w:val="clear" w:color="auto" w:fill="auto"/>
          </w:tcPr>
          <w:p w:rsidR="00F018D3" w:rsidRDefault="00F018D3" w:rsidP="00103CA5">
            <w:pPr>
              <w:autoSpaceDE w:val="0"/>
              <w:autoSpaceDN w:val="0"/>
              <w:adjustRightInd w:val="0"/>
              <w:jc w:val="center"/>
            </w:pPr>
            <w:r>
              <w:t>1.00260</w:t>
            </w:r>
          </w:p>
        </w:tc>
        <w:tc>
          <w:tcPr>
            <w:tcW w:w="1808" w:type="dxa"/>
            <w:shd w:val="clear" w:color="auto" w:fill="auto"/>
          </w:tcPr>
          <w:p w:rsidR="00F018D3" w:rsidRDefault="00F018D3" w:rsidP="00103CA5">
            <w:pPr>
              <w:autoSpaceDE w:val="0"/>
              <w:autoSpaceDN w:val="0"/>
              <w:adjustRightInd w:val="0"/>
              <w:jc w:val="center"/>
            </w:pPr>
            <w:r>
              <w:t>2.224</w:t>
            </w:r>
          </w:p>
        </w:tc>
      </w:tr>
      <w:tr w:rsidR="00F018D3" w:rsidTr="00103CA5">
        <w:tc>
          <w:tcPr>
            <w:tcW w:w="1080" w:type="dxa"/>
            <w:vMerge w:val="restart"/>
            <w:shd w:val="clear" w:color="auto" w:fill="auto"/>
            <w:vAlign w:val="center"/>
          </w:tcPr>
          <w:p w:rsidR="00F018D3" w:rsidRDefault="00F018D3" w:rsidP="00103CA5">
            <w:pPr>
              <w:autoSpaceDE w:val="0"/>
              <w:autoSpaceDN w:val="0"/>
              <w:adjustRightInd w:val="0"/>
              <w:jc w:val="center"/>
            </w:pPr>
            <w:r>
              <w:t>C</w:t>
            </w:r>
          </w:p>
        </w:tc>
        <w:tc>
          <w:tcPr>
            <w:tcW w:w="3194" w:type="dxa"/>
            <w:shd w:val="clear" w:color="auto" w:fill="auto"/>
          </w:tcPr>
          <w:p w:rsidR="00F018D3" w:rsidRDefault="00F018D3" w:rsidP="00103CA5">
            <w:pPr>
              <w:autoSpaceDE w:val="0"/>
              <w:autoSpaceDN w:val="0"/>
              <w:adjustRightInd w:val="0"/>
              <w:jc w:val="center"/>
            </w:pPr>
            <w:r>
              <w:t>GSLD(T)-1 On-Peak</w:t>
            </w:r>
          </w:p>
        </w:tc>
        <w:tc>
          <w:tcPr>
            <w:tcW w:w="1606" w:type="dxa"/>
            <w:shd w:val="clear" w:color="auto" w:fill="auto"/>
          </w:tcPr>
          <w:p w:rsidR="00F018D3" w:rsidRDefault="00F018D3" w:rsidP="00103CA5">
            <w:pPr>
              <w:autoSpaceDE w:val="0"/>
              <w:autoSpaceDN w:val="0"/>
              <w:adjustRightInd w:val="0"/>
              <w:jc w:val="center"/>
            </w:pPr>
            <w:r>
              <w:t>4.608</w:t>
            </w:r>
          </w:p>
        </w:tc>
        <w:tc>
          <w:tcPr>
            <w:tcW w:w="1672" w:type="dxa"/>
            <w:shd w:val="clear" w:color="auto" w:fill="auto"/>
          </w:tcPr>
          <w:p w:rsidR="00F018D3" w:rsidRDefault="00F018D3" w:rsidP="00103CA5">
            <w:pPr>
              <w:autoSpaceDE w:val="0"/>
              <w:autoSpaceDN w:val="0"/>
              <w:adjustRightInd w:val="0"/>
              <w:jc w:val="center"/>
            </w:pPr>
            <w:r>
              <w:t>1.00185</w:t>
            </w:r>
          </w:p>
        </w:tc>
        <w:tc>
          <w:tcPr>
            <w:tcW w:w="1808" w:type="dxa"/>
            <w:shd w:val="clear" w:color="auto" w:fill="auto"/>
          </w:tcPr>
          <w:p w:rsidR="00F018D3" w:rsidRDefault="00F018D3" w:rsidP="00103CA5">
            <w:pPr>
              <w:autoSpaceDE w:val="0"/>
              <w:autoSpaceDN w:val="0"/>
              <w:adjustRightInd w:val="0"/>
              <w:jc w:val="center"/>
            </w:pPr>
            <w:r>
              <w:t>4.617</w:t>
            </w:r>
          </w:p>
        </w:tc>
      </w:tr>
      <w:tr w:rsidR="00F018D3" w:rsidTr="00103CA5">
        <w:tc>
          <w:tcPr>
            <w:tcW w:w="1080" w:type="dxa"/>
            <w:vMerge/>
            <w:shd w:val="clear" w:color="auto" w:fill="auto"/>
            <w:vAlign w:val="center"/>
          </w:tcPr>
          <w:p w:rsidR="00F018D3" w:rsidRDefault="00F018D3" w:rsidP="00103CA5">
            <w:pPr>
              <w:autoSpaceDE w:val="0"/>
              <w:autoSpaceDN w:val="0"/>
              <w:adjustRightInd w:val="0"/>
              <w:jc w:val="center"/>
            </w:pPr>
          </w:p>
        </w:tc>
        <w:tc>
          <w:tcPr>
            <w:tcW w:w="3194" w:type="dxa"/>
            <w:shd w:val="clear" w:color="auto" w:fill="auto"/>
          </w:tcPr>
          <w:p w:rsidR="00F018D3" w:rsidRDefault="00F018D3" w:rsidP="00103CA5">
            <w:pPr>
              <w:autoSpaceDE w:val="0"/>
              <w:autoSpaceDN w:val="0"/>
              <w:adjustRightInd w:val="0"/>
              <w:jc w:val="center"/>
            </w:pPr>
            <w:r>
              <w:t>Off-Peak</w:t>
            </w:r>
          </w:p>
        </w:tc>
        <w:tc>
          <w:tcPr>
            <w:tcW w:w="1606" w:type="dxa"/>
            <w:shd w:val="clear" w:color="auto" w:fill="auto"/>
          </w:tcPr>
          <w:p w:rsidR="00F018D3" w:rsidRDefault="00F018D3" w:rsidP="00103CA5">
            <w:pPr>
              <w:autoSpaceDE w:val="0"/>
              <w:autoSpaceDN w:val="0"/>
              <w:adjustRightInd w:val="0"/>
              <w:jc w:val="center"/>
            </w:pPr>
            <w:r>
              <w:t>2.218</w:t>
            </w:r>
          </w:p>
        </w:tc>
        <w:tc>
          <w:tcPr>
            <w:tcW w:w="1672" w:type="dxa"/>
            <w:shd w:val="clear" w:color="auto" w:fill="auto"/>
          </w:tcPr>
          <w:p w:rsidR="00F018D3" w:rsidRDefault="00F018D3" w:rsidP="00103CA5">
            <w:pPr>
              <w:autoSpaceDE w:val="0"/>
              <w:autoSpaceDN w:val="0"/>
              <w:adjustRightInd w:val="0"/>
              <w:jc w:val="center"/>
            </w:pPr>
            <w:r>
              <w:t>1.00185</w:t>
            </w:r>
          </w:p>
        </w:tc>
        <w:tc>
          <w:tcPr>
            <w:tcW w:w="1808" w:type="dxa"/>
            <w:shd w:val="clear" w:color="auto" w:fill="auto"/>
          </w:tcPr>
          <w:p w:rsidR="00F018D3" w:rsidRDefault="00F018D3" w:rsidP="00103CA5">
            <w:pPr>
              <w:autoSpaceDE w:val="0"/>
              <w:autoSpaceDN w:val="0"/>
              <w:adjustRightInd w:val="0"/>
              <w:jc w:val="center"/>
            </w:pPr>
            <w:r>
              <w:t>2.222</w:t>
            </w:r>
          </w:p>
        </w:tc>
      </w:tr>
      <w:tr w:rsidR="00F018D3" w:rsidTr="00103CA5">
        <w:tc>
          <w:tcPr>
            <w:tcW w:w="1080" w:type="dxa"/>
            <w:vMerge w:val="restart"/>
            <w:shd w:val="clear" w:color="auto" w:fill="auto"/>
            <w:vAlign w:val="center"/>
          </w:tcPr>
          <w:p w:rsidR="00F018D3" w:rsidRDefault="00F018D3" w:rsidP="00103CA5">
            <w:pPr>
              <w:autoSpaceDE w:val="0"/>
              <w:autoSpaceDN w:val="0"/>
              <w:adjustRightInd w:val="0"/>
              <w:jc w:val="center"/>
            </w:pPr>
            <w:r>
              <w:t>D</w:t>
            </w:r>
          </w:p>
        </w:tc>
        <w:tc>
          <w:tcPr>
            <w:tcW w:w="3194" w:type="dxa"/>
            <w:shd w:val="clear" w:color="auto" w:fill="auto"/>
          </w:tcPr>
          <w:p w:rsidR="00F018D3" w:rsidRDefault="00F018D3" w:rsidP="00103CA5">
            <w:pPr>
              <w:autoSpaceDE w:val="0"/>
              <w:autoSpaceDN w:val="0"/>
              <w:adjustRightInd w:val="0"/>
              <w:jc w:val="center"/>
            </w:pPr>
            <w:r>
              <w:t>GSLD(T)-2 On-Peak</w:t>
            </w:r>
          </w:p>
        </w:tc>
        <w:tc>
          <w:tcPr>
            <w:tcW w:w="1606" w:type="dxa"/>
            <w:shd w:val="clear" w:color="auto" w:fill="auto"/>
          </w:tcPr>
          <w:p w:rsidR="00F018D3" w:rsidRDefault="00F018D3" w:rsidP="00103CA5">
            <w:pPr>
              <w:autoSpaceDE w:val="0"/>
              <w:autoSpaceDN w:val="0"/>
              <w:adjustRightInd w:val="0"/>
              <w:jc w:val="center"/>
            </w:pPr>
            <w:r>
              <w:t>4.608</w:t>
            </w:r>
          </w:p>
        </w:tc>
        <w:tc>
          <w:tcPr>
            <w:tcW w:w="1672" w:type="dxa"/>
            <w:shd w:val="clear" w:color="auto" w:fill="auto"/>
          </w:tcPr>
          <w:p w:rsidR="00F018D3" w:rsidRDefault="00F018D3" w:rsidP="00103CA5">
            <w:pPr>
              <w:autoSpaceDE w:val="0"/>
              <w:autoSpaceDN w:val="0"/>
              <w:adjustRightInd w:val="0"/>
              <w:jc w:val="center"/>
            </w:pPr>
            <w:r>
              <w:t>0.99545</w:t>
            </w:r>
          </w:p>
        </w:tc>
        <w:tc>
          <w:tcPr>
            <w:tcW w:w="1808" w:type="dxa"/>
            <w:shd w:val="clear" w:color="auto" w:fill="auto"/>
          </w:tcPr>
          <w:p w:rsidR="00F018D3" w:rsidRDefault="00F018D3" w:rsidP="00103CA5">
            <w:pPr>
              <w:autoSpaceDE w:val="0"/>
              <w:autoSpaceDN w:val="0"/>
              <w:adjustRightInd w:val="0"/>
              <w:jc w:val="center"/>
            </w:pPr>
            <w:r>
              <w:t>4.587</w:t>
            </w:r>
          </w:p>
        </w:tc>
      </w:tr>
      <w:tr w:rsidR="00F018D3" w:rsidTr="00103CA5">
        <w:tc>
          <w:tcPr>
            <w:tcW w:w="1080" w:type="dxa"/>
            <w:vMerge/>
            <w:shd w:val="clear" w:color="auto" w:fill="auto"/>
          </w:tcPr>
          <w:p w:rsidR="00F018D3" w:rsidRDefault="00F018D3" w:rsidP="00103CA5">
            <w:pPr>
              <w:autoSpaceDE w:val="0"/>
              <w:autoSpaceDN w:val="0"/>
              <w:adjustRightInd w:val="0"/>
              <w:jc w:val="center"/>
            </w:pPr>
          </w:p>
        </w:tc>
        <w:tc>
          <w:tcPr>
            <w:tcW w:w="3194" w:type="dxa"/>
            <w:shd w:val="clear" w:color="auto" w:fill="auto"/>
          </w:tcPr>
          <w:p w:rsidR="00F018D3" w:rsidRDefault="00F018D3" w:rsidP="00103CA5">
            <w:pPr>
              <w:autoSpaceDE w:val="0"/>
              <w:autoSpaceDN w:val="0"/>
              <w:adjustRightInd w:val="0"/>
              <w:jc w:val="center"/>
            </w:pPr>
            <w:r>
              <w:t>Off-Peak</w:t>
            </w:r>
          </w:p>
        </w:tc>
        <w:tc>
          <w:tcPr>
            <w:tcW w:w="1606" w:type="dxa"/>
            <w:shd w:val="clear" w:color="auto" w:fill="auto"/>
          </w:tcPr>
          <w:p w:rsidR="00F018D3" w:rsidRDefault="00F018D3" w:rsidP="00103CA5">
            <w:pPr>
              <w:autoSpaceDE w:val="0"/>
              <w:autoSpaceDN w:val="0"/>
              <w:adjustRightInd w:val="0"/>
              <w:jc w:val="center"/>
            </w:pPr>
            <w:r>
              <w:t>2.218</w:t>
            </w:r>
          </w:p>
        </w:tc>
        <w:tc>
          <w:tcPr>
            <w:tcW w:w="1672" w:type="dxa"/>
            <w:shd w:val="clear" w:color="auto" w:fill="auto"/>
          </w:tcPr>
          <w:p w:rsidR="00F018D3" w:rsidRDefault="00F018D3" w:rsidP="00103CA5">
            <w:pPr>
              <w:autoSpaceDE w:val="0"/>
              <w:autoSpaceDN w:val="0"/>
              <w:adjustRightInd w:val="0"/>
              <w:jc w:val="center"/>
            </w:pPr>
            <w:r>
              <w:t>0.99545</w:t>
            </w:r>
          </w:p>
        </w:tc>
        <w:tc>
          <w:tcPr>
            <w:tcW w:w="1808" w:type="dxa"/>
            <w:shd w:val="clear" w:color="auto" w:fill="auto"/>
          </w:tcPr>
          <w:p w:rsidR="00F018D3" w:rsidRDefault="00F018D3" w:rsidP="00103CA5">
            <w:pPr>
              <w:autoSpaceDE w:val="0"/>
              <w:autoSpaceDN w:val="0"/>
              <w:adjustRightInd w:val="0"/>
              <w:jc w:val="center"/>
            </w:pPr>
            <w:r>
              <w:t xml:space="preserve">2.208 </w:t>
            </w:r>
          </w:p>
        </w:tc>
      </w:tr>
    </w:tbl>
    <w:p w:rsidR="00F018D3" w:rsidRDefault="00F018D3" w:rsidP="00F018D3">
      <w:pPr>
        <w:pStyle w:val="OrderBody"/>
      </w:pPr>
    </w:p>
    <w:p w:rsidR="009C2AAA" w:rsidRDefault="009C2AAA" w:rsidP="00F018D3">
      <w:pPr>
        <w:pStyle w:val="OrderBody"/>
        <w:sectPr w:rsidR="009C2AAA" w:rsidSect="00F018D3">
          <w:headerReference w:type="default" r:id="rId9"/>
          <w:headerReference w:type="first" r:id="rId10"/>
          <w:pgSz w:w="12240" w:h="15840" w:code="1"/>
          <w:pgMar w:top="1440" w:right="1440" w:bottom="1440" w:left="1440" w:header="720" w:footer="720" w:gutter="0"/>
          <w:cols w:space="720"/>
          <w:docGrid w:linePitch="360"/>
        </w:sectPr>
      </w:pPr>
    </w:p>
    <w:p w:rsidR="009C2AAA" w:rsidRDefault="009C2AAA" w:rsidP="009C2AAA">
      <w:pPr>
        <w:autoSpaceDE w:val="0"/>
        <w:autoSpaceDN w:val="0"/>
        <w:adjustRightInd w:val="0"/>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170"/>
        <w:gridCol w:w="1530"/>
        <w:gridCol w:w="1620"/>
        <w:gridCol w:w="1890"/>
        <w:gridCol w:w="1440"/>
      </w:tblGrid>
      <w:tr w:rsidR="009C2AAA" w:rsidTr="00103CA5">
        <w:trPr>
          <w:trHeight w:val="562"/>
        </w:trPr>
        <w:tc>
          <w:tcPr>
            <w:tcW w:w="9360" w:type="dxa"/>
            <w:gridSpan w:val="6"/>
            <w:shd w:val="clear" w:color="auto" w:fill="FFFFFF"/>
          </w:tcPr>
          <w:p w:rsidR="009C2AAA" w:rsidRDefault="009C2AAA" w:rsidP="00103CA5">
            <w:pPr>
              <w:autoSpaceDE w:val="0"/>
              <w:autoSpaceDN w:val="0"/>
              <w:adjustRightInd w:val="0"/>
              <w:jc w:val="center"/>
              <w:rPr>
                <w:b/>
              </w:rPr>
            </w:pPr>
            <w:r>
              <w:rPr>
                <w:b/>
              </w:rPr>
              <w:t>FPL’s Mid-Course Correction</w:t>
            </w:r>
          </w:p>
          <w:p w:rsidR="009C2AAA" w:rsidRPr="00CD7355" w:rsidRDefault="009C2AAA" w:rsidP="00103CA5">
            <w:pPr>
              <w:autoSpaceDE w:val="0"/>
              <w:autoSpaceDN w:val="0"/>
              <w:adjustRightInd w:val="0"/>
              <w:jc w:val="center"/>
            </w:pPr>
            <w:r>
              <w:rPr>
                <w:b/>
              </w:rPr>
              <w:t xml:space="preserve">Comparison of 1,000 kWh </w:t>
            </w:r>
            <w:r w:rsidRPr="00B2130A">
              <w:rPr>
                <w:b/>
              </w:rPr>
              <w:t>Residential Bill</w:t>
            </w:r>
          </w:p>
        </w:tc>
      </w:tr>
      <w:tr w:rsidR="009C2AAA" w:rsidTr="00103CA5">
        <w:trPr>
          <w:trHeight w:val="1656"/>
        </w:trPr>
        <w:tc>
          <w:tcPr>
            <w:tcW w:w="1710" w:type="dxa"/>
            <w:shd w:val="clear" w:color="auto" w:fill="D9D9D9"/>
            <w:vAlign w:val="center"/>
          </w:tcPr>
          <w:p w:rsidR="009C2AAA" w:rsidRDefault="009C2AAA" w:rsidP="00103CA5">
            <w:pPr>
              <w:autoSpaceDE w:val="0"/>
              <w:autoSpaceDN w:val="0"/>
              <w:adjustRightInd w:val="0"/>
              <w:jc w:val="center"/>
            </w:pPr>
            <w:r>
              <w:t>Component</w:t>
            </w:r>
          </w:p>
        </w:tc>
        <w:tc>
          <w:tcPr>
            <w:tcW w:w="1170" w:type="dxa"/>
            <w:shd w:val="clear" w:color="auto" w:fill="D9D9D9"/>
            <w:vAlign w:val="center"/>
          </w:tcPr>
          <w:p w:rsidR="009C2AAA" w:rsidRDefault="009C2AAA" w:rsidP="00103CA5">
            <w:pPr>
              <w:autoSpaceDE w:val="0"/>
              <w:autoSpaceDN w:val="0"/>
              <w:adjustRightInd w:val="0"/>
              <w:jc w:val="center"/>
            </w:pPr>
            <w:r>
              <w:t>February 2016</w:t>
            </w: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pPr>
          </w:p>
          <w:p w:rsidR="009C2AAA" w:rsidRDefault="009C2AAA" w:rsidP="00103CA5">
            <w:pPr>
              <w:autoSpaceDE w:val="0"/>
              <w:autoSpaceDN w:val="0"/>
              <w:adjustRightInd w:val="0"/>
            </w:pPr>
          </w:p>
          <w:p w:rsidR="009C2AAA" w:rsidRDefault="009C2AAA" w:rsidP="00103CA5">
            <w:pPr>
              <w:autoSpaceDE w:val="0"/>
              <w:autoSpaceDN w:val="0"/>
              <w:adjustRightInd w:val="0"/>
              <w:jc w:val="center"/>
            </w:pPr>
            <w:r>
              <w:t>(Current)</w:t>
            </w:r>
          </w:p>
        </w:tc>
        <w:tc>
          <w:tcPr>
            <w:tcW w:w="1530" w:type="dxa"/>
            <w:shd w:val="clear" w:color="auto" w:fill="D9D9D9"/>
            <w:vAlign w:val="center"/>
          </w:tcPr>
          <w:p w:rsidR="009C2AAA" w:rsidRDefault="009C2AAA" w:rsidP="00103CA5">
            <w:pPr>
              <w:autoSpaceDE w:val="0"/>
              <w:autoSpaceDN w:val="0"/>
              <w:adjustRightInd w:val="0"/>
              <w:jc w:val="center"/>
            </w:pPr>
            <w:r>
              <w:t>March 2016</w:t>
            </w: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r>
              <w:t>(Stand-alone Storm Charge Adjustment)</w:t>
            </w:r>
          </w:p>
        </w:tc>
        <w:tc>
          <w:tcPr>
            <w:tcW w:w="1620" w:type="dxa"/>
            <w:shd w:val="clear" w:color="auto" w:fill="D9D9D9"/>
            <w:vAlign w:val="bottom"/>
          </w:tcPr>
          <w:p w:rsidR="009C2AAA" w:rsidRDefault="009C2AAA" w:rsidP="00103CA5">
            <w:pPr>
              <w:autoSpaceDE w:val="0"/>
              <w:autoSpaceDN w:val="0"/>
              <w:adjustRightInd w:val="0"/>
              <w:jc w:val="center"/>
            </w:pPr>
            <w:r>
              <w:t>April 2016</w:t>
            </w: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p>
          <w:p w:rsidR="009C2AAA" w:rsidRDefault="009C2AAA" w:rsidP="00103CA5">
            <w:pPr>
              <w:autoSpaceDE w:val="0"/>
              <w:autoSpaceDN w:val="0"/>
              <w:adjustRightInd w:val="0"/>
              <w:jc w:val="center"/>
            </w:pPr>
            <w:r>
              <w:t>(Stand-alone GBRA Adjustment)</w:t>
            </w:r>
          </w:p>
        </w:tc>
        <w:tc>
          <w:tcPr>
            <w:tcW w:w="1890" w:type="dxa"/>
            <w:shd w:val="clear" w:color="auto" w:fill="D9D9D9"/>
            <w:vAlign w:val="center"/>
          </w:tcPr>
          <w:p w:rsidR="009C2AAA" w:rsidRDefault="009C2AAA" w:rsidP="00103CA5">
            <w:pPr>
              <w:autoSpaceDE w:val="0"/>
              <w:autoSpaceDN w:val="0"/>
              <w:adjustRightInd w:val="0"/>
              <w:jc w:val="center"/>
            </w:pPr>
            <w:r>
              <w:t>April – Dec. 2016</w:t>
            </w:r>
          </w:p>
          <w:p w:rsidR="009C2AAA" w:rsidRDefault="009C2AAA" w:rsidP="00103CA5">
            <w:pPr>
              <w:autoSpaceDE w:val="0"/>
              <w:autoSpaceDN w:val="0"/>
              <w:adjustRightInd w:val="0"/>
              <w:jc w:val="center"/>
            </w:pPr>
            <w:r>
              <w:t>(Storm Charge Adjustment and GBRA Adjustment Combined with Mid-Course</w:t>
            </w:r>
          </w:p>
          <w:p w:rsidR="009C2AAA" w:rsidRDefault="009C2AAA" w:rsidP="00103CA5">
            <w:pPr>
              <w:autoSpaceDE w:val="0"/>
              <w:autoSpaceDN w:val="0"/>
              <w:adjustRightInd w:val="0"/>
              <w:jc w:val="center"/>
            </w:pPr>
            <w:r>
              <w:t>Correction)</w:t>
            </w:r>
          </w:p>
        </w:tc>
        <w:tc>
          <w:tcPr>
            <w:tcW w:w="1440" w:type="dxa"/>
            <w:shd w:val="clear" w:color="auto" w:fill="D9D9D9"/>
            <w:vAlign w:val="center"/>
          </w:tcPr>
          <w:p w:rsidR="009C2AAA" w:rsidRDefault="009C2AAA" w:rsidP="00103CA5">
            <w:pPr>
              <w:autoSpaceDE w:val="0"/>
              <w:autoSpaceDN w:val="0"/>
              <w:adjustRightInd w:val="0"/>
              <w:jc w:val="center"/>
            </w:pPr>
            <w:r>
              <w:t>Net Difference from Current</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Base Charge</w:t>
            </w:r>
          </w:p>
        </w:tc>
        <w:tc>
          <w:tcPr>
            <w:tcW w:w="1170" w:type="dxa"/>
            <w:shd w:val="clear" w:color="auto" w:fill="auto"/>
            <w:vAlign w:val="center"/>
          </w:tcPr>
          <w:p w:rsidR="009C2AAA" w:rsidRDefault="009C2AAA" w:rsidP="00103CA5">
            <w:pPr>
              <w:autoSpaceDE w:val="0"/>
              <w:autoSpaceDN w:val="0"/>
              <w:adjustRightInd w:val="0"/>
              <w:jc w:val="center"/>
            </w:pPr>
            <w:r>
              <w:t>$54.86</w:t>
            </w:r>
          </w:p>
        </w:tc>
        <w:tc>
          <w:tcPr>
            <w:tcW w:w="1530" w:type="dxa"/>
            <w:vAlign w:val="center"/>
          </w:tcPr>
          <w:p w:rsidR="009C2AAA" w:rsidRDefault="009C2AAA" w:rsidP="00103CA5">
            <w:pPr>
              <w:autoSpaceDE w:val="0"/>
              <w:autoSpaceDN w:val="0"/>
              <w:adjustRightInd w:val="0"/>
              <w:jc w:val="center"/>
            </w:pPr>
            <w:r>
              <w:t>$54.86</w:t>
            </w:r>
          </w:p>
        </w:tc>
        <w:tc>
          <w:tcPr>
            <w:tcW w:w="1620" w:type="dxa"/>
            <w:vAlign w:val="center"/>
          </w:tcPr>
          <w:p w:rsidR="009C2AAA" w:rsidRDefault="009C2AAA" w:rsidP="00103CA5">
            <w:pPr>
              <w:autoSpaceDE w:val="0"/>
              <w:autoSpaceDN w:val="0"/>
              <w:adjustRightInd w:val="0"/>
              <w:jc w:val="center"/>
            </w:pPr>
            <w:r>
              <w:t>$57.00</w:t>
            </w:r>
          </w:p>
        </w:tc>
        <w:tc>
          <w:tcPr>
            <w:tcW w:w="1890" w:type="dxa"/>
            <w:shd w:val="clear" w:color="auto" w:fill="auto"/>
            <w:vAlign w:val="center"/>
          </w:tcPr>
          <w:p w:rsidR="009C2AAA" w:rsidRDefault="009C2AAA" w:rsidP="00103CA5">
            <w:pPr>
              <w:autoSpaceDE w:val="0"/>
              <w:autoSpaceDN w:val="0"/>
              <w:adjustRightInd w:val="0"/>
              <w:jc w:val="center"/>
            </w:pPr>
            <w:r>
              <w:t>$57.00</w:t>
            </w:r>
          </w:p>
        </w:tc>
        <w:tc>
          <w:tcPr>
            <w:tcW w:w="1440" w:type="dxa"/>
            <w:vAlign w:val="center"/>
          </w:tcPr>
          <w:p w:rsidR="009C2AAA" w:rsidRDefault="009C2AAA" w:rsidP="00103CA5">
            <w:pPr>
              <w:autoSpaceDE w:val="0"/>
              <w:autoSpaceDN w:val="0"/>
              <w:adjustRightInd w:val="0"/>
              <w:jc w:val="center"/>
            </w:pPr>
            <w:r>
              <w:t>$2.14</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Fuel Cost Recovery</w:t>
            </w:r>
          </w:p>
        </w:tc>
        <w:tc>
          <w:tcPr>
            <w:tcW w:w="1170" w:type="dxa"/>
            <w:shd w:val="clear" w:color="auto" w:fill="auto"/>
            <w:vAlign w:val="center"/>
          </w:tcPr>
          <w:p w:rsidR="009C2AAA" w:rsidRDefault="009C2AAA" w:rsidP="00103CA5">
            <w:pPr>
              <w:autoSpaceDE w:val="0"/>
              <w:autoSpaceDN w:val="0"/>
              <w:adjustRightInd w:val="0"/>
              <w:jc w:val="center"/>
            </w:pPr>
            <w:r>
              <w:t>$25.80</w:t>
            </w:r>
          </w:p>
        </w:tc>
        <w:tc>
          <w:tcPr>
            <w:tcW w:w="1530" w:type="dxa"/>
            <w:vAlign w:val="center"/>
          </w:tcPr>
          <w:p w:rsidR="009C2AAA" w:rsidRDefault="009C2AAA" w:rsidP="00103CA5">
            <w:pPr>
              <w:autoSpaceDE w:val="0"/>
              <w:autoSpaceDN w:val="0"/>
              <w:adjustRightInd w:val="0"/>
              <w:jc w:val="center"/>
            </w:pPr>
            <w:r>
              <w:t>$25.80</w:t>
            </w:r>
          </w:p>
        </w:tc>
        <w:tc>
          <w:tcPr>
            <w:tcW w:w="1620" w:type="dxa"/>
            <w:vAlign w:val="center"/>
          </w:tcPr>
          <w:p w:rsidR="009C2AAA" w:rsidRDefault="009C2AAA" w:rsidP="00103CA5">
            <w:pPr>
              <w:autoSpaceDE w:val="0"/>
              <w:autoSpaceDN w:val="0"/>
              <w:adjustRightInd w:val="0"/>
              <w:jc w:val="center"/>
            </w:pPr>
            <w:r>
              <w:t>$25.19</w:t>
            </w:r>
          </w:p>
        </w:tc>
        <w:tc>
          <w:tcPr>
            <w:tcW w:w="1890" w:type="dxa"/>
            <w:shd w:val="clear" w:color="auto" w:fill="auto"/>
            <w:vAlign w:val="center"/>
          </w:tcPr>
          <w:p w:rsidR="009C2AAA" w:rsidRPr="001A1CE2" w:rsidRDefault="009C2AAA" w:rsidP="00103CA5">
            <w:pPr>
              <w:autoSpaceDE w:val="0"/>
              <w:autoSpaceDN w:val="0"/>
              <w:adjustRightInd w:val="0"/>
              <w:jc w:val="center"/>
            </w:pPr>
            <w:r>
              <w:t>$21.73</w:t>
            </w:r>
          </w:p>
        </w:tc>
        <w:tc>
          <w:tcPr>
            <w:tcW w:w="1440" w:type="dxa"/>
            <w:vAlign w:val="center"/>
          </w:tcPr>
          <w:p w:rsidR="009C2AAA" w:rsidRPr="001A1CE2" w:rsidRDefault="009C2AAA" w:rsidP="00103CA5">
            <w:pPr>
              <w:autoSpaceDE w:val="0"/>
              <w:autoSpaceDN w:val="0"/>
              <w:adjustRightInd w:val="0"/>
              <w:jc w:val="center"/>
            </w:pPr>
            <w:r>
              <w:t>-$4.07</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Conservation Cost Recovery</w:t>
            </w:r>
          </w:p>
        </w:tc>
        <w:tc>
          <w:tcPr>
            <w:tcW w:w="1170" w:type="dxa"/>
            <w:shd w:val="clear" w:color="auto" w:fill="auto"/>
            <w:vAlign w:val="center"/>
          </w:tcPr>
          <w:p w:rsidR="009C2AAA" w:rsidRDefault="009C2AAA" w:rsidP="00103CA5">
            <w:pPr>
              <w:autoSpaceDE w:val="0"/>
              <w:autoSpaceDN w:val="0"/>
              <w:adjustRightInd w:val="0"/>
              <w:jc w:val="center"/>
            </w:pPr>
            <w:r>
              <w:t>$1.86</w:t>
            </w:r>
          </w:p>
        </w:tc>
        <w:tc>
          <w:tcPr>
            <w:tcW w:w="1530" w:type="dxa"/>
            <w:vAlign w:val="center"/>
          </w:tcPr>
          <w:p w:rsidR="009C2AAA" w:rsidRDefault="009C2AAA" w:rsidP="00103CA5">
            <w:pPr>
              <w:autoSpaceDE w:val="0"/>
              <w:autoSpaceDN w:val="0"/>
              <w:adjustRightInd w:val="0"/>
              <w:jc w:val="center"/>
            </w:pPr>
            <w:r>
              <w:t>$1.86</w:t>
            </w:r>
          </w:p>
        </w:tc>
        <w:tc>
          <w:tcPr>
            <w:tcW w:w="1620" w:type="dxa"/>
            <w:vAlign w:val="center"/>
          </w:tcPr>
          <w:p w:rsidR="009C2AAA" w:rsidRDefault="009C2AAA" w:rsidP="00103CA5">
            <w:pPr>
              <w:autoSpaceDE w:val="0"/>
              <w:autoSpaceDN w:val="0"/>
              <w:adjustRightInd w:val="0"/>
              <w:jc w:val="center"/>
            </w:pPr>
            <w:r>
              <w:t>$1.86</w:t>
            </w:r>
          </w:p>
        </w:tc>
        <w:tc>
          <w:tcPr>
            <w:tcW w:w="1890" w:type="dxa"/>
            <w:shd w:val="clear" w:color="auto" w:fill="auto"/>
            <w:vAlign w:val="center"/>
          </w:tcPr>
          <w:p w:rsidR="009C2AAA" w:rsidRPr="001A1CE2" w:rsidRDefault="009C2AAA" w:rsidP="00103CA5">
            <w:pPr>
              <w:autoSpaceDE w:val="0"/>
              <w:autoSpaceDN w:val="0"/>
              <w:adjustRightInd w:val="0"/>
              <w:jc w:val="center"/>
            </w:pPr>
            <w:r>
              <w:t>$1.86</w:t>
            </w:r>
          </w:p>
        </w:tc>
        <w:tc>
          <w:tcPr>
            <w:tcW w:w="1440" w:type="dxa"/>
            <w:vAlign w:val="center"/>
          </w:tcPr>
          <w:p w:rsidR="009C2AAA" w:rsidRPr="001A1CE2" w:rsidRDefault="009C2AAA" w:rsidP="00103CA5">
            <w:pPr>
              <w:autoSpaceDE w:val="0"/>
              <w:autoSpaceDN w:val="0"/>
              <w:adjustRightInd w:val="0"/>
              <w:jc w:val="center"/>
            </w:pPr>
            <w:r w:rsidRPr="001A1CE2">
              <w:t>$0</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Capacity Payment</w:t>
            </w:r>
          </w:p>
        </w:tc>
        <w:tc>
          <w:tcPr>
            <w:tcW w:w="1170" w:type="dxa"/>
            <w:shd w:val="clear" w:color="auto" w:fill="auto"/>
            <w:vAlign w:val="center"/>
          </w:tcPr>
          <w:p w:rsidR="009C2AAA" w:rsidRDefault="009C2AAA" w:rsidP="00103CA5">
            <w:pPr>
              <w:autoSpaceDE w:val="0"/>
              <w:autoSpaceDN w:val="0"/>
              <w:adjustRightInd w:val="0"/>
              <w:jc w:val="center"/>
            </w:pPr>
            <w:r>
              <w:t>$4.54</w:t>
            </w:r>
          </w:p>
        </w:tc>
        <w:tc>
          <w:tcPr>
            <w:tcW w:w="1530" w:type="dxa"/>
            <w:vAlign w:val="center"/>
          </w:tcPr>
          <w:p w:rsidR="009C2AAA" w:rsidRDefault="009C2AAA" w:rsidP="00103CA5">
            <w:pPr>
              <w:autoSpaceDE w:val="0"/>
              <w:autoSpaceDN w:val="0"/>
              <w:adjustRightInd w:val="0"/>
              <w:jc w:val="center"/>
            </w:pPr>
            <w:r>
              <w:t>$4.54</w:t>
            </w:r>
          </w:p>
        </w:tc>
        <w:tc>
          <w:tcPr>
            <w:tcW w:w="1620" w:type="dxa"/>
            <w:vAlign w:val="center"/>
          </w:tcPr>
          <w:p w:rsidR="009C2AAA" w:rsidRDefault="009C2AAA" w:rsidP="00103CA5">
            <w:pPr>
              <w:autoSpaceDE w:val="0"/>
              <w:autoSpaceDN w:val="0"/>
              <w:adjustRightInd w:val="0"/>
              <w:jc w:val="center"/>
            </w:pPr>
            <w:r>
              <w:t>$4.54</w:t>
            </w:r>
          </w:p>
        </w:tc>
        <w:tc>
          <w:tcPr>
            <w:tcW w:w="1890" w:type="dxa"/>
            <w:shd w:val="clear" w:color="auto" w:fill="auto"/>
            <w:vAlign w:val="center"/>
          </w:tcPr>
          <w:p w:rsidR="009C2AAA" w:rsidRPr="001A1CE2" w:rsidRDefault="009C2AAA" w:rsidP="00103CA5">
            <w:pPr>
              <w:autoSpaceDE w:val="0"/>
              <w:autoSpaceDN w:val="0"/>
              <w:adjustRightInd w:val="0"/>
              <w:jc w:val="center"/>
            </w:pPr>
            <w:r>
              <w:t>$4.54</w:t>
            </w:r>
          </w:p>
        </w:tc>
        <w:tc>
          <w:tcPr>
            <w:tcW w:w="1440" w:type="dxa"/>
            <w:vAlign w:val="center"/>
          </w:tcPr>
          <w:p w:rsidR="009C2AAA" w:rsidRPr="001A1CE2" w:rsidRDefault="009C2AAA" w:rsidP="00103CA5">
            <w:pPr>
              <w:autoSpaceDE w:val="0"/>
              <w:autoSpaceDN w:val="0"/>
              <w:adjustRightInd w:val="0"/>
              <w:jc w:val="center"/>
            </w:pPr>
            <w:r w:rsidRPr="001A1CE2">
              <w:t>$0</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Nuclear Cost Recovery</w:t>
            </w:r>
          </w:p>
        </w:tc>
        <w:tc>
          <w:tcPr>
            <w:tcW w:w="1170" w:type="dxa"/>
            <w:shd w:val="clear" w:color="auto" w:fill="auto"/>
            <w:vAlign w:val="center"/>
          </w:tcPr>
          <w:p w:rsidR="009C2AAA" w:rsidRDefault="009C2AAA" w:rsidP="00103CA5">
            <w:pPr>
              <w:autoSpaceDE w:val="0"/>
              <w:autoSpaceDN w:val="0"/>
              <w:adjustRightInd w:val="0"/>
              <w:jc w:val="center"/>
            </w:pPr>
            <w:r>
              <w:t>$0.34</w:t>
            </w:r>
          </w:p>
        </w:tc>
        <w:tc>
          <w:tcPr>
            <w:tcW w:w="1530" w:type="dxa"/>
            <w:vAlign w:val="center"/>
          </w:tcPr>
          <w:p w:rsidR="009C2AAA" w:rsidRDefault="009C2AAA" w:rsidP="00103CA5">
            <w:pPr>
              <w:autoSpaceDE w:val="0"/>
              <w:autoSpaceDN w:val="0"/>
              <w:adjustRightInd w:val="0"/>
              <w:jc w:val="center"/>
            </w:pPr>
            <w:r>
              <w:t>$0.34</w:t>
            </w:r>
          </w:p>
        </w:tc>
        <w:tc>
          <w:tcPr>
            <w:tcW w:w="1620" w:type="dxa"/>
            <w:vAlign w:val="center"/>
          </w:tcPr>
          <w:p w:rsidR="009C2AAA" w:rsidRDefault="009C2AAA" w:rsidP="00103CA5">
            <w:pPr>
              <w:autoSpaceDE w:val="0"/>
              <w:autoSpaceDN w:val="0"/>
              <w:adjustRightInd w:val="0"/>
              <w:jc w:val="center"/>
            </w:pPr>
            <w:r>
              <w:t>$0.34</w:t>
            </w:r>
          </w:p>
        </w:tc>
        <w:tc>
          <w:tcPr>
            <w:tcW w:w="1890" w:type="dxa"/>
            <w:shd w:val="clear" w:color="auto" w:fill="auto"/>
            <w:vAlign w:val="center"/>
          </w:tcPr>
          <w:p w:rsidR="009C2AAA" w:rsidRPr="001A1CE2" w:rsidRDefault="009C2AAA" w:rsidP="00103CA5">
            <w:pPr>
              <w:autoSpaceDE w:val="0"/>
              <w:autoSpaceDN w:val="0"/>
              <w:adjustRightInd w:val="0"/>
              <w:jc w:val="center"/>
            </w:pPr>
            <w:r>
              <w:t>$0.34</w:t>
            </w:r>
          </w:p>
        </w:tc>
        <w:tc>
          <w:tcPr>
            <w:tcW w:w="1440" w:type="dxa"/>
            <w:vAlign w:val="center"/>
          </w:tcPr>
          <w:p w:rsidR="009C2AAA" w:rsidRPr="001A1CE2" w:rsidRDefault="009C2AAA" w:rsidP="00103CA5">
            <w:pPr>
              <w:autoSpaceDE w:val="0"/>
              <w:autoSpaceDN w:val="0"/>
              <w:adjustRightInd w:val="0"/>
              <w:jc w:val="center"/>
            </w:pPr>
            <w:r w:rsidRPr="001A1CE2">
              <w:t>$0</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Environmental Cost Recovery</w:t>
            </w:r>
          </w:p>
        </w:tc>
        <w:tc>
          <w:tcPr>
            <w:tcW w:w="1170" w:type="dxa"/>
            <w:shd w:val="clear" w:color="auto" w:fill="auto"/>
            <w:vAlign w:val="center"/>
          </w:tcPr>
          <w:p w:rsidR="009C2AAA" w:rsidRDefault="009C2AAA" w:rsidP="00103CA5">
            <w:pPr>
              <w:autoSpaceDE w:val="0"/>
              <w:autoSpaceDN w:val="0"/>
              <w:adjustRightInd w:val="0"/>
              <w:jc w:val="center"/>
            </w:pPr>
            <w:r>
              <w:t>$2.63</w:t>
            </w:r>
          </w:p>
        </w:tc>
        <w:tc>
          <w:tcPr>
            <w:tcW w:w="1530" w:type="dxa"/>
            <w:vAlign w:val="center"/>
          </w:tcPr>
          <w:p w:rsidR="009C2AAA" w:rsidRDefault="009C2AAA" w:rsidP="00103CA5">
            <w:pPr>
              <w:autoSpaceDE w:val="0"/>
              <w:autoSpaceDN w:val="0"/>
              <w:adjustRightInd w:val="0"/>
              <w:jc w:val="center"/>
            </w:pPr>
            <w:r>
              <w:t>$2.63</w:t>
            </w:r>
          </w:p>
        </w:tc>
        <w:tc>
          <w:tcPr>
            <w:tcW w:w="1620" w:type="dxa"/>
            <w:vAlign w:val="center"/>
          </w:tcPr>
          <w:p w:rsidR="009C2AAA" w:rsidRDefault="009C2AAA" w:rsidP="00103CA5">
            <w:pPr>
              <w:autoSpaceDE w:val="0"/>
              <w:autoSpaceDN w:val="0"/>
              <w:adjustRightInd w:val="0"/>
              <w:jc w:val="center"/>
            </w:pPr>
            <w:r>
              <w:t>$2.63</w:t>
            </w:r>
          </w:p>
        </w:tc>
        <w:tc>
          <w:tcPr>
            <w:tcW w:w="1890" w:type="dxa"/>
            <w:shd w:val="clear" w:color="auto" w:fill="auto"/>
            <w:vAlign w:val="center"/>
          </w:tcPr>
          <w:p w:rsidR="009C2AAA" w:rsidRPr="001A1CE2" w:rsidRDefault="009C2AAA" w:rsidP="00103CA5">
            <w:pPr>
              <w:autoSpaceDE w:val="0"/>
              <w:autoSpaceDN w:val="0"/>
              <w:adjustRightInd w:val="0"/>
              <w:jc w:val="center"/>
            </w:pPr>
            <w:r>
              <w:t>$2.63</w:t>
            </w:r>
          </w:p>
        </w:tc>
        <w:tc>
          <w:tcPr>
            <w:tcW w:w="1440" w:type="dxa"/>
            <w:vAlign w:val="center"/>
          </w:tcPr>
          <w:p w:rsidR="009C2AAA" w:rsidRPr="001A1CE2" w:rsidRDefault="009C2AAA" w:rsidP="00103CA5">
            <w:pPr>
              <w:autoSpaceDE w:val="0"/>
              <w:autoSpaceDN w:val="0"/>
              <w:adjustRightInd w:val="0"/>
              <w:jc w:val="center"/>
            </w:pPr>
            <w:r w:rsidRPr="001A1CE2">
              <w:t>$0</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Storm Restoration Surcharge</w:t>
            </w:r>
          </w:p>
        </w:tc>
        <w:tc>
          <w:tcPr>
            <w:tcW w:w="1170" w:type="dxa"/>
            <w:shd w:val="clear" w:color="auto" w:fill="auto"/>
            <w:vAlign w:val="center"/>
          </w:tcPr>
          <w:p w:rsidR="009C2AAA" w:rsidRPr="00F7080F" w:rsidRDefault="009C2AAA" w:rsidP="00103CA5">
            <w:pPr>
              <w:autoSpaceDE w:val="0"/>
              <w:autoSpaceDN w:val="0"/>
              <w:adjustRightInd w:val="0"/>
              <w:jc w:val="center"/>
              <w:rPr>
                <w:u w:val="single"/>
              </w:rPr>
            </w:pPr>
            <w:r w:rsidRPr="00F7080F">
              <w:rPr>
                <w:u w:val="single"/>
              </w:rPr>
              <w:t>$1.02</w:t>
            </w:r>
          </w:p>
        </w:tc>
        <w:tc>
          <w:tcPr>
            <w:tcW w:w="1530" w:type="dxa"/>
            <w:vAlign w:val="center"/>
          </w:tcPr>
          <w:p w:rsidR="009C2AAA" w:rsidRPr="00F7080F" w:rsidRDefault="009C2AAA" w:rsidP="00103CA5">
            <w:pPr>
              <w:autoSpaceDE w:val="0"/>
              <w:autoSpaceDN w:val="0"/>
              <w:adjustRightInd w:val="0"/>
              <w:jc w:val="center"/>
              <w:rPr>
                <w:u w:val="single"/>
              </w:rPr>
            </w:pPr>
            <w:r w:rsidRPr="00F7080F">
              <w:rPr>
                <w:u w:val="single"/>
              </w:rPr>
              <w:t>$1.</w:t>
            </w:r>
            <w:r>
              <w:rPr>
                <w:u w:val="single"/>
              </w:rPr>
              <w:t>34</w:t>
            </w:r>
          </w:p>
        </w:tc>
        <w:tc>
          <w:tcPr>
            <w:tcW w:w="1620" w:type="dxa"/>
            <w:vAlign w:val="center"/>
          </w:tcPr>
          <w:p w:rsidR="009C2AAA" w:rsidRPr="00F7080F" w:rsidRDefault="009C2AAA" w:rsidP="00103CA5">
            <w:pPr>
              <w:autoSpaceDE w:val="0"/>
              <w:autoSpaceDN w:val="0"/>
              <w:adjustRightInd w:val="0"/>
              <w:jc w:val="center"/>
              <w:rPr>
                <w:u w:val="single"/>
              </w:rPr>
            </w:pPr>
            <w:r w:rsidRPr="00F7080F">
              <w:rPr>
                <w:u w:val="single"/>
              </w:rPr>
              <w:t>$1.</w:t>
            </w:r>
            <w:r>
              <w:rPr>
                <w:u w:val="single"/>
              </w:rPr>
              <w:t>34</w:t>
            </w:r>
          </w:p>
        </w:tc>
        <w:tc>
          <w:tcPr>
            <w:tcW w:w="1890" w:type="dxa"/>
            <w:shd w:val="clear" w:color="auto" w:fill="auto"/>
            <w:vAlign w:val="center"/>
          </w:tcPr>
          <w:p w:rsidR="009C2AAA" w:rsidRPr="00F7080F" w:rsidRDefault="009C2AAA" w:rsidP="00103CA5">
            <w:pPr>
              <w:autoSpaceDE w:val="0"/>
              <w:autoSpaceDN w:val="0"/>
              <w:adjustRightInd w:val="0"/>
              <w:jc w:val="center"/>
              <w:rPr>
                <w:u w:val="single"/>
              </w:rPr>
            </w:pPr>
            <w:r w:rsidRPr="00F7080F">
              <w:rPr>
                <w:u w:val="single"/>
              </w:rPr>
              <w:t>$1.</w:t>
            </w:r>
            <w:r>
              <w:rPr>
                <w:u w:val="single"/>
              </w:rPr>
              <w:t>34</w:t>
            </w:r>
          </w:p>
        </w:tc>
        <w:tc>
          <w:tcPr>
            <w:tcW w:w="1440" w:type="dxa"/>
            <w:vAlign w:val="center"/>
          </w:tcPr>
          <w:p w:rsidR="009C2AAA" w:rsidRPr="00F7080F" w:rsidRDefault="009C2AAA" w:rsidP="00103CA5">
            <w:pPr>
              <w:autoSpaceDE w:val="0"/>
              <w:autoSpaceDN w:val="0"/>
              <w:adjustRightInd w:val="0"/>
              <w:jc w:val="center"/>
              <w:rPr>
                <w:u w:val="single"/>
              </w:rPr>
            </w:pPr>
            <w:r w:rsidRPr="00F7080F">
              <w:rPr>
                <w:u w:val="single"/>
              </w:rPr>
              <w:t>$0</w:t>
            </w:r>
            <w:r>
              <w:rPr>
                <w:u w:val="single"/>
              </w:rPr>
              <w:t>.32</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Subtotal</w:t>
            </w:r>
          </w:p>
        </w:tc>
        <w:tc>
          <w:tcPr>
            <w:tcW w:w="1170" w:type="dxa"/>
            <w:shd w:val="clear" w:color="auto" w:fill="auto"/>
            <w:vAlign w:val="center"/>
          </w:tcPr>
          <w:p w:rsidR="009C2AAA" w:rsidRDefault="009C2AAA" w:rsidP="00103CA5">
            <w:pPr>
              <w:autoSpaceDE w:val="0"/>
              <w:autoSpaceDN w:val="0"/>
              <w:adjustRightInd w:val="0"/>
              <w:jc w:val="center"/>
            </w:pPr>
            <w:r>
              <w:t>$91.05</w:t>
            </w:r>
          </w:p>
        </w:tc>
        <w:tc>
          <w:tcPr>
            <w:tcW w:w="1530" w:type="dxa"/>
            <w:vAlign w:val="center"/>
          </w:tcPr>
          <w:p w:rsidR="009C2AAA" w:rsidRDefault="009C2AAA" w:rsidP="00103CA5">
            <w:pPr>
              <w:autoSpaceDE w:val="0"/>
              <w:autoSpaceDN w:val="0"/>
              <w:adjustRightInd w:val="0"/>
              <w:jc w:val="center"/>
            </w:pPr>
            <w:r>
              <w:t>$91.37</w:t>
            </w:r>
          </w:p>
        </w:tc>
        <w:tc>
          <w:tcPr>
            <w:tcW w:w="1620" w:type="dxa"/>
            <w:vAlign w:val="center"/>
          </w:tcPr>
          <w:p w:rsidR="009C2AAA" w:rsidRDefault="009C2AAA" w:rsidP="00103CA5">
            <w:pPr>
              <w:autoSpaceDE w:val="0"/>
              <w:autoSpaceDN w:val="0"/>
              <w:adjustRightInd w:val="0"/>
              <w:jc w:val="center"/>
            </w:pPr>
            <w:r>
              <w:t>$92.90</w:t>
            </w:r>
          </w:p>
        </w:tc>
        <w:tc>
          <w:tcPr>
            <w:tcW w:w="1890" w:type="dxa"/>
            <w:shd w:val="clear" w:color="auto" w:fill="auto"/>
            <w:vAlign w:val="center"/>
          </w:tcPr>
          <w:p w:rsidR="009C2AAA" w:rsidRPr="001A1CE2" w:rsidRDefault="009C2AAA" w:rsidP="00103CA5">
            <w:pPr>
              <w:autoSpaceDE w:val="0"/>
              <w:autoSpaceDN w:val="0"/>
              <w:adjustRightInd w:val="0"/>
              <w:jc w:val="center"/>
            </w:pPr>
            <w:r>
              <w:t>$89.44</w:t>
            </w:r>
          </w:p>
        </w:tc>
        <w:tc>
          <w:tcPr>
            <w:tcW w:w="1440" w:type="dxa"/>
            <w:vAlign w:val="center"/>
          </w:tcPr>
          <w:p w:rsidR="009C2AAA" w:rsidRPr="001A1CE2" w:rsidRDefault="009C2AAA" w:rsidP="00103CA5">
            <w:pPr>
              <w:autoSpaceDE w:val="0"/>
              <w:autoSpaceDN w:val="0"/>
              <w:adjustRightInd w:val="0"/>
              <w:jc w:val="center"/>
            </w:pPr>
            <w:r>
              <w:t>-$1.61</w:t>
            </w:r>
          </w:p>
        </w:tc>
      </w:tr>
      <w:tr w:rsidR="009C2AAA" w:rsidTr="00103CA5">
        <w:trPr>
          <w:trHeight w:val="562"/>
        </w:trPr>
        <w:tc>
          <w:tcPr>
            <w:tcW w:w="1710" w:type="dxa"/>
            <w:shd w:val="clear" w:color="auto" w:fill="auto"/>
            <w:vAlign w:val="center"/>
          </w:tcPr>
          <w:p w:rsidR="009C2AAA" w:rsidRDefault="009C2AAA" w:rsidP="00103CA5">
            <w:pPr>
              <w:autoSpaceDE w:val="0"/>
              <w:autoSpaceDN w:val="0"/>
              <w:adjustRightInd w:val="0"/>
              <w:jc w:val="center"/>
            </w:pPr>
            <w:r>
              <w:t>Gross Receipts Tax</w:t>
            </w:r>
          </w:p>
        </w:tc>
        <w:tc>
          <w:tcPr>
            <w:tcW w:w="1170" w:type="dxa"/>
            <w:shd w:val="clear" w:color="auto" w:fill="auto"/>
            <w:vAlign w:val="center"/>
          </w:tcPr>
          <w:p w:rsidR="009C2AAA" w:rsidRPr="00BE3779" w:rsidRDefault="009C2AAA" w:rsidP="00103CA5">
            <w:pPr>
              <w:autoSpaceDE w:val="0"/>
              <w:autoSpaceDN w:val="0"/>
              <w:adjustRightInd w:val="0"/>
              <w:jc w:val="center"/>
              <w:rPr>
                <w:u w:val="single"/>
              </w:rPr>
            </w:pPr>
            <w:r>
              <w:rPr>
                <w:u w:val="single"/>
              </w:rPr>
              <w:t>$2.33</w:t>
            </w:r>
          </w:p>
        </w:tc>
        <w:tc>
          <w:tcPr>
            <w:tcW w:w="1530" w:type="dxa"/>
            <w:vAlign w:val="center"/>
          </w:tcPr>
          <w:p w:rsidR="009C2AAA" w:rsidRPr="00BE3779" w:rsidRDefault="009C2AAA" w:rsidP="00103CA5">
            <w:pPr>
              <w:autoSpaceDE w:val="0"/>
              <w:autoSpaceDN w:val="0"/>
              <w:adjustRightInd w:val="0"/>
              <w:jc w:val="center"/>
              <w:rPr>
                <w:u w:val="single"/>
              </w:rPr>
            </w:pPr>
            <w:r>
              <w:rPr>
                <w:u w:val="single"/>
              </w:rPr>
              <w:t>$2.34</w:t>
            </w:r>
          </w:p>
        </w:tc>
        <w:tc>
          <w:tcPr>
            <w:tcW w:w="1620" w:type="dxa"/>
            <w:vAlign w:val="center"/>
          </w:tcPr>
          <w:p w:rsidR="009C2AAA" w:rsidRPr="00BE3779" w:rsidRDefault="009C2AAA" w:rsidP="00103CA5">
            <w:pPr>
              <w:autoSpaceDE w:val="0"/>
              <w:autoSpaceDN w:val="0"/>
              <w:adjustRightInd w:val="0"/>
              <w:jc w:val="center"/>
              <w:rPr>
                <w:u w:val="single"/>
              </w:rPr>
            </w:pPr>
            <w:r>
              <w:rPr>
                <w:u w:val="single"/>
              </w:rPr>
              <w:t>$2.38</w:t>
            </w:r>
          </w:p>
        </w:tc>
        <w:tc>
          <w:tcPr>
            <w:tcW w:w="1890" w:type="dxa"/>
            <w:shd w:val="clear" w:color="auto" w:fill="auto"/>
            <w:vAlign w:val="center"/>
          </w:tcPr>
          <w:p w:rsidR="009C2AAA" w:rsidRPr="001A1CE2" w:rsidRDefault="009C2AAA" w:rsidP="00103CA5">
            <w:pPr>
              <w:autoSpaceDE w:val="0"/>
              <w:autoSpaceDN w:val="0"/>
              <w:adjustRightInd w:val="0"/>
              <w:jc w:val="center"/>
              <w:rPr>
                <w:u w:val="single"/>
              </w:rPr>
            </w:pPr>
            <w:r>
              <w:rPr>
                <w:u w:val="single"/>
              </w:rPr>
              <w:t>$2.29</w:t>
            </w:r>
          </w:p>
        </w:tc>
        <w:tc>
          <w:tcPr>
            <w:tcW w:w="1440" w:type="dxa"/>
            <w:vAlign w:val="center"/>
          </w:tcPr>
          <w:p w:rsidR="009C2AAA" w:rsidRPr="001A1CE2" w:rsidRDefault="009C2AAA" w:rsidP="00103CA5">
            <w:pPr>
              <w:autoSpaceDE w:val="0"/>
              <w:autoSpaceDN w:val="0"/>
              <w:adjustRightInd w:val="0"/>
              <w:jc w:val="center"/>
              <w:rPr>
                <w:u w:val="single"/>
              </w:rPr>
            </w:pPr>
            <w:r>
              <w:rPr>
                <w:u w:val="single"/>
              </w:rPr>
              <w:t>-$0.04</w:t>
            </w:r>
          </w:p>
        </w:tc>
      </w:tr>
      <w:tr w:rsidR="009C2AAA" w:rsidTr="00103CA5">
        <w:trPr>
          <w:trHeight w:val="562"/>
        </w:trPr>
        <w:tc>
          <w:tcPr>
            <w:tcW w:w="1710" w:type="dxa"/>
            <w:shd w:val="clear" w:color="auto" w:fill="auto"/>
            <w:vAlign w:val="center"/>
          </w:tcPr>
          <w:p w:rsidR="009C2AAA" w:rsidRPr="003A3BE4" w:rsidRDefault="009C2AAA" w:rsidP="00103CA5">
            <w:pPr>
              <w:autoSpaceDE w:val="0"/>
              <w:autoSpaceDN w:val="0"/>
              <w:adjustRightInd w:val="0"/>
              <w:jc w:val="center"/>
              <w:rPr>
                <w:b/>
              </w:rPr>
            </w:pPr>
            <w:r w:rsidRPr="003A3BE4">
              <w:rPr>
                <w:b/>
              </w:rPr>
              <w:t>Total</w:t>
            </w:r>
            <w:r>
              <w:rPr>
                <w:b/>
              </w:rPr>
              <w:t>s</w:t>
            </w:r>
          </w:p>
        </w:tc>
        <w:tc>
          <w:tcPr>
            <w:tcW w:w="1170" w:type="dxa"/>
            <w:shd w:val="clear" w:color="auto" w:fill="auto"/>
            <w:vAlign w:val="center"/>
          </w:tcPr>
          <w:p w:rsidR="009C2AAA" w:rsidRPr="003A3BE4" w:rsidRDefault="009C2AAA" w:rsidP="00103CA5">
            <w:pPr>
              <w:autoSpaceDE w:val="0"/>
              <w:autoSpaceDN w:val="0"/>
              <w:adjustRightInd w:val="0"/>
              <w:jc w:val="center"/>
              <w:rPr>
                <w:b/>
                <w:u w:val="double"/>
              </w:rPr>
            </w:pPr>
            <w:r>
              <w:rPr>
                <w:b/>
                <w:u w:val="double"/>
              </w:rPr>
              <w:t>$93.38</w:t>
            </w:r>
          </w:p>
        </w:tc>
        <w:tc>
          <w:tcPr>
            <w:tcW w:w="1530" w:type="dxa"/>
            <w:vAlign w:val="center"/>
          </w:tcPr>
          <w:p w:rsidR="009C2AAA" w:rsidRPr="002931B3" w:rsidRDefault="009C2AAA" w:rsidP="00103CA5">
            <w:pPr>
              <w:autoSpaceDE w:val="0"/>
              <w:autoSpaceDN w:val="0"/>
              <w:adjustRightInd w:val="0"/>
              <w:jc w:val="center"/>
              <w:rPr>
                <w:b/>
                <w:u w:val="double"/>
              </w:rPr>
            </w:pPr>
            <w:r w:rsidRPr="002931B3">
              <w:rPr>
                <w:b/>
                <w:u w:val="double"/>
              </w:rPr>
              <w:t>$93.71</w:t>
            </w:r>
          </w:p>
        </w:tc>
        <w:tc>
          <w:tcPr>
            <w:tcW w:w="1620" w:type="dxa"/>
            <w:vAlign w:val="center"/>
          </w:tcPr>
          <w:p w:rsidR="009C2AAA" w:rsidRPr="002931B3" w:rsidRDefault="009C2AAA" w:rsidP="00103CA5">
            <w:pPr>
              <w:autoSpaceDE w:val="0"/>
              <w:autoSpaceDN w:val="0"/>
              <w:adjustRightInd w:val="0"/>
              <w:jc w:val="center"/>
              <w:rPr>
                <w:b/>
                <w:u w:val="double"/>
              </w:rPr>
            </w:pPr>
            <w:r w:rsidRPr="002931B3">
              <w:rPr>
                <w:b/>
                <w:u w:val="double"/>
              </w:rPr>
              <w:t>$95.28</w:t>
            </w:r>
          </w:p>
        </w:tc>
        <w:tc>
          <w:tcPr>
            <w:tcW w:w="1890" w:type="dxa"/>
            <w:shd w:val="clear" w:color="auto" w:fill="auto"/>
            <w:vAlign w:val="center"/>
          </w:tcPr>
          <w:p w:rsidR="009C2AAA" w:rsidRPr="001A1CE2" w:rsidRDefault="009C2AAA" w:rsidP="00103CA5">
            <w:pPr>
              <w:autoSpaceDE w:val="0"/>
              <w:autoSpaceDN w:val="0"/>
              <w:adjustRightInd w:val="0"/>
              <w:jc w:val="center"/>
              <w:rPr>
                <w:b/>
                <w:u w:val="double"/>
              </w:rPr>
            </w:pPr>
            <w:r>
              <w:rPr>
                <w:b/>
                <w:u w:val="double"/>
              </w:rPr>
              <w:t>$91.73</w:t>
            </w:r>
          </w:p>
        </w:tc>
        <w:tc>
          <w:tcPr>
            <w:tcW w:w="1440" w:type="dxa"/>
            <w:vAlign w:val="center"/>
          </w:tcPr>
          <w:p w:rsidR="009C2AAA" w:rsidRPr="001A1CE2" w:rsidRDefault="009C2AAA" w:rsidP="00103CA5">
            <w:pPr>
              <w:autoSpaceDE w:val="0"/>
              <w:autoSpaceDN w:val="0"/>
              <w:adjustRightInd w:val="0"/>
              <w:jc w:val="center"/>
              <w:rPr>
                <w:b/>
                <w:u w:val="double"/>
              </w:rPr>
            </w:pPr>
            <w:r>
              <w:rPr>
                <w:b/>
                <w:u w:val="double"/>
              </w:rPr>
              <w:t>-$1.65</w:t>
            </w:r>
          </w:p>
        </w:tc>
      </w:tr>
    </w:tbl>
    <w:p w:rsidR="009C2AAA" w:rsidRDefault="009C2AAA" w:rsidP="009C2AAA">
      <w:pPr>
        <w:pStyle w:val="BodyText"/>
        <w:jc w:val="center"/>
      </w:pPr>
    </w:p>
    <w:p w:rsidR="009C2AAA" w:rsidRDefault="009C2AAA" w:rsidP="00F018D3">
      <w:pPr>
        <w:pStyle w:val="OrderBody"/>
        <w:sectPr w:rsidR="009C2AAA" w:rsidSect="00F018D3">
          <w:headerReference w:type="default" r:id="rId11"/>
          <w:pgSz w:w="12240" w:h="15840" w:code="1"/>
          <w:pgMar w:top="1440" w:right="1440" w:bottom="1440" w:left="1440" w:header="720" w:footer="720" w:gutter="0"/>
          <w:cols w:space="720"/>
          <w:docGrid w:linePitch="360"/>
        </w:sectPr>
      </w:pPr>
    </w:p>
    <w:p w:rsidR="009C2AAA" w:rsidRDefault="009C2AAA" w:rsidP="00F018D3">
      <w:pPr>
        <w:pStyle w:val="OrderBody"/>
      </w:pPr>
      <w:r>
        <w:rPr>
          <w:noProof/>
        </w:rPr>
        <w:lastRenderedPageBreak/>
        <w:drawing>
          <wp:inline distT="0" distB="0" distL="0" distR="0" wp14:anchorId="320DB336" wp14:editId="52A0DDB5">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56E5F69" wp14:editId="464EF8C4">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9C2AAA" w:rsidRDefault="009C2AAA" w:rsidP="00F018D3">
      <w:pPr>
        <w:pStyle w:val="OrderBody"/>
        <w:sectPr w:rsidR="009C2AAA" w:rsidSect="00F018D3">
          <w:headerReference w:type="default" r:id="rId14"/>
          <w:pgSz w:w="12240" w:h="15840" w:code="1"/>
          <w:pgMar w:top="1440" w:right="1440" w:bottom="1440" w:left="1440" w:header="720" w:footer="720" w:gutter="0"/>
          <w:cols w:space="720"/>
          <w:docGrid w:linePitch="360"/>
        </w:sectPr>
      </w:pPr>
    </w:p>
    <w:p w:rsidR="009C2AAA" w:rsidRDefault="009C2AAA" w:rsidP="009C2AAA">
      <w:pPr>
        <w:keepNext/>
        <w:keepLines/>
        <w:ind w:left="720" w:hanging="720"/>
        <w:jc w:val="both"/>
      </w:pPr>
    </w:p>
    <w:tbl>
      <w:tblPr>
        <w:tblStyle w:val="TableGrid"/>
        <w:tblW w:w="0" w:type="auto"/>
        <w:tblLook w:val="04A0" w:firstRow="1" w:lastRow="0" w:firstColumn="1" w:lastColumn="0" w:noHBand="0" w:noVBand="1"/>
      </w:tblPr>
      <w:tblGrid>
        <w:gridCol w:w="1638"/>
        <w:gridCol w:w="1710"/>
        <w:gridCol w:w="1310"/>
        <w:gridCol w:w="1187"/>
        <w:gridCol w:w="1152"/>
        <w:gridCol w:w="1238"/>
        <w:gridCol w:w="1341"/>
      </w:tblGrid>
      <w:tr w:rsidR="009C2AAA" w:rsidTr="00103CA5">
        <w:tc>
          <w:tcPr>
            <w:tcW w:w="9576" w:type="dxa"/>
            <w:gridSpan w:val="7"/>
          </w:tcPr>
          <w:p w:rsidR="009C2AAA" w:rsidRDefault="009C2AAA" w:rsidP="00103CA5">
            <w:pPr>
              <w:autoSpaceDE w:val="0"/>
              <w:autoSpaceDN w:val="0"/>
              <w:adjustRightInd w:val="0"/>
              <w:jc w:val="center"/>
              <w:rPr>
                <w:b/>
              </w:rPr>
            </w:pPr>
            <w:r>
              <w:rPr>
                <w:b/>
              </w:rPr>
              <w:t>DEF’s Mid-Course Correction</w:t>
            </w:r>
          </w:p>
          <w:p w:rsidR="009C2AAA" w:rsidRDefault="009C2AAA" w:rsidP="00103CA5">
            <w:pPr>
              <w:autoSpaceDE w:val="0"/>
              <w:autoSpaceDN w:val="0"/>
              <w:adjustRightInd w:val="0"/>
              <w:jc w:val="center"/>
              <w:rPr>
                <w:b/>
              </w:rPr>
            </w:pPr>
            <w:r>
              <w:rPr>
                <w:b/>
              </w:rPr>
              <w:t xml:space="preserve">Fuel and Capacity Cost </w:t>
            </w:r>
            <w:r w:rsidRPr="006E294A">
              <w:rPr>
                <w:b/>
              </w:rPr>
              <w:t>Recovery Factors</w:t>
            </w:r>
          </w:p>
          <w:p w:rsidR="009C2AAA" w:rsidRPr="00EC60CB" w:rsidRDefault="009C2AAA" w:rsidP="00103CA5">
            <w:pPr>
              <w:jc w:val="center"/>
            </w:pPr>
            <w:r>
              <w:rPr>
                <w:b/>
              </w:rPr>
              <w:t>April 2016 – December 2016</w:t>
            </w:r>
          </w:p>
        </w:tc>
      </w:tr>
      <w:tr w:rsidR="009C2AAA" w:rsidTr="00103CA5">
        <w:tc>
          <w:tcPr>
            <w:tcW w:w="9576" w:type="dxa"/>
            <w:gridSpan w:val="7"/>
          </w:tcPr>
          <w:p w:rsidR="009C2AAA" w:rsidRDefault="009C2AAA" w:rsidP="00103CA5">
            <w:pPr>
              <w:jc w:val="center"/>
            </w:pPr>
            <w:r>
              <w:t>Cost Recovery Factors</w:t>
            </w:r>
          </w:p>
        </w:tc>
      </w:tr>
      <w:tr w:rsidR="009C2AAA" w:rsidTr="00103CA5">
        <w:tc>
          <w:tcPr>
            <w:tcW w:w="1638" w:type="dxa"/>
            <w:vMerge w:val="restart"/>
            <w:shd w:val="clear" w:color="auto" w:fill="C4BC96" w:themeFill="background2" w:themeFillShade="BF"/>
            <w:vAlign w:val="center"/>
          </w:tcPr>
          <w:p w:rsidR="009C2AAA" w:rsidRPr="00EC60CB" w:rsidRDefault="009C2AAA" w:rsidP="00103CA5">
            <w:pPr>
              <w:keepNext/>
              <w:keepLines/>
              <w:jc w:val="center"/>
            </w:pPr>
            <w:r>
              <w:t>Rate Schedule</w:t>
            </w:r>
          </w:p>
        </w:tc>
        <w:tc>
          <w:tcPr>
            <w:tcW w:w="1710" w:type="dxa"/>
            <w:vMerge w:val="restart"/>
            <w:shd w:val="clear" w:color="auto" w:fill="C4BC96" w:themeFill="background2" w:themeFillShade="BF"/>
            <w:vAlign w:val="center"/>
          </w:tcPr>
          <w:p w:rsidR="009C2AAA" w:rsidRPr="00EC60CB" w:rsidRDefault="009C2AAA" w:rsidP="00103CA5">
            <w:pPr>
              <w:keepNext/>
              <w:keepLines/>
              <w:jc w:val="center"/>
            </w:pPr>
            <w:r w:rsidRPr="00EC60CB">
              <w:t>Delivery</w:t>
            </w:r>
          </w:p>
          <w:p w:rsidR="009C2AAA" w:rsidRPr="00EC60CB" w:rsidRDefault="009C2AAA" w:rsidP="00103CA5">
            <w:pPr>
              <w:keepNext/>
              <w:keepLines/>
              <w:jc w:val="center"/>
            </w:pPr>
            <w:r w:rsidRPr="00EC60CB">
              <w:t>Voltage Level</w:t>
            </w:r>
          </w:p>
        </w:tc>
        <w:tc>
          <w:tcPr>
            <w:tcW w:w="3649" w:type="dxa"/>
            <w:gridSpan w:val="3"/>
            <w:shd w:val="clear" w:color="auto" w:fill="C4BC96" w:themeFill="background2" w:themeFillShade="BF"/>
            <w:vAlign w:val="center"/>
          </w:tcPr>
          <w:p w:rsidR="009C2AAA" w:rsidRPr="00EC60CB" w:rsidRDefault="009C2AAA" w:rsidP="00103CA5">
            <w:pPr>
              <w:keepNext/>
              <w:keepLines/>
              <w:jc w:val="center"/>
            </w:pPr>
            <w:r>
              <w:t>Fuel Cost Recovery</w:t>
            </w:r>
          </w:p>
        </w:tc>
        <w:tc>
          <w:tcPr>
            <w:tcW w:w="2579" w:type="dxa"/>
            <w:gridSpan w:val="2"/>
            <w:shd w:val="clear" w:color="auto" w:fill="C4BC96" w:themeFill="background2" w:themeFillShade="BF"/>
            <w:vAlign w:val="center"/>
          </w:tcPr>
          <w:p w:rsidR="009C2AAA" w:rsidRPr="00EC60CB" w:rsidRDefault="009C2AAA" w:rsidP="00103CA5">
            <w:pPr>
              <w:keepNext/>
              <w:keepLines/>
              <w:jc w:val="center"/>
            </w:pPr>
            <w:r>
              <w:t>Capacity Cost Recovery</w:t>
            </w:r>
          </w:p>
        </w:tc>
      </w:tr>
      <w:tr w:rsidR="009C2AAA" w:rsidTr="00103CA5">
        <w:tc>
          <w:tcPr>
            <w:tcW w:w="1638" w:type="dxa"/>
            <w:vMerge/>
            <w:shd w:val="clear" w:color="auto" w:fill="C4BC96" w:themeFill="background2" w:themeFillShade="BF"/>
            <w:vAlign w:val="center"/>
          </w:tcPr>
          <w:p w:rsidR="009C2AAA" w:rsidRDefault="009C2AAA" w:rsidP="00103CA5">
            <w:pPr>
              <w:keepNext/>
              <w:keepLines/>
              <w:jc w:val="center"/>
            </w:pPr>
          </w:p>
        </w:tc>
        <w:tc>
          <w:tcPr>
            <w:tcW w:w="1710" w:type="dxa"/>
            <w:vMerge/>
            <w:shd w:val="clear" w:color="auto" w:fill="C4BC96" w:themeFill="background2" w:themeFillShade="BF"/>
            <w:vAlign w:val="center"/>
          </w:tcPr>
          <w:p w:rsidR="009C2AAA" w:rsidRPr="00EC60CB" w:rsidRDefault="009C2AAA" w:rsidP="00103CA5">
            <w:pPr>
              <w:keepNext/>
              <w:keepLines/>
              <w:jc w:val="center"/>
            </w:pPr>
          </w:p>
        </w:tc>
        <w:tc>
          <w:tcPr>
            <w:tcW w:w="1310" w:type="dxa"/>
            <w:shd w:val="clear" w:color="auto" w:fill="C4BC96" w:themeFill="background2" w:themeFillShade="BF"/>
            <w:vAlign w:val="center"/>
          </w:tcPr>
          <w:p w:rsidR="009C2AAA" w:rsidRPr="00EC60CB" w:rsidRDefault="009C2AAA" w:rsidP="00103CA5">
            <w:pPr>
              <w:keepNext/>
              <w:keepLines/>
              <w:jc w:val="center"/>
            </w:pPr>
            <w:proofErr w:type="spellStart"/>
            <w:r>
              <w:t>Levelized</w:t>
            </w:r>
            <w:proofErr w:type="spellEnd"/>
            <w:r>
              <w:t xml:space="preserve"> (c/ kWh)</w:t>
            </w:r>
          </w:p>
        </w:tc>
        <w:tc>
          <w:tcPr>
            <w:tcW w:w="1187" w:type="dxa"/>
            <w:shd w:val="clear" w:color="auto" w:fill="C4BC96" w:themeFill="background2" w:themeFillShade="BF"/>
            <w:vAlign w:val="center"/>
          </w:tcPr>
          <w:p w:rsidR="009C2AAA" w:rsidRPr="00EC60CB" w:rsidRDefault="009C2AAA" w:rsidP="00103CA5">
            <w:pPr>
              <w:keepNext/>
              <w:keepLines/>
              <w:jc w:val="center"/>
            </w:pPr>
            <w:r>
              <w:t>On-Peak (c/ kWh)</w:t>
            </w:r>
          </w:p>
        </w:tc>
        <w:tc>
          <w:tcPr>
            <w:tcW w:w="1152" w:type="dxa"/>
            <w:shd w:val="clear" w:color="auto" w:fill="C4BC96" w:themeFill="background2" w:themeFillShade="BF"/>
            <w:vAlign w:val="center"/>
          </w:tcPr>
          <w:p w:rsidR="009C2AAA" w:rsidRPr="00EC60CB" w:rsidRDefault="009C2AAA" w:rsidP="00103CA5">
            <w:pPr>
              <w:keepNext/>
              <w:keepLines/>
              <w:jc w:val="center"/>
            </w:pPr>
            <w:r>
              <w:t>Off</w:t>
            </w:r>
            <w:r w:rsidRPr="00EC60CB">
              <w:t>-Peak</w:t>
            </w:r>
            <w:r>
              <w:t xml:space="preserve"> (c/ kWh)</w:t>
            </w:r>
          </w:p>
        </w:tc>
        <w:tc>
          <w:tcPr>
            <w:tcW w:w="1238" w:type="dxa"/>
            <w:shd w:val="clear" w:color="auto" w:fill="C4BC96" w:themeFill="background2" w:themeFillShade="BF"/>
            <w:vAlign w:val="center"/>
          </w:tcPr>
          <w:p w:rsidR="009C2AAA" w:rsidRDefault="009C2AAA" w:rsidP="00103CA5">
            <w:pPr>
              <w:keepNext/>
              <w:keepLines/>
              <w:jc w:val="center"/>
            </w:pPr>
            <w:r>
              <w:t>(c/ kWh)</w:t>
            </w:r>
          </w:p>
        </w:tc>
        <w:tc>
          <w:tcPr>
            <w:tcW w:w="1341" w:type="dxa"/>
            <w:shd w:val="clear" w:color="auto" w:fill="C4BC96" w:themeFill="background2" w:themeFillShade="BF"/>
            <w:vAlign w:val="center"/>
          </w:tcPr>
          <w:p w:rsidR="009C2AAA" w:rsidRDefault="009C2AAA" w:rsidP="00103CA5">
            <w:pPr>
              <w:keepNext/>
              <w:keepLines/>
              <w:jc w:val="center"/>
            </w:pPr>
            <w:r>
              <w:t>($/ kW)</w:t>
            </w:r>
          </w:p>
        </w:tc>
      </w:tr>
      <w:tr w:rsidR="009C2AAA" w:rsidTr="00103CA5">
        <w:tc>
          <w:tcPr>
            <w:tcW w:w="1638" w:type="dxa"/>
            <w:vAlign w:val="center"/>
          </w:tcPr>
          <w:p w:rsidR="009C2AAA" w:rsidRPr="00EC60CB" w:rsidRDefault="009C2AAA" w:rsidP="00103CA5">
            <w:pPr>
              <w:jc w:val="center"/>
            </w:pPr>
            <w:r w:rsidRPr="00EC60CB">
              <w:t>RS-1, RST-1, RSL-1, RSL-2, RSS-1</w:t>
            </w:r>
          </w:p>
        </w:tc>
        <w:tc>
          <w:tcPr>
            <w:tcW w:w="1710" w:type="dxa"/>
            <w:vMerge w:val="restart"/>
            <w:vAlign w:val="center"/>
          </w:tcPr>
          <w:p w:rsidR="009C2AAA" w:rsidRPr="00EC60CB" w:rsidRDefault="009C2AAA" w:rsidP="00103CA5">
            <w:pPr>
              <w:jc w:val="center"/>
            </w:pPr>
            <w:r w:rsidRPr="00EC60CB">
              <w:t xml:space="preserve"> Secondary</w:t>
            </w:r>
          </w:p>
        </w:tc>
        <w:tc>
          <w:tcPr>
            <w:tcW w:w="1310" w:type="dxa"/>
            <w:shd w:val="clear" w:color="auto" w:fill="F2F2F2" w:themeFill="background1" w:themeFillShade="F2"/>
            <w:vAlign w:val="center"/>
          </w:tcPr>
          <w:p w:rsidR="009C2AAA" w:rsidRPr="00EC60CB" w:rsidRDefault="009C2AAA" w:rsidP="00103CA5">
            <w:pPr>
              <w:jc w:val="center"/>
            </w:pPr>
          </w:p>
        </w:tc>
        <w:tc>
          <w:tcPr>
            <w:tcW w:w="1187" w:type="dxa"/>
            <w:vAlign w:val="center"/>
          </w:tcPr>
          <w:p w:rsidR="009C2AAA" w:rsidRPr="00EC60CB" w:rsidRDefault="009C2AAA" w:rsidP="00103CA5">
            <w:pPr>
              <w:jc w:val="center"/>
            </w:pPr>
            <w:r>
              <w:t>3.854</w:t>
            </w:r>
          </w:p>
        </w:tc>
        <w:tc>
          <w:tcPr>
            <w:tcW w:w="1152" w:type="dxa"/>
            <w:vAlign w:val="center"/>
          </w:tcPr>
          <w:p w:rsidR="009C2AAA" w:rsidRPr="00EC60CB" w:rsidRDefault="009C2AAA" w:rsidP="00103CA5">
            <w:pPr>
              <w:jc w:val="center"/>
            </w:pPr>
            <w:r>
              <w:t>2.537</w:t>
            </w:r>
          </w:p>
        </w:tc>
        <w:tc>
          <w:tcPr>
            <w:tcW w:w="1238" w:type="dxa"/>
            <w:vAlign w:val="center"/>
          </w:tcPr>
          <w:p w:rsidR="009C2AAA" w:rsidRPr="00EC60CB" w:rsidRDefault="009C2AAA" w:rsidP="00103CA5">
            <w:pPr>
              <w:jc w:val="center"/>
            </w:pPr>
            <w:r>
              <w:t>1.523</w:t>
            </w:r>
          </w:p>
        </w:tc>
        <w:tc>
          <w:tcPr>
            <w:tcW w:w="1341" w:type="dxa"/>
            <w:shd w:val="clear" w:color="auto" w:fill="F2F2F2" w:themeFill="background1" w:themeFillShade="F2"/>
            <w:vAlign w:val="center"/>
          </w:tcPr>
          <w:p w:rsidR="009C2AAA" w:rsidRPr="00EC60CB" w:rsidRDefault="009C2AAA" w:rsidP="00103CA5">
            <w:pPr>
              <w:jc w:val="center"/>
            </w:pPr>
          </w:p>
        </w:tc>
      </w:tr>
      <w:tr w:rsidR="009C2AAA" w:rsidTr="00103CA5">
        <w:tc>
          <w:tcPr>
            <w:tcW w:w="1638" w:type="dxa"/>
            <w:vAlign w:val="center"/>
          </w:tcPr>
          <w:p w:rsidR="009C2AAA" w:rsidRPr="00EC60CB" w:rsidRDefault="009C2AAA" w:rsidP="00103CA5">
            <w:pPr>
              <w:jc w:val="center"/>
            </w:pPr>
            <w:r>
              <w:t>&lt; 1,000</w:t>
            </w:r>
          </w:p>
        </w:tc>
        <w:tc>
          <w:tcPr>
            <w:tcW w:w="1710" w:type="dxa"/>
            <w:vMerge/>
            <w:vAlign w:val="center"/>
          </w:tcPr>
          <w:p w:rsidR="009C2AAA" w:rsidRPr="00EC60CB" w:rsidRDefault="009C2AAA" w:rsidP="00103CA5">
            <w:pPr>
              <w:jc w:val="center"/>
            </w:pPr>
          </w:p>
        </w:tc>
        <w:tc>
          <w:tcPr>
            <w:tcW w:w="1310" w:type="dxa"/>
            <w:vAlign w:val="center"/>
          </w:tcPr>
          <w:p w:rsidR="009C2AAA" w:rsidRPr="00EC60CB" w:rsidRDefault="009C2AAA" w:rsidP="00103CA5">
            <w:pPr>
              <w:jc w:val="center"/>
            </w:pPr>
            <w:r>
              <w:t>2.679</w:t>
            </w:r>
          </w:p>
        </w:tc>
        <w:tc>
          <w:tcPr>
            <w:tcW w:w="4918" w:type="dxa"/>
            <w:gridSpan w:val="4"/>
            <w:vMerge w:val="restart"/>
            <w:shd w:val="clear" w:color="auto" w:fill="F2F2F2" w:themeFill="background1" w:themeFillShade="F2"/>
          </w:tcPr>
          <w:p w:rsidR="009C2AAA" w:rsidRDefault="009C2AAA" w:rsidP="00103CA5">
            <w:pPr>
              <w:jc w:val="center"/>
            </w:pPr>
          </w:p>
        </w:tc>
      </w:tr>
      <w:tr w:rsidR="009C2AAA" w:rsidTr="00103CA5">
        <w:tc>
          <w:tcPr>
            <w:tcW w:w="1638" w:type="dxa"/>
            <w:vAlign w:val="center"/>
          </w:tcPr>
          <w:p w:rsidR="009C2AAA" w:rsidRPr="00EC60CB" w:rsidRDefault="009C2AAA" w:rsidP="00103CA5">
            <w:pPr>
              <w:jc w:val="center"/>
            </w:pPr>
            <w:r>
              <w:t>&gt; 1,000</w:t>
            </w:r>
          </w:p>
        </w:tc>
        <w:tc>
          <w:tcPr>
            <w:tcW w:w="1710" w:type="dxa"/>
            <w:vMerge/>
            <w:vAlign w:val="center"/>
          </w:tcPr>
          <w:p w:rsidR="009C2AAA" w:rsidRPr="00EC60CB" w:rsidRDefault="009C2AAA" w:rsidP="00103CA5">
            <w:pPr>
              <w:jc w:val="center"/>
            </w:pPr>
          </w:p>
        </w:tc>
        <w:tc>
          <w:tcPr>
            <w:tcW w:w="1310" w:type="dxa"/>
            <w:vAlign w:val="center"/>
          </w:tcPr>
          <w:p w:rsidR="009C2AAA" w:rsidRPr="00EC60CB" w:rsidRDefault="009C2AAA" w:rsidP="00103CA5">
            <w:pPr>
              <w:jc w:val="center"/>
            </w:pPr>
            <w:r>
              <w:t>3.679</w:t>
            </w:r>
          </w:p>
        </w:tc>
        <w:tc>
          <w:tcPr>
            <w:tcW w:w="4918" w:type="dxa"/>
            <w:gridSpan w:val="4"/>
            <w:vMerge/>
            <w:shd w:val="clear" w:color="auto" w:fill="F2F2F2" w:themeFill="background1" w:themeFillShade="F2"/>
          </w:tcPr>
          <w:p w:rsidR="009C2AAA" w:rsidRDefault="009C2AAA" w:rsidP="00103CA5">
            <w:pPr>
              <w:jc w:val="center"/>
            </w:pPr>
          </w:p>
        </w:tc>
      </w:tr>
      <w:tr w:rsidR="009C2AAA" w:rsidTr="00103CA5">
        <w:tc>
          <w:tcPr>
            <w:tcW w:w="1638" w:type="dxa"/>
            <w:vMerge w:val="restart"/>
            <w:vAlign w:val="center"/>
          </w:tcPr>
          <w:p w:rsidR="009C2AAA" w:rsidRPr="00EC60CB" w:rsidRDefault="009C2AAA" w:rsidP="00103CA5">
            <w:pPr>
              <w:jc w:val="center"/>
            </w:pPr>
            <w:r>
              <w:t>GS-1, GST-1</w:t>
            </w:r>
          </w:p>
        </w:tc>
        <w:tc>
          <w:tcPr>
            <w:tcW w:w="1710" w:type="dxa"/>
            <w:vAlign w:val="center"/>
          </w:tcPr>
          <w:p w:rsidR="009C2AAA" w:rsidRPr="00EC60CB" w:rsidRDefault="009C2AAA" w:rsidP="00103CA5">
            <w:pPr>
              <w:jc w:val="center"/>
            </w:pPr>
            <w:r w:rsidRPr="00EC60CB">
              <w:t>Secondary</w:t>
            </w:r>
          </w:p>
        </w:tc>
        <w:tc>
          <w:tcPr>
            <w:tcW w:w="1310" w:type="dxa"/>
            <w:vAlign w:val="center"/>
          </w:tcPr>
          <w:p w:rsidR="009C2AAA" w:rsidRPr="00EC60CB" w:rsidRDefault="009C2AAA" w:rsidP="00103CA5">
            <w:pPr>
              <w:jc w:val="center"/>
            </w:pPr>
            <w:r>
              <w:t>2.973</w:t>
            </w:r>
          </w:p>
        </w:tc>
        <w:tc>
          <w:tcPr>
            <w:tcW w:w="1187" w:type="dxa"/>
            <w:vAlign w:val="center"/>
          </w:tcPr>
          <w:p w:rsidR="009C2AAA" w:rsidRPr="00EC60CB" w:rsidRDefault="009C2AAA" w:rsidP="00103CA5">
            <w:pPr>
              <w:jc w:val="center"/>
            </w:pPr>
            <w:r>
              <w:t>3.871</w:t>
            </w:r>
          </w:p>
        </w:tc>
        <w:tc>
          <w:tcPr>
            <w:tcW w:w="1152" w:type="dxa"/>
            <w:vAlign w:val="center"/>
          </w:tcPr>
          <w:p w:rsidR="009C2AAA" w:rsidRPr="00EC60CB" w:rsidRDefault="009C2AAA" w:rsidP="00103CA5">
            <w:pPr>
              <w:jc w:val="center"/>
            </w:pPr>
            <w:r>
              <w:t>2.548</w:t>
            </w:r>
          </w:p>
        </w:tc>
        <w:tc>
          <w:tcPr>
            <w:tcW w:w="1238" w:type="dxa"/>
          </w:tcPr>
          <w:p w:rsidR="009C2AAA" w:rsidRDefault="009C2AAA" w:rsidP="00103CA5">
            <w:pPr>
              <w:autoSpaceDE w:val="0"/>
              <w:autoSpaceDN w:val="0"/>
              <w:adjustRightInd w:val="0"/>
              <w:jc w:val="center"/>
              <w:rPr>
                <w:bCs/>
              </w:rPr>
            </w:pPr>
            <w:r>
              <w:rPr>
                <w:bCs/>
              </w:rPr>
              <w:t>1.171</w:t>
            </w:r>
          </w:p>
        </w:tc>
        <w:tc>
          <w:tcPr>
            <w:tcW w:w="1341" w:type="dxa"/>
            <w:vMerge w:val="restart"/>
            <w:shd w:val="clear" w:color="auto" w:fill="F2F2F2" w:themeFill="background1" w:themeFillShade="F2"/>
            <w:vAlign w:val="center"/>
          </w:tcPr>
          <w:p w:rsidR="009C2AAA" w:rsidRPr="00EC60CB" w:rsidRDefault="009C2AAA" w:rsidP="00103CA5">
            <w:pPr>
              <w:jc w:val="center"/>
            </w:pPr>
          </w:p>
        </w:tc>
      </w:tr>
      <w:tr w:rsidR="009C2AAA" w:rsidTr="00103CA5">
        <w:tc>
          <w:tcPr>
            <w:tcW w:w="1638" w:type="dxa"/>
            <w:vMerge/>
            <w:vAlign w:val="center"/>
          </w:tcPr>
          <w:p w:rsidR="009C2AAA" w:rsidRPr="00EC60CB" w:rsidRDefault="009C2AAA" w:rsidP="00103CA5">
            <w:pPr>
              <w:jc w:val="center"/>
            </w:pPr>
          </w:p>
        </w:tc>
        <w:tc>
          <w:tcPr>
            <w:tcW w:w="1710" w:type="dxa"/>
            <w:vAlign w:val="center"/>
          </w:tcPr>
          <w:p w:rsidR="009C2AAA" w:rsidRPr="00EC60CB" w:rsidRDefault="009C2AAA" w:rsidP="00103CA5">
            <w:pPr>
              <w:jc w:val="center"/>
            </w:pPr>
            <w:r w:rsidRPr="00EC60CB">
              <w:t>Primary</w:t>
            </w:r>
          </w:p>
        </w:tc>
        <w:tc>
          <w:tcPr>
            <w:tcW w:w="1310" w:type="dxa"/>
            <w:vAlign w:val="center"/>
          </w:tcPr>
          <w:p w:rsidR="009C2AAA" w:rsidRPr="00EC60CB" w:rsidRDefault="009C2AAA" w:rsidP="00103CA5">
            <w:pPr>
              <w:jc w:val="center"/>
            </w:pPr>
            <w:r>
              <w:t>2.943</w:t>
            </w:r>
          </w:p>
        </w:tc>
        <w:tc>
          <w:tcPr>
            <w:tcW w:w="1187" w:type="dxa"/>
            <w:vAlign w:val="center"/>
          </w:tcPr>
          <w:p w:rsidR="009C2AAA" w:rsidRPr="00EC60CB" w:rsidRDefault="009C2AAA" w:rsidP="00103CA5">
            <w:pPr>
              <w:jc w:val="center"/>
            </w:pPr>
            <w:r>
              <w:t>3.832</w:t>
            </w:r>
          </w:p>
        </w:tc>
        <w:tc>
          <w:tcPr>
            <w:tcW w:w="1152" w:type="dxa"/>
            <w:vAlign w:val="center"/>
          </w:tcPr>
          <w:p w:rsidR="009C2AAA" w:rsidRPr="00EC60CB" w:rsidRDefault="009C2AAA" w:rsidP="00103CA5">
            <w:pPr>
              <w:jc w:val="center"/>
            </w:pPr>
            <w:r>
              <w:t>2.522</w:t>
            </w:r>
          </w:p>
        </w:tc>
        <w:tc>
          <w:tcPr>
            <w:tcW w:w="1238" w:type="dxa"/>
          </w:tcPr>
          <w:p w:rsidR="009C2AAA" w:rsidRDefault="009C2AAA" w:rsidP="00103CA5">
            <w:pPr>
              <w:autoSpaceDE w:val="0"/>
              <w:autoSpaceDN w:val="0"/>
              <w:adjustRightInd w:val="0"/>
              <w:jc w:val="center"/>
              <w:rPr>
                <w:bCs/>
              </w:rPr>
            </w:pPr>
            <w:r>
              <w:rPr>
                <w:bCs/>
              </w:rPr>
              <w:t>1.159</w:t>
            </w:r>
          </w:p>
        </w:tc>
        <w:tc>
          <w:tcPr>
            <w:tcW w:w="1341" w:type="dxa"/>
            <w:vMerge/>
            <w:shd w:val="clear" w:color="auto" w:fill="F2F2F2" w:themeFill="background1" w:themeFillShade="F2"/>
            <w:vAlign w:val="center"/>
          </w:tcPr>
          <w:p w:rsidR="009C2AAA" w:rsidRPr="00EC60CB" w:rsidRDefault="009C2AAA" w:rsidP="00103CA5">
            <w:pPr>
              <w:jc w:val="center"/>
            </w:pPr>
          </w:p>
        </w:tc>
      </w:tr>
      <w:tr w:rsidR="009C2AAA" w:rsidTr="00103CA5">
        <w:tc>
          <w:tcPr>
            <w:tcW w:w="1638" w:type="dxa"/>
            <w:vMerge/>
            <w:vAlign w:val="center"/>
          </w:tcPr>
          <w:p w:rsidR="009C2AAA" w:rsidRPr="00EC60CB" w:rsidRDefault="009C2AAA" w:rsidP="00103CA5">
            <w:pPr>
              <w:jc w:val="center"/>
            </w:pPr>
          </w:p>
        </w:tc>
        <w:tc>
          <w:tcPr>
            <w:tcW w:w="1710" w:type="dxa"/>
            <w:vAlign w:val="center"/>
          </w:tcPr>
          <w:p w:rsidR="009C2AAA" w:rsidRPr="00EC60CB" w:rsidRDefault="009C2AAA" w:rsidP="00103CA5">
            <w:pPr>
              <w:keepNext/>
              <w:keepLines/>
              <w:jc w:val="center"/>
            </w:pPr>
            <w:r w:rsidRPr="00EC60CB">
              <w:t>Transmission</w:t>
            </w:r>
          </w:p>
        </w:tc>
        <w:tc>
          <w:tcPr>
            <w:tcW w:w="1310" w:type="dxa"/>
          </w:tcPr>
          <w:p w:rsidR="009C2AAA" w:rsidRPr="00EC60CB" w:rsidRDefault="009C2AAA" w:rsidP="00103CA5">
            <w:pPr>
              <w:jc w:val="center"/>
            </w:pPr>
            <w:r>
              <w:t>2.914</w:t>
            </w:r>
          </w:p>
        </w:tc>
        <w:tc>
          <w:tcPr>
            <w:tcW w:w="1187" w:type="dxa"/>
          </w:tcPr>
          <w:p w:rsidR="009C2AAA" w:rsidRPr="00EC60CB" w:rsidRDefault="009C2AAA" w:rsidP="00103CA5">
            <w:pPr>
              <w:jc w:val="center"/>
            </w:pPr>
            <w:r>
              <w:t>3.793</w:t>
            </w:r>
          </w:p>
        </w:tc>
        <w:tc>
          <w:tcPr>
            <w:tcW w:w="1152" w:type="dxa"/>
          </w:tcPr>
          <w:p w:rsidR="009C2AAA" w:rsidRPr="00EC60CB" w:rsidRDefault="009C2AAA" w:rsidP="00103CA5">
            <w:pPr>
              <w:jc w:val="center"/>
            </w:pPr>
            <w:r>
              <w:t>2.497</w:t>
            </w:r>
          </w:p>
        </w:tc>
        <w:tc>
          <w:tcPr>
            <w:tcW w:w="1238" w:type="dxa"/>
          </w:tcPr>
          <w:p w:rsidR="009C2AAA" w:rsidRDefault="009C2AAA" w:rsidP="00103CA5">
            <w:pPr>
              <w:autoSpaceDE w:val="0"/>
              <w:autoSpaceDN w:val="0"/>
              <w:adjustRightInd w:val="0"/>
              <w:jc w:val="center"/>
              <w:rPr>
                <w:bCs/>
              </w:rPr>
            </w:pPr>
            <w:r>
              <w:rPr>
                <w:bCs/>
              </w:rPr>
              <w:t>1.148</w:t>
            </w:r>
          </w:p>
        </w:tc>
        <w:tc>
          <w:tcPr>
            <w:tcW w:w="1341" w:type="dxa"/>
            <w:vMerge/>
            <w:shd w:val="clear" w:color="auto" w:fill="F2F2F2" w:themeFill="background1" w:themeFillShade="F2"/>
          </w:tcPr>
          <w:p w:rsidR="009C2AAA" w:rsidRPr="00EC60CB" w:rsidRDefault="009C2AAA" w:rsidP="00103CA5">
            <w:pPr>
              <w:jc w:val="center"/>
            </w:pPr>
          </w:p>
        </w:tc>
      </w:tr>
      <w:tr w:rsidR="009C2AAA" w:rsidTr="00103CA5">
        <w:tc>
          <w:tcPr>
            <w:tcW w:w="1638" w:type="dxa"/>
            <w:vAlign w:val="center"/>
          </w:tcPr>
          <w:p w:rsidR="009C2AAA" w:rsidRPr="00EC60CB" w:rsidRDefault="009C2AAA" w:rsidP="00103CA5">
            <w:pPr>
              <w:jc w:val="center"/>
            </w:pPr>
            <w:r>
              <w:t>GS-2</w:t>
            </w:r>
          </w:p>
        </w:tc>
        <w:tc>
          <w:tcPr>
            <w:tcW w:w="1710" w:type="dxa"/>
            <w:vAlign w:val="center"/>
          </w:tcPr>
          <w:p w:rsidR="009C2AAA" w:rsidRPr="00EC60CB" w:rsidRDefault="009C2AAA" w:rsidP="00103CA5">
            <w:pPr>
              <w:jc w:val="center"/>
            </w:pPr>
            <w:r w:rsidRPr="00EC60CB">
              <w:t>Secondary</w:t>
            </w:r>
          </w:p>
        </w:tc>
        <w:tc>
          <w:tcPr>
            <w:tcW w:w="1310" w:type="dxa"/>
            <w:vAlign w:val="center"/>
          </w:tcPr>
          <w:p w:rsidR="009C2AAA" w:rsidRPr="00EC60CB" w:rsidRDefault="009C2AAA" w:rsidP="00103CA5">
            <w:pPr>
              <w:jc w:val="center"/>
            </w:pPr>
            <w:r>
              <w:t>2.973</w:t>
            </w:r>
          </w:p>
        </w:tc>
        <w:tc>
          <w:tcPr>
            <w:tcW w:w="2339" w:type="dxa"/>
            <w:gridSpan w:val="2"/>
            <w:shd w:val="clear" w:color="auto" w:fill="F2F2F2" w:themeFill="background1" w:themeFillShade="F2"/>
          </w:tcPr>
          <w:p w:rsidR="009C2AAA" w:rsidRDefault="009C2AAA" w:rsidP="00103CA5">
            <w:pPr>
              <w:jc w:val="center"/>
            </w:pPr>
          </w:p>
        </w:tc>
        <w:tc>
          <w:tcPr>
            <w:tcW w:w="1238" w:type="dxa"/>
            <w:shd w:val="clear" w:color="auto" w:fill="FFFFFF" w:themeFill="background1"/>
            <w:vAlign w:val="center"/>
          </w:tcPr>
          <w:p w:rsidR="009C2AAA" w:rsidRDefault="009C2AAA" w:rsidP="00103CA5">
            <w:pPr>
              <w:jc w:val="center"/>
            </w:pPr>
            <w:r>
              <w:t>0.836</w:t>
            </w:r>
          </w:p>
        </w:tc>
        <w:tc>
          <w:tcPr>
            <w:tcW w:w="1341" w:type="dxa"/>
            <w:vMerge/>
            <w:shd w:val="clear" w:color="auto" w:fill="F2F2F2" w:themeFill="background1" w:themeFillShade="F2"/>
            <w:vAlign w:val="center"/>
          </w:tcPr>
          <w:p w:rsidR="009C2AAA" w:rsidRDefault="009C2AAA" w:rsidP="00103CA5">
            <w:pPr>
              <w:jc w:val="center"/>
            </w:pPr>
          </w:p>
        </w:tc>
      </w:tr>
      <w:tr w:rsidR="009C2AAA" w:rsidTr="00103CA5">
        <w:tc>
          <w:tcPr>
            <w:tcW w:w="1638" w:type="dxa"/>
            <w:vMerge w:val="restart"/>
            <w:vAlign w:val="center"/>
          </w:tcPr>
          <w:p w:rsidR="009C2AAA" w:rsidRDefault="009C2AAA" w:rsidP="00103CA5">
            <w:pPr>
              <w:jc w:val="center"/>
            </w:pPr>
            <w:r>
              <w:t>GSD-1, GSDT-1, SS-1</w:t>
            </w:r>
          </w:p>
        </w:tc>
        <w:tc>
          <w:tcPr>
            <w:tcW w:w="1710" w:type="dxa"/>
            <w:vAlign w:val="center"/>
          </w:tcPr>
          <w:p w:rsidR="009C2AAA" w:rsidRPr="00EC60CB" w:rsidRDefault="009C2AAA" w:rsidP="00103CA5">
            <w:pPr>
              <w:jc w:val="center"/>
            </w:pPr>
            <w:r w:rsidRPr="00EC60CB">
              <w:t>Secondary</w:t>
            </w:r>
          </w:p>
        </w:tc>
        <w:tc>
          <w:tcPr>
            <w:tcW w:w="1310" w:type="dxa"/>
            <w:vAlign w:val="center"/>
          </w:tcPr>
          <w:p w:rsidR="009C2AAA" w:rsidRDefault="009C2AAA" w:rsidP="00103CA5">
            <w:pPr>
              <w:jc w:val="center"/>
            </w:pPr>
            <w:r>
              <w:t>3.008</w:t>
            </w:r>
          </w:p>
        </w:tc>
        <w:tc>
          <w:tcPr>
            <w:tcW w:w="1187" w:type="dxa"/>
            <w:shd w:val="clear" w:color="auto" w:fill="FFFFFF" w:themeFill="background1"/>
          </w:tcPr>
          <w:p w:rsidR="009C2AAA" w:rsidRDefault="009C2AAA" w:rsidP="00103CA5">
            <w:pPr>
              <w:jc w:val="center"/>
            </w:pPr>
            <w:r>
              <w:t>3.916</w:t>
            </w:r>
          </w:p>
        </w:tc>
        <w:tc>
          <w:tcPr>
            <w:tcW w:w="1152" w:type="dxa"/>
            <w:shd w:val="clear" w:color="auto" w:fill="FFFFFF" w:themeFill="background1"/>
          </w:tcPr>
          <w:p w:rsidR="009C2AAA" w:rsidRDefault="009C2AAA" w:rsidP="00103CA5">
            <w:pPr>
              <w:jc w:val="center"/>
            </w:pPr>
            <w:r>
              <w:t>2.578</w:t>
            </w:r>
          </w:p>
        </w:tc>
        <w:tc>
          <w:tcPr>
            <w:tcW w:w="1238" w:type="dxa"/>
            <w:vMerge w:val="restart"/>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4.24</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jc w:val="center"/>
            </w:pPr>
            <w:r w:rsidRPr="00EC60CB">
              <w:t>Primary</w:t>
            </w:r>
          </w:p>
        </w:tc>
        <w:tc>
          <w:tcPr>
            <w:tcW w:w="1310" w:type="dxa"/>
            <w:vAlign w:val="center"/>
          </w:tcPr>
          <w:p w:rsidR="009C2AAA" w:rsidRPr="00EC60CB" w:rsidRDefault="009C2AAA" w:rsidP="00103CA5">
            <w:pPr>
              <w:keepNext/>
              <w:keepLines/>
              <w:jc w:val="center"/>
            </w:pPr>
            <w:r>
              <w:t>2.978</w:t>
            </w:r>
          </w:p>
        </w:tc>
        <w:tc>
          <w:tcPr>
            <w:tcW w:w="1187" w:type="dxa"/>
            <w:shd w:val="clear" w:color="auto" w:fill="FFFFFF" w:themeFill="background1"/>
            <w:vAlign w:val="center"/>
          </w:tcPr>
          <w:p w:rsidR="009C2AAA" w:rsidRPr="00EC60CB" w:rsidRDefault="009C2AAA" w:rsidP="00103CA5">
            <w:pPr>
              <w:keepNext/>
              <w:keepLines/>
              <w:jc w:val="center"/>
            </w:pPr>
            <w:r>
              <w:t>3.877</w:t>
            </w:r>
          </w:p>
        </w:tc>
        <w:tc>
          <w:tcPr>
            <w:tcW w:w="1152" w:type="dxa"/>
            <w:shd w:val="clear" w:color="auto" w:fill="FFFFFF" w:themeFill="background1"/>
            <w:vAlign w:val="center"/>
          </w:tcPr>
          <w:p w:rsidR="009C2AAA" w:rsidRPr="00EC60CB" w:rsidRDefault="009C2AAA" w:rsidP="00103CA5">
            <w:pPr>
              <w:keepNext/>
              <w:keepLines/>
              <w:jc w:val="center"/>
            </w:pPr>
            <w:r>
              <w:t>2.552</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4.20</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keepNext/>
              <w:keepLines/>
              <w:jc w:val="center"/>
            </w:pPr>
            <w:r w:rsidRPr="00EC60CB">
              <w:t>Transmission</w:t>
            </w:r>
          </w:p>
        </w:tc>
        <w:tc>
          <w:tcPr>
            <w:tcW w:w="1310" w:type="dxa"/>
            <w:vAlign w:val="center"/>
          </w:tcPr>
          <w:p w:rsidR="009C2AAA" w:rsidRPr="00EC60CB" w:rsidRDefault="009C2AAA" w:rsidP="00103CA5">
            <w:pPr>
              <w:keepNext/>
              <w:keepLines/>
              <w:jc w:val="center"/>
            </w:pPr>
            <w:r>
              <w:t>2.948</w:t>
            </w:r>
          </w:p>
        </w:tc>
        <w:tc>
          <w:tcPr>
            <w:tcW w:w="1187" w:type="dxa"/>
            <w:shd w:val="clear" w:color="auto" w:fill="FFFFFF" w:themeFill="background1"/>
            <w:vAlign w:val="center"/>
          </w:tcPr>
          <w:p w:rsidR="009C2AAA" w:rsidRPr="00EC60CB" w:rsidRDefault="009C2AAA" w:rsidP="00103CA5">
            <w:pPr>
              <w:keepNext/>
              <w:keepLines/>
              <w:jc w:val="center"/>
            </w:pPr>
            <w:r>
              <w:t>3.838</w:t>
            </w:r>
          </w:p>
        </w:tc>
        <w:tc>
          <w:tcPr>
            <w:tcW w:w="1152" w:type="dxa"/>
            <w:shd w:val="clear" w:color="auto" w:fill="FFFFFF" w:themeFill="background1"/>
            <w:vAlign w:val="center"/>
          </w:tcPr>
          <w:p w:rsidR="009C2AAA" w:rsidRPr="00EC60CB" w:rsidRDefault="009C2AAA" w:rsidP="00103CA5">
            <w:pPr>
              <w:keepNext/>
              <w:keepLines/>
              <w:jc w:val="center"/>
            </w:pPr>
            <w:r>
              <w:t>2.526</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4.15</w:t>
            </w:r>
          </w:p>
        </w:tc>
      </w:tr>
      <w:tr w:rsidR="009C2AAA" w:rsidTr="00103CA5">
        <w:tc>
          <w:tcPr>
            <w:tcW w:w="1638" w:type="dxa"/>
            <w:vMerge w:val="restart"/>
            <w:vAlign w:val="center"/>
          </w:tcPr>
          <w:p w:rsidR="009C2AAA" w:rsidRDefault="009C2AAA" w:rsidP="00103CA5">
            <w:pPr>
              <w:keepNext/>
              <w:keepLines/>
              <w:jc w:val="center"/>
            </w:pPr>
            <w:r w:rsidRPr="00EC60CB">
              <w:t>CS-1, CST-1, CS-2, CST-2, CS-3,</w:t>
            </w:r>
          </w:p>
          <w:p w:rsidR="009C2AAA" w:rsidRDefault="009C2AAA" w:rsidP="00103CA5">
            <w:pPr>
              <w:jc w:val="center"/>
            </w:pPr>
            <w:r w:rsidRPr="00EC60CB">
              <w:t>CST-3, SS-3</w:t>
            </w:r>
          </w:p>
        </w:tc>
        <w:tc>
          <w:tcPr>
            <w:tcW w:w="1710" w:type="dxa"/>
            <w:vAlign w:val="center"/>
          </w:tcPr>
          <w:p w:rsidR="009C2AAA" w:rsidRPr="00EC60CB" w:rsidRDefault="009C2AAA" w:rsidP="00103CA5">
            <w:pPr>
              <w:jc w:val="center"/>
            </w:pPr>
            <w:r w:rsidRPr="00EC60CB">
              <w:t>Secondary</w:t>
            </w:r>
          </w:p>
        </w:tc>
        <w:tc>
          <w:tcPr>
            <w:tcW w:w="1310" w:type="dxa"/>
            <w:vAlign w:val="center"/>
          </w:tcPr>
          <w:p w:rsidR="009C2AAA" w:rsidRDefault="009C2AAA" w:rsidP="00103CA5">
            <w:pPr>
              <w:jc w:val="center"/>
            </w:pPr>
            <w:r>
              <w:t>3.008</w:t>
            </w:r>
          </w:p>
        </w:tc>
        <w:tc>
          <w:tcPr>
            <w:tcW w:w="1187" w:type="dxa"/>
            <w:shd w:val="clear" w:color="auto" w:fill="FFFFFF" w:themeFill="background1"/>
          </w:tcPr>
          <w:p w:rsidR="009C2AAA" w:rsidRDefault="009C2AAA" w:rsidP="00103CA5">
            <w:pPr>
              <w:jc w:val="center"/>
            </w:pPr>
            <w:r>
              <w:t>3.916</w:t>
            </w:r>
          </w:p>
        </w:tc>
        <w:tc>
          <w:tcPr>
            <w:tcW w:w="1152" w:type="dxa"/>
            <w:shd w:val="clear" w:color="auto" w:fill="FFFFFF" w:themeFill="background1"/>
          </w:tcPr>
          <w:p w:rsidR="009C2AAA" w:rsidRDefault="009C2AAA" w:rsidP="00103CA5">
            <w:pPr>
              <w:jc w:val="center"/>
            </w:pPr>
            <w:r>
              <w:t>2.578</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2.49</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jc w:val="center"/>
            </w:pPr>
            <w:r w:rsidRPr="00EC60CB">
              <w:t>Primary</w:t>
            </w:r>
          </w:p>
        </w:tc>
        <w:tc>
          <w:tcPr>
            <w:tcW w:w="1310" w:type="dxa"/>
            <w:vAlign w:val="center"/>
          </w:tcPr>
          <w:p w:rsidR="009C2AAA" w:rsidRPr="00EC60CB" w:rsidRDefault="009C2AAA" w:rsidP="00103CA5">
            <w:pPr>
              <w:keepNext/>
              <w:keepLines/>
              <w:jc w:val="center"/>
            </w:pPr>
            <w:r>
              <w:t>2.978</w:t>
            </w:r>
          </w:p>
        </w:tc>
        <w:tc>
          <w:tcPr>
            <w:tcW w:w="1187" w:type="dxa"/>
            <w:shd w:val="clear" w:color="auto" w:fill="FFFFFF" w:themeFill="background1"/>
            <w:vAlign w:val="center"/>
          </w:tcPr>
          <w:p w:rsidR="009C2AAA" w:rsidRPr="00EC60CB" w:rsidRDefault="009C2AAA" w:rsidP="00103CA5">
            <w:pPr>
              <w:keepNext/>
              <w:keepLines/>
              <w:jc w:val="center"/>
            </w:pPr>
            <w:r>
              <w:t>3.877</w:t>
            </w:r>
          </w:p>
        </w:tc>
        <w:tc>
          <w:tcPr>
            <w:tcW w:w="1152" w:type="dxa"/>
            <w:shd w:val="clear" w:color="auto" w:fill="FFFFFF" w:themeFill="background1"/>
            <w:vAlign w:val="center"/>
          </w:tcPr>
          <w:p w:rsidR="009C2AAA" w:rsidRPr="00EC60CB" w:rsidRDefault="009C2AAA" w:rsidP="00103CA5">
            <w:pPr>
              <w:keepNext/>
              <w:keepLines/>
              <w:jc w:val="center"/>
            </w:pPr>
            <w:r>
              <w:t>2.552</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2.47</w:t>
            </w:r>
          </w:p>
        </w:tc>
      </w:tr>
      <w:tr w:rsidR="009C2AAA" w:rsidTr="00103CA5">
        <w:trPr>
          <w:trHeight w:val="20"/>
        </w:trPr>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keepNext/>
              <w:keepLines/>
              <w:jc w:val="center"/>
            </w:pPr>
            <w:r w:rsidRPr="00EC60CB">
              <w:t>Transmission</w:t>
            </w:r>
          </w:p>
        </w:tc>
        <w:tc>
          <w:tcPr>
            <w:tcW w:w="1310" w:type="dxa"/>
            <w:vAlign w:val="center"/>
          </w:tcPr>
          <w:p w:rsidR="009C2AAA" w:rsidRPr="00EC60CB" w:rsidRDefault="009C2AAA" w:rsidP="00103CA5">
            <w:pPr>
              <w:keepNext/>
              <w:keepLines/>
              <w:jc w:val="center"/>
            </w:pPr>
            <w:r>
              <w:t>2.948</w:t>
            </w:r>
          </w:p>
        </w:tc>
        <w:tc>
          <w:tcPr>
            <w:tcW w:w="1187" w:type="dxa"/>
            <w:shd w:val="clear" w:color="auto" w:fill="FFFFFF" w:themeFill="background1"/>
            <w:vAlign w:val="center"/>
          </w:tcPr>
          <w:p w:rsidR="009C2AAA" w:rsidRPr="00EC60CB" w:rsidRDefault="009C2AAA" w:rsidP="00103CA5">
            <w:pPr>
              <w:keepNext/>
              <w:keepLines/>
              <w:jc w:val="center"/>
            </w:pPr>
            <w:r>
              <w:t>3.838</w:t>
            </w:r>
          </w:p>
        </w:tc>
        <w:tc>
          <w:tcPr>
            <w:tcW w:w="1152" w:type="dxa"/>
            <w:shd w:val="clear" w:color="auto" w:fill="FFFFFF" w:themeFill="background1"/>
            <w:vAlign w:val="center"/>
          </w:tcPr>
          <w:p w:rsidR="009C2AAA" w:rsidRPr="00EC60CB" w:rsidRDefault="009C2AAA" w:rsidP="00103CA5">
            <w:pPr>
              <w:keepNext/>
              <w:keepLines/>
              <w:jc w:val="center"/>
            </w:pPr>
            <w:r>
              <w:t>2.526</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autoSpaceDE w:val="0"/>
              <w:autoSpaceDN w:val="0"/>
              <w:adjustRightInd w:val="0"/>
              <w:jc w:val="center"/>
              <w:rPr>
                <w:bCs/>
              </w:rPr>
            </w:pPr>
            <w:r>
              <w:rPr>
                <w:bCs/>
              </w:rPr>
              <w:t>2.44</w:t>
            </w:r>
          </w:p>
        </w:tc>
      </w:tr>
      <w:tr w:rsidR="009C2AAA" w:rsidTr="00103CA5">
        <w:tc>
          <w:tcPr>
            <w:tcW w:w="1638" w:type="dxa"/>
            <w:vMerge w:val="restart"/>
            <w:vAlign w:val="center"/>
          </w:tcPr>
          <w:p w:rsidR="009C2AAA" w:rsidRDefault="009C2AAA" w:rsidP="00103CA5">
            <w:pPr>
              <w:jc w:val="center"/>
            </w:pPr>
            <w:r w:rsidRPr="00EC60CB">
              <w:t>IS-1, IST-1, IS-2, IST-2, SS-2</w:t>
            </w:r>
          </w:p>
        </w:tc>
        <w:tc>
          <w:tcPr>
            <w:tcW w:w="1710" w:type="dxa"/>
            <w:vAlign w:val="center"/>
          </w:tcPr>
          <w:p w:rsidR="009C2AAA" w:rsidRPr="00EC60CB" w:rsidRDefault="009C2AAA" w:rsidP="00103CA5">
            <w:pPr>
              <w:jc w:val="center"/>
            </w:pPr>
            <w:r w:rsidRPr="00EC60CB">
              <w:t>Secondary</w:t>
            </w:r>
          </w:p>
        </w:tc>
        <w:tc>
          <w:tcPr>
            <w:tcW w:w="1310" w:type="dxa"/>
            <w:vAlign w:val="center"/>
          </w:tcPr>
          <w:p w:rsidR="009C2AAA" w:rsidRDefault="009C2AAA" w:rsidP="00103CA5">
            <w:pPr>
              <w:jc w:val="center"/>
            </w:pPr>
            <w:r>
              <w:t>3.008</w:t>
            </w:r>
          </w:p>
        </w:tc>
        <w:tc>
          <w:tcPr>
            <w:tcW w:w="1187" w:type="dxa"/>
            <w:shd w:val="clear" w:color="auto" w:fill="FFFFFF" w:themeFill="background1"/>
          </w:tcPr>
          <w:p w:rsidR="009C2AAA" w:rsidRDefault="009C2AAA" w:rsidP="00103CA5">
            <w:pPr>
              <w:jc w:val="center"/>
            </w:pPr>
            <w:r>
              <w:t>3.916</w:t>
            </w:r>
          </w:p>
        </w:tc>
        <w:tc>
          <w:tcPr>
            <w:tcW w:w="1152" w:type="dxa"/>
            <w:shd w:val="clear" w:color="auto" w:fill="FFFFFF" w:themeFill="background1"/>
          </w:tcPr>
          <w:p w:rsidR="009C2AAA" w:rsidRDefault="009C2AAA" w:rsidP="00103CA5">
            <w:pPr>
              <w:jc w:val="center"/>
            </w:pPr>
            <w:r>
              <w:t>2.578</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3.39</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jc w:val="center"/>
            </w:pPr>
            <w:r w:rsidRPr="00EC60CB">
              <w:t>Primary</w:t>
            </w:r>
          </w:p>
        </w:tc>
        <w:tc>
          <w:tcPr>
            <w:tcW w:w="1310" w:type="dxa"/>
            <w:vAlign w:val="center"/>
          </w:tcPr>
          <w:p w:rsidR="009C2AAA" w:rsidRPr="00EC60CB" w:rsidRDefault="009C2AAA" w:rsidP="00103CA5">
            <w:pPr>
              <w:keepNext/>
              <w:keepLines/>
              <w:jc w:val="center"/>
            </w:pPr>
            <w:r>
              <w:t>2.978</w:t>
            </w:r>
          </w:p>
        </w:tc>
        <w:tc>
          <w:tcPr>
            <w:tcW w:w="1187" w:type="dxa"/>
            <w:shd w:val="clear" w:color="auto" w:fill="FFFFFF" w:themeFill="background1"/>
            <w:vAlign w:val="center"/>
          </w:tcPr>
          <w:p w:rsidR="009C2AAA" w:rsidRPr="00EC60CB" w:rsidRDefault="009C2AAA" w:rsidP="00103CA5">
            <w:pPr>
              <w:keepNext/>
              <w:keepLines/>
              <w:jc w:val="center"/>
            </w:pPr>
            <w:r>
              <w:t>3.877</w:t>
            </w:r>
          </w:p>
        </w:tc>
        <w:tc>
          <w:tcPr>
            <w:tcW w:w="1152" w:type="dxa"/>
            <w:shd w:val="clear" w:color="auto" w:fill="FFFFFF" w:themeFill="background1"/>
            <w:vAlign w:val="center"/>
          </w:tcPr>
          <w:p w:rsidR="009C2AAA" w:rsidRPr="00EC60CB" w:rsidRDefault="009C2AAA" w:rsidP="00103CA5">
            <w:pPr>
              <w:keepNext/>
              <w:keepLines/>
              <w:jc w:val="center"/>
            </w:pPr>
            <w:r>
              <w:t>2.552</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3.36</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keepNext/>
              <w:keepLines/>
              <w:jc w:val="center"/>
            </w:pPr>
            <w:r w:rsidRPr="00EC60CB">
              <w:t>Transmission</w:t>
            </w:r>
          </w:p>
        </w:tc>
        <w:tc>
          <w:tcPr>
            <w:tcW w:w="1310" w:type="dxa"/>
            <w:vAlign w:val="center"/>
          </w:tcPr>
          <w:p w:rsidR="009C2AAA" w:rsidRPr="00EC60CB" w:rsidRDefault="009C2AAA" w:rsidP="00103CA5">
            <w:pPr>
              <w:keepNext/>
              <w:keepLines/>
              <w:jc w:val="center"/>
            </w:pPr>
            <w:r>
              <w:t>2.948</w:t>
            </w:r>
          </w:p>
        </w:tc>
        <w:tc>
          <w:tcPr>
            <w:tcW w:w="1187" w:type="dxa"/>
            <w:shd w:val="clear" w:color="auto" w:fill="FFFFFF" w:themeFill="background1"/>
            <w:vAlign w:val="center"/>
          </w:tcPr>
          <w:p w:rsidR="009C2AAA" w:rsidRPr="00EC60CB" w:rsidRDefault="009C2AAA" w:rsidP="00103CA5">
            <w:pPr>
              <w:keepNext/>
              <w:keepLines/>
              <w:jc w:val="center"/>
            </w:pPr>
            <w:r>
              <w:t>3.838</w:t>
            </w:r>
          </w:p>
        </w:tc>
        <w:tc>
          <w:tcPr>
            <w:tcW w:w="1152" w:type="dxa"/>
            <w:shd w:val="clear" w:color="auto" w:fill="FFFFFF" w:themeFill="background1"/>
            <w:vAlign w:val="center"/>
          </w:tcPr>
          <w:p w:rsidR="009C2AAA" w:rsidRPr="00EC60CB" w:rsidRDefault="009C2AAA" w:rsidP="00103CA5">
            <w:pPr>
              <w:keepNext/>
              <w:keepLines/>
              <w:jc w:val="center"/>
            </w:pPr>
            <w:r>
              <w:t>2.526</w:t>
            </w:r>
          </w:p>
        </w:tc>
        <w:tc>
          <w:tcPr>
            <w:tcW w:w="1238" w:type="dxa"/>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tcPr>
          <w:p w:rsidR="009C2AAA" w:rsidRDefault="009C2AAA" w:rsidP="00103CA5">
            <w:pPr>
              <w:autoSpaceDE w:val="0"/>
              <w:autoSpaceDN w:val="0"/>
              <w:adjustRightInd w:val="0"/>
              <w:jc w:val="center"/>
              <w:rPr>
                <w:bCs/>
              </w:rPr>
            </w:pPr>
            <w:r>
              <w:rPr>
                <w:bCs/>
              </w:rPr>
              <w:t>3.33</w:t>
            </w:r>
          </w:p>
        </w:tc>
      </w:tr>
      <w:tr w:rsidR="009C2AAA" w:rsidTr="00103CA5">
        <w:tc>
          <w:tcPr>
            <w:tcW w:w="1638" w:type="dxa"/>
            <w:vAlign w:val="center"/>
          </w:tcPr>
          <w:p w:rsidR="009C2AAA" w:rsidRDefault="009C2AAA" w:rsidP="00103CA5">
            <w:pPr>
              <w:jc w:val="center"/>
            </w:pPr>
            <w:r w:rsidRPr="00EC60CB">
              <w:t>LS-1</w:t>
            </w:r>
          </w:p>
        </w:tc>
        <w:tc>
          <w:tcPr>
            <w:tcW w:w="1710" w:type="dxa"/>
            <w:vAlign w:val="center"/>
          </w:tcPr>
          <w:p w:rsidR="009C2AAA" w:rsidRPr="00EC60CB" w:rsidRDefault="009C2AAA" w:rsidP="00103CA5">
            <w:pPr>
              <w:jc w:val="center"/>
            </w:pPr>
            <w:r w:rsidRPr="00EC60CB">
              <w:t>Secondary</w:t>
            </w:r>
          </w:p>
        </w:tc>
        <w:tc>
          <w:tcPr>
            <w:tcW w:w="1310" w:type="dxa"/>
            <w:vAlign w:val="center"/>
          </w:tcPr>
          <w:p w:rsidR="009C2AAA" w:rsidRDefault="009C2AAA" w:rsidP="00103CA5">
            <w:pPr>
              <w:jc w:val="center"/>
            </w:pPr>
            <w:r>
              <w:t>2.828</w:t>
            </w:r>
          </w:p>
        </w:tc>
        <w:tc>
          <w:tcPr>
            <w:tcW w:w="2339" w:type="dxa"/>
            <w:gridSpan w:val="2"/>
            <w:shd w:val="clear" w:color="auto" w:fill="F2F2F2" w:themeFill="background1" w:themeFillShade="F2"/>
          </w:tcPr>
          <w:p w:rsidR="009C2AAA" w:rsidRDefault="009C2AAA" w:rsidP="00103CA5">
            <w:pPr>
              <w:jc w:val="center"/>
            </w:pPr>
          </w:p>
        </w:tc>
        <w:tc>
          <w:tcPr>
            <w:tcW w:w="1238" w:type="dxa"/>
            <w:shd w:val="clear" w:color="auto" w:fill="FFFFFF" w:themeFill="background1"/>
            <w:vAlign w:val="center"/>
          </w:tcPr>
          <w:p w:rsidR="009C2AAA" w:rsidRDefault="009C2AAA" w:rsidP="00103CA5">
            <w:pPr>
              <w:jc w:val="center"/>
            </w:pPr>
            <w:r>
              <w:t>0.233</w:t>
            </w:r>
          </w:p>
        </w:tc>
        <w:tc>
          <w:tcPr>
            <w:tcW w:w="1341" w:type="dxa"/>
            <w:shd w:val="clear" w:color="auto" w:fill="F2F2F2" w:themeFill="background1" w:themeFillShade="F2"/>
            <w:vAlign w:val="center"/>
          </w:tcPr>
          <w:p w:rsidR="009C2AAA" w:rsidRDefault="009C2AAA" w:rsidP="00103CA5">
            <w:pPr>
              <w:jc w:val="center"/>
            </w:pPr>
          </w:p>
        </w:tc>
      </w:tr>
      <w:tr w:rsidR="009C2AAA" w:rsidTr="00103CA5">
        <w:tc>
          <w:tcPr>
            <w:tcW w:w="1638" w:type="dxa"/>
            <w:vMerge w:val="restart"/>
            <w:vAlign w:val="center"/>
          </w:tcPr>
          <w:p w:rsidR="009C2AAA" w:rsidRDefault="009C2AAA" w:rsidP="00103CA5">
            <w:pPr>
              <w:jc w:val="center"/>
            </w:pPr>
            <w:r>
              <w:t>SS-1, SS-2, SS-3 Monthly</w:t>
            </w:r>
          </w:p>
        </w:tc>
        <w:tc>
          <w:tcPr>
            <w:tcW w:w="1710" w:type="dxa"/>
            <w:vAlign w:val="center"/>
          </w:tcPr>
          <w:p w:rsidR="009C2AAA" w:rsidRPr="00EC60CB" w:rsidRDefault="009C2AAA" w:rsidP="00103CA5">
            <w:pPr>
              <w:jc w:val="center"/>
            </w:pPr>
            <w:r w:rsidRPr="00EC60CB">
              <w:t>Secondary</w:t>
            </w:r>
          </w:p>
        </w:tc>
        <w:tc>
          <w:tcPr>
            <w:tcW w:w="4887" w:type="dxa"/>
            <w:gridSpan w:val="4"/>
            <w:vMerge w:val="restart"/>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jc w:val="center"/>
            </w:pPr>
            <w:r>
              <w:t>0.412</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jc w:val="center"/>
            </w:pPr>
            <w:r w:rsidRPr="00EC60CB">
              <w:t>Primary</w:t>
            </w:r>
          </w:p>
        </w:tc>
        <w:tc>
          <w:tcPr>
            <w:tcW w:w="4887" w:type="dxa"/>
            <w:gridSpan w:val="4"/>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jc w:val="center"/>
            </w:pPr>
            <w:r>
              <w:t>0.408</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keepNext/>
              <w:keepLines/>
              <w:jc w:val="center"/>
            </w:pPr>
            <w:r w:rsidRPr="00EC60CB">
              <w:t>Transmission</w:t>
            </w:r>
          </w:p>
        </w:tc>
        <w:tc>
          <w:tcPr>
            <w:tcW w:w="4887" w:type="dxa"/>
            <w:gridSpan w:val="4"/>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jc w:val="center"/>
            </w:pPr>
            <w:r>
              <w:t>0.404</w:t>
            </w:r>
          </w:p>
        </w:tc>
      </w:tr>
      <w:tr w:rsidR="009C2AAA" w:rsidTr="00103CA5">
        <w:tc>
          <w:tcPr>
            <w:tcW w:w="1638" w:type="dxa"/>
            <w:vMerge w:val="restart"/>
            <w:vAlign w:val="center"/>
          </w:tcPr>
          <w:p w:rsidR="009C2AAA" w:rsidRDefault="009C2AAA" w:rsidP="00103CA5">
            <w:pPr>
              <w:jc w:val="center"/>
            </w:pPr>
            <w:r>
              <w:t xml:space="preserve">SS-1, SS-2, SS-3 </w:t>
            </w:r>
          </w:p>
          <w:p w:rsidR="009C2AAA" w:rsidRDefault="009C2AAA" w:rsidP="00103CA5">
            <w:pPr>
              <w:jc w:val="center"/>
            </w:pPr>
            <w:r>
              <w:t>Daily</w:t>
            </w:r>
          </w:p>
        </w:tc>
        <w:tc>
          <w:tcPr>
            <w:tcW w:w="1710" w:type="dxa"/>
            <w:vAlign w:val="center"/>
          </w:tcPr>
          <w:p w:rsidR="009C2AAA" w:rsidRPr="00EC60CB" w:rsidRDefault="009C2AAA" w:rsidP="00103CA5">
            <w:pPr>
              <w:jc w:val="center"/>
            </w:pPr>
            <w:r w:rsidRPr="00EC60CB">
              <w:t>Secondary</w:t>
            </w:r>
          </w:p>
        </w:tc>
        <w:tc>
          <w:tcPr>
            <w:tcW w:w="4887" w:type="dxa"/>
            <w:gridSpan w:val="4"/>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jc w:val="center"/>
            </w:pPr>
            <w:r>
              <w:t>0.196</w:t>
            </w:r>
          </w:p>
        </w:tc>
      </w:tr>
      <w:tr w:rsidR="009C2AAA" w:rsidTr="00103CA5">
        <w:tc>
          <w:tcPr>
            <w:tcW w:w="1638" w:type="dxa"/>
            <w:vMerge/>
            <w:vAlign w:val="center"/>
          </w:tcPr>
          <w:p w:rsidR="009C2AAA" w:rsidRDefault="009C2AAA" w:rsidP="00103CA5">
            <w:pPr>
              <w:jc w:val="center"/>
            </w:pPr>
          </w:p>
        </w:tc>
        <w:tc>
          <w:tcPr>
            <w:tcW w:w="1710" w:type="dxa"/>
            <w:vAlign w:val="center"/>
          </w:tcPr>
          <w:p w:rsidR="009C2AAA" w:rsidRPr="00EC60CB" w:rsidRDefault="009C2AAA" w:rsidP="00103CA5">
            <w:pPr>
              <w:jc w:val="center"/>
            </w:pPr>
            <w:r w:rsidRPr="00EC60CB">
              <w:t>Primary</w:t>
            </w:r>
          </w:p>
        </w:tc>
        <w:tc>
          <w:tcPr>
            <w:tcW w:w="4887" w:type="dxa"/>
            <w:gridSpan w:val="4"/>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jc w:val="center"/>
            </w:pPr>
            <w:r>
              <w:t>0.194</w:t>
            </w:r>
          </w:p>
        </w:tc>
      </w:tr>
      <w:tr w:rsidR="009C2AAA" w:rsidTr="00103CA5">
        <w:tc>
          <w:tcPr>
            <w:tcW w:w="1638" w:type="dxa"/>
            <w:vMerge/>
            <w:vAlign w:val="center"/>
          </w:tcPr>
          <w:p w:rsidR="009C2AAA" w:rsidRPr="00EC60CB" w:rsidRDefault="009C2AAA" w:rsidP="00103CA5">
            <w:pPr>
              <w:jc w:val="center"/>
            </w:pPr>
          </w:p>
        </w:tc>
        <w:tc>
          <w:tcPr>
            <w:tcW w:w="1710" w:type="dxa"/>
            <w:vAlign w:val="center"/>
          </w:tcPr>
          <w:p w:rsidR="009C2AAA" w:rsidRPr="00EC60CB" w:rsidRDefault="009C2AAA" w:rsidP="00103CA5">
            <w:pPr>
              <w:keepNext/>
              <w:keepLines/>
              <w:jc w:val="center"/>
            </w:pPr>
            <w:r w:rsidRPr="00EC60CB">
              <w:t>Transmission</w:t>
            </w:r>
          </w:p>
        </w:tc>
        <w:tc>
          <w:tcPr>
            <w:tcW w:w="4887" w:type="dxa"/>
            <w:gridSpan w:val="4"/>
            <w:vMerge/>
            <w:shd w:val="clear" w:color="auto" w:fill="F2F2F2" w:themeFill="background1" w:themeFillShade="F2"/>
            <w:vAlign w:val="center"/>
          </w:tcPr>
          <w:p w:rsidR="009C2AAA" w:rsidRDefault="009C2AAA" w:rsidP="00103CA5">
            <w:pPr>
              <w:jc w:val="center"/>
            </w:pPr>
          </w:p>
        </w:tc>
        <w:tc>
          <w:tcPr>
            <w:tcW w:w="1341" w:type="dxa"/>
            <w:shd w:val="clear" w:color="auto" w:fill="FFFFFF" w:themeFill="background1"/>
            <w:vAlign w:val="center"/>
          </w:tcPr>
          <w:p w:rsidR="009C2AAA" w:rsidRDefault="009C2AAA" w:rsidP="00103CA5">
            <w:pPr>
              <w:jc w:val="center"/>
            </w:pPr>
            <w:r>
              <w:t>0.192</w:t>
            </w:r>
          </w:p>
        </w:tc>
      </w:tr>
    </w:tbl>
    <w:p w:rsidR="009C2AAA" w:rsidRDefault="009C2AAA" w:rsidP="009C2AAA">
      <w:pPr>
        <w:keepNext/>
        <w:keepLines/>
        <w:autoSpaceDE w:val="0"/>
        <w:autoSpaceDN w:val="0"/>
        <w:adjustRightInd w:val="0"/>
      </w:pPr>
    </w:p>
    <w:p w:rsidR="009C2AAA" w:rsidRDefault="009C2AAA" w:rsidP="00F018D3">
      <w:pPr>
        <w:pStyle w:val="OrderBody"/>
        <w:sectPr w:rsidR="009C2AAA" w:rsidSect="00F018D3">
          <w:headerReference w:type="default" r:id="rId15"/>
          <w:pgSz w:w="12240" w:h="15840" w:code="1"/>
          <w:pgMar w:top="1440" w:right="1440" w:bottom="1440" w:left="1440" w:header="720" w:footer="720" w:gutter="0"/>
          <w:cols w:space="720"/>
          <w:docGrid w:linePitch="360"/>
        </w:sectPr>
      </w:pPr>
    </w:p>
    <w:p w:rsidR="009C2AAA" w:rsidRDefault="009C2AAA" w:rsidP="009C2AAA">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9"/>
        <w:gridCol w:w="2091"/>
        <w:gridCol w:w="2070"/>
        <w:gridCol w:w="2070"/>
      </w:tblGrid>
      <w:tr w:rsidR="009C2AAA" w:rsidTr="00103CA5">
        <w:trPr>
          <w:trHeight w:val="562"/>
        </w:trPr>
        <w:tc>
          <w:tcPr>
            <w:tcW w:w="9450" w:type="dxa"/>
            <w:gridSpan w:val="4"/>
            <w:shd w:val="clear" w:color="auto" w:fill="FFFFFF"/>
            <w:vAlign w:val="center"/>
          </w:tcPr>
          <w:p w:rsidR="009C2AAA" w:rsidRDefault="009C2AAA" w:rsidP="00103CA5">
            <w:pPr>
              <w:autoSpaceDE w:val="0"/>
              <w:autoSpaceDN w:val="0"/>
              <w:adjustRightInd w:val="0"/>
              <w:jc w:val="center"/>
              <w:rPr>
                <w:b/>
              </w:rPr>
            </w:pPr>
            <w:r>
              <w:rPr>
                <w:b/>
              </w:rPr>
              <w:t>DEF’s Mid-Course Correction</w:t>
            </w:r>
          </w:p>
          <w:p w:rsidR="009C2AAA" w:rsidRPr="00CD7355" w:rsidRDefault="009C2AAA" w:rsidP="00103CA5">
            <w:pPr>
              <w:autoSpaceDE w:val="0"/>
              <w:autoSpaceDN w:val="0"/>
              <w:adjustRightInd w:val="0"/>
              <w:jc w:val="center"/>
            </w:pPr>
            <w:r>
              <w:rPr>
                <w:b/>
              </w:rPr>
              <w:t xml:space="preserve">Comparison of 1,000 kWh </w:t>
            </w:r>
            <w:r w:rsidRPr="00B2130A">
              <w:rPr>
                <w:b/>
              </w:rPr>
              <w:t>Residential Bill</w:t>
            </w:r>
          </w:p>
        </w:tc>
      </w:tr>
      <w:tr w:rsidR="009C2AAA" w:rsidTr="00103CA5">
        <w:trPr>
          <w:trHeight w:val="848"/>
        </w:trPr>
        <w:tc>
          <w:tcPr>
            <w:tcW w:w="3219" w:type="dxa"/>
            <w:shd w:val="clear" w:color="auto" w:fill="D9D9D9"/>
            <w:vAlign w:val="center"/>
          </w:tcPr>
          <w:p w:rsidR="009C2AAA" w:rsidRDefault="009C2AAA" w:rsidP="00103CA5">
            <w:pPr>
              <w:autoSpaceDE w:val="0"/>
              <w:autoSpaceDN w:val="0"/>
              <w:adjustRightInd w:val="0"/>
              <w:jc w:val="center"/>
            </w:pPr>
            <w:r>
              <w:t>Component</w:t>
            </w:r>
          </w:p>
        </w:tc>
        <w:tc>
          <w:tcPr>
            <w:tcW w:w="2091" w:type="dxa"/>
            <w:shd w:val="clear" w:color="auto" w:fill="D9D9D9"/>
            <w:vAlign w:val="center"/>
          </w:tcPr>
          <w:p w:rsidR="009C2AAA" w:rsidRDefault="009C2AAA" w:rsidP="00103CA5">
            <w:pPr>
              <w:autoSpaceDE w:val="0"/>
              <w:autoSpaceDN w:val="0"/>
              <w:adjustRightInd w:val="0"/>
              <w:jc w:val="center"/>
            </w:pPr>
            <w:r>
              <w:t>February 2016 (Current)</w:t>
            </w:r>
          </w:p>
        </w:tc>
        <w:tc>
          <w:tcPr>
            <w:tcW w:w="2070" w:type="dxa"/>
            <w:shd w:val="clear" w:color="auto" w:fill="D9D9D9"/>
            <w:vAlign w:val="center"/>
          </w:tcPr>
          <w:p w:rsidR="009C2AAA" w:rsidRDefault="009C2AAA" w:rsidP="00103CA5">
            <w:pPr>
              <w:autoSpaceDE w:val="0"/>
              <w:autoSpaceDN w:val="0"/>
              <w:adjustRightInd w:val="0"/>
              <w:jc w:val="center"/>
            </w:pPr>
            <w:r>
              <w:t>April – Dec. 2016</w:t>
            </w:r>
            <w:r>
              <w:rPr>
                <w:rStyle w:val="FootnoteReference"/>
              </w:rPr>
              <w:footnoteReference w:id="11"/>
            </w:r>
          </w:p>
        </w:tc>
        <w:tc>
          <w:tcPr>
            <w:tcW w:w="2070" w:type="dxa"/>
            <w:shd w:val="clear" w:color="auto" w:fill="D9D9D9"/>
            <w:vAlign w:val="center"/>
          </w:tcPr>
          <w:p w:rsidR="009C2AAA" w:rsidRDefault="009C2AAA" w:rsidP="00103CA5">
            <w:pPr>
              <w:autoSpaceDE w:val="0"/>
              <w:autoSpaceDN w:val="0"/>
              <w:adjustRightInd w:val="0"/>
              <w:jc w:val="center"/>
            </w:pPr>
            <w:r>
              <w:t>Difference from Current</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Base Charge</w:t>
            </w:r>
          </w:p>
        </w:tc>
        <w:tc>
          <w:tcPr>
            <w:tcW w:w="2091" w:type="dxa"/>
            <w:shd w:val="clear" w:color="auto" w:fill="auto"/>
            <w:vAlign w:val="center"/>
          </w:tcPr>
          <w:p w:rsidR="009C2AAA" w:rsidRDefault="009C2AAA" w:rsidP="00103CA5">
            <w:pPr>
              <w:autoSpaceDE w:val="0"/>
              <w:autoSpaceDN w:val="0"/>
              <w:adjustRightInd w:val="0"/>
              <w:jc w:val="center"/>
            </w:pPr>
            <w:r>
              <w:t>$58.50</w:t>
            </w:r>
          </w:p>
        </w:tc>
        <w:tc>
          <w:tcPr>
            <w:tcW w:w="2070" w:type="dxa"/>
            <w:shd w:val="clear" w:color="auto" w:fill="auto"/>
            <w:vAlign w:val="center"/>
          </w:tcPr>
          <w:p w:rsidR="009C2AAA" w:rsidRDefault="009C2AAA" w:rsidP="00103CA5">
            <w:pPr>
              <w:autoSpaceDE w:val="0"/>
              <w:autoSpaceDN w:val="0"/>
              <w:adjustRightInd w:val="0"/>
              <w:jc w:val="center"/>
            </w:pPr>
            <w:r>
              <w:t>$58.50</w:t>
            </w:r>
          </w:p>
        </w:tc>
        <w:tc>
          <w:tcPr>
            <w:tcW w:w="2070" w:type="dxa"/>
            <w:shd w:val="clear" w:color="auto" w:fill="auto"/>
            <w:vAlign w:val="center"/>
          </w:tcPr>
          <w:p w:rsidR="009C2AAA" w:rsidRDefault="009C2AAA" w:rsidP="00103CA5">
            <w:pPr>
              <w:autoSpaceDE w:val="0"/>
              <w:autoSpaceDN w:val="0"/>
              <w:adjustRightInd w:val="0"/>
              <w:jc w:val="center"/>
            </w:pPr>
            <w:r>
              <w:t>$0</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Fuel Cost Recovery</w:t>
            </w:r>
          </w:p>
        </w:tc>
        <w:tc>
          <w:tcPr>
            <w:tcW w:w="2091" w:type="dxa"/>
            <w:shd w:val="clear" w:color="auto" w:fill="auto"/>
            <w:vAlign w:val="center"/>
          </w:tcPr>
          <w:p w:rsidR="009C2AAA" w:rsidRDefault="009C2AAA" w:rsidP="00103CA5">
            <w:pPr>
              <w:autoSpaceDE w:val="0"/>
              <w:autoSpaceDN w:val="0"/>
              <w:adjustRightInd w:val="0"/>
              <w:jc w:val="center"/>
            </w:pPr>
            <w:r>
              <w:t>$33.53</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$26.79</w:t>
            </w:r>
          </w:p>
        </w:tc>
        <w:tc>
          <w:tcPr>
            <w:tcW w:w="2070" w:type="dxa"/>
            <w:shd w:val="clear" w:color="auto" w:fill="auto"/>
            <w:vAlign w:val="center"/>
          </w:tcPr>
          <w:p w:rsidR="009C2AAA" w:rsidRPr="00A94764" w:rsidRDefault="009C2AAA" w:rsidP="00103CA5">
            <w:pPr>
              <w:autoSpaceDE w:val="0"/>
              <w:autoSpaceDN w:val="0"/>
              <w:adjustRightInd w:val="0"/>
              <w:jc w:val="center"/>
            </w:pPr>
            <w:r>
              <w:t>($6.74)</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Capacity Cost Recovery</w:t>
            </w:r>
          </w:p>
        </w:tc>
        <w:tc>
          <w:tcPr>
            <w:tcW w:w="2091" w:type="dxa"/>
            <w:shd w:val="clear" w:color="auto" w:fill="auto"/>
            <w:vAlign w:val="center"/>
          </w:tcPr>
          <w:p w:rsidR="009C2AAA" w:rsidRDefault="009C2AAA" w:rsidP="00103CA5">
            <w:pPr>
              <w:autoSpaceDE w:val="0"/>
              <w:autoSpaceDN w:val="0"/>
              <w:adjustRightInd w:val="0"/>
              <w:jc w:val="center"/>
            </w:pPr>
            <w:r>
              <w:t>$12.42</w:t>
            </w:r>
          </w:p>
        </w:tc>
        <w:tc>
          <w:tcPr>
            <w:tcW w:w="2070" w:type="dxa"/>
            <w:shd w:val="clear" w:color="auto" w:fill="auto"/>
            <w:vAlign w:val="center"/>
          </w:tcPr>
          <w:p w:rsidR="009C2AAA" w:rsidRPr="00A94764" w:rsidRDefault="009C2AAA" w:rsidP="00103CA5">
            <w:pPr>
              <w:autoSpaceDE w:val="0"/>
              <w:autoSpaceDN w:val="0"/>
              <w:adjustRightInd w:val="0"/>
              <w:jc w:val="center"/>
            </w:pPr>
            <w:r>
              <w:t>$13.47</w:t>
            </w:r>
          </w:p>
        </w:tc>
        <w:tc>
          <w:tcPr>
            <w:tcW w:w="2070" w:type="dxa"/>
            <w:shd w:val="clear" w:color="auto" w:fill="auto"/>
            <w:vAlign w:val="center"/>
          </w:tcPr>
          <w:p w:rsidR="009C2AAA" w:rsidRPr="00A94764" w:rsidRDefault="009C2AAA" w:rsidP="00103CA5">
            <w:pPr>
              <w:autoSpaceDE w:val="0"/>
              <w:autoSpaceDN w:val="0"/>
              <w:adjustRightInd w:val="0"/>
              <w:jc w:val="center"/>
            </w:pPr>
            <w:r>
              <w:t>$1.05</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Energy Conservation Cost Recovery</w:t>
            </w:r>
          </w:p>
        </w:tc>
        <w:tc>
          <w:tcPr>
            <w:tcW w:w="2091" w:type="dxa"/>
            <w:shd w:val="clear" w:color="auto" w:fill="auto"/>
            <w:vAlign w:val="center"/>
          </w:tcPr>
          <w:p w:rsidR="009C2AAA" w:rsidRDefault="009C2AAA" w:rsidP="00103CA5">
            <w:pPr>
              <w:autoSpaceDE w:val="0"/>
              <w:autoSpaceDN w:val="0"/>
              <w:adjustRightInd w:val="0"/>
              <w:jc w:val="center"/>
            </w:pPr>
            <w:r>
              <w:t>$3.25</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$3.25</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$0</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Environmental Cost Recovery</w:t>
            </w:r>
          </w:p>
        </w:tc>
        <w:tc>
          <w:tcPr>
            <w:tcW w:w="2091" w:type="dxa"/>
            <w:shd w:val="clear" w:color="auto" w:fill="auto"/>
            <w:vAlign w:val="center"/>
          </w:tcPr>
          <w:p w:rsidR="009C2AAA" w:rsidRDefault="009C2AAA" w:rsidP="00103CA5">
            <w:pPr>
              <w:autoSpaceDE w:val="0"/>
              <w:autoSpaceDN w:val="0"/>
              <w:adjustRightInd w:val="0"/>
              <w:jc w:val="center"/>
            </w:pPr>
            <w:r>
              <w:t>$1.84</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$1.84</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$0</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Nuclear - CR3 Uprate</w:t>
            </w:r>
          </w:p>
        </w:tc>
        <w:tc>
          <w:tcPr>
            <w:tcW w:w="2091" w:type="dxa"/>
            <w:shd w:val="clear" w:color="auto" w:fill="auto"/>
            <w:vAlign w:val="center"/>
          </w:tcPr>
          <w:p w:rsidR="009C2AAA" w:rsidRPr="00F36C87" w:rsidRDefault="009C2AAA" w:rsidP="00103CA5">
            <w:pPr>
              <w:autoSpaceDE w:val="0"/>
              <w:autoSpaceDN w:val="0"/>
              <w:adjustRightInd w:val="0"/>
              <w:jc w:val="center"/>
            </w:pPr>
            <w:r>
              <w:t>$1.76</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$1.76</w:t>
            </w:r>
          </w:p>
        </w:tc>
        <w:tc>
          <w:tcPr>
            <w:tcW w:w="2070" w:type="dxa"/>
            <w:shd w:val="clear" w:color="auto" w:fill="auto"/>
            <w:vAlign w:val="center"/>
          </w:tcPr>
          <w:p w:rsidR="009C2AAA" w:rsidRPr="00A94764" w:rsidRDefault="009C2AAA" w:rsidP="00103CA5">
            <w:pPr>
              <w:autoSpaceDE w:val="0"/>
              <w:autoSpaceDN w:val="0"/>
              <w:adjustRightInd w:val="0"/>
              <w:jc w:val="center"/>
            </w:pPr>
            <w:r w:rsidRPr="00A94764">
              <w:t>$0</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Nuclear - Levy</w:t>
            </w:r>
          </w:p>
        </w:tc>
        <w:tc>
          <w:tcPr>
            <w:tcW w:w="2091" w:type="dxa"/>
            <w:shd w:val="clear" w:color="auto" w:fill="auto"/>
            <w:vAlign w:val="center"/>
          </w:tcPr>
          <w:p w:rsidR="009C2AAA" w:rsidRDefault="009C2AAA" w:rsidP="00103CA5">
            <w:pPr>
              <w:autoSpaceDE w:val="0"/>
              <w:autoSpaceDN w:val="0"/>
              <w:adjustRightInd w:val="0"/>
              <w:jc w:val="center"/>
              <w:rPr>
                <w:u w:val="single"/>
              </w:rPr>
            </w:pPr>
            <w:r>
              <w:rPr>
                <w:u w:val="single"/>
              </w:rPr>
              <w:t>$0</w:t>
            </w:r>
          </w:p>
        </w:tc>
        <w:tc>
          <w:tcPr>
            <w:tcW w:w="2070" w:type="dxa"/>
            <w:shd w:val="clear" w:color="auto" w:fill="auto"/>
            <w:vAlign w:val="center"/>
          </w:tcPr>
          <w:p w:rsidR="009C2AAA" w:rsidRPr="00A94764" w:rsidRDefault="009C2AAA" w:rsidP="00103CA5">
            <w:pPr>
              <w:autoSpaceDE w:val="0"/>
              <w:autoSpaceDN w:val="0"/>
              <w:adjustRightInd w:val="0"/>
              <w:jc w:val="center"/>
              <w:rPr>
                <w:u w:val="single"/>
              </w:rPr>
            </w:pPr>
            <w:r w:rsidRPr="00A94764">
              <w:rPr>
                <w:u w:val="single"/>
              </w:rPr>
              <w:t>$0</w:t>
            </w:r>
          </w:p>
        </w:tc>
        <w:tc>
          <w:tcPr>
            <w:tcW w:w="2070" w:type="dxa"/>
            <w:shd w:val="clear" w:color="auto" w:fill="auto"/>
            <w:vAlign w:val="center"/>
          </w:tcPr>
          <w:p w:rsidR="009C2AAA" w:rsidRPr="00267309" w:rsidRDefault="009C2AAA" w:rsidP="00103CA5">
            <w:pPr>
              <w:autoSpaceDE w:val="0"/>
              <w:autoSpaceDN w:val="0"/>
              <w:adjustRightInd w:val="0"/>
              <w:jc w:val="center"/>
              <w:rPr>
                <w:u w:val="single"/>
              </w:rPr>
            </w:pPr>
            <w:r w:rsidRPr="00267309">
              <w:rPr>
                <w:u w:val="single"/>
              </w:rPr>
              <w:t>$0</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Subtotal</w:t>
            </w:r>
          </w:p>
        </w:tc>
        <w:tc>
          <w:tcPr>
            <w:tcW w:w="2091" w:type="dxa"/>
            <w:shd w:val="clear" w:color="auto" w:fill="auto"/>
            <w:vAlign w:val="center"/>
          </w:tcPr>
          <w:p w:rsidR="009C2AAA" w:rsidRDefault="009C2AAA" w:rsidP="00103CA5">
            <w:pPr>
              <w:autoSpaceDE w:val="0"/>
              <w:autoSpaceDN w:val="0"/>
              <w:adjustRightInd w:val="0"/>
              <w:jc w:val="center"/>
            </w:pPr>
            <w:r>
              <w:t>$111.30</w:t>
            </w:r>
          </w:p>
        </w:tc>
        <w:tc>
          <w:tcPr>
            <w:tcW w:w="2070" w:type="dxa"/>
            <w:shd w:val="clear" w:color="auto" w:fill="auto"/>
            <w:vAlign w:val="center"/>
          </w:tcPr>
          <w:p w:rsidR="009C2AAA" w:rsidRPr="00A94764" w:rsidRDefault="009C2AAA" w:rsidP="00103CA5">
            <w:pPr>
              <w:autoSpaceDE w:val="0"/>
              <w:autoSpaceDN w:val="0"/>
              <w:adjustRightInd w:val="0"/>
              <w:jc w:val="center"/>
            </w:pPr>
            <w:r>
              <w:t>$105.61</w:t>
            </w:r>
          </w:p>
        </w:tc>
        <w:tc>
          <w:tcPr>
            <w:tcW w:w="2070" w:type="dxa"/>
            <w:shd w:val="clear" w:color="auto" w:fill="auto"/>
            <w:vAlign w:val="center"/>
          </w:tcPr>
          <w:p w:rsidR="009C2AAA" w:rsidRPr="00A94764" w:rsidRDefault="009C2AAA" w:rsidP="00103CA5">
            <w:pPr>
              <w:autoSpaceDE w:val="0"/>
              <w:autoSpaceDN w:val="0"/>
              <w:adjustRightInd w:val="0"/>
              <w:jc w:val="center"/>
            </w:pPr>
            <w:r>
              <w:t>($5.69)</w:t>
            </w:r>
          </w:p>
        </w:tc>
      </w:tr>
      <w:tr w:rsidR="009C2AAA" w:rsidTr="00103CA5">
        <w:trPr>
          <w:trHeight w:val="562"/>
        </w:trPr>
        <w:tc>
          <w:tcPr>
            <w:tcW w:w="3219" w:type="dxa"/>
            <w:shd w:val="clear" w:color="auto" w:fill="auto"/>
            <w:vAlign w:val="center"/>
          </w:tcPr>
          <w:p w:rsidR="009C2AAA" w:rsidRDefault="009C2AAA" w:rsidP="00103CA5">
            <w:pPr>
              <w:autoSpaceDE w:val="0"/>
              <w:autoSpaceDN w:val="0"/>
              <w:adjustRightInd w:val="0"/>
              <w:jc w:val="center"/>
            </w:pPr>
            <w:r>
              <w:t>Gross Receipts Tax</w:t>
            </w:r>
          </w:p>
        </w:tc>
        <w:tc>
          <w:tcPr>
            <w:tcW w:w="2091" w:type="dxa"/>
            <w:shd w:val="clear" w:color="auto" w:fill="auto"/>
            <w:vAlign w:val="center"/>
          </w:tcPr>
          <w:p w:rsidR="009C2AAA" w:rsidRPr="00BE3779" w:rsidRDefault="009C2AAA" w:rsidP="00103CA5">
            <w:pPr>
              <w:autoSpaceDE w:val="0"/>
              <w:autoSpaceDN w:val="0"/>
              <w:adjustRightInd w:val="0"/>
              <w:jc w:val="center"/>
              <w:rPr>
                <w:u w:val="single"/>
              </w:rPr>
            </w:pPr>
            <w:r>
              <w:rPr>
                <w:u w:val="single"/>
              </w:rPr>
              <w:t>$2.85</w:t>
            </w:r>
          </w:p>
        </w:tc>
        <w:tc>
          <w:tcPr>
            <w:tcW w:w="2070" w:type="dxa"/>
            <w:shd w:val="clear" w:color="auto" w:fill="auto"/>
            <w:vAlign w:val="center"/>
          </w:tcPr>
          <w:p w:rsidR="009C2AAA" w:rsidRPr="00A94764" w:rsidRDefault="009C2AAA" w:rsidP="00103CA5">
            <w:pPr>
              <w:autoSpaceDE w:val="0"/>
              <w:autoSpaceDN w:val="0"/>
              <w:adjustRightInd w:val="0"/>
              <w:jc w:val="center"/>
              <w:rPr>
                <w:u w:val="single"/>
              </w:rPr>
            </w:pPr>
            <w:r w:rsidRPr="00A94764">
              <w:rPr>
                <w:u w:val="single"/>
              </w:rPr>
              <w:t>$2.71</w:t>
            </w:r>
          </w:p>
        </w:tc>
        <w:tc>
          <w:tcPr>
            <w:tcW w:w="2070" w:type="dxa"/>
            <w:shd w:val="clear" w:color="auto" w:fill="auto"/>
            <w:vAlign w:val="center"/>
          </w:tcPr>
          <w:p w:rsidR="009C2AAA" w:rsidRPr="00267309" w:rsidRDefault="009C2AAA" w:rsidP="00103CA5">
            <w:pPr>
              <w:autoSpaceDE w:val="0"/>
              <w:autoSpaceDN w:val="0"/>
              <w:adjustRightInd w:val="0"/>
              <w:jc w:val="center"/>
              <w:rPr>
                <w:u w:val="double"/>
              </w:rPr>
            </w:pPr>
            <w:r w:rsidRPr="00267309">
              <w:rPr>
                <w:u w:val="double"/>
              </w:rPr>
              <w:t>($0.14)</w:t>
            </w:r>
          </w:p>
        </w:tc>
      </w:tr>
      <w:tr w:rsidR="009C2AAA" w:rsidTr="00103CA5">
        <w:trPr>
          <w:trHeight w:val="562"/>
        </w:trPr>
        <w:tc>
          <w:tcPr>
            <w:tcW w:w="3219" w:type="dxa"/>
            <w:shd w:val="clear" w:color="auto" w:fill="auto"/>
            <w:vAlign w:val="center"/>
          </w:tcPr>
          <w:p w:rsidR="009C2AAA" w:rsidRPr="003A3BE4" w:rsidRDefault="009C2AAA" w:rsidP="00103CA5">
            <w:pPr>
              <w:autoSpaceDE w:val="0"/>
              <w:autoSpaceDN w:val="0"/>
              <w:adjustRightInd w:val="0"/>
              <w:jc w:val="center"/>
              <w:rPr>
                <w:b/>
              </w:rPr>
            </w:pPr>
            <w:r w:rsidRPr="003A3BE4">
              <w:rPr>
                <w:b/>
              </w:rPr>
              <w:t>Total</w:t>
            </w:r>
            <w:r>
              <w:rPr>
                <w:b/>
              </w:rPr>
              <w:t>s</w:t>
            </w:r>
          </w:p>
        </w:tc>
        <w:tc>
          <w:tcPr>
            <w:tcW w:w="2091" w:type="dxa"/>
            <w:shd w:val="clear" w:color="auto" w:fill="auto"/>
            <w:vAlign w:val="center"/>
          </w:tcPr>
          <w:p w:rsidR="009C2AAA" w:rsidRPr="003A3BE4" w:rsidRDefault="009C2AAA" w:rsidP="00103CA5">
            <w:pPr>
              <w:autoSpaceDE w:val="0"/>
              <w:autoSpaceDN w:val="0"/>
              <w:adjustRightInd w:val="0"/>
              <w:jc w:val="center"/>
              <w:rPr>
                <w:b/>
                <w:u w:val="double"/>
              </w:rPr>
            </w:pPr>
            <w:r>
              <w:rPr>
                <w:b/>
                <w:u w:val="double"/>
              </w:rPr>
              <w:t>$114.15</w:t>
            </w:r>
          </w:p>
        </w:tc>
        <w:tc>
          <w:tcPr>
            <w:tcW w:w="2070" w:type="dxa"/>
            <w:shd w:val="clear" w:color="auto" w:fill="auto"/>
            <w:vAlign w:val="center"/>
          </w:tcPr>
          <w:p w:rsidR="009C2AAA" w:rsidRPr="00A94764" w:rsidRDefault="009C2AAA" w:rsidP="00103CA5">
            <w:pPr>
              <w:autoSpaceDE w:val="0"/>
              <w:autoSpaceDN w:val="0"/>
              <w:adjustRightInd w:val="0"/>
              <w:jc w:val="center"/>
              <w:rPr>
                <w:b/>
                <w:u w:val="double"/>
              </w:rPr>
            </w:pPr>
            <w:r w:rsidRPr="00A94764">
              <w:rPr>
                <w:b/>
                <w:u w:val="double"/>
              </w:rPr>
              <w:t>$108.32</w:t>
            </w:r>
          </w:p>
        </w:tc>
        <w:tc>
          <w:tcPr>
            <w:tcW w:w="2070" w:type="dxa"/>
            <w:shd w:val="clear" w:color="auto" w:fill="auto"/>
            <w:vAlign w:val="center"/>
          </w:tcPr>
          <w:p w:rsidR="009C2AAA" w:rsidRPr="00267309" w:rsidRDefault="009C2AAA" w:rsidP="00103CA5">
            <w:pPr>
              <w:autoSpaceDE w:val="0"/>
              <w:autoSpaceDN w:val="0"/>
              <w:adjustRightInd w:val="0"/>
              <w:jc w:val="center"/>
              <w:rPr>
                <w:b/>
                <w:u w:val="double"/>
              </w:rPr>
            </w:pPr>
            <w:r w:rsidRPr="00267309">
              <w:rPr>
                <w:b/>
                <w:u w:val="double"/>
              </w:rPr>
              <w:t>($5.83)</w:t>
            </w:r>
          </w:p>
        </w:tc>
      </w:tr>
    </w:tbl>
    <w:p w:rsidR="009C2AAA" w:rsidRDefault="009C2AAA" w:rsidP="009C2AAA">
      <w:pPr>
        <w:pStyle w:val="BodyText"/>
      </w:pPr>
    </w:p>
    <w:p w:rsidR="009C2AAA" w:rsidRDefault="009C2AAA" w:rsidP="00F018D3">
      <w:pPr>
        <w:pStyle w:val="OrderBody"/>
        <w:sectPr w:rsidR="009C2AAA" w:rsidSect="00F018D3">
          <w:headerReference w:type="default" r:id="rId16"/>
          <w:pgSz w:w="12240" w:h="15840" w:code="1"/>
          <w:pgMar w:top="1440" w:right="1440" w:bottom="1440" w:left="1440" w:header="720" w:footer="720" w:gutter="0"/>
          <w:cols w:space="720"/>
          <w:docGrid w:linePitch="360"/>
        </w:sectPr>
      </w:pPr>
    </w:p>
    <w:p w:rsidR="009C2AAA" w:rsidRPr="00F018D3" w:rsidRDefault="009C2AAA" w:rsidP="00F018D3">
      <w:pPr>
        <w:pStyle w:val="OrderBody"/>
      </w:pPr>
      <w:r>
        <w:rPr>
          <w:noProof/>
        </w:rPr>
        <w:lastRenderedPageBreak/>
        <w:drawing>
          <wp:inline distT="0" distB="0" distL="0" distR="0" wp14:anchorId="5874A326" wp14:editId="0DA3C5B9">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sectPr w:rsidR="009C2AAA" w:rsidRPr="00F018D3" w:rsidSect="00F018D3">
      <w:head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E4C" w:rsidRDefault="003F1E4C">
      <w:r>
        <w:separator/>
      </w:r>
    </w:p>
  </w:endnote>
  <w:endnote w:type="continuationSeparator" w:id="0">
    <w:p w:rsidR="003F1E4C" w:rsidRDefault="003F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pPr>
      <w:pStyle w:val="Footer"/>
    </w:pPr>
  </w:p>
  <w:p w:rsidR="003F1E4C" w:rsidRDefault="003F1E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E4C" w:rsidRDefault="003F1E4C">
      <w:r>
        <w:separator/>
      </w:r>
    </w:p>
  </w:footnote>
  <w:footnote w:type="continuationSeparator" w:id="0">
    <w:p w:rsidR="003F1E4C" w:rsidRDefault="003F1E4C">
      <w:r>
        <w:continuationSeparator/>
      </w:r>
    </w:p>
  </w:footnote>
  <w:footnote w:id="1">
    <w:p w:rsidR="003F1E4C" w:rsidRPr="00ED0216" w:rsidRDefault="003F1E4C" w:rsidP="00F018D3">
      <w:pPr>
        <w:pStyle w:val="FootnoteText"/>
      </w:pPr>
      <w:r>
        <w:rPr>
          <w:rStyle w:val="FootnoteReference"/>
        </w:rPr>
        <w:footnoteRef/>
      </w:r>
      <w:r>
        <w:t xml:space="preserve"> Order No. PSC-15-0586-FOF-EI, issued December 23, 2015, in Docket No: 150001-EI, </w:t>
      </w:r>
      <w:r w:rsidRPr="00F018D3">
        <w:rPr>
          <w:u w:val="single"/>
        </w:rPr>
        <w:t>In re: Fuel and Purchased Power Cost Recovery Clause with Generating Performance Incentive Factor.</w:t>
      </w:r>
    </w:p>
  </w:footnote>
  <w:footnote w:id="2">
    <w:p w:rsidR="003F1E4C" w:rsidRPr="000C268A" w:rsidRDefault="003F1E4C" w:rsidP="00F018D3">
      <w:pPr>
        <w:pStyle w:val="FootnoteText"/>
        <w:rPr>
          <w:u w:val="single"/>
        </w:rPr>
      </w:pPr>
      <w:r>
        <w:rPr>
          <w:rStyle w:val="FootnoteReference"/>
        </w:rPr>
        <w:footnoteRef/>
      </w:r>
      <w:r>
        <w:rPr>
          <w:u w:val="single"/>
        </w:rPr>
        <w:t xml:space="preserve"> Gulf Power Co. v. </w:t>
      </w:r>
      <w:proofErr w:type="spellStart"/>
      <w:r>
        <w:rPr>
          <w:u w:val="single"/>
        </w:rPr>
        <w:t>Cresse</w:t>
      </w:r>
      <w:proofErr w:type="spellEnd"/>
      <w:r>
        <w:t xml:space="preserve">, 410 So.2d 492 (Fla. 1982); Order No. PSC-96-0907-FOF-EI, issued on July 15, 1996, in Docket No. 960001-EI, </w:t>
      </w:r>
      <w:r w:rsidRPr="00F018D3">
        <w:rPr>
          <w:u w:val="single"/>
        </w:rPr>
        <w:t>In re: Fuel and purchased power cost recovery clause and generating performance incentive factor</w:t>
      </w:r>
      <w:r>
        <w:t xml:space="preserve">; Order No. 96-0908-FOF-EI, issued July 15, 1996, in Docket No. 960001-EI, </w:t>
      </w:r>
      <w:r w:rsidRPr="00F018D3">
        <w:rPr>
          <w:u w:val="single"/>
        </w:rPr>
        <w:t>In re: Fuel and purchased power cost recovery clause and generating performance incentive factor</w:t>
      </w:r>
      <w:r>
        <w:t xml:space="preserve">; Order No. PSC-97-0021-FOF-EI, issued on January 6, 1997, in Docket No. 970001-EI, </w:t>
      </w:r>
      <w:r w:rsidRPr="00F018D3">
        <w:rPr>
          <w:u w:val="single"/>
        </w:rPr>
        <w:t>In re: Fuel and purchased power cost recovery clause and generating performance incentive factor</w:t>
      </w:r>
      <w:r w:rsidRPr="00103CA5">
        <w:t>.</w:t>
      </w:r>
    </w:p>
  </w:footnote>
  <w:footnote w:id="3">
    <w:p w:rsidR="003F1E4C" w:rsidRDefault="003F1E4C" w:rsidP="00F018D3">
      <w:pPr>
        <w:pStyle w:val="FootnoteText"/>
      </w:pPr>
      <w:r>
        <w:rPr>
          <w:rStyle w:val="FootnoteReference"/>
        </w:rPr>
        <w:footnoteRef/>
      </w:r>
      <w:r>
        <w:t xml:space="preserve"> Order No. PSC-01-0963-PCO-EI, issued April 18, 2001, in Docket No. 010001-EI, </w:t>
      </w:r>
      <w:r w:rsidRPr="00F018D3">
        <w:rPr>
          <w:u w:val="single"/>
        </w:rPr>
        <w:t>In re: Fuel and purchased power cost recovery clause and generating performance incentive factor</w:t>
      </w:r>
      <w:r w:rsidRPr="00C30694">
        <w:rPr>
          <w:i/>
        </w:rPr>
        <w:t>,</w:t>
      </w:r>
      <w:r>
        <w:t xml:space="preserve"> (allowing recovery of increase in fuel factor in order to decrease the carrying costs and therefore the  total amount ratepayers were ultimately required to repay.); Order No. PSC-00-2383-FOF-GU, issued December 12, 2000, in Docket No. 000003-GU, </w:t>
      </w:r>
      <w:r w:rsidRPr="00F018D3">
        <w:rPr>
          <w:u w:val="single"/>
        </w:rPr>
        <w:t>In re: Purchased gas adjustment (PGA) true-up</w:t>
      </w:r>
      <w:r w:rsidRPr="00C30694">
        <w:rPr>
          <w:i/>
        </w:rPr>
        <w:t xml:space="preserve"> (</w:t>
      </w:r>
      <w:r w:rsidRPr="00C81DF7">
        <w:t>allowing recovery of an increased gas fuel factor due to drastic increases in natural gas prices in winter of 2000-2001</w:t>
      </w:r>
      <w:r w:rsidRPr="00C30694">
        <w:rPr>
          <w:i/>
        </w:rPr>
        <w:t>.)</w:t>
      </w:r>
      <w:r>
        <w:t xml:space="preserve">; Order No. PSC-15-0161-PCO-EI, issued April 30, 2015, in Docket No. 150001-EI, </w:t>
      </w:r>
      <w:r w:rsidRPr="00F018D3">
        <w:rPr>
          <w:u w:val="single"/>
        </w:rPr>
        <w:t>In re: Fuel and Purchased Power Cost Recovery Clause with Generating Performance Incentive Factor.</w:t>
      </w:r>
      <w:r>
        <w:t xml:space="preserve"> (approving FPL’s petition for a mid-course correction, thereby reducing fuel factors with less than 30 days notice).</w:t>
      </w:r>
    </w:p>
  </w:footnote>
  <w:footnote w:id="4">
    <w:p w:rsidR="003F1E4C" w:rsidRDefault="003F1E4C" w:rsidP="00F018D3">
      <w:pPr>
        <w:pStyle w:val="FootnoteText"/>
      </w:pPr>
      <w:r>
        <w:rPr>
          <w:rStyle w:val="FootnoteReference"/>
        </w:rPr>
        <w:footnoteRef/>
      </w:r>
      <w:r>
        <w:t xml:space="preserve"> The New York Mercantile Exchange (NYMEX) is a commodities futures exchange widely used by the electric industry for pricing natural gas.</w:t>
      </w:r>
    </w:p>
  </w:footnote>
  <w:footnote w:id="5">
    <w:p w:rsidR="003F1E4C" w:rsidRDefault="003F1E4C" w:rsidP="00F018D3">
      <w:pPr>
        <w:pStyle w:val="FootnoteText"/>
      </w:pPr>
      <w:r>
        <w:rPr>
          <w:rStyle w:val="FootnoteReference"/>
        </w:rPr>
        <w:footnoteRef/>
      </w:r>
      <w:r w:rsidR="00B6458C">
        <w:t xml:space="preserve"> </w:t>
      </w:r>
      <w:r>
        <w:t>The FPL Petition states that the NYMEX average 2016 price of natural gas based on the July 27, 2015 forward curve was $3.14 per MMBtu. The comparative forward curve as of January 4, 2016 reflects the NYMEX average 2016 price of natural gas had declined to $2.48 per MMBtu, a reduction of $0.66 per MMBtu (21.02 percent).</w:t>
      </w:r>
    </w:p>
  </w:footnote>
  <w:footnote w:id="6">
    <w:p w:rsidR="003F1E4C" w:rsidRDefault="003F1E4C" w:rsidP="00F018D3">
      <w:pPr>
        <w:pStyle w:val="FootnoteText"/>
      </w:pPr>
      <w:r>
        <w:rPr>
          <w:rStyle w:val="FootnoteReference"/>
        </w:rPr>
        <w:footnoteRef/>
      </w:r>
      <w:r>
        <w:t xml:space="preserve"> Commission staff reviewed drafts of notices FPL will use for residential and business customers.</w:t>
      </w:r>
    </w:p>
  </w:footnote>
  <w:footnote w:id="7">
    <w:p w:rsidR="003F1E4C" w:rsidRDefault="003F1E4C" w:rsidP="00F018D3">
      <w:pPr>
        <w:pStyle w:val="FootnoteText"/>
      </w:pPr>
      <w:r>
        <w:rPr>
          <w:rStyle w:val="FootnoteReference"/>
        </w:rPr>
        <w:footnoteRef/>
      </w:r>
      <w:r>
        <w:t xml:space="preserve"> </w:t>
      </w:r>
      <w:r w:rsidRPr="00D75FE0">
        <w:t>The Duke Petition included a matrix of Projected Market Price by Fuel Typ</w:t>
      </w:r>
      <w:r>
        <w:t>e</w:t>
      </w:r>
      <w:r w:rsidRPr="00D75FE0">
        <w:t xml:space="preserve"> showing the NYMEX average 2016 price of natural gas based on the June 11, 2015 forward curve was $3.20 per MMBtu. </w:t>
      </w:r>
      <w:r>
        <w:t xml:space="preserve"> </w:t>
      </w:r>
      <w:r w:rsidRPr="00D75FE0">
        <w:t>The comparative forward curve as of January 6, 2016 reflects the NYMEX average 2016 price of natural gas had declined to $2.47 per MMBtu, a redu</w:t>
      </w:r>
      <w:r>
        <w:t>ction of $0.73 per MMBtu (22.81 percent</w:t>
      </w:r>
      <w:r w:rsidRPr="00D75FE0">
        <w:t>).</w:t>
      </w:r>
    </w:p>
  </w:footnote>
  <w:footnote w:id="8">
    <w:p w:rsidR="003F1E4C" w:rsidRDefault="003F1E4C" w:rsidP="00F018D3">
      <w:pPr>
        <w:pStyle w:val="FootnoteText"/>
      </w:pPr>
      <w:r>
        <w:rPr>
          <w:rStyle w:val="FootnoteReference"/>
        </w:rPr>
        <w:footnoteRef/>
      </w:r>
      <w:r>
        <w:t xml:space="preserve"> Commission staff reviewed drafts of notices DEF will use for residential and business customers.</w:t>
      </w:r>
    </w:p>
  </w:footnote>
  <w:footnote w:id="9">
    <w:p w:rsidR="003F1E4C" w:rsidRDefault="003F1E4C" w:rsidP="00F018D3">
      <w:pPr>
        <w:pStyle w:val="FootnoteText"/>
      </w:pPr>
      <w:r>
        <w:rPr>
          <w:rStyle w:val="FootnoteReference"/>
        </w:rPr>
        <w:footnoteRef/>
      </w:r>
      <w:r>
        <w:t xml:space="preserve"> Order No. PSC-15-0586-FOF-EI, issued December 23, 2015, in Docket No: 150001-EI, </w:t>
      </w:r>
      <w:r w:rsidRPr="00F018D3">
        <w:rPr>
          <w:u w:val="single"/>
        </w:rPr>
        <w:t>In re: Fuel and Purchased Power Cost Recovery Clause with Generating Performance Incentive Factor</w:t>
      </w:r>
      <w:r w:rsidRPr="00AD000D">
        <w:t>.</w:t>
      </w:r>
    </w:p>
  </w:footnote>
  <w:footnote w:id="10">
    <w:p w:rsidR="003F1E4C" w:rsidRDefault="003F1E4C" w:rsidP="00F018D3">
      <w:pPr>
        <w:pStyle w:val="FootnoteText"/>
      </w:pPr>
      <w:r>
        <w:rPr>
          <w:rStyle w:val="FootnoteReference"/>
        </w:rPr>
        <w:footnoteRef/>
      </w:r>
      <w:r>
        <w:t xml:space="preserve"> On September 1, 2015, DEF filed projection schedules for 2016, and Line 30 of Schedule E12-A reflects that DEF estimated its Total Capacity Costs for the period January-December, 2016 would be $358,842,970.  The similar schedule in DEF’s mid-course correction filing revises this amount to $387,996,884, which includes a January 2016 True-up balance adjustment of $14,191,494.  </w:t>
      </w:r>
    </w:p>
  </w:footnote>
  <w:footnote w:id="11">
    <w:p w:rsidR="003F1E4C" w:rsidRDefault="003F1E4C" w:rsidP="009C2AAA">
      <w:pPr>
        <w:pStyle w:val="FootnoteText"/>
      </w:pPr>
      <w:r>
        <w:rPr>
          <w:rStyle w:val="FootnoteReference"/>
        </w:rPr>
        <w:footnoteRef/>
      </w:r>
      <w:r>
        <w:t xml:space="preserve"> On Schedule E-10, DEF states that its Mid-Course Correction amounts do not include the impact of recovering the CR3 regulatory asset through issuance of low-cost bonds.  The estimated bill impact for a residential customer using 1,000 kWh of electricity is $2.93 per month, resulting in total estimated bill of $111.32.  The bonds have not been issued, but are expected to be issued in March or April,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pPr>
      <w:pStyle w:val="OrderHeader"/>
    </w:pPr>
    <w:r>
      <w:t xml:space="preserve">ORDER NO. </w:t>
    </w:r>
    <w:fldSimple w:instr=" REF OrderNo0120 ">
      <w:r w:rsidR="004B591F">
        <w:t>PSC-16-0120-PCO-EI</w:t>
      </w:r>
    </w:fldSimple>
  </w:p>
  <w:p w:rsidR="003F1E4C" w:rsidRDefault="003F1E4C">
    <w:pPr>
      <w:pStyle w:val="OrderHeader"/>
    </w:pPr>
    <w:bookmarkStart w:id="9" w:name="HeaderDocketNo"/>
    <w:bookmarkEnd w:id="9"/>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7</w:t>
    </w:r>
    <w:r>
      <w:rPr>
        <w:rStyle w:val="PageNumber"/>
      </w:rPr>
      <w:fldChar w:fldCharType="end"/>
    </w:r>
  </w:p>
  <w:p w:rsidR="003F1E4C" w:rsidRDefault="003F1E4C">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rsidP="00F018D3">
    <w:pPr>
      <w:pStyle w:val="OrderHeader"/>
      <w:tabs>
        <w:tab w:val="clear" w:pos="4320"/>
        <w:tab w:val="clear" w:pos="8640"/>
        <w:tab w:val="right" w:pos="9360"/>
      </w:tabs>
    </w:pPr>
    <w:r>
      <w:t xml:space="preserve">ORDER NO. </w:t>
    </w:r>
    <w:r w:rsidR="004B591F">
      <w:fldChar w:fldCharType="begin"/>
    </w:r>
    <w:r w:rsidR="004B591F">
      <w:instrText xml:space="preserve"> REF OrderNo0120 </w:instrText>
    </w:r>
    <w:r w:rsidR="004B591F">
      <w:fldChar w:fldCharType="separate"/>
    </w:r>
    <w:r w:rsidR="004B591F">
      <w:t>PSC-16-0120-PCO-EI</w:t>
    </w:r>
    <w:r w:rsidR="004B591F">
      <w:fldChar w:fldCharType="end"/>
    </w:r>
    <w:r>
      <w:tab/>
      <w:t>ATTACHMENT A</w:t>
    </w:r>
  </w:p>
  <w:p w:rsidR="003F1E4C" w:rsidRDefault="003F1E4C">
    <w:pPr>
      <w:pStyle w:val="OrderHeader"/>
    </w:pPr>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9</w:t>
    </w:r>
    <w:r>
      <w:rPr>
        <w:rStyle w:val="PageNumber"/>
      </w:rPr>
      <w:fldChar w:fldCharType="end"/>
    </w:r>
  </w:p>
  <w:p w:rsidR="003F1E4C" w:rsidRDefault="003F1E4C">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rsidP="00F018D3">
    <w:pPr>
      <w:pStyle w:val="OrderHeader"/>
      <w:tabs>
        <w:tab w:val="clear" w:pos="4320"/>
        <w:tab w:val="clear" w:pos="8640"/>
        <w:tab w:val="right" w:pos="9360"/>
      </w:tabs>
    </w:pPr>
    <w:r>
      <w:t xml:space="preserve">ORDER NO. </w:t>
    </w:r>
    <w:r w:rsidR="004B591F">
      <w:fldChar w:fldCharType="begin"/>
    </w:r>
    <w:r w:rsidR="004B591F">
      <w:instrText xml:space="preserve"> REF OrderNo0120 </w:instrText>
    </w:r>
    <w:r w:rsidR="004B591F">
      <w:fldChar w:fldCharType="separate"/>
    </w:r>
    <w:r w:rsidR="004B591F">
      <w:t>PSC-16-0120-PCO-EI</w:t>
    </w:r>
    <w:r w:rsidR="004B591F">
      <w:fldChar w:fldCharType="end"/>
    </w:r>
    <w:r>
      <w:tab/>
      <w:t>ATTACHMENT B</w:t>
    </w:r>
  </w:p>
  <w:p w:rsidR="003F1E4C" w:rsidRDefault="003F1E4C">
    <w:pPr>
      <w:pStyle w:val="OrderHeader"/>
    </w:pPr>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10</w:t>
    </w:r>
    <w:r>
      <w:rPr>
        <w:rStyle w:val="PageNumber"/>
      </w:rPr>
      <w:fldChar w:fldCharType="end"/>
    </w:r>
  </w:p>
  <w:p w:rsidR="003F1E4C" w:rsidRDefault="003F1E4C">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rsidP="00F018D3">
    <w:pPr>
      <w:pStyle w:val="OrderHeader"/>
      <w:tabs>
        <w:tab w:val="clear" w:pos="4320"/>
        <w:tab w:val="clear" w:pos="8640"/>
        <w:tab w:val="right" w:pos="9360"/>
      </w:tabs>
    </w:pPr>
    <w:r>
      <w:t xml:space="preserve">ORDER NO. </w:t>
    </w:r>
    <w:r w:rsidR="004B591F">
      <w:fldChar w:fldCharType="begin"/>
    </w:r>
    <w:r w:rsidR="004B591F">
      <w:instrText xml:space="preserve"> REF OrderNo0120 </w:instrText>
    </w:r>
    <w:r w:rsidR="004B591F">
      <w:fldChar w:fldCharType="separate"/>
    </w:r>
    <w:r w:rsidR="004B591F">
      <w:t>PSC-16-0120-PCO-EI</w:t>
    </w:r>
    <w:r w:rsidR="004B591F">
      <w:fldChar w:fldCharType="end"/>
    </w:r>
    <w:r>
      <w:tab/>
      <w:t>ATTACHMENT C</w:t>
    </w:r>
  </w:p>
  <w:p w:rsidR="003F1E4C" w:rsidRDefault="003F1E4C">
    <w:pPr>
      <w:pStyle w:val="OrderHeader"/>
    </w:pPr>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12</w:t>
    </w:r>
    <w:r>
      <w:rPr>
        <w:rStyle w:val="PageNumber"/>
      </w:rPr>
      <w:fldChar w:fldCharType="end"/>
    </w:r>
  </w:p>
  <w:p w:rsidR="003F1E4C" w:rsidRDefault="003F1E4C">
    <w:pPr>
      <w:pStyle w:val="Order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rsidP="00F018D3">
    <w:pPr>
      <w:pStyle w:val="OrderHeader"/>
      <w:tabs>
        <w:tab w:val="clear" w:pos="4320"/>
        <w:tab w:val="clear" w:pos="8640"/>
        <w:tab w:val="right" w:pos="9360"/>
      </w:tabs>
    </w:pPr>
    <w:r>
      <w:t xml:space="preserve">ORDER NO. </w:t>
    </w:r>
    <w:r w:rsidR="004B591F">
      <w:fldChar w:fldCharType="begin"/>
    </w:r>
    <w:r w:rsidR="004B591F">
      <w:instrText xml:space="preserve"> REF OrderNo0120 </w:instrText>
    </w:r>
    <w:r w:rsidR="004B591F">
      <w:fldChar w:fldCharType="separate"/>
    </w:r>
    <w:r w:rsidR="004B591F">
      <w:t>PSC-16-0120-PCO-EI</w:t>
    </w:r>
    <w:r w:rsidR="004B591F">
      <w:fldChar w:fldCharType="end"/>
    </w:r>
    <w:r>
      <w:tab/>
      <w:t>ATTACHMENT D</w:t>
    </w:r>
  </w:p>
  <w:p w:rsidR="003F1E4C" w:rsidRDefault="003F1E4C">
    <w:pPr>
      <w:pStyle w:val="OrderHeader"/>
    </w:pPr>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13</w:t>
    </w:r>
    <w:r>
      <w:rPr>
        <w:rStyle w:val="PageNumber"/>
      </w:rPr>
      <w:fldChar w:fldCharType="end"/>
    </w:r>
  </w:p>
  <w:p w:rsidR="003F1E4C" w:rsidRDefault="003F1E4C">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rsidP="00F018D3">
    <w:pPr>
      <w:pStyle w:val="OrderHeader"/>
      <w:tabs>
        <w:tab w:val="clear" w:pos="4320"/>
        <w:tab w:val="clear" w:pos="8640"/>
        <w:tab w:val="right" w:pos="9360"/>
      </w:tabs>
    </w:pPr>
    <w:r>
      <w:t xml:space="preserve">ORDER NO. </w:t>
    </w:r>
    <w:r w:rsidR="004B591F">
      <w:fldChar w:fldCharType="begin"/>
    </w:r>
    <w:r w:rsidR="004B591F">
      <w:instrText xml:space="preserve"> REF OrderNo0120 </w:instrText>
    </w:r>
    <w:r w:rsidR="004B591F">
      <w:fldChar w:fldCharType="separate"/>
    </w:r>
    <w:r w:rsidR="004B591F">
      <w:t>PSC-16-0120-PCO-EI</w:t>
    </w:r>
    <w:r w:rsidR="004B591F">
      <w:fldChar w:fldCharType="end"/>
    </w:r>
    <w:r>
      <w:tab/>
      <w:t>ATTACHMENT E</w:t>
    </w:r>
  </w:p>
  <w:p w:rsidR="003F1E4C" w:rsidRDefault="003F1E4C">
    <w:pPr>
      <w:pStyle w:val="OrderHeader"/>
    </w:pPr>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14</w:t>
    </w:r>
    <w:r>
      <w:rPr>
        <w:rStyle w:val="PageNumber"/>
      </w:rPr>
      <w:fldChar w:fldCharType="end"/>
    </w:r>
  </w:p>
  <w:p w:rsidR="003F1E4C" w:rsidRDefault="003F1E4C">
    <w:pPr>
      <w:pStyle w:val="Order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E4C" w:rsidRDefault="003F1E4C" w:rsidP="00F018D3">
    <w:pPr>
      <w:pStyle w:val="OrderHeader"/>
      <w:tabs>
        <w:tab w:val="clear" w:pos="4320"/>
        <w:tab w:val="clear" w:pos="8640"/>
        <w:tab w:val="right" w:pos="9360"/>
      </w:tabs>
    </w:pPr>
    <w:r>
      <w:t xml:space="preserve">ORDER NO. </w:t>
    </w:r>
    <w:r w:rsidR="004B591F">
      <w:fldChar w:fldCharType="begin"/>
    </w:r>
    <w:r w:rsidR="004B591F">
      <w:instrText xml:space="preserve"> REF OrderNo0120 </w:instrText>
    </w:r>
    <w:r w:rsidR="004B591F">
      <w:fldChar w:fldCharType="separate"/>
    </w:r>
    <w:r w:rsidR="004B591F">
      <w:t>PSC-16-0120-PCO-EI</w:t>
    </w:r>
    <w:r w:rsidR="004B591F">
      <w:fldChar w:fldCharType="end"/>
    </w:r>
    <w:r>
      <w:tab/>
      <w:t>ATTACHMENT F</w:t>
    </w:r>
  </w:p>
  <w:p w:rsidR="003F1E4C" w:rsidRDefault="003F1E4C">
    <w:pPr>
      <w:pStyle w:val="OrderHeader"/>
    </w:pPr>
    <w:r>
      <w:t>DOCKET NO. 160001-EI</w:t>
    </w:r>
  </w:p>
  <w:p w:rsidR="003F1E4C" w:rsidRDefault="003F1E4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B591F">
      <w:rPr>
        <w:rStyle w:val="PageNumber"/>
        <w:noProof/>
      </w:rPr>
      <w:t>15</w:t>
    </w:r>
    <w:r>
      <w:rPr>
        <w:rStyle w:val="PageNumber"/>
      </w:rPr>
      <w:fldChar w:fldCharType="end"/>
    </w:r>
  </w:p>
  <w:p w:rsidR="003F1E4C" w:rsidRDefault="003F1E4C">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001-EI"/>
  </w:docVars>
  <w:rsids>
    <w:rsidRoot w:val="00F018D3"/>
    <w:rsid w:val="000022B8"/>
    <w:rsid w:val="00053AB9"/>
    <w:rsid w:val="00056229"/>
    <w:rsid w:val="00065FC2"/>
    <w:rsid w:val="00090AFC"/>
    <w:rsid w:val="000D06E8"/>
    <w:rsid w:val="000E344D"/>
    <w:rsid w:val="000F3B2C"/>
    <w:rsid w:val="000F7BE3"/>
    <w:rsid w:val="00103CA5"/>
    <w:rsid w:val="00116AD3"/>
    <w:rsid w:val="00126593"/>
    <w:rsid w:val="00142A96"/>
    <w:rsid w:val="001849BC"/>
    <w:rsid w:val="00187E32"/>
    <w:rsid w:val="00194E81"/>
    <w:rsid w:val="001A095B"/>
    <w:rsid w:val="001A33C9"/>
    <w:rsid w:val="001D008A"/>
    <w:rsid w:val="002002ED"/>
    <w:rsid w:val="0022721A"/>
    <w:rsid w:val="00230BB9"/>
    <w:rsid w:val="00241CEF"/>
    <w:rsid w:val="00252B30"/>
    <w:rsid w:val="002A11AC"/>
    <w:rsid w:val="002A6F30"/>
    <w:rsid w:val="002C3CD2"/>
    <w:rsid w:val="002D7D15"/>
    <w:rsid w:val="002E27EB"/>
    <w:rsid w:val="00303FDE"/>
    <w:rsid w:val="003140E8"/>
    <w:rsid w:val="003231C7"/>
    <w:rsid w:val="00331ED0"/>
    <w:rsid w:val="0035495B"/>
    <w:rsid w:val="003744F5"/>
    <w:rsid w:val="00390DD8"/>
    <w:rsid w:val="00394DC6"/>
    <w:rsid w:val="00397C3E"/>
    <w:rsid w:val="003D4CCA"/>
    <w:rsid w:val="003D6416"/>
    <w:rsid w:val="003E1D48"/>
    <w:rsid w:val="003F1E4C"/>
    <w:rsid w:val="0042527B"/>
    <w:rsid w:val="00457DC7"/>
    <w:rsid w:val="00472BCC"/>
    <w:rsid w:val="004A25CD"/>
    <w:rsid w:val="004A26CC"/>
    <w:rsid w:val="004B2108"/>
    <w:rsid w:val="004B3A2B"/>
    <w:rsid w:val="004B591F"/>
    <w:rsid w:val="004D2D1B"/>
    <w:rsid w:val="004F2DDE"/>
    <w:rsid w:val="0050097F"/>
    <w:rsid w:val="00514B1F"/>
    <w:rsid w:val="00556A10"/>
    <w:rsid w:val="005963C2"/>
    <w:rsid w:val="005B45F7"/>
    <w:rsid w:val="005B63EA"/>
    <w:rsid w:val="00660774"/>
    <w:rsid w:val="00665CC7"/>
    <w:rsid w:val="006A0BF3"/>
    <w:rsid w:val="006B0DA6"/>
    <w:rsid w:val="006C547E"/>
    <w:rsid w:val="00704C5D"/>
    <w:rsid w:val="00715275"/>
    <w:rsid w:val="00733B6B"/>
    <w:rsid w:val="0076170F"/>
    <w:rsid w:val="0076669C"/>
    <w:rsid w:val="007865E9"/>
    <w:rsid w:val="00792383"/>
    <w:rsid w:val="007A060F"/>
    <w:rsid w:val="007D3D20"/>
    <w:rsid w:val="007E3AFD"/>
    <w:rsid w:val="007F439B"/>
    <w:rsid w:val="00803189"/>
    <w:rsid w:val="00804E7A"/>
    <w:rsid w:val="00805FBB"/>
    <w:rsid w:val="008169A4"/>
    <w:rsid w:val="008278FE"/>
    <w:rsid w:val="00832598"/>
    <w:rsid w:val="0083397E"/>
    <w:rsid w:val="0083534B"/>
    <w:rsid w:val="00863A66"/>
    <w:rsid w:val="00874429"/>
    <w:rsid w:val="00883D9A"/>
    <w:rsid w:val="008919EF"/>
    <w:rsid w:val="008C6A5B"/>
    <w:rsid w:val="008E26A5"/>
    <w:rsid w:val="008E42D2"/>
    <w:rsid w:val="009040EE"/>
    <w:rsid w:val="009057FD"/>
    <w:rsid w:val="00922A7F"/>
    <w:rsid w:val="00923A5E"/>
    <w:rsid w:val="009924CF"/>
    <w:rsid w:val="00994100"/>
    <w:rsid w:val="009C2AAA"/>
    <w:rsid w:val="009D4C29"/>
    <w:rsid w:val="00A466AA"/>
    <w:rsid w:val="00A62DAB"/>
    <w:rsid w:val="00A726A6"/>
    <w:rsid w:val="00A97535"/>
    <w:rsid w:val="00AA73F1"/>
    <w:rsid w:val="00AB0E1A"/>
    <w:rsid w:val="00AB1A30"/>
    <w:rsid w:val="00AD000D"/>
    <w:rsid w:val="00AD1ED3"/>
    <w:rsid w:val="00B0777D"/>
    <w:rsid w:val="00B4057A"/>
    <w:rsid w:val="00B40894"/>
    <w:rsid w:val="00B45E75"/>
    <w:rsid w:val="00B50876"/>
    <w:rsid w:val="00B55EE5"/>
    <w:rsid w:val="00B6458C"/>
    <w:rsid w:val="00B73DE6"/>
    <w:rsid w:val="00B86EF0"/>
    <w:rsid w:val="00B97900"/>
    <w:rsid w:val="00BA44A8"/>
    <w:rsid w:val="00BF6691"/>
    <w:rsid w:val="00C028FC"/>
    <w:rsid w:val="00C66692"/>
    <w:rsid w:val="00C91123"/>
    <w:rsid w:val="00CA71FF"/>
    <w:rsid w:val="00CB5276"/>
    <w:rsid w:val="00CB68D7"/>
    <w:rsid w:val="00CC7E68"/>
    <w:rsid w:val="00CD7132"/>
    <w:rsid w:val="00CE0E6F"/>
    <w:rsid w:val="00D30B48"/>
    <w:rsid w:val="00D46FAA"/>
    <w:rsid w:val="00D57BB2"/>
    <w:rsid w:val="00D8560E"/>
    <w:rsid w:val="00D8758F"/>
    <w:rsid w:val="00DC1D94"/>
    <w:rsid w:val="00DE057F"/>
    <w:rsid w:val="00DE2082"/>
    <w:rsid w:val="00DE2289"/>
    <w:rsid w:val="00DF6405"/>
    <w:rsid w:val="00E04410"/>
    <w:rsid w:val="00E11351"/>
    <w:rsid w:val="00EA172C"/>
    <w:rsid w:val="00EA259B"/>
    <w:rsid w:val="00EA35A3"/>
    <w:rsid w:val="00EA3E6A"/>
    <w:rsid w:val="00EB18EF"/>
    <w:rsid w:val="00EE17DF"/>
    <w:rsid w:val="00EF4621"/>
    <w:rsid w:val="00F018D3"/>
    <w:rsid w:val="00F277B6"/>
    <w:rsid w:val="00F54380"/>
    <w:rsid w:val="00F54B47"/>
    <w:rsid w:val="00F70E84"/>
    <w:rsid w:val="00FA6EF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C2AAA"/>
    <w:rPr>
      <w:rFonts w:ascii="Tahoma" w:hAnsi="Tahoma" w:cs="Tahoma"/>
      <w:sz w:val="16"/>
      <w:szCs w:val="16"/>
    </w:rPr>
  </w:style>
  <w:style w:type="character" w:customStyle="1" w:styleId="BalloonTextChar">
    <w:name w:val="Balloon Text Char"/>
    <w:basedOn w:val="DefaultParagraphFont"/>
    <w:link w:val="BalloonText"/>
    <w:rsid w:val="009C2A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9C2AAA"/>
    <w:rPr>
      <w:rFonts w:ascii="Tahoma" w:hAnsi="Tahoma" w:cs="Tahoma"/>
      <w:sz w:val="16"/>
      <w:szCs w:val="16"/>
    </w:rPr>
  </w:style>
  <w:style w:type="character" w:customStyle="1" w:styleId="BalloonTextChar">
    <w:name w:val="Balloon Text Char"/>
    <w:basedOn w:val="DefaultParagraphFont"/>
    <w:link w:val="BalloonText"/>
    <w:rsid w:val="009C2A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header" Target="header8.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G"/><Relationship Id="rId17" Type="http://schemas.openxmlformats.org/officeDocument/2006/relationships/image" Target="media/image3.JPG"/><Relationship Id="rId2" Type="http://schemas.microsoft.com/office/2007/relationships/stylesWithEffects" Target="stylesWithEffect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15</Pages>
  <Words>3209</Words>
  <Characters>18134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2016-03-21T16:45:00Z</dcterms:created>
  <dcterms:modified xsi:type="dcterms:W3CDTF">2016-03-21T18:29:00Z</dcterms:modified>
</cp:coreProperties>
</file>