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02494" w:rsidP="00002494">
      <w:pPr>
        <w:pStyle w:val="OrderHeading"/>
      </w:pPr>
      <w:r>
        <w:t>BEFORE THE FLORIDA PUBLIC SERVICE COMMISSION</w:t>
      </w:r>
    </w:p>
    <w:p w:rsidR="00002494" w:rsidRDefault="00002494" w:rsidP="00002494">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002494" w:rsidRPr="00C63FCF" w:rsidTr="00002494">
        <w:trPr>
          <w:trHeight w:val="828"/>
        </w:trPr>
        <w:tc>
          <w:tcPr>
            <w:tcW w:w="4788" w:type="dxa"/>
            <w:tcBorders>
              <w:bottom w:val="single" w:sz="8" w:space="0" w:color="auto"/>
              <w:right w:val="double" w:sz="6" w:space="0" w:color="auto"/>
            </w:tcBorders>
            <w:shd w:val="clear" w:color="auto" w:fill="auto"/>
          </w:tcPr>
          <w:p w:rsidR="00002494" w:rsidRDefault="00002494" w:rsidP="00002494">
            <w:pPr>
              <w:pStyle w:val="OrderBody"/>
              <w:tabs>
                <w:tab w:val="center" w:pos="4320"/>
                <w:tab w:val="right" w:pos="8640"/>
              </w:tabs>
              <w:jc w:val="left"/>
            </w:pPr>
            <w:r>
              <w:t xml:space="preserve">In re: </w:t>
            </w:r>
            <w:bookmarkStart w:id="0" w:name="SSInRe"/>
            <w:bookmarkEnd w:id="0"/>
            <w:r>
              <w:t>Application for staff-assisted rate case in Polk County by Sunrise Utilities, L.L.C.</w:t>
            </w:r>
          </w:p>
        </w:tc>
        <w:tc>
          <w:tcPr>
            <w:tcW w:w="4788" w:type="dxa"/>
            <w:tcBorders>
              <w:left w:val="double" w:sz="6" w:space="0" w:color="auto"/>
            </w:tcBorders>
            <w:shd w:val="clear" w:color="auto" w:fill="auto"/>
          </w:tcPr>
          <w:p w:rsidR="00002494" w:rsidRDefault="00002494" w:rsidP="00002494">
            <w:pPr>
              <w:pStyle w:val="OrderBody"/>
            </w:pPr>
            <w:r>
              <w:t xml:space="preserve">DOCKET NO. </w:t>
            </w:r>
            <w:bookmarkStart w:id="1" w:name="SSDocketNo"/>
            <w:bookmarkEnd w:id="1"/>
            <w:r>
              <w:t>140220-WU</w:t>
            </w:r>
          </w:p>
          <w:p w:rsidR="00002494" w:rsidRDefault="00002494" w:rsidP="00002494">
            <w:pPr>
              <w:pStyle w:val="OrderBody"/>
              <w:tabs>
                <w:tab w:val="center" w:pos="4320"/>
                <w:tab w:val="right" w:pos="8640"/>
              </w:tabs>
              <w:jc w:val="left"/>
            </w:pPr>
            <w:r>
              <w:t xml:space="preserve">ORDER NO. </w:t>
            </w:r>
            <w:bookmarkStart w:id="2" w:name="OrderNo0126"/>
            <w:r w:rsidR="00AC3B23">
              <w:t>PSC-16-0126-PAA-WU</w:t>
            </w:r>
            <w:bookmarkEnd w:id="2"/>
          </w:p>
          <w:p w:rsidR="00002494" w:rsidRDefault="00002494" w:rsidP="00002494">
            <w:pPr>
              <w:pStyle w:val="OrderBody"/>
              <w:tabs>
                <w:tab w:val="center" w:pos="4320"/>
                <w:tab w:val="right" w:pos="8640"/>
              </w:tabs>
              <w:jc w:val="left"/>
            </w:pPr>
            <w:r>
              <w:t xml:space="preserve">ISSUED: </w:t>
            </w:r>
            <w:r w:rsidR="00AC3B23">
              <w:t>March 28, 2016</w:t>
            </w:r>
          </w:p>
        </w:tc>
      </w:tr>
    </w:tbl>
    <w:p w:rsidR="00002494" w:rsidRDefault="00002494" w:rsidP="00002494"/>
    <w:p w:rsidR="00002494" w:rsidRDefault="00002494" w:rsidP="00002494"/>
    <w:p w:rsidR="00002494" w:rsidRPr="00E46E1F" w:rsidRDefault="00002494">
      <w:pPr>
        <w:ind w:firstLine="720"/>
        <w:jc w:val="both"/>
      </w:pPr>
      <w:bookmarkStart w:id="3" w:name="Commissioners"/>
      <w:bookmarkEnd w:id="3"/>
      <w:r w:rsidRPr="00E46E1F">
        <w:t>The following Commissioners participated in the disposition of this matter:</w:t>
      </w:r>
    </w:p>
    <w:p w:rsidR="00002494" w:rsidRPr="00E46E1F" w:rsidRDefault="00002494"/>
    <w:p w:rsidR="00002494" w:rsidRDefault="00002494">
      <w:pPr>
        <w:jc w:val="center"/>
      </w:pPr>
      <w:r>
        <w:t>JULIE I. BROWN</w:t>
      </w:r>
      <w:r w:rsidRPr="00E46E1F">
        <w:t>, Chairman</w:t>
      </w:r>
    </w:p>
    <w:p w:rsidR="00002494" w:rsidRPr="00E46E1F" w:rsidRDefault="00002494">
      <w:pPr>
        <w:jc w:val="center"/>
      </w:pPr>
      <w:r w:rsidRPr="00E46E1F">
        <w:t>LISA POLAK EDGAR</w:t>
      </w:r>
    </w:p>
    <w:p w:rsidR="00002494" w:rsidRDefault="00002494">
      <w:pPr>
        <w:jc w:val="center"/>
      </w:pPr>
      <w:r>
        <w:t>ART GRAHAM</w:t>
      </w:r>
    </w:p>
    <w:p w:rsidR="00002494" w:rsidRDefault="00002494">
      <w:pPr>
        <w:jc w:val="center"/>
      </w:pPr>
      <w:r>
        <w:t>RONALD A. BRISÉ</w:t>
      </w:r>
    </w:p>
    <w:p w:rsidR="00002494" w:rsidRDefault="00002494">
      <w:pPr>
        <w:jc w:val="center"/>
      </w:pPr>
      <w:r>
        <w:t>JIMMY PATRONIS</w:t>
      </w:r>
    </w:p>
    <w:p w:rsidR="00CB5276" w:rsidRDefault="00CB5276">
      <w:pPr>
        <w:pStyle w:val="OrderBody"/>
      </w:pPr>
    </w:p>
    <w:p w:rsidR="00002494" w:rsidRDefault="00002494" w:rsidP="00526BF4">
      <w:pPr>
        <w:pStyle w:val="OrderBody"/>
      </w:pPr>
    </w:p>
    <w:bookmarkStart w:id="4" w:name="OrderText"/>
    <w:bookmarkEnd w:id="4"/>
    <w:p w:rsidR="00F27A4B" w:rsidRDefault="00953FEE" w:rsidP="00526BF4">
      <w:pPr>
        <w:pStyle w:val="OrderBody"/>
        <w:jc w:val="center"/>
        <w:rPr>
          <w:u w:val="single"/>
        </w:rPr>
      </w:pPr>
      <w:r w:rsidRPr="003E4B2D">
        <w:rPr>
          <w:lang w:val="en-CA"/>
        </w:rPr>
        <w:fldChar w:fldCharType="begin"/>
      </w:r>
      <w:r w:rsidR="00002494" w:rsidRPr="003E4B2D">
        <w:rPr>
          <w:lang w:val="en-CA"/>
        </w:rPr>
        <w:instrText xml:space="preserve"> SEQ CHAPTER \h \r 1</w:instrText>
      </w:r>
      <w:r w:rsidRPr="003E4B2D">
        <w:fldChar w:fldCharType="end"/>
      </w:r>
      <w:r w:rsidR="00002494" w:rsidRPr="003E4B2D">
        <w:rPr>
          <w:u w:val="single"/>
        </w:rPr>
        <w:t>NOTICE OF PROPOSED AGENCY ACTION</w:t>
      </w:r>
      <w:r w:rsidR="003274E7">
        <w:rPr>
          <w:u w:val="single"/>
        </w:rPr>
        <w:t xml:space="preserve"> </w:t>
      </w:r>
      <w:r w:rsidR="00002494" w:rsidRPr="003E4B2D">
        <w:rPr>
          <w:u w:val="single"/>
        </w:rPr>
        <w:t>ORDER</w:t>
      </w:r>
      <w:bookmarkStart w:id="5" w:name="OrderTitle"/>
    </w:p>
    <w:p w:rsidR="00F27A4B" w:rsidRDefault="003274E7" w:rsidP="00F27A4B">
      <w:pPr>
        <w:pStyle w:val="OrderBody"/>
        <w:jc w:val="center"/>
        <w:rPr>
          <w:u w:val="single"/>
        </w:rPr>
      </w:pPr>
      <w:r w:rsidRPr="007F2B66">
        <w:rPr>
          <w:u w:val="single"/>
        </w:rPr>
        <w:t>APPROVING</w:t>
      </w:r>
      <w:r w:rsidR="00F27A4B">
        <w:rPr>
          <w:u w:val="single"/>
        </w:rPr>
        <w:t xml:space="preserve"> </w:t>
      </w:r>
      <w:r w:rsidRPr="003274E7">
        <w:rPr>
          <w:u w:val="single"/>
        </w:rPr>
        <w:t xml:space="preserve">RATE INCREASE FOR </w:t>
      </w:r>
      <w:bookmarkEnd w:id="5"/>
      <w:r w:rsidRPr="003274E7">
        <w:rPr>
          <w:u w:val="single"/>
        </w:rPr>
        <w:t>SUNRISE UTILITIES, L.L.C.</w:t>
      </w:r>
      <w:r w:rsidR="00F27A4B">
        <w:rPr>
          <w:u w:val="single"/>
        </w:rPr>
        <w:t xml:space="preserve"> </w:t>
      </w:r>
    </w:p>
    <w:p w:rsidR="00F27A4B" w:rsidRDefault="00F27A4B" w:rsidP="00F27A4B">
      <w:pPr>
        <w:pStyle w:val="OrderBody"/>
        <w:jc w:val="center"/>
        <w:rPr>
          <w:u w:val="single"/>
        </w:rPr>
      </w:pPr>
      <w:r>
        <w:rPr>
          <w:u w:val="single"/>
        </w:rPr>
        <w:t xml:space="preserve">AND </w:t>
      </w:r>
    </w:p>
    <w:p w:rsidR="00F27A4B" w:rsidRDefault="00F27A4B" w:rsidP="00F27A4B">
      <w:pPr>
        <w:pStyle w:val="OrderBody"/>
        <w:jc w:val="center"/>
        <w:rPr>
          <w:u w:val="single"/>
        </w:rPr>
      </w:pPr>
      <w:r>
        <w:rPr>
          <w:u w:val="single"/>
        </w:rPr>
        <w:t>FINAL ORDER ON RECOVERY OF RATE CASE EXPENSES,</w:t>
      </w:r>
    </w:p>
    <w:p w:rsidR="00F27A4B" w:rsidRPr="003274E7" w:rsidRDefault="00F27A4B" w:rsidP="00F27A4B">
      <w:pPr>
        <w:pStyle w:val="OrderBody"/>
        <w:jc w:val="center"/>
        <w:rPr>
          <w:u w:val="single"/>
        </w:rPr>
      </w:pPr>
      <w:r>
        <w:rPr>
          <w:u w:val="single"/>
        </w:rPr>
        <w:t>TEMPORARY RATES AND ACCOUNTING ADJUSTMENTS</w:t>
      </w:r>
    </w:p>
    <w:p w:rsidR="00002494" w:rsidRPr="003E4B2D" w:rsidRDefault="00002494" w:rsidP="00526BF4">
      <w:pPr>
        <w:pStyle w:val="OrderBody"/>
      </w:pPr>
    </w:p>
    <w:p w:rsidR="00002494" w:rsidRPr="003E4B2D" w:rsidRDefault="00002494" w:rsidP="00526BF4">
      <w:pPr>
        <w:pStyle w:val="OrderBody"/>
      </w:pPr>
    </w:p>
    <w:p w:rsidR="00002494" w:rsidRPr="003E4B2D" w:rsidRDefault="00002494" w:rsidP="00526BF4">
      <w:pPr>
        <w:pStyle w:val="OrderBody"/>
      </w:pPr>
      <w:r w:rsidRPr="003E4B2D">
        <w:t>BY THE COMMISSION:</w:t>
      </w:r>
    </w:p>
    <w:p w:rsidR="00002494" w:rsidRPr="003E4B2D" w:rsidRDefault="00002494" w:rsidP="00526BF4">
      <w:pPr>
        <w:pStyle w:val="OrderBody"/>
      </w:pPr>
    </w:p>
    <w:p w:rsidR="003274E7" w:rsidRDefault="003274E7" w:rsidP="00526BF4">
      <w:pPr>
        <w:pStyle w:val="OrderBody"/>
        <w:ind w:firstLine="720"/>
      </w:pPr>
      <w:r w:rsidRPr="007F2B66">
        <w:t xml:space="preserve">NOTICE is hereby given by the Florida Public Service Commission </w:t>
      </w:r>
      <w:r w:rsidR="00F27A4B">
        <w:t xml:space="preserve">(Commission) </w:t>
      </w:r>
      <w:r w:rsidRPr="007F2B66">
        <w:t>that the action discussed herein</w:t>
      </w:r>
      <w:r>
        <w:t>, except for the granting of temporary rates in the event of protest, the four year rate reduction, and proof of adjustment of books and records,</w:t>
      </w:r>
      <w:r w:rsidRPr="007F2B66">
        <w:t xml:space="preserve"> is preliminary in nature and will become final unless a person whose interests are substantially affected files a petition for a formal proceeding, pursuant to Rule 25-22.029, Florida Administrative Code (F.A.C.).</w:t>
      </w:r>
      <w:r w:rsidR="00F27A4B">
        <w:t xml:space="preserve">  The g</w:t>
      </w:r>
      <w:r w:rsidR="00F27A4B" w:rsidRPr="00F56B0E">
        <w:t>ranting of temporary rates in the event of a protest</w:t>
      </w:r>
      <w:r w:rsidR="00F27A4B">
        <w:t>, the four year rate reduction, and the proof of adjustment of books and records are final agency actions and subject to reconsideration and appeal as described below under the heading, “NOTICE OF FURTHER PROCEEDINGS OR JUDICIAL REVIEW.”</w:t>
      </w:r>
    </w:p>
    <w:p w:rsidR="00CB5276" w:rsidRDefault="00CB5276" w:rsidP="00526BF4"/>
    <w:p w:rsidR="00002494" w:rsidRPr="003274E7" w:rsidRDefault="003274E7" w:rsidP="00526BF4">
      <w:pPr>
        <w:keepNext/>
        <w:jc w:val="center"/>
        <w:outlineLvl w:val="0"/>
        <w:rPr>
          <w:bCs/>
          <w:kern w:val="32"/>
          <w:szCs w:val="32"/>
          <w:u w:val="single"/>
        </w:rPr>
      </w:pPr>
      <w:r>
        <w:rPr>
          <w:bCs/>
          <w:kern w:val="32"/>
          <w:szCs w:val="32"/>
          <w:u w:val="single"/>
        </w:rPr>
        <w:t>BACKGROUND</w:t>
      </w:r>
    </w:p>
    <w:p w:rsidR="00122CF4" w:rsidRDefault="00122CF4" w:rsidP="00526BF4">
      <w:pPr>
        <w:ind w:firstLine="720"/>
        <w:jc w:val="both"/>
      </w:pPr>
    </w:p>
    <w:p w:rsidR="00002494" w:rsidRPr="00002494" w:rsidRDefault="00002494" w:rsidP="00526BF4">
      <w:pPr>
        <w:ind w:firstLine="720"/>
        <w:jc w:val="both"/>
      </w:pPr>
      <w:r w:rsidRPr="00002494">
        <w:t xml:space="preserve">Sunrise Utilities, L.L.C., (Sunrise or Utility) is a Class C utility providing water service to approximately 247 residential water customers in Auburndale, Florida, located in Polk County. </w:t>
      </w:r>
      <w:r w:rsidR="00122CF4">
        <w:t>Sunrise’s</w:t>
      </w:r>
      <w:r w:rsidRPr="00002494">
        <w:t xml:space="preserve"> service territory is located in the Southwest Florida Water Management District</w:t>
      </w:r>
      <w:r w:rsidR="003A5858">
        <w:t xml:space="preserve"> (SWFWMD)</w:t>
      </w:r>
      <w:r w:rsidRPr="00002494">
        <w:t xml:space="preserve"> and is subject to a year-round irrigation rule. Sunrise’s water treatment plant (WTP) was placed into service around 1970. The system was operated by Sunrise Water Company, Inc. and was issued a Grandfather certificate in 1997.</w:t>
      </w:r>
      <w:r w:rsidRPr="00002494">
        <w:rPr>
          <w:vertAlign w:val="superscript"/>
        </w:rPr>
        <w:footnoteReference w:id="1"/>
      </w:r>
      <w:r w:rsidRPr="00002494">
        <w:t xml:space="preserve"> Sunrise Water Company was </w:t>
      </w:r>
      <w:r w:rsidRPr="00002494">
        <w:lastRenderedPageBreak/>
        <w:t>transferred to Keen Sales, Rentals and Utilities, Inc.</w:t>
      </w:r>
      <w:r w:rsidRPr="00002494">
        <w:rPr>
          <w:vertAlign w:val="superscript"/>
        </w:rPr>
        <w:t xml:space="preserve"> </w:t>
      </w:r>
      <w:r w:rsidRPr="00002494">
        <w:t>in 1992.</w:t>
      </w:r>
      <w:r w:rsidRPr="00002494">
        <w:rPr>
          <w:vertAlign w:val="superscript"/>
        </w:rPr>
        <w:footnoteReference w:id="2"/>
      </w:r>
      <w:r w:rsidRPr="00002494">
        <w:rPr>
          <w:vertAlign w:val="superscript"/>
        </w:rPr>
        <w:t xml:space="preserve"> </w:t>
      </w:r>
      <w:r w:rsidRPr="00002494">
        <w:t xml:space="preserve"> Sunrise acquired a portion of Keen Sales, Rentals and Utilities, Inc.’s service territory in 2005 when it was granted a transfer.</w:t>
      </w:r>
      <w:r w:rsidRPr="00002494">
        <w:rPr>
          <w:vertAlign w:val="superscript"/>
        </w:rPr>
        <w:footnoteReference w:id="3"/>
      </w:r>
      <w:r w:rsidRPr="00002494">
        <w:t xml:space="preserve"> According to Sunrise’s 2014 Annual Report, total gross revenues were $69,411 and total operating expenses were $95,476 resulting in a net loss of $26,065. </w:t>
      </w:r>
    </w:p>
    <w:p w:rsidR="00122CF4" w:rsidRDefault="00122CF4" w:rsidP="00526BF4">
      <w:pPr>
        <w:ind w:firstLine="720"/>
        <w:jc w:val="both"/>
      </w:pPr>
    </w:p>
    <w:p w:rsidR="00002494" w:rsidRPr="00002494" w:rsidRDefault="00002494" w:rsidP="00526BF4">
      <w:pPr>
        <w:ind w:firstLine="720"/>
        <w:jc w:val="both"/>
      </w:pPr>
      <w:r w:rsidRPr="00002494">
        <w:t xml:space="preserve">On November 10, 2014, Sunrise filed its application for a staff assisted rate case (SARC), in accordance with a payment plan negotiated with </w:t>
      </w:r>
      <w:r w:rsidR="00526BF4">
        <w:t xml:space="preserve">our </w:t>
      </w:r>
      <w:r w:rsidRPr="00002494">
        <w:t xml:space="preserve">staff for the payment of delinquent Regulatory Assessment Fees (RAFs) owed </w:t>
      </w:r>
      <w:r w:rsidR="00526BF4">
        <w:t xml:space="preserve">to this Commission </w:t>
      </w:r>
      <w:r w:rsidRPr="00002494">
        <w:t xml:space="preserve">by the Utility. Staff selected the test year ending December 31, 2014, for the instant case. </w:t>
      </w:r>
      <w:r w:rsidR="00526BF4">
        <w:t>Sunrise</w:t>
      </w:r>
      <w:r w:rsidRPr="00002494">
        <w:t>’s last SARC was approved in 2012.</w:t>
      </w:r>
      <w:r w:rsidRPr="00002494">
        <w:rPr>
          <w:vertAlign w:val="superscript"/>
        </w:rPr>
        <w:footnoteReference w:id="4"/>
      </w:r>
      <w:r w:rsidRPr="00002494">
        <w:t xml:space="preserve"> </w:t>
      </w:r>
    </w:p>
    <w:p w:rsidR="00002494" w:rsidRPr="00002494" w:rsidRDefault="00002494" w:rsidP="00526BF4">
      <w:pPr>
        <w:jc w:val="both"/>
      </w:pPr>
    </w:p>
    <w:p w:rsidR="00002494" w:rsidRPr="00002494" w:rsidRDefault="00526BF4" w:rsidP="00526BF4">
      <w:pPr>
        <w:ind w:firstLine="720"/>
        <w:jc w:val="both"/>
      </w:pPr>
      <w:r>
        <w:t xml:space="preserve">On </w:t>
      </w:r>
      <w:r w:rsidR="00DF1F2F">
        <w:t xml:space="preserve">May 1, 2015, our staff issued a preliminary recommendation (Staff Report), pending further review of this matter. On </w:t>
      </w:r>
      <w:r>
        <w:t>May 20, 2015, a</w:t>
      </w:r>
      <w:r w:rsidR="00002494" w:rsidRPr="00002494">
        <w:t xml:space="preserve"> customer meeting was held in Auburndale, Florida, to receive customer questions and comments concerning Sunrise’s rate case and quality of service. On June 10, 2015, the Office of Public Counsel (OPC) filed comments identifying its concerns with information contained in the Staff Report.</w:t>
      </w:r>
      <w:r w:rsidR="00002494" w:rsidRPr="00002494">
        <w:rPr>
          <w:vertAlign w:val="superscript"/>
        </w:rPr>
        <w:footnoteReference w:id="5"/>
      </w:r>
      <w:r w:rsidR="00002494" w:rsidRPr="00002494">
        <w:t xml:space="preserve"> On December 9, 2015, </w:t>
      </w:r>
      <w:r>
        <w:t xml:space="preserve">our </w:t>
      </w:r>
      <w:r w:rsidR="00002494" w:rsidRPr="00002494">
        <w:t>staff held a noticed, informal meeting with OPC to discuss the status of the Utility’s SARC, including issues or concerns identified by staff, OPC or other interested party.</w:t>
      </w:r>
      <w:r w:rsidR="00002494" w:rsidRPr="00002494">
        <w:rPr>
          <w:vertAlign w:val="superscript"/>
        </w:rPr>
        <w:footnoteReference w:id="6"/>
      </w:r>
    </w:p>
    <w:p w:rsidR="00002494" w:rsidRPr="00002494" w:rsidRDefault="00002494" w:rsidP="00526BF4">
      <w:pPr>
        <w:jc w:val="both"/>
      </w:pPr>
    </w:p>
    <w:p w:rsidR="00002494" w:rsidRPr="00002494" w:rsidRDefault="00526BF4" w:rsidP="00526BF4">
      <w:pPr>
        <w:ind w:firstLine="720"/>
        <w:jc w:val="both"/>
      </w:pPr>
      <w:r>
        <w:t>We have</w:t>
      </w:r>
      <w:r w:rsidR="00002494" w:rsidRPr="00002494">
        <w:t xml:space="preserve"> jurisdiction pursuant to Section 367.0814, Florida Statutes, (F.S.).</w:t>
      </w:r>
    </w:p>
    <w:p w:rsidR="00002494" w:rsidRDefault="00002494" w:rsidP="00526BF4">
      <w:pPr>
        <w:jc w:val="both"/>
      </w:pPr>
    </w:p>
    <w:p w:rsidR="00DF1F2F" w:rsidRPr="00002494" w:rsidRDefault="00DF1F2F" w:rsidP="00526BF4">
      <w:pPr>
        <w:jc w:val="both"/>
      </w:pPr>
    </w:p>
    <w:p w:rsidR="00002494" w:rsidRDefault="00526BF4" w:rsidP="00526BF4">
      <w:pPr>
        <w:keepNext/>
        <w:jc w:val="center"/>
        <w:outlineLvl w:val="0"/>
        <w:rPr>
          <w:bCs/>
          <w:kern w:val="32"/>
          <w:szCs w:val="32"/>
          <w:u w:val="single"/>
        </w:rPr>
      </w:pPr>
      <w:bookmarkStart w:id="6" w:name="DiscussionOfIssues"/>
      <w:r w:rsidRPr="00526BF4">
        <w:rPr>
          <w:bCs/>
          <w:kern w:val="32"/>
          <w:szCs w:val="32"/>
          <w:u w:val="single"/>
        </w:rPr>
        <w:t>DECISION</w:t>
      </w:r>
    </w:p>
    <w:p w:rsidR="00087B4F" w:rsidRPr="00526BF4" w:rsidRDefault="00087B4F" w:rsidP="00526BF4">
      <w:pPr>
        <w:keepNext/>
        <w:jc w:val="center"/>
        <w:outlineLvl w:val="0"/>
        <w:rPr>
          <w:bCs/>
          <w:kern w:val="32"/>
          <w:szCs w:val="32"/>
          <w:u w:val="single"/>
        </w:rPr>
      </w:pPr>
    </w:p>
    <w:bookmarkEnd w:id="6"/>
    <w:p w:rsidR="00002494" w:rsidRPr="00526BF4" w:rsidRDefault="00526BF4" w:rsidP="00526BF4">
      <w:pPr>
        <w:jc w:val="both"/>
        <w:rPr>
          <w:u w:val="single"/>
        </w:rPr>
      </w:pPr>
      <w:r w:rsidRPr="00526BF4">
        <w:rPr>
          <w:u w:val="single"/>
        </w:rPr>
        <w:t>Quality of Service</w:t>
      </w:r>
    </w:p>
    <w:p w:rsidR="003A5858" w:rsidRDefault="003A5858" w:rsidP="00526BF4">
      <w:pPr>
        <w:ind w:firstLine="720"/>
        <w:jc w:val="both"/>
        <w:rPr>
          <w:b/>
          <w:bCs/>
          <w:i/>
          <w:iCs/>
          <w:szCs w:val="28"/>
        </w:rPr>
      </w:pPr>
    </w:p>
    <w:p w:rsidR="00002494" w:rsidRPr="00002494" w:rsidRDefault="00002494" w:rsidP="003A5858">
      <w:pPr>
        <w:ind w:firstLine="720"/>
        <w:jc w:val="both"/>
      </w:pPr>
      <w:r w:rsidRPr="00002494">
        <w:t xml:space="preserve">Pursuant to Rule 25-30.433(1), F.A.C., </w:t>
      </w:r>
      <w:r w:rsidR="003A5858">
        <w:t>we must</w:t>
      </w:r>
      <w:r w:rsidR="003A5858" w:rsidRPr="007F2B66">
        <w:t xml:space="preserve"> determine the overall quality of service provided by a utility</w:t>
      </w:r>
      <w:r w:rsidR="003A5858">
        <w:t xml:space="preserve"> </w:t>
      </w:r>
      <w:r w:rsidR="003A5858" w:rsidRPr="007F2B66">
        <w:t>in water and wastewater rate cases</w:t>
      </w:r>
      <w:r w:rsidRPr="00002494">
        <w:t xml:space="preserve">. </w:t>
      </w:r>
      <w:r w:rsidR="003A5858">
        <w:t xml:space="preserve">In determining overall quality of service, we must </w:t>
      </w:r>
      <w:r w:rsidR="003A5858" w:rsidRPr="007F2B66">
        <w:t>evaluat</w:t>
      </w:r>
      <w:r w:rsidR="003A5858">
        <w:t>e</w:t>
      </w:r>
      <w:r w:rsidR="003A5858" w:rsidRPr="007F2B66">
        <w:t xml:space="preserve"> </w:t>
      </w:r>
      <w:r w:rsidR="003A5858">
        <w:t>three separate components of a</w:t>
      </w:r>
      <w:r w:rsidR="003A5858" w:rsidRPr="007F2B66">
        <w:t xml:space="preserve"> utility</w:t>
      </w:r>
      <w:r w:rsidR="003A5858">
        <w:t>’s</w:t>
      </w:r>
      <w:r w:rsidR="003A5858" w:rsidRPr="007F2B66">
        <w:t xml:space="preserve"> operations</w:t>
      </w:r>
      <w:r w:rsidR="003A5858">
        <w:t xml:space="preserve">: (1) </w:t>
      </w:r>
      <w:r w:rsidR="003A5858" w:rsidRPr="007F2B66">
        <w:t>the quality of the utility’s product</w:t>
      </w:r>
      <w:r w:rsidR="003A5858">
        <w:t>;</w:t>
      </w:r>
      <w:r w:rsidR="003A5858" w:rsidRPr="007F2B66">
        <w:t xml:space="preserve"> </w:t>
      </w:r>
      <w:r w:rsidR="003A5858">
        <w:t xml:space="preserve">(2) </w:t>
      </w:r>
      <w:r w:rsidR="003A5858" w:rsidRPr="007F2B66">
        <w:t>the operating conditions of the utility’s plant and facilities</w:t>
      </w:r>
      <w:r w:rsidR="003A5858">
        <w:t>;</w:t>
      </w:r>
      <w:r w:rsidR="003A5858" w:rsidRPr="007F2B66">
        <w:t xml:space="preserve"> and </w:t>
      </w:r>
      <w:r w:rsidR="003A5858">
        <w:t xml:space="preserve">(3) </w:t>
      </w:r>
      <w:r w:rsidR="003A5858" w:rsidRPr="007F2B66">
        <w:t xml:space="preserve">the utility’s attempt to address customer satisfaction. </w:t>
      </w:r>
      <w:r w:rsidR="003A5858">
        <w:t xml:space="preserve">Rule 25-30.433, F.A.C., </w:t>
      </w:r>
      <w:r w:rsidR="003A5858" w:rsidRPr="007F2B66">
        <w:t xml:space="preserve">further </w:t>
      </w:r>
      <w:r w:rsidR="003A5858">
        <w:t xml:space="preserve">provides that we consider </w:t>
      </w:r>
      <w:r w:rsidR="003A5858" w:rsidRPr="007F2B66">
        <w:t xml:space="preserve">sanitary surveys, outstanding citations, violations, and consent orders on file with the Department of Environmental Protection (DEP) and the county health department over the preceding three-year period. </w:t>
      </w:r>
      <w:r w:rsidR="003A5858">
        <w:t>I</w:t>
      </w:r>
      <w:r w:rsidR="003A5858" w:rsidRPr="007F2B66">
        <w:t>nput from DEP</w:t>
      </w:r>
      <w:r w:rsidR="003A5858">
        <w:t>,</w:t>
      </w:r>
      <w:r w:rsidR="003A5858" w:rsidRPr="007F2B66">
        <w:t xml:space="preserve"> health department officials</w:t>
      </w:r>
      <w:r w:rsidR="003A5858">
        <w:t>,</w:t>
      </w:r>
      <w:r w:rsidR="003A5858" w:rsidRPr="007F2B66">
        <w:t xml:space="preserve"> and customer comments or complaints </w:t>
      </w:r>
      <w:r w:rsidR="003A5858">
        <w:t>are also</w:t>
      </w:r>
      <w:r w:rsidR="003A5858" w:rsidRPr="007F2B66">
        <w:t xml:space="preserve"> considered.</w:t>
      </w:r>
      <w:r w:rsidR="003A5858">
        <w:t xml:space="preserve"> </w:t>
      </w:r>
      <w:r w:rsidRPr="00002494">
        <w:t xml:space="preserve">Section 367.0812(1)(c), F.S., </w:t>
      </w:r>
      <w:r w:rsidR="003A5858">
        <w:t xml:space="preserve">also </w:t>
      </w:r>
      <w:r w:rsidRPr="00002494">
        <w:t xml:space="preserve">requires </w:t>
      </w:r>
      <w:r w:rsidR="003A5858">
        <w:t>that we</w:t>
      </w:r>
      <w:r w:rsidRPr="00002494">
        <w:t xml:space="preserve"> </w:t>
      </w:r>
      <w:r w:rsidRPr="00002494">
        <w:lastRenderedPageBreak/>
        <w:t xml:space="preserve">consider the extent to which the utility provides water service that meets secondary water quality standards as established by the DEP. </w:t>
      </w:r>
    </w:p>
    <w:p w:rsidR="00087B4F" w:rsidRDefault="00087B4F">
      <w:pPr>
        <w:rPr>
          <w:bCs/>
          <w:i/>
          <w:iCs/>
          <w:szCs w:val="28"/>
        </w:rPr>
      </w:pPr>
    </w:p>
    <w:p w:rsidR="00002494" w:rsidRPr="003A5858" w:rsidRDefault="00002494" w:rsidP="003A5858">
      <w:pPr>
        <w:ind w:firstLine="720"/>
        <w:jc w:val="both"/>
        <w:outlineLvl w:val="3"/>
        <w:rPr>
          <w:bCs/>
          <w:i/>
          <w:iCs/>
          <w:szCs w:val="28"/>
        </w:rPr>
      </w:pPr>
      <w:r w:rsidRPr="003A5858">
        <w:rPr>
          <w:bCs/>
          <w:i/>
          <w:iCs/>
          <w:szCs w:val="28"/>
        </w:rPr>
        <w:t xml:space="preserve">Quality of Utility’s Product </w:t>
      </w:r>
    </w:p>
    <w:p w:rsidR="003A5858" w:rsidRDefault="003A5858" w:rsidP="00526BF4">
      <w:pPr>
        <w:jc w:val="both"/>
      </w:pPr>
    </w:p>
    <w:p w:rsidR="00CC7858" w:rsidRDefault="00CC7858" w:rsidP="00CC7858">
      <w:pPr>
        <w:ind w:firstLine="720"/>
        <w:jc w:val="both"/>
      </w:pPr>
      <w:r>
        <w:t>As previously stated, Sunrise</w:t>
      </w:r>
      <w:r w:rsidRPr="007F2B66">
        <w:t xml:space="preserve"> provides water service only</w:t>
      </w:r>
      <w:r>
        <w:t xml:space="preserve"> and </w:t>
      </w:r>
      <w:r w:rsidRPr="007F2B66">
        <w:t>is subject to various environmental requirements under the jurisdiction of the DEP.</w:t>
      </w:r>
      <w:r>
        <w:t xml:space="preserve"> Our </w:t>
      </w:r>
      <w:r w:rsidR="00002494" w:rsidRPr="00002494">
        <w:t xml:space="preserve">evaluation of Sunrise’s product quality consisted of </w:t>
      </w:r>
      <w:r>
        <w:t>reviewing Sunrise</w:t>
      </w:r>
      <w:r w:rsidR="00002494" w:rsidRPr="00002494">
        <w:t xml:space="preserve">’s compliance with DEP primary and secondary drinking water standards, county health department standards, and customer complaints. Primary standards protect public health while secondary standards regulate contaminants that may impact the taste, odor, and color of drinking water. </w:t>
      </w:r>
    </w:p>
    <w:p w:rsidR="00CC7858" w:rsidRDefault="00CC7858" w:rsidP="00CC7858">
      <w:pPr>
        <w:ind w:firstLine="720"/>
        <w:jc w:val="both"/>
      </w:pPr>
    </w:p>
    <w:p w:rsidR="00002494" w:rsidRPr="00002494" w:rsidRDefault="00002494" w:rsidP="00CC7858">
      <w:pPr>
        <w:ind w:firstLine="720"/>
        <w:jc w:val="both"/>
      </w:pPr>
      <w:r w:rsidRPr="00002494">
        <w:t xml:space="preserve">Based on </w:t>
      </w:r>
      <w:r w:rsidR="00CC7858">
        <w:t xml:space="preserve">our </w:t>
      </w:r>
      <w:r w:rsidRPr="00002494">
        <w:t>review of the DEP and P</w:t>
      </w:r>
      <w:r w:rsidR="00CC7858">
        <w:t>olk County Health Department (P</w:t>
      </w:r>
      <w:r w:rsidRPr="00002494">
        <w:t>CHD</w:t>
      </w:r>
      <w:r w:rsidR="00CC7858">
        <w:t>)</w:t>
      </w:r>
      <w:r w:rsidRPr="00002494">
        <w:t xml:space="preserve"> records, Sunrise was in compliance with all primary and second</w:t>
      </w:r>
      <w:r w:rsidR="00CC7858">
        <w:t xml:space="preserve">ary standards in 2012 and 2013. In 2014, our review identified one compliance issue, wherein the </w:t>
      </w:r>
      <w:r w:rsidRPr="00002494">
        <w:t xml:space="preserve">PCHD conducted a </w:t>
      </w:r>
      <w:r w:rsidR="00DF1F2F">
        <w:t>s</w:t>
      </w:r>
      <w:r w:rsidRPr="00002494">
        <w:t xml:space="preserve">anitary </w:t>
      </w:r>
      <w:r w:rsidR="00DF1F2F">
        <w:t>s</w:t>
      </w:r>
      <w:r w:rsidRPr="00002494">
        <w:t xml:space="preserve">urvey </w:t>
      </w:r>
      <w:r w:rsidR="00D07FEB">
        <w:t xml:space="preserve">of the Utility on </w:t>
      </w:r>
      <w:r w:rsidR="00D07FEB" w:rsidRPr="00002494">
        <w:t>May 21, 2014,</w:t>
      </w:r>
      <w:r w:rsidR="00D07FEB">
        <w:t xml:space="preserve"> </w:t>
      </w:r>
      <w:r w:rsidRPr="00002494">
        <w:t xml:space="preserve">and </w:t>
      </w:r>
      <w:r w:rsidR="00D07FEB">
        <w:t xml:space="preserve">noted </w:t>
      </w:r>
      <w:r w:rsidRPr="00002494">
        <w:t xml:space="preserve">four deficiencies. Sunrise corrected the four deficiencies identified by the PCHD within 30 days. </w:t>
      </w:r>
      <w:r w:rsidR="00CC7858">
        <w:t>Our r</w:t>
      </w:r>
      <w:r w:rsidRPr="00002494">
        <w:t xml:space="preserve">eview of </w:t>
      </w:r>
      <w:r w:rsidR="00CC7858">
        <w:t xml:space="preserve">the </w:t>
      </w:r>
      <w:r w:rsidRPr="00002494">
        <w:t>monthly microbiologi</w:t>
      </w:r>
      <w:r w:rsidR="00CC7858">
        <w:t>cal laboratory reports indicates</w:t>
      </w:r>
      <w:r w:rsidRPr="00002494">
        <w:t xml:space="preserve"> </w:t>
      </w:r>
      <w:r w:rsidR="00CC7858">
        <w:t>that Sunrise did not have any</w:t>
      </w:r>
      <w:r w:rsidRPr="00002494">
        <w:t xml:space="preserve"> </w:t>
      </w:r>
      <w:r w:rsidR="00CC7858">
        <w:t xml:space="preserve">other </w:t>
      </w:r>
      <w:r w:rsidRPr="00002494">
        <w:t xml:space="preserve">compliance issues during the remainder of 2014. </w:t>
      </w:r>
    </w:p>
    <w:p w:rsidR="00002494" w:rsidRPr="00002494" w:rsidRDefault="00002494" w:rsidP="00526BF4">
      <w:pPr>
        <w:jc w:val="both"/>
      </w:pPr>
    </w:p>
    <w:p w:rsidR="00002494" w:rsidRPr="00002494" w:rsidRDefault="00002494" w:rsidP="00D07FEB">
      <w:pPr>
        <w:ind w:firstLine="720"/>
        <w:jc w:val="both"/>
      </w:pPr>
      <w:r w:rsidRPr="00002494">
        <w:t xml:space="preserve">On June 9, 2015, PCHD conducted a sanitary survey </w:t>
      </w:r>
      <w:r w:rsidR="00D07FEB">
        <w:t xml:space="preserve">of </w:t>
      </w:r>
      <w:r w:rsidR="00111EEF">
        <w:t>Sunrise</w:t>
      </w:r>
      <w:r w:rsidR="00D07FEB">
        <w:t xml:space="preserve"> </w:t>
      </w:r>
      <w:r w:rsidRPr="00002494">
        <w:t xml:space="preserve">and found the chlorination insufficient. Follow up inspections </w:t>
      </w:r>
      <w:r w:rsidR="00D07FEB">
        <w:t xml:space="preserve">by PCHD </w:t>
      </w:r>
      <w:r w:rsidRPr="00002494">
        <w:t xml:space="preserve">on July 9, 2015, and July 17, 2015, showed that the chlorination issue </w:t>
      </w:r>
      <w:r w:rsidR="00D07FEB">
        <w:t xml:space="preserve">still </w:t>
      </w:r>
      <w:r w:rsidRPr="00002494">
        <w:t>had not be</w:t>
      </w:r>
      <w:r w:rsidR="00087B4F">
        <w:t>en resolved. On July 21, 2015,</w:t>
      </w:r>
      <w:r w:rsidRPr="00002494">
        <w:t xml:space="preserve"> PCHD issued a warning notice </w:t>
      </w:r>
      <w:r w:rsidR="00D07FEB">
        <w:t xml:space="preserve">to </w:t>
      </w:r>
      <w:r w:rsidRPr="00002494">
        <w:t>both Sunrise and its sister company, Alturas Utilities L.L.C.</w:t>
      </w:r>
      <w:r w:rsidR="00DF1F2F">
        <w:t xml:space="preserve"> (Alturas)</w:t>
      </w:r>
      <w:r w:rsidRPr="00002494">
        <w:t xml:space="preserve">, for not properly maintaining chlorine residuals. Sunrise’s triennial test, for both primary and secondary standards, completed on December 15, 2015, indicated that </w:t>
      </w:r>
      <w:r w:rsidR="00D07FEB">
        <w:t>the Utility</w:t>
      </w:r>
      <w:r w:rsidRPr="00002494">
        <w:t xml:space="preserve"> was in compliance with DEP and PCHD standards. Therefore, it appear</w:t>
      </w:r>
      <w:r w:rsidR="00087B4F">
        <w:t>s</w:t>
      </w:r>
      <w:r w:rsidRPr="00002494">
        <w:t xml:space="preserve"> </w:t>
      </w:r>
      <w:r w:rsidR="00111EEF">
        <w:t>Sunrise</w:t>
      </w:r>
      <w:r w:rsidRPr="00002494">
        <w:t xml:space="preserve"> corrected the chlorination issues a</w:t>
      </w:r>
      <w:r w:rsidR="00111EEF">
        <w:t>nd is now in compliance with</w:t>
      </w:r>
      <w:r w:rsidRPr="00002494">
        <w:t xml:space="preserve"> DEP and PCHD primary and secondary standards. </w:t>
      </w:r>
    </w:p>
    <w:p w:rsidR="00002494" w:rsidRPr="00002494" w:rsidRDefault="00002494" w:rsidP="00526BF4">
      <w:pPr>
        <w:jc w:val="both"/>
        <w:rPr>
          <w:vertAlign w:val="superscript"/>
        </w:rPr>
      </w:pPr>
    </w:p>
    <w:p w:rsidR="00002494" w:rsidRPr="00002494" w:rsidRDefault="00111EEF" w:rsidP="00111EEF">
      <w:pPr>
        <w:ind w:firstLine="720"/>
        <w:jc w:val="both"/>
        <w:rPr>
          <w:highlight w:val="yellow"/>
        </w:rPr>
      </w:pPr>
      <w:r>
        <w:t>Our</w:t>
      </w:r>
      <w:r w:rsidR="00002494" w:rsidRPr="00002494">
        <w:t xml:space="preserve"> review of complaints filed by customers did not reveal any issues or concerns regarding the quality of Sunrise’s product. At the customer meeting held by </w:t>
      </w:r>
      <w:r>
        <w:t xml:space="preserve">our </w:t>
      </w:r>
      <w:r w:rsidR="00002494" w:rsidRPr="00002494">
        <w:t>staff</w:t>
      </w:r>
      <w:r>
        <w:t xml:space="preserve"> on May 20, 2015</w:t>
      </w:r>
      <w:r w:rsidR="00002494" w:rsidRPr="00002494">
        <w:t>, three customers stated the water quality was bad at times and not suitable f</w:t>
      </w:r>
      <w:r>
        <w:t>or consumption. Based on our</w:t>
      </w:r>
      <w:r w:rsidR="00002494" w:rsidRPr="00002494">
        <w:t xml:space="preserve"> review, giving consideration to </w:t>
      </w:r>
      <w:r>
        <w:t>Sunrise</w:t>
      </w:r>
      <w:r w:rsidR="00002494" w:rsidRPr="00002494">
        <w:t>’s current</w:t>
      </w:r>
      <w:r>
        <w:t xml:space="preserve"> compliance with DEP and</w:t>
      </w:r>
      <w:r w:rsidR="00002494" w:rsidRPr="00002494">
        <w:t xml:space="preserve"> PCHD standards, as well as the relatively low number of customer complaints, </w:t>
      </w:r>
      <w:r>
        <w:t xml:space="preserve">we find </w:t>
      </w:r>
      <w:r w:rsidR="00002494" w:rsidRPr="00002494">
        <w:t xml:space="preserve">the quality of Sunrise’s product </w:t>
      </w:r>
      <w:r>
        <w:t>to be</w:t>
      </w:r>
      <w:r w:rsidR="00002494" w:rsidRPr="00002494">
        <w:t xml:space="preserve"> satisfactory. </w:t>
      </w:r>
    </w:p>
    <w:p w:rsidR="00002494" w:rsidRPr="00002494" w:rsidRDefault="00002494" w:rsidP="00526BF4">
      <w:pPr>
        <w:jc w:val="both"/>
      </w:pPr>
    </w:p>
    <w:p w:rsidR="00002494" w:rsidRPr="00111EEF" w:rsidRDefault="00002494" w:rsidP="00111EEF">
      <w:pPr>
        <w:ind w:firstLine="720"/>
        <w:jc w:val="both"/>
        <w:rPr>
          <w:i/>
        </w:rPr>
      </w:pPr>
      <w:r w:rsidRPr="00111EEF">
        <w:rPr>
          <w:i/>
        </w:rPr>
        <w:t>Operating Condition of the Utility’s Plant and Facilities</w:t>
      </w:r>
    </w:p>
    <w:p w:rsidR="00111EEF" w:rsidRDefault="00111EEF" w:rsidP="00526BF4">
      <w:pPr>
        <w:jc w:val="both"/>
      </w:pPr>
    </w:p>
    <w:p w:rsidR="00002494" w:rsidRDefault="00002494" w:rsidP="00111EEF">
      <w:pPr>
        <w:ind w:firstLine="720"/>
        <w:jc w:val="both"/>
      </w:pPr>
      <w:r w:rsidRPr="00002494">
        <w:t xml:space="preserve">Sunrise’s water system provides finished water that is obtained from two wells. </w:t>
      </w:r>
      <w:r w:rsidR="00111EEF">
        <w:t xml:space="preserve">The </w:t>
      </w:r>
      <w:r w:rsidRPr="00002494">
        <w:t>water system is served by an 8-inch diameter well</w:t>
      </w:r>
      <w:r w:rsidR="00111EEF">
        <w:t>,</w:t>
      </w:r>
      <w:r w:rsidRPr="00002494">
        <w:t xml:space="preserve"> rated 400 gallons per minute (</w:t>
      </w:r>
      <w:proofErr w:type="spellStart"/>
      <w:r w:rsidRPr="00002494">
        <w:t>gpm</w:t>
      </w:r>
      <w:proofErr w:type="spellEnd"/>
      <w:r w:rsidRPr="00002494">
        <w:t>)</w:t>
      </w:r>
      <w:r w:rsidR="00111EEF">
        <w:t>,</w:t>
      </w:r>
      <w:r w:rsidRPr="00002494">
        <w:t xml:space="preserve"> and a 4-inch diameter well</w:t>
      </w:r>
      <w:r w:rsidR="00111EEF">
        <w:t>,</w:t>
      </w:r>
      <w:r w:rsidRPr="00002494">
        <w:t xml:space="preserve"> rated at 150 </w:t>
      </w:r>
      <w:proofErr w:type="spellStart"/>
      <w:r w:rsidRPr="00002494">
        <w:t>gpm</w:t>
      </w:r>
      <w:proofErr w:type="spellEnd"/>
      <w:r w:rsidRPr="00002494">
        <w:t xml:space="preserve">. </w:t>
      </w:r>
      <w:r w:rsidR="00111EEF">
        <w:t>R</w:t>
      </w:r>
      <w:r w:rsidRPr="00002494">
        <w:t xml:space="preserve">aw water is injected with liquid chlorine prior to entering either a 6,000 gallon or 3,000 gallon </w:t>
      </w:r>
      <w:proofErr w:type="spellStart"/>
      <w:r w:rsidRPr="00002494">
        <w:t>hydropneumatic</w:t>
      </w:r>
      <w:proofErr w:type="spellEnd"/>
      <w:r w:rsidRPr="00002494">
        <w:t xml:space="preserve"> tank. The treated water is then pumped into the water distribution system. </w:t>
      </w:r>
    </w:p>
    <w:p w:rsidR="00111EEF" w:rsidRPr="00002494" w:rsidRDefault="00111EEF" w:rsidP="00111EEF">
      <w:pPr>
        <w:ind w:firstLine="720"/>
        <w:jc w:val="both"/>
      </w:pPr>
    </w:p>
    <w:p w:rsidR="00EB42CE" w:rsidRDefault="00EB42CE">
      <w:r>
        <w:br w:type="page"/>
      </w:r>
    </w:p>
    <w:p w:rsidR="00002494" w:rsidRDefault="00111EEF" w:rsidP="00111EEF">
      <w:pPr>
        <w:ind w:firstLine="720"/>
        <w:jc w:val="both"/>
      </w:pPr>
      <w:r>
        <w:lastRenderedPageBreak/>
        <w:t>Our</w:t>
      </w:r>
      <w:r w:rsidR="00002494" w:rsidRPr="00002494">
        <w:t xml:space="preserve"> evaluation of Sunrise’s facilities included </w:t>
      </w:r>
      <w:r>
        <w:t xml:space="preserve">an inspection of the Sunrise plant site performed by our staff on May 19, 2015, and a review of </w:t>
      </w:r>
      <w:r w:rsidR="00002494" w:rsidRPr="00002494">
        <w:t xml:space="preserve">the Utility’s compliance with DEP and PCHD standards of operation. </w:t>
      </w:r>
      <w:r>
        <w:t>PCHD records indicate that o</w:t>
      </w:r>
      <w:r w:rsidR="00002494" w:rsidRPr="00002494">
        <w:t>n December 13, 2012, PCHD conducted a plant inspection</w:t>
      </w:r>
      <w:r>
        <w:t>,</w:t>
      </w:r>
      <w:r w:rsidR="00002494" w:rsidRPr="00002494">
        <w:t xml:space="preserve"> which concluded that the 6,000 gallon </w:t>
      </w:r>
      <w:proofErr w:type="spellStart"/>
      <w:r w:rsidR="00002494" w:rsidRPr="00002494">
        <w:t>hydropneumatic</w:t>
      </w:r>
      <w:proofErr w:type="spellEnd"/>
      <w:r w:rsidR="00002494" w:rsidRPr="00002494">
        <w:t xml:space="preserve"> tank would have to be cleaned and recoated within 36 months of the inspection date (December 2015). On January 14, 2016, </w:t>
      </w:r>
      <w:r>
        <w:t xml:space="preserve">Sunrise and PCHD, on behalf of DEP, </w:t>
      </w:r>
      <w:r w:rsidR="00002494" w:rsidRPr="00002494">
        <w:t xml:space="preserve">entered into a Consent Order stating that the Utility failed to perform the recommended maintenance and that the Utility faced escalating financial penalties until the recommended maintenance was completed. </w:t>
      </w:r>
      <w:r w:rsidR="00091892">
        <w:t>In addition,</w:t>
      </w:r>
      <w:r w:rsidR="00002494" w:rsidRPr="00002494">
        <w:t xml:space="preserve"> </w:t>
      </w:r>
      <w:r>
        <w:t xml:space="preserve">Sunrise </w:t>
      </w:r>
      <w:r w:rsidR="00091892">
        <w:t xml:space="preserve">has </w:t>
      </w:r>
      <w:r>
        <w:t>n</w:t>
      </w:r>
      <w:r w:rsidR="00002494" w:rsidRPr="00002494">
        <w:t xml:space="preserve">ot </w:t>
      </w:r>
      <w:r>
        <w:t>provide</w:t>
      </w:r>
      <w:r w:rsidR="00091892">
        <w:t>d</w:t>
      </w:r>
      <w:r>
        <w:t xml:space="preserve"> this Commission with </w:t>
      </w:r>
      <w:r w:rsidR="00002494" w:rsidRPr="00002494">
        <w:t xml:space="preserve">any documentation </w:t>
      </w:r>
      <w:r>
        <w:t xml:space="preserve">to </w:t>
      </w:r>
      <w:r w:rsidR="00002494" w:rsidRPr="00002494">
        <w:t>indicat</w:t>
      </w:r>
      <w:r>
        <w:t>e</w:t>
      </w:r>
      <w:r w:rsidR="00002494" w:rsidRPr="00002494">
        <w:t xml:space="preserve"> th</w:t>
      </w:r>
      <w:r>
        <w:t xml:space="preserve">at the Utility </w:t>
      </w:r>
      <w:r w:rsidR="00002494" w:rsidRPr="00002494">
        <w:t>plann</w:t>
      </w:r>
      <w:r>
        <w:t>ed</w:t>
      </w:r>
      <w:r w:rsidR="00002494" w:rsidRPr="00002494">
        <w:t xml:space="preserve"> on performing the maintenance recommended by the PCHD</w:t>
      </w:r>
      <w:r w:rsidR="00091892">
        <w:t xml:space="preserve"> d</w:t>
      </w:r>
      <w:r w:rsidR="00091892" w:rsidRPr="00002494">
        <w:t>espite multiple requests</w:t>
      </w:r>
      <w:r w:rsidR="00091892">
        <w:t xml:space="preserve"> by our staff</w:t>
      </w:r>
      <w:r w:rsidR="00002494" w:rsidRPr="00002494">
        <w:t xml:space="preserve">. Based on </w:t>
      </w:r>
      <w:r>
        <w:t>Sunrise</w:t>
      </w:r>
      <w:r w:rsidR="00002494" w:rsidRPr="00002494">
        <w:t xml:space="preserve">’s non-compliance and non-responsiveness to PCHD </w:t>
      </w:r>
      <w:r w:rsidR="00091892">
        <w:t>requirements, we</w:t>
      </w:r>
      <w:r w:rsidR="00002494" w:rsidRPr="00002494">
        <w:t xml:space="preserve"> </w:t>
      </w:r>
      <w:r w:rsidR="00091892">
        <w:t xml:space="preserve">find </w:t>
      </w:r>
      <w:r w:rsidR="00002494" w:rsidRPr="00002494">
        <w:t xml:space="preserve">that the operating condition of </w:t>
      </w:r>
      <w:r w:rsidR="00091892">
        <w:t>Sunrise’</w:t>
      </w:r>
      <w:r w:rsidR="00002494" w:rsidRPr="00002494">
        <w:t xml:space="preserve">s plant and facilities </w:t>
      </w:r>
      <w:r w:rsidR="00091892">
        <w:t>to</w:t>
      </w:r>
      <w:r w:rsidR="00002494" w:rsidRPr="00002494">
        <w:t xml:space="preserve"> be unsatisfactory.  </w:t>
      </w:r>
      <w:r w:rsidR="005D4E59">
        <w:t>In addition, we find that Sunrise shall be required to file six monthly status reports in this docket, beginning April 15, 2016, to provide the status of its progress in meet</w:t>
      </w:r>
      <w:r w:rsidR="00DF1F2F">
        <w:t>ing the requirements of the PCHD</w:t>
      </w:r>
      <w:r w:rsidR="005D4E59">
        <w:t xml:space="preserve"> Consent Order.</w:t>
      </w:r>
    </w:p>
    <w:p w:rsidR="00091892" w:rsidRPr="00002494" w:rsidRDefault="00091892" w:rsidP="00111EEF">
      <w:pPr>
        <w:ind w:firstLine="720"/>
        <w:jc w:val="both"/>
        <w:rPr>
          <w:b/>
        </w:rPr>
      </w:pPr>
    </w:p>
    <w:p w:rsidR="00002494" w:rsidRPr="00091892" w:rsidRDefault="00002494" w:rsidP="00091892">
      <w:pPr>
        <w:ind w:firstLine="720"/>
        <w:outlineLvl w:val="3"/>
        <w:rPr>
          <w:bCs/>
          <w:i/>
          <w:iCs/>
          <w:szCs w:val="28"/>
        </w:rPr>
      </w:pPr>
      <w:r w:rsidRPr="00091892">
        <w:rPr>
          <w:bCs/>
          <w:i/>
          <w:iCs/>
          <w:szCs w:val="28"/>
        </w:rPr>
        <w:t>The Utility’s Attempt to Address Customer Satisfaction</w:t>
      </w:r>
    </w:p>
    <w:p w:rsidR="00091892" w:rsidRDefault="00091892" w:rsidP="00526BF4">
      <w:pPr>
        <w:jc w:val="both"/>
      </w:pPr>
    </w:p>
    <w:p w:rsidR="00002494" w:rsidRPr="00002494" w:rsidRDefault="00002494" w:rsidP="00091892">
      <w:pPr>
        <w:ind w:firstLine="720"/>
        <w:jc w:val="both"/>
      </w:pPr>
      <w:r w:rsidRPr="00002494">
        <w:t xml:space="preserve">The final component of the overall quality of service </w:t>
      </w:r>
      <w:r w:rsidR="00DF1F2F">
        <w:t xml:space="preserve">that </w:t>
      </w:r>
      <w:r w:rsidR="00091892">
        <w:t>we</w:t>
      </w:r>
      <w:r w:rsidRPr="00002494">
        <w:t xml:space="preserve"> must assess is customer satisfaction. As part of </w:t>
      </w:r>
      <w:r w:rsidR="00091892">
        <w:t>our</w:t>
      </w:r>
      <w:r w:rsidRPr="00002494">
        <w:t xml:space="preserve"> evaluation of </w:t>
      </w:r>
      <w:r w:rsidR="00091892">
        <w:t xml:space="preserve">the Utility’s </w:t>
      </w:r>
      <w:r w:rsidRPr="00002494">
        <w:t>customer satisfaction</w:t>
      </w:r>
      <w:r w:rsidR="00091892">
        <w:t>, our</w:t>
      </w:r>
      <w:r w:rsidRPr="00002494">
        <w:t xml:space="preserve"> staff held a custo</w:t>
      </w:r>
      <w:r w:rsidR="00091892">
        <w:t>mer meeting on May 20, 2015,</w:t>
      </w:r>
      <w:r w:rsidRPr="00002494">
        <w:t xml:space="preserve"> to receive customer comments concerning Sunrise’s quality of service. Approximately 20 customers attended the meeting in which 5 spoke about their problems with the service provided by the Utility. The primary concern expressed by the five speakers dealt with billing issues. The customers were angered by multiple instances of their monthly payments not being credited properly</w:t>
      </w:r>
      <w:r w:rsidR="00DF1F2F">
        <w:t>,</w:t>
      </w:r>
      <w:r w:rsidRPr="00002494">
        <w:t xml:space="preserve"> resulting in late payment fees. In addition, they stated </w:t>
      </w:r>
      <w:r w:rsidR="00091892">
        <w:t>Sunrise</w:t>
      </w:r>
      <w:r w:rsidRPr="00002494">
        <w:t xml:space="preserve"> had a policy of knocking on the customers doors in the evening hours threatening to disconnect the service if a cash payment was not made to them immediately. In some instances, customers claim that they paid in cash as requested, and then received a double bill the following month with neither of their payments credited, although their bank or payment agent verified the payment. The customers characterized </w:t>
      </w:r>
      <w:r w:rsidR="00091892">
        <w:t>Sunrise</w:t>
      </w:r>
      <w:r w:rsidRPr="00002494">
        <w:t xml:space="preserve">’s practice of collecting payments as intimidating. In addition, </w:t>
      </w:r>
      <w:r w:rsidR="00091892">
        <w:t xml:space="preserve">our staff was presented with </w:t>
      </w:r>
      <w:r w:rsidRPr="00002494">
        <w:t>a petition, with 71 sign</w:t>
      </w:r>
      <w:r w:rsidR="00DF1F2F">
        <w:t>atures</w:t>
      </w:r>
      <w:r w:rsidRPr="00002494">
        <w:t xml:space="preserve">, </w:t>
      </w:r>
      <w:r w:rsidR="00091892">
        <w:t xml:space="preserve">at the customer meeting, stating an </w:t>
      </w:r>
      <w:r w:rsidRPr="00002494">
        <w:t>objecti</w:t>
      </w:r>
      <w:r w:rsidR="00091892">
        <w:t>on</w:t>
      </w:r>
      <w:r w:rsidRPr="00002494">
        <w:t xml:space="preserve"> to the rate increase. The petition, however, lacked sufficient information</w:t>
      </w:r>
      <w:r w:rsidR="00091892">
        <w:t xml:space="preserve">, such as </w:t>
      </w:r>
      <w:r w:rsidRPr="00002494">
        <w:t>addresses</w:t>
      </w:r>
      <w:r w:rsidR="00091892">
        <w:t>,</w:t>
      </w:r>
      <w:r w:rsidRPr="00002494">
        <w:t xml:space="preserve"> to quantify how many of the signatories were </w:t>
      </w:r>
      <w:r w:rsidR="00091892">
        <w:t xml:space="preserve">Sunrise </w:t>
      </w:r>
      <w:r w:rsidRPr="00002494">
        <w:t xml:space="preserve">customers.   </w:t>
      </w:r>
    </w:p>
    <w:p w:rsidR="00002494" w:rsidRPr="00002494" w:rsidRDefault="00002494" w:rsidP="00526BF4">
      <w:pPr>
        <w:jc w:val="both"/>
      </w:pPr>
    </w:p>
    <w:p w:rsidR="00002494" w:rsidRPr="00002494" w:rsidRDefault="00091892" w:rsidP="00091892">
      <w:pPr>
        <w:ind w:firstLine="720"/>
        <w:jc w:val="both"/>
      </w:pPr>
      <w:r>
        <w:t>Our s</w:t>
      </w:r>
      <w:r w:rsidR="00002494" w:rsidRPr="00002494">
        <w:t xml:space="preserve">taff also requested the complaint records filed against the Utility, directly with the DEP/PCHD from 2011 through 2015. The DEP/PCHD responded that it had not received any complaints against the Utility during the specified time frame. The same request was sent to Sunrise, which responded that it did not have any customer complaints outside of the ones forwarded by </w:t>
      </w:r>
      <w:r w:rsidR="00087B4F">
        <w:t xml:space="preserve">our </w:t>
      </w:r>
      <w:r w:rsidR="00002494" w:rsidRPr="00002494">
        <w:t xml:space="preserve">Office of Consumer Assistance and Outreach for the requested period. The review of </w:t>
      </w:r>
      <w:r w:rsidR="00087B4F">
        <w:t>our</w:t>
      </w:r>
      <w:r w:rsidR="00002494" w:rsidRPr="00002494">
        <w:t xml:space="preserve"> complaint records indicated 22 complaints against the Utility were received from January 1, 2011, through December 31, 2015. Similar to the concerns expressed at the customer meeting, many of the complaints reflected dissatisfaction with billing issues. Fourteen of the Utility’s 22 responses, to </w:t>
      </w:r>
      <w:r w:rsidR="00087B4F">
        <w:t xml:space="preserve">our </w:t>
      </w:r>
      <w:r w:rsidR="00002494" w:rsidRPr="00002494">
        <w:t>staff</w:t>
      </w:r>
      <w:r w:rsidR="00087B4F">
        <w:t>’s</w:t>
      </w:r>
      <w:r w:rsidR="00002494" w:rsidRPr="00002494">
        <w:t xml:space="preserve"> inquiries, were beyond the 15 days required by Rule 25-22.032, (6)(b) F.A.C. Because the Utility’s responses were late, they were recorded as apparent </w:t>
      </w:r>
      <w:r w:rsidR="00002494" w:rsidRPr="00002494">
        <w:lastRenderedPageBreak/>
        <w:t>violations of the aforementioned Rule. OPC also raised concerns about the Utility’s responsiveness to customer and staff inquiries. Table below, summarizes the customer complaints in this docket.</w:t>
      </w:r>
    </w:p>
    <w:p w:rsidR="00087B4F" w:rsidRDefault="00087B4F">
      <w:pPr>
        <w:rPr>
          <w:b/>
          <w:color w:val="000000"/>
        </w:rPr>
      </w:pPr>
    </w:p>
    <w:p w:rsidR="00002494" w:rsidRPr="00002494" w:rsidRDefault="00002494" w:rsidP="00526BF4">
      <w:pPr>
        <w:jc w:val="center"/>
        <w:rPr>
          <w:b/>
          <w:color w:val="000000"/>
        </w:rPr>
      </w:pPr>
    </w:p>
    <w:tbl>
      <w:tblPr>
        <w:tblW w:w="5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1468"/>
        <w:gridCol w:w="1263"/>
      </w:tblGrid>
      <w:tr w:rsidR="00002494" w:rsidRPr="00002494" w:rsidTr="00087B4F">
        <w:trPr>
          <w:trHeight w:val="566"/>
          <w:jc w:val="center"/>
        </w:trPr>
        <w:tc>
          <w:tcPr>
            <w:tcW w:w="2529" w:type="dxa"/>
            <w:shd w:val="clear" w:color="auto" w:fill="auto"/>
            <w:vAlign w:val="center"/>
          </w:tcPr>
          <w:p w:rsidR="00002494" w:rsidRPr="00002494" w:rsidRDefault="00002494" w:rsidP="00526BF4">
            <w:pPr>
              <w:jc w:val="center"/>
              <w:rPr>
                <w:b/>
                <w:color w:val="000000"/>
              </w:rPr>
            </w:pPr>
            <w:r w:rsidRPr="00002494">
              <w:rPr>
                <w:b/>
                <w:color w:val="000000"/>
              </w:rPr>
              <w:t>Subject of Complaint</w:t>
            </w:r>
          </w:p>
        </w:tc>
        <w:tc>
          <w:tcPr>
            <w:tcW w:w="1468" w:type="dxa"/>
            <w:shd w:val="clear" w:color="auto" w:fill="auto"/>
            <w:vAlign w:val="center"/>
          </w:tcPr>
          <w:p w:rsidR="00002494" w:rsidRPr="00002494" w:rsidRDefault="00002494" w:rsidP="00526BF4">
            <w:pPr>
              <w:jc w:val="center"/>
              <w:rPr>
                <w:b/>
                <w:color w:val="000000"/>
              </w:rPr>
            </w:pPr>
            <w:r w:rsidRPr="00002494">
              <w:rPr>
                <w:b/>
                <w:color w:val="000000"/>
              </w:rPr>
              <w:t>PSC’s Records (CATS)</w:t>
            </w:r>
          </w:p>
        </w:tc>
        <w:tc>
          <w:tcPr>
            <w:tcW w:w="1263" w:type="dxa"/>
            <w:shd w:val="clear" w:color="auto" w:fill="auto"/>
            <w:vAlign w:val="center"/>
          </w:tcPr>
          <w:p w:rsidR="00002494" w:rsidRPr="00002494" w:rsidRDefault="00002494" w:rsidP="00526BF4">
            <w:pPr>
              <w:jc w:val="center"/>
              <w:rPr>
                <w:b/>
                <w:color w:val="000000"/>
              </w:rPr>
            </w:pPr>
            <w:r w:rsidRPr="00002494">
              <w:rPr>
                <w:b/>
                <w:color w:val="000000"/>
              </w:rPr>
              <w:t>Customer Meeting</w:t>
            </w:r>
          </w:p>
        </w:tc>
      </w:tr>
      <w:tr w:rsidR="00002494" w:rsidRPr="00002494" w:rsidTr="00087B4F">
        <w:trPr>
          <w:trHeight w:val="230"/>
          <w:jc w:val="center"/>
        </w:trPr>
        <w:tc>
          <w:tcPr>
            <w:tcW w:w="2529" w:type="dxa"/>
            <w:shd w:val="clear" w:color="auto" w:fill="auto"/>
            <w:vAlign w:val="center"/>
          </w:tcPr>
          <w:p w:rsidR="00002494" w:rsidRPr="00002494" w:rsidRDefault="00002494" w:rsidP="00526BF4">
            <w:pPr>
              <w:rPr>
                <w:b/>
                <w:color w:val="000000"/>
              </w:rPr>
            </w:pPr>
            <w:r w:rsidRPr="00002494">
              <w:rPr>
                <w:b/>
                <w:color w:val="000000"/>
              </w:rPr>
              <w:t>Billing Related</w:t>
            </w:r>
          </w:p>
        </w:tc>
        <w:tc>
          <w:tcPr>
            <w:tcW w:w="1468" w:type="dxa"/>
            <w:shd w:val="clear" w:color="auto" w:fill="auto"/>
            <w:vAlign w:val="center"/>
          </w:tcPr>
          <w:p w:rsidR="00002494" w:rsidRPr="00002494" w:rsidRDefault="00002494" w:rsidP="00526BF4">
            <w:pPr>
              <w:jc w:val="center"/>
              <w:rPr>
                <w:color w:val="000000"/>
              </w:rPr>
            </w:pPr>
            <w:r w:rsidRPr="00002494">
              <w:rPr>
                <w:color w:val="000000"/>
              </w:rPr>
              <w:t>14</w:t>
            </w:r>
          </w:p>
        </w:tc>
        <w:tc>
          <w:tcPr>
            <w:tcW w:w="1263" w:type="dxa"/>
            <w:shd w:val="clear" w:color="auto" w:fill="auto"/>
            <w:vAlign w:val="center"/>
          </w:tcPr>
          <w:p w:rsidR="00002494" w:rsidRPr="00002494" w:rsidRDefault="00002494" w:rsidP="00526BF4">
            <w:pPr>
              <w:jc w:val="center"/>
              <w:rPr>
                <w:color w:val="000000"/>
              </w:rPr>
            </w:pPr>
            <w:r w:rsidRPr="00002494">
              <w:rPr>
                <w:color w:val="000000"/>
              </w:rPr>
              <w:t>4</w:t>
            </w:r>
          </w:p>
        </w:tc>
      </w:tr>
      <w:tr w:rsidR="00002494" w:rsidRPr="00002494" w:rsidTr="00087B4F">
        <w:trPr>
          <w:trHeight w:val="230"/>
          <w:jc w:val="center"/>
        </w:trPr>
        <w:tc>
          <w:tcPr>
            <w:tcW w:w="2529" w:type="dxa"/>
            <w:shd w:val="clear" w:color="auto" w:fill="auto"/>
            <w:vAlign w:val="center"/>
          </w:tcPr>
          <w:p w:rsidR="00002494" w:rsidRPr="00002494" w:rsidRDefault="00002494" w:rsidP="00526BF4">
            <w:pPr>
              <w:rPr>
                <w:b/>
                <w:color w:val="000000"/>
              </w:rPr>
            </w:pPr>
            <w:r w:rsidRPr="00002494">
              <w:rPr>
                <w:b/>
                <w:color w:val="000000"/>
              </w:rPr>
              <w:t>Opposing Rate Increase</w:t>
            </w:r>
          </w:p>
        </w:tc>
        <w:tc>
          <w:tcPr>
            <w:tcW w:w="1468" w:type="dxa"/>
            <w:shd w:val="clear" w:color="auto" w:fill="auto"/>
            <w:vAlign w:val="center"/>
          </w:tcPr>
          <w:p w:rsidR="00002494" w:rsidRPr="00002494" w:rsidRDefault="00002494" w:rsidP="00526BF4">
            <w:pPr>
              <w:jc w:val="center"/>
              <w:rPr>
                <w:color w:val="000000"/>
              </w:rPr>
            </w:pPr>
            <w:r w:rsidRPr="00002494">
              <w:rPr>
                <w:color w:val="000000"/>
              </w:rPr>
              <w:t>-</w:t>
            </w:r>
          </w:p>
        </w:tc>
        <w:tc>
          <w:tcPr>
            <w:tcW w:w="1263" w:type="dxa"/>
            <w:shd w:val="clear" w:color="auto" w:fill="auto"/>
            <w:vAlign w:val="center"/>
          </w:tcPr>
          <w:p w:rsidR="00002494" w:rsidRPr="00002494" w:rsidRDefault="00002494" w:rsidP="00526BF4">
            <w:pPr>
              <w:jc w:val="center"/>
              <w:rPr>
                <w:color w:val="000000"/>
              </w:rPr>
            </w:pPr>
            <w:r w:rsidRPr="00002494">
              <w:rPr>
                <w:color w:val="000000"/>
              </w:rPr>
              <w:t>1</w:t>
            </w:r>
          </w:p>
        </w:tc>
      </w:tr>
      <w:tr w:rsidR="00002494" w:rsidRPr="00002494" w:rsidTr="00087B4F">
        <w:trPr>
          <w:trHeight w:val="230"/>
          <w:jc w:val="center"/>
        </w:trPr>
        <w:tc>
          <w:tcPr>
            <w:tcW w:w="2529" w:type="dxa"/>
            <w:shd w:val="clear" w:color="auto" w:fill="auto"/>
            <w:vAlign w:val="center"/>
          </w:tcPr>
          <w:p w:rsidR="00002494" w:rsidRPr="00002494" w:rsidRDefault="00002494" w:rsidP="00526BF4">
            <w:pPr>
              <w:rPr>
                <w:b/>
                <w:color w:val="000000"/>
              </w:rPr>
            </w:pPr>
            <w:r w:rsidRPr="00002494">
              <w:rPr>
                <w:b/>
                <w:color w:val="000000"/>
              </w:rPr>
              <w:t>Other</w:t>
            </w:r>
          </w:p>
        </w:tc>
        <w:tc>
          <w:tcPr>
            <w:tcW w:w="1468" w:type="dxa"/>
            <w:shd w:val="clear" w:color="auto" w:fill="auto"/>
            <w:vAlign w:val="center"/>
          </w:tcPr>
          <w:p w:rsidR="00002494" w:rsidRPr="00002494" w:rsidRDefault="00002494" w:rsidP="00526BF4">
            <w:pPr>
              <w:jc w:val="center"/>
              <w:rPr>
                <w:color w:val="000000"/>
              </w:rPr>
            </w:pPr>
            <w:r w:rsidRPr="00002494">
              <w:rPr>
                <w:color w:val="000000"/>
              </w:rPr>
              <w:t>2</w:t>
            </w:r>
          </w:p>
        </w:tc>
        <w:tc>
          <w:tcPr>
            <w:tcW w:w="1263" w:type="dxa"/>
            <w:shd w:val="clear" w:color="auto" w:fill="auto"/>
            <w:vAlign w:val="center"/>
          </w:tcPr>
          <w:p w:rsidR="00002494" w:rsidRPr="00002494" w:rsidRDefault="00002494" w:rsidP="00526BF4">
            <w:pPr>
              <w:jc w:val="center"/>
              <w:rPr>
                <w:color w:val="000000"/>
              </w:rPr>
            </w:pPr>
            <w:r w:rsidRPr="00002494">
              <w:rPr>
                <w:color w:val="000000"/>
              </w:rPr>
              <w:t>-</w:t>
            </w:r>
          </w:p>
        </w:tc>
      </w:tr>
      <w:tr w:rsidR="00002494" w:rsidRPr="00002494" w:rsidTr="00087B4F">
        <w:trPr>
          <w:trHeight w:val="230"/>
          <w:jc w:val="center"/>
        </w:trPr>
        <w:tc>
          <w:tcPr>
            <w:tcW w:w="2529" w:type="dxa"/>
            <w:shd w:val="clear" w:color="auto" w:fill="auto"/>
            <w:vAlign w:val="center"/>
          </w:tcPr>
          <w:p w:rsidR="00002494" w:rsidRPr="00002494" w:rsidRDefault="00002494" w:rsidP="00526BF4">
            <w:pPr>
              <w:rPr>
                <w:b/>
                <w:color w:val="000000"/>
              </w:rPr>
            </w:pPr>
            <w:r w:rsidRPr="00002494">
              <w:rPr>
                <w:b/>
                <w:color w:val="000000"/>
              </w:rPr>
              <w:t>Quality of Service</w:t>
            </w:r>
          </w:p>
        </w:tc>
        <w:tc>
          <w:tcPr>
            <w:tcW w:w="1468" w:type="dxa"/>
            <w:shd w:val="clear" w:color="auto" w:fill="auto"/>
            <w:vAlign w:val="center"/>
          </w:tcPr>
          <w:p w:rsidR="00002494" w:rsidRPr="00002494" w:rsidRDefault="00002494" w:rsidP="00526BF4">
            <w:pPr>
              <w:jc w:val="center"/>
              <w:rPr>
                <w:color w:val="000000"/>
              </w:rPr>
            </w:pPr>
            <w:r w:rsidRPr="00002494">
              <w:rPr>
                <w:color w:val="000000"/>
              </w:rPr>
              <w:t>6</w:t>
            </w:r>
          </w:p>
        </w:tc>
        <w:tc>
          <w:tcPr>
            <w:tcW w:w="1263" w:type="dxa"/>
            <w:shd w:val="clear" w:color="auto" w:fill="auto"/>
            <w:vAlign w:val="center"/>
          </w:tcPr>
          <w:p w:rsidR="00002494" w:rsidRPr="00002494" w:rsidRDefault="00002494" w:rsidP="00526BF4">
            <w:pPr>
              <w:jc w:val="center"/>
              <w:rPr>
                <w:color w:val="000000"/>
              </w:rPr>
            </w:pPr>
            <w:r w:rsidRPr="00002494">
              <w:rPr>
                <w:color w:val="000000"/>
              </w:rPr>
              <w:t>3</w:t>
            </w:r>
          </w:p>
        </w:tc>
      </w:tr>
      <w:tr w:rsidR="00002494" w:rsidRPr="00002494" w:rsidTr="00087B4F">
        <w:trPr>
          <w:trHeight w:val="243"/>
          <w:jc w:val="center"/>
        </w:trPr>
        <w:tc>
          <w:tcPr>
            <w:tcW w:w="2529" w:type="dxa"/>
            <w:shd w:val="clear" w:color="auto" w:fill="auto"/>
            <w:vAlign w:val="center"/>
          </w:tcPr>
          <w:p w:rsidR="00002494" w:rsidRPr="00002494" w:rsidRDefault="00002494" w:rsidP="00526BF4">
            <w:pPr>
              <w:rPr>
                <w:b/>
                <w:color w:val="000000"/>
              </w:rPr>
            </w:pPr>
            <w:r w:rsidRPr="00002494">
              <w:rPr>
                <w:b/>
                <w:color w:val="000000"/>
              </w:rPr>
              <w:t>Total*</w:t>
            </w:r>
          </w:p>
        </w:tc>
        <w:tc>
          <w:tcPr>
            <w:tcW w:w="1468" w:type="dxa"/>
            <w:shd w:val="clear" w:color="auto" w:fill="auto"/>
            <w:vAlign w:val="center"/>
          </w:tcPr>
          <w:p w:rsidR="00002494" w:rsidRPr="00002494" w:rsidRDefault="00002494" w:rsidP="00526BF4">
            <w:pPr>
              <w:jc w:val="center"/>
              <w:rPr>
                <w:b/>
                <w:color w:val="000000"/>
              </w:rPr>
            </w:pPr>
            <w:r w:rsidRPr="00002494">
              <w:rPr>
                <w:b/>
                <w:color w:val="000000"/>
              </w:rPr>
              <w:t>22</w:t>
            </w:r>
          </w:p>
        </w:tc>
        <w:tc>
          <w:tcPr>
            <w:tcW w:w="1263" w:type="dxa"/>
            <w:shd w:val="clear" w:color="auto" w:fill="auto"/>
            <w:vAlign w:val="center"/>
          </w:tcPr>
          <w:p w:rsidR="00002494" w:rsidRPr="00002494" w:rsidRDefault="00002494" w:rsidP="00526BF4">
            <w:pPr>
              <w:jc w:val="center"/>
              <w:rPr>
                <w:b/>
                <w:color w:val="000000"/>
              </w:rPr>
            </w:pPr>
            <w:r w:rsidRPr="00002494">
              <w:rPr>
                <w:b/>
                <w:color w:val="000000"/>
              </w:rPr>
              <w:t>8</w:t>
            </w:r>
          </w:p>
        </w:tc>
      </w:tr>
    </w:tbl>
    <w:p w:rsidR="00087B4F" w:rsidRDefault="00002494" w:rsidP="00526BF4">
      <w:pPr>
        <w:ind w:left="-720"/>
        <w:jc w:val="both"/>
        <w:rPr>
          <w:color w:val="000000"/>
          <w:sz w:val="20"/>
          <w:szCs w:val="20"/>
        </w:rPr>
      </w:pPr>
      <w:r w:rsidRPr="00002494">
        <w:rPr>
          <w:color w:val="000000"/>
          <w:sz w:val="20"/>
          <w:szCs w:val="20"/>
        </w:rPr>
        <w:t xml:space="preserve">             </w:t>
      </w:r>
    </w:p>
    <w:p w:rsidR="00002494" w:rsidRPr="00002494" w:rsidRDefault="00002494" w:rsidP="00087B4F">
      <w:pPr>
        <w:ind w:left="-720" w:firstLine="720"/>
        <w:jc w:val="both"/>
        <w:rPr>
          <w:color w:val="000000"/>
          <w:sz w:val="20"/>
          <w:szCs w:val="20"/>
        </w:rPr>
      </w:pPr>
      <w:r w:rsidRPr="00002494">
        <w:rPr>
          <w:color w:val="000000"/>
          <w:sz w:val="20"/>
          <w:szCs w:val="20"/>
        </w:rPr>
        <w:t xml:space="preserve"> *A complaint may appear twice in this table if it meets multiple categories.</w:t>
      </w:r>
    </w:p>
    <w:p w:rsidR="00087B4F" w:rsidRDefault="00087B4F" w:rsidP="00526BF4">
      <w:pPr>
        <w:jc w:val="both"/>
      </w:pPr>
    </w:p>
    <w:p w:rsidR="00002494" w:rsidRPr="00002494" w:rsidRDefault="00002494" w:rsidP="00087B4F">
      <w:pPr>
        <w:ind w:firstLine="720"/>
        <w:jc w:val="both"/>
      </w:pPr>
      <w:r w:rsidRPr="00002494">
        <w:t xml:space="preserve">On October 19, 2015, the Utility notified </w:t>
      </w:r>
      <w:r w:rsidR="00087B4F">
        <w:t xml:space="preserve">our </w:t>
      </w:r>
      <w:r w:rsidRPr="00002494">
        <w:t>staff that its d</w:t>
      </w:r>
      <w:r w:rsidR="00087B4F">
        <w:t>aily customer service and repair</w:t>
      </w:r>
      <w:r w:rsidRPr="00002494">
        <w:t xml:space="preserve"> operations were under new management. Additionally, the Utility has entered a contractual arrangement with a bookkeeper in Bartow, Florida, which would allow customers to make service requests and bill payments in person from 8:30 am to 5:00 pm Monday through Friday.</w:t>
      </w:r>
      <w:r w:rsidRPr="00002494">
        <w:rPr>
          <w:vertAlign w:val="superscript"/>
        </w:rPr>
        <w:footnoteReference w:id="7"/>
      </w:r>
      <w:r w:rsidRPr="00002494">
        <w:t xml:space="preserve"> Although the Utility has demonstrated a willingness to address customer satisfaction, </w:t>
      </w:r>
      <w:r w:rsidR="00087B4F">
        <w:t>we</w:t>
      </w:r>
      <w:r w:rsidRPr="00002494">
        <w:t xml:space="preserve"> note that complaints regarding billing have been occurring for several years now.</w:t>
      </w:r>
    </w:p>
    <w:p w:rsidR="00002494" w:rsidRPr="00002494" w:rsidRDefault="00002494" w:rsidP="00526BF4">
      <w:pPr>
        <w:jc w:val="both"/>
      </w:pPr>
    </w:p>
    <w:p w:rsidR="00002494" w:rsidRPr="00002494" w:rsidRDefault="00087B4F" w:rsidP="00087B4F">
      <w:pPr>
        <w:ind w:firstLine="720"/>
        <w:jc w:val="both"/>
      </w:pPr>
      <w:r>
        <w:t>We</w:t>
      </w:r>
      <w:r w:rsidR="00002494" w:rsidRPr="00002494">
        <w:t xml:space="preserve"> </w:t>
      </w:r>
      <w:r w:rsidR="0031031E">
        <w:t>find</w:t>
      </w:r>
      <w:r w:rsidR="00002494" w:rsidRPr="00002494">
        <w:t xml:space="preserve"> that </w:t>
      </w:r>
      <w:r w:rsidR="0031031E">
        <w:t>Sunrise</w:t>
      </w:r>
      <w:r w:rsidR="00002494" w:rsidRPr="00002494">
        <w:t>’s untimely responses to th</w:t>
      </w:r>
      <w:r>
        <w:t>is</w:t>
      </w:r>
      <w:r w:rsidR="00002494" w:rsidRPr="00002494">
        <w:t xml:space="preserve"> Commission</w:t>
      </w:r>
      <w:r>
        <w:t>’s inquiries</w:t>
      </w:r>
      <w:r w:rsidR="00002494" w:rsidRPr="00002494">
        <w:t xml:space="preserve"> as well as other reg</w:t>
      </w:r>
      <w:r>
        <w:t xml:space="preserve">ulatory agencies, relates to </w:t>
      </w:r>
      <w:r w:rsidR="0031031E">
        <w:t>the Utility’s</w:t>
      </w:r>
      <w:r w:rsidR="00002494" w:rsidRPr="00002494">
        <w:t xml:space="preserve"> attempts to address customer satisfaction. As discussed </w:t>
      </w:r>
      <w:r w:rsidR="0031031E">
        <w:t>above</w:t>
      </w:r>
      <w:r w:rsidR="00002494" w:rsidRPr="00002494">
        <w:t>, Sunrise has not been responsive to the PCHD with respect</w:t>
      </w:r>
      <w:r w:rsidR="00DF1F2F">
        <w:t xml:space="preserve"> to</w:t>
      </w:r>
      <w:r w:rsidR="00002494" w:rsidRPr="00002494">
        <w:t xml:space="preserve"> necessary maintenance of it facilities, and </w:t>
      </w:r>
      <w:r w:rsidR="00D12A3D">
        <w:t>Sunrise</w:t>
      </w:r>
      <w:r w:rsidR="00002494" w:rsidRPr="00002494">
        <w:t xml:space="preserve"> has not been timely in its responses to </w:t>
      </w:r>
      <w:r w:rsidR="00D12A3D">
        <w:t xml:space="preserve">our </w:t>
      </w:r>
      <w:r w:rsidR="00002494" w:rsidRPr="00002494">
        <w:t xml:space="preserve">Office of Consumer Assistance and Outreach. Based on the summation of these concerns, as well as the customer’s complaints regarding the Utility’s practice of collecting payments, </w:t>
      </w:r>
      <w:r w:rsidR="00D12A3D">
        <w:t>we find</w:t>
      </w:r>
      <w:r w:rsidR="00002494" w:rsidRPr="00002494">
        <w:t xml:space="preserve"> Sunrise’s attempt to address customer satisfaction </w:t>
      </w:r>
      <w:r w:rsidR="00D12A3D">
        <w:t>to be unsatisfactory. Should Sunrise continue</w:t>
      </w:r>
      <w:r w:rsidR="00002494" w:rsidRPr="00002494">
        <w:t xml:space="preserve"> to show a pattern of non-responsiveness to </w:t>
      </w:r>
      <w:r w:rsidR="00D12A3D">
        <w:t xml:space="preserve">this </w:t>
      </w:r>
      <w:r w:rsidR="00002494" w:rsidRPr="00002494">
        <w:t>Commission</w:t>
      </w:r>
      <w:r w:rsidR="00D12A3D">
        <w:t>’s</w:t>
      </w:r>
      <w:r w:rsidR="00002494" w:rsidRPr="00002494">
        <w:t xml:space="preserve"> inquiries or </w:t>
      </w:r>
      <w:r w:rsidR="00D12A3D">
        <w:t xml:space="preserve">Sunrise </w:t>
      </w:r>
      <w:r w:rsidR="00002494" w:rsidRPr="00002494">
        <w:t xml:space="preserve">customers continue to complain about </w:t>
      </w:r>
      <w:r w:rsidR="00D12A3D">
        <w:t>its</w:t>
      </w:r>
      <w:r w:rsidR="00002494" w:rsidRPr="00002494">
        <w:t xml:space="preserve"> practice of collecting payments, a show-cause proceeding</w:t>
      </w:r>
      <w:r w:rsidR="00425E7C">
        <w:t xml:space="preserve"> may be initiated against the Utility</w:t>
      </w:r>
      <w:r w:rsidR="00002494" w:rsidRPr="00002494">
        <w:t xml:space="preserve">. </w:t>
      </w:r>
    </w:p>
    <w:p w:rsidR="00002494" w:rsidRPr="00002494" w:rsidRDefault="00002494" w:rsidP="00526BF4">
      <w:pPr>
        <w:jc w:val="both"/>
      </w:pPr>
      <w:r w:rsidRPr="00002494">
        <w:t xml:space="preserve"> </w:t>
      </w:r>
    </w:p>
    <w:p w:rsidR="00002494" w:rsidRPr="001E3E18" w:rsidRDefault="001F260F" w:rsidP="00425E7C">
      <w:pPr>
        <w:ind w:firstLine="720"/>
        <w:jc w:val="both"/>
        <w:outlineLvl w:val="2"/>
        <w:rPr>
          <w:bCs/>
          <w:i/>
          <w:iCs/>
          <w:szCs w:val="28"/>
        </w:rPr>
      </w:pPr>
      <w:r>
        <w:rPr>
          <w:bCs/>
          <w:i/>
          <w:iCs/>
          <w:szCs w:val="28"/>
        </w:rPr>
        <w:t>Quality of Service Summary</w:t>
      </w:r>
    </w:p>
    <w:p w:rsidR="00425E7C" w:rsidRDefault="00425E7C" w:rsidP="00526BF4">
      <w:pPr>
        <w:jc w:val="both"/>
      </w:pPr>
    </w:p>
    <w:p w:rsidR="001F260F" w:rsidRPr="00002494" w:rsidRDefault="00425E7C" w:rsidP="001F260F">
      <w:pPr>
        <w:ind w:firstLine="720"/>
        <w:jc w:val="both"/>
      </w:pPr>
      <w:r>
        <w:t>We find that t</w:t>
      </w:r>
      <w:r w:rsidR="00002494" w:rsidRPr="00002494">
        <w:t xml:space="preserve">he overall quality of service provided by Sunrise </w:t>
      </w:r>
      <w:r>
        <w:t>to be</w:t>
      </w:r>
      <w:r w:rsidR="00002494" w:rsidRPr="00002494">
        <w:t xml:space="preserve"> unsatisfactory because </w:t>
      </w:r>
      <w:r w:rsidR="001E3E18">
        <w:t>Sunrise</w:t>
      </w:r>
      <w:r w:rsidR="00002494" w:rsidRPr="00002494">
        <w:t xml:space="preserve"> has failed to address maintenance and repairs recommended by the PCHD in </w:t>
      </w:r>
      <w:r>
        <w:t>2</w:t>
      </w:r>
      <w:r w:rsidR="00002494" w:rsidRPr="00002494">
        <w:t xml:space="preserve">012. </w:t>
      </w:r>
      <w:r w:rsidR="001F260F">
        <w:t xml:space="preserve"> </w:t>
      </w:r>
      <w:r w:rsidR="005D4E59">
        <w:t xml:space="preserve">Sunrise shall be required to file six monthly status reports in this docket, beginning April 15, 2016, to provide the status of its progress in meeting the requirements of the PCHC Consent Order.  </w:t>
      </w:r>
      <w:r w:rsidR="00002494" w:rsidRPr="00002494">
        <w:t xml:space="preserve">Furthermore, </w:t>
      </w:r>
      <w:r>
        <w:t>Sunrise</w:t>
      </w:r>
      <w:r w:rsidR="00002494" w:rsidRPr="00002494">
        <w:t xml:space="preserve"> has demonstrated a pattern of non-responsiveness </w:t>
      </w:r>
      <w:r>
        <w:t xml:space="preserve">to </w:t>
      </w:r>
      <w:r w:rsidR="00002494" w:rsidRPr="00002494">
        <w:t>inquiries</w:t>
      </w:r>
      <w:r w:rsidR="001F260F">
        <w:t xml:space="preserve"> by this </w:t>
      </w:r>
      <w:r>
        <w:t>Commission</w:t>
      </w:r>
      <w:r w:rsidR="001F260F">
        <w:t>, and, a</w:t>
      </w:r>
      <w:r w:rsidR="00002494" w:rsidRPr="00002494">
        <w:t xml:space="preserve">s such, </w:t>
      </w:r>
      <w:r w:rsidR="001E3E18">
        <w:t xml:space="preserve">the Utility’s </w:t>
      </w:r>
      <w:r w:rsidR="00002494" w:rsidRPr="00002494">
        <w:t xml:space="preserve">officers’ salaries </w:t>
      </w:r>
      <w:r w:rsidR="001E3E18">
        <w:t xml:space="preserve">shall be decreased </w:t>
      </w:r>
      <w:r w:rsidR="00002494" w:rsidRPr="00002494">
        <w:t>by 25 percent</w:t>
      </w:r>
      <w:r w:rsidR="001E3E18">
        <w:t xml:space="preserve"> as </w:t>
      </w:r>
      <w:r w:rsidR="001E3E18">
        <w:lastRenderedPageBreak/>
        <w:t>set out more fully below</w:t>
      </w:r>
      <w:r w:rsidR="00002494" w:rsidRPr="00002494">
        <w:t>.</w:t>
      </w:r>
      <w:r w:rsidR="001F260F">
        <w:t xml:space="preserve">  Finally, should Sunrise continue</w:t>
      </w:r>
      <w:r w:rsidR="001F260F" w:rsidRPr="00002494">
        <w:t xml:space="preserve"> to show a pattern of non-responsiveness to </w:t>
      </w:r>
      <w:r w:rsidR="001F260F">
        <w:t xml:space="preserve">this </w:t>
      </w:r>
      <w:r w:rsidR="001F260F" w:rsidRPr="00002494">
        <w:t>Commission</w:t>
      </w:r>
      <w:r w:rsidR="001F260F">
        <w:t xml:space="preserve"> </w:t>
      </w:r>
      <w:r w:rsidR="001F260F" w:rsidRPr="00002494">
        <w:t xml:space="preserve">or </w:t>
      </w:r>
      <w:r w:rsidR="001F260F">
        <w:t xml:space="preserve">Sunrise </w:t>
      </w:r>
      <w:r w:rsidR="001F260F" w:rsidRPr="00002494">
        <w:t xml:space="preserve">customers continue to complain about </w:t>
      </w:r>
      <w:r w:rsidR="001F260F">
        <w:t>its</w:t>
      </w:r>
      <w:r w:rsidR="001F260F" w:rsidRPr="00002494">
        <w:t xml:space="preserve"> practice of collecting payments, a show-cause proceeding</w:t>
      </w:r>
      <w:r w:rsidR="001F260F">
        <w:t xml:space="preserve"> may be initiated against the Utility</w:t>
      </w:r>
      <w:r w:rsidR="001F260F" w:rsidRPr="00002494">
        <w:t xml:space="preserve">. </w:t>
      </w:r>
    </w:p>
    <w:p w:rsidR="00002494" w:rsidRPr="00002494" w:rsidRDefault="00002494" w:rsidP="00526BF4">
      <w:pPr>
        <w:jc w:val="both"/>
      </w:pPr>
    </w:p>
    <w:p w:rsidR="00831E5D" w:rsidRPr="00831E5D" w:rsidRDefault="00831E5D" w:rsidP="00831E5D">
      <w:pPr>
        <w:jc w:val="both"/>
        <w:rPr>
          <w:u w:val="single"/>
        </w:rPr>
      </w:pPr>
      <w:r>
        <w:rPr>
          <w:u w:val="single"/>
        </w:rPr>
        <w:t>Used &amp; Useful</w:t>
      </w:r>
      <w:r w:rsidR="0016419B">
        <w:rPr>
          <w:u w:val="single"/>
        </w:rPr>
        <w:t xml:space="preserve">  (U&amp;U)</w:t>
      </w:r>
    </w:p>
    <w:p w:rsidR="00831E5D" w:rsidRDefault="00831E5D" w:rsidP="00B2214B">
      <w:pPr>
        <w:ind w:firstLine="720"/>
        <w:jc w:val="both"/>
      </w:pPr>
    </w:p>
    <w:p w:rsidR="00002494" w:rsidRPr="0016419B" w:rsidRDefault="00B2214B" w:rsidP="0016419B">
      <w:pPr>
        <w:ind w:firstLine="720"/>
        <w:jc w:val="both"/>
      </w:pPr>
      <w:r>
        <w:t>Su</w:t>
      </w:r>
      <w:r w:rsidR="00002494" w:rsidRPr="00002494">
        <w:t>nrise’s water system is served by an 8-inch diameter well rated at 400 gallons per minute (</w:t>
      </w:r>
      <w:proofErr w:type="spellStart"/>
      <w:r w:rsidR="00002494" w:rsidRPr="00002494">
        <w:t>gpm</w:t>
      </w:r>
      <w:proofErr w:type="spellEnd"/>
      <w:r w:rsidR="00002494" w:rsidRPr="00002494">
        <w:t>) and a 4-inch diameter well rated at 150 gallons per minute (</w:t>
      </w:r>
      <w:proofErr w:type="spellStart"/>
      <w:r w:rsidR="00002494" w:rsidRPr="00002494">
        <w:t>gpm</w:t>
      </w:r>
      <w:proofErr w:type="spellEnd"/>
      <w:r w:rsidR="00002494" w:rsidRPr="00002494">
        <w:t xml:space="preserve">). The raw water is injected with liquid chlorine prior to entering either a 6,000 gallon or 3,000 gallon </w:t>
      </w:r>
      <w:proofErr w:type="spellStart"/>
      <w:r w:rsidR="00002494" w:rsidRPr="00002494">
        <w:t>hydropneumatic</w:t>
      </w:r>
      <w:proofErr w:type="spellEnd"/>
      <w:r w:rsidR="00002494" w:rsidRPr="00002494">
        <w:t xml:space="preserve"> tanks, and then pumped into the water distribution system. The Utility is permitted to withdraw an average of 58,400 gallons per day (</w:t>
      </w:r>
      <w:proofErr w:type="spellStart"/>
      <w:r w:rsidR="00002494" w:rsidRPr="00002494">
        <w:t>gpd</w:t>
      </w:r>
      <w:proofErr w:type="spellEnd"/>
      <w:r w:rsidR="00002494" w:rsidRPr="00002494">
        <w:t>)</w:t>
      </w:r>
      <w:r w:rsidR="0044727D">
        <w:t xml:space="preserve"> and</w:t>
      </w:r>
      <w:r w:rsidR="00002494" w:rsidRPr="00002494">
        <w:t xml:space="preserve"> up to 73,000 </w:t>
      </w:r>
      <w:proofErr w:type="spellStart"/>
      <w:r w:rsidR="00002494" w:rsidRPr="00002494">
        <w:t>gpd</w:t>
      </w:r>
      <w:proofErr w:type="spellEnd"/>
      <w:r w:rsidR="00002494" w:rsidRPr="00002494">
        <w:t xml:space="preserve"> peak. The treated water is then pumped into the water distribution system. </w:t>
      </w:r>
      <w:r w:rsidR="0016419B" w:rsidRPr="00002494">
        <w:t xml:space="preserve">During </w:t>
      </w:r>
      <w:r w:rsidR="0016419B">
        <w:t xml:space="preserve">Sunrise’s </w:t>
      </w:r>
      <w:r w:rsidR="0016419B" w:rsidRPr="00002494">
        <w:t xml:space="preserve">previous SARC, </w:t>
      </w:r>
      <w:r w:rsidR="0016419B">
        <w:t>we found both</w:t>
      </w:r>
      <w:r w:rsidR="0016419B" w:rsidRPr="00002494">
        <w:t xml:space="preserve"> the water treatment plant and distribution system</w:t>
      </w:r>
      <w:r w:rsidR="0044727D">
        <w:t xml:space="preserve"> to be</w:t>
      </w:r>
      <w:r w:rsidR="0016419B" w:rsidRPr="00002494">
        <w:t xml:space="preserve"> 100 percent U&amp;U. </w:t>
      </w:r>
      <w:r w:rsidR="002C69EE">
        <w:t>T</w:t>
      </w:r>
      <w:r w:rsidR="0016419B" w:rsidRPr="00002494">
        <w:t xml:space="preserve">here have been no major plant additions or growth in the </w:t>
      </w:r>
      <w:r w:rsidR="0016419B">
        <w:t xml:space="preserve">service area in the </w:t>
      </w:r>
      <w:r w:rsidR="0016419B" w:rsidRPr="00002494">
        <w:t>last five years.</w:t>
      </w:r>
      <w:r w:rsidR="00002494" w:rsidRPr="00002494">
        <w:t xml:space="preserve"> Therefore, consistent with </w:t>
      </w:r>
      <w:r w:rsidR="0016419B">
        <w:t>our</w:t>
      </w:r>
      <w:r w:rsidR="00002494" w:rsidRPr="00002494">
        <w:t xml:space="preserve"> prior decision, </w:t>
      </w:r>
      <w:r w:rsidR="0016419B">
        <w:t xml:space="preserve">we find </w:t>
      </w:r>
      <w:r w:rsidR="00002494" w:rsidRPr="00002494">
        <w:t xml:space="preserve">the water treatment plant and distribution system </w:t>
      </w:r>
      <w:r w:rsidR="0016419B">
        <w:t>to be</w:t>
      </w:r>
      <w:r w:rsidR="00002494" w:rsidRPr="00002494">
        <w:t xml:space="preserve"> 100 percent U&amp;U.</w:t>
      </w:r>
    </w:p>
    <w:p w:rsidR="00831E5D" w:rsidRDefault="00831E5D" w:rsidP="00526BF4">
      <w:pPr>
        <w:jc w:val="both"/>
        <w:outlineLvl w:val="3"/>
        <w:rPr>
          <w:b/>
          <w:bCs/>
          <w:iCs/>
          <w:szCs w:val="28"/>
        </w:rPr>
      </w:pPr>
    </w:p>
    <w:p w:rsidR="00002494" w:rsidRPr="0016419B" w:rsidRDefault="00002494" w:rsidP="00526BF4">
      <w:pPr>
        <w:jc w:val="both"/>
        <w:outlineLvl w:val="3"/>
        <w:rPr>
          <w:bCs/>
          <w:iCs/>
          <w:szCs w:val="28"/>
          <w:u w:val="single"/>
        </w:rPr>
      </w:pPr>
      <w:r w:rsidRPr="0016419B">
        <w:rPr>
          <w:bCs/>
          <w:iCs/>
          <w:szCs w:val="28"/>
          <w:u w:val="single"/>
        </w:rPr>
        <w:t>Excessive Unaccounted for Water</w:t>
      </w:r>
      <w:r w:rsidR="0016419B">
        <w:rPr>
          <w:bCs/>
          <w:iCs/>
          <w:szCs w:val="28"/>
          <w:u w:val="single"/>
        </w:rPr>
        <w:t xml:space="preserve"> (EUW)</w:t>
      </w:r>
    </w:p>
    <w:p w:rsidR="00831E5D" w:rsidRDefault="00831E5D" w:rsidP="00526BF4">
      <w:pPr>
        <w:jc w:val="both"/>
      </w:pPr>
    </w:p>
    <w:p w:rsidR="00002494" w:rsidRPr="00002494" w:rsidRDefault="00002494" w:rsidP="0016419B">
      <w:pPr>
        <w:ind w:firstLine="720"/>
        <w:jc w:val="both"/>
      </w:pPr>
      <w:r w:rsidRPr="00002494">
        <w:t xml:space="preserve">Rule 25-30.4325, F.A.C., describes EUW as unaccounted for water in excess of 10 percent of the amount produced. When establishing the Rule, </w:t>
      </w:r>
      <w:r w:rsidR="0016419B">
        <w:t>we</w:t>
      </w:r>
      <w:r w:rsidRPr="00002494">
        <w:t xml:space="preserve">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chemicals cost, are necessary, </w:t>
      </w:r>
      <w:r w:rsidR="002C69EE">
        <w:t>we</w:t>
      </w:r>
      <w:r w:rsidRPr="00002494">
        <w:t xml:space="preserve">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w:t>
      </w:r>
      <w:r w:rsidR="002C69EE">
        <w:t xml:space="preserve">  </w:t>
      </w:r>
    </w:p>
    <w:p w:rsidR="00002494" w:rsidRPr="00002494" w:rsidRDefault="00002494" w:rsidP="00526BF4">
      <w:pPr>
        <w:jc w:val="both"/>
      </w:pPr>
    </w:p>
    <w:p w:rsidR="00002494" w:rsidRDefault="002C69EE" w:rsidP="002C69EE">
      <w:pPr>
        <w:ind w:firstLine="720"/>
        <w:jc w:val="both"/>
      </w:pPr>
      <w:r>
        <w:t>Sunrise</w:t>
      </w:r>
      <w:r w:rsidR="00002494" w:rsidRPr="00002494">
        <w:t xml:space="preserve"> treated 17,560,851 gallons and sold 14,161,000 gallons of water during the test year. Sunrise did not record any gallons used for other purposes. </w:t>
      </w:r>
      <w:r w:rsidRPr="00002494">
        <w:t xml:space="preserve">According to </w:t>
      </w:r>
      <w:r>
        <w:t>Sunrise</w:t>
      </w:r>
      <w:r w:rsidRPr="00002494">
        <w:t xml:space="preserve">, there are no fire hydrants </w:t>
      </w:r>
      <w:r>
        <w:t xml:space="preserve">in the service area. </w:t>
      </w:r>
      <w:r w:rsidR="00002494" w:rsidRPr="00002494">
        <w:t>Therefore, the amount of unaccounted water (17,560,851 – 14,161,000) equals 3,399,851 gallons. Ten percent of the gallons produced, (17,560,851 x 0.10) or 1,756,085 gallons, are allowed per Rule; t</w:t>
      </w:r>
      <w:r>
        <w:t>hus</w:t>
      </w:r>
      <w:r w:rsidR="00002494" w:rsidRPr="00002494">
        <w:t xml:space="preserve">, the EUW (3,399,851 – 1,756,085) equals 1,643,766 gallons. This divided by the total gallons produced (1,643,766/17,560,851) equates to </w:t>
      </w:r>
      <w:r w:rsidR="002D1B8E">
        <w:t xml:space="preserve">approximately </w:t>
      </w:r>
      <w:r w:rsidR="00002494" w:rsidRPr="00002494">
        <w:t xml:space="preserve">9 percent EUW. Therefore, </w:t>
      </w:r>
      <w:r>
        <w:t xml:space="preserve">we find that </w:t>
      </w:r>
      <w:r w:rsidR="00002494" w:rsidRPr="00002494">
        <w:t xml:space="preserve">a 9 percent adjustment </w:t>
      </w:r>
      <w:r>
        <w:t xml:space="preserve">shall </w:t>
      </w:r>
      <w:r w:rsidR="00002494" w:rsidRPr="00002494">
        <w:t xml:space="preserve">be made to </w:t>
      </w:r>
      <w:r>
        <w:t xml:space="preserve">Sunrise’s </w:t>
      </w:r>
      <w:r w:rsidR="00002494" w:rsidRPr="00002494">
        <w:t xml:space="preserve">operating expenses for chemicals and purchased power due to the EUW. </w:t>
      </w:r>
    </w:p>
    <w:p w:rsidR="002C69EE" w:rsidRDefault="002C69EE" w:rsidP="002C69EE">
      <w:pPr>
        <w:jc w:val="both"/>
      </w:pPr>
    </w:p>
    <w:p w:rsidR="002C69EE" w:rsidRPr="002C69EE" w:rsidRDefault="002C69EE" w:rsidP="002C69EE">
      <w:pPr>
        <w:jc w:val="both"/>
        <w:rPr>
          <w:u w:val="single"/>
        </w:rPr>
      </w:pPr>
      <w:r>
        <w:rPr>
          <w:u w:val="single"/>
        </w:rPr>
        <w:t>Common Cost Allocation</w:t>
      </w:r>
    </w:p>
    <w:p w:rsidR="002C69EE" w:rsidRDefault="002C69EE" w:rsidP="00526BF4">
      <w:pPr>
        <w:jc w:val="both"/>
        <w:outlineLvl w:val="0"/>
        <w:rPr>
          <w:bCs/>
          <w:i/>
          <w:iCs/>
          <w:szCs w:val="28"/>
        </w:rPr>
      </w:pPr>
    </w:p>
    <w:p w:rsidR="00002494" w:rsidRPr="00002494" w:rsidRDefault="00002494" w:rsidP="00EA2100">
      <w:pPr>
        <w:ind w:firstLine="720"/>
        <w:jc w:val="both"/>
      </w:pPr>
      <w:r w:rsidRPr="00002494">
        <w:t xml:space="preserve">Sunrise and its sister company, Alturas, receive services from several shared contractual service providers. During the test year, </w:t>
      </w:r>
      <w:r w:rsidR="00EA2100">
        <w:t>Sunrise’s</w:t>
      </w:r>
      <w:r w:rsidRPr="00002494">
        <w:t xml:space="preserve"> allocation of the common costs varied for each of the contractual service providers. In its June 10, 2015, letter OPC expressed concern about the variability in the Utility’s test year contractual service expense allocations. </w:t>
      </w:r>
      <w:r w:rsidR="00EA2100">
        <w:t xml:space="preserve">Our </w:t>
      </w:r>
      <w:r w:rsidRPr="00002494">
        <w:t xml:space="preserve">practice is to </w:t>
      </w:r>
      <w:r w:rsidRPr="00002494">
        <w:lastRenderedPageBreak/>
        <w:t xml:space="preserve">allocate shared administrative and general expenses based on the number of </w:t>
      </w:r>
      <w:r w:rsidR="00B72A65">
        <w:rPr>
          <w:bCs/>
          <w:iCs/>
          <w:szCs w:val="28"/>
        </w:rPr>
        <w:t>Equivalent Residential Connections (ERCs)</w:t>
      </w:r>
      <w:r w:rsidRPr="00002494">
        <w:t>.</w:t>
      </w:r>
      <w:r w:rsidRPr="00002494">
        <w:rPr>
          <w:vertAlign w:val="superscript"/>
        </w:rPr>
        <w:footnoteReference w:id="8"/>
      </w:r>
      <w:r w:rsidRPr="00002494">
        <w:t xml:space="preserve"> In addition, </w:t>
      </w:r>
      <w:r w:rsidR="002B42DA">
        <w:t>we have</w:t>
      </w:r>
      <w:r w:rsidRPr="00002494">
        <w:t xml:space="preserve"> previously approved this methodology for Sunrise and Alturas when the systems were owned by Keen Sales, Rentals, and Utilities, Inc. The appropriate allocation percentages are calculated as follows: </w:t>
      </w:r>
    </w:p>
    <w:p w:rsidR="00002494" w:rsidRPr="00002494" w:rsidRDefault="00002494" w:rsidP="00526BF4">
      <w:pPr>
        <w:jc w:val="both"/>
      </w:pPr>
    </w:p>
    <w:p w:rsidR="00002494" w:rsidRPr="00002494" w:rsidRDefault="00002494" w:rsidP="00526BF4">
      <w:pPr>
        <w:jc w:val="center"/>
        <w:rPr>
          <w:b/>
          <w:color w:val="000000"/>
        </w:rPr>
      </w:pPr>
      <w:r w:rsidRPr="00002494">
        <w:rPr>
          <w:b/>
          <w:bCs/>
        </w:rPr>
        <w:t>Allocation Percentages</w:t>
      </w:r>
    </w:p>
    <w:tbl>
      <w:tblPr>
        <w:tblW w:w="7720" w:type="dxa"/>
        <w:tblInd w:w="938" w:type="dxa"/>
        <w:tblLook w:val="04A0" w:firstRow="1" w:lastRow="0" w:firstColumn="1" w:lastColumn="0" w:noHBand="0" w:noVBand="1"/>
      </w:tblPr>
      <w:tblGrid>
        <w:gridCol w:w="4464"/>
        <w:gridCol w:w="1584"/>
        <w:gridCol w:w="1672"/>
      </w:tblGrid>
      <w:tr w:rsidR="00002494" w:rsidRPr="00002494" w:rsidTr="00002494">
        <w:trPr>
          <w:trHeight w:val="264"/>
        </w:trPr>
        <w:tc>
          <w:tcPr>
            <w:tcW w:w="4464" w:type="dxa"/>
            <w:tcBorders>
              <w:top w:val="single" w:sz="8" w:space="0" w:color="auto"/>
              <w:left w:val="single" w:sz="8" w:space="0" w:color="auto"/>
              <w:right w:val="single" w:sz="8" w:space="0" w:color="auto"/>
            </w:tcBorders>
            <w:shd w:val="clear" w:color="auto" w:fill="auto"/>
            <w:noWrap/>
          </w:tcPr>
          <w:p w:rsidR="00002494" w:rsidRPr="00002494" w:rsidRDefault="00002494" w:rsidP="00526BF4">
            <w:pPr>
              <w:rPr>
                <w:b/>
                <w:bCs/>
              </w:rPr>
            </w:pPr>
          </w:p>
        </w:tc>
        <w:tc>
          <w:tcPr>
            <w:tcW w:w="1584" w:type="dxa"/>
            <w:tcBorders>
              <w:top w:val="single" w:sz="8" w:space="0" w:color="auto"/>
              <w:left w:val="single" w:sz="8" w:space="0" w:color="auto"/>
              <w:right w:val="single" w:sz="8" w:space="0" w:color="auto"/>
            </w:tcBorders>
            <w:shd w:val="clear" w:color="auto" w:fill="auto"/>
            <w:vAlign w:val="bottom"/>
          </w:tcPr>
          <w:p w:rsidR="00002494" w:rsidRPr="00002494" w:rsidRDefault="00002494" w:rsidP="00526BF4">
            <w:pPr>
              <w:jc w:val="center"/>
              <w:rPr>
                <w:b/>
                <w:bCs/>
                <w:u w:val="single"/>
              </w:rPr>
            </w:pPr>
            <w:r w:rsidRPr="00002494">
              <w:rPr>
                <w:b/>
                <w:bCs/>
              </w:rPr>
              <w:t>Number of</w:t>
            </w:r>
          </w:p>
        </w:tc>
        <w:tc>
          <w:tcPr>
            <w:tcW w:w="1672" w:type="dxa"/>
            <w:tcBorders>
              <w:top w:val="single" w:sz="8" w:space="0" w:color="auto"/>
              <w:left w:val="single" w:sz="8" w:space="0" w:color="auto"/>
              <w:right w:val="single" w:sz="8" w:space="0" w:color="auto"/>
            </w:tcBorders>
            <w:shd w:val="clear" w:color="auto" w:fill="auto"/>
            <w:noWrap/>
            <w:vAlign w:val="bottom"/>
          </w:tcPr>
          <w:p w:rsidR="00002494" w:rsidRPr="00002494" w:rsidRDefault="00002494" w:rsidP="00526BF4">
            <w:pPr>
              <w:rPr>
                <w:b/>
                <w:bCs/>
              </w:rPr>
            </w:pPr>
            <w:r w:rsidRPr="00002494">
              <w:rPr>
                <w:b/>
                <w:bCs/>
              </w:rPr>
              <w:t>Percentage of</w:t>
            </w:r>
          </w:p>
        </w:tc>
      </w:tr>
      <w:tr w:rsidR="00002494" w:rsidRPr="00002494" w:rsidTr="00002494">
        <w:trPr>
          <w:trHeight w:val="264"/>
        </w:trPr>
        <w:tc>
          <w:tcPr>
            <w:tcW w:w="4464" w:type="dxa"/>
            <w:tcBorders>
              <w:top w:val="nil"/>
              <w:left w:val="single" w:sz="8" w:space="0" w:color="auto"/>
              <w:bottom w:val="single" w:sz="8" w:space="0" w:color="auto"/>
              <w:right w:val="single" w:sz="8" w:space="0" w:color="auto"/>
            </w:tcBorders>
            <w:shd w:val="clear" w:color="auto" w:fill="auto"/>
            <w:noWrap/>
            <w:vAlign w:val="bottom"/>
            <w:hideMark/>
          </w:tcPr>
          <w:p w:rsidR="00002494" w:rsidRPr="00002494" w:rsidRDefault="00002494" w:rsidP="00526BF4">
            <w:pPr>
              <w:jc w:val="center"/>
              <w:rPr>
                <w:b/>
              </w:rPr>
            </w:pPr>
            <w:r w:rsidRPr="00002494">
              <w:rPr>
                <w:b/>
                <w:bCs/>
              </w:rPr>
              <w:t>Name of System</w:t>
            </w:r>
          </w:p>
        </w:tc>
        <w:tc>
          <w:tcPr>
            <w:tcW w:w="1584" w:type="dxa"/>
            <w:tcBorders>
              <w:left w:val="single" w:sz="8" w:space="0" w:color="auto"/>
              <w:bottom w:val="single" w:sz="8" w:space="0" w:color="auto"/>
              <w:right w:val="single" w:sz="8" w:space="0" w:color="auto"/>
            </w:tcBorders>
            <w:shd w:val="clear" w:color="auto" w:fill="auto"/>
            <w:noWrap/>
            <w:vAlign w:val="bottom"/>
            <w:hideMark/>
          </w:tcPr>
          <w:p w:rsidR="00002494" w:rsidRPr="00002494" w:rsidRDefault="00002494" w:rsidP="00526BF4">
            <w:pPr>
              <w:jc w:val="center"/>
              <w:rPr>
                <w:b/>
                <w:bCs/>
              </w:rPr>
            </w:pPr>
            <w:r w:rsidRPr="00002494">
              <w:rPr>
                <w:b/>
                <w:bCs/>
              </w:rPr>
              <w:t>ERCs</w:t>
            </w:r>
          </w:p>
        </w:tc>
        <w:tc>
          <w:tcPr>
            <w:tcW w:w="1672" w:type="dxa"/>
            <w:tcBorders>
              <w:left w:val="single" w:sz="8" w:space="0" w:color="auto"/>
              <w:bottom w:val="single" w:sz="8" w:space="0" w:color="auto"/>
              <w:right w:val="single" w:sz="8" w:space="0" w:color="auto"/>
            </w:tcBorders>
            <w:shd w:val="clear" w:color="auto" w:fill="auto"/>
            <w:noWrap/>
            <w:vAlign w:val="bottom"/>
            <w:hideMark/>
          </w:tcPr>
          <w:p w:rsidR="00002494" w:rsidRPr="00002494" w:rsidRDefault="00002494" w:rsidP="00526BF4">
            <w:pPr>
              <w:jc w:val="center"/>
              <w:rPr>
                <w:b/>
                <w:bCs/>
              </w:rPr>
            </w:pPr>
            <w:r w:rsidRPr="00002494">
              <w:rPr>
                <w:b/>
              </w:rPr>
              <w:t>Allocation</w:t>
            </w:r>
          </w:p>
        </w:tc>
      </w:tr>
      <w:tr w:rsidR="00002494" w:rsidRPr="00002494" w:rsidTr="00002494">
        <w:trPr>
          <w:trHeight w:val="276"/>
        </w:trPr>
        <w:tc>
          <w:tcPr>
            <w:tcW w:w="4464" w:type="dxa"/>
            <w:tcBorders>
              <w:top w:val="single" w:sz="8" w:space="0" w:color="auto"/>
              <w:left w:val="single" w:sz="8" w:space="0" w:color="auto"/>
              <w:bottom w:val="nil"/>
              <w:right w:val="single" w:sz="8" w:space="0" w:color="auto"/>
            </w:tcBorders>
            <w:shd w:val="clear" w:color="auto" w:fill="auto"/>
            <w:noWrap/>
          </w:tcPr>
          <w:p w:rsidR="00002494" w:rsidRPr="00002494" w:rsidRDefault="00002494" w:rsidP="00526BF4">
            <w:pPr>
              <w:rPr>
                <w:bCs/>
              </w:rPr>
            </w:pPr>
          </w:p>
        </w:tc>
        <w:tc>
          <w:tcPr>
            <w:tcW w:w="1584" w:type="dxa"/>
            <w:tcBorders>
              <w:top w:val="single" w:sz="8" w:space="0" w:color="auto"/>
              <w:left w:val="single" w:sz="8" w:space="0" w:color="auto"/>
              <w:right w:val="single" w:sz="8" w:space="0" w:color="auto"/>
            </w:tcBorders>
            <w:shd w:val="clear" w:color="auto" w:fill="auto"/>
            <w:noWrap/>
            <w:vAlign w:val="bottom"/>
          </w:tcPr>
          <w:p w:rsidR="00002494" w:rsidRPr="00002494" w:rsidRDefault="00002494" w:rsidP="00526BF4">
            <w:pPr>
              <w:rPr>
                <w:b/>
                <w:bCs/>
              </w:rPr>
            </w:pPr>
          </w:p>
        </w:tc>
        <w:tc>
          <w:tcPr>
            <w:tcW w:w="1672" w:type="dxa"/>
            <w:tcBorders>
              <w:top w:val="single" w:sz="8" w:space="0" w:color="auto"/>
              <w:left w:val="single" w:sz="8" w:space="0" w:color="auto"/>
              <w:right w:val="single" w:sz="8" w:space="0" w:color="auto"/>
            </w:tcBorders>
            <w:shd w:val="clear" w:color="auto" w:fill="auto"/>
            <w:noWrap/>
            <w:vAlign w:val="bottom"/>
          </w:tcPr>
          <w:p w:rsidR="00002494" w:rsidRPr="00002494" w:rsidRDefault="00002494" w:rsidP="00526BF4">
            <w:pPr>
              <w:jc w:val="center"/>
              <w:rPr>
                <w:b/>
              </w:rPr>
            </w:pPr>
          </w:p>
        </w:tc>
      </w:tr>
      <w:tr w:rsidR="00002494" w:rsidRPr="00002494" w:rsidTr="00002494">
        <w:trPr>
          <w:trHeight w:val="264"/>
        </w:trPr>
        <w:tc>
          <w:tcPr>
            <w:tcW w:w="4464" w:type="dxa"/>
            <w:tcBorders>
              <w:left w:val="single" w:sz="8" w:space="0" w:color="auto"/>
              <w:right w:val="single" w:sz="8" w:space="0" w:color="auto"/>
            </w:tcBorders>
            <w:shd w:val="clear" w:color="auto" w:fill="auto"/>
            <w:noWrap/>
            <w:vAlign w:val="bottom"/>
            <w:hideMark/>
          </w:tcPr>
          <w:p w:rsidR="00002494" w:rsidRPr="00002494" w:rsidRDefault="00002494" w:rsidP="00526BF4">
            <w:r w:rsidRPr="00002494">
              <w:t>Alturas Utilities, L.L.C.</w:t>
            </w:r>
          </w:p>
        </w:tc>
        <w:tc>
          <w:tcPr>
            <w:tcW w:w="1584" w:type="dxa"/>
            <w:tcBorders>
              <w:left w:val="single" w:sz="8" w:space="0" w:color="auto"/>
              <w:right w:val="single" w:sz="8" w:space="0" w:color="auto"/>
            </w:tcBorders>
            <w:shd w:val="clear" w:color="auto" w:fill="auto"/>
            <w:noWrap/>
            <w:vAlign w:val="bottom"/>
            <w:hideMark/>
          </w:tcPr>
          <w:p w:rsidR="00002494" w:rsidRPr="00002494" w:rsidRDefault="00002494" w:rsidP="00526BF4">
            <w:pPr>
              <w:jc w:val="right"/>
            </w:pPr>
            <w:r w:rsidRPr="00002494">
              <w:t xml:space="preserve">               69</w:t>
            </w:r>
          </w:p>
        </w:tc>
        <w:tc>
          <w:tcPr>
            <w:tcW w:w="1672" w:type="dxa"/>
            <w:tcBorders>
              <w:left w:val="single" w:sz="8" w:space="0" w:color="auto"/>
              <w:right w:val="single" w:sz="8" w:space="0" w:color="auto"/>
            </w:tcBorders>
            <w:shd w:val="clear" w:color="auto" w:fill="auto"/>
            <w:noWrap/>
            <w:vAlign w:val="bottom"/>
            <w:hideMark/>
          </w:tcPr>
          <w:p w:rsidR="00002494" w:rsidRPr="00002494" w:rsidRDefault="00002494" w:rsidP="00526BF4">
            <w:pPr>
              <w:jc w:val="right"/>
            </w:pPr>
            <w:r w:rsidRPr="00002494">
              <w:t>22%</w:t>
            </w:r>
          </w:p>
        </w:tc>
      </w:tr>
      <w:tr w:rsidR="00002494" w:rsidRPr="00002494" w:rsidTr="00002494">
        <w:trPr>
          <w:trHeight w:val="276"/>
        </w:trPr>
        <w:tc>
          <w:tcPr>
            <w:tcW w:w="4464" w:type="dxa"/>
            <w:tcBorders>
              <w:top w:val="nil"/>
              <w:left w:val="single" w:sz="8" w:space="0" w:color="auto"/>
              <w:right w:val="single" w:sz="8" w:space="0" w:color="auto"/>
            </w:tcBorders>
            <w:shd w:val="clear" w:color="auto" w:fill="auto"/>
            <w:noWrap/>
            <w:vAlign w:val="bottom"/>
            <w:hideMark/>
          </w:tcPr>
          <w:p w:rsidR="00002494" w:rsidRPr="00002494" w:rsidRDefault="00002494" w:rsidP="00526BF4">
            <w:r w:rsidRPr="00002494">
              <w:t>Sunrise Utilities, L.L.C.</w:t>
            </w:r>
          </w:p>
        </w:tc>
        <w:tc>
          <w:tcPr>
            <w:tcW w:w="1584" w:type="dxa"/>
            <w:tcBorders>
              <w:left w:val="single" w:sz="8" w:space="0" w:color="auto"/>
              <w:right w:val="single" w:sz="8" w:space="0" w:color="auto"/>
            </w:tcBorders>
            <w:shd w:val="clear" w:color="auto" w:fill="auto"/>
            <w:noWrap/>
            <w:vAlign w:val="bottom"/>
            <w:hideMark/>
          </w:tcPr>
          <w:p w:rsidR="00002494" w:rsidRPr="00002494" w:rsidRDefault="00002494" w:rsidP="00526BF4">
            <w:pPr>
              <w:jc w:val="right"/>
              <w:rPr>
                <w:u w:val="single"/>
              </w:rPr>
            </w:pPr>
            <w:r w:rsidRPr="00002494">
              <w:t xml:space="preserve">             </w:t>
            </w:r>
            <w:r w:rsidRPr="00002494">
              <w:rPr>
                <w:u w:val="single"/>
              </w:rPr>
              <w:t>247</w:t>
            </w:r>
          </w:p>
        </w:tc>
        <w:tc>
          <w:tcPr>
            <w:tcW w:w="1672" w:type="dxa"/>
            <w:tcBorders>
              <w:left w:val="single" w:sz="8" w:space="0" w:color="auto"/>
              <w:right w:val="single" w:sz="8" w:space="0" w:color="auto"/>
            </w:tcBorders>
            <w:shd w:val="clear" w:color="auto" w:fill="auto"/>
            <w:noWrap/>
            <w:vAlign w:val="bottom"/>
            <w:hideMark/>
          </w:tcPr>
          <w:p w:rsidR="00002494" w:rsidRPr="00002494" w:rsidRDefault="00002494" w:rsidP="00526BF4">
            <w:pPr>
              <w:jc w:val="right"/>
              <w:rPr>
                <w:u w:val="single"/>
              </w:rPr>
            </w:pPr>
            <w:r w:rsidRPr="00002494">
              <w:rPr>
                <w:u w:val="single"/>
              </w:rPr>
              <w:t>78%</w:t>
            </w:r>
          </w:p>
        </w:tc>
      </w:tr>
      <w:tr w:rsidR="00002494" w:rsidRPr="00002494" w:rsidTr="00002494">
        <w:trPr>
          <w:trHeight w:val="276"/>
        </w:trPr>
        <w:tc>
          <w:tcPr>
            <w:tcW w:w="4464" w:type="dxa"/>
            <w:tcBorders>
              <w:top w:val="nil"/>
              <w:left w:val="single" w:sz="8" w:space="0" w:color="auto"/>
              <w:bottom w:val="nil"/>
              <w:right w:val="single" w:sz="8" w:space="0" w:color="auto"/>
            </w:tcBorders>
            <w:shd w:val="clear" w:color="auto" w:fill="auto"/>
            <w:noWrap/>
            <w:vAlign w:val="bottom"/>
            <w:hideMark/>
          </w:tcPr>
          <w:p w:rsidR="00002494" w:rsidRPr="00002494" w:rsidRDefault="00002494" w:rsidP="00526BF4">
            <w:r w:rsidRPr="00002494">
              <w:t>      Total</w:t>
            </w:r>
          </w:p>
        </w:tc>
        <w:tc>
          <w:tcPr>
            <w:tcW w:w="1584" w:type="dxa"/>
            <w:tcBorders>
              <w:left w:val="single" w:sz="8" w:space="0" w:color="auto"/>
              <w:right w:val="single" w:sz="8" w:space="0" w:color="auto"/>
            </w:tcBorders>
            <w:shd w:val="clear" w:color="auto" w:fill="auto"/>
            <w:noWrap/>
            <w:vAlign w:val="bottom"/>
            <w:hideMark/>
          </w:tcPr>
          <w:p w:rsidR="00002494" w:rsidRPr="00002494" w:rsidRDefault="00002494" w:rsidP="00526BF4">
            <w:pPr>
              <w:jc w:val="right"/>
              <w:rPr>
                <w:u w:val="double"/>
              </w:rPr>
            </w:pPr>
            <w:r w:rsidRPr="00002494">
              <w:t xml:space="preserve">             </w:t>
            </w:r>
            <w:r w:rsidRPr="00002494">
              <w:rPr>
                <w:u w:val="double"/>
              </w:rPr>
              <w:t xml:space="preserve">316 </w:t>
            </w:r>
          </w:p>
        </w:tc>
        <w:tc>
          <w:tcPr>
            <w:tcW w:w="1672" w:type="dxa"/>
            <w:tcBorders>
              <w:left w:val="single" w:sz="8" w:space="0" w:color="auto"/>
              <w:right w:val="single" w:sz="8" w:space="0" w:color="auto"/>
            </w:tcBorders>
            <w:shd w:val="clear" w:color="auto" w:fill="auto"/>
            <w:noWrap/>
            <w:vAlign w:val="bottom"/>
            <w:hideMark/>
          </w:tcPr>
          <w:p w:rsidR="00002494" w:rsidRPr="00002494" w:rsidRDefault="00002494" w:rsidP="00526BF4">
            <w:pPr>
              <w:jc w:val="right"/>
              <w:rPr>
                <w:u w:val="double"/>
              </w:rPr>
            </w:pPr>
            <w:r w:rsidRPr="00002494">
              <w:rPr>
                <w:u w:val="double"/>
              </w:rPr>
              <w:t>100%</w:t>
            </w:r>
          </w:p>
        </w:tc>
      </w:tr>
      <w:tr w:rsidR="00002494" w:rsidRPr="00002494" w:rsidTr="00002494">
        <w:trPr>
          <w:trHeight w:val="276"/>
        </w:trPr>
        <w:tc>
          <w:tcPr>
            <w:tcW w:w="4464" w:type="dxa"/>
            <w:tcBorders>
              <w:top w:val="nil"/>
              <w:left w:val="single" w:sz="8" w:space="0" w:color="auto"/>
              <w:bottom w:val="single" w:sz="8" w:space="0" w:color="auto"/>
              <w:right w:val="single" w:sz="8" w:space="0" w:color="auto"/>
            </w:tcBorders>
            <w:shd w:val="clear" w:color="auto" w:fill="auto"/>
            <w:noWrap/>
            <w:vAlign w:val="bottom"/>
          </w:tcPr>
          <w:p w:rsidR="00002494" w:rsidRPr="00002494" w:rsidRDefault="00002494" w:rsidP="00526BF4">
            <w:pPr>
              <w:rPr>
                <w:highlight w:val="yellow"/>
              </w:rPr>
            </w:pPr>
          </w:p>
        </w:tc>
        <w:tc>
          <w:tcPr>
            <w:tcW w:w="1584" w:type="dxa"/>
            <w:tcBorders>
              <w:left w:val="single" w:sz="8" w:space="0" w:color="auto"/>
              <w:bottom w:val="single" w:sz="8" w:space="0" w:color="auto"/>
              <w:right w:val="single" w:sz="8" w:space="0" w:color="auto"/>
            </w:tcBorders>
            <w:shd w:val="clear" w:color="auto" w:fill="auto"/>
            <w:noWrap/>
            <w:vAlign w:val="bottom"/>
          </w:tcPr>
          <w:p w:rsidR="00002494" w:rsidRPr="00002494" w:rsidRDefault="00002494" w:rsidP="00526BF4">
            <w:pPr>
              <w:jc w:val="right"/>
              <w:rPr>
                <w:highlight w:val="yellow"/>
              </w:rPr>
            </w:pPr>
          </w:p>
        </w:tc>
        <w:tc>
          <w:tcPr>
            <w:tcW w:w="1672" w:type="dxa"/>
            <w:tcBorders>
              <w:left w:val="single" w:sz="8" w:space="0" w:color="auto"/>
              <w:bottom w:val="single" w:sz="8" w:space="0" w:color="auto"/>
              <w:right w:val="single" w:sz="8" w:space="0" w:color="auto"/>
            </w:tcBorders>
            <w:shd w:val="clear" w:color="auto" w:fill="auto"/>
            <w:noWrap/>
            <w:vAlign w:val="bottom"/>
          </w:tcPr>
          <w:p w:rsidR="00002494" w:rsidRPr="00002494" w:rsidRDefault="00002494" w:rsidP="00526BF4">
            <w:pPr>
              <w:jc w:val="right"/>
              <w:rPr>
                <w:highlight w:val="yellow"/>
                <w:u w:val="double"/>
              </w:rPr>
            </w:pPr>
          </w:p>
        </w:tc>
      </w:tr>
    </w:tbl>
    <w:p w:rsidR="00002494" w:rsidRPr="00002494" w:rsidRDefault="00002494" w:rsidP="00526BF4">
      <w:pPr>
        <w:ind w:firstLine="720"/>
        <w:jc w:val="both"/>
      </w:pPr>
    </w:p>
    <w:p w:rsidR="00002494" w:rsidRDefault="00002494" w:rsidP="002B42DA">
      <w:pPr>
        <w:ind w:firstLine="720"/>
        <w:jc w:val="both"/>
      </w:pPr>
      <w:r w:rsidRPr="00002494">
        <w:t xml:space="preserve">As shown above, Sunrise represents 78 percent of the ERCs for both utilities. Therefore, </w:t>
      </w:r>
      <w:r w:rsidR="002B42DA">
        <w:t xml:space="preserve">we find </w:t>
      </w:r>
      <w:r w:rsidRPr="00002494">
        <w:t xml:space="preserve">that </w:t>
      </w:r>
      <w:r w:rsidR="002B42DA">
        <w:t xml:space="preserve">the </w:t>
      </w:r>
      <w:r w:rsidRPr="00002494">
        <w:t xml:space="preserve">shared reasonable and prudent common expenses </w:t>
      </w:r>
      <w:r w:rsidR="002B42DA">
        <w:t xml:space="preserve">to be </w:t>
      </w:r>
      <w:r w:rsidRPr="00002494">
        <w:t>allocated to the Sunrise water</w:t>
      </w:r>
      <w:r w:rsidR="00CA3B01">
        <w:t xml:space="preserve"> system shall be</w:t>
      </w:r>
      <w:r w:rsidR="002B42DA">
        <w:t xml:space="preserve"> </w:t>
      </w:r>
      <w:r w:rsidRPr="00002494">
        <w:t>78 percent</w:t>
      </w:r>
      <w:r w:rsidR="00CF2EF4">
        <w:t>,</w:t>
      </w:r>
      <w:r w:rsidR="00CA3B01">
        <w:t xml:space="preserve"> and </w:t>
      </w:r>
      <w:r w:rsidRPr="00002494">
        <w:t>equitably reflects the distribution of costs between the two systems.</w:t>
      </w:r>
    </w:p>
    <w:p w:rsidR="00CA3B01" w:rsidRDefault="00CA3B01" w:rsidP="00CA3B01">
      <w:pPr>
        <w:jc w:val="both"/>
      </w:pPr>
    </w:p>
    <w:p w:rsidR="00CA3B01" w:rsidRPr="00CA3B01" w:rsidRDefault="00CA3B01" w:rsidP="00CA3B01">
      <w:pPr>
        <w:jc w:val="both"/>
        <w:rPr>
          <w:u w:val="single"/>
        </w:rPr>
      </w:pPr>
      <w:r w:rsidRPr="00CA3B01">
        <w:rPr>
          <w:u w:val="single"/>
        </w:rPr>
        <w:t>Rate Bas</w:t>
      </w:r>
      <w:r w:rsidR="00324D1A">
        <w:rPr>
          <w:u w:val="single"/>
        </w:rPr>
        <w:t>e</w:t>
      </w:r>
    </w:p>
    <w:p w:rsidR="00002494" w:rsidRPr="00006271" w:rsidRDefault="00002494" w:rsidP="00526BF4">
      <w:pPr>
        <w:jc w:val="both"/>
      </w:pPr>
    </w:p>
    <w:p w:rsidR="00002494" w:rsidRPr="00002494" w:rsidRDefault="00324D1A" w:rsidP="002E7164">
      <w:pPr>
        <w:tabs>
          <w:tab w:val="left" w:pos="180"/>
        </w:tabs>
        <w:ind w:firstLine="720"/>
        <w:jc w:val="both"/>
      </w:pPr>
      <w:r>
        <w:t>T</w:t>
      </w:r>
      <w:r w:rsidR="00002494" w:rsidRPr="00002494">
        <w:t xml:space="preserve">he appropriate components of the </w:t>
      </w:r>
      <w:r>
        <w:t>Sunrise</w:t>
      </w:r>
      <w:r w:rsidR="00002494" w:rsidRPr="00002494">
        <w:t xml:space="preserve">’s rate base include utility plant in service, land, contributions-in-aid-of-construction (CIAC), accumulated depreciation, amortization of CIAC, and working capital. </w:t>
      </w:r>
      <w:r>
        <w:t xml:space="preserve">We last established </w:t>
      </w:r>
      <w:r w:rsidR="00002494" w:rsidRPr="00002494">
        <w:t>Sunrise’s rate base</w:t>
      </w:r>
      <w:r>
        <w:t xml:space="preserve"> </w:t>
      </w:r>
      <w:r w:rsidR="00002494" w:rsidRPr="00002494">
        <w:t xml:space="preserve">by </w:t>
      </w:r>
      <w:r w:rsidR="002E7164">
        <w:t>Order No. PSC-12-0533-PAA-WU in</w:t>
      </w:r>
      <w:r>
        <w:t xml:space="preserve"> 201</w:t>
      </w:r>
      <w:r w:rsidR="002E7164">
        <w:t>1</w:t>
      </w:r>
      <w:r w:rsidR="00002494" w:rsidRPr="00002494">
        <w:t>.</w:t>
      </w:r>
      <w:r w:rsidR="00002494" w:rsidRPr="00002494">
        <w:rPr>
          <w:vertAlign w:val="superscript"/>
        </w:rPr>
        <w:footnoteReference w:id="9"/>
      </w:r>
      <w:r w:rsidR="00002494" w:rsidRPr="00002494">
        <w:t xml:space="preserve"> </w:t>
      </w:r>
      <w:r>
        <w:t>The t</w:t>
      </w:r>
      <w:r w:rsidR="00002494" w:rsidRPr="00002494">
        <w:t xml:space="preserve">est year </w:t>
      </w:r>
      <w:r>
        <w:t>selected in the instant case</w:t>
      </w:r>
      <w:r w:rsidR="002E7164">
        <w:t xml:space="preserve"> </w:t>
      </w:r>
      <w:r w:rsidR="00002494" w:rsidRPr="00002494">
        <w:t xml:space="preserve">ended December 31, 2014. A summary of each component of rate base and the adjustments </w:t>
      </w:r>
      <w:r w:rsidR="002E7164">
        <w:t xml:space="preserve">made </w:t>
      </w:r>
      <w:r w:rsidR="00002494" w:rsidRPr="00002494">
        <w:t>are discussed below.</w:t>
      </w:r>
    </w:p>
    <w:p w:rsidR="00006271" w:rsidRDefault="00006271" w:rsidP="00526BF4">
      <w:pPr>
        <w:jc w:val="both"/>
      </w:pPr>
    </w:p>
    <w:p w:rsidR="00002494" w:rsidRDefault="00002494" w:rsidP="002E7164">
      <w:pPr>
        <w:ind w:firstLine="720"/>
        <w:jc w:val="both"/>
      </w:pPr>
      <w:r w:rsidRPr="00002494">
        <w:t>Pursuant to Rule 25-30.115, F.A.C., water and wastewater utilities are required to maintain their accounts and records in conformity with the 1996 National Association of Regulatory Utility Commissioners’ Uniform System of Accounts (NARUC USOA). As will be discussed further in</w:t>
      </w:r>
      <w:r w:rsidR="002E7164">
        <w:t xml:space="preserve"> </w:t>
      </w:r>
      <w:r w:rsidR="00926E1C">
        <w:t xml:space="preserve">the Operating Expenses and Proof of Adjustments </w:t>
      </w:r>
      <w:r w:rsidR="002E7164">
        <w:t>sections below</w:t>
      </w:r>
      <w:r w:rsidRPr="00002494">
        <w:t xml:space="preserve">, </w:t>
      </w:r>
      <w:r w:rsidR="002E7164">
        <w:t>Sunrise</w:t>
      </w:r>
      <w:r w:rsidRPr="00002494">
        <w:t xml:space="preserve"> is not currently maintaining its books and records on a monthly basis as prescribed by the NARUC USOA. </w:t>
      </w:r>
      <w:r w:rsidR="002E7164">
        <w:t xml:space="preserve"> Our</w:t>
      </w:r>
      <w:r w:rsidRPr="00002494">
        <w:t xml:space="preserve"> audit staff determined that </w:t>
      </w:r>
      <w:r w:rsidR="002E7164">
        <w:t>Sunrise</w:t>
      </w:r>
      <w:r w:rsidRPr="00002494">
        <w:t xml:space="preserve">’s accounting activities are compiled at the end of </w:t>
      </w:r>
      <w:r w:rsidRPr="00002494">
        <w:lastRenderedPageBreak/>
        <w:t xml:space="preserve">each calendar year by </w:t>
      </w:r>
      <w:r w:rsidR="002E7164">
        <w:t>Sunrise</w:t>
      </w:r>
      <w:r w:rsidRPr="00002494">
        <w:t xml:space="preserve">’s officers and their Certified Public Accounting (CPA) firm </w:t>
      </w:r>
      <w:r w:rsidR="002E7164">
        <w:t>to prepare</w:t>
      </w:r>
      <w:r w:rsidRPr="00002494">
        <w:t xml:space="preserve"> the Utility’s Annual Report and its Federal Tax Return. Consequently, </w:t>
      </w:r>
      <w:r w:rsidR="002E7164">
        <w:t>the Utility’s</w:t>
      </w:r>
      <w:r w:rsidRPr="00002494">
        <w:t xml:space="preserve"> 2014 income statement and balance sheet were not available</w:t>
      </w:r>
      <w:r w:rsidR="002E7164">
        <w:t xml:space="preserve"> to our audit staff</w:t>
      </w:r>
      <w:r w:rsidRPr="00002494">
        <w:t xml:space="preserve">, and the </w:t>
      </w:r>
      <w:r w:rsidR="002E7164">
        <w:t xml:space="preserve">Utility’s </w:t>
      </w:r>
      <w:r w:rsidRPr="00002494">
        <w:t xml:space="preserve">2014 Annual Report was not compiled before the end of the audit staff’s field work. </w:t>
      </w:r>
      <w:r w:rsidR="002E7164">
        <w:t>Our a</w:t>
      </w:r>
      <w:r w:rsidRPr="00002494">
        <w:t xml:space="preserve">udit staff used </w:t>
      </w:r>
      <w:r w:rsidR="002E7164">
        <w:t>Sunrise</w:t>
      </w:r>
      <w:r w:rsidRPr="00002494">
        <w:t>’s 2009 through 2013 Annual Reports, 2013 Federal Tax Return, and other supporting documents to compile the Utility’s rate base, capital structure, and net operatin</w:t>
      </w:r>
      <w:r w:rsidR="00B46984">
        <w:t>g income for a test year ending</w:t>
      </w:r>
      <w:r w:rsidRPr="00002494">
        <w:t xml:space="preserve"> December 31, 2014.</w:t>
      </w:r>
    </w:p>
    <w:p w:rsidR="002E7164" w:rsidRPr="00002494" w:rsidRDefault="002E7164" w:rsidP="002E7164">
      <w:pPr>
        <w:ind w:firstLine="720"/>
        <w:jc w:val="both"/>
      </w:pPr>
    </w:p>
    <w:p w:rsidR="00002494" w:rsidRPr="002E7164" w:rsidRDefault="00002494" w:rsidP="002E7164">
      <w:pPr>
        <w:ind w:firstLine="720"/>
        <w:jc w:val="both"/>
        <w:outlineLvl w:val="3"/>
        <w:rPr>
          <w:bCs/>
          <w:i/>
          <w:iCs/>
          <w:szCs w:val="28"/>
        </w:rPr>
      </w:pPr>
      <w:r w:rsidRPr="002E7164">
        <w:rPr>
          <w:bCs/>
          <w:i/>
          <w:iCs/>
          <w:szCs w:val="28"/>
        </w:rPr>
        <w:t>Utility Plant in Service (UPIS)</w:t>
      </w:r>
    </w:p>
    <w:p w:rsidR="002E7164" w:rsidRDefault="002E7164" w:rsidP="00526BF4">
      <w:pPr>
        <w:jc w:val="both"/>
      </w:pPr>
    </w:p>
    <w:p w:rsidR="00002494" w:rsidRDefault="00002494" w:rsidP="002E7164">
      <w:pPr>
        <w:ind w:firstLine="720"/>
        <w:jc w:val="both"/>
      </w:pPr>
      <w:r w:rsidRPr="00002494">
        <w:t xml:space="preserve">As discussed above, no rate base balances were available for 2014. Using the </w:t>
      </w:r>
      <w:r w:rsidR="00B46984">
        <w:t>Sunrise</w:t>
      </w:r>
      <w:r w:rsidRPr="00002494">
        <w:t xml:space="preserve">’s 2009 through 2013 Annual Reports, </w:t>
      </w:r>
      <w:r w:rsidR="00B46984">
        <w:t xml:space="preserve">our </w:t>
      </w:r>
      <w:r w:rsidRPr="00002494">
        <w:t>audit staff calculated a test year UPIS balance of $124,367. In the Utility’s l</w:t>
      </w:r>
      <w:r w:rsidR="00B46984">
        <w:t>ast SARC, with a test year ending</w:t>
      </w:r>
      <w:r w:rsidRPr="00002494">
        <w:t xml:space="preserve"> September 30, 2011, </w:t>
      </w:r>
      <w:r w:rsidR="00B46984">
        <w:t>we</w:t>
      </w:r>
      <w:r w:rsidRPr="00002494">
        <w:t xml:space="preserve"> approved and included $6,755 of pro forma plant additions, without retirements. The projects included replacing the following plant items: a fence, a master flow meter, a well cover, isolation valves, and piping between the well and tank. On November 23, 2013, </w:t>
      </w:r>
      <w:r w:rsidR="00B46984">
        <w:t>Sunrise</w:t>
      </w:r>
      <w:r w:rsidRPr="00002494">
        <w:t xml:space="preserve"> filed documents that supported an actual cost of $1,733 for the approved projects to replace the fence, master flow meter, and well cover that were completed during 2012 and 2013. </w:t>
      </w:r>
      <w:r w:rsidR="00B46984">
        <w:t>Sunrise</w:t>
      </w:r>
      <w:r w:rsidRPr="00002494">
        <w:t xml:space="preserve"> did not complete the two projects to replace the isolation valves and tank piping. The uncompleted projects accounted for $5,113 of the $6,755 pro forma plant additions approved. </w:t>
      </w:r>
      <w:r w:rsidR="00B46984">
        <w:t>Our</w:t>
      </w:r>
      <w:r w:rsidRPr="00002494">
        <w:t xml:space="preserve"> staff reviewed and approved </w:t>
      </w:r>
      <w:r w:rsidR="00B46984">
        <w:t>Sunrise</w:t>
      </w:r>
      <w:r w:rsidRPr="00002494">
        <w:t>’s filed documents and administratively closed the docket in that proceeding.</w:t>
      </w:r>
    </w:p>
    <w:p w:rsidR="00B46984" w:rsidRPr="00002494" w:rsidRDefault="00B46984" w:rsidP="002E7164">
      <w:pPr>
        <w:ind w:firstLine="720"/>
        <w:jc w:val="both"/>
      </w:pPr>
    </w:p>
    <w:p w:rsidR="00002494" w:rsidRDefault="00002494" w:rsidP="00B46984">
      <w:pPr>
        <w:ind w:firstLine="720"/>
        <w:jc w:val="both"/>
      </w:pPr>
      <w:r w:rsidRPr="00002494">
        <w:t xml:space="preserve">A review of the Utility’s Annual Reports indicates that </w:t>
      </w:r>
      <w:r w:rsidR="00CF2EF4">
        <w:t>Sunrise</w:t>
      </w:r>
      <w:r w:rsidRPr="00002494">
        <w:t xml:space="preserve"> has experienced a net operating loss immediately prior to and during each year since the pro forma projects were completed. Specifically, the Utility reported net operating losses of $9,544, $7,830, and $4,630 for 2011, 2012, and 2013, respectively. In addition, </w:t>
      </w:r>
      <w:r w:rsidR="00CF2EF4">
        <w:t xml:space="preserve">our </w:t>
      </w:r>
      <w:r w:rsidRPr="00002494">
        <w:t xml:space="preserve">audit staff calculated a loss of $5,688 for 2014. The ongoing level of operating losses indicates that the $5,113 overstatement of UPIS was offset by other costs, and therefore, did not cause </w:t>
      </w:r>
      <w:r w:rsidR="00CF2EF4">
        <w:t>Sunrise</w:t>
      </w:r>
      <w:r w:rsidRPr="00002494">
        <w:t xml:space="preserve"> to exceed its authorized rate of return. In addition, due to a billing error, </w:t>
      </w:r>
      <w:r w:rsidR="00CF2EF4">
        <w:t>Sunrise</w:t>
      </w:r>
      <w:r w:rsidRPr="00002494">
        <w:t xml:space="preserve"> did not begin charging the Phase II rates when initially approved, thereby, minimizing the impact of the pro forma overstatement. However, </w:t>
      </w:r>
      <w:r w:rsidR="00CF2EF4">
        <w:t>we find</w:t>
      </w:r>
      <w:r w:rsidRPr="00002494">
        <w:t xml:space="preserve"> it appropriate to adjust the rate base prospectively to correctly reflect the</w:t>
      </w:r>
      <w:r w:rsidR="00CF2EF4">
        <w:t xml:space="preserve"> pro forma that was completed. Our a</w:t>
      </w:r>
      <w:r w:rsidRPr="00002494">
        <w:t xml:space="preserve">udit staff determined </w:t>
      </w:r>
      <w:r w:rsidR="00CF2EF4">
        <w:t>Sunrise</w:t>
      </w:r>
      <w:r w:rsidRPr="00002494">
        <w:t xml:space="preserve">’s UPIS should be decreased by $13,767 to remove the uncompleted pro forma projects, to remove unsupported plant additions, and to reclassify meter replacement costs that were covered as an expense item under a meter replacement program approved in </w:t>
      </w:r>
      <w:r w:rsidR="00CF2EF4">
        <w:t>Sunrise</w:t>
      </w:r>
      <w:r w:rsidRPr="00002494">
        <w:t xml:space="preserve">’s last SARC. Based on </w:t>
      </w:r>
      <w:r w:rsidR="00CF2EF4">
        <w:t xml:space="preserve">our </w:t>
      </w:r>
      <w:r w:rsidRPr="00002494">
        <w:t xml:space="preserve">audit staff’s review, </w:t>
      </w:r>
      <w:r w:rsidR="00CF2EF4">
        <w:t xml:space="preserve">we have </w:t>
      </w:r>
      <w:r w:rsidRPr="00002494">
        <w:t>decreased UPIS by $13,767 to reflect the correct test year UPIS balance.</w:t>
      </w:r>
    </w:p>
    <w:p w:rsidR="00CF2EF4" w:rsidRPr="00002494" w:rsidRDefault="00CF2EF4" w:rsidP="00B46984">
      <w:pPr>
        <w:ind w:firstLine="720"/>
        <w:jc w:val="both"/>
      </w:pPr>
    </w:p>
    <w:p w:rsidR="00002494" w:rsidRDefault="00CF2EF4" w:rsidP="00CF2EF4">
      <w:pPr>
        <w:ind w:firstLine="720"/>
        <w:jc w:val="both"/>
      </w:pPr>
      <w:r>
        <w:t>Our a</w:t>
      </w:r>
      <w:r w:rsidR="00002494" w:rsidRPr="00002494">
        <w:t xml:space="preserve">udit staff noted the previously approved pro forma projects did not include any plant retirements. The three completed pro forma projects each involve the replacement of existing plant, and therefore, should include associated retirements. It is </w:t>
      </w:r>
      <w:r>
        <w:t>our</w:t>
      </w:r>
      <w:r w:rsidR="00002494" w:rsidRPr="00002494">
        <w:t xml:space="preserve"> practice to use 75 percent of the cost of the replacement as the retirement value when the original cost or original in-service date is not known. Accordingly, </w:t>
      </w:r>
      <w:r>
        <w:t>we have</w:t>
      </w:r>
      <w:r w:rsidR="00002494" w:rsidRPr="00002494">
        <w:t xml:space="preserve"> decreased this account by $1,300 ($1,733 x .75 = $1,300) to reflect the plant retirements associated with the 2012 and 2013 pro forma projects to replace the fence, master flow meter, and well cover. No plant additions were made during the test year, therefore, no averaging adjustment is necessary.</w:t>
      </w:r>
    </w:p>
    <w:p w:rsidR="00CF2EF4" w:rsidRPr="00002494" w:rsidRDefault="00CF2EF4" w:rsidP="00CF2EF4">
      <w:pPr>
        <w:ind w:firstLine="720"/>
        <w:jc w:val="both"/>
      </w:pPr>
    </w:p>
    <w:p w:rsidR="00002494" w:rsidRDefault="00002494" w:rsidP="00CF2EF4">
      <w:pPr>
        <w:ind w:firstLine="720"/>
        <w:jc w:val="both"/>
      </w:pPr>
      <w:r w:rsidRPr="00002494">
        <w:t xml:space="preserve">Based on the adjustments shown above, </w:t>
      </w:r>
      <w:r w:rsidR="00CF2EF4">
        <w:t>our</w:t>
      </w:r>
      <w:r w:rsidRPr="00002494">
        <w:t xml:space="preserve"> total adjustment to UPIS is a decrease of $15,067 ($13,767 + $1,300)</w:t>
      </w:r>
      <w:r w:rsidR="00CF2EF4">
        <w:t xml:space="preserve"> and we find</w:t>
      </w:r>
      <w:r w:rsidRPr="00002494">
        <w:t xml:space="preserve"> a UPIS balance of $109,300.</w:t>
      </w:r>
    </w:p>
    <w:p w:rsidR="00CF2EF4" w:rsidRPr="00002494" w:rsidRDefault="00CF2EF4" w:rsidP="00CF2EF4">
      <w:pPr>
        <w:ind w:firstLine="720"/>
        <w:jc w:val="both"/>
      </w:pPr>
    </w:p>
    <w:p w:rsidR="00002494" w:rsidRPr="00CF2EF4" w:rsidRDefault="00002494" w:rsidP="00CF2EF4">
      <w:pPr>
        <w:ind w:firstLine="720"/>
        <w:jc w:val="both"/>
        <w:outlineLvl w:val="3"/>
        <w:rPr>
          <w:bCs/>
          <w:i/>
          <w:iCs/>
          <w:szCs w:val="28"/>
        </w:rPr>
      </w:pPr>
      <w:r w:rsidRPr="00CF2EF4">
        <w:rPr>
          <w:bCs/>
          <w:i/>
          <w:iCs/>
          <w:szCs w:val="28"/>
        </w:rPr>
        <w:t>Land and Land Rights</w:t>
      </w:r>
    </w:p>
    <w:p w:rsidR="00CF2EF4" w:rsidRDefault="00CF2EF4" w:rsidP="00526BF4">
      <w:pPr>
        <w:jc w:val="both"/>
      </w:pPr>
    </w:p>
    <w:p w:rsidR="00002494" w:rsidRDefault="00002494" w:rsidP="00CF2EF4">
      <w:pPr>
        <w:ind w:firstLine="720"/>
        <w:jc w:val="both"/>
      </w:pPr>
      <w:r w:rsidRPr="00002494">
        <w:t xml:space="preserve">No land balance was available for 2014. </w:t>
      </w:r>
      <w:r w:rsidR="00CF2EF4">
        <w:t>In Sunrise’s last SARC in 2011, we</w:t>
      </w:r>
      <w:r w:rsidRPr="00002494">
        <w:t xml:space="preserve"> approved a land balance of $553. </w:t>
      </w:r>
      <w:r w:rsidR="00CF2EF4">
        <w:t xml:space="preserve"> Our a</w:t>
      </w:r>
      <w:r w:rsidRPr="00002494">
        <w:t xml:space="preserve">udit staff determined that there has been no activity related to land since the last case, and therefore, no adjustments are necessary to the previously approved land value. Therefore, </w:t>
      </w:r>
      <w:r w:rsidR="00CF2EF4">
        <w:t>we</w:t>
      </w:r>
      <w:r w:rsidRPr="00002494">
        <w:t xml:space="preserve"> increased this account by $553 to reflect the previously approved land balance.</w:t>
      </w:r>
    </w:p>
    <w:p w:rsidR="00CF2EF4" w:rsidRPr="00002494" w:rsidRDefault="00CF2EF4" w:rsidP="00CF2EF4">
      <w:pPr>
        <w:ind w:firstLine="720"/>
        <w:jc w:val="both"/>
      </w:pPr>
    </w:p>
    <w:p w:rsidR="00002494" w:rsidRDefault="00CF2EF4" w:rsidP="00CF2EF4">
      <w:pPr>
        <w:ind w:firstLine="720"/>
        <w:jc w:val="both"/>
      </w:pPr>
      <w:r>
        <w:t xml:space="preserve">Our </w:t>
      </w:r>
      <w:r w:rsidR="00002494" w:rsidRPr="00002494">
        <w:t>audit staff</w:t>
      </w:r>
      <w:r>
        <w:t>, however,</w:t>
      </w:r>
      <w:r w:rsidR="00002494" w:rsidRPr="00002494">
        <w:t xml:space="preserve"> determined that there is an error in the warranty deed that must corrected in order for the Sunrise to be in compliance with </w:t>
      </w:r>
      <w:r>
        <w:t>our</w:t>
      </w:r>
      <w:r w:rsidR="00002494" w:rsidRPr="00002494">
        <w:t xml:space="preserve"> regulations. On February 10, 2004, </w:t>
      </w:r>
      <w:r>
        <w:t>Sunrise</w:t>
      </w:r>
      <w:r w:rsidR="00002494" w:rsidRPr="00002494">
        <w:t xml:space="preserve">’s former owner, Keen Sales, Rentals and Utilities, Inc., executed a warranty deed that transferred the real properties containing the Sunrise and Alturas systems to Sunrise. Subsequently, on November 8, 2004, the same former owner executed a corrective warranty deed that incorrectly transferred both real properties back to Alturas, rather than only transferring the Alturas land. Based on </w:t>
      </w:r>
      <w:r>
        <w:t xml:space="preserve">our </w:t>
      </w:r>
      <w:r w:rsidR="00002494" w:rsidRPr="00002494">
        <w:t>audit staff’s review, the land occupied by the Sunrise water plant is still owned by Alturas.</w:t>
      </w:r>
    </w:p>
    <w:p w:rsidR="00CF2EF4" w:rsidRPr="00002494" w:rsidRDefault="00CF2EF4" w:rsidP="00CF2EF4">
      <w:pPr>
        <w:ind w:firstLine="720"/>
        <w:jc w:val="both"/>
      </w:pPr>
    </w:p>
    <w:p w:rsidR="00002494" w:rsidRDefault="00002494" w:rsidP="00CF2EF4">
      <w:pPr>
        <w:ind w:firstLine="720"/>
        <w:jc w:val="both"/>
      </w:pPr>
      <w:r w:rsidRPr="00002494">
        <w:t xml:space="preserve">Pursuant to Rule 25-30.433(10), F.A.C., utilities are required to own the land upon which the utility treatment facilities are located, or possess the right to the continued use of the land, such as a 99-year lease. The Rule specifies that </w:t>
      </w:r>
      <w:r w:rsidR="00CF2EF4">
        <w:t>we</w:t>
      </w:r>
      <w:r w:rsidRPr="00002494">
        <w:t xml:space="preserve"> may consider a written easement or other cost-effective alternative. </w:t>
      </w:r>
      <w:r w:rsidR="00CF2EF4">
        <w:t>Sunrise’s</w:t>
      </w:r>
      <w:r w:rsidRPr="00002494">
        <w:t xml:space="preserve"> owner indicated that he had contacted the Utility’s legal counsel regarding this issue, however, as of the </w:t>
      </w:r>
      <w:r w:rsidR="00CF2EF4">
        <w:t>date of this Order</w:t>
      </w:r>
      <w:r w:rsidRPr="00002494">
        <w:t xml:space="preserve">, the land ownership issue </w:t>
      </w:r>
      <w:r w:rsidR="00CF2EF4">
        <w:t xml:space="preserve">still </w:t>
      </w:r>
      <w:r w:rsidRPr="00002494">
        <w:t>has not be corrected. Therefore,</w:t>
      </w:r>
      <w:r w:rsidR="00CF2EF4">
        <w:t xml:space="preserve"> we find</w:t>
      </w:r>
      <w:r w:rsidRPr="00002494">
        <w:t xml:space="preserve"> that </w:t>
      </w:r>
      <w:r w:rsidR="00CF2EF4">
        <w:t>Sunrise</w:t>
      </w:r>
      <w:r w:rsidRPr="00002494">
        <w:t xml:space="preserve"> </w:t>
      </w:r>
      <w:r w:rsidR="00CF2EF4">
        <w:t>shall be</w:t>
      </w:r>
      <w:r w:rsidRPr="00002494">
        <w:t xml:space="preserve"> required to provide written documentation showing that Sunrise owns the land upon which its treatment facilities are located no later than six months after the issuance of an order finalizing this docket. Acceptable forms of documentation include a copy of the corrected warranty deeds for both Sunrise and Alturas, an executed long-term lease, or </w:t>
      </w:r>
      <w:r w:rsidR="00C41C1D">
        <w:t xml:space="preserve">a </w:t>
      </w:r>
      <w:r w:rsidRPr="00002494">
        <w:t xml:space="preserve">written easement. In addition, </w:t>
      </w:r>
      <w:r w:rsidR="00CF2EF4">
        <w:t>Sunrise</w:t>
      </w:r>
      <w:r w:rsidRPr="00002494">
        <w:t xml:space="preserve"> </w:t>
      </w:r>
      <w:r w:rsidR="00CF2EF4">
        <w:t xml:space="preserve">is </w:t>
      </w:r>
      <w:r w:rsidR="00C41C1D">
        <w:t xml:space="preserve">put </w:t>
      </w:r>
      <w:r w:rsidRPr="00002494">
        <w:t xml:space="preserve">on notice that failure to correct </w:t>
      </w:r>
      <w:r w:rsidR="00CF2EF4">
        <w:t>its</w:t>
      </w:r>
      <w:r w:rsidRPr="00002494">
        <w:t xml:space="preserve"> land ownership may result in the initiation of show cause proceedings, including penalties and fines.</w:t>
      </w:r>
    </w:p>
    <w:p w:rsidR="00CF2EF4" w:rsidRPr="00002494" w:rsidRDefault="00CF2EF4" w:rsidP="00CF2EF4">
      <w:pPr>
        <w:ind w:firstLine="720"/>
        <w:jc w:val="both"/>
      </w:pPr>
    </w:p>
    <w:p w:rsidR="00002494" w:rsidRPr="00002494" w:rsidRDefault="00CF2EF4" w:rsidP="00CF2EF4">
      <w:pPr>
        <w:ind w:firstLine="720"/>
        <w:jc w:val="both"/>
      </w:pPr>
      <w:r>
        <w:t>Our</w:t>
      </w:r>
      <w:r w:rsidR="00002494" w:rsidRPr="00002494">
        <w:t xml:space="preserve"> total adjustment to this account is an increase of $553</w:t>
      </w:r>
      <w:r>
        <w:t>, and</w:t>
      </w:r>
      <w:r w:rsidR="00002494" w:rsidRPr="00002494">
        <w:t xml:space="preserve"> </w:t>
      </w:r>
      <w:r>
        <w:t xml:space="preserve">we find </w:t>
      </w:r>
      <w:r w:rsidR="00002494" w:rsidRPr="00002494">
        <w:t>a land and land rights balance of $553 for rate</w:t>
      </w:r>
      <w:r>
        <w:t>-</w:t>
      </w:r>
      <w:r w:rsidR="00002494" w:rsidRPr="00002494">
        <w:t>setting purposes.</w:t>
      </w:r>
    </w:p>
    <w:p w:rsidR="00CF2EF4" w:rsidRDefault="00CF2EF4" w:rsidP="00526BF4">
      <w:pPr>
        <w:jc w:val="both"/>
        <w:outlineLvl w:val="3"/>
        <w:rPr>
          <w:b/>
          <w:bCs/>
          <w:iCs/>
          <w:szCs w:val="28"/>
        </w:rPr>
      </w:pPr>
    </w:p>
    <w:p w:rsidR="00002494" w:rsidRPr="00CF2EF4" w:rsidRDefault="00002494" w:rsidP="00CF2EF4">
      <w:pPr>
        <w:ind w:firstLine="720"/>
        <w:jc w:val="both"/>
        <w:outlineLvl w:val="3"/>
        <w:rPr>
          <w:bCs/>
          <w:i/>
          <w:iCs/>
          <w:szCs w:val="28"/>
        </w:rPr>
      </w:pPr>
      <w:r w:rsidRPr="00CF2EF4">
        <w:rPr>
          <w:bCs/>
          <w:i/>
          <w:iCs/>
          <w:szCs w:val="28"/>
        </w:rPr>
        <w:t>Non-Used and Useful Plant</w:t>
      </w:r>
    </w:p>
    <w:p w:rsidR="00CF2EF4" w:rsidRDefault="00CF2EF4" w:rsidP="00526BF4">
      <w:pPr>
        <w:jc w:val="both"/>
      </w:pPr>
    </w:p>
    <w:p w:rsidR="00002494" w:rsidRPr="00002494" w:rsidRDefault="00002494" w:rsidP="00CF2EF4">
      <w:pPr>
        <w:ind w:firstLine="720"/>
        <w:jc w:val="both"/>
      </w:pPr>
      <w:r w:rsidRPr="00002494">
        <w:t xml:space="preserve">As </w:t>
      </w:r>
      <w:r w:rsidR="00C41C1D">
        <w:t>previously discussed</w:t>
      </w:r>
      <w:r w:rsidRPr="00002494">
        <w:t xml:space="preserve">, Sunrise’s water treatment plant and distribution system are considered 100 percent U&amp;U. Therefore, </w:t>
      </w:r>
      <w:r w:rsidR="00CF2EF4">
        <w:t xml:space="preserve">we find </w:t>
      </w:r>
      <w:r w:rsidRPr="00002494">
        <w:t>no U&amp;U adjustment necessary.</w:t>
      </w:r>
    </w:p>
    <w:p w:rsidR="00387C1A" w:rsidRDefault="00387C1A">
      <w:pPr>
        <w:rPr>
          <w:b/>
          <w:bCs/>
          <w:iCs/>
          <w:szCs w:val="28"/>
        </w:rPr>
      </w:pPr>
      <w:r>
        <w:rPr>
          <w:b/>
          <w:bCs/>
          <w:iCs/>
          <w:szCs w:val="28"/>
        </w:rPr>
        <w:br w:type="page"/>
      </w:r>
    </w:p>
    <w:p w:rsidR="00002494" w:rsidRPr="00CF2EF4" w:rsidRDefault="00002494" w:rsidP="00387C1A">
      <w:pPr>
        <w:ind w:firstLine="720"/>
        <w:jc w:val="both"/>
        <w:outlineLvl w:val="3"/>
        <w:rPr>
          <w:bCs/>
          <w:i/>
          <w:iCs/>
          <w:szCs w:val="28"/>
        </w:rPr>
      </w:pPr>
      <w:r w:rsidRPr="00CF2EF4">
        <w:rPr>
          <w:bCs/>
          <w:i/>
          <w:iCs/>
          <w:szCs w:val="28"/>
        </w:rPr>
        <w:lastRenderedPageBreak/>
        <w:t>Contribution in Aid of Construction (CIAC)</w:t>
      </w:r>
    </w:p>
    <w:p w:rsidR="006550A7" w:rsidRDefault="006550A7" w:rsidP="00526BF4">
      <w:pPr>
        <w:jc w:val="both"/>
      </w:pPr>
    </w:p>
    <w:p w:rsidR="00002494" w:rsidRDefault="00002494" w:rsidP="006550A7">
      <w:pPr>
        <w:ind w:firstLine="720"/>
        <w:jc w:val="both"/>
      </w:pPr>
      <w:r w:rsidRPr="00002494">
        <w:t xml:space="preserve">No CIAC balance was available for the 2014 test year. </w:t>
      </w:r>
      <w:r w:rsidR="00387C1A">
        <w:t>In Sunrise’s last SARC in 2011, w</w:t>
      </w:r>
      <w:r w:rsidR="006550A7">
        <w:t>e</w:t>
      </w:r>
      <w:r w:rsidRPr="00002494">
        <w:t xml:space="preserve"> approved a CIAC balance of $12,393. </w:t>
      </w:r>
      <w:r w:rsidR="00387C1A">
        <w:t>A</w:t>
      </w:r>
      <w:r w:rsidRPr="00002494">
        <w:t xml:space="preserve"> review of </w:t>
      </w:r>
      <w:r w:rsidR="00387C1A">
        <w:t>Sunrise’</w:t>
      </w:r>
      <w:r w:rsidRPr="00002494">
        <w:t>s 2011, 2012, and 2013 Annual Reports</w:t>
      </w:r>
      <w:r w:rsidR="00387C1A">
        <w:t>,</w:t>
      </w:r>
      <w:r w:rsidRPr="00002494">
        <w:t xml:space="preserve"> indicates that the Utility never adjusted its previous CIAC balance of $5,168 to reflect </w:t>
      </w:r>
      <w:r w:rsidR="00387C1A">
        <w:t>our</w:t>
      </w:r>
      <w:r w:rsidRPr="00002494">
        <w:t xml:space="preserve"> approved balance. Therefore, </w:t>
      </w:r>
      <w:r w:rsidR="00387C1A">
        <w:t xml:space="preserve">we find that </w:t>
      </w:r>
      <w:r w:rsidRPr="00002494">
        <w:t xml:space="preserve">this account </w:t>
      </w:r>
      <w:r w:rsidR="00387C1A">
        <w:t xml:space="preserve">shall be increased </w:t>
      </w:r>
      <w:r w:rsidRPr="00002494">
        <w:t xml:space="preserve">by $7,225 ($12,393 - $5,168 = $7,225) to reflect </w:t>
      </w:r>
      <w:r w:rsidR="00387C1A">
        <w:t>our</w:t>
      </w:r>
      <w:r w:rsidRPr="00002494">
        <w:t xml:space="preserve"> approved balance. </w:t>
      </w:r>
      <w:r w:rsidR="00387C1A">
        <w:t>Our a</w:t>
      </w:r>
      <w:r w:rsidRPr="00002494">
        <w:t xml:space="preserve">udit staff determined there has been no activity related to CIAC since </w:t>
      </w:r>
      <w:r w:rsidR="00387C1A">
        <w:t>Sunrise’s 2011 SARC</w:t>
      </w:r>
      <w:r w:rsidRPr="00002494">
        <w:t xml:space="preserve">, </w:t>
      </w:r>
      <w:r w:rsidR="00387C1A">
        <w:t>so</w:t>
      </w:r>
      <w:r w:rsidRPr="00002494">
        <w:t xml:space="preserve"> no additional adjustments are necessary. </w:t>
      </w:r>
      <w:r w:rsidR="00387C1A">
        <w:t xml:space="preserve">Therefore, we find </w:t>
      </w:r>
      <w:r w:rsidRPr="00002494">
        <w:t>a CIAC balance of $12,393.</w:t>
      </w:r>
    </w:p>
    <w:p w:rsidR="00387C1A" w:rsidRPr="00002494" w:rsidRDefault="00387C1A" w:rsidP="006550A7">
      <w:pPr>
        <w:ind w:firstLine="720"/>
        <w:jc w:val="both"/>
      </w:pPr>
    </w:p>
    <w:p w:rsidR="00002494" w:rsidRDefault="00387C1A" w:rsidP="00387C1A">
      <w:pPr>
        <w:ind w:firstLine="720"/>
        <w:jc w:val="both"/>
      </w:pPr>
      <w:r>
        <w:t xml:space="preserve">As will be discussed a </w:t>
      </w:r>
      <w:r w:rsidR="00C41C1D">
        <w:t xml:space="preserve">in </w:t>
      </w:r>
      <w:r>
        <w:t>later section of this</w:t>
      </w:r>
      <w:r w:rsidR="00002494" w:rsidRPr="00002494">
        <w:t xml:space="preserve"> </w:t>
      </w:r>
      <w:r>
        <w:t>Order</w:t>
      </w:r>
      <w:r w:rsidR="00002494" w:rsidRPr="00002494">
        <w:t xml:space="preserve">, Sunrise appears to be in violation of </w:t>
      </w:r>
      <w:r>
        <w:t>our</w:t>
      </w:r>
      <w:r w:rsidR="00002494" w:rsidRPr="00002494">
        <w:t xml:space="preserve"> rules and regulations regarding customer deposits. </w:t>
      </w:r>
      <w:r>
        <w:t>Sunrise</w:t>
      </w:r>
      <w:r w:rsidR="00002494" w:rsidRPr="00002494">
        <w:t xml:space="preserve"> </w:t>
      </w:r>
      <w:r>
        <w:t>has been</w:t>
      </w:r>
      <w:r w:rsidR="00002494" w:rsidRPr="00002494">
        <w:t xml:space="preserve"> working with </w:t>
      </w:r>
      <w:r>
        <w:t xml:space="preserve">our </w:t>
      </w:r>
      <w:r w:rsidR="00002494" w:rsidRPr="00002494">
        <w:t xml:space="preserve">staff to correct the apparent violations, however, the final results of those corrections are not yet known. In the event </w:t>
      </w:r>
      <w:r>
        <w:t>Sunrise</w:t>
      </w:r>
      <w:r w:rsidR="00002494" w:rsidRPr="00002494">
        <w:t xml:space="preserve"> is unable to issue customer deposit refunds and interest payments to former customers, </w:t>
      </w:r>
      <w:r>
        <w:t>we find</w:t>
      </w:r>
      <w:r w:rsidR="00002494" w:rsidRPr="00002494">
        <w:t xml:space="preserve"> that the resulting total of the unclaimed refunds and associated accrued interest sh</w:t>
      </w:r>
      <w:r w:rsidR="00E73CE2">
        <w:t>all</w:t>
      </w:r>
      <w:r w:rsidR="00002494" w:rsidRPr="00002494">
        <w:t xml:space="preserve"> be credited to CIAC in the Utility’s next rate proceeding.</w:t>
      </w:r>
    </w:p>
    <w:p w:rsidR="00387C1A" w:rsidRPr="00002494" w:rsidRDefault="00387C1A" w:rsidP="00526BF4">
      <w:pPr>
        <w:jc w:val="both"/>
      </w:pPr>
    </w:p>
    <w:p w:rsidR="00002494" w:rsidRPr="00387C1A" w:rsidRDefault="00002494" w:rsidP="00387C1A">
      <w:pPr>
        <w:ind w:firstLine="720"/>
        <w:jc w:val="both"/>
        <w:outlineLvl w:val="3"/>
        <w:rPr>
          <w:bCs/>
          <w:i/>
          <w:iCs/>
          <w:szCs w:val="28"/>
        </w:rPr>
      </w:pPr>
      <w:r w:rsidRPr="00387C1A">
        <w:rPr>
          <w:bCs/>
          <w:i/>
          <w:iCs/>
          <w:szCs w:val="28"/>
        </w:rPr>
        <w:t>Accumulated Depreciation</w:t>
      </w:r>
    </w:p>
    <w:p w:rsidR="00387C1A" w:rsidRDefault="00387C1A" w:rsidP="00526BF4">
      <w:pPr>
        <w:jc w:val="both"/>
      </w:pPr>
    </w:p>
    <w:p w:rsidR="00002494" w:rsidRDefault="00387C1A" w:rsidP="00387C1A">
      <w:pPr>
        <w:ind w:firstLine="720"/>
        <w:jc w:val="both"/>
      </w:pPr>
      <w:r>
        <w:t>Our a</w:t>
      </w:r>
      <w:r w:rsidR="00002494" w:rsidRPr="00002494">
        <w:t xml:space="preserve">udit staff calculated a test year accumulated depreciation balance of $68,952. A review of </w:t>
      </w:r>
      <w:r>
        <w:t>Sunrise</w:t>
      </w:r>
      <w:r w:rsidR="00002494" w:rsidRPr="00002494">
        <w:t xml:space="preserve">’s 2011, 2012, and 2013 Annual Reports indicates that </w:t>
      </w:r>
      <w:r>
        <w:t>Sunrise</w:t>
      </w:r>
      <w:r w:rsidR="00002494" w:rsidRPr="00002494">
        <w:t xml:space="preserve"> never adjusted its records to reflect the accumulated depreciation balance </w:t>
      </w:r>
      <w:r>
        <w:t xml:space="preserve">we </w:t>
      </w:r>
      <w:r w:rsidR="00002494" w:rsidRPr="00002494">
        <w:t xml:space="preserve">approved in </w:t>
      </w:r>
      <w:r>
        <w:t>its</w:t>
      </w:r>
      <w:r w:rsidR="00002494" w:rsidRPr="00002494">
        <w:t xml:space="preserve"> 2011 SARC. Further, </w:t>
      </w:r>
      <w:r>
        <w:t xml:space="preserve">our </w:t>
      </w:r>
      <w:r w:rsidR="00002494" w:rsidRPr="00002494">
        <w:t xml:space="preserve">audit staff determined the depreciation accruals had been recorded inconsistently since 2011. Therefore, </w:t>
      </w:r>
      <w:r>
        <w:t>we</w:t>
      </w:r>
      <w:r w:rsidR="00002494" w:rsidRPr="00002494">
        <w:t xml:space="preserve"> calculated the annual accruals to accumulated depreciation beginning with </w:t>
      </w:r>
      <w:r>
        <w:t>Sunrise</w:t>
      </w:r>
      <w:r w:rsidR="00002494" w:rsidRPr="00002494">
        <w:t xml:space="preserve">’s last SARC in 2011 through the end of the test year, using the prescribed rates set forth in Rule 25-30.140, F.A.C., and </w:t>
      </w:r>
      <w:r>
        <w:t>find</w:t>
      </w:r>
      <w:r w:rsidR="00002494" w:rsidRPr="00002494">
        <w:t xml:space="preserve"> that accumulated depreciation </w:t>
      </w:r>
      <w:r w:rsidR="00E73CE2">
        <w:t>shall</w:t>
      </w:r>
      <w:r w:rsidR="00002494" w:rsidRPr="00002494">
        <w:t xml:space="preserve"> be increased by $3,131 to reflect the correct test year balance. In addition, </w:t>
      </w:r>
      <w:r w:rsidR="00C341B5">
        <w:t xml:space="preserve">we find this account shall be </w:t>
      </w:r>
      <w:r w:rsidR="00002494" w:rsidRPr="00002494">
        <w:t>decreased by a total of $1,412</w:t>
      </w:r>
      <w:r w:rsidR="00C341B5">
        <w:t>,</w:t>
      </w:r>
      <w:r w:rsidR="00002494" w:rsidRPr="00002494">
        <w:t xml:space="preserve"> to reflect retirement of the replaced fence, master flow meter, and well cover discussed above. </w:t>
      </w:r>
      <w:r w:rsidR="00C341B5">
        <w:t>Our</w:t>
      </w:r>
      <w:r w:rsidR="00002494" w:rsidRPr="00002494">
        <w:t xml:space="preserve"> retirement adjustment includes removal of $1,300 in accumulated depreciation for the retired fence, master flow meter, and well cover, as well as removal of $112 in additional accumulated depreciation that continued to accrue during the years following the plant replacements ($1,300 + $112 = $1,412). Also, </w:t>
      </w:r>
      <w:r w:rsidR="00C341B5">
        <w:t>we</w:t>
      </w:r>
      <w:r w:rsidR="00002494" w:rsidRPr="00002494">
        <w:t xml:space="preserve"> decreased this account by $2,254 to reflect an averaging adjustment. </w:t>
      </w:r>
      <w:r w:rsidR="00C341B5">
        <w:t>Our</w:t>
      </w:r>
      <w:r w:rsidR="00002494" w:rsidRPr="00002494">
        <w:t xml:space="preserve"> net adjustment to accumulated depreciation is a decrease of $535, resulting in an accumulated depreciation balance of $68,417.</w:t>
      </w:r>
    </w:p>
    <w:p w:rsidR="00C341B5" w:rsidRPr="00002494" w:rsidRDefault="00C341B5" w:rsidP="00387C1A">
      <w:pPr>
        <w:ind w:firstLine="720"/>
        <w:jc w:val="both"/>
      </w:pPr>
    </w:p>
    <w:p w:rsidR="00002494" w:rsidRPr="00C341B5" w:rsidRDefault="00002494" w:rsidP="005D4E59">
      <w:pPr>
        <w:ind w:firstLine="720"/>
        <w:jc w:val="both"/>
        <w:outlineLvl w:val="3"/>
        <w:rPr>
          <w:bCs/>
          <w:i/>
          <w:iCs/>
          <w:szCs w:val="28"/>
        </w:rPr>
      </w:pPr>
      <w:r w:rsidRPr="00C341B5">
        <w:rPr>
          <w:bCs/>
          <w:i/>
          <w:iCs/>
          <w:szCs w:val="28"/>
        </w:rPr>
        <w:t>Accumulated Amortization of CIAC</w:t>
      </w:r>
    </w:p>
    <w:p w:rsidR="00C341B5" w:rsidRDefault="00C341B5" w:rsidP="00526BF4">
      <w:pPr>
        <w:jc w:val="both"/>
      </w:pPr>
    </w:p>
    <w:p w:rsidR="00002494" w:rsidRDefault="00C341B5" w:rsidP="00C341B5">
      <w:pPr>
        <w:ind w:firstLine="720"/>
        <w:jc w:val="both"/>
      </w:pPr>
      <w:r>
        <w:t>In Sunrise’s 2011 SARC, we</w:t>
      </w:r>
      <w:r w:rsidR="00002494" w:rsidRPr="00002494">
        <w:t xml:space="preserve"> approved an accumulated amortization of CIAC balance of $10,395, however, </w:t>
      </w:r>
      <w:r>
        <w:t>Sunrise</w:t>
      </w:r>
      <w:r w:rsidR="00002494" w:rsidRPr="00002494">
        <w:t xml:space="preserve">’s records were never adjusted to reflect that balance. </w:t>
      </w:r>
      <w:r>
        <w:t xml:space="preserve">We </w:t>
      </w:r>
      <w:r w:rsidR="00002494" w:rsidRPr="00002494">
        <w:t xml:space="preserve">calculated CIAC amortization using the amortization rates established by Rule 25-30.140(9)(c), F.A.C., as of December 31, 2014, and </w:t>
      </w:r>
      <w:r>
        <w:t>find</w:t>
      </w:r>
      <w:r w:rsidR="00002494" w:rsidRPr="00002494">
        <w:t xml:space="preserve"> that this account sh</w:t>
      </w:r>
      <w:r>
        <w:t>all</w:t>
      </w:r>
      <w:r w:rsidR="00002494" w:rsidRPr="00002494">
        <w:t xml:space="preserve"> be increased $6,900 to reflect the appropriate test year balance. </w:t>
      </w:r>
      <w:r>
        <w:t>Our audit staff, however,</w:t>
      </w:r>
      <w:r w:rsidR="00002494" w:rsidRPr="00002494">
        <w:t xml:space="preserve"> also note</w:t>
      </w:r>
      <w:r>
        <w:t>d that</w:t>
      </w:r>
      <w:r w:rsidR="00002494" w:rsidRPr="00002494">
        <w:t xml:space="preserve"> </w:t>
      </w:r>
      <w:r>
        <w:t>Sunrise</w:t>
      </w:r>
      <w:r w:rsidR="00002494" w:rsidRPr="00002494">
        <w:t xml:space="preserve">’s CIAC would be fully amortized by August 2015. Because the CIAC is now fully amortized, </w:t>
      </w:r>
      <w:r>
        <w:t xml:space="preserve">we find it </w:t>
      </w:r>
      <w:r w:rsidR="00002494" w:rsidRPr="00002494">
        <w:t xml:space="preserve">appropriate to make a pro forma adjustment to reflect the full amortization of the CIAC in August 2015. Therefore, </w:t>
      </w:r>
      <w:r>
        <w:t xml:space="preserve">we find this </w:t>
      </w:r>
      <w:r w:rsidR="00002494" w:rsidRPr="00002494">
        <w:t xml:space="preserve">account </w:t>
      </w:r>
      <w:r>
        <w:t xml:space="preserve">shall be increased </w:t>
      </w:r>
      <w:r w:rsidR="00002494" w:rsidRPr="00002494">
        <w:t xml:space="preserve">by $325 to reflect the full </w:t>
      </w:r>
      <w:r w:rsidR="00002494" w:rsidRPr="00002494">
        <w:lastRenderedPageBreak/>
        <w:t xml:space="preserve">amortization of CIAC. Due to the recognition of the full amortization of CIAC in this proceeding, no averaging adjustment is necessary. </w:t>
      </w:r>
      <w:r>
        <w:t>Our</w:t>
      </w:r>
      <w:r w:rsidR="00002494" w:rsidRPr="00002494">
        <w:t xml:space="preserve"> total adjustment to accumulated amortization of CIAC is an increase of $7,225 ($6,900 + $325). Therefore, </w:t>
      </w:r>
      <w:r>
        <w:t>we find</w:t>
      </w:r>
      <w:r w:rsidR="00002494" w:rsidRPr="00002494">
        <w:t xml:space="preserve"> an accumulated amortization of CIAC balance of $12,393.</w:t>
      </w:r>
    </w:p>
    <w:p w:rsidR="00C341B5" w:rsidRPr="00002494" w:rsidRDefault="00C341B5" w:rsidP="00C341B5">
      <w:pPr>
        <w:ind w:firstLine="720"/>
        <w:jc w:val="both"/>
      </w:pPr>
    </w:p>
    <w:p w:rsidR="00002494" w:rsidRPr="00C341B5" w:rsidRDefault="00002494" w:rsidP="00C341B5">
      <w:pPr>
        <w:ind w:firstLine="720"/>
        <w:jc w:val="both"/>
        <w:outlineLvl w:val="3"/>
        <w:rPr>
          <w:bCs/>
          <w:i/>
          <w:iCs/>
          <w:szCs w:val="28"/>
        </w:rPr>
      </w:pPr>
      <w:r w:rsidRPr="00C341B5">
        <w:rPr>
          <w:bCs/>
          <w:i/>
          <w:iCs/>
          <w:szCs w:val="28"/>
        </w:rPr>
        <w:t>Working Capital Allowance</w:t>
      </w:r>
    </w:p>
    <w:p w:rsidR="00C341B5" w:rsidRDefault="00C341B5" w:rsidP="00526BF4">
      <w:pPr>
        <w:jc w:val="both"/>
      </w:pPr>
    </w:p>
    <w:p w:rsidR="00002494" w:rsidRPr="00002494" w:rsidRDefault="00002494" w:rsidP="00C41C1D">
      <w:pPr>
        <w:ind w:firstLine="720"/>
        <w:jc w:val="both"/>
      </w:pPr>
      <w:r w:rsidRPr="00002494">
        <w:t xml:space="preserve">Working capital is defined as the investor-supplied funds that are necessary to </w:t>
      </w:r>
      <w:r w:rsidR="00C341B5">
        <w:t>meet operating expenses of the u</w:t>
      </w:r>
      <w:r w:rsidRPr="00002494">
        <w:t>tility. Consistent with Rule 25-30.433(2), F.A.C.,</w:t>
      </w:r>
      <w:r w:rsidR="00C341B5">
        <w:t xml:space="preserve"> we</w:t>
      </w:r>
      <w:r w:rsidRPr="00002494">
        <w:t xml:space="preserve"> used the one-eighth of the operation and maintenance (O&amp;M) expense formula approach for calculating the working capital allowance. Applying this formula, </w:t>
      </w:r>
      <w:r w:rsidR="00C341B5">
        <w:t xml:space="preserve">we find </w:t>
      </w:r>
      <w:r w:rsidRPr="00002494">
        <w:t>a working capital allowance of $8,337 (based on O&amp;M expense of $66,697/8).</w:t>
      </w:r>
    </w:p>
    <w:p w:rsidR="00C341B5" w:rsidRDefault="00C341B5" w:rsidP="00526BF4">
      <w:pPr>
        <w:jc w:val="both"/>
        <w:outlineLvl w:val="3"/>
        <w:rPr>
          <w:b/>
          <w:bCs/>
          <w:iCs/>
          <w:szCs w:val="28"/>
        </w:rPr>
      </w:pPr>
    </w:p>
    <w:p w:rsidR="00002494" w:rsidRPr="00C341B5" w:rsidRDefault="00002494" w:rsidP="00C341B5">
      <w:pPr>
        <w:ind w:firstLine="720"/>
        <w:jc w:val="both"/>
        <w:outlineLvl w:val="3"/>
        <w:rPr>
          <w:bCs/>
          <w:i/>
          <w:iCs/>
          <w:szCs w:val="28"/>
        </w:rPr>
      </w:pPr>
      <w:r w:rsidRPr="00C341B5">
        <w:rPr>
          <w:bCs/>
          <w:i/>
          <w:iCs/>
          <w:szCs w:val="28"/>
        </w:rPr>
        <w:t>Rate Base Summary</w:t>
      </w:r>
    </w:p>
    <w:p w:rsidR="00C341B5" w:rsidRDefault="00C341B5" w:rsidP="00526BF4">
      <w:pPr>
        <w:jc w:val="both"/>
      </w:pPr>
    </w:p>
    <w:p w:rsidR="00002494" w:rsidRDefault="00002494" w:rsidP="00C341B5">
      <w:pPr>
        <w:ind w:firstLine="720"/>
        <w:jc w:val="both"/>
      </w:pPr>
      <w:r w:rsidRPr="00002494">
        <w:t xml:space="preserve">Based on the foregoing, </w:t>
      </w:r>
      <w:r w:rsidR="00C341B5">
        <w:t>we find</w:t>
      </w:r>
      <w:r w:rsidRPr="00002494">
        <w:t xml:space="preserve"> that the appropriate average test year rate base is $49,773. Rate base is shown on Schedule No. 1-A</w:t>
      </w:r>
      <w:r w:rsidR="00C341B5">
        <w:t xml:space="preserve"> attached hereto</w:t>
      </w:r>
      <w:r w:rsidRPr="00002494">
        <w:t>. The related adjustments are shown on Schedule No. 1-B</w:t>
      </w:r>
      <w:r w:rsidR="00C341B5">
        <w:t xml:space="preserve"> attached</w:t>
      </w:r>
      <w:r w:rsidRPr="00002494">
        <w:t xml:space="preserve">. </w:t>
      </w:r>
      <w:r w:rsidR="00C341B5">
        <w:t>Sunrise</w:t>
      </w:r>
      <w:r w:rsidRPr="00002494">
        <w:t xml:space="preserve"> </w:t>
      </w:r>
      <w:r w:rsidR="00C341B5">
        <w:t xml:space="preserve">shall </w:t>
      </w:r>
      <w:r w:rsidRPr="00002494">
        <w:t xml:space="preserve">file written documentation in this docket showing that Sunrise either owns or has continued long-term use of the land upon which its treatment facilities are located by December 31, 2016. Also, in the event </w:t>
      </w:r>
      <w:r w:rsidR="00C341B5">
        <w:t>Sunrise</w:t>
      </w:r>
      <w:r w:rsidRPr="00002494">
        <w:t xml:space="preserve"> is unable to issue customer deposit refunds and interest payments to former customers, the resulting total of the unclaimed refunds and associated accrued interest </w:t>
      </w:r>
      <w:r w:rsidR="00C341B5">
        <w:t xml:space="preserve">shall </w:t>
      </w:r>
      <w:r w:rsidRPr="00002494">
        <w:t>be credited to CIAC in the Utility’s next rate proceeding.</w:t>
      </w:r>
      <w:r w:rsidR="001F260F">
        <w:t xml:space="preserve">  Finally, Sunrise </w:t>
      </w:r>
      <w:r w:rsidR="00C341B5">
        <w:t>shall file six monthly status reports in this docket</w:t>
      </w:r>
      <w:r w:rsidR="001F260F">
        <w:t xml:space="preserve">, beginning April 15, 2016, to provide the status of the correction of the landownership issue. </w:t>
      </w:r>
    </w:p>
    <w:p w:rsidR="00C341B5" w:rsidRDefault="00C341B5" w:rsidP="00526BF4">
      <w:pPr>
        <w:jc w:val="both"/>
      </w:pPr>
    </w:p>
    <w:p w:rsidR="00C341B5" w:rsidRPr="005D4E59" w:rsidRDefault="005D4E59" w:rsidP="00526BF4">
      <w:pPr>
        <w:jc w:val="both"/>
        <w:rPr>
          <w:u w:val="single"/>
        </w:rPr>
      </w:pPr>
      <w:r w:rsidRPr="005D4E59">
        <w:rPr>
          <w:u w:val="single"/>
        </w:rPr>
        <w:t xml:space="preserve">Return on Equity and Rate of Return </w:t>
      </w:r>
    </w:p>
    <w:p w:rsidR="00C341B5" w:rsidRPr="00002494" w:rsidRDefault="00C341B5" w:rsidP="00526BF4">
      <w:pPr>
        <w:jc w:val="both"/>
      </w:pPr>
    </w:p>
    <w:p w:rsidR="00002494" w:rsidRDefault="00B04AE5" w:rsidP="00B04AE5">
      <w:pPr>
        <w:ind w:firstLine="720"/>
        <w:jc w:val="both"/>
      </w:pPr>
      <w:r>
        <w:t>No</w:t>
      </w:r>
      <w:r w:rsidR="00002494" w:rsidRPr="00002494">
        <w:t xml:space="preserve"> capital structure balance was available </w:t>
      </w:r>
      <w:r>
        <w:t xml:space="preserve">for Sunrise </w:t>
      </w:r>
      <w:r w:rsidR="00002494" w:rsidRPr="00002494">
        <w:t xml:space="preserve">for 2014. Based on a review of the </w:t>
      </w:r>
      <w:r>
        <w:t>Sunrise</w:t>
      </w:r>
      <w:r w:rsidR="00002494" w:rsidRPr="00002494">
        <w:t xml:space="preserve">’s Annual Reports, </w:t>
      </w:r>
      <w:r>
        <w:t xml:space="preserve">our </w:t>
      </w:r>
      <w:r w:rsidR="00002494" w:rsidRPr="00002494">
        <w:t xml:space="preserve">audit staff initially determined the Utility’s capital structure is composed entirely of owners’ equity because no debt or customer deposits were disclosed. </w:t>
      </w:r>
      <w:r>
        <w:t>Our a</w:t>
      </w:r>
      <w:r w:rsidR="00002494" w:rsidRPr="00002494">
        <w:t>udit staff</w:t>
      </w:r>
      <w:r>
        <w:t>, however,</w:t>
      </w:r>
      <w:r w:rsidR="00002494" w:rsidRPr="00002494">
        <w:t xml:space="preserve"> could not determine </w:t>
      </w:r>
      <w:r>
        <w:t>Sunrise</w:t>
      </w:r>
      <w:r w:rsidR="00002494" w:rsidRPr="00002494">
        <w:t>’s equity balance from its 2013 Annual Report or 2013 Federal Tax Return. Pursuant to Order No. PSC-05-0308-PAA-WU, which approved the transfer of Sunrise to the current owner, the purchase price was $90,000 for the system.</w:t>
      </w:r>
      <w:r w:rsidR="00002494" w:rsidRPr="00002494">
        <w:rPr>
          <w:vertAlign w:val="superscript"/>
        </w:rPr>
        <w:footnoteReference w:id="10"/>
      </w:r>
      <w:r w:rsidR="00002494" w:rsidRPr="00002494">
        <w:t xml:space="preserve"> The purchase price was paid with cash in several installments. Therefore, </w:t>
      </w:r>
      <w:r>
        <w:t xml:space="preserve">we </w:t>
      </w:r>
      <w:r w:rsidR="00002494" w:rsidRPr="00002494">
        <w:t xml:space="preserve">increased common equity by $90,000 to reflect the owner’s equity in the system. In addition, Alturas </w:t>
      </w:r>
      <w:r>
        <w:t xml:space="preserve">(Sunrise’s sister company) </w:t>
      </w:r>
      <w:r w:rsidR="00002494" w:rsidRPr="00002494">
        <w:t xml:space="preserve">subsequently provided customer deposit records that indicated </w:t>
      </w:r>
      <w:r>
        <w:t>Sunrise</w:t>
      </w:r>
      <w:r w:rsidR="00002494" w:rsidRPr="00002494">
        <w:t xml:space="preserve"> was holding $4,480 in customer deposits during the test year. Accordingly, </w:t>
      </w:r>
      <w:r>
        <w:t>we</w:t>
      </w:r>
      <w:r w:rsidR="00002494" w:rsidRPr="00002494">
        <w:t xml:space="preserve"> increased customer deposits by $4,480 to reflect </w:t>
      </w:r>
      <w:r>
        <w:t>Sunrise</w:t>
      </w:r>
      <w:r w:rsidR="00002494" w:rsidRPr="00002494">
        <w:t>’s customer deposit balance as of December 31, 2014.</w:t>
      </w:r>
    </w:p>
    <w:p w:rsidR="00B04AE5" w:rsidRPr="00002494" w:rsidRDefault="00B04AE5" w:rsidP="00B04AE5">
      <w:pPr>
        <w:ind w:firstLine="720"/>
        <w:jc w:val="both"/>
      </w:pPr>
    </w:p>
    <w:p w:rsidR="00B04AE5" w:rsidRDefault="00B04AE5">
      <w:r>
        <w:br w:type="page"/>
      </w:r>
    </w:p>
    <w:p w:rsidR="00002494" w:rsidRDefault="00B04AE5" w:rsidP="00B04AE5">
      <w:pPr>
        <w:ind w:firstLine="720"/>
        <w:jc w:val="both"/>
      </w:pPr>
      <w:r>
        <w:lastRenderedPageBreak/>
        <w:t>Sunrise</w:t>
      </w:r>
      <w:r w:rsidR="00002494" w:rsidRPr="00002494">
        <w:t xml:space="preserve">’s capital structure has been reconciled with </w:t>
      </w:r>
      <w:r>
        <w:t>the</w:t>
      </w:r>
      <w:r w:rsidR="00002494" w:rsidRPr="00002494">
        <w:t xml:space="preserve"> rate base</w:t>
      </w:r>
      <w:r>
        <w:t xml:space="preserve"> we determined</w:t>
      </w:r>
      <w:r w:rsidR="00002494" w:rsidRPr="00002494">
        <w:t xml:space="preserve">. The appropriate ROE is 8.74 percent based upon </w:t>
      </w:r>
      <w:r>
        <w:t xml:space="preserve">our </w:t>
      </w:r>
      <w:r w:rsidR="00002494" w:rsidRPr="00002494">
        <w:t>approved leverage formula currently in effect.</w:t>
      </w:r>
      <w:r w:rsidR="00002494" w:rsidRPr="00002494">
        <w:rPr>
          <w:vertAlign w:val="superscript"/>
        </w:rPr>
        <w:footnoteReference w:id="11"/>
      </w:r>
      <w:r w:rsidR="00002494" w:rsidRPr="00002494">
        <w:t xml:space="preserve"> </w:t>
      </w:r>
      <w:r>
        <w:t xml:space="preserve">Therefore, we find </w:t>
      </w:r>
      <w:r w:rsidR="00002494" w:rsidRPr="00002494">
        <w:t>an ROE of 8.74 percent, with a range of 7.74 percent to 9.74 percent, and an overall rate of return of 8.13 percent. The ROE and overall rate of return are shown on Schedule No. 2</w:t>
      </w:r>
      <w:r>
        <w:t>, attached hereto</w:t>
      </w:r>
      <w:r w:rsidR="00002494" w:rsidRPr="00002494">
        <w:t>.</w:t>
      </w:r>
    </w:p>
    <w:p w:rsidR="00B04AE5" w:rsidRDefault="00B04AE5" w:rsidP="00B04AE5">
      <w:pPr>
        <w:jc w:val="both"/>
      </w:pPr>
    </w:p>
    <w:p w:rsidR="00B04AE5" w:rsidRPr="00B04AE5" w:rsidRDefault="00B04AE5" w:rsidP="00B04AE5">
      <w:pPr>
        <w:jc w:val="both"/>
        <w:rPr>
          <w:u w:val="single"/>
        </w:rPr>
      </w:pPr>
      <w:r w:rsidRPr="00B04AE5">
        <w:rPr>
          <w:u w:val="single"/>
        </w:rPr>
        <w:t>Test Year Revenues</w:t>
      </w:r>
    </w:p>
    <w:p w:rsidR="00B04AE5" w:rsidRDefault="00B04AE5" w:rsidP="00526BF4">
      <w:pPr>
        <w:jc w:val="both"/>
      </w:pPr>
    </w:p>
    <w:p w:rsidR="00B04AE5" w:rsidRDefault="00002494" w:rsidP="00B04AE5">
      <w:pPr>
        <w:ind w:firstLine="720"/>
        <w:jc w:val="both"/>
      </w:pPr>
      <w:r w:rsidRPr="00002494">
        <w:t xml:space="preserve">At the time of </w:t>
      </w:r>
      <w:r w:rsidR="00B04AE5">
        <w:t xml:space="preserve">our </w:t>
      </w:r>
      <w:r w:rsidRPr="00002494">
        <w:t xml:space="preserve">staff’s audit, </w:t>
      </w:r>
      <w:r w:rsidR="00B04AE5">
        <w:t>Sunrise</w:t>
      </w:r>
      <w:r w:rsidRPr="00002494">
        <w:t xml:space="preserve"> had not closed its books for calendar year 2014, which is the test year in this docket. As a result, </w:t>
      </w:r>
      <w:r w:rsidR="00B04AE5">
        <w:t>our</w:t>
      </w:r>
      <w:r w:rsidRPr="00002494">
        <w:t xml:space="preserve"> adjustments are to the Utility’s estimated test year revenues. Sunrise estimated test year revenues of $69,416, excluding any miscellaneous revenues. </w:t>
      </w:r>
      <w:r w:rsidR="00B04AE5">
        <w:t xml:space="preserve">Sunrise </w:t>
      </w:r>
      <w:r w:rsidRPr="00002494">
        <w:t xml:space="preserve">recorded five months of miscellaneous revenues during the test year, which totaled $1,320. Because no records were provided for the remaining seven months of the test year, </w:t>
      </w:r>
      <w:r w:rsidR="00B04AE5">
        <w:t>we</w:t>
      </w:r>
      <w:r w:rsidRPr="00002494">
        <w:t xml:space="preserve"> estimated that a similar number of miscellaneous service events would occur throughout the remaining months and determined that additional miscellaneous revenues of $1,320 </w:t>
      </w:r>
      <w:r w:rsidR="00E73CE2">
        <w:t>shall</w:t>
      </w:r>
      <w:r w:rsidRPr="00002494">
        <w:t xml:space="preserve"> be added. Therefore, </w:t>
      </w:r>
      <w:r w:rsidR="00B04AE5">
        <w:t xml:space="preserve">we find that </w:t>
      </w:r>
      <w:r w:rsidRPr="00002494">
        <w:t>test year revenues sh</w:t>
      </w:r>
      <w:r w:rsidR="00B04AE5">
        <w:t>all</w:t>
      </w:r>
      <w:r w:rsidRPr="00002494">
        <w:t xml:space="preserve"> be increased by $2,640. </w:t>
      </w:r>
    </w:p>
    <w:p w:rsidR="00B04AE5" w:rsidRDefault="00B04AE5" w:rsidP="00B04AE5">
      <w:pPr>
        <w:ind w:firstLine="720"/>
        <w:jc w:val="both"/>
      </w:pPr>
    </w:p>
    <w:p w:rsidR="00002494" w:rsidRPr="00002494" w:rsidRDefault="00002494" w:rsidP="00B04AE5">
      <w:pPr>
        <w:ind w:firstLine="720"/>
        <w:jc w:val="both"/>
        <w:rPr>
          <w:b/>
          <w:i/>
        </w:rPr>
      </w:pPr>
      <w:r w:rsidRPr="00002494">
        <w:t xml:space="preserve">As discussed </w:t>
      </w:r>
      <w:r w:rsidR="00B04AE5">
        <w:t xml:space="preserve">below </w:t>
      </w:r>
      <w:r w:rsidRPr="00002494">
        <w:t>in</w:t>
      </w:r>
      <w:r w:rsidR="00926E1C">
        <w:t xml:space="preserve"> the Operation and Maintenance Expenses section of this Order, Sunrise</w:t>
      </w:r>
      <w:r w:rsidRPr="00002494">
        <w:t xml:space="preserve"> has taken steps to properly record miscellaneous revenues. During the test year, </w:t>
      </w:r>
      <w:r w:rsidR="00926E1C">
        <w:t>Sunrise</w:t>
      </w:r>
      <w:r w:rsidRPr="00002494">
        <w:t xml:space="preserve"> had a Phase II rate increase that became effective on Ju</w:t>
      </w:r>
      <w:r w:rsidR="00926E1C">
        <w:t>ly 1, 2014.  Our s</w:t>
      </w:r>
      <w:r w:rsidRPr="00002494">
        <w:t xml:space="preserve">taff has verified that the rates were implemented in May 2015. </w:t>
      </w:r>
      <w:r w:rsidR="00926E1C">
        <w:t>We find that, b</w:t>
      </w:r>
      <w:r w:rsidRPr="00002494">
        <w:t>ased on the appropriate test year billing determinants and the annualized increased rates, service revenues sh</w:t>
      </w:r>
      <w:r w:rsidR="00926E1C">
        <w:t>all</w:t>
      </w:r>
      <w:r w:rsidRPr="00002494">
        <w:t xml:space="preserve"> be increased by $2,882 to reflect service revenue of $72,298. </w:t>
      </w:r>
      <w:r w:rsidR="00926E1C">
        <w:t xml:space="preserve">Therefore, we find </w:t>
      </w:r>
      <w:r w:rsidRPr="00002494">
        <w:t>that the appropriate test year revenues for Sunrise’s water system are $74,938 ($72,298 + $2,640).</w:t>
      </w:r>
    </w:p>
    <w:p w:rsidR="00002494" w:rsidRDefault="00002494" w:rsidP="00526BF4">
      <w:pPr>
        <w:jc w:val="both"/>
      </w:pPr>
    </w:p>
    <w:p w:rsidR="00926E1C" w:rsidRPr="00926E1C" w:rsidRDefault="00926E1C" w:rsidP="00926E1C">
      <w:pPr>
        <w:jc w:val="both"/>
        <w:outlineLvl w:val="0"/>
        <w:rPr>
          <w:bCs/>
          <w:kern w:val="32"/>
          <w:szCs w:val="32"/>
          <w:u w:val="single"/>
        </w:rPr>
      </w:pPr>
      <w:r w:rsidRPr="00926E1C">
        <w:rPr>
          <w:bCs/>
          <w:kern w:val="32"/>
          <w:szCs w:val="32"/>
          <w:u w:val="single"/>
        </w:rPr>
        <w:t>Operati</w:t>
      </w:r>
      <w:r w:rsidR="007650B2">
        <w:rPr>
          <w:bCs/>
          <w:kern w:val="32"/>
          <w:szCs w:val="32"/>
          <w:u w:val="single"/>
        </w:rPr>
        <w:t xml:space="preserve">ng </w:t>
      </w:r>
      <w:r w:rsidRPr="00926E1C">
        <w:rPr>
          <w:bCs/>
          <w:kern w:val="32"/>
          <w:szCs w:val="32"/>
          <w:u w:val="single"/>
        </w:rPr>
        <w:t>Expenses</w:t>
      </w:r>
    </w:p>
    <w:p w:rsidR="00926E1C" w:rsidRDefault="00926E1C" w:rsidP="00526BF4">
      <w:pPr>
        <w:jc w:val="both"/>
        <w:rPr>
          <w:b/>
          <w:i/>
        </w:rPr>
      </w:pPr>
    </w:p>
    <w:p w:rsidR="00002494" w:rsidRDefault="00002494" w:rsidP="00926E1C">
      <w:pPr>
        <w:ind w:firstLine="720"/>
        <w:jc w:val="both"/>
      </w:pPr>
      <w:r w:rsidRPr="00002494">
        <w:t xml:space="preserve">As discussed in </w:t>
      </w:r>
      <w:r w:rsidR="00926E1C">
        <w:t>the Rate Base section above</w:t>
      </w:r>
      <w:r w:rsidRPr="00002494">
        <w:t xml:space="preserve">, </w:t>
      </w:r>
      <w:r w:rsidR="00926E1C">
        <w:t>Sunrise</w:t>
      </w:r>
      <w:r w:rsidRPr="00002494">
        <w:t xml:space="preserve"> had not yet prepared its accounting records for 2014 at the time of </w:t>
      </w:r>
      <w:r w:rsidR="00926E1C">
        <w:t xml:space="preserve">our </w:t>
      </w:r>
      <w:r w:rsidRPr="00002494">
        <w:t>staff’s audit. Instead,</w:t>
      </w:r>
      <w:r w:rsidR="00926E1C">
        <w:t xml:space="preserve"> Sunrise </w:t>
      </w:r>
      <w:r w:rsidRPr="00002494">
        <w:t xml:space="preserve">provided </w:t>
      </w:r>
      <w:r w:rsidR="00926E1C">
        <w:t xml:space="preserve">our </w:t>
      </w:r>
      <w:r w:rsidRPr="00002494">
        <w:t>audit staff with an Expense Summary schedule of actual and estimated expenses of $84,912, some invoices, and some cancelled checks. The Utility’s sister company, Alturas, ha</w:t>
      </w:r>
      <w:r w:rsidR="00926E1C">
        <w:t>d</w:t>
      </w:r>
      <w:r w:rsidRPr="00002494">
        <w:t xml:space="preserve"> also filed an application for a SARC that </w:t>
      </w:r>
      <w:r w:rsidR="00926E1C">
        <w:t>was</w:t>
      </w:r>
      <w:r w:rsidRPr="00002494">
        <w:t xml:space="preserve"> processed concurrently under Docket No. 140219-WU. </w:t>
      </w:r>
      <w:r w:rsidR="00926E1C">
        <w:t xml:space="preserve"> Our a</w:t>
      </w:r>
      <w:r w:rsidRPr="00002494">
        <w:t xml:space="preserve">udit staff noted the majority of information used to verify Sunrise’s test year expenses involved shared operator services between the two Utilities or comingled banking operations due to severe cash flow problems. Based on a review of the available information for both Sunrise and Alturas, </w:t>
      </w:r>
      <w:r w:rsidR="00926E1C">
        <w:t xml:space="preserve">our </w:t>
      </w:r>
      <w:r w:rsidRPr="00002494">
        <w:t xml:space="preserve">audit staff initially determined Sunrise’s test year operating expenses to be $75,104 for the test year ended December 31, 2014. </w:t>
      </w:r>
    </w:p>
    <w:p w:rsidR="00926E1C" w:rsidRPr="00002494" w:rsidRDefault="00926E1C" w:rsidP="00926E1C">
      <w:pPr>
        <w:ind w:firstLine="720"/>
        <w:jc w:val="both"/>
      </w:pPr>
    </w:p>
    <w:p w:rsidR="00002494" w:rsidRDefault="00002494" w:rsidP="00926E1C">
      <w:pPr>
        <w:ind w:firstLine="720"/>
        <w:jc w:val="both"/>
      </w:pPr>
      <w:r w:rsidRPr="00002494">
        <w:t xml:space="preserve">Subsequent to the audit, </w:t>
      </w:r>
      <w:r w:rsidR="00926E1C">
        <w:t>Sunrise has</w:t>
      </w:r>
      <w:r w:rsidRPr="00002494">
        <w:t xml:space="preserve"> made several changes in its contractual service providers. </w:t>
      </w:r>
      <w:r w:rsidR="00926E1C">
        <w:t>Sunrise</w:t>
      </w:r>
      <w:r w:rsidRPr="00002494">
        <w:t xml:space="preserve"> also changed some procedures to improve the operation of the Utility and address some concerns discussed in </w:t>
      </w:r>
      <w:r w:rsidR="00926E1C">
        <w:t xml:space="preserve">our </w:t>
      </w:r>
      <w:r w:rsidRPr="00002494">
        <w:t xml:space="preserve">staff’s audit report and raised by </w:t>
      </w:r>
      <w:r w:rsidR="00926E1C">
        <w:t xml:space="preserve">the Utility’s </w:t>
      </w:r>
      <w:r w:rsidRPr="00002494">
        <w:t xml:space="preserve">customers. In response to several </w:t>
      </w:r>
      <w:r w:rsidR="00926E1C">
        <w:t xml:space="preserve">of our </w:t>
      </w:r>
      <w:r w:rsidRPr="00002494">
        <w:t>staff</w:t>
      </w:r>
      <w:r w:rsidR="00926E1C">
        <w:t>’s</w:t>
      </w:r>
      <w:r w:rsidRPr="00002494">
        <w:t xml:space="preserve"> data requests, </w:t>
      </w:r>
      <w:r w:rsidR="00926E1C">
        <w:t>Sunrise</w:t>
      </w:r>
      <w:r w:rsidRPr="00002494">
        <w:t xml:space="preserve"> also provided additional </w:t>
      </w:r>
      <w:r w:rsidRPr="00002494">
        <w:lastRenderedPageBreak/>
        <w:t xml:space="preserve">documentation to support some previously unsupported expenses, some requested pro forma expenses, and some new pro forma expenses related to the Utility’s efforts to improve its operations. Based on both the test year and supplemental information, </w:t>
      </w:r>
      <w:r w:rsidR="00926E1C">
        <w:t>we</w:t>
      </w:r>
      <w:r w:rsidRPr="00002494">
        <w:t xml:space="preserve"> made several adjustments to </w:t>
      </w:r>
      <w:r w:rsidR="00926E1C">
        <w:t>Sunrise</w:t>
      </w:r>
      <w:r w:rsidRPr="00002494">
        <w:t xml:space="preserve">’s operating expenses, as summarized below. In addition, </w:t>
      </w:r>
      <w:r w:rsidR="00926E1C">
        <w:t>we</w:t>
      </w:r>
      <w:r w:rsidRPr="00002494">
        <w:t xml:space="preserve"> made several adjustments in response to concerns raised by OPC in its June 10, 2015, letter filed in this docket</w:t>
      </w:r>
      <w:r w:rsidR="00926E1C">
        <w:t>,</w:t>
      </w:r>
      <w:r w:rsidRPr="00002494">
        <w:t xml:space="preserve"> and at a December 9, 2015, noticed informal meeting.</w:t>
      </w:r>
    </w:p>
    <w:p w:rsidR="00926E1C" w:rsidRPr="00002494" w:rsidRDefault="00926E1C" w:rsidP="00926E1C">
      <w:pPr>
        <w:ind w:firstLine="720"/>
        <w:jc w:val="both"/>
      </w:pPr>
    </w:p>
    <w:p w:rsidR="007650B2" w:rsidRDefault="007650B2" w:rsidP="007650B2">
      <w:pPr>
        <w:ind w:firstLine="720"/>
        <w:jc w:val="both"/>
        <w:outlineLvl w:val="3"/>
        <w:rPr>
          <w:bCs/>
          <w:i/>
          <w:iCs/>
          <w:szCs w:val="28"/>
        </w:rPr>
      </w:pPr>
      <w:r>
        <w:rPr>
          <w:bCs/>
          <w:i/>
          <w:iCs/>
          <w:szCs w:val="28"/>
        </w:rPr>
        <w:t>Operation and Maintenance (O&amp;M) Expense</w:t>
      </w:r>
    </w:p>
    <w:p w:rsidR="007650B2" w:rsidRDefault="007650B2" w:rsidP="007650B2">
      <w:pPr>
        <w:ind w:left="720" w:firstLine="720"/>
        <w:jc w:val="both"/>
        <w:outlineLvl w:val="3"/>
        <w:rPr>
          <w:bCs/>
          <w:i/>
          <w:iCs/>
          <w:szCs w:val="28"/>
        </w:rPr>
      </w:pPr>
    </w:p>
    <w:p w:rsidR="00002494" w:rsidRPr="007650B2" w:rsidRDefault="00002494" w:rsidP="007650B2">
      <w:pPr>
        <w:ind w:left="720" w:firstLine="720"/>
        <w:jc w:val="both"/>
        <w:outlineLvl w:val="3"/>
        <w:rPr>
          <w:bCs/>
          <w:iCs/>
          <w:szCs w:val="28"/>
        </w:rPr>
      </w:pPr>
      <w:r w:rsidRPr="007650B2">
        <w:rPr>
          <w:bCs/>
          <w:iCs/>
          <w:szCs w:val="28"/>
        </w:rPr>
        <w:t>Salaries and Wages – Officers (603)</w:t>
      </w:r>
    </w:p>
    <w:p w:rsidR="00926E1C" w:rsidRDefault="00926E1C" w:rsidP="00526BF4">
      <w:pPr>
        <w:jc w:val="both"/>
      </w:pPr>
    </w:p>
    <w:p w:rsidR="00002494" w:rsidRDefault="00926E1C" w:rsidP="00926E1C">
      <w:pPr>
        <w:ind w:firstLine="720"/>
        <w:jc w:val="both"/>
      </w:pPr>
      <w:r>
        <w:t>Sunrise</w:t>
      </w:r>
      <w:r w:rsidR="00002494" w:rsidRPr="00002494">
        <w:t xml:space="preserve">’s Expense Summary reflects $12,000 in this account. </w:t>
      </w:r>
      <w:r>
        <w:t>Sunrise</w:t>
      </w:r>
      <w:r w:rsidR="00002494" w:rsidRPr="00002494">
        <w:t xml:space="preserve"> currently has two officers</w:t>
      </w:r>
      <w:r>
        <w:t>:</w:t>
      </w:r>
      <w:r w:rsidR="00002494" w:rsidRPr="00002494">
        <w:t xml:space="preserve"> an administration officer and a president. The administration officer is </w:t>
      </w:r>
      <w:r>
        <w:t>Sunrise</w:t>
      </w:r>
      <w:r w:rsidR="00E01DB4">
        <w:t>’s</w:t>
      </w:r>
      <w:r w:rsidR="00002494" w:rsidRPr="00002494">
        <w:t xml:space="preserve"> owner and serves as the primary officer responsible for overseeing the daily operations of the Utility. In the </w:t>
      </w:r>
      <w:r w:rsidR="00E01DB4">
        <w:t>Sunrise</w:t>
      </w:r>
      <w:r w:rsidR="00002494" w:rsidRPr="00002494">
        <w:t xml:space="preserve">’s last SARC, </w:t>
      </w:r>
      <w:r w:rsidR="00E01DB4">
        <w:t>we</w:t>
      </w:r>
      <w:r w:rsidR="00002494" w:rsidRPr="00002494">
        <w:t xml:space="preserve"> approved an annual officer’s salary of $12,000 for the owner.</w:t>
      </w:r>
      <w:r w:rsidR="00002494" w:rsidRPr="00002494">
        <w:rPr>
          <w:vertAlign w:val="superscript"/>
        </w:rPr>
        <w:footnoteReference w:id="12"/>
      </w:r>
      <w:r w:rsidR="00002494" w:rsidRPr="00002494">
        <w:t xml:space="preserve"> At that time, the owner’s duties included interfacing with the Utility’s contractual manager on the day-to-day operations, reviewing the monthly meter reading reports, reviewing monthly bank statements, preparing the annual report, and compiling financial data for the certified public accountant (CPA) to prepare the federal income tax return. Currently, the owner works with </w:t>
      </w:r>
      <w:r w:rsidR="00E01DB4">
        <w:t>Sunrise</w:t>
      </w:r>
      <w:r w:rsidR="00002494" w:rsidRPr="00002494">
        <w:t>’s four contractual service providers to oversee the financial and operational functions of Sunrise and Alturas.</w:t>
      </w:r>
    </w:p>
    <w:p w:rsidR="00E01DB4" w:rsidRPr="00002494" w:rsidRDefault="00E01DB4" w:rsidP="00926E1C">
      <w:pPr>
        <w:ind w:firstLine="720"/>
        <w:jc w:val="both"/>
      </w:pPr>
    </w:p>
    <w:p w:rsidR="00002494" w:rsidRDefault="00002494" w:rsidP="00E01DB4">
      <w:pPr>
        <w:ind w:firstLine="720"/>
        <w:jc w:val="both"/>
      </w:pPr>
      <w:r w:rsidRPr="00002494">
        <w:t xml:space="preserve">As discussed </w:t>
      </w:r>
      <w:r w:rsidR="00E01DB4">
        <w:t xml:space="preserve">above </w:t>
      </w:r>
      <w:r w:rsidRPr="00002494">
        <w:t xml:space="preserve">in </w:t>
      </w:r>
      <w:r w:rsidR="00E01DB4">
        <w:t>the Allocation of Common Costs section of this Order</w:t>
      </w:r>
      <w:r w:rsidRPr="00002494">
        <w:t xml:space="preserve">, </w:t>
      </w:r>
      <w:r w:rsidR="00E01DB4">
        <w:t>we found</w:t>
      </w:r>
      <w:r w:rsidRPr="00002494">
        <w:t xml:space="preserve"> that common costs be allocated between Sunrise and Alturas based on ERCs, with 78 percent allocated to Sunrise and the remaining 22 percent allocated to Alturas. </w:t>
      </w:r>
      <w:r w:rsidR="00E01DB4">
        <w:t>We</w:t>
      </w:r>
      <w:r w:rsidRPr="00002494">
        <w:t xml:space="preserve"> </w:t>
      </w:r>
      <w:r w:rsidR="00E01DB4">
        <w:t>find</w:t>
      </w:r>
      <w:r w:rsidRPr="00002494">
        <w:t xml:space="preserve"> that the appropriate allocation of the administration officer/owner’s salary to Sunrise is $9,360 ($12,000 x .78 = $9,360). Accordingly, </w:t>
      </w:r>
      <w:r w:rsidR="00E01DB4">
        <w:t>we have</w:t>
      </w:r>
      <w:r w:rsidRPr="00002494">
        <w:t xml:space="preserve"> decreased this account by $2,640 to allocate the remaining 22 percent of the $12,000 salary to Alturas ($12,000 x .22 = $2,640).</w:t>
      </w:r>
    </w:p>
    <w:p w:rsidR="00E01DB4" w:rsidRPr="00002494" w:rsidRDefault="00E01DB4" w:rsidP="00E01DB4">
      <w:pPr>
        <w:ind w:firstLine="720"/>
        <w:jc w:val="both"/>
      </w:pPr>
    </w:p>
    <w:p w:rsidR="00002494" w:rsidRDefault="00002494" w:rsidP="00E01DB4">
      <w:pPr>
        <w:ind w:firstLine="720"/>
        <w:jc w:val="both"/>
      </w:pPr>
      <w:r w:rsidRPr="00002494">
        <w:t xml:space="preserve">During the test year, </w:t>
      </w:r>
      <w:r w:rsidR="00E01DB4">
        <w:t>Sunrise</w:t>
      </w:r>
      <w:r w:rsidRPr="00002494">
        <w:t xml:space="preserve"> also paid $750 to </w:t>
      </w:r>
      <w:r w:rsidR="00566AD8">
        <w:t>its</w:t>
      </w:r>
      <w:r w:rsidRPr="00002494">
        <w:t xml:space="preserve"> president who assists the owner with utility matters as needed, including annual work related to preparation of the annual report and income tax forms. </w:t>
      </w:r>
      <w:r w:rsidR="00E01DB4">
        <w:t>We</w:t>
      </w:r>
      <w:r w:rsidRPr="00002494">
        <w:t xml:space="preserve"> increased this account by $585 to reflect the appropriate 78 percent allocation of the president’s salary to Sunrise ($750 x .78 = $585).</w:t>
      </w:r>
    </w:p>
    <w:p w:rsidR="00E01DB4" w:rsidRPr="00002494" w:rsidRDefault="00E01DB4" w:rsidP="00E01DB4">
      <w:pPr>
        <w:ind w:firstLine="720"/>
        <w:jc w:val="both"/>
      </w:pPr>
    </w:p>
    <w:p w:rsidR="00E01DB4" w:rsidRDefault="00002494" w:rsidP="00E01DB4">
      <w:pPr>
        <w:ind w:firstLine="720"/>
        <w:jc w:val="both"/>
      </w:pPr>
      <w:r w:rsidRPr="00002494">
        <w:t>In its June 10, 2015, letter OPC suggested that the administration officer/owner’s salary should be re-evaluated due to the severe accounting record deficiencies and the owner’s lack of response to several warning letters</w:t>
      </w:r>
      <w:r w:rsidR="00E01DB4">
        <w:t xml:space="preserve"> from the PCHD. As discussed above in the Quality of Service section of this Order</w:t>
      </w:r>
      <w:r w:rsidRPr="00002494">
        <w:t xml:space="preserve">, </w:t>
      </w:r>
      <w:r w:rsidR="00E01DB4">
        <w:t xml:space="preserve">we found </w:t>
      </w:r>
      <w:r w:rsidRPr="00002494">
        <w:t xml:space="preserve">that a 25 percent penalty </w:t>
      </w:r>
      <w:r w:rsidR="00E01DB4">
        <w:t xml:space="preserve">would </w:t>
      </w:r>
      <w:r w:rsidRPr="00002494">
        <w:t>be applied to the officers’ salaries for unsati</w:t>
      </w:r>
      <w:r w:rsidR="00E01DB4">
        <w:t>sfactory quality of service. A</w:t>
      </w:r>
      <w:r w:rsidRPr="00002494">
        <w:t>ppl</w:t>
      </w:r>
      <w:r w:rsidR="00E01DB4">
        <w:t>ying this penalty</w:t>
      </w:r>
      <w:r w:rsidRPr="00002494">
        <w:t xml:space="preserve"> to the administration officer/owner’s adjusted salary of $9,360, result</w:t>
      </w:r>
      <w:r w:rsidR="00E01DB4">
        <w:t>s</w:t>
      </w:r>
      <w:r w:rsidRPr="00002494">
        <w:t xml:space="preserve"> in a $2,340 penalty decrease. </w:t>
      </w:r>
      <w:r w:rsidR="00E01DB4">
        <w:t>A</w:t>
      </w:r>
      <w:r w:rsidRPr="00002494">
        <w:t>ppl</w:t>
      </w:r>
      <w:r w:rsidR="00E01DB4">
        <w:t>ying</w:t>
      </w:r>
      <w:r w:rsidRPr="00002494">
        <w:t xml:space="preserve"> the </w:t>
      </w:r>
      <w:r w:rsidR="00566AD8">
        <w:t xml:space="preserve">penalty to the </w:t>
      </w:r>
      <w:r w:rsidRPr="00002494">
        <w:t>president’s salary of $585, result</w:t>
      </w:r>
      <w:r w:rsidR="00E01DB4">
        <w:t>s</w:t>
      </w:r>
      <w:r w:rsidRPr="00002494">
        <w:t xml:space="preserve"> in a $146 decrease. </w:t>
      </w:r>
    </w:p>
    <w:p w:rsidR="00E01DB4" w:rsidRDefault="00E01DB4" w:rsidP="00E01DB4">
      <w:pPr>
        <w:ind w:firstLine="720"/>
        <w:jc w:val="both"/>
      </w:pPr>
    </w:p>
    <w:p w:rsidR="00566AD8" w:rsidRDefault="00566AD8"/>
    <w:p w:rsidR="00002494" w:rsidRDefault="00002494" w:rsidP="00566AD8">
      <w:pPr>
        <w:ind w:firstLine="720"/>
        <w:jc w:val="both"/>
      </w:pPr>
      <w:r w:rsidRPr="00002494">
        <w:t xml:space="preserve">Therefore, </w:t>
      </w:r>
      <w:r w:rsidR="00566AD8">
        <w:t xml:space="preserve">we have </w:t>
      </w:r>
      <w:r w:rsidRPr="00002494">
        <w:t>decreased this account by a total of $2,486 to reflect a 25 percent reduction in both officers’ salaries allocated to Sunrise. The resulting officers’ salaries allocated to Sunrise following the penalty reduction are $7,020 for the administration officer/owner and $439 for the president. As additional information, the total combined salaries for Sunrise and Alturas following all of staff’s adjustments are $9,000 for the administration officer/owner and $563 for the president.</w:t>
      </w:r>
      <w:r w:rsidR="00566AD8">
        <w:t xml:space="preserve">  </w:t>
      </w:r>
      <w:r w:rsidRPr="00002494">
        <w:t xml:space="preserve">In summary, </w:t>
      </w:r>
      <w:r w:rsidR="00566AD8">
        <w:t xml:space="preserve">our </w:t>
      </w:r>
      <w:r w:rsidRPr="00002494">
        <w:t>total adjustment to this account is a decrease of $4,541</w:t>
      </w:r>
      <w:r w:rsidR="00566AD8">
        <w:t xml:space="preserve"> and the </w:t>
      </w:r>
      <w:r w:rsidRPr="00002494">
        <w:t xml:space="preserve">salaries and wages – officers’ expense </w:t>
      </w:r>
      <w:r w:rsidR="00566AD8">
        <w:t>is</w:t>
      </w:r>
      <w:r w:rsidRPr="00002494">
        <w:t xml:space="preserve"> $7,459.</w:t>
      </w:r>
    </w:p>
    <w:p w:rsidR="00566AD8" w:rsidRPr="00002494" w:rsidRDefault="00566AD8" w:rsidP="00566AD8">
      <w:pPr>
        <w:ind w:firstLine="720"/>
        <w:jc w:val="both"/>
      </w:pPr>
    </w:p>
    <w:p w:rsidR="00002494" w:rsidRPr="007650B2" w:rsidRDefault="00002494" w:rsidP="007650B2">
      <w:pPr>
        <w:ind w:left="720" w:firstLine="720"/>
        <w:jc w:val="both"/>
        <w:outlineLvl w:val="3"/>
        <w:rPr>
          <w:bCs/>
          <w:iCs/>
          <w:szCs w:val="28"/>
        </w:rPr>
      </w:pPr>
      <w:r w:rsidRPr="007650B2">
        <w:rPr>
          <w:bCs/>
          <w:iCs/>
          <w:szCs w:val="28"/>
        </w:rPr>
        <w:t>Purchased Power (615)</w:t>
      </w:r>
    </w:p>
    <w:p w:rsidR="00566AD8" w:rsidRDefault="00566AD8" w:rsidP="00526BF4">
      <w:pPr>
        <w:jc w:val="both"/>
      </w:pPr>
    </w:p>
    <w:p w:rsidR="00002494" w:rsidRPr="00002494" w:rsidRDefault="00566AD8" w:rsidP="00566AD8">
      <w:pPr>
        <w:ind w:firstLine="720"/>
        <w:jc w:val="both"/>
      </w:pPr>
      <w:r>
        <w:t>Sunrise</w:t>
      </w:r>
      <w:r w:rsidR="00002494" w:rsidRPr="00002494">
        <w:t xml:space="preserve">’s Expense Summary reflects $2,340 in this account. </w:t>
      </w:r>
      <w:r>
        <w:t>Sunrise</w:t>
      </w:r>
      <w:r w:rsidR="00002494" w:rsidRPr="00002494">
        <w:t xml:space="preserve"> was only able to provide nine electric pow</w:t>
      </w:r>
      <w:r>
        <w:t>er invoices for the test year. Our a</w:t>
      </w:r>
      <w:r w:rsidR="00002494" w:rsidRPr="00002494">
        <w:t xml:space="preserve">udit staff was able to substantiate the amounts for two of the three missing invoices using payment information included on subsequent invoices. Also, </w:t>
      </w:r>
      <w:r w:rsidR="00B44ED0">
        <w:t xml:space="preserve">our </w:t>
      </w:r>
      <w:r w:rsidR="00002494" w:rsidRPr="00002494">
        <w:t xml:space="preserve">audit staff estimated the missing December 2014 invoice amount by using the average of the billed amounts for January through November 2014. Consequently, </w:t>
      </w:r>
      <w:r w:rsidR="00B44ED0">
        <w:t xml:space="preserve">we have </w:t>
      </w:r>
      <w:r w:rsidR="00002494" w:rsidRPr="00002494">
        <w:t xml:space="preserve">decreased this account by $63 to reflect the correct test year purchased power expense, resulting in an adjusted balance of $2,277. The $63 adjustment includes removal of $5 in late payment fees that are not recoverable through the </w:t>
      </w:r>
      <w:r w:rsidR="00B44ED0">
        <w:t>Sunrise</w:t>
      </w:r>
      <w:r w:rsidR="00002494" w:rsidRPr="00002494">
        <w:t>’s rates.</w:t>
      </w:r>
    </w:p>
    <w:p w:rsidR="00B44ED0" w:rsidRDefault="00B44ED0" w:rsidP="00526BF4">
      <w:pPr>
        <w:jc w:val="both"/>
      </w:pPr>
    </w:p>
    <w:p w:rsidR="00002494" w:rsidRDefault="00002494" w:rsidP="00B44ED0">
      <w:pPr>
        <w:ind w:firstLine="720"/>
        <w:jc w:val="both"/>
      </w:pPr>
      <w:r w:rsidRPr="00002494">
        <w:t xml:space="preserve">In addition, as discussed </w:t>
      </w:r>
      <w:r w:rsidR="00B44ED0">
        <w:t>above in the Excessive Unaccounted for Water section of this Order</w:t>
      </w:r>
      <w:r w:rsidRPr="00002494">
        <w:t xml:space="preserve">, </w:t>
      </w:r>
      <w:r w:rsidR="00B44ED0">
        <w:t>we found</w:t>
      </w:r>
      <w:r w:rsidRPr="00002494">
        <w:t xml:space="preserve"> an EUW adjustment of 9 percent. Therefore, </w:t>
      </w:r>
      <w:r w:rsidR="00B44ED0">
        <w:t xml:space="preserve">we have </w:t>
      </w:r>
      <w:r w:rsidRPr="00002494">
        <w:t>decreased the adjusted balance by $205 ($2,</w:t>
      </w:r>
      <w:r w:rsidR="00C41C1D">
        <w:t>277 x .09 = $205) to reflect a 9</w:t>
      </w:r>
      <w:r w:rsidRPr="00002494">
        <w:t xml:space="preserve"> percent EUW adjustment. </w:t>
      </w:r>
      <w:r w:rsidR="00B44ED0">
        <w:t>Our</w:t>
      </w:r>
      <w:r w:rsidRPr="00002494">
        <w:t xml:space="preserve"> total adjustment is a decrease of $268. Therefore, </w:t>
      </w:r>
      <w:r w:rsidR="00B44ED0">
        <w:t xml:space="preserve">we find a </w:t>
      </w:r>
      <w:r w:rsidRPr="00002494">
        <w:t>purchased power expense of $2,072.</w:t>
      </w:r>
    </w:p>
    <w:p w:rsidR="00B44ED0" w:rsidRPr="00002494" w:rsidRDefault="00B44ED0" w:rsidP="00B44ED0">
      <w:pPr>
        <w:ind w:firstLine="720"/>
        <w:jc w:val="both"/>
      </w:pPr>
    </w:p>
    <w:p w:rsidR="00002494" w:rsidRPr="007650B2" w:rsidRDefault="00002494" w:rsidP="007650B2">
      <w:pPr>
        <w:ind w:left="720" w:firstLine="720"/>
        <w:jc w:val="both"/>
        <w:outlineLvl w:val="3"/>
        <w:rPr>
          <w:bCs/>
          <w:iCs/>
          <w:szCs w:val="28"/>
        </w:rPr>
      </w:pPr>
      <w:r w:rsidRPr="007650B2">
        <w:rPr>
          <w:bCs/>
          <w:iCs/>
          <w:szCs w:val="28"/>
        </w:rPr>
        <w:t>Fuel for Power Production (616)</w:t>
      </w:r>
    </w:p>
    <w:p w:rsidR="00B44ED0" w:rsidRDefault="00B44ED0" w:rsidP="00526BF4">
      <w:pPr>
        <w:jc w:val="both"/>
      </w:pPr>
    </w:p>
    <w:p w:rsidR="00002494" w:rsidRDefault="00B44ED0" w:rsidP="00B44ED0">
      <w:pPr>
        <w:ind w:firstLine="720"/>
        <w:jc w:val="both"/>
      </w:pPr>
      <w:r>
        <w:t>Sunrise</w:t>
      </w:r>
      <w:r w:rsidR="00002494" w:rsidRPr="00002494">
        <w:t xml:space="preserve">’s Expense Summary does not include this account. </w:t>
      </w:r>
      <w:r>
        <w:t>Our a</w:t>
      </w:r>
      <w:r w:rsidR="00002494" w:rsidRPr="00002494">
        <w:t xml:space="preserve">udit staff determined </w:t>
      </w:r>
      <w:r>
        <w:t>Sunrise</w:t>
      </w:r>
      <w:r w:rsidR="00002494" w:rsidRPr="00002494">
        <w:t xml:space="preserve"> paid a total of $219 for propane fuel for its emergency generator at the water plant during the test year. Therefore, </w:t>
      </w:r>
      <w:r>
        <w:t>we</w:t>
      </w:r>
      <w:r w:rsidR="00002494" w:rsidRPr="00002494">
        <w:t xml:space="preserve"> increased this account by $219, and </w:t>
      </w:r>
      <w:r>
        <w:t xml:space="preserve">find a </w:t>
      </w:r>
      <w:r w:rsidR="00002494" w:rsidRPr="00002494">
        <w:t xml:space="preserve">fuel for power production expense of $219 for the test year. </w:t>
      </w:r>
    </w:p>
    <w:p w:rsidR="00B44ED0" w:rsidRPr="00002494" w:rsidRDefault="00B44ED0" w:rsidP="00B44ED0">
      <w:pPr>
        <w:ind w:firstLine="720"/>
        <w:jc w:val="both"/>
        <w:rPr>
          <w:u w:val="single"/>
        </w:rPr>
      </w:pPr>
    </w:p>
    <w:p w:rsidR="00002494" w:rsidRPr="007650B2" w:rsidRDefault="00002494" w:rsidP="007650B2">
      <w:pPr>
        <w:ind w:left="720" w:firstLine="720"/>
        <w:jc w:val="both"/>
        <w:outlineLvl w:val="3"/>
        <w:rPr>
          <w:bCs/>
          <w:iCs/>
          <w:szCs w:val="28"/>
        </w:rPr>
      </w:pPr>
      <w:r w:rsidRPr="007650B2">
        <w:rPr>
          <w:bCs/>
          <w:iCs/>
          <w:szCs w:val="28"/>
        </w:rPr>
        <w:t>Chemicals (618)</w:t>
      </w:r>
    </w:p>
    <w:p w:rsidR="00B44ED0" w:rsidRDefault="00B44ED0" w:rsidP="00526BF4">
      <w:pPr>
        <w:jc w:val="both"/>
      </w:pPr>
    </w:p>
    <w:p w:rsidR="00002494" w:rsidRDefault="00B44ED0" w:rsidP="00B44ED0">
      <w:pPr>
        <w:ind w:firstLine="720"/>
        <w:jc w:val="both"/>
      </w:pPr>
      <w:r>
        <w:t>Sunrise</w:t>
      </w:r>
      <w:r w:rsidR="00002494" w:rsidRPr="00002494">
        <w:t xml:space="preserve"> Expense Summary reflects chemicals expense of $1,431. Based on </w:t>
      </w:r>
      <w:r>
        <w:t xml:space="preserve">our </w:t>
      </w:r>
      <w:r w:rsidR="00002494" w:rsidRPr="00002494">
        <w:t xml:space="preserve">audit staff’s review, </w:t>
      </w:r>
      <w:r>
        <w:t xml:space="preserve">we </w:t>
      </w:r>
      <w:r w:rsidR="00002494" w:rsidRPr="00002494">
        <w:t xml:space="preserve">increased this account by $131 to reflect the appropriate test year chemicals expense, resulting in an adjusted chemicals expense of $1,562. </w:t>
      </w:r>
      <w:r>
        <w:t>A</w:t>
      </w:r>
      <w:r w:rsidR="00002494" w:rsidRPr="00002494">
        <w:t>s discussed</w:t>
      </w:r>
      <w:r>
        <w:t xml:space="preserve"> above in the Excessive Unaccounted for Water section of this Order</w:t>
      </w:r>
      <w:r w:rsidR="00002494" w:rsidRPr="00002494">
        <w:t xml:space="preserve">, </w:t>
      </w:r>
      <w:r>
        <w:t>we found</w:t>
      </w:r>
      <w:r w:rsidR="00002494" w:rsidRPr="00002494">
        <w:t xml:space="preserve"> an adjustment of 9 percent</w:t>
      </w:r>
      <w:r w:rsidR="00C41C1D">
        <w:t xml:space="preserve"> necessary to account for EUW</w:t>
      </w:r>
      <w:r w:rsidR="00002494" w:rsidRPr="00002494">
        <w:t xml:space="preserve">. Accordingly, </w:t>
      </w:r>
      <w:r>
        <w:t>we</w:t>
      </w:r>
      <w:r w:rsidR="00002494" w:rsidRPr="00002494">
        <w:t xml:space="preserve"> decreased this account by $141 to reflect an EUW adjustment of 9 percent ($1,562 x .09 = $141). </w:t>
      </w:r>
      <w:r>
        <w:t>Our</w:t>
      </w:r>
      <w:r w:rsidR="00002494" w:rsidRPr="00002494">
        <w:t xml:space="preserve"> net adjustment is a decrease of $10, resulting in a chemicals expense of $1,421.</w:t>
      </w:r>
    </w:p>
    <w:p w:rsidR="00B44ED0" w:rsidRPr="00002494" w:rsidRDefault="00B44ED0" w:rsidP="00B44ED0">
      <w:pPr>
        <w:ind w:firstLine="720"/>
        <w:jc w:val="both"/>
      </w:pPr>
    </w:p>
    <w:p w:rsidR="00B44ED0" w:rsidRDefault="00B44ED0">
      <w:pPr>
        <w:rPr>
          <w:bCs/>
          <w:i/>
          <w:iCs/>
          <w:szCs w:val="28"/>
        </w:rPr>
      </w:pPr>
      <w:r>
        <w:rPr>
          <w:bCs/>
          <w:i/>
          <w:iCs/>
          <w:szCs w:val="28"/>
        </w:rPr>
        <w:br w:type="page"/>
      </w:r>
    </w:p>
    <w:p w:rsidR="00002494" w:rsidRPr="007650B2" w:rsidRDefault="00002494" w:rsidP="007650B2">
      <w:pPr>
        <w:ind w:left="720" w:firstLine="720"/>
        <w:jc w:val="both"/>
        <w:outlineLvl w:val="3"/>
        <w:rPr>
          <w:bCs/>
          <w:iCs/>
          <w:szCs w:val="28"/>
        </w:rPr>
      </w:pPr>
      <w:r w:rsidRPr="007650B2">
        <w:rPr>
          <w:bCs/>
          <w:iCs/>
          <w:szCs w:val="28"/>
        </w:rPr>
        <w:lastRenderedPageBreak/>
        <w:t>Contractual Services – Overview</w:t>
      </w:r>
    </w:p>
    <w:p w:rsidR="00B44ED0" w:rsidRDefault="00B44ED0" w:rsidP="00526BF4">
      <w:pPr>
        <w:jc w:val="both"/>
      </w:pPr>
    </w:p>
    <w:p w:rsidR="00002494" w:rsidRDefault="00002494" w:rsidP="00B44ED0">
      <w:pPr>
        <w:ind w:firstLine="720"/>
        <w:jc w:val="both"/>
      </w:pPr>
      <w:r w:rsidRPr="00002494">
        <w:t xml:space="preserve">Subsequent to the test year, </w:t>
      </w:r>
      <w:r w:rsidR="00B44ED0">
        <w:t>Sunrise</w:t>
      </w:r>
      <w:r w:rsidRPr="00002494">
        <w:t xml:space="preserve"> made several changes in its contractual service providers that will affect the contractual service expenses going forward. The changes are intended to address concerns raised by </w:t>
      </w:r>
      <w:r w:rsidR="00B44ED0">
        <w:t>this Commission</w:t>
      </w:r>
      <w:r w:rsidRPr="00002494">
        <w:t xml:space="preserve"> and the Utility’s customers, and improve </w:t>
      </w:r>
      <w:r w:rsidR="00B44ED0">
        <w:t>Sunrise</w:t>
      </w:r>
      <w:r w:rsidRPr="00002494">
        <w:t xml:space="preserve">’s operations going forward. </w:t>
      </w:r>
      <w:r w:rsidR="00B44ED0">
        <w:t xml:space="preserve">We </w:t>
      </w:r>
      <w:r w:rsidRPr="00002494">
        <w:t xml:space="preserve">believe these changes will be beneficial to both the Utility and its customers. Accordingly, </w:t>
      </w:r>
      <w:r w:rsidR="00B44ED0">
        <w:t>we find</w:t>
      </w:r>
      <w:r w:rsidRPr="00002494">
        <w:t xml:space="preserve"> it appropriate to make some pro forma adjustments to reflect those changes. Due to the level of changes made, </w:t>
      </w:r>
      <w:r w:rsidR="00B44ED0">
        <w:t>we find</w:t>
      </w:r>
      <w:r w:rsidRPr="00002494">
        <w:t xml:space="preserve"> it will be helpful to provide an overview of the changes between the test year and current year’s contractual service providers. </w:t>
      </w:r>
      <w:r w:rsidR="00E73CE2">
        <w:t>We</w:t>
      </w:r>
      <w:r w:rsidRPr="00002494">
        <w:t xml:space="preserve"> note that </w:t>
      </w:r>
      <w:r w:rsidR="00B44ED0">
        <w:t>Sunrise</w:t>
      </w:r>
      <w:r w:rsidRPr="00002494">
        <w:t xml:space="preserve"> does not have written contracts for any of the current contractual service providers.</w:t>
      </w:r>
    </w:p>
    <w:p w:rsidR="00B44ED0" w:rsidRPr="00002494" w:rsidRDefault="00B44ED0" w:rsidP="00B44ED0">
      <w:pPr>
        <w:ind w:firstLine="720"/>
        <w:jc w:val="both"/>
      </w:pPr>
    </w:p>
    <w:p w:rsidR="00002494" w:rsidRPr="00002494" w:rsidRDefault="00002494" w:rsidP="00B44ED0">
      <w:pPr>
        <w:ind w:firstLine="720"/>
        <w:jc w:val="both"/>
      </w:pPr>
      <w:r w:rsidRPr="00002494">
        <w:t>As background information,</w:t>
      </w:r>
      <w:r w:rsidR="00B44ED0">
        <w:t xml:space="preserve"> Sunrise</w:t>
      </w:r>
      <w:r w:rsidRPr="00002494">
        <w:t xml:space="preserve"> began the test year with four part-time contractual </w:t>
      </w:r>
      <w:r w:rsidR="00B44ED0">
        <w:t>s</w:t>
      </w:r>
      <w:r w:rsidRPr="00002494">
        <w:t xml:space="preserve">ervice providers; an office manager, management assistant, billing assistant, and plant operator. The contractual office manager and plant operator services also included on-call work for emergency purposes. The first office manager left abruptly in the middle of the test year, causing the management assistant to immediately assume the office manager’s duties, in addition to continuing the management assistant duties. Due to cash flow shortages, </w:t>
      </w:r>
      <w:r w:rsidR="00B44ED0">
        <w:t>Sunrise</w:t>
      </w:r>
      <w:r w:rsidRPr="00002494">
        <w:t xml:space="preserve"> did not replace the management assistant, and only requested assistance from the billing assistant a few times during the test year. Consequently, </w:t>
      </w:r>
      <w:r w:rsidR="00B44ED0">
        <w:t>Sunrise</w:t>
      </w:r>
      <w:r w:rsidRPr="00002494">
        <w:t xml:space="preserve"> only operated with an office manager and plant operator for part of the test year and much of 2015. It appears that the abrupt management changes during the test year and limited staffing may have contributed to many of the billing and service issues raised by the Utility’s customers.</w:t>
      </w:r>
    </w:p>
    <w:p w:rsidR="00B44ED0" w:rsidRDefault="00B44ED0" w:rsidP="00526BF4">
      <w:pPr>
        <w:jc w:val="both"/>
      </w:pPr>
    </w:p>
    <w:p w:rsidR="00002494" w:rsidRDefault="00002494" w:rsidP="00B44ED0">
      <w:pPr>
        <w:ind w:firstLine="720"/>
        <w:jc w:val="both"/>
      </w:pPr>
      <w:r w:rsidRPr="00002494">
        <w:t xml:space="preserve">In September 2015, the second office manager discontinued working for </w:t>
      </w:r>
      <w:r w:rsidR="00B44ED0">
        <w:t>both Sunrise and Alturas</w:t>
      </w:r>
      <w:r w:rsidRPr="00002494">
        <w:t>. The Utilit</w:t>
      </w:r>
      <w:r w:rsidR="00B44ED0">
        <w:t>ies</w:t>
      </w:r>
      <w:r w:rsidRPr="00002494">
        <w:t xml:space="preserve"> subsequently hired three additional contractual service providers; an accountant, a Utility service technician, and the former billing assistant. </w:t>
      </w:r>
      <w:r w:rsidR="00B44ED0">
        <w:t>Sunrise</w:t>
      </w:r>
      <w:r w:rsidRPr="00002494">
        <w:t xml:space="preserve"> expanded the duties of the new contractual service providers to cover more utility functions than were covered by the previous workers. The expanded duties and specific skills of the new contractual service providers are expected to improve the Utilit</w:t>
      </w:r>
      <w:r w:rsidR="00B44ED0">
        <w:t>ies</w:t>
      </w:r>
      <w:r w:rsidRPr="00002494">
        <w:t>’ operations and customer service.</w:t>
      </w:r>
    </w:p>
    <w:p w:rsidR="00B44ED0" w:rsidRPr="00002494" w:rsidRDefault="00B44ED0" w:rsidP="00B44ED0">
      <w:pPr>
        <w:ind w:firstLine="720"/>
        <w:jc w:val="both"/>
      </w:pPr>
    </w:p>
    <w:p w:rsidR="00002494" w:rsidRPr="00002494" w:rsidRDefault="00002494" w:rsidP="00B44ED0">
      <w:pPr>
        <w:ind w:firstLine="720"/>
        <w:jc w:val="both"/>
      </w:pPr>
      <w:r w:rsidRPr="00002494">
        <w:t xml:space="preserve">In order to reduce overhead costs, </w:t>
      </w:r>
      <w:r w:rsidR="00B44ED0">
        <w:t>neither Sunrise nor Alturas</w:t>
      </w:r>
      <w:r w:rsidRPr="00002494">
        <w:t xml:space="preserve"> established a physical office in the service area. Previously, the only option for customers </w:t>
      </w:r>
      <w:r w:rsidR="00830403">
        <w:t xml:space="preserve">of the Utilities </w:t>
      </w:r>
      <w:r w:rsidRPr="00002494">
        <w:t>who wanted to pay their bill in person was to go to the office manager’s house to drop off the payment or arrange for the office manager to pick up the payment at their house. The recently hired contractual accountant has an office near the service area and has agreed to accept customer payments at that location in order to help address this concern. The contractual accountant now serves as the office manage</w:t>
      </w:r>
      <w:r w:rsidR="00830403">
        <w:t>r and bookkeeper for the Utilities</w:t>
      </w:r>
      <w:r w:rsidRPr="00002494">
        <w:t>. The contractual accountant’s services include: updating and maintaining the Utilit</w:t>
      </w:r>
      <w:r w:rsidR="00830403">
        <w:t>ies</w:t>
      </w:r>
      <w:r w:rsidRPr="00002494">
        <w:t xml:space="preserve">’ books and records; preparing and issuing monthly bills; preparing the monthly billing detail reports; collecting customer payments and deposits; providing a location where customers may mail or drop-off payments; providing a utility drop-box where customers may drop off payments during non-business hours; checking for payments daily during the work week; transmitting customer payments electronically to the bank on a daily basis when received during the work week; reviewing payment records and assisting with service disconnections due to non-payment; accepting customer calls regarding </w:t>
      </w:r>
      <w:r w:rsidRPr="00002494">
        <w:lastRenderedPageBreak/>
        <w:t>billing questions; handling customer complaints regarding billing issues; and assisting with preparing the financial information for the Utilit</w:t>
      </w:r>
      <w:r w:rsidR="00830403">
        <w:t>ies</w:t>
      </w:r>
      <w:r w:rsidRPr="00002494">
        <w:t>’ annual report. The accountant’s contractual fees will be discussed under the Contractual Services – Professional (631) section below.</w:t>
      </w:r>
    </w:p>
    <w:p w:rsidR="00830403" w:rsidRDefault="00830403" w:rsidP="00526BF4">
      <w:pPr>
        <w:jc w:val="both"/>
      </w:pPr>
    </w:p>
    <w:p w:rsidR="00002494" w:rsidRPr="00002494" w:rsidRDefault="00002494" w:rsidP="00830403">
      <w:pPr>
        <w:ind w:firstLine="720"/>
        <w:jc w:val="both"/>
      </w:pPr>
      <w:r w:rsidRPr="00002494">
        <w:t>The contractual utility service technician’s duties include assisting with general system repairs, customer service repairs, new customer connections, service disconnections, monthly meter reading, mowing, answering the Utilit</w:t>
      </w:r>
      <w:r w:rsidR="00830403">
        <w:t>ies</w:t>
      </w:r>
      <w:r w:rsidRPr="00002494">
        <w:t>’ emergency cell phone, and being on-call 24 hours a day, 7 days a week. The utility service technician’s meter reading fees will be discussed in Contractual Services – Billing (630), and the fees for the remaining duties will be discussed in the Contractual Services – Other (636).</w:t>
      </w:r>
    </w:p>
    <w:p w:rsidR="00830403" w:rsidRDefault="00830403" w:rsidP="00526BF4">
      <w:pPr>
        <w:jc w:val="both"/>
      </w:pPr>
    </w:p>
    <w:p w:rsidR="00002494" w:rsidRDefault="00002494" w:rsidP="00830403">
      <w:pPr>
        <w:ind w:firstLine="720"/>
        <w:jc w:val="both"/>
      </w:pPr>
      <w:r w:rsidRPr="00002494">
        <w:t xml:space="preserve">During the test year, </w:t>
      </w:r>
      <w:r w:rsidR="00830403">
        <w:t>Sunrise and Alturas</w:t>
      </w:r>
      <w:r w:rsidRPr="00002494">
        <w:t xml:space="preserve"> hired a contractual billing assistant to analyze the monthly accounts receivable and assist the office manager with collection of past due accounts for both Sunrise and Alturas. Due to </w:t>
      </w:r>
      <w:r w:rsidR="00830403">
        <w:t>cash flow shortages, the Utilities</w:t>
      </w:r>
      <w:r w:rsidRPr="00002494">
        <w:t xml:space="preserve"> only requested service from the billing assistant during part of the test year. In September 2015, the Utilit</w:t>
      </w:r>
      <w:r w:rsidR="00830403">
        <w:t>ies</w:t>
      </w:r>
      <w:r w:rsidRPr="00002494">
        <w:t xml:space="preserve"> re-hired the contractual billing assistant with expanded duties. The billing assistant’s current duties include: answering the Utilit</w:t>
      </w:r>
      <w:r w:rsidR="00830403">
        <w:t>ies</w:t>
      </w:r>
      <w:r w:rsidRPr="00002494">
        <w:t>’ main phone number; assisting with customer complaints; assisting with reviewing and correcting the Utilit</w:t>
      </w:r>
      <w:r w:rsidR="00830403">
        <w:t>ies</w:t>
      </w:r>
      <w:r w:rsidRPr="00002494">
        <w:t>’ customer deposit records; assisting with researching customer records as needed; analyzing the monthly accounts receivable; and assisting with collection of past due accounts. The billing assistant’s fees will be discussed in the Contractual Services – Billing (630) section below.</w:t>
      </w:r>
    </w:p>
    <w:p w:rsidR="00830403" w:rsidRPr="00002494" w:rsidRDefault="00830403" w:rsidP="00830403">
      <w:pPr>
        <w:ind w:firstLine="720"/>
        <w:jc w:val="both"/>
      </w:pPr>
    </w:p>
    <w:p w:rsidR="00002494" w:rsidRPr="007650B2" w:rsidRDefault="00002494" w:rsidP="007650B2">
      <w:pPr>
        <w:ind w:left="720" w:firstLine="720"/>
        <w:jc w:val="both"/>
        <w:outlineLvl w:val="3"/>
        <w:rPr>
          <w:bCs/>
          <w:iCs/>
          <w:szCs w:val="28"/>
        </w:rPr>
      </w:pPr>
      <w:r w:rsidRPr="007650B2">
        <w:rPr>
          <w:bCs/>
          <w:iCs/>
          <w:szCs w:val="28"/>
        </w:rPr>
        <w:t>Contractual Services - Billing (630)</w:t>
      </w:r>
    </w:p>
    <w:p w:rsidR="00830403" w:rsidRDefault="00830403" w:rsidP="00526BF4">
      <w:pPr>
        <w:jc w:val="both"/>
      </w:pPr>
    </w:p>
    <w:p w:rsidR="00002494" w:rsidRDefault="00830403" w:rsidP="00830403">
      <w:pPr>
        <w:ind w:firstLine="720"/>
        <w:jc w:val="both"/>
      </w:pPr>
      <w:r>
        <w:t>Sunrise</w:t>
      </w:r>
      <w:r w:rsidR="00002494" w:rsidRPr="00002494">
        <w:t xml:space="preserve">’s Expense Summary reflects $9,802 in this account for meter reading provided by the former office manager and bill collection services provided by the billing assistant. In September 2015, </w:t>
      </w:r>
      <w:r>
        <w:t>Sunrise</w:t>
      </w:r>
      <w:r w:rsidR="00002494" w:rsidRPr="00002494">
        <w:t xml:space="preserve"> hired a contractual utility service technician to begin providing the monthly meter reading services. The utility service technician’s contractual fee for meter reading is $250 per month or $3,000 per year, representing an annual increase of $60 over the test year fees of $2,940. </w:t>
      </w:r>
      <w:r>
        <w:t>We find</w:t>
      </w:r>
      <w:r w:rsidR="00002494" w:rsidRPr="00002494">
        <w:t xml:space="preserve"> the new meter reading fee is reasonable, and </w:t>
      </w:r>
      <w:r>
        <w:t xml:space="preserve">that it is </w:t>
      </w:r>
      <w:r w:rsidR="00002494" w:rsidRPr="00002494">
        <w:t>appropriate to include a pro forma adjustment to reflect the $60 increase going forward.</w:t>
      </w:r>
    </w:p>
    <w:p w:rsidR="00830403" w:rsidRPr="00002494" w:rsidRDefault="00830403" w:rsidP="00830403">
      <w:pPr>
        <w:ind w:firstLine="720"/>
        <w:jc w:val="both"/>
      </w:pPr>
    </w:p>
    <w:p w:rsidR="00002494" w:rsidRDefault="00002494" w:rsidP="00830403">
      <w:pPr>
        <w:ind w:firstLine="720"/>
        <w:jc w:val="both"/>
      </w:pPr>
      <w:r w:rsidRPr="00002494">
        <w:t xml:space="preserve">During the test year, </w:t>
      </w:r>
      <w:r w:rsidR="00830403">
        <w:t>Sunrise</w:t>
      </w:r>
      <w:r w:rsidRPr="00002494">
        <w:t xml:space="preserve"> hired a contractual billing assistant to review the monthly accounts receivable and assist with the collection of past due accounts for both Sunrise and Alturas at a monthly fee of $400, for an annual total of $4,800. However, </w:t>
      </w:r>
      <w:r w:rsidR="00830403">
        <w:t>Sunrise</w:t>
      </w:r>
      <w:r w:rsidRPr="00002494">
        <w:t xml:space="preserve"> only incurred $2,100 of the contracted $4,800 fees for Sunrise and Alturas combined. </w:t>
      </w:r>
      <w:r w:rsidR="00830403">
        <w:t>Sunrise</w:t>
      </w:r>
      <w:r w:rsidRPr="00002494">
        <w:t xml:space="preserve"> indicated that it had only requested billing assistance from this vendor for part of the test year due to cash flow shortages.</w:t>
      </w:r>
    </w:p>
    <w:p w:rsidR="00830403" w:rsidRPr="00002494" w:rsidRDefault="00830403" w:rsidP="00830403">
      <w:pPr>
        <w:ind w:firstLine="720"/>
        <w:jc w:val="both"/>
      </w:pPr>
    </w:p>
    <w:p w:rsidR="00830403" w:rsidRDefault="00002494" w:rsidP="00830403">
      <w:pPr>
        <w:ind w:firstLine="720"/>
        <w:jc w:val="both"/>
      </w:pPr>
      <w:r w:rsidRPr="00002494">
        <w:t xml:space="preserve">As discussed above, in September 2015, </w:t>
      </w:r>
      <w:r w:rsidR="00830403">
        <w:t>Sunrise</w:t>
      </w:r>
      <w:r w:rsidRPr="00002494">
        <w:t xml:space="preserve"> re-hired the contractual billing assistant and indicated that the previous duties would be expanded to include answering the Utility’s main phone number, assisting with customer complaints, and assisting with reviewing and correcting the Utility’s customer deposit records. The new contractual fee is still $400 per month, which covers approximately 40 hours of work per month at $10 per hour, for an annual total of $4,800 for Sunrise and Alturas combined. </w:t>
      </w:r>
      <w:r w:rsidR="00830403">
        <w:t>Sunrise</w:t>
      </w:r>
      <w:r w:rsidRPr="00002494">
        <w:t xml:space="preserve"> has not fully supported its request for the increase in </w:t>
      </w:r>
      <w:r w:rsidRPr="00002494">
        <w:lastRenderedPageBreak/>
        <w:t>this expense over the audited test year expense</w:t>
      </w:r>
      <w:r w:rsidR="00830403">
        <w:t>; h</w:t>
      </w:r>
      <w:r w:rsidRPr="00002494">
        <w:t xml:space="preserve">owever, </w:t>
      </w:r>
      <w:r w:rsidR="00830403">
        <w:t xml:space="preserve">our </w:t>
      </w:r>
      <w:r w:rsidRPr="00002494">
        <w:t xml:space="preserve">staff confirmed that the billing assistant is currently working with the office manager to review delinquent accounts and address customer complaints. </w:t>
      </w:r>
      <w:r w:rsidR="00830403">
        <w:t>We find</w:t>
      </w:r>
      <w:r w:rsidRPr="00002494">
        <w:t xml:space="preserve"> it will be beneficial to both the Utility and its customers to have a billing assistant available on a regular basis to assist customers with service complaints. </w:t>
      </w:r>
      <w:r w:rsidR="00830403">
        <w:t>We find that</w:t>
      </w:r>
      <w:r w:rsidRPr="00002494">
        <w:t xml:space="preserve"> the hourly rate of $10 is reasonable</w:t>
      </w:r>
      <w:r w:rsidR="00830403">
        <w:t xml:space="preserve">, and that </w:t>
      </w:r>
      <w:r w:rsidRPr="00002494">
        <w:t xml:space="preserve">the request for 40 hours of work per month is reasonable considering that the work will cover both Alturas and Sunrise. </w:t>
      </w:r>
    </w:p>
    <w:p w:rsidR="00830403" w:rsidRDefault="00830403" w:rsidP="00830403">
      <w:pPr>
        <w:ind w:firstLine="720"/>
        <w:jc w:val="both"/>
      </w:pPr>
    </w:p>
    <w:p w:rsidR="00002494" w:rsidRDefault="00002494" w:rsidP="00830403">
      <w:pPr>
        <w:ind w:firstLine="720"/>
        <w:jc w:val="both"/>
      </w:pPr>
      <w:r w:rsidRPr="00002494">
        <w:t xml:space="preserve">At the December 9, 2015, noticed informal meeting, OPC requested that the contractual worker expenses be reviewed to avoid any duplication of duties. Based on </w:t>
      </w:r>
      <w:r w:rsidR="00830403">
        <w:t>our</w:t>
      </w:r>
      <w:r w:rsidR="00C41C1D">
        <w:t xml:space="preserve"> review</w:t>
      </w:r>
      <w:r w:rsidRPr="00002494">
        <w:t xml:space="preserve">, it does not appear that there will be a duplication of duties between the billing assistant and office manager. </w:t>
      </w:r>
      <w:r w:rsidR="00830403">
        <w:t>We find</w:t>
      </w:r>
      <w:r w:rsidRPr="00002494">
        <w:t xml:space="preserve"> that the appropriate allocation of the contractual billing assistant’s expense to Sunrise is $3,744 ($4,800 x .78 = $3,744). </w:t>
      </w:r>
      <w:r w:rsidR="00830403">
        <w:t>We have</w:t>
      </w:r>
      <w:r w:rsidRPr="00002494">
        <w:t xml:space="preserve"> decreased this account by $3,118 to remove the unsupported expenses in this account and reflect a pro forma increase in the contractual billing services expense.</w:t>
      </w:r>
    </w:p>
    <w:p w:rsidR="00830403" w:rsidRPr="00002494" w:rsidRDefault="00830403" w:rsidP="00830403">
      <w:pPr>
        <w:ind w:firstLine="720"/>
        <w:jc w:val="both"/>
      </w:pPr>
    </w:p>
    <w:p w:rsidR="00002494" w:rsidRDefault="00830403" w:rsidP="00830403">
      <w:pPr>
        <w:ind w:firstLine="720"/>
        <w:jc w:val="both"/>
      </w:pPr>
      <w:r>
        <w:t xml:space="preserve">Our </w:t>
      </w:r>
      <w:r w:rsidR="00002494" w:rsidRPr="00002494">
        <w:t>net adjustment to this account is a decrease of $3,058 ($60 - $3,118 = -$3,058)</w:t>
      </w:r>
      <w:r>
        <w:t xml:space="preserve">, and </w:t>
      </w:r>
      <w:r w:rsidR="00C41C1D">
        <w:t xml:space="preserve">we </w:t>
      </w:r>
      <w:r>
        <w:t>find a</w:t>
      </w:r>
      <w:r w:rsidR="00002494" w:rsidRPr="00002494">
        <w:t xml:space="preserve"> contractual services – billing expense of $6,744.</w:t>
      </w:r>
    </w:p>
    <w:p w:rsidR="00830403" w:rsidRPr="00002494" w:rsidRDefault="00830403" w:rsidP="00830403">
      <w:pPr>
        <w:ind w:firstLine="720"/>
        <w:jc w:val="both"/>
      </w:pPr>
    </w:p>
    <w:p w:rsidR="00002494" w:rsidRPr="007650B2" w:rsidRDefault="00002494" w:rsidP="007650B2">
      <w:pPr>
        <w:ind w:left="720" w:firstLine="720"/>
        <w:jc w:val="both"/>
        <w:outlineLvl w:val="3"/>
        <w:rPr>
          <w:bCs/>
          <w:iCs/>
          <w:szCs w:val="28"/>
        </w:rPr>
      </w:pPr>
      <w:r w:rsidRPr="007650B2">
        <w:rPr>
          <w:bCs/>
          <w:iCs/>
          <w:szCs w:val="28"/>
        </w:rPr>
        <w:t>Contractual Services - Professional (631)</w:t>
      </w:r>
    </w:p>
    <w:p w:rsidR="00830403" w:rsidRDefault="00830403" w:rsidP="00526BF4">
      <w:pPr>
        <w:jc w:val="both"/>
      </w:pPr>
    </w:p>
    <w:p w:rsidR="00002494" w:rsidRDefault="00830403" w:rsidP="00830403">
      <w:pPr>
        <w:ind w:firstLine="720"/>
        <w:jc w:val="both"/>
      </w:pPr>
      <w:r>
        <w:t>Sunrise</w:t>
      </w:r>
      <w:r w:rsidR="00002494" w:rsidRPr="00002494">
        <w:t>’s Expense Summary reflects $400 in this account for preparation of the Utility’s Annual Report and Federal Tax Return by its CPA.</w:t>
      </w:r>
      <w:r>
        <w:t xml:space="preserve"> We have</w:t>
      </w:r>
      <w:r w:rsidR="00002494" w:rsidRPr="00002494">
        <w:t xml:space="preserve"> verified that this amount is appropriate for the test year, and that no adjustments are necessary.</w:t>
      </w:r>
    </w:p>
    <w:p w:rsidR="00830403" w:rsidRPr="00002494" w:rsidRDefault="00830403" w:rsidP="00830403">
      <w:pPr>
        <w:ind w:firstLine="720"/>
        <w:jc w:val="both"/>
      </w:pPr>
    </w:p>
    <w:p w:rsidR="00002494" w:rsidRDefault="00002494" w:rsidP="00830403">
      <w:pPr>
        <w:ind w:firstLine="720"/>
        <w:jc w:val="both"/>
      </w:pPr>
      <w:r w:rsidRPr="00002494">
        <w:t xml:space="preserve">As discussed </w:t>
      </w:r>
      <w:r w:rsidR="00830403">
        <w:t>in the Rate Base section of this Order</w:t>
      </w:r>
      <w:r w:rsidRPr="00002494">
        <w:t xml:space="preserve">, Rule 25-30.115, F.A.C., requires that water and wastewater utilities maintain their accounts and records in conformity with the 1996 NARUC USOA. </w:t>
      </w:r>
      <w:r w:rsidR="00830403">
        <w:t>Our a</w:t>
      </w:r>
      <w:r w:rsidRPr="00002494">
        <w:t xml:space="preserve">udit staff determined that </w:t>
      </w:r>
      <w:r w:rsidR="00830403">
        <w:t>Sunrise</w:t>
      </w:r>
      <w:r w:rsidRPr="00002494">
        <w:t xml:space="preserve"> was not maintaining its books and records on a monthly basis as required. During the test year, </w:t>
      </w:r>
      <w:r w:rsidR="00830403">
        <w:t>Sunrise</w:t>
      </w:r>
      <w:r w:rsidRPr="00002494">
        <w:t xml:space="preserve"> did not have any employees or contractual service providers specifically hired to work on</w:t>
      </w:r>
      <w:r w:rsidR="00843544">
        <w:t xml:space="preserve"> Sunrise</w:t>
      </w:r>
      <w:r w:rsidRPr="00002494">
        <w:t xml:space="preserve">’s day-to-day bookkeeping operations. Therefore, in the </w:t>
      </w:r>
      <w:r w:rsidR="00843544">
        <w:t xml:space="preserve">Commission’s </w:t>
      </w:r>
      <w:r w:rsidRPr="00002494">
        <w:t>Staff Report</w:t>
      </w:r>
      <w:r w:rsidR="00843544">
        <w:t xml:space="preserve"> issued May 1, 2015</w:t>
      </w:r>
      <w:r w:rsidRPr="00002494">
        <w:t xml:space="preserve">, </w:t>
      </w:r>
      <w:r w:rsidR="00843544">
        <w:t xml:space="preserve">our </w:t>
      </w:r>
      <w:r w:rsidRPr="00002494">
        <w:t xml:space="preserve">staff recommended a pro forma adjustment to include an allowance for contractual bookkeeping expense to assist the Utility in meeting the rule requirement going forward. </w:t>
      </w:r>
    </w:p>
    <w:p w:rsidR="00843544" w:rsidRPr="00002494" w:rsidRDefault="00843544" w:rsidP="00830403">
      <w:pPr>
        <w:ind w:firstLine="720"/>
        <w:jc w:val="both"/>
      </w:pPr>
    </w:p>
    <w:p w:rsidR="00002494" w:rsidRDefault="00002494" w:rsidP="00843544">
      <w:pPr>
        <w:ind w:firstLine="720"/>
        <w:jc w:val="both"/>
      </w:pPr>
      <w:r w:rsidRPr="00002494">
        <w:t xml:space="preserve">Subsequently, in September 2015, </w:t>
      </w:r>
      <w:r w:rsidR="00843544">
        <w:t>Sunrise and Alturas</w:t>
      </w:r>
      <w:r w:rsidRPr="00002494">
        <w:t xml:space="preserve"> hired a contractual accountant to handle the Utilit</w:t>
      </w:r>
      <w:r w:rsidR="00843544">
        <w:t>ies</w:t>
      </w:r>
      <w:r w:rsidRPr="00002494">
        <w:t xml:space="preserve">’ bookkeeping, billing, payment collections, billing inquiries, and billing complaints. As of the end of January 2016, </w:t>
      </w:r>
      <w:r w:rsidR="00843544">
        <w:t>Sunrise</w:t>
      </w:r>
      <w:r w:rsidRPr="00002494">
        <w:t xml:space="preserve"> had not yet begun providing any accounting records to the accountant to begin maintaining the Utility’s books and records. Due to the severe accounting deficiencies and </w:t>
      </w:r>
      <w:r w:rsidR="00843544">
        <w:t>Sunrise</w:t>
      </w:r>
      <w:r w:rsidRPr="00002494">
        <w:t xml:space="preserve">’s difficulty in complying with both </w:t>
      </w:r>
      <w:r w:rsidR="00843544">
        <w:t xml:space="preserve">our </w:t>
      </w:r>
      <w:r w:rsidRPr="00002494">
        <w:t xml:space="preserve">audit and technical staffs’ requests for accounting supporting documentation during this case, </w:t>
      </w:r>
      <w:r w:rsidR="00843544">
        <w:t>we find</w:t>
      </w:r>
      <w:r w:rsidRPr="00002494">
        <w:t xml:space="preserve"> it will be beneficial to </w:t>
      </w:r>
      <w:r w:rsidR="00843544">
        <w:t>Sunrise</w:t>
      </w:r>
      <w:r w:rsidRPr="00002494">
        <w:t xml:space="preserve"> and its customers for </w:t>
      </w:r>
      <w:r w:rsidR="00843544">
        <w:t>Sunrise</w:t>
      </w:r>
      <w:r w:rsidRPr="00002494">
        <w:t xml:space="preserve"> to allow a trained accountant to handle the Utility’s day-to-day bookkeeping activities. Further, </w:t>
      </w:r>
      <w:r w:rsidR="00843544">
        <w:t>we find</w:t>
      </w:r>
      <w:r w:rsidRPr="00002494">
        <w:t xml:space="preserve"> that properly maintained accounting records may help </w:t>
      </w:r>
      <w:r w:rsidR="00843544">
        <w:t xml:space="preserve">Sunrise </w:t>
      </w:r>
      <w:r w:rsidRPr="00002494">
        <w:t xml:space="preserve">to better monitor and manage its cash flow. Therefore, despite </w:t>
      </w:r>
      <w:r w:rsidR="00843544">
        <w:t>Sunrise</w:t>
      </w:r>
      <w:r w:rsidRPr="00002494">
        <w:t xml:space="preserve">’s delay in implementing this process, </w:t>
      </w:r>
      <w:r w:rsidR="00843544">
        <w:t>we find</w:t>
      </w:r>
      <w:r w:rsidRPr="00002494">
        <w:t xml:space="preserve"> it appropriate to make a pro forma adjustment to recognize the contractual bookkeeping expense going forward.</w:t>
      </w:r>
    </w:p>
    <w:p w:rsidR="00843544" w:rsidRPr="00002494" w:rsidRDefault="00843544" w:rsidP="00843544">
      <w:pPr>
        <w:ind w:firstLine="720"/>
        <w:jc w:val="both"/>
      </w:pPr>
    </w:p>
    <w:p w:rsidR="00002494" w:rsidRDefault="00C41C1D" w:rsidP="00843544">
      <w:pPr>
        <w:ind w:firstLine="720"/>
        <w:jc w:val="both"/>
      </w:pPr>
      <w:r>
        <w:lastRenderedPageBreak/>
        <w:t xml:space="preserve">By </w:t>
      </w:r>
      <w:r w:rsidR="00002494" w:rsidRPr="00002494">
        <w:t xml:space="preserve">letter dated January 15, 2016, the contractual accountant estimated that the initial set-up fee for Sunrise will be $250, for setting up the Utility’s books and bringing forward the beginning balances. After the set-up is complete, the monthly fee will be $135 per month, which equals $1,620 per year. Because the initial set-up fee is non-recurring in nature, </w:t>
      </w:r>
      <w:r w:rsidR="00843544">
        <w:t>we find</w:t>
      </w:r>
      <w:r w:rsidR="00002494" w:rsidRPr="00002494">
        <w:t xml:space="preserve"> it would be appropriate to amortize that portion of the bookkeeping expense over a five-year period, resulting in an annual expense of $50 ($250 / 5 = $50). Therefore, </w:t>
      </w:r>
      <w:r w:rsidR="00843544">
        <w:t xml:space="preserve">we have </w:t>
      </w:r>
      <w:r w:rsidR="00002494" w:rsidRPr="00002494">
        <w:t>increased this account by $1,670 to reflect the pro forma increase for the recurring annual bookkeeping fees of $1,620 and the non-recurring fees of $50.</w:t>
      </w:r>
    </w:p>
    <w:p w:rsidR="00843544" w:rsidRPr="00002494" w:rsidRDefault="00843544" w:rsidP="00843544">
      <w:pPr>
        <w:ind w:firstLine="720"/>
        <w:jc w:val="both"/>
      </w:pPr>
    </w:p>
    <w:p w:rsidR="00002494" w:rsidRPr="00002494" w:rsidRDefault="00002494" w:rsidP="00843544">
      <w:pPr>
        <w:ind w:firstLine="720"/>
        <w:jc w:val="both"/>
      </w:pPr>
      <w:r w:rsidRPr="00002494">
        <w:t xml:space="preserve">In addition, </w:t>
      </w:r>
      <w:r w:rsidR="00843544">
        <w:t>Sunrise</w:t>
      </w:r>
      <w:r w:rsidRPr="00002494">
        <w:t xml:space="preserve"> requested recovery of $4,577 in outstanding legal fees related to Sunrise’s defense in a 2013 law suit filed by the Utility’s former contract operator, Blount Utilities, Inc. (Blount), for outstanding payments that occurred prior to the test year. The outstanding legal fees were due in full before the end of 2015. On July 22, 2014, a Judgment was issued against Sunrise for $2,926 by the Tenth Judicial Circuit Court in favor of Blount for the uncontested outstanding balance owed for contractual services performed by Blount prior to the test year. The parties subsequently reached a settlement agreement regarding a payment plan for the balance owed, and payments of $271 per month started on August 2014, which are to continue until the balance is extinguished. The outstanding payable balance to Blount was approximately $2,440 as of December 31, 2014, the end of the test year.</w:t>
      </w:r>
    </w:p>
    <w:p w:rsidR="00843544" w:rsidRDefault="00843544" w:rsidP="00526BF4">
      <w:pPr>
        <w:jc w:val="both"/>
      </w:pPr>
    </w:p>
    <w:p w:rsidR="00002494" w:rsidRDefault="00002494" w:rsidP="00843544">
      <w:pPr>
        <w:ind w:firstLine="720"/>
        <w:jc w:val="both"/>
      </w:pPr>
      <w:r w:rsidRPr="00002494">
        <w:t xml:space="preserve">In order to determine if it is appropriate to allow recovery of utility litigation costs from the ratepayers, </w:t>
      </w:r>
      <w:r w:rsidR="00843544">
        <w:t>we</w:t>
      </w:r>
      <w:r w:rsidRPr="00002494">
        <w:t xml:space="preserve"> generally consider whether the litigation resulted in a benefit to the customers, whether the customers gained a benefit that would not have occurred absent the litigation process, and the materiality of the litigation costs. For example, if a utility engaged in legal action to oppose government required plant improvements that it deemed to be unnecessary and won the law suit, the customers would receive the direct benefit of a lower rate base and thus lower rates. In the instant case, </w:t>
      </w:r>
      <w:r w:rsidR="00843544">
        <w:t>we do not find</w:t>
      </w:r>
      <w:r w:rsidRPr="00002494">
        <w:t xml:space="preserve"> the litigation resulted in any direct benefit to the customers. The litigation was the result of one of the Utility’s former managers not paying the plant operator in a timely manner for services rendered. </w:t>
      </w:r>
      <w:r w:rsidR="00843544">
        <w:t>Sunrise</w:t>
      </w:r>
      <w:r w:rsidRPr="00002494">
        <w:t xml:space="preserve"> was successful in receiving a lower interest rate as a result of the litigation. However, since </w:t>
      </w:r>
      <w:r w:rsidR="00843544">
        <w:t>our</w:t>
      </w:r>
      <w:r w:rsidRPr="00002494">
        <w:t xml:space="preserve"> practice is to disallow recovery of late payment fees or interest charges resulting from untimely payments, the reduced interest rate is a direct benefit to the stockholders/owners rather than the customers. In addition, the interest savings is not sufficient to offset the litigation costs. Consequently, the legal action only served to increase the Utility’s expenses rather than reduce them to the benefit of the customers. </w:t>
      </w:r>
      <w:r w:rsidR="00843544">
        <w:t>Therefore</w:t>
      </w:r>
      <w:r w:rsidRPr="00002494">
        <w:t xml:space="preserve">, </w:t>
      </w:r>
      <w:r w:rsidR="00843544">
        <w:t>we do not find</w:t>
      </w:r>
      <w:r w:rsidRPr="00002494">
        <w:t xml:space="preserve"> it appropriate to require the customers to pay the litigation costs.</w:t>
      </w:r>
    </w:p>
    <w:p w:rsidR="00843544" w:rsidRPr="00002494" w:rsidRDefault="00843544" w:rsidP="00843544">
      <w:pPr>
        <w:ind w:firstLine="720"/>
        <w:jc w:val="both"/>
      </w:pPr>
    </w:p>
    <w:p w:rsidR="00002494" w:rsidRPr="00002494" w:rsidRDefault="00C41C1D" w:rsidP="00843544">
      <w:pPr>
        <w:ind w:firstLine="720"/>
        <w:jc w:val="both"/>
      </w:pPr>
      <w:r>
        <w:t xml:space="preserve">We </w:t>
      </w:r>
      <w:r w:rsidR="00002494" w:rsidRPr="00002494">
        <w:t xml:space="preserve">reviewed </w:t>
      </w:r>
      <w:r w:rsidR="00843544">
        <w:t>Sunrise</w:t>
      </w:r>
      <w:r w:rsidR="00002494" w:rsidRPr="00002494">
        <w:t xml:space="preserve">’s last SARC and recent Annual Reports to determine if </w:t>
      </w:r>
      <w:r w:rsidR="00843544">
        <w:t>Sunrise</w:t>
      </w:r>
      <w:r w:rsidR="00002494" w:rsidRPr="00002494">
        <w:t xml:space="preserve"> incurred any other legal fees in recent years that would be more representative of routine, recurring legal services. Based on the information available, it appears that the Utility has not incurred any other legal fees in recent years. Also, </w:t>
      </w:r>
      <w:r w:rsidR="00843544">
        <w:t xml:space="preserve">our </w:t>
      </w:r>
      <w:r w:rsidR="00002494" w:rsidRPr="00002494">
        <w:t xml:space="preserve">staff requested supporting documentation for any legal fees incurred by </w:t>
      </w:r>
      <w:r w:rsidR="00843544">
        <w:t>Sunrise</w:t>
      </w:r>
      <w:r w:rsidR="00002494" w:rsidRPr="00002494">
        <w:t xml:space="preserve"> to correct the warranty</w:t>
      </w:r>
      <w:r w:rsidR="00843544">
        <w:t xml:space="preserve"> deed error discussed in the Rate Base section above</w:t>
      </w:r>
      <w:r w:rsidR="00002494" w:rsidRPr="00002494">
        <w:t xml:space="preserve">. As of the </w:t>
      </w:r>
      <w:r w:rsidR="00843544">
        <w:t>date of this Order</w:t>
      </w:r>
      <w:r w:rsidR="00002494" w:rsidRPr="00002494">
        <w:t xml:space="preserve">, </w:t>
      </w:r>
      <w:r w:rsidR="00843544">
        <w:t>Sunrise</w:t>
      </w:r>
      <w:r w:rsidR="00002494" w:rsidRPr="00002494">
        <w:t xml:space="preserve"> has not provided that information. Consequently, </w:t>
      </w:r>
      <w:r w:rsidR="00843544">
        <w:t xml:space="preserve">we will not make an </w:t>
      </w:r>
      <w:r w:rsidR="00002494" w:rsidRPr="00002494">
        <w:t xml:space="preserve">allowance for annual legal fees at this time. </w:t>
      </w:r>
    </w:p>
    <w:p w:rsidR="00843544" w:rsidRDefault="00843544" w:rsidP="00526BF4">
      <w:pPr>
        <w:jc w:val="both"/>
      </w:pPr>
    </w:p>
    <w:p w:rsidR="00002494" w:rsidRDefault="00843544" w:rsidP="00843544">
      <w:pPr>
        <w:ind w:firstLine="720"/>
        <w:jc w:val="both"/>
      </w:pPr>
      <w:r>
        <w:lastRenderedPageBreak/>
        <w:t>Our</w:t>
      </w:r>
      <w:r w:rsidR="00002494" w:rsidRPr="00002494">
        <w:t xml:space="preserve"> total adjustment to this account is an increase of $1,670 to include the new contractual accountant’s bookkeeping services. Therefore, </w:t>
      </w:r>
      <w:r>
        <w:t xml:space="preserve">we find a </w:t>
      </w:r>
      <w:r w:rsidR="00002494" w:rsidRPr="00002494">
        <w:t>contractual services – professional expense of $2,070.</w:t>
      </w:r>
    </w:p>
    <w:p w:rsidR="00843544" w:rsidRPr="00002494" w:rsidRDefault="00843544" w:rsidP="00843544">
      <w:pPr>
        <w:ind w:firstLine="720"/>
        <w:jc w:val="both"/>
      </w:pPr>
    </w:p>
    <w:p w:rsidR="00002494" w:rsidRPr="007650B2" w:rsidRDefault="00002494" w:rsidP="007650B2">
      <w:pPr>
        <w:ind w:left="720" w:firstLine="720"/>
        <w:jc w:val="both"/>
        <w:outlineLvl w:val="3"/>
        <w:rPr>
          <w:bCs/>
          <w:iCs/>
          <w:szCs w:val="28"/>
        </w:rPr>
      </w:pPr>
      <w:r w:rsidRPr="007650B2">
        <w:rPr>
          <w:bCs/>
          <w:iCs/>
          <w:szCs w:val="28"/>
        </w:rPr>
        <w:t>Contractual Services – Testing (635)</w:t>
      </w:r>
    </w:p>
    <w:p w:rsidR="00843544" w:rsidRDefault="00843544" w:rsidP="00526BF4">
      <w:pPr>
        <w:jc w:val="both"/>
      </w:pPr>
    </w:p>
    <w:p w:rsidR="00002494" w:rsidRDefault="00843544" w:rsidP="00843544">
      <w:pPr>
        <w:ind w:firstLine="720"/>
        <w:jc w:val="both"/>
      </w:pPr>
      <w:r>
        <w:t>Sunrise</w:t>
      </w:r>
      <w:r w:rsidR="00002494" w:rsidRPr="00002494">
        <w:t xml:space="preserve">’s Expense Summary does not include this account. </w:t>
      </w:r>
      <w:r w:rsidR="00C41C1D">
        <w:t xml:space="preserve">We </w:t>
      </w:r>
      <w:r w:rsidR="00002494" w:rsidRPr="00002494">
        <w:t>determined th</w:t>
      </w:r>
      <w:r>
        <w:t>at Sunrise</w:t>
      </w:r>
      <w:r w:rsidR="00002494" w:rsidRPr="00002494">
        <w:t xml:space="preserve"> incurred $2,340 in testing expense for the test year. Accordingly, </w:t>
      </w:r>
      <w:r>
        <w:t xml:space="preserve">we have </w:t>
      </w:r>
      <w:r w:rsidR="00002494" w:rsidRPr="00002494">
        <w:t xml:space="preserve">increased this account by $2,340. </w:t>
      </w:r>
    </w:p>
    <w:p w:rsidR="00843544" w:rsidRPr="00002494" w:rsidRDefault="00843544" w:rsidP="00843544">
      <w:pPr>
        <w:ind w:firstLine="720"/>
        <w:jc w:val="both"/>
      </w:pPr>
    </w:p>
    <w:p w:rsidR="00002494" w:rsidRDefault="00002494" w:rsidP="00843544">
      <w:pPr>
        <w:ind w:firstLine="720"/>
        <w:jc w:val="both"/>
      </w:pPr>
      <w:r w:rsidRPr="00002494">
        <w:t xml:space="preserve">In addition, </w:t>
      </w:r>
      <w:r w:rsidR="00843544">
        <w:t>Sunrise</w:t>
      </w:r>
      <w:r w:rsidRPr="00002494">
        <w:t xml:space="preserve"> was required by the PCHD on behalf of the DEP to conduct triennial water tests by the end of 2015. </w:t>
      </w:r>
      <w:r w:rsidR="00843544">
        <w:t>Sunrise</w:t>
      </w:r>
      <w:r w:rsidRPr="00002494">
        <w:t xml:space="preserve"> provided invoices from the contract operator totaling $4,525 for the triennial tests. Therefore, </w:t>
      </w:r>
      <w:r w:rsidR="00843544">
        <w:t>we have</w:t>
      </w:r>
      <w:r w:rsidRPr="00002494">
        <w:t xml:space="preserve"> increased this account by $1,508 ($4,525 / 3 = $1,508) to include a pro forma adjustment to reflect the three-year amortization of the triennial water test costs. </w:t>
      </w:r>
    </w:p>
    <w:p w:rsidR="00843544" w:rsidRPr="00002494" w:rsidRDefault="00843544" w:rsidP="00843544">
      <w:pPr>
        <w:ind w:firstLine="720"/>
        <w:jc w:val="both"/>
      </w:pPr>
    </w:p>
    <w:p w:rsidR="00002494" w:rsidRDefault="00002494" w:rsidP="00843544">
      <w:pPr>
        <w:ind w:firstLine="720"/>
        <w:jc w:val="both"/>
      </w:pPr>
      <w:r w:rsidRPr="00002494">
        <w:t xml:space="preserve">Finally, </w:t>
      </w:r>
      <w:r w:rsidR="00843544">
        <w:t>Sunrise</w:t>
      </w:r>
      <w:r w:rsidRPr="00002494">
        <w:t xml:space="preserve"> requested a pro forma increase to cover $3,800 in testing expenses for additional </w:t>
      </w:r>
      <w:proofErr w:type="spellStart"/>
      <w:r w:rsidRPr="00002494">
        <w:t>trihalomethane</w:t>
      </w:r>
      <w:proofErr w:type="spellEnd"/>
      <w:r w:rsidRPr="00002494">
        <w:t xml:space="preserve"> (TTHM) and </w:t>
      </w:r>
      <w:proofErr w:type="spellStart"/>
      <w:r w:rsidRPr="00002494">
        <w:t>haloacetic</w:t>
      </w:r>
      <w:proofErr w:type="spellEnd"/>
      <w:r w:rsidRPr="00002494">
        <w:t xml:space="preserve"> acid (HAA5) testing required by the PCHD on a quarterly basis beginning in the last quarter of 2015 and continuing through the third quarter of 2016. The first quarter’s tests have been completed and it is anticipated that the second quarter’s test will be completed prior to implementat</w:t>
      </w:r>
      <w:r w:rsidR="00523DCE">
        <w:t>ion of any rates approved by this</w:t>
      </w:r>
      <w:r w:rsidRPr="00002494">
        <w:t xml:space="preserve"> Commission in this case. According to the operator’s invoices, the cost for the first quarter’s tests is $950 and the estimated cost for the remaining three quarters is $2,850, for a total of $3,800. </w:t>
      </w:r>
      <w:r w:rsidR="00523DCE">
        <w:t>Sunrise</w:t>
      </w:r>
      <w:r w:rsidRPr="00002494">
        <w:t xml:space="preserve">’s operator also provided documentation from the PCHD to support that the additional testing is required. The additional testing requirement was caused by the Utility exceeding the TTHM limit on one test, and therefore, is not part of </w:t>
      </w:r>
      <w:r w:rsidR="00523DCE">
        <w:t>Sunrise</w:t>
      </w:r>
      <w:r w:rsidRPr="00002494">
        <w:t xml:space="preserve">’s normally recurring tests. Rule 25-30.433(8), F.A.C., requires that non-recurring expenses be amortized over a five-year period unless a shorter or longer period of time can be justified. Amortizing the $3,800 testing expense, over a five-year period, results in an annual increase of $760 in </w:t>
      </w:r>
      <w:r w:rsidR="00523DCE">
        <w:t>Sunrise</w:t>
      </w:r>
      <w:r w:rsidRPr="00002494">
        <w:t xml:space="preserve">’s testing expense. Due to the serious nature of this testing requirement, </w:t>
      </w:r>
      <w:r w:rsidR="00523DCE">
        <w:t>we find the expense</w:t>
      </w:r>
      <w:r w:rsidRPr="00002494">
        <w:t xml:space="preserve"> warrants inclusion in this rate proceeding.</w:t>
      </w:r>
    </w:p>
    <w:p w:rsidR="00523DCE" w:rsidRPr="00002494" w:rsidRDefault="00523DCE" w:rsidP="00843544">
      <w:pPr>
        <w:ind w:firstLine="720"/>
        <w:jc w:val="both"/>
      </w:pPr>
    </w:p>
    <w:p w:rsidR="00523DCE" w:rsidRDefault="00002494" w:rsidP="00523DCE">
      <w:pPr>
        <w:ind w:firstLine="720"/>
        <w:jc w:val="both"/>
      </w:pPr>
      <w:r w:rsidRPr="00002494">
        <w:t xml:space="preserve">In accordance with </w:t>
      </w:r>
      <w:r w:rsidR="00523DCE">
        <w:t>our</w:t>
      </w:r>
      <w:r w:rsidRPr="00002494">
        <w:t xml:space="preserve"> practice, </w:t>
      </w:r>
      <w:r w:rsidR="00523DCE">
        <w:t xml:space="preserve">our </w:t>
      </w:r>
      <w:r w:rsidRPr="00002494">
        <w:t xml:space="preserve">staff calculated a Phase II revenue requirement for the pro forma testing that will not be completed until the second and third quarters of 2016 and determined that the Phase II revenue requirement would be only $438 or 0.56 percent above the Phase I revenue requirement. If all of the pro forma testing expense is included in Phase I, rate case expense can be reduced by a total of $182 or $46 per year over the four-year amortization period due to elimination of the additional customer noticing that would be required upon implementation of the Phase II rate increase. Although pro forma plant additions and expenses are often addressed using a phased approach, </w:t>
      </w:r>
      <w:r w:rsidR="00523DCE">
        <w:t xml:space="preserve">we find </w:t>
      </w:r>
      <w:r w:rsidRPr="00002494">
        <w:t xml:space="preserve">it appropriate to include the pro forma testing expenses in the initial revenue requirement in this case because of the minimal impact of the pro forma testing expense on the initial revenue requirement, as well as the additional benefit of reducing rate case expense. </w:t>
      </w:r>
    </w:p>
    <w:p w:rsidR="00523DCE" w:rsidRDefault="00523DCE" w:rsidP="00523DCE">
      <w:pPr>
        <w:ind w:firstLine="720"/>
        <w:jc w:val="both"/>
      </w:pPr>
    </w:p>
    <w:p w:rsidR="00523DCE" w:rsidRDefault="00523DCE">
      <w:r>
        <w:br w:type="page"/>
      </w:r>
    </w:p>
    <w:p w:rsidR="00002494" w:rsidRDefault="00002494" w:rsidP="00523DCE">
      <w:pPr>
        <w:ind w:firstLine="720"/>
        <w:jc w:val="both"/>
      </w:pPr>
      <w:r w:rsidRPr="00002494">
        <w:lastRenderedPageBreak/>
        <w:t xml:space="preserve">Therefore, </w:t>
      </w:r>
      <w:r w:rsidR="00523DCE">
        <w:t>we have</w:t>
      </w:r>
      <w:r w:rsidRPr="00002494">
        <w:t xml:space="preserve"> increased this account by $760 to reflect a pro forma increase to cover the additional TTHM and HAA5 testing expense. </w:t>
      </w:r>
      <w:r w:rsidR="00523DCE">
        <w:t>Sunrise shall be</w:t>
      </w:r>
      <w:r w:rsidRPr="00002494">
        <w:t xml:space="preserve"> required to file documentation in this docket by December 31, 2016, showing that the tests have been completed. The documentation </w:t>
      </w:r>
      <w:r w:rsidR="00E73CE2">
        <w:t>shall</w:t>
      </w:r>
      <w:r w:rsidRPr="00002494">
        <w:t xml:space="preserve"> include a copy of the test results and final invoices. </w:t>
      </w:r>
      <w:r w:rsidR="00523DCE">
        <w:t>We note, how</w:t>
      </w:r>
      <w:r w:rsidRPr="00002494">
        <w:t xml:space="preserve">ever, </w:t>
      </w:r>
      <w:r w:rsidR="00523DCE">
        <w:t>that</w:t>
      </w:r>
      <w:r w:rsidRPr="00002494">
        <w:t xml:space="preserve"> </w:t>
      </w:r>
      <w:r w:rsidR="00523DCE">
        <w:t xml:space="preserve">we do not find </w:t>
      </w:r>
      <w:r w:rsidRPr="00002494">
        <w:t>it necessary to hold the docket open until this information is filed</w:t>
      </w:r>
      <w:r w:rsidR="00523DCE">
        <w:t>,</w:t>
      </w:r>
      <w:r w:rsidRPr="00002494">
        <w:t xml:space="preserve"> since the PCHD is monitoring </w:t>
      </w:r>
      <w:r w:rsidR="00523DCE">
        <w:t>Sunrise</w:t>
      </w:r>
      <w:r w:rsidRPr="00002494">
        <w:t xml:space="preserve">’s completion of these tests and the test results. </w:t>
      </w:r>
    </w:p>
    <w:p w:rsidR="00523DCE" w:rsidRPr="00002494" w:rsidRDefault="00523DCE" w:rsidP="00523DCE">
      <w:pPr>
        <w:ind w:firstLine="720"/>
        <w:jc w:val="both"/>
      </w:pPr>
    </w:p>
    <w:p w:rsidR="00002494" w:rsidRDefault="00523DCE" w:rsidP="00523DCE">
      <w:pPr>
        <w:ind w:firstLine="720"/>
        <w:jc w:val="both"/>
      </w:pPr>
      <w:r>
        <w:t xml:space="preserve">Our </w:t>
      </w:r>
      <w:r w:rsidR="00002494" w:rsidRPr="00002494">
        <w:t>total adjustment to this account is an increase of $4,608</w:t>
      </w:r>
      <w:r>
        <w:t xml:space="preserve">, and </w:t>
      </w:r>
      <w:r w:rsidR="00C41C1D">
        <w:t xml:space="preserve">we </w:t>
      </w:r>
      <w:r>
        <w:t xml:space="preserve">find a </w:t>
      </w:r>
      <w:r w:rsidR="00002494" w:rsidRPr="00002494">
        <w:t>contractual services – testing expense of $4,608.</w:t>
      </w:r>
    </w:p>
    <w:p w:rsidR="00523DCE" w:rsidRPr="00002494" w:rsidRDefault="00523DCE" w:rsidP="00523DCE">
      <w:pPr>
        <w:ind w:firstLine="720"/>
        <w:jc w:val="both"/>
      </w:pPr>
    </w:p>
    <w:p w:rsidR="00002494" w:rsidRPr="007650B2" w:rsidRDefault="00002494" w:rsidP="007650B2">
      <w:pPr>
        <w:ind w:left="720" w:firstLine="720"/>
        <w:jc w:val="both"/>
        <w:outlineLvl w:val="3"/>
        <w:rPr>
          <w:bCs/>
          <w:iCs/>
          <w:szCs w:val="28"/>
        </w:rPr>
      </w:pPr>
      <w:r w:rsidRPr="007650B2">
        <w:rPr>
          <w:bCs/>
          <w:iCs/>
          <w:szCs w:val="28"/>
        </w:rPr>
        <w:t>Contractual Services - Other (636)</w:t>
      </w:r>
    </w:p>
    <w:p w:rsidR="00523DCE" w:rsidRDefault="00523DCE" w:rsidP="00526BF4">
      <w:pPr>
        <w:jc w:val="both"/>
      </w:pPr>
    </w:p>
    <w:p w:rsidR="00002494" w:rsidRPr="00002494" w:rsidRDefault="00523DCE" w:rsidP="00523DCE">
      <w:pPr>
        <w:ind w:firstLine="720"/>
        <w:jc w:val="both"/>
      </w:pPr>
      <w:r>
        <w:t>Sunrise</w:t>
      </w:r>
      <w:r w:rsidR="00002494" w:rsidRPr="00002494">
        <w:t xml:space="preserve">’s Expense Summary reflects $29,173 in this account broken down by $10,008 for contractual office management; $10,139 for contractual utility operations; and $9,026 for supplies, maintenance, and repairs. In September 2015, </w:t>
      </w:r>
      <w:r>
        <w:t>Sunrise</w:t>
      </w:r>
      <w:r w:rsidR="00002494" w:rsidRPr="00002494">
        <w:t xml:space="preserve"> hired a contractual accountant to take over the majority of the office management duties. </w:t>
      </w:r>
      <w:r>
        <w:t>We</w:t>
      </w:r>
      <w:r w:rsidR="00002494" w:rsidRPr="00002494">
        <w:t xml:space="preserve"> confirmed that the contractual accountant has charged Sunrise and Alturas a combined fee of $1,200 per month beginning September 10, 2015, through January 10, 2016. It was initially expected that the $1,200 fee would only be charged for the first three months for additional work required to learn the billing system, bring the billing records up-to-date, and address unresolved billing inquiries and complaints. However, the workload has not yet decreased as expected. Consequently, the $1,200 per month fee will continue until the office begins to operate more smoothly, and then will decrease to $800 per month thereafter. At this time, it is expected that the $1,200 per month fee will be needed through May 2016. In addition to the monthly fee, the contractual accountant will also be reimbursed for any additional costs incurred, such as postage and utility office supplies.</w:t>
      </w:r>
    </w:p>
    <w:p w:rsidR="00002494" w:rsidRPr="00002494" w:rsidRDefault="00002494" w:rsidP="00526BF4">
      <w:pPr>
        <w:jc w:val="both"/>
      </w:pPr>
    </w:p>
    <w:p w:rsidR="00002494" w:rsidRPr="00002494" w:rsidRDefault="00002494" w:rsidP="00523DCE">
      <w:pPr>
        <w:ind w:firstLine="720"/>
        <w:jc w:val="both"/>
      </w:pPr>
      <w:r w:rsidRPr="00002494">
        <w:t xml:space="preserve">Because the additional $400 per month fee is considered to be temporary and part of the initial set-up cost under the new office management arrangement, </w:t>
      </w:r>
      <w:r w:rsidR="00523DCE">
        <w:t xml:space="preserve">we find it </w:t>
      </w:r>
      <w:r w:rsidRPr="00002494">
        <w:t xml:space="preserve">appropriate to allow recovery of those costs as non-recurring expenses over a five-year period. The total non-recurring expense for Sunrise and Alturas combined is $3,600 ($400 x 9 months = $3,600), which translates to an annual expense of $720 when amortized over five years. </w:t>
      </w:r>
      <w:r w:rsidR="00523DCE">
        <w:t>We</w:t>
      </w:r>
      <w:r w:rsidRPr="00002494">
        <w:t xml:space="preserve"> determined that the appropriate allocation of the non-recurring contractual office management fees to Sunrise is $562 ($720 x .78 = $562). The remaining $800 per month fee </w:t>
      </w:r>
      <w:r w:rsidR="00E73CE2">
        <w:t>shall</w:t>
      </w:r>
      <w:r w:rsidRPr="00002494">
        <w:t xml:space="preserve"> be treated as a recurring expense, which equals $9,600 per year. The appropriate allocation of the recurring contractual office management expense to Sunrise is $7,488 ($9,600 x .78 = $7,488). Sunrise’s total contractual office management expense allocation, including both the recurring and non-recurring fees, is $8,050. Therefore, </w:t>
      </w:r>
      <w:r w:rsidR="00523DCE">
        <w:t>we have</w:t>
      </w:r>
      <w:r w:rsidRPr="00002494">
        <w:t xml:space="preserve"> decreased this account by $1,958 to reflect the pro forma change in contractual office management expense ($8,050 - $10,008 = -$1,958). </w:t>
      </w:r>
    </w:p>
    <w:p w:rsidR="00523DCE" w:rsidRDefault="00523DCE" w:rsidP="00526BF4">
      <w:pPr>
        <w:jc w:val="both"/>
      </w:pPr>
    </w:p>
    <w:p w:rsidR="00002494" w:rsidRPr="00002494" w:rsidRDefault="00523DCE" w:rsidP="00523DCE">
      <w:pPr>
        <w:ind w:firstLine="720"/>
        <w:jc w:val="both"/>
      </w:pPr>
      <w:r>
        <w:t>I</w:t>
      </w:r>
      <w:r w:rsidR="00002494" w:rsidRPr="00002494">
        <w:t xml:space="preserve">n its June 10, 2015, letter, OPC expressed concern about </w:t>
      </w:r>
      <w:r>
        <w:t>Sunrise</w:t>
      </w:r>
      <w:r w:rsidR="00002494" w:rsidRPr="00002494">
        <w:t>’s procedures for handling cash payments from customers. Specifically, OPC expressed concern about whether or not the cash payments are being properly recorded against accounts receivable, whether or not the cash collections of miscellaneous service charges are being recorded and included in test year revenues, and whether or not the accounts receivable aging reports accurately reflect these collections.</w:t>
      </w:r>
      <w:r>
        <w:t xml:space="preserve"> We have</w:t>
      </w:r>
      <w:r w:rsidR="00002494" w:rsidRPr="00002494">
        <w:t xml:space="preserve"> determined that </w:t>
      </w:r>
      <w:r>
        <w:t>Sunrise</w:t>
      </w:r>
      <w:r w:rsidR="00002494" w:rsidRPr="00002494">
        <w:t xml:space="preserve"> includes the type of payment in its billing records </w:t>
      </w:r>
      <w:r w:rsidR="00002494" w:rsidRPr="00002494">
        <w:lastRenderedPageBreak/>
        <w:t xml:space="preserve">when recording monthly bill payments. For example, the records indicate if the payment was made by cash, check, money order, or money transfer. In addition, </w:t>
      </w:r>
      <w:r>
        <w:t>Sunrise</w:t>
      </w:r>
      <w:r w:rsidR="00002494" w:rsidRPr="00002494">
        <w:t xml:space="preserve">’s customer deposit records indicate if the initial customer deposits were paid by cash, check, money order, or money transfer. </w:t>
      </w:r>
    </w:p>
    <w:p w:rsidR="00523DCE" w:rsidRDefault="00523DCE" w:rsidP="00526BF4">
      <w:pPr>
        <w:jc w:val="both"/>
      </w:pPr>
    </w:p>
    <w:p w:rsidR="00002494" w:rsidRPr="00002494" w:rsidRDefault="00002494" w:rsidP="00523DCE">
      <w:pPr>
        <w:ind w:firstLine="720"/>
        <w:jc w:val="both"/>
      </w:pPr>
      <w:r w:rsidRPr="00002494">
        <w:t>The area of concern appears to be limited the handling of miscellaneous service charges. The Utility</w:t>
      </w:r>
      <w:r w:rsidR="00523DCE">
        <w:t>’s</w:t>
      </w:r>
      <w:r w:rsidRPr="00002494">
        <w:t xml:space="preserve"> owner acknowledged that he had authorized the contractual office manager and office manager assistant to keep any miscellaneous service charges collected as payment for their work related to the customer disconnections and reconnections. Because miscellaneous service charges are designed to cover the additional costs incurred to provide a specific miscellaneous service, it is acceptable for the Utility to use those funds to pay for the contractual work needed to accomplish those services. </w:t>
      </w:r>
      <w:r w:rsidR="00523DCE">
        <w:t>I</w:t>
      </w:r>
      <w:r w:rsidRPr="00002494">
        <w:t>t is incorrect</w:t>
      </w:r>
      <w:r w:rsidR="00523DCE">
        <w:t>, however,</w:t>
      </w:r>
      <w:r w:rsidRPr="00002494">
        <w:t xml:space="preserve"> for the Utility to omit the miscellaneous service charge assessments and payments from the billing records and revenues.</w:t>
      </w:r>
    </w:p>
    <w:p w:rsidR="00523DCE" w:rsidRDefault="00523DCE" w:rsidP="00526BF4">
      <w:pPr>
        <w:jc w:val="both"/>
      </w:pPr>
    </w:p>
    <w:p w:rsidR="00002494" w:rsidRPr="00002494" w:rsidRDefault="00002494" w:rsidP="00523DCE">
      <w:pPr>
        <w:ind w:firstLine="720"/>
        <w:jc w:val="both"/>
      </w:pPr>
      <w:r w:rsidRPr="00002494">
        <w:t xml:space="preserve">In addition, </w:t>
      </w:r>
      <w:r w:rsidR="00523DCE">
        <w:t xml:space="preserve">our </w:t>
      </w:r>
      <w:r w:rsidRPr="00002494">
        <w:t xml:space="preserve">staff attempted to review </w:t>
      </w:r>
      <w:r w:rsidR="00523DCE">
        <w:t>Sunrise</w:t>
      </w:r>
      <w:r w:rsidRPr="00002494">
        <w:t xml:space="preserve">’s billing records to determine whether or not the Utility properly assessed the miscellaneous service charges in accordance with Commission rules and the Utility’s approved tariff. </w:t>
      </w:r>
      <w:r w:rsidR="00523DCE">
        <w:t>Sunrise</w:t>
      </w:r>
      <w:r w:rsidRPr="00002494">
        <w:t xml:space="preserve"> was not able to provide all of the records that are needed to complete this type of review. </w:t>
      </w:r>
      <w:r w:rsidR="00CC7B1C">
        <w:t>According to the Utility owner,</w:t>
      </w:r>
      <w:r w:rsidRPr="00002494">
        <w:t xml:space="preserve"> the former office manager deleted 11 months of billing records in error. Therefore, the only records available during that time period are the specific reports that were printed prior to the deletion. Based on the available records, </w:t>
      </w:r>
      <w:r w:rsidR="00523DCE">
        <w:t>we find</w:t>
      </w:r>
      <w:r w:rsidRPr="00002494">
        <w:t xml:space="preserve"> that </w:t>
      </w:r>
      <w:r w:rsidR="00523DCE">
        <w:t>Sunrise</w:t>
      </w:r>
      <w:r w:rsidRPr="00002494">
        <w:t xml:space="preserve"> does regularly experience issues with delinquent payments. </w:t>
      </w:r>
      <w:r w:rsidR="00523DCE">
        <w:t xml:space="preserve">We are </w:t>
      </w:r>
      <w:r w:rsidRPr="00002494">
        <w:t>unable</w:t>
      </w:r>
      <w:r w:rsidR="00523DCE">
        <w:t>, however,</w:t>
      </w:r>
      <w:r w:rsidRPr="00002494">
        <w:t xml:space="preserve"> to determine if the customers were given proper disconnection notices and assessed the miscellaneous service charges within the proper timeframes prescribed by Commission rules during the test year.</w:t>
      </w:r>
    </w:p>
    <w:p w:rsidR="00523DCE" w:rsidRDefault="00523DCE" w:rsidP="00526BF4">
      <w:pPr>
        <w:contextualSpacing/>
        <w:jc w:val="both"/>
      </w:pPr>
    </w:p>
    <w:p w:rsidR="00002494" w:rsidRPr="00002494" w:rsidRDefault="00002494" w:rsidP="00523DCE">
      <w:pPr>
        <w:ind w:firstLine="720"/>
        <w:contextualSpacing/>
        <w:jc w:val="both"/>
      </w:pPr>
      <w:r w:rsidRPr="00002494">
        <w:t xml:space="preserve">Based on </w:t>
      </w:r>
      <w:r w:rsidR="00CC7B1C">
        <w:t>our</w:t>
      </w:r>
      <w:r w:rsidRPr="00002494">
        <w:t xml:space="preserve"> review, it appears </w:t>
      </w:r>
      <w:r w:rsidR="00523DCE">
        <w:t>Sunrise</w:t>
      </w:r>
      <w:r w:rsidRPr="00002494">
        <w:t xml:space="preserve"> may be in violation of the following rules and statute. Rule 25-30.335(7), F.A.C., requires that utilities shall maintain a record of each customer’s account for the most current two years so as to permit reproduction of the customer’s bills during the time that the utility provided service to that customer. Rule 25-30.320, F.A.C., sets forth the guidelines that utilities must follow when refusing or discontinuing service, including disconnection for non-payment of bills. Section 367.081, F.S., requires that a utility may only charge rates and charges that have been approved by th</w:t>
      </w:r>
      <w:r w:rsidR="00CC7B1C">
        <w:t>is</w:t>
      </w:r>
      <w:r w:rsidRPr="00002494">
        <w:t xml:space="preserve"> Commission. </w:t>
      </w:r>
    </w:p>
    <w:p w:rsidR="00002494" w:rsidRPr="00002494" w:rsidRDefault="00002494" w:rsidP="00526BF4">
      <w:pPr>
        <w:contextualSpacing/>
        <w:jc w:val="both"/>
      </w:pPr>
    </w:p>
    <w:p w:rsidR="00002494" w:rsidRDefault="00960781" w:rsidP="00960781">
      <w:pPr>
        <w:ind w:firstLine="720"/>
        <w:jc w:val="both"/>
      </w:pPr>
      <w:r>
        <w:t>At this time, we do</w:t>
      </w:r>
      <w:r w:rsidR="00002494" w:rsidRPr="00002494">
        <w:t xml:space="preserve"> not </w:t>
      </w:r>
      <w:r>
        <w:t xml:space="preserve">find that </w:t>
      </w:r>
      <w:r w:rsidR="00002494" w:rsidRPr="00002494">
        <w:t xml:space="preserve">show cause proceedings should be initiated for </w:t>
      </w:r>
      <w:r>
        <w:t>Sunrise’s</w:t>
      </w:r>
      <w:r w:rsidR="00002494" w:rsidRPr="00002494">
        <w:t xml:space="preserve"> apparent violations related to the maintenance of customer records and handling of miscellaneous service charges. It appears that </w:t>
      </w:r>
      <w:r>
        <w:t>Sunrise</w:t>
      </w:r>
      <w:r w:rsidR="00002494" w:rsidRPr="00002494">
        <w:t xml:space="preserve"> has taken steps to correct these issues. </w:t>
      </w:r>
      <w:r>
        <w:t>Sunrise</w:t>
      </w:r>
      <w:r w:rsidR="00002494" w:rsidRPr="00002494">
        <w:t xml:space="preserve"> indicated that it has discontinued accepting customer payments in the field. As discussed previously, customers now have the additional option of paying in person or using a drop box at the contractual accountant’s office. Based on </w:t>
      </w:r>
      <w:r>
        <w:t>our</w:t>
      </w:r>
      <w:r w:rsidR="00002494" w:rsidRPr="00002494">
        <w:t xml:space="preserve"> review, it appears that </w:t>
      </w:r>
      <w:r>
        <w:t>Sunrise</w:t>
      </w:r>
      <w:r w:rsidR="00002494" w:rsidRPr="00002494">
        <w:t xml:space="preserve"> has taken the necessary steps to ensure that future miscellaneous service charges are correctly recorded. Also, the separation of duties between the office manager and utility service technician working in the field allows for better oversight of the handling of cash collections. Finally, under </w:t>
      </w:r>
      <w:r>
        <w:t>Sunrise</w:t>
      </w:r>
      <w:r w:rsidR="00002494" w:rsidRPr="00002494">
        <w:t xml:space="preserve">’s current procedures, customers are first sent a letter regarding their past due payment, and then sent a second notice regarding disconnection only if the bill remains unpaid. Providing a past due notice prior to a disconnection notice goes beyond what it required in the Rule and helps to </w:t>
      </w:r>
      <w:r w:rsidR="00002494" w:rsidRPr="00002494">
        <w:lastRenderedPageBreak/>
        <w:t xml:space="preserve">demonstrate </w:t>
      </w:r>
      <w:r>
        <w:t>Sunrise</w:t>
      </w:r>
      <w:r w:rsidR="00002494" w:rsidRPr="00002494">
        <w:t xml:space="preserve">’s willingness to work with customers to resolve payment issues prior to disconnecting service. </w:t>
      </w:r>
      <w:r>
        <w:t>However,</w:t>
      </w:r>
      <w:r w:rsidR="00002494" w:rsidRPr="00002494">
        <w:t xml:space="preserve"> Sunrise </w:t>
      </w:r>
      <w:r>
        <w:t>is put on notice that should it</w:t>
      </w:r>
      <w:r w:rsidR="00CC7B1C">
        <w:t xml:space="preserve"> fail</w:t>
      </w:r>
      <w:r w:rsidR="00002494" w:rsidRPr="00002494">
        <w:t xml:space="preserve"> to maintain its customer records or to properly account for miscellaneous service charges in compliance with </w:t>
      </w:r>
      <w:r>
        <w:t>our</w:t>
      </w:r>
      <w:r w:rsidR="00002494" w:rsidRPr="00002494">
        <w:t xml:space="preserve"> regulations in the future, Sunrise may be subject t</w:t>
      </w:r>
      <w:r>
        <w:t>o a show cause proceeding by this</w:t>
      </w:r>
      <w:r w:rsidR="00002494" w:rsidRPr="00002494">
        <w:t xml:space="preserve"> Commission, including penalties.</w:t>
      </w:r>
    </w:p>
    <w:p w:rsidR="00960781" w:rsidRPr="00002494" w:rsidRDefault="00960781" w:rsidP="00960781">
      <w:pPr>
        <w:ind w:firstLine="720"/>
        <w:jc w:val="both"/>
      </w:pPr>
    </w:p>
    <w:p w:rsidR="00002494" w:rsidRPr="00002494" w:rsidRDefault="00002494" w:rsidP="00960781">
      <w:pPr>
        <w:ind w:firstLine="720"/>
        <w:jc w:val="both"/>
      </w:pPr>
      <w:r w:rsidRPr="00002494">
        <w:t xml:space="preserve">As noted above, </w:t>
      </w:r>
      <w:r w:rsidR="00960781">
        <w:t>Sunrise</w:t>
      </w:r>
      <w:r w:rsidRPr="00002494">
        <w:t xml:space="preserve"> included $10,139 in this account for contractual utility operations. </w:t>
      </w:r>
      <w:r w:rsidR="00960781">
        <w:t>We found</w:t>
      </w:r>
      <w:r w:rsidRPr="00002494">
        <w:t xml:space="preserve"> that the appropriate contractual operator’s expense for Sunrise is $10,312, which includes the plant operator’s monthly fees, inspection reports, repairs, and flushing. In its June 10, 2015, letter, OPC expressed a concern about possible duplication of mowing expenses because the test year included charges for mowing by the office manager and plant operator. As discussed above, the new contractual utility service technician will be responsible for mowing the plant site going forward. Therefore, </w:t>
      </w:r>
      <w:r w:rsidR="00960781">
        <w:t>we d</w:t>
      </w:r>
      <w:r w:rsidRPr="00002494">
        <w:t>id not include a mowing expense in the $10,312 operator’s expense calculation. Although the utility service technician will be assisting with repairs in the field going forward,</w:t>
      </w:r>
      <w:r w:rsidR="00960781">
        <w:t xml:space="preserve"> we find</w:t>
      </w:r>
      <w:r w:rsidRPr="00002494">
        <w:t xml:space="preserve"> there will still be a need for the operator to make utility repairs related to the plant. Consequently, </w:t>
      </w:r>
      <w:r w:rsidR="00960781">
        <w:t>we do not find it necessary</w:t>
      </w:r>
      <w:r w:rsidRPr="00002494">
        <w:t xml:space="preserve"> to </w:t>
      </w:r>
      <w:r w:rsidR="00960781">
        <w:t xml:space="preserve">reduce </w:t>
      </w:r>
      <w:r w:rsidRPr="00002494">
        <w:t xml:space="preserve">the repair portion of the operator’s expenses. The operator’s monthly fees are allocated between Sunrise and Alturas based on ERCs. The inspection report, repair, and flushing expenses are based on direct costs for Sunrise. </w:t>
      </w:r>
      <w:r w:rsidR="00960781">
        <w:t>We have</w:t>
      </w:r>
      <w:r w:rsidRPr="00002494">
        <w:t xml:space="preserve"> increased this account by $173 to reflect the appropriate contractual operator’s expense ($10,312 - $10,139 = $173).</w:t>
      </w:r>
    </w:p>
    <w:p w:rsidR="00960781" w:rsidRDefault="00960781" w:rsidP="00526BF4">
      <w:pPr>
        <w:jc w:val="both"/>
      </w:pPr>
    </w:p>
    <w:p w:rsidR="00002494" w:rsidRDefault="00960781" w:rsidP="00960781">
      <w:pPr>
        <w:ind w:firstLine="720"/>
        <w:jc w:val="both"/>
      </w:pPr>
      <w:r>
        <w:t>Sunrise</w:t>
      </w:r>
      <w:r w:rsidR="00002494" w:rsidRPr="00002494">
        <w:t xml:space="preserve"> Expense Summary reflected $9,026 for supplies, maintenance, and repairs. The Utility’s total includes test year repairs of $2,299 based on one invoice for a broken water main repair. </w:t>
      </w:r>
      <w:r>
        <w:t>We find it</w:t>
      </w:r>
      <w:r w:rsidR="00002494" w:rsidRPr="00002494">
        <w:t xml:space="preserve"> reasonable to expect that </w:t>
      </w:r>
      <w:r>
        <w:t>Sunrise</w:t>
      </w:r>
      <w:r w:rsidR="00002494" w:rsidRPr="00002494">
        <w:t xml:space="preserve"> may require this level of repairs on an annual basis. Therefore, </w:t>
      </w:r>
      <w:r>
        <w:t xml:space="preserve">we do not find it </w:t>
      </w:r>
      <w:r w:rsidR="00002494" w:rsidRPr="00002494">
        <w:t xml:space="preserve">necessary to amortize the test year repair as non-recurring. As noted above, </w:t>
      </w:r>
      <w:r>
        <w:t>Sunrise</w:t>
      </w:r>
      <w:r w:rsidR="00002494" w:rsidRPr="00002494">
        <w:t>’s Expense Summary also includes expenses related to chemicals, testin</w:t>
      </w:r>
      <w:r w:rsidR="00CC7B1C">
        <w:t xml:space="preserve">g, and miscellaneous expenses. We </w:t>
      </w:r>
      <w:r w:rsidR="00002494" w:rsidRPr="00002494">
        <w:t xml:space="preserve">reclassified those expenses to the correct expense accounts. In addition, </w:t>
      </w:r>
      <w:r w:rsidR="00CC7B1C">
        <w:t xml:space="preserve">we </w:t>
      </w:r>
      <w:r w:rsidR="00002494" w:rsidRPr="00002494">
        <w:t xml:space="preserve">determined that some expenses were unsupported and should be removed. Accordingly, </w:t>
      </w:r>
      <w:r>
        <w:t xml:space="preserve">we have </w:t>
      </w:r>
      <w:r w:rsidR="00002494" w:rsidRPr="00002494">
        <w:t xml:space="preserve">decreased this account by $6,727 ($2,299 - $9,026 = -$6,727) to reflect the appropriate repair expense for the test year. </w:t>
      </w:r>
    </w:p>
    <w:p w:rsidR="00960781" w:rsidRPr="00002494" w:rsidRDefault="00960781" w:rsidP="00960781">
      <w:pPr>
        <w:ind w:firstLine="720"/>
        <w:jc w:val="both"/>
      </w:pPr>
    </w:p>
    <w:p w:rsidR="00002494" w:rsidRPr="00002494" w:rsidRDefault="00002494" w:rsidP="00960781">
      <w:pPr>
        <w:ind w:firstLine="720"/>
        <w:jc w:val="both"/>
      </w:pPr>
      <w:r w:rsidRPr="00002494">
        <w:t xml:space="preserve">In its June 10, 2015, letter regarding the Alturas SARC, OPC noted that the Alturas test year expenses included an invoice for $225 for checking meters, but only $56 of that expense was for checking meters for Alturas. The remaining $159 was for checking meters for Sunrise. OPC proposed that $159 should be removed from the Alturas expenses. </w:t>
      </w:r>
      <w:r w:rsidR="00960781">
        <w:t>We agree</w:t>
      </w:r>
      <w:r w:rsidRPr="00002494">
        <w:t xml:space="preserve"> that it </w:t>
      </w:r>
      <w:r w:rsidR="00960781">
        <w:t>is</w:t>
      </w:r>
      <w:r w:rsidRPr="00002494">
        <w:t xml:space="preserve"> appropriate to reclassify $159 of the meter testing expense to Sunrise. Therefore, </w:t>
      </w:r>
      <w:r w:rsidR="00960781">
        <w:t>we have</w:t>
      </w:r>
      <w:r w:rsidRPr="00002494">
        <w:t xml:space="preserve"> increased this account by $159.</w:t>
      </w:r>
    </w:p>
    <w:p w:rsidR="00960781" w:rsidRDefault="00960781" w:rsidP="00526BF4">
      <w:pPr>
        <w:jc w:val="both"/>
      </w:pPr>
    </w:p>
    <w:p w:rsidR="00002494" w:rsidRPr="00002494" w:rsidRDefault="00002494" w:rsidP="00960781">
      <w:pPr>
        <w:ind w:firstLine="720"/>
        <w:jc w:val="both"/>
      </w:pPr>
      <w:r w:rsidRPr="00002494">
        <w:t xml:space="preserve">In September 2015, </w:t>
      </w:r>
      <w:r w:rsidR="00960781">
        <w:t>Sunrise</w:t>
      </w:r>
      <w:r w:rsidRPr="00002494">
        <w:t xml:space="preserve"> hired a contractual utility service technician to assist with general system repairs, customer service repairs, new customer connections, service disconnections, monthly meter reading, mowing, answering the Utility’s emergency cell phone, and being on-call 24 hours a day, 7 days a week. As discussed above under Account 630 – Contractual Services – Billing, the utility service technician’s contractual fee for meter reading is $250 per month or $3,000 per year. In addition to the meter reading fees, </w:t>
      </w:r>
      <w:r w:rsidR="00960781">
        <w:t>Sunrise</w:t>
      </w:r>
      <w:r w:rsidRPr="00002494">
        <w:t xml:space="preserve"> indicated that it intends to pay this contractual service worker $250 per week for 25 hours of work at an hourly </w:t>
      </w:r>
      <w:r w:rsidRPr="00002494">
        <w:lastRenderedPageBreak/>
        <w:t xml:space="preserve">rate of $10 for the remaining work duties. This results in an annual expense of $13,000 for Sunrise and Alturas combined for the remaining field work and on-call duties. In addition, the </w:t>
      </w:r>
      <w:r w:rsidR="00960781">
        <w:t xml:space="preserve">Sunrise </w:t>
      </w:r>
      <w:r w:rsidRPr="00002494">
        <w:t xml:space="preserve">has requested a transportation expense allowance for this contractual service worker, which is discussed in more detail below under Account 650 – Transportation Expense. </w:t>
      </w:r>
    </w:p>
    <w:p w:rsidR="00002494" w:rsidRPr="00002494" w:rsidRDefault="00002494" w:rsidP="00526BF4">
      <w:pPr>
        <w:jc w:val="both"/>
      </w:pPr>
    </w:p>
    <w:p w:rsidR="00002494" w:rsidRDefault="00960781" w:rsidP="00960781">
      <w:pPr>
        <w:ind w:firstLine="720"/>
        <w:jc w:val="both"/>
      </w:pPr>
      <w:r>
        <w:t>Sunrise</w:t>
      </w:r>
      <w:r w:rsidR="00002494" w:rsidRPr="00002494">
        <w:t xml:space="preserve"> has not fully supported its request for this level of contractual service fees</w:t>
      </w:r>
      <w:r>
        <w:t>; h</w:t>
      </w:r>
      <w:r w:rsidR="00002494" w:rsidRPr="00002494">
        <w:t xml:space="preserve">owever, </w:t>
      </w:r>
      <w:r w:rsidR="00CC7B1C">
        <w:t>we</w:t>
      </w:r>
      <w:r w:rsidR="00002494" w:rsidRPr="00002494">
        <w:t xml:space="preserve"> </w:t>
      </w:r>
      <w:r w:rsidR="00CC7B1C">
        <w:t xml:space="preserve">have </w:t>
      </w:r>
      <w:r w:rsidR="00002494" w:rsidRPr="00002494">
        <w:t>verif</w:t>
      </w:r>
      <w:r w:rsidR="00CC7B1C">
        <w:t>ied</w:t>
      </w:r>
      <w:r w:rsidR="00002494" w:rsidRPr="00002494">
        <w:t xml:space="preserve"> test year expenses for the former office manager and office manager assistant related to some of these duties. In addition, </w:t>
      </w:r>
      <w:r>
        <w:t>Sunrise</w:t>
      </w:r>
      <w:r w:rsidR="00002494" w:rsidRPr="00002494">
        <w:t xml:space="preserve"> provided several invoices for work performed by a new utility service technician in September and October 2015. </w:t>
      </w:r>
      <w:r>
        <w:t>We have also</w:t>
      </w:r>
      <w:r w:rsidR="00002494" w:rsidRPr="00002494">
        <w:t xml:space="preserve"> confirmed that </w:t>
      </w:r>
      <w:r>
        <w:t>Sunrise</w:t>
      </w:r>
      <w:r w:rsidR="00002494" w:rsidRPr="00002494">
        <w:t xml:space="preserve"> currently has a contractual service worker performing these job duties. </w:t>
      </w:r>
      <w:r>
        <w:t xml:space="preserve">We find </w:t>
      </w:r>
      <w:r w:rsidR="00CC7B1C">
        <w:t xml:space="preserve">it is </w:t>
      </w:r>
      <w:r w:rsidR="00002494" w:rsidRPr="00002494">
        <w:t xml:space="preserve">beneficial to both </w:t>
      </w:r>
      <w:r>
        <w:t>Sunrise</w:t>
      </w:r>
      <w:r w:rsidR="00002494" w:rsidRPr="00002494">
        <w:t xml:space="preserve"> and its customers to have a contractual utility service technician available on a regular basis to assist customers with service issues and</w:t>
      </w:r>
      <w:r w:rsidR="00CC7B1C">
        <w:t xml:space="preserve"> to work on utility maintenance. Upon review, we find that </w:t>
      </w:r>
      <w:r w:rsidR="00002494" w:rsidRPr="00002494">
        <w:t xml:space="preserve">the hourly rate of $10 is reasonable and comparable to fees approved for other utilities. Also, </w:t>
      </w:r>
      <w:r w:rsidR="00CC7B1C">
        <w:t xml:space="preserve">we find that </w:t>
      </w:r>
      <w:r w:rsidR="00002494" w:rsidRPr="00002494">
        <w:t xml:space="preserve">the request for 25 hours of work per week is reasonable considering that the work will cover both the Sunrise and Alturas service territories. Consequently, </w:t>
      </w:r>
      <w:r w:rsidR="00CC7B1C">
        <w:t xml:space="preserve">we have </w:t>
      </w:r>
      <w:r w:rsidR="00002494" w:rsidRPr="00002494">
        <w:t>increased this account by $10,140 to reflect Sunrise’s allocation of this expense ($13,000 x .78 = $10,140).</w:t>
      </w:r>
    </w:p>
    <w:p w:rsidR="00960781" w:rsidRPr="00002494" w:rsidRDefault="00960781" w:rsidP="00960781">
      <w:pPr>
        <w:ind w:firstLine="720"/>
        <w:jc w:val="both"/>
      </w:pPr>
    </w:p>
    <w:p w:rsidR="00002494" w:rsidRDefault="00002494" w:rsidP="00960781">
      <w:pPr>
        <w:ind w:firstLine="720"/>
        <w:jc w:val="both"/>
      </w:pPr>
      <w:r w:rsidRPr="00002494">
        <w:t xml:space="preserve">In </w:t>
      </w:r>
      <w:r w:rsidR="00960781">
        <w:t>Sunrise’s last</w:t>
      </w:r>
      <w:r w:rsidRPr="00002494">
        <w:t xml:space="preserve"> SARC</w:t>
      </w:r>
      <w:r w:rsidR="00960781">
        <w:t xml:space="preserve"> in 2011</w:t>
      </w:r>
      <w:r w:rsidRPr="00002494">
        <w:t xml:space="preserve">, </w:t>
      </w:r>
      <w:r w:rsidR="00312ADA">
        <w:t>we</w:t>
      </w:r>
      <w:r w:rsidRPr="00002494">
        <w:t xml:space="preserve"> approved a pro forma project related to the inspection and cleaning of the Utility’s two </w:t>
      </w:r>
      <w:proofErr w:type="spellStart"/>
      <w:r w:rsidRPr="00002494">
        <w:t>hydropneumatic</w:t>
      </w:r>
      <w:proofErr w:type="spellEnd"/>
      <w:r w:rsidRPr="00002494">
        <w:t xml:space="preserve"> tanks. The project was completed during 2013, and </w:t>
      </w:r>
      <w:r w:rsidR="00312ADA">
        <w:t>Sunrise</w:t>
      </w:r>
      <w:r w:rsidRPr="00002494">
        <w:t xml:space="preserve"> provided documentation to support an actual expense of $3,811. Therefore, </w:t>
      </w:r>
      <w:r w:rsidR="00312ADA">
        <w:t>we have</w:t>
      </w:r>
      <w:r w:rsidRPr="00002494">
        <w:t xml:space="preserve"> increased this account by $762 to reflect the five-year amortization of this non-recurring expense ($3,811 / 5 = $762). Based on </w:t>
      </w:r>
      <w:r w:rsidR="00312ADA">
        <w:t>our</w:t>
      </w:r>
      <w:r w:rsidRPr="00002494">
        <w:t xml:space="preserve"> review, the expense </w:t>
      </w:r>
      <w:r w:rsidR="00E73CE2">
        <w:t>shall</w:t>
      </w:r>
      <w:r w:rsidRPr="00002494">
        <w:t xml:space="preserve"> continue to be amortized through 2018.</w:t>
      </w:r>
    </w:p>
    <w:p w:rsidR="00312ADA" w:rsidRPr="00002494" w:rsidRDefault="00312ADA" w:rsidP="00960781">
      <w:pPr>
        <w:ind w:firstLine="720"/>
        <w:jc w:val="both"/>
      </w:pPr>
    </w:p>
    <w:p w:rsidR="00002494" w:rsidRPr="00002494" w:rsidRDefault="00002494" w:rsidP="00312ADA">
      <w:pPr>
        <w:ind w:firstLine="720"/>
        <w:jc w:val="both"/>
      </w:pPr>
      <w:r w:rsidRPr="00002494">
        <w:t xml:space="preserve">Also in </w:t>
      </w:r>
      <w:r w:rsidR="00312ADA">
        <w:t xml:space="preserve">Sunrise’s last SARC in </w:t>
      </w:r>
      <w:r w:rsidRPr="00002494">
        <w:t xml:space="preserve">2011, </w:t>
      </w:r>
      <w:r w:rsidR="00312ADA">
        <w:t>we</w:t>
      </w:r>
      <w:r w:rsidRPr="00002494">
        <w:t xml:space="preserve"> approved </w:t>
      </w:r>
      <w:r w:rsidRPr="00002494">
        <w:rPr>
          <w:iCs/>
        </w:rPr>
        <w:t xml:space="preserve">a meter replacement program that would allow the Utility to replace 23 meters per year over 10 years at an annual expense of $1,359. In the instant proceeding, </w:t>
      </w:r>
      <w:r w:rsidR="00312ADA">
        <w:rPr>
          <w:iCs/>
        </w:rPr>
        <w:t>Sunrise</w:t>
      </w:r>
      <w:r w:rsidRPr="00002494">
        <w:rPr>
          <w:iCs/>
        </w:rPr>
        <w:t xml:space="preserve"> requested to continue the meter replacement program and to increase the annual expense to $3,500 based on the plant operator’s cost estimate and the Utility’s previous meter replacement expenses. I</w:t>
      </w:r>
      <w:r w:rsidRPr="00002494">
        <w:t>n its June 10, 2015, letter, OPC indicated that it did not object to continuing the previously approved expense of $1,359, but had concerns about increasing the expense.</w:t>
      </w:r>
    </w:p>
    <w:p w:rsidR="00002494" w:rsidRPr="00002494" w:rsidRDefault="00002494" w:rsidP="00526BF4">
      <w:pPr>
        <w:jc w:val="both"/>
      </w:pPr>
    </w:p>
    <w:p w:rsidR="00002494" w:rsidRDefault="00002494" w:rsidP="00194098">
      <w:pPr>
        <w:ind w:firstLine="720"/>
        <w:jc w:val="both"/>
      </w:pPr>
      <w:r w:rsidRPr="00002494">
        <w:rPr>
          <w:iCs/>
        </w:rPr>
        <w:t>I</w:t>
      </w:r>
      <w:r w:rsidRPr="00002494">
        <w:t xml:space="preserve">t appears that Sunrise may not be prepared to continue work on the meter replacement program at this time. </w:t>
      </w:r>
      <w:r w:rsidR="00194098">
        <w:t>Sunrise</w:t>
      </w:r>
      <w:r w:rsidRPr="00002494">
        <w:t xml:space="preserve"> has only completed slightly more than one year of the 10-year program</w:t>
      </w:r>
      <w:r w:rsidR="00194098">
        <w:t>, and n</w:t>
      </w:r>
      <w:r w:rsidRPr="00002494">
        <w:t>o meters have been installed since early 2014. The Utility does not have a meter testing program, has not identified the next batch of meters that need to be replaced, and has not stated when it will begin replacing meters again.</w:t>
      </w:r>
    </w:p>
    <w:p w:rsidR="00194098" w:rsidRPr="00002494" w:rsidRDefault="00194098" w:rsidP="00194098">
      <w:pPr>
        <w:ind w:firstLine="720"/>
        <w:jc w:val="both"/>
      </w:pPr>
    </w:p>
    <w:p w:rsidR="00002494" w:rsidRDefault="00194098" w:rsidP="00194098">
      <w:pPr>
        <w:ind w:firstLine="720"/>
        <w:jc w:val="both"/>
      </w:pPr>
      <w:r>
        <w:t>We</w:t>
      </w:r>
      <w:r w:rsidR="00002494" w:rsidRPr="00002494">
        <w:t xml:space="preserve"> determined that </w:t>
      </w:r>
      <w:r>
        <w:t>Sunrise</w:t>
      </w:r>
      <w:r w:rsidR="00002494" w:rsidRPr="00002494">
        <w:t>’s actual cost to replace the first batch of meters was $4,439, which exceeded the estimated annual expense by $3,080. Based on the annual expense allowance of $1,359 that was included in the Utility’s rates, the Utility is due to finish recovering the initial $4,439 e</w:t>
      </w:r>
      <w:r w:rsidR="00CC7B1C">
        <w:t>xpense by March 2016. Based on our</w:t>
      </w:r>
      <w:r w:rsidR="00002494" w:rsidRPr="00002494">
        <w:t xml:space="preserve"> review of the Utility’s actual meter replacement costs and additional meter replacement cost research, it appears that an increase of the expense from $1,359 to $3,450 would be warranted if the program were continued. However, due to the </w:t>
      </w:r>
      <w:r w:rsidR="00002494" w:rsidRPr="00002494">
        <w:lastRenderedPageBreak/>
        <w:t xml:space="preserve">Utility’s lack of progress and a clear plan for getting the program back on track, </w:t>
      </w:r>
      <w:r>
        <w:t xml:space="preserve">we find it </w:t>
      </w:r>
      <w:r w:rsidR="00002494" w:rsidRPr="00002494">
        <w:t xml:space="preserve">appropriate to require the Utility to establish an escrow account to hold the meter replacement funds if the program were continued. Based on the updated expense of $3,450, </w:t>
      </w:r>
      <w:r>
        <w:t>Sunrise</w:t>
      </w:r>
      <w:r w:rsidR="00002494" w:rsidRPr="00002494">
        <w:t xml:space="preserve"> would need to escrow $287.50 each month for the remaining eight to nine years of the program. </w:t>
      </w:r>
    </w:p>
    <w:p w:rsidR="00194098" w:rsidRPr="00002494" w:rsidRDefault="00194098" w:rsidP="00194098">
      <w:pPr>
        <w:ind w:firstLine="720"/>
        <w:jc w:val="both"/>
      </w:pPr>
    </w:p>
    <w:p w:rsidR="00002494" w:rsidRDefault="00CC7B1C" w:rsidP="00194098">
      <w:pPr>
        <w:ind w:firstLine="720"/>
        <w:jc w:val="both"/>
      </w:pPr>
      <w:r>
        <w:t xml:space="preserve">We </w:t>
      </w:r>
      <w:r w:rsidR="00002494" w:rsidRPr="00002494">
        <w:t xml:space="preserve">advised the Utility’s owner that </w:t>
      </w:r>
      <w:r w:rsidR="00194098">
        <w:t xml:space="preserve">the </w:t>
      </w:r>
      <w:r w:rsidR="00002494" w:rsidRPr="00002494">
        <w:t xml:space="preserve">meter replacement program expense </w:t>
      </w:r>
      <w:r w:rsidR="00194098">
        <w:t xml:space="preserve">may be discontinued </w:t>
      </w:r>
      <w:r w:rsidR="00002494" w:rsidRPr="00002494">
        <w:t>if Sunrise is unwilling to establish and properly maintain an es</w:t>
      </w:r>
      <w:r w:rsidR="00194098">
        <w:t xml:space="preserve">crow account for this purpose. </w:t>
      </w:r>
      <w:r>
        <w:t xml:space="preserve">We </w:t>
      </w:r>
      <w:r w:rsidR="00002494" w:rsidRPr="00002494">
        <w:t xml:space="preserve">also advised </w:t>
      </w:r>
      <w:r w:rsidR="00194098">
        <w:t>Sunrise’s</w:t>
      </w:r>
      <w:r w:rsidR="00002494" w:rsidRPr="00002494">
        <w:t xml:space="preserve"> owner that discontinuation of the program would simply result in the Utility returning to the traditional method of capitalizing meter replacements and reflecting the adjustments in rate base. In response to </w:t>
      </w:r>
      <w:r w:rsidR="00194098">
        <w:t xml:space="preserve">our </w:t>
      </w:r>
      <w:r w:rsidR="00002494" w:rsidRPr="00002494">
        <w:t xml:space="preserve">staff’s request for information, the Utility indicated that it would return to the traditional method of capitalizing meter replacements on an as needed basis. Therefore, </w:t>
      </w:r>
      <w:r w:rsidR="00194098">
        <w:t xml:space="preserve">we find it appropriate to discontinue </w:t>
      </w:r>
      <w:r w:rsidR="00002494" w:rsidRPr="00002494">
        <w:t>the meter replacement program at this time. The Utility’s test year did not include any expenses related to this program, therefore, no accounting adjustments are necessary to reflect discontinuation of the meter replacement program.</w:t>
      </w:r>
    </w:p>
    <w:p w:rsidR="00194098" w:rsidRPr="00002494" w:rsidRDefault="00194098" w:rsidP="00194098">
      <w:pPr>
        <w:ind w:firstLine="720"/>
        <w:jc w:val="both"/>
      </w:pPr>
    </w:p>
    <w:p w:rsidR="00002494" w:rsidRPr="00002494" w:rsidRDefault="00002494" w:rsidP="00194098">
      <w:pPr>
        <w:ind w:firstLine="720"/>
        <w:jc w:val="both"/>
      </w:pPr>
      <w:r w:rsidRPr="00002494">
        <w:t xml:space="preserve">Finally, as discussed above, a Judgment was issued against </w:t>
      </w:r>
      <w:r w:rsidR="00194098">
        <w:t>Sunrise</w:t>
      </w:r>
      <w:r w:rsidRPr="00002494">
        <w:t xml:space="preserve"> for $2,926 for outstanding payments owed to Blount for contractual services related to the plant operation and maintenance. The Utility has requested consideration of the outstanding balance and monthly payments of $271 in the instant case. Although the Judgment and payment plans were finalized during the 2014 test year, the outstanding balance is for work performed by Blount prior to the test year. Historically,</w:t>
      </w:r>
      <w:r w:rsidR="00194098">
        <w:t xml:space="preserve"> we have</w:t>
      </w:r>
      <w:r w:rsidRPr="00002494">
        <w:t xml:space="preserve"> determined that the recovery of past expenses from current customers constitutes retroactive ratemaking and is disallowed. Accordingly, </w:t>
      </w:r>
      <w:r w:rsidR="00194098">
        <w:t>we do not find it</w:t>
      </w:r>
      <w:r w:rsidRPr="00002494">
        <w:t xml:space="preserve"> appropriate to recognize the past amounts owed to Blount in the instant proceeding.</w:t>
      </w:r>
    </w:p>
    <w:p w:rsidR="00002494" w:rsidRPr="00002494" w:rsidRDefault="00002494" w:rsidP="00526BF4">
      <w:pPr>
        <w:jc w:val="both"/>
      </w:pPr>
    </w:p>
    <w:p w:rsidR="00002494" w:rsidRDefault="00194098" w:rsidP="00194098">
      <w:pPr>
        <w:ind w:firstLine="720"/>
        <w:jc w:val="both"/>
      </w:pPr>
      <w:r>
        <w:t>Our</w:t>
      </w:r>
      <w:r w:rsidR="00002494" w:rsidRPr="00002494">
        <w:t xml:space="preserve"> net adjustment to this account is an increase of $2,549 (-$1,958 + $173 - $6,727 + 159 + 10,140 + 762 = $2,549)</w:t>
      </w:r>
      <w:r>
        <w:t xml:space="preserve">, and </w:t>
      </w:r>
      <w:r w:rsidR="00CC7B1C">
        <w:t xml:space="preserve">we </w:t>
      </w:r>
      <w:r>
        <w:t xml:space="preserve">find a </w:t>
      </w:r>
      <w:r w:rsidR="00002494" w:rsidRPr="00002494">
        <w:t>contractual services – other expense of $31,722.</w:t>
      </w:r>
    </w:p>
    <w:p w:rsidR="00194098" w:rsidRPr="00002494" w:rsidRDefault="00194098" w:rsidP="00194098">
      <w:pPr>
        <w:ind w:firstLine="720"/>
        <w:jc w:val="both"/>
      </w:pPr>
    </w:p>
    <w:p w:rsidR="00002494" w:rsidRPr="007650B2" w:rsidRDefault="00002494" w:rsidP="007650B2">
      <w:pPr>
        <w:ind w:left="720" w:firstLine="720"/>
        <w:jc w:val="both"/>
        <w:outlineLvl w:val="3"/>
        <w:rPr>
          <w:bCs/>
          <w:iCs/>
          <w:szCs w:val="28"/>
        </w:rPr>
      </w:pPr>
      <w:r w:rsidRPr="007650B2">
        <w:rPr>
          <w:bCs/>
          <w:iCs/>
          <w:szCs w:val="28"/>
        </w:rPr>
        <w:t>Transportation Expense (650)</w:t>
      </w:r>
    </w:p>
    <w:p w:rsidR="00194098" w:rsidRDefault="00194098" w:rsidP="00526BF4">
      <w:pPr>
        <w:jc w:val="both"/>
      </w:pPr>
    </w:p>
    <w:p w:rsidR="00002494" w:rsidRDefault="00002494" w:rsidP="00194098">
      <w:pPr>
        <w:ind w:firstLine="720"/>
        <w:jc w:val="both"/>
      </w:pPr>
      <w:r w:rsidRPr="00002494">
        <w:t xml:space="preserve">The Utility’s Expense Summary reflects $1,976 in this account. </w:t>
      </w:r>
      <w:r w:rsidR="00CC7B1C">
        <w:t>We</w:t>
      </w:r>
      <w:r w:rsidRPr="00002494">
        <w:t xml:space="preserve"> could not verify how this amount was determined. </w:t>
      </w:r>
      <w:r w:rsidR="0098186A">
        <w:t xml:space="preserve">We </w:t>
      </w:r>
      <w:r w:rsidRPr="00002494">
        <w:t>determined that the former office manager’s expense included mileage reimbursements of approximately $97 for Sunrise and $14 for Alturas during January through May 2014. The expense was primarily related to mileage incurred conducting customer disconnections and reconnections, and was calculated based on a mileage rate of $0.50 per mile. The second office manager during the test year did not claim any mileage, but expressed concern about having to use her personal vehicle for utility work at her own expense.</w:t>
      </w:r>
    </w:p>
    <w:p w:rsidR="0098186A" w:rsidRPr="00002494" w:rsidRDefault="0098186A" w:rsidP="00194098">
      <w:pPr>
        <w:ind w:firstLine="720"/>
        <w:jc w:val="both"/>
      </w:pPr>
    </w:p>
    <w:p w:rsidR="00002494" w:rsidRDefault="00002494" w:rsidP="0098186A">
      <w:pPr>
        <w:ind w:firstLine="720"/>
        <w:jc w:val="both"/>
      </w:pPr>
      <w:r w:rsidRPr="00002494">
        <w:t xml:space="preserve">In response to </w:t>
      </w:r>
      <w:r w:rsidR="0098186A">
        <w:t xml:space="preserve">our </w:t>
      </w:r>
      <w:r w:rsidRPr="00002494">
        <w:t xml:space="preserve">staff’s request for information, </w:t>
      </w:r>
      <w:r w:rsidR="0098186A">
        <w:t>Sunrise</w:t>
      </w:r>
      <w:r w:rsidRPr="00002494">
        <w:t xml:space="preserve"> requested a transportation expense for the contractual utility service technician of $75 per month, or $900 annually, for Sunrise and Alturas combined. </w:t>
      </w:r>
      <w:r w:rsidR="0098186A">
        <w:t xml:space="preserve">Sunrise </w:t>
      </w:r>
      <w:r w:rsidRPr="00002494">
        <w:t xml:space="preserve">did not provide any documentation to support this request, such as records of any recent mileage reimbursements or written contracts indicating that transportation expense will be provided. However, in consideration of the Utility’s previous practice of reimbursing the former office manager’s mileage expense and the physical distance between the Sunrise and Alturas service areas, </w:t>
      </w:r>
      <w:r w:rsidR="0098186A">
        <w:t xml:space="preserve">we find it </w:t>
      </w:r>
      <w:r w:rsidRPr="00002494">
        <w:t xml:space="preserve">appropriate to include a mileage </w:t>
      </w:r>
      <w:r w:rsidRPr="00002494">
        <w:lastRenderedPageBreak/>
        <w:t xml:space="preserve">allowance. Also, it appears that the lack of full reimbursement of additional expenses incurred by the Utility’s contractual service workers may be a contributing factor in the high level of turnover experienced by Sunrise and Alturas. Inclusion of a mileage allowance may help </w:t>
      </w:r>
      <w:r w:rsidR="0098186A">
        <w:t>Sunrise</w:t>
      </w:r>
      <w:r w:rsidRPr="00002494">
        <w:t xml:space="preserve"> retain its contractual service workers longer, thereby improving the consistency and stability in the Utility’s field operations.</w:t>
      </w:r>
    </w:p>
    <w:p w:rsidR="0098186A" w:rsidRPr="00002494" w:rsidRDefault="0098186A" w:rsidP="0098186A">
      <w:pPr>
        <w:ind w:firstLine="720"/>
        <w:jc w:val="both"/>
      </w:pPr>
    </w:p>
    <w:p w:rsidR="00002494" w:rsidRDefault="00002494" w:rsidP="0098186A">
      <w:pPr>
        <w:ind w:firstLine="720"/>
        <w:jc w:val="both"/>
      </w:pPr>
      <w:r w:rsidRPr="00002494">
        <w:t xml:space="preserve">The requested $75 per month transportation expense would allow reimbursement of approximately 34 miles per week at the test year mileage rate of $0.50 per mile. The Alturas and Sunrise service territories are located approximately 18 miles a part. The Utility did not explain how it calculated the requested $75 per month transportation allowance. </w:t>
      </w:r>
      <w:r w:rsidR="00CC7B1C">
        <w:t xml:space="preserve">It appears that </w:t>
      </w:r>
      <w:r w:rsidRPr="00002494">
        <w:t xml:space="preserve">the majority of the utility service technician’s work will be conducted within each Utilities’ service territory with minimal driving required. However, on occasion it will be necessary for the utility service technician to drive between the Alturas and Sunrise service territories or to a store to purchase parts for repairs. </w:t>
      </w:r>
      <w:r w:rsidR="0098186A">
        <w:t>We find Sunrise’</w:t>
      </w:r>
      <w:r w:rsidRPr="00002494">
        <w:t xml:space="preserve">s requested expense sufficient to cover the transportation expense for both the more frequent in-territory driving, as well as the less frequent out-of-territory driving. </w:t>
      </w:r>
      <w:r w:rsidR="00CC7B1C">
        <w:t xml:space="preserve">We </w:t>
      </w:r>
      <w:r w:rsidRPr="00002494">
        <w:t xml:space="preserve">determined that the appropriate allocation of the transportation expense to Sunrise is $702 ($900 x .78 = $702). The remaining $198 will be allocated to Alturas. Consequently, </w:t>
      </w:r>
      <w:r w:rsidR="0098186A">
        <w:t>we</w:t>
      </w:r>
      <w:r w:rsidRPr="00002494">
        <w:t xml:space="preserve"> decreased this account by $1,274 to remove the unsupported test year expenses and reflect a pro forma transportation expense increase</w:t>
      </w:r>
      <w:r w:rsidR="0098186A">
        <w:t>, and find a</w:t>
      </w:r>
      <w:r w:rsidRPr="00002494">
        <w:t xml:space="preserve"> transportation expense of $702.</w:t>
      </w:r>
    </w:p>
    <w:p w:rsidR="0098186A" w:rsidRPr="00002494" w:rsidRDefault="0098186A" w:rsidP="0098186A">
      <w:pPr>
        <w:ind w:firstLine="720"/>
        <w:jc w:val="both"/>
      </w:pPr>
    </w:p>
    <w:p w:rsidR="00002494" w:rsidRPr="007650B2" w:rsidRDefault="00002494" w:rsidP="007650B2">
      <w:pPr>
        <w:ind w:left="720" w:firstLine="720"/>
        <w:jc w:val="both"/>
        <w:outlineLvl w:val="3"/>
        <w:rPr>
          <w:bCs/>
          <w:iCs/>
          <w:szCs w:val="28"/>
        </w:rPr>
      </w:pPr>
      <w:r w:rsidRPr="007650B2">
        <w:rPr>
          <w:bCs/>
          <w:iCs/>
          <w:szCs w:val="28"/>
        </w:rPr>
        <w:t>Insurance Expense (655)</w:t>
      </w:r>
    </w:p>
    <w:p w:rsidR="0098186A" w:rsidRDefault="0098186A" w:rsidP="00526BF4">
      <w:pPr>
        <w:jc w:val="both"/>
      </w:pPr>
    </w:p>
    <w:p w:rsidR="00002494" w:rsidRDefault="00002494" w:rsidP="0098186A">
      <w:pPr>
        <w:ind w:firstLine="720"/>
        <w:jc w:val="both"/>
      </w:pPr>
      <w:r w:rsidRPr="00002494">
        <w:t>The Utility’s Expense Summary reflec</w:t>
      </w:r>
      <w:r w:rsidR="0098186A">
        <w:t>ts $2,010 in this account. We</w:t>
      </w:r>
      <w:r w:rsidRPr="00002494">
        <w:t xml:space="preserve"> decreased this account by $182 to reflect the current year’s general liability insurance premium, and </w:t>
      </w:r>
      <w:r w:rsidR="00CC7B1C">
        <w:t xml:space="preserve">found an </w:t>
      </w:r>
      <w:r w:rsidRPr="00002494">
        <w:t>insurance expense for the test year of $1,828.</w:t>
      </w:r>
    </w:p>
    <w:p w:rsidR="0098186A" w:rsidRPr="00002494" w:rsidRDefault="0098186A" w:rsidP="0098186A">
      <w:pPr>
        <w:ind w:firstLine="720"/>
        <w:jc w:val="both"/>
      </w:pPr>
    </w:p>
    <w:p w:rsidR="00002494" w:rsidRPr="007650B2" w:rsidRDefault="00002494" w:rsidP="007650B2">
      <w:pPr>
        <w:ind w:left="720" w:firstLine="720"/>
        <w:jc w:val="both"/>
        <w:outlineLvl w:val="3"/>
        <w:rPr>
          <w:bCs/>
          <w:iCs/>
          <w:szCs w:val="28"/>
        </w:rPr>
      </w:pPr>
      <w:r w:rsidRPr="007650B2">
        <w:rPr>
          <w:bCs/>
          <w:iCs/>
          <w:szCs w:val="28"/>
        </w:rPr>
        <w:t>Regulatory Commission Expense (665)</w:t>
      </w:r>
    </w:p>
    <w:p w:rsidR="0098186A" w:rsidRDefault="0098186A" w:rsidP="00526BF4">
      <w:pPr>
        <w:jc w:val="both"/>
      </w:pPr>
    </w:p>
    <w:p w:rsidR="0098186A" w:rsidRDefault="00002494" w:rsidP="0098186A">
      <w:pPr>
        <w:ind w:firstLine="720"/>
        <w:jc w:val="both"/>
      </w:pPr>
      <w:r w:rsidRPr="00002494">
        <w:t xml:space="preserve">The Utility’s Expense Summary does not include this account. </w:t>
      </w:r>
      <w:r w:rsidR="0098186A">
        <w:t xml:space="preserve">We </w:t>
      </w:r>
      <w:r w:rsidRPr="00002494">
        <w:t xml:space="preserve">increased this account by $344 to reflect the annual amortization of rate case expense approved in the Utility’s 2011 SARC that will continue to be amortized until December 1, 2016. Regarding the instant case, the Utility is required by Rule 25-22.0407, F.A.C., to provide notices to its customers of the customer meeting and notices of final rates in this case. For noticing, </w:t>
      </w:r>
      <w:r w:rsidR="0098186A">
        <w:t>we</w:t>
      </w:r>
      <w:r w:rsidRPr="00002494">
        <w:t xml:space="preserve"> estimated $241 for postage expense, $132 for printing expense, and $25 for envelopes. This results in $398 for the noticing requirement. The Utility paid a $1,000 rate case filing fee.</w:t>
      </w:r>
    </w:p>
    <w:p w:rsidR="00002494" w:rsidRPr="00002494" w:rsidRDefault="00002494" w:rsidP="0098186A">
      <w:pPr>
        <w:ind w:firstLine="720"/>
        <w:jc w:val="both"/>
      </w:pPr>
      <w:r w:rsidRPr="00002494">
        <w:t xml:space="preserve"> </w:t>
      </w:r>
    </w:p>
    <w:p w:rsidR="00002494" w:rsidRDefault="00002494" w:rsidP="0098186A">
      <w:pPr>
        <w:ind w:firstLine="720"/>
        <w:jc w:val="both"/>
      </w:pPr>
      <w:r w:rsidRPr="00002494">
        <w:t xml:space="preserve">The Utility also provided an invoice for accounting fees of $450 for work performed by the Utility’s CPA related to the SARCs for both Sunrise and Alturas. The work performed was similar for both Utilities. Therefore, </w:t>
      </w:r>
      <w:r w:rsidR="0098186A">
        <w:t>we find it</w:t>
      </w:r>
      <w:r w:rsidRPr="00002494">
        <w:t xml:space="preserve"> appropriate to allow Sunrise to recover half or $225 of the accounting expense and allow Alturas to recover the remaining $225 of rate case related accounting expense. The Utility also provided invoices for $1,025 in additional work performed by the Utility’s contract operator to assist with the Sunrise SARC, such as answering data requests related to plant operations and attending the customer meeting. </w:t>
      </w:r>
      <w:r w:rsidR="0098186A">
        <w:t>We</w:t>
      </w:r>
      <w:r w:rsidRPr="00002494">
        <w:t xml:space="preserve"> reviewed the invoices and </w:t>
      </w:r>
      <w:r w:rsidR="0098186A">
        <w:t>find it</w:t>
      </w:r>
      <w:r w:rsidRPr="00002494">
        <w:t xml:space="preserve"> appropriate to allow recovery of these expenses in rate case expense. </w:t>
      </w:r>
      <w:r w:rsidRPr="00002494">
        <w:lastRenderedPageBreak/>
        <w:t xml:space="preserve">Pursuant to Section 367.0816, F.S., rate case expense is amortized over a four-year period. Based on the above, </w:t>
      </w:r>
      <w:r w:rsidR="0098186A">
        <w:t>we find a</w:t>
      </w:r>
      <w:r w:rsidRPr="00002494">
        <w:t xml:space="preserve"> total rate case expense for the instant case of $2,648 ($398 + $1,000 + $225 + $1,025), which amortized over four years is $662. </w:t>
      </w:r>
      <w:r w:rsidR="0098186A">
        <w:t>Our</w:t>
      </w:r>
      <w:r w:rsidRPr="00002494">
        <w:t xml:space="preserve"> total adjustment to this account is an increase of $1,006, resulting in a recommended regulatory commission expense of $1,006.</w:t>
      </w:r>
    </w:p>
    <w:p w:rsidR="0098186A" w:rsidRPr="00002494" w:rsidRDefault="0098186A" w:rsidP="0098186A">
      <w:pPr>
        <w:ind w:firstLine="720"/>
        <w:jc w:val="both"/>
      </w:pPr>
    </w:p>
    <w:p w:rsidR="00002494" w:rsidRPr="007650B2" w:rsidRDefault="00002494" w:rsidP="007650B2">
      <w:pPr>
        <w:ind w:left="720" w:firstLine="720"/>
        <w:jc w:val="both"/>
        <w:outlineLvl w:val="3"/>
        <w:rPr>
          <w:bCs/>
          <w:iCs/>
          <w:szCs w:val="28"/>
        </w:rPr>
      </w:pPr>
      <w:r w:rsidRPr="007650B2">
        <w:rPr>
          <w:bCs/>
          <w:iCs/>
          <w:szCs w:val="28"/>
        </w:rPr>
        <w:t>Bad Debt Expense (670)</w:t>
      </w:r>
    </w:p>
    <w:p w:rsidR="0098186A" w:rsidRDefault="0098186A" w:rsidP="0098186A">
      <w:pPr>
        <w:ind w:firstLine="720"/>
        <w:jc w:val="both"/>
      </w:pPr>
    </w:p>
    <w:p w:rsidR="00002494" w:rsidRPr="00002494" w:rsidRDefault="00002494" w:rsidP="0098186A">
      <w:pPr>
        <w:ind w:firstLine="720"/>
        <w:jc w:val="both"/>
      </w:pPr>
      <w:r w:rsidRPr="00002494">
        <w:t xml:space="preserve">The Utility’s Expense Summary reflects $3,899 in this account. During the audit, the Utility provided a list of 11 accounts that were written-off during the test year for a total of $4,167, which equals 5.56 percent of the test year revenues or 5.05 percent of </w:t>
      </w:r>
      <w:r w:rsidR="0098186A">
        <w:t>the</w:t>
      </w:r>
      <w:r w:rsidRPr="00002494">
        <w:t xml:space="preserve"> revenue requirement</w:t>
      </w:r>
      <w:r w:rsidR="0098186A">
        <w:t xml:space="preserve"> we found</w:t>
      </w:r>
      <w:r w:rsidRPr="00002494">
        <w:t>. In its June 10, 2015, letter, OPC expressed concern that the Utility’s bad debt expense is excessive and noted that one account had an unusually large write-off of $1,094. The Utility did not provide any supporting documentation showing how it calculated the bad debt write-offs, but did acknowledge that the test year bad debt expense included multiple years of bad debt write-offs.</w:t>
      </w:r>
    </w:p>
    <w:p w:rsidR="0098186A" w:rsidRDefault="0098186A" w:rsidP="00526BF4">
      <w:pPr>
        <w:jc w:val="both"/>
      </w:pPr>
    </w:p>
    <w:p w:rsidR="00002494" w:rsidRDefault="0098186A" w:rsidP="0098186A">
      <w:pPr>
        <w:ind w:firstLine="720"/>
        <w:jc w:val="both"/>
      </w:pPr>
      <w:r>
        <w:t xml:space="preserve">It is our </w:t>
      </w:r>
      <w:r w:rsidR="00002494" w:rsidRPr="00002494">
        <w:t xml:space="preserve">practice to calculate bad debt expense using a three-year average, typically based on the test year plus two years of Annual Report data. It appears that the bad debt expense for the two years prior to the test year may have included multiple years of write-offs as well. Therefore, </w:t>
      </w:r>
      <w:r>
        <w:t>we are</w:t>
      </w:r>
      <w:r w:rsidR="00002494" w:rsidRPr="00002494">
        <w:t xml:space="preserve"> unable to calculate a reliable three-year average using the traditional method. As an alternative, </w:t>
      </w:r>
      <w:r>
        <w:t>we find it</w:t>
      </w:r>
      <w:r w:rsidR="00002494" w:rsidRPr="00002494">
        <w:t xml:space="preserve"> appropriate to calculate an average bad debt expense based solely on the test year expense</w:t>
      </w:r>
      <w:r>
        <w:t>, resulting</w:t>
      </w:r>
      <w:r w:rsidR="00002494" w:rsidRPr="00002494">
        <w:t xml:space="preserve"> in a bad debt expense of $1,389 ($4,167 / 3 = $1,389), </w:t>
      </w:r>
      <w:r>
        <w:t xml:space="preserve">which </w:t>
      </w:r>
      <w:r w:rsidR="00002494" w:rsidRPr="00002494">
        <w:t xml:space="preserve">is 1.68 percent of </w:t>
      </w:r>
      <w:r>
        <w:t xml:space="preserve">our approved </w:t>
      </w:r>
      <w:r w:rsidR="00002494" w:rsidRPr="00002494">
        <w:t xml:space="preserve">revenue requirement. </w:t>
      </w:r>
    </w:p>
    <w:p w:rsidR="0098186A" w:rsidRPr="00002494" w:rsidRDefault="0098186A" w:rsidP="0098186A">
      <w:pPr>
        <w:ind w:firstLine="720"/>
        <w:jc w:val="both"/>
      </w:pPr>
    </w:p>
    <w:p w:rsidR="00002494" w:rsidRDefault="00002494" w:rsidP="0098186A">
      <w:pPr>
        <w:ind w:firstLine="720"/>
        <w:jc w:val="both"/>
      </w:pPr>
      <w:r w:rsidRPr="00002494">
        <w:t>At the December 9, 2015, noticed informal meeting</w:t>
      </w:r>
      <w:r w:rsidR="0098186A">
        <w:t xml:space="preserve"> with our staff</w:t>
      </w:r>
      <w:r w:rsidR="00CC7B1C">
        <w:t xml:space="preserve">, OPC asserted </w:t>
      </w:r>
      <w:r w:rsidRPr="00002494">
        <w:t xml:space="preserve">that the large write-offs may be the result of errors in the recording of cash payments and poor bookkeeping practices, and that bad debt expense should not exceed 1 percent. </w:t>
      </w:r>
      <w:r w:rsidR="007650B2">
        <w:t>We</w:t>
      </w:r>
      <w:r w:rsidRPr="00002494">
        <w:t xml:space="preserve"> share OPC’s concerns about the accuracy of the bad debt write-offs</w:t>
      </w:r>
      <w:r w:rsidR="007650B2">
        <w:t>. We</w:t>
      </w:r>
      <w:r w:rsidRPr="00002494">
        <w:t xml:space="preserve"> reviewed a sample of the Utility’s billing records</w:t>
      </w:r>
      <w:r w:rsidR="007650B2">
        <w:t>, however,</w:t>
      </w:r>
      <w:r w:rsidRPr="00002494">
        <w:t xml:space="preserve"> and determined that the Utility is experiencing issues with delinquent customer accounts, and may need to write-off bad debt periodically. </w:t>
      </w:r>
    </w:p>
    <w:p w:rsidR="0098186A" w:rsidRPr="00002494" w:rsidRDefault="0098186A" w:rsidP="00526BF4">
      <w:pPr>
        <w:jc w:val="both"/>
      </w:pPr>
    </w:p>
    <w:p w:rsidR="00002494" w:rsidRDefault="00002494" w:rsidP="007650B2">
      <w:pPr>
        <w:ind w:firstLine="720"/>
        <w:jc w:val="both"/>
      </w:pPr>
      <w:r w:rsidRPr="00002494">
        <w:t xml:space="preserve">In addition, </w:t>
      </w:r>
      <w:r w:rsidR="007650B2">
        <w:t xml:space="preserve">a review of </w:t>
      </w:r>
      <w:r w:rsidRPr="00002494">
        <w:t xml:space="preserve">a sample of 15 SARCs, which had bad debt expense ranging from zero to over 4 percent, with 87 percent of the sample falling below the 2 percent range. Therefore, </w:t>
      </w:r>
      <w:r w:rsidR="00CC7B1C">
        <w:t>w</w:t>
      </w:r>
      <w:r w:rsidR="007650B2">
        <w:t>e find</w:t>
      </w:r>
      <w:r w:rsidRPr="00002494">
        <w:t xml:space="preserve"> a bad debt expense of 1.68 percent falls within a reasonable range. Although </w:t>
      </w:r>
      <w:r w:rsidR="00CC7B1C">
        <w:t>we are</w:t>
      </w:r>
      <w:r w:rsidRPr="00002494">
        <w:t xml:space="preserve"> not opposed to OPC’s 1 percent suggestion, that approach would actually increase the bad debt expense for Sunrise’s sister company, Alturas, above the amount </w:t>
      </w:r>
      <w:r w:rsidR="007650B2">
        <w:t xml:space="preserve">we approved </w:t>
      </w:r>
      <w:r w:rsidRPr="00002494">
        <w:t>in that docket. In an effort to provide as much uniformity in the rate</w:t>
      </w:r>
      <w:r w:rsidR="007650B2">
        <w:t>-</w:t>
      </w:r>
      <w:r w:rsidRPr="00002494">
        <w:t xml:space="preserve">setting methods used for both companies, </w:t>
      </w:r>
      <w:r w:rsidR="007650B2">
        <w:t xml:space="preserve">we find it </w:t>
      </w:r>
      <w:r w:rsidRPr="00002494">
        <w:t xml:space="preserve">more appropriate calculate a specific bad debt expense for each company based on the test year data. In addition, based on </w:t>
      </w:r>
      <w:r w:rsidR="007650B2">
        <w:t>our</w:t>
      </w:r>
      <w:r w:rsidRPr="00002494">
        <w:t xml:space="preserve"> review of the available billing records, it appears that Sunrise has a larger incidence of high delinquent balances than Alturas. Based on the above, </w:t>
      </w:r>
      <w:r w:rsidR="007650B2">
        <w:t>we</w:t>
      </w:r>
      <w:r w:rsidRPr="00002494">
        <w:t xml:space="preserve"> decreased this account by $2,510, and </w:t>
      </w:r>
      <w:r w:rsidR="007650B2">
        <w:t>find</w:t>
      </w:r>
      <w:r w:rsidRPr="00002494">
        <w:t xml:space="preserve"> a bad debt expense of $1,389.</w:t>
      </w:r>
    </w:p>
    <w:p w:rsidR="007650B2" w:rsidRPr="00002494" w:rsidRDefault="007650B2" w:rsidP="007650B2">
      <w:pPr>
        <w:ind w:firstLine="720"/>
        <w:jc w:val="both"/>
      </w:pPr>
    </w:p>
    <w:p w:rsidR="007650B2" w:rsidRDefault="007650B2">
      <w:pPr>
        <w:rPr>
          <w:b/>
          <w:bCs/>
          <w:i/>
          <w:iCs/>
          <w:szCs w:val="28"/>
        </w:rPr>
      </w:pPr>
      <w:r>
        <w:rPr>
          <w:b/>
          <w:bCs/>
          <w:i/>
          <w:iCs/>
          <w:szCs w:val="28"/>
        </w:rPr>
        <w:br w:type="page"/>
      </w:r>
    </w:p>
    <w:p w:rsidR="00002494" w:rsidRPr="007650B2" w:rsidRDefault="00002494" w:rsidP="007650B2">
      <w:pPr>
        <w:ind w:left="720" w:firstLine="720"/>
        <w:jc w:val="both"/>
        <w:outlineLvl w:val="3"/>
        <w:rPr>
          <w:bCs/>
          <w:iCs/>
          <w:szCs w:val="28"/>
        </w:rPr>
      </w:pPr>
      <w:r w:rsidRPr="007650B2">
        <w:rPr>
          <w:bCs/>
          <w:iCs/>
          <w:szCs w:val="28"/>
        </w:rPr>
        <w:lastRenderedPageBreak/>
        <w:t>Miscellaneous Expense (675)</w:t>
      </w:r>
    </w:p>
    <w:p w:rsidR="007650B2" w:rsidRDefault="007650B2" w:rsidP="00526BF4">
      <w:pPr>
        <w:jc w:val="both"/>
      </w:pPr>
    </w:p>
    <w:p w:rsidR="00002494" w:rsidRPr="00002494" w:rsidRDefault="00002494" w:rsidP="007650B2">
      <w:pPr>
        <w:ind w:firstLine="720"/>
        <w:jc w:val="both"/>
      </w:pPr>
      <w:r w:rsidRPr="00002494">
        <w:t xml:space="preserve">The Utility’s Expense Summary reflects $6,342 in this account. </w:t>
      </w:r>
      <w:r w:rsidR="007650B2">
        <w:t xml:space="preserve">We </w:t>
      </w:r>
      <w:r w:rsidRPr="00002494">
        <w:t xml:space="preserve">decreased this account by $1,371 to reflect the appropriate test year miscellaneous expense for the Utility’s annual permit and license renewal fees, cell phones, postage, and office supplies. </w:t>
      </w:r>
      <w:r w:rsidR="007650B2">
        <w:t>We</w:t>
      </w:r>
      <w:r w:rsidRPr="00002494">
        <w:t xml:space="preserve"> used the Utility’s direct actual expense for the PCHD annual drinking water permit, the Southwest Florida Water Management District annual water permit, and the Department of State’s Division of Corporation’s annual filing fee. In addition, </w:t>
      </w:r>
      <w:r w:rsidR="007650B2">
        <w:t xml:space="preserve">we </w:t>
      </w:r>
      <w:r w:rsidRPr="00002494">
        <w:t>used the ERC allocation method to allocate the common miscellaneous expenses related to the Utility’s cell phone, postage, and office supplies.</w:t>
      </w:r>
    </w:p>
    <w:p w:rsidR="007650B2" w:rsidRDefault="007650B2" w:rsidP="00526BF4">
      <w:pPr>
        <w:jc w:val="both"/>
      </w:pPr>
    </w:p>
    <w:p w:rsidR="00002494" w:rsidRDefault="00002494" w:rsidP="007650B2">
      <w:pPr>
        <w:ind w:firstLine="720"/>
        <w:jc w:val="both"/>
      </w:pPr>
      <w:r w:rsidRPr="00002494">
        <w:t xml:space="preserve">In its June 10, 2015, letter, OPC noted the Utility’s test year miscellaneous expense included additional work performed by the contractual plant operator to assist with the transition between office mangers. OPC believes this is a non-recurring expense that should not be included in setting future rates. </w:t>
      </w:r>
      <w:r w:rsidR="007650B2">
        <w:t xml:space="preserve">We </w:t>
      </w:r>
      <w:r w:rsidRPr="00002494">
        <w:t>agree that this work is outside the scope of the operator’s regularly recurring duties</w:t>
      </w:r>
      <w:r w:rsidR="007650B2">
        <w:t>;</w:t>
      </w:r>
      <w:r w:rsidRPr="00002494">
        <w:t xml:space="preserve"> however, </w:t>
      </w:r>
      <w:r w:rsidR="007650B2">
        <w:t>we find it more</w:t>
      </w:r>
      <w:r w:rsidRPr="00002494">
        <w:t xml:space="preserve"> appropriate to amortize the non-recurring expense over a five-year period consistent with Rule 25-30.433(8), F.A.C. The operator’s expense was $740 for Sun</w:t>
      </w:r>
      <w:r w:rsidR="007650B2">
        <w:t>rise and Alturas combined. We</w:t>
      </w:r>
      <w:r w:rsidRPr="00002494">
        <w:t xml:space="preserve"> increased this account by $115 to reflect Sunrise’s amortized allocation of that expense ($740 / 5 = $148; $148 x .78 = $115).</w:t>
      </w:r>
    </w:p>
    <w:p w:rsidR="007650B2" w:rsidRPr="00002494" w:rsidRDefault="007650B2" w:rsidP="00526BF4">
      <w:pPr>
        <w:jc w:val="both"/>
      </w:pPr>
    </w:p>
    <w:p w:rsidR="00002494" w:rsidRDefault="00002494" w:rsidP="007650B2">
      <w:pPr>
        <w:ind w:firstLine="720"/>
        <w:jc w:val="both"/>
      </w:pPr>
      <w:r w:rsidRPr="00002494">
        <w:t xml:space="preserve">The Utility’s 2011 SARC included recovery of the Utility’s annual membership dues to the Florida Rural Water Association (FRWA). However, the Utility did not renew its membership each year following that case. Subsequent to the test year, in August 2015, the Utility became a member of the FRWA again and provided proof of payment of the Utility’s annual membership dues. Therefore, </w:t>
      </w:r>
      <w:r w:rsidR="007650B2">
        <w:t>we i</w:t>
      </w:r>
      <w:r w:rsidRPr="00002494">
        <w:t xml:space="preserve">ncreased this account by $202 to reflect a pro forma adjustment for the Utility’s annual FRWA membership dues. </w:t>
      </w:r>
      <w:r w:rsidR="007650B2">
        <w:t>We remind Sunrise</w:t>
      </w:r>
      <w:r w:rsidRPr="00002494">
        <w:t xml:space="preserve"> that the </w:t>
      </w:r>
      <w:r w:rsidR="007650B2">
        <w:t xml:space="preserve">FRWA </w:t>
      </w:r>
      <w:r w:rsidRPr="00002494">
        <w:t>membership dues included in the Utility’s revenue requirement are intended to serve as annual recurring expense for the purpose of renewing the Utility’s FRWA membership each year.</w:t>
      </w:r>
    </w:p>
    <w:p w:rsidR="007650B2" w:rsidRPr="00002494" w:rsidRDefault="007650B2" w:rsidP="007650B2">
      <w:pPr>
        <w:ind w:firstLine="720"/>
        <w:jc w:val="both"/>
      </w:pPr>
    </w:p>
    <w:p w:rsidR="00002494" w:rsidRPr="00002494" w:rsidRDefault="007650B2" w:rsidP="007650B2">
      <w:pPr>
        <w:ind w:firstLine="720"/>
        <w:jc w:val="both"/>
        <w:rPr>
          <w:b/>
          <w:bCs/>
          <w:i/>
          <w:iCs/>
          <w:szCs w:val="28"/>
        </w:rPr>
      </w:pPr>
      <w:r>
        <w:t xml:space="preserve">We also </w:t>
      </w:r>
      <w:r w:rsidR="00002494" w:rsidRPr="00002494">
        <w:t xml:space="preserve">increased this account by $108 to make a pro forma adjustment to reflect Sunrise’s amortized allocation of the Utility’s purchase of a billing software update, an additional billing software license, and billing software training for the contractual office manager. </w:t>
      </w:r>
      <w:r>
        <w:t>In addition, we</w:t>
      </w:r>
      <w:r w:rsidR="00002494" w:rsidRPr="00002494">
        <w:t xml:space="preserve"> increased this account by $60 to make a pro forma adjustment to reflect Sunrise’s amortized allocation of an electronic bank deposit machine that enables the contractual office manager to electronically deposit customer’s payments on the business day the payments are received. The Utility made these pro forma purchases in an effort to improve the Utility’s billing and collection practices. Therefore, </w:t>
      </w:r>
      <w:r>
        <w:t xml:space="preserve">we find it </w:t>
      </w:r>
      <w:r w:rsidR="00002494" w:rsidRPr="00002494">
        <w:t xml:space="preserve">appropriate to make these pro forma adjustments and allow the Utility to recover these expenses as non-recurring expenses over a five-year period. </w:t>
      </w:r>
      <w:r>
        <w:t>Our</w:t>
      </w:r>
      <w:r w:rsidR="00002494" w:rsidRPr="00002494">
        <w:t xml:space="preserve"> net adjustment to this account is a decrease of $885 (-$1,371 + 115 + 202 + 108 + 60 =  -$885), resulting in </w:t>
      </w:r>
      <w:r>
        <w:t xml:space="preserve">a </w:t>
      </w:r>
      <w:r w:rsidR="00002494" w:rsidRPr="00002494">
        <w:t>miscellaneous expense of $5,457 for the test year.</w:t>
      </w:r>
    </w:p>
    <w:p w:rsidR="00002494" w:rsidRPr="00002494" w:rsidRDefault="00002494" w:rsidP="00526BF4">
      <w:pPr>
        <w:jc w:val="both"/>
        <w:outlineLvl w:val="2"/>
        <w:rPr>
          <w:b/>
          <w:bCs/>
          <w:iCs/>
          <w:szCs w:val="28"/>
        </w:rPr>
      </w:pPr>
    </w:p>
    <w:p w:rsidR="00002494" w:rsidRPr="007650B2" w:rsidRDefault="0034396E" w:rsidP="007650B2">
      <w:pPr>
        <w:ind w:left="720" w:firstLine="720"/>
        <w:jc w:val="both"/>
        <w:outlineLvl w:val="3"/>
        <w:rPr>
          <w:bCs/>
          <w:iCs/>
          <w:szCs w:val="28"/>
        </w:rPr>
      </w:pPr>
      <w:r>
        <w:rPr>
          <w:bCs/>
          <w:iCs/>
          <w:szCs w:val="28"/>
        </w:rPr>
        <w:t xml:space="preserve">O&amp;M </w:t>
      </w:r>
      <w:r w:rsidR="00002494" w:rsidRPr="007650B2">
        <w:rPr>
          <w:bCs/>
          <w:iCs/>
          <w:szCs w:val="28"/>
        </w:rPr>
        <w:t xml:space="preserve">Expense </w:t>
      </w:r>
      <w:r w:rsidR="007650B2" w:rsidRPr="007650B2">
        <w:rPr>
          <w:bCs/>
          <w:iCs/>
          <w:szCs w:val="28"/>
        </w:rPr>
        <w:t xml:space="preserve">Summary </w:t>
      </w:r>
    </w:p>
    <w:p w:rsidR="007650B2" w:rsidRDefault="007650B2" w:rsidP="00526BF4">
      <w:pPr>
        <w:jc w:val="both"/>
      </w:pPr>
    </w:p>
    <w:p w:rsidR="00002494" w:rsidRPr="00002494" w:rsidRDefault="00002494" w:rsidP="007650B2">
      <w:pPr>
        <w:ind w:firstLine="720"/>
        <w:jc w:val="both"/>
      </w:pPr>
      <w:r w:rsidRPr="00002494">
        <w:t xml:space="preserve">Based on the above adjustments, O&amp;M expense </w:t>
      </w:r>
      <w:r w:rsidR="00E73CE2">
        <w:t>shall</w:t>
      </w:r>
      <w:r w:rsidRPr="00002494">
        <w:t xml:space="preserve"> be decreased by $2,676, resulting in total O&amp;M expense of $66,697. </w:t>
      </w:r>
      <w:r w:rsidR="007650B2">
        <w:t>Our</w:t>
      </w:r>
      <w:r w:rsidRPr="00002494">
        <w:t xml:space="preserve"> adjustments to O&amp;M expense are shown on Schedule Nos. 3-A and 3-B.</w:t>
      </w:r>
    </w:p>
    <w:p w:rsidR="00002494" w:rsidRPr="007650B2" w:rsidRDefault="00002494" w:rsidP="007650B2">
      <w:pPr>
        <w:ind w:firstLine="720"/>
        <w:jc w:val="both"/>
        <w:outlineLvl w:val="2"/>
        <w:rPr>
          <w:bCs/>
          <w:i/>
          <w:iCs/>
          <w:szCs w:val="28"/>
        </w:rPr>
      </w:pPr>
      <w:r w:rsidRPr="007650B2">
        <w:rPr>
          <w:bCs/>
          <w:i/>
          <w:iCs/>
          <w:szCs w:val="28"/>
        </w:rPr>
        <w:lastRenderedPageBreak/>
        <w:t>Depreciation Expense (Net of Amortization of CIAC)</w:t>
      </w:r>
    </w:p>
    <w:p w:rsidR="0034396E" w:rsidRDefault="0034396E" w:rsidP="00526BF4">
      <w:pPr>
        <w:jc w:val="both"/>
      </w:pPr>
    </w:p>
    <w:p w:rsidR="00002494" w:rsidRDefault="00002494" w:rsidP="0034396E">
      <w:pPr>
        <w:ind w:firstLine="720"/>
        <w:jc w:val="both"/>
      </w:pPr>
      <w:r w:rsidRPr="00002494">
        <w:t xml:space="preserve">No depreciation or CIAC amortization expense balances were available for 2014. </w:t>
      </w:r>
      <w:r w:rsidR="00835BE5">
        <w:t>We</w:t>
      </w:r>
      <w:r w:rsidRPr="00002494">
        <w:t xml:space="preserve"> calculated depreciation expense using the prescribed rates set forth in Rule 25-30.140, F.A.C., and determined a test year depreciation expense of $4,559. </w:t>
      </w:r>
      <w:r w:rsidR="0034396E">
        <w:t>We</w:t>
      </w:r>
      <w:r w:rsidRPr="00002494">
        <w:t xml:space="preserve"> decreased this account by $51 to reflect retirement of certain pro forma items from the Utili</w:t>
      </w:r>
      <w:r w:rsidR="0034396E">
        <w:t>ty’s last SARC, as discussed above in the Rate Base section of this Order</w:t>
      </w:r>
      <w:r w:rsidRPr="00002494">
        <w:t xml:space="preserve">, reducing the test year depreciation expense to $4,508. </w:t>
      </w:r>
    </w:p>
    <w:p w:rsidR="0034396E" w:rsidRPr="00002494" w:rsidRDefault="0034396E" w:rsidP="0034396E">
      <w:pPr>
        <w:ind w:firstLine="720"/>
        <w:jc w:val="both"/>
      </w:pPr>
    </w:p>
    <w:p w:rsidR="00002494" w:rsidRPr="00002494" w:rsidRDefault="0034396E" w:rsidP="0034396E">
      <w:pPr>
        <w:ind w:firstLine="720"/>
        <w:jc w:val="both"/>
      </w:pPr>
      <w:r>
        <w:t>As discussed above in the Rate Base section of this Order</w:t>
      </w:r>
      <w:r w:rsidR="00002494" w:rsidRPr="00002494">
        <w:t xml:space="preserve">, the Utility’s CIAC became fully amortized in August 2015. Consequently, the CIAC amortization expense ended in August 2015 as well. Therefore, </w:t>
      </w:r>
      <w:r>
        <w:t xml:space="preserve">we find </w:t>
      </w:r>
      <w:r w:rsidR="00002494" w:rsidRPr="00002494">
        <w:t>no CIAC amortization expense</w:t>
      </w:r>
      <w:r>
        <w:t>, resulting</w:t>
      </w:r>
      <w:r w:rsidR="00002494" w:rsidRPr="00002494">
        <w:t xml:space="preserve"> in a net depreciation expense of $4,508 ($4,508 - $0).</w:t>
      </w:r>
    </w:p>
    <w:p w:rsidR="00002494" w:rsidRPr="00002494" w:rsidRDefault="00002494" w:rsidP="00526BF4">
      <w:pPr>
        <w:rPr>
          <w:b/>
          <w:bCs/>
          <w:iCs/>
          <w:szCs w:val="28"/>
        </w:rPr>
      </w:pPr>
    </w:p>
    <w:p w:rsidR="00002494" w:rsidRPr="007650B2" w:rsidRDefault="00002494" w:rsidP="007650B2">
      <w:pPr>
        <w:ind w:firstLine="720"/>
        <w:jc w:val="both"/>
        <w:outlineLvl w:val="2"/>
        <w:rPr>
          <w:bCs/>
          <w:i/>
          <w:iCs/>
          <w:szCs w:val="28"/>
        </w:rPr>
      </w:pPr>
      <w:r w:rsidRPr="007650B2">
        <w:rPr>
          <w:bCs/>
          <w:i/>
          <w:iCs/>
          <w:szCs w:val="28"/>
        </w:rPr>
        <w:t>Taxes Other Than Income (TOTI)</w:t>
      </w:r>
    </w:p>
    <w:p w:rsidR="0034396E" w:rsidRDefault="0034396E" w:rsidP="00526BF4">
      <w:pPr>
        <w:jc w:val="both"/>
      </w:pPr>
    </w:p>
    <w:p w:rsidR="00002494" w:rsidRDefault="00002494" w:rsidP="0034396E">
      <w:pPr>
        <w:ind w:firstLine="720"/>
        <w:jc w:val="both"/>
      </w:pPr>
      <w:r w:rsidRPr="00002494">
        <w:t xml:space="preserve">The Utility’s Expense Summary reflects $5,731 in TOTI for the test year, although an official balance for 2014 was not yet available at the time of </w:t>
      </w:r>
      <w:r w:rsidR="0034396E">
        <w:t xml:space="preserve">our </w:t>
      </w:r>
      <w:r w:rsidRPr="00002494">
        <w:t xml:space="preserve">audit. </w:t>
      </w:r>
      <w:r w:rsidR="0034396E">
        <w:t xml:space="preserve">We </w:t>
      </w:r>
      <w:r w:rsidRPr="00002494">
        <w:t xml:space="preserve">increased this account by $249 to reflect the appropriate test year RAFs. Also, </w:t>
      </w:r>
      <w:r w:rsidR="0034396E">
        <w:t>we</w:t>
      </w:r>
      <w:r w:rsidRPr="00002494">
        <w:t xml:space="preserve"> decreased this account by $1,745 to reflect the appropriate property taxes and remove license and permit renewal fees that are already included in Account No. 675 – Miscellaneous Expense. </w:t>
      </w:r>
      <w:r w:rsidR="0034396E">
        <w:t>Our</w:t>
      </w:r>
      <w:r w:rsidRPr="00002494">
        <w:t xml:space="preserve"> adjustment includes a $19 decrease from the Utility’s test year property taxes based upon the 2015 tax assessments. </w:t>
      </w:r>
      <w:r w:rsidR="0034396E">
        <w:t xml:space="preserve">Our </w:t>
      </w:r>
      <w:r w:rsidRPr="00002494">
        <w:t xml:space="preserve">net adjustment to test year TOTI is a decrease of $1,496. In addition, as discussed </w:t>
      </w:r>
      <w:r w:rsidR="0034396E">
        <w:t xml:space="preserve">below </w:t>
      </w:r>
      <w:r w:rsidRPr="00002494">
        <w:t xml:space="preserve">in </w:t>
      </w:r>
      <w:r w:rsidR="0034396E">
        <w:t>the Revenue Requirement section of this Order</w:t>
      </w:r>
      <w:r w:rsidRPr="00002494">
        <w:t xml:space="preserve">, revenues have been increased by $7,510 to reflect the change in revenue required to cover expenses and allow the recommended operating ratio. As a result, </w:t>
      </w:r>
      <w:r w:rsidR="0034396E">
        <w:t xml:space="preserve">we increased </w:t>
      </w:r>
      <w:r w:rsidRPr="00002494">
        <w:t>TOTI by $338 to reflect RAFs of 4.5 percent of the change in revenues</w:t>
      </w:r>
      <w:r w:rsidR="0034396E">
        <w:t xml:space="preserve">, and find a </w:t>
      </w:r>
      <w:r w:rsidRPr="00002494">
        <w:t>TOTI of $4,573.</w:t>
      </w:r>
    </w:p>
    <w:p w:rsidR="00FB23DB" w:rsidRPr="00002494" w:rsidRDefault="00FB23DB" w:rsidP="00526BF4">
      <w:pPr>
        <w:jc w:val="both"/>
      </w:pPr>
    </w:p>
    <w:p w:rsidR="00002494" w:rsidRPr="0034396E" w:rsidRDefault="00002494" w:rsidP="0034396E">
      <w:pPr>
        <w:ind w:firstLine="720"/>
        <w:jc w:val="both"/>
        <w:outlineLvl w:val="2"/>
        <w:rPr>
          <w:bCs/>
          <w:i/>
          <w:iCs/>
          <w:szCs w:val="28"/>
        </w:rPr>
      </w:pPr>
      <w:r w:rsidRPr="0034396E">
        <w:rPr>
          <w:bCs/>
          <w:i/>
          <w:iCs/>
          <w:szCs w:val="28"/>
        </w:rPr>
        <w:t>Operating Expenses Summary</w:t>
      </w:r>
    </w:p>
    <w:p w:rsidR="0034396E" w:rsidRDefault="0034396E" w:rsidP="00526BF4">
      <w:pPr>
        <w:jc w:val="both"/>
      </w:pPr>
    </w:p>
    <w:p w:rsidR="00002494" w:rsidRDefault="00002494" w:rsidP="0034396E">
      <w:pPr>
        <w:ind w:firstLine="720"/>
        <w:jc w:val="both"/>
      </w:pPr>
      <w:r w:rsidRPr="00002494">
        <w:t xml:space="preserve">The application of </w:t>
      </w:r>
      <w:r w:rsidR="0034396E">
        <w:t xml:space="preserve">our </w:t>
      </w:r>
      <w:r w:rsidRPr="00002494">
        <w:t xml:space="preserve">adjustments to Sunrise’s test year operating expenses result in operating expenses of $75,778. </w:t>
      </w:r>
      <w:r w:rsidR="0034396E">
        <w:t>We find that Sunrise shall</w:t>
      </w:r>
      <w:r w:rsidRPr="00002494">
        <w:t xml:space="preserve"> be required to file documentation in this docket by December 31, 2016, showing that the pro forma </w:t>
      </w:r>
      <w:proofErr w:type="spellStart"/>
      <w:r w:rsidRPr="00002494">
        <w:t>trihalomethane</w:t>
      </w:r>
      <w:proofErr w:type="spellEnd"/>
      <w:r w:rsidRPr="00002494">
        <w:t xml:space="preserve"> and </w:t>
      </w:r>
      <w:proofErr w:type="spellStart"/>
      <w:r w:rsidRPr="00002494">
        <w:t>haloacetic</w:t>
      </w:r>
      <w:proofErr w:type="spellEnd"/>
      <w:r w:rsidRPr="00002494">
        <w:t xml:space="preserve"> acid tests have been completed. The documentation </w:t>
      </w:r>
      <w:r w:rsidR="00E73CE2">
        <w:t>shall</w:t>
      </w:r>
      <w:r w:rsidRPr="00002494">
        <w:t xml:space="preserve"> include a copy of the test results and final invoices. Operating expenses are shown on Schedule No. 3-A</w:t>
      </w:r>
      <w:r w:rsidR="0034396E">
        <w:t>, attached to this Order, and t</w:t>
      </w:r>
      <w:r w:rsidRPr="00002494">
        <w:t>he adjustments are shown on Schedule No. 3-B.</w:t>
      </w:r>
    </w:p>
    <w:p w:rsidR="0034396E" w:rsidRDefault="0034396E" w:rsidP="0034396E">
      <w:pPr>
        <w:jc w:val="both"/>
      </w:pPr>
    </w:p>
    <w:p w:rsidR="0034396E" w:rsidRDefault="00387869" w:rsidP="0034396E">
      <w:pPr>
        <w:jc w:val="both"/>
        <w:rPr>
          <w:u w:val="single"/>
        </w:rPr>
      </w:pPr>
      <w:r>
        <w:rPr>
          <w:u w:val="single"/>
        </w:rPr>
        <w:t xml:space="preserve">Appropriate </w:t>
      </w:r>
      <w:r w:rsidR="0034396E">
        <w:rPr>
          <w:u w:val="single"/>
        </w:rPr>
        <w:t>Methodology for Revenue Requirement Calculation</w:t>
      </w:r>
    </w:p>
    <w:p w:rsidR="0034396E" w:rsidRPr="0034396E" w:rsidRDefault="0034396E" w:rsidP="0034396E">
      <w:pPr>
        <w:jc w:val="both"/>
        <w:rPr>
          <w:u w:val="single"/>
        </w:rPr>
      </w:pPr>
    </w:p>
    <w:p w:rsidR="00002494" w:rsidRDefault="00002494" w:rsidP="0034396E">
      <w:pPr>
        <w:ind w:firstLine="720"/>
        <w:jc w:val="both"/>
      </w:pPr>
      <w:r w:rsidRPr="00002494">
        <w:t xml:space="preserve">Section 367.0814(9), F.S., provides that </w:t>
      </w:r>
      <w:r w:rsidR="003565DE">
        <w:t>we</w:t>
      </w:r>
      <w:r w:rsidRPr="00002494">
        <w:t xml:space="preserve">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w:t>
      </w:r>
      <w:r w:rsidR="003565DE">
        <w:t>,000 per system may petition this</w:t>
      </w:r>
      <w:r w:rsidRPr="00002494">
        <w:t xml:space="preserve"> Commission for staff assistance in alternative rate setting.</w:t>
      </w:r>
    </w:p>
    <w:p w:rsidR="003565DE" w:rsidRPr="00002494" w:rsidRDefault="003565DE" w:rsidP="0034396E">
      <w:pPr>
        <w:ind w:firstLine="720"/>
        <w:jc w:val="both"/>
      </w:pPr>
    </w:p>
    <w:p w:rsidR="00002494" w:rsidRDefault="00002494" w:rsidP="003565DE">
      <w:pPr>
        <w:ind w:firstLine="720"/>
        <w:jc w:val="both"/>
      </w:pPr>
      <w:r w:rsidRPr="00002494">
        <w:lastRenderedPageBreak/>
        <w:t>Although Sunrise did not petition</w:t>
      </w:r>
      <w:r w:rsidR="003565DE">
        <w:t xml:space="preserve"> this Commission</w:t>
      </w:r>
      <w:r w:rsidRPr="00002494">
        <w:t xml:space="preserve"> for alternative rate setting under the aforementioned Rule, </w:t>
      </w:r>
      <w:r w:rsidR="003565DE">
        <w:t>we exercise our</w:t>
      </w:r>
      <w:r w:rsidR="00E73CE2">
        <w:t xml:space="preserve"> discretion and</w:t>
      </w:r>
      <w:r w:rsidRPr="00002494">
        <w:t xml:space="preserve"> employ the operating ratio methodology to set rates in this case. The operating ratio methodology is an alternative to the traditional calculation of revenue requirements. Under this methodology, instead of applying a return on the Utility’s rate base, the revenue requirement is based on the margin of Sunrise’s O&amp;M expenses. This methodology has been applied in cases in which the traditional calculation of revenue requirements would not provide sufficient revenue to protect against potential variances in revenues and expenses.</w:t>
      </w:r>
    </w:p>
    <w:p w:rsidR="003565DE" w:rsidRPr="00002494" w:rsidRDefault="003565DE" w:rsidP="003565DE">
      <w:pPr>
        <w:ind w:firstLine="720"/>
        <w:jc w:val="both"/>
      </w:pPr>
    </w:p>
    <w:p w:rsidR="00002494" w:rsidRDefault="00002494" w:rsidP="003565DE">
      <w:pPr>
        <w:ind w:firstLine="720"/>
        <w:jc w:val="both"/>
      </w:pPr>
      <w:r w:rsidRPr="00002494">
        <w:t>By Order No. PSC-96-0357-FOF-WU (March 1996 Order),</w:t>
      </w:r>
      <w:r w:rsidR="003565DE">
        <w:t xml:space="preserve"> we</w:t>
      </w:r>
      <w:r w:rsidRPr="00002494">
        <w:t xml:space="preserve"> utilized the operating ratio methodology as an alternative means for setting rates</w:t>
      </w:r>
      <w:r w:rsidR="003565DE">
        <w:t xml:space="preserve"> for the first time</w:t>
      </w:r>
      <w:r w:rsidRPr="00002494">
        <w:t xml:space="preserve">. This order also established criteria to determine the use of the operating ratio methodology and a guideline margin of 10 percent of O&amp;M expense. This criteria was applied again in Order No. PSC-97-0130-FOF-SU and most recently, </w:t>
      </w:r>
      <w:r w:rsidR="003565DE">
        <w:t>we</w:t>
      </w:r>
      <w:r w:rsidRPr="00002494">
        <w:t xml:space="preserve"> approved the operating ratio methodology for setting rates in Order No. PSC-15-0535-PAA-WU.</w:t>
      </w:r>
      <w:r w:rsidRPr="00002494">
        <w:rPr>
          <w:vertAlign w:val="superscript"/>
        </w:rPr>
        <w:footnoteReference w:id="13"/>
      </w:r>
    </w:p>
    <w:p w:rsidR="003565DE" w:rsidRPr="00002494" w:rsidRDefault="003565DE" w:rsidP="003565DE">
      <w:pPr>
        <w:ind w:firstLine="720"/>
        <w:jc w:val="both"/>
      </w:pPr>
    </w:p>
    <w:p w:rsidR="00002494" w:rsidRDefault="00002494" w:rsidP="003565DE">
      <w:pPr>
        <w:ind w:firstLine="720"/>
        <w:jc w:val="both"/>
      </w:pPr>
      <w:r w:rsidRPr="00002494">
        <w:t xml:space="preserve">By the March 1996 Order, </w:t>
      </w:r>
      <w:r w:rsidR="003565DE">
        <w:t>we</w:t>
      </w:r>
      <w:r w:rsidRPr="00002494">
        <w:t xml:space="preserve"> established criteria to determine whether to utilize the operating ratio methodology for those utilities with low or non-existent rate base. The qualifying criteria established by the March 1996 Or</w:t>
      </w:r>
      <w:r w:rsidR="003565DE">
        <w:t>der, and how they apply to the u</w:t>
      </w:r>
      <w:r w:rsidRPr="00002494">
        <w:t>tility are discussed below:</w:t>
      </w:r>
    </w:p>
    <w:p w:rsidR="003565DE" w:rsidRPr="00002494" w:rsidRDefault="003565DE" w:rsidP="003565DE">
      <w:pPr>
        <w:ind w:firstLine="720"/>
        <w:jc w:val="both"/>
      </w:pPr>
    </w:p>
    <w:p w:rsidR="00002494" w:rsidRDefault="00002494" w:rsidP="003565DE">
      <w:pPr>
        <w:pStyle w:val="ListParagraph"/>
        <w:numPr>
          <w:ilvl w:val="0"/>
          <w:numId w:val="26"/>
        </w:numPr>
        <w:jc w:val="both"/>
      </w:pPr>
      <w:r w:rsidRPr="003565DE">
        <w:rPr>
          <w:u w:val="single"/>
        </w:rPr>
        <w:t>Whether the Utility</w:t>
      </w:r>
      <w:r w:rsidRPr="00002494">
        <w:rPr>
          <w:u w:val="single"/>
        </w:rPr>
        <w:sym w:font="WP TypographicSymbols" w:char="003D"/>
      </w:r>
      <w:r w:rsidRPr="003565DE">
        <w:rPr>
          <w:u w:val="single"/>
        </w:rPr>
        <w:t>s O&amp;M expense exceeds rate base</w:t>
      </w:r>
      <w:r w:rsidRPr="00002494">
        <w:t xml:space="preserve">. The operating ratio method substitutes O&amp;M expense for rate base in calculating the amount of return. A </w:t>
      </w:r>
      <w:r w:rsidR="003565DE">
        <w:t>u</w:t>
      </w:r>
      <w:r w:rsidRPr="00002494">
        <w:t>tility generally would not benefit from the operating ratio method if rate base exceeds O&amp;M expense. The decision to use the operating ratio method depends on the determination of whether the primary risk resides in capital costs or operating expenses. In the instant case, the rate base is less than</w:t>
      </w:r>
      <w:r w:rsidR="003565DE">
        <w:t xml:space="preserve"> the level of O&amp;M expense. The u</w:t>
      </w:r>
      <w:r w:rsidRPr="00002494">
        <w:t xml:space="preserve">tility’s primary risk resides with covering its operating expense. Based on </w:t>
      </w:r>
      <w:r w:rsidR="003565DE">
        <w:t>our findings,</w:t>
      </w:r>
      <w:r w:rsidRPr="00002494">
        <w:t xml:space="preserve"> the adjusted rate base for the test year is $49,773, while adjusted O&amp;M expense is $66,697.</w:t>
      </w:r>
    </w:p>
    <w:p w:rsidR="003565DE" w:rsidRDefault="003565DE" w:rsidP="003565DE">
      <w:pPr>
        <w:pStyle w:val="ListParagraph"/>
        <w:ind w:left="1080"/>
        <w:jc w:val="both"/>
      </w:pPr>
    </w:p>
    <w:p w:rsidR="003565DE" w:rsidRDefault="00002494" w:rsidP="003565DE">
      <w:pPr>
        <w:pStyle w:val="ListParagraph"/>
        <w:numPr>
          <w:ilvl w:val="0"/>
          <w:numId w:val="26"/>
        </w:numPr>
        <w:jc w:val="both"/>
      </w:pPr>
      <w:r w:rsidRPr="003565DE">
        <w:rPr>
          <w:u w:val="single"/>
        </w:rPr>
        <w:t>Whether the Utility is expected to become a Class B utility in the foreseeable future</w:t>
      </w:r>
      <w:r w:rsidRPr="00002494">
        <w:t>. Pursuant to Section 367.0814(9), F.S., the alternative form of regulation being considered in this case only applies to small utilities with gross annual revenue of $275,000 or less. Sunrise is a Class C utility and the recommended revenue requirement of $82,448 is below the threshold level for Class B status ($200,000 per system).</w:t>
      </w:r>
    </w:p>
    <w:p w:rsidR="003565DE" w:rsidRDefault="003565DE" w:rsidP="003565DE">
      <w:pPr>
        <w:jc w:val="both"/>
      </w:pPr>
    </w:p>
    <w:p w:rsidR="00835BE5" w:rsidRPr="00835BE5" w:rsidRDefault="00835BE5" w:rsidP="00835BE5">
      <w:pPr>
        <w:pStyle w:val="ListParagraph"/>
        <w:ind w:left="1080"/>
        <w:jc w:val="both"/>
      </w:pPr>
    </w:p>
    <w:p w:rsidR="00835BE5" w:rsidRPr="00835BE5" w:rsidRDefault="00835BE5" w:rsidP="00835BE5">
      <w:pPr>
        <w:pStyle w:val="ListParagraph"/>
        <w:rPr>
          <w:u w:val="single"/>
        </w:rPr>
      </w:pPr>
    </w:p>
    <w:p w:rsidR="003565DE" w:rsidRPr="003565DE" w:rsidRDefault="00002494" w:rsidP="003565DE">
      <w:pPr>
        <w:pStyle w:val="ListParagraph"/>
        <w:numPr>
          <w:ilvl w:val="0"/>
          <w:numId w:val="26"/>
        </w:numPr>
        <w:jc w:val="both"/>
      </w:pPr>
      <w:r w:rsidRPr="003565DE">
        <w:rPr>
          <w:u w:val="single"/>
        </w:rPr>
        <w:lastRenderedPageBreak/>
        <w:t>Quality of service and condition of plant</w:t>
      </w:r>
      <w:r w:rsidRPr="00002494">
        <w:t xml:space="preserve">. As discussed </w:t>
      </w:r>
      <w:r w:rsidR="003565DE">
        <w:t>above</w:t>
      </w:r>
      <w:r w:rsidRPr="00002494">
        <w:t xml:space="preserve">, </w:t>
      </w:r>
      <w:r w:rsidR="003565DE">
        <w:t>we found Sunrise’s</w:t>
      </w:r>
      <w:r w:rsidRPr="00002494">
        <w:t xml:space="preserve"> quality of service </w:t>
      </w:r>
      <w:r w:rsidR="003565DE">
        <w:t>to be</w:t>
      </w:r>
      <w:r w:rsidRPr="00002494">
        <w:t xml:space="preserve"> unsatisfactory. As discussed in Order No. PSC-96-0357-FOF-WU, p</w:t>
      </w:r>
      <w:r w:rsidRPr="003565DE">
        <w:rPr>
          <w:spacing w:val="-3"/>
        </w:rPr>
        <w:t>oor condition of plant and/or unsatisfactory quality may be due to a variety of factors such as age of the system, poor maintenance, neglect or malfeasance. These factors should not necessarily disqualify a utility from the operating ratio method. Instead, this highlights the need for an adequate revenue stream to properly test and treat the water, and maintain or renovate the system. The Order specifies that in those cases whe</w:t>
      </w:r>
      <w:r w:rsidR="00835BE5">
        <w:rPr>
          <w:spacing w:val="-3"/>
        </w:rPr>
        <w:t>n</w:t>
      </w:r>
      <w:r w:rsidRPr="003565DE">
        <w:rPr>
          <w:spacing w:val="-3"/>
        </w:rPr>
        <w:t xml:space="preserve"> the owner has contributed to the system's decline, it may be appropriate to pursue certificate revocation and/or an escrow of operating ratio method funds when improvements are needed to restore the utility system.</w:t>
      </w:r>
    </w:p>
    <w:p w:rsidR="003565DE" w:rsidRPr="003565DE" w:rsidRDefault="003565DE" w:rsidP="003565DE">
      <w:pPr>
        <w:pStyle w:val="ListParagraph"/>
        <w:rPr>
          <w:u w:val="single"/>
        </w:rPr>
      </w:pPr>
    </w:p>
    <w:p w:rsidR="003565DE" w:rsidRDefault="00002494" w:rsidP="003565DE">
      <w:pPr>
        <w:pStyle w:val="ListParagraph"/>
        <w:numPr>
          <w:ilvl w:val="0"/>
          <w:numId w:val="26"/>
        </w:numPr>
        <w:jc w:val="both"/>
      </w:pPr>
      <w:r w:rsidRPr="003565DE">
        <w:rPr>
          <w:u w:val="single"/>
        </w:rPr>
        <w:t>Whether the Utility is developer-owned</w:t>
      </w:r>
      <w:r w:rsidRPr="00002494">
        <w:t>. The current Utility owner is not a developer.</w:t>
      </w:r>
    </w:p>
    <w:p w:rsidR="003565DE" w:rsidRPr="003565DE" w:rsidRDefault="003565DE" w:rsidP="003565DE">
      <w:pPr>
        <w:pStyle w:val="ListParagraph"/>
        <w:rPr>
          <w:u w:val="single"/>
        </w:rPr>
      </w:pPr>
    </w:p>
    <w:p w:rsidR="003565DE" w:rsidRDefault="00002494" w:rsidP="003565DE">
      <w:pPr>
        <w:pStyle w:val="ListParagraph"/>
        <w:numPr>
          <w:ilvl w:val="0"/>
          <w:numId w:val="26"/>
        </w:numPr>
        <w:jc w:val="both"/>
      </w:pPr>
      <w:r w:rsidRPr="003565DE">
        <w:rPr>
          <w:u w:val="single"/>
        </w:rPr>
        <w:t>Whether the Utility operates treatment facilities or is simply a distribution system</w:t>
      </w:r>
      <w:r w:rsidRPr="00002494">
        <w:t>. The issue is whether or not purchased water costs should be excluded in the computation of the operating margin. Sunrise operates a water treatment plant and water distribution system.</w:t>
      </w:r>
    </w:p>
    <w:p w:rsidR="003565DE" w:rsidRPr="00002494" w:rsidRDefault="003565DE" w:rsidP="003565DE">
      <w:pPr>
        <w:pStyle w:val="ListParagraph"/>
        <w:ind w:left="1080"/>
        <w:jc w:val="both"/>
      </w:pPr>
    </w:p>
    <w:p w:rsidR="00002494" w:rsidRDefault="00002494" w:rsidP="003565DE">
      <w:pPr>
        <w:ind w:firstLine="720"/>
        <w:jc w:val="both"/>
      </w:pPr>
      <w:r w:rsidRPr="00002494">
        <w:t xml:space="preserve">Based on </w:t>
      </w:r>
      <w:r w:rsidR="003565DE">
        <w:t>our</w:t>
      </w:r>
      <w:r w:rsidRPr="00002494">
        <w:t xml:space="preserve"> review of the Utility’s situation relative to the above criteria, </w:t>
      </w:r>
      <w:r w:rsidR="003565DE">
        <w:t>we find</w:t>
      </w:r>
      <w:r w:rsidRPr="00002494">
        <w:t xml:space="preserve"> that Sunrise is a viable candidate for the operating ratio methodology. As outlined in Order Nos. PSC-96-0357-FOF-WU and PSC-97-0130-FOF-WU, </w:t>
      </w:r>
      <w:r w:rsidR="003422D4">
        <w:t xml:space="preserve">we </w:t>
      </w:r>
      <w:r w:rsidR="00387869">
        <w:t xml:space="preserve">find </w:t>
      </w:r>
      <w:r w:rsidRPr="00002494">
        <w:t xml:space="preserve">that a margin of 10 percent shall be used unless unique circumstances justify the use of a greater or lesser margin. The important question is not what the return percentage should be, but what level of operating margin will allow </w:t>
      </w:r>
      <w:r w:rsidR="00387869">
        <w:t>Sunrise</w:t>
      </w:r>
      <w:r w:rsidRPr="00002494">
        <w:t xml:space="preserve"> to provide safe and reliable service and remain a viable entity. The answer to this question requires a great deal of judgment based upon the particular circumstances of the Utility.</w:t>
      </w:r>
    </w:p>
    <w:p w:rsidR="003565DE" w:rsidRPr="00002494" w:rsidRDefault="003565DE" w:rsidP="003565DE">
      <w:pPr>
        <w:ind w:firstLine="720"/>
        <w:jc w:val="both"/>
      </w:pPr>
    </w:p>
    <w:p w:rsidR="00002494" w:rsidRPr="00002494" w:rsidRDefault="00002494" w:rsidP="003565DE">
      <w:pPr>
        <w:ind w:firstLine="720"/>
        <w:jc w:val="both"/>
      </w:pPr>
      <w:r w:rsidRPr="00002494">
        <w:t>Several factors must be considered in determining the reasonableness of a margin. First, the margin must pr</w:t>
      </w:r>
      <w:r w:rsidR="00387869">
        <w:t>ovide sufficient revenue for Sunrise</w:t>
      </w:r>
      <w:r w:rsidRPr="00002494">
        <w:t xml:space="preserve"> to cover its interest expense. As discussed </w:t>
      </w:r>
      <w:r w:rsidR="00387869">
        <w:t xml:space="preserve">above </w:t>
      </w:r>
      <w:r w:rsidRPr="00002494">
        <w:t>in</w:t>
      </w:r>
      <w:r w:rsidR="00387869">
        <w:t xml:space="preserve"> the Rate Base section of this Order</w:t>
      </w:r>
      <w:r w:rsidRPr="00002494">
        <w:t xml:space="preserve">, </w:t>
      </w:r>
      <w:r w:rsidR="00387869">
        <w:t>Sunrise</w:t>
      </w:r>
      <w:r w:rsidRPr="00002494">
        <w:t xml:space="preserve"> does not currently hold any debt. Therefore, coverage of interest expense is not a concern in this case.</w:t>
      </w:r>
    </w:p>
    <w:p w:rsidR="003565DE" w:rsidRDefault="003565DE" w:rsidP="00526BF4">
      <w:pPr>
        <w:jc w:val="both"/>
      </w:pPr>
    </w:p>
    <w:p w:rsidR="00002494" w:rsidRPr="00002494" w:rsidRDefault="00002494" w:rsidP="003565DE">
      <w:pPr>
        <w:ind w:firstLine="720"/>
        <w:jc w:val="both"/>
      </w:pPr>
      <w:r w:rsidRPr="00002494">
        <w:t xml:space="preserve">Second, use of the operating ratio methodology rests on the contention that the principal risk to </w:t>
      </w:r>
      <w:r w:rsidR="00387869">
        <w:t>Sunrise</w:t>
      </w:r>
      <w:r w:rsidRPr="00002494">
        <w:t xml:space="preserve"> resides in operating cost rather than in capital cost of the plant. Also, the operating ratio method recognizes that a major issue for small utilities is cash flow, therefore, the operating ratio method focuses more on cash flow than on investment. In the instant case, </w:t>
      </w:r>
      <w:r w:rsidR="00387869">
        <w:t>Sunrise</w:t>
      </w:r>
      <w:r w:rsidRPr="00002494">
        <w:t xml:space="preserve">’s primary risk resides with covering its operating expense. A traditional calculation of the revenue requirement may not provide sufficient revenue to protect against potential variances in revenues and expenses. Under the rate base method, the return to Sunrise would be $4,048, which </w:t>
      </w:r>
      <w:r w:rsidR="00387869">
        <w:t xml:space="preserve">we find </w:t>
      </w:r>
      <w:r w:rsidRPr="00002494">
        <w:t xml:space="preserve">is enough to cover an approximate 6.07 percent variance in O&amp;M expense. </w:t>
      </w:r>
      <w:r w:rsidR="00387869">
        <w:t xml:space="preserve">Therefore, we find </w:t>
      </w:r>
      <w:r w:rsidRPr="00002494">
        <w:t xml:space="preserve">$4,048 </w:t>
      </w:r>
      <w:r w:rsidR="00387869">
        <w:t>is an</w:t>
      </w:r>
      <w:r w:rsidRPr="00002494">
        <w:t xml:space="preserve"> insufficient financial cushion.</w:t>
      </w:r>
    </w:p>
    <w:p w:rsidR="003565DE" w:rsidRDefault="003565DE" w:rsidP="00526BF4">
      <w:pPr>
        <w:jc w:val="both"/>
      </w:pPr>
    </w:p>
    <w:p w:rsidR="00387869" w:rsidRDefault="00387869">
      <w:r>
        <w:br w:type="page"/>
      </w:r>
    </w:p>
    <w:p w:rsidR="00002494" w:rsidRDefault="00002494" w:rsidP="003565DE">
      <w:pPr>
        <w:ind w:firstLine="720"/>
        <w:jc w:val="both"/>
      </w:pPr>
      <w:r w:rsidRPr="00002494">
        <w:lastRenderedPageBreak/>
        <w:t xml:space="preserve">Third, if the return on rate base method was applied, a normal return would generate such a small level of revenue that in the event revenue or expenses vary from </w:t>
      </w:r>
      <w:r w:rsidR="00387869">
        <w:t>our findings</w:t>
      </w:r>
      <w:r w:rsidRPr="00002494">
        <w:t xml:space="preserve">, Sunrise could be left with insufficient funds to cover operating expenses. Therefore, the margin should provide adequate revenue to protect against potential variability in revenue and expenses. If the Utility’s operating expenses increase or revenues decrease, Sunrise may not have the funds required for day-to-day operations. </w:t>
      </w:r>
      <w:r w:rsidR="00387869">
        <w:t>We find</w:t>
      </w:r>
      <w:r w:rsidRPr="00002494">
        <w:t xml:space="preserve"> that a 10 percent margin </w:t>
      </w:r>
      <w:r w:rsidR="00387869">
        <w:t>is</w:t>
      </w:r>
      <w:r w:rsidRPr="00002494">
        <w:t xml:space="preserve"> applicable in this case.</w:t>
      </w:r>
    </w:p>
    <w:p w:rsidR="00387869" w:rsidRPr="00002494" w:rsidRDefault="00387869" w:rsidP="003565DE">
      <w:pPr>
        <w:ind w:firstLine="720"/>
        <w:jc w:val="both"/>
      </w:pPr>
    </w:p>
    <w:p w:rsidR="00002494" w:rsidRDefault="00002494" w:rsidP="00387869">
      <w:pPr>
        <w:ind w:firstLine="720"/>
        <w:jc w:val="both"/>
        <w:rPr>
          <w:spacing w:val="-3"/>
        </w:rPr>
      </w:pPr>
      <w:r w:rsidRPr="00002494">
        <w:rPr>
          <w:spacing w:val="-3"/>
        </w:rPr>
        <w:t>At the December 9, 2015, noticed informal meeting</w:t>
      </w:r>
      <w:r w:rsidR="00387869">
        <w:rPr>
          <w:spacing w:val="-3"/>
        </w:rPr>
        <w:t xml:space="preserve"> with our staff</w:t>
      </w:r>
      <w:r w:rsidRPr="00002494">
        <w:rPr>
          <w:spacing w:val="-3"/>
        </w:rPr>
        <w:t xml:space="preserve">, OPC proposed that the operating margin should be reduced from 10 percent to 9 percent due to </w:t>
      </w:r>
      <w:r w:rsidR="00387869">
        <w:t>Sunrise</w:t>
      </w:r>
      <w:r w:rsidRPr="00002494">
        <w:rPr>
          <w:spacing w:val="-3"/>
        </w:rPr>
        <w:t xml:space="preserve">’s unsatisfactory quality of service. OPC’s proposal would reduce the operating income by $667 and reduce the rate increase by 0.93 percent. </w:t>
      </w:r>
      <w:r w:rsidR="00387869">
        <w:rPr>
          <w:spacing w:val="-3"/>
        </w:rPr>
        <w:t xml:space="preserve">We </w:t>
      </w:r>
      <w:r w:rsidR="00835BE5">
        <w:rPr>
          <w:spacing w:val="-3"/>
        </w:rPr>
        <w:t xml:space="preserve">not find </w:t>
      </w:r>
      <w:r w:rsidRPr="00002494">
        <w:rPr>
          <w:spacing w:val="-3"/>
        </w:rPr>
        <w:t xml:space="preserve">it appropriate to use the operating margin as a penalty since the intended purpose of this methodology is to ensure that a utility will have an adequate revenue stream to operate the utility and make repairs. As discussed previously in </w:t>
      </w:r>
      <w:r w:rsidR="00387869">
        <w:rPr>
          <w:spacing w:val="-3"/>
        </w:rPr>
        <w:t>the Quality of Service and Operation and Maintenance Expenses sections in this Order, we found</w:t>
      </w:r>
      <w:r w:rsidRPr="00002494">
        <w:rPr>
          <w:spacing w:val="-3"/>
        </w:rPr>
        <w:t xml:space="preserve"> that Sunrise’s officers’ salaries </w:t>
      </w:r>
      <w:r w:rsidR="00387869">
        <w:rPr>
          <w:spacing w:val="-3"/>
        </w:rPr>
        <w:t xml:space="preserve">shall </w:t>
      </w:r>
      <w:r w:rsidRPr="00002494">
        <w:rPr>
          <w:spacing w:val="-3"/>
        </w:rPr>
        <w:t xml:space="preserve">be reduced by a 25 percent penalty due to the unsatisfactory quality of service. </w:t>
      </w:r>
      <w:r w:rsidR="00387869">
        <w:rPr>
          <w:spacing w:val="-3"/>
        </w:rPr>
        <w:t>The</w:t>
      </w:r>
      <w:r w:rsidRPr="00002494">
        <w:rPr>
          <w:spacing w:val="-3"/>
        </w:rPr>
        <w:t xml:space="preserve"> salary penalty for Sunrise equals $2,486, which exceeds OPC’s proposed reduction and sends a stronger signal regarding the Utility’s need to address the unsatisfactory quality of service.</w:t>
      </w:r>
    </w:p>
    <w:p w:rsidR="00387869" w:rsidRPr="00002494" w:rsidRDefault="00387869" w:rsidP="00387869">
      <w:pPr>
        <w:ind w:firstLine="720"/>
        <w:jc w:val="both"/>
      </w:pPr>
    </w:p>
    <w:p w:rsidR="00387869" w:rsidRPr="00387869" w:rsidRDefault="00387869" w:rsidP="00387869">
      <w:pPr>
        <w:ind w:firstLine="720"/>
        <w:jc w:val="both"/>
        <w:rPr>
          <w:i/>
        </w:rPr>
      </w:pPr>
      <w:r w:rsidRPr="00387869">
        <w:rPr>
          <w:bCs/>
          <w:i/>
          <w:iCs/>
          <w:szCs w:val="28"/>
        </w:rPr>
        <w:t xml:space="preserve">Appropriate </w:t>
      </w:r>
      <w:r w:rsidRPr="00387869">
        <w:rPr>
          <w:i/>
        </w:rPr>
        <w:t>Methodology for Revenue Requirement Calculation Summary</w:t>
      </w:r>
    </w:p>
    <w:p w:rsidR="00002494" w:rsidRPr="00387869" w:rsidRDefault="00002494" w:rsidP="00387869">
      <w:pPr>
        <w:ind w:firstLine="720"/>
        <w:jc w:val="both"/>
        <w:outlineLvl w:val="2"/>
        <w:rPr>
          <w:bCs/>
          <w:i/>
          <w:iCs/>
          <w:szCs w:val="28"/>
        </w:rPr>
      </w:pPr>
    </w:p>
    <w:p w:rsidR="00002494" w:rsidRDefault="00387869" w:rsidP="00387869">
      <w:pPr>
        <w:ind w:firstLine="720"/>
        <w:jc w:val="both"/>
      </w:pPr>
      <w:r>
        <w:t>We find that the factors discussed above</w:t>
      </w:r>
      <w:r w:rsidR="00002494" w:rsidRPr="00002494">
        <w:t xml:space="preserve"> show </w:t>
      </w:r>
      <w:r>
        <w:t xml:space="preserve">Sunrise </w:t>
      </w:r>
      <w:r w:rsidR="00002494" w:rsidRPr="00002494">
        <w:t xml:space="preserve">needs a higher margin of revenue over operating expenses than the traditional return on rate base method would allow. Therefore, in order to provide Sunrise with adequate cash flow to provide some assurance of safe and reliable service, </w:t>
      </w:r>
      <w:r>
        <w:t xml:space="preserve">we find that </w:t>
      </w:r>
      <w:r w:rsidR="00002494" w:rsidRPr="00002494">
        <w:t>the operating ratio methodology</w:t>
      </w:r>
      <w:r>
        <w:t xml:space="preserve"> to be appropriate for the purpose of calculating revenue requirement</w:t>
      </w:r>
      <w:r w:rsidR="00002494" w:rsidRPr="00002494">
        <w:t xml:space="preserve">. Applying a 10 percent margin would result in an operating margin of $6,670. When the criteria were established, </w:t>
      </w:r>
      <w:r>
        <w:t>we</w:t>
      </w:r>
      <w:r w:rsidR="00002494" w:rsidRPr="00002494">
        <w:t xml:space="preserve"> found it was reasonable and prudent to initially limit the dollar amount of the margin to $10,000.</w:t>
      </w:r>
      <w:r w:rsidR="00002494" w:rsidRPr="00002494">
        <w:rPr>
          <w:vertAlign w:val="superscript"/>
        </w:rPr>
        <w:footnoteReference w:id="14"/>
      </w:r>
      <w:r w:rsidR="00002494" w:rsidRPr="00002494">
        <w:t xml:space="preserve"> Because Sunrise’s operating margin is well below the $10,000 limit, </w:t>
      </w:r>
      <w:r>
        <w:t>we find it</w:t>
      </w:r>
      <w:r w:rsidR="00002494" w:rsidRPr="00002494">
        <w:t xml:space="preserve"> appropriate to apply the full 10 percent margin. Therefore, </w:t>
      </w:r>
      <w:r>
        <w:t>we find</w:t>
      </w:r>
      <w:r w:rsidR="00002494" w:rsidRPr="00002494">
        <w:t xml:space="preserve"> a 10 percent operating margin ratio in the instant case.</w:t>
      </w:r>
    </w:p>
    <w:p w:rsidR="00387869" w:rsidRDefault="00387869" w:rsidP="00387869">
      <w:pPr>
        <w:ind w:firstLine="720"/>
        <w:jc w:val="both"/>
      </w:pPr>
    </w:p>
    <w:p w:rsidR="00387869" w:rsidRDefault="00387869" w:rsidP="00387869">
      <w:pPr>
        <w:jc w:val="both"/>
        <w:rPr>
          <w:u w:val="single"/>
        </w:rPr>
      </w:pPr>
      <w:r>
        <w:rPr>
          <w:u w:val="single"/>
        </w:rPr>
        <w:t xml:space="preserve">Revenue Requirement </w:t>
      </w:r>
    </w:p>
    <w:p w:rsidR="00387869" w:rsidRPr="00387869" w:rsidRDefault="00387869" w:rsidP="00387869">
      <w:pPr>
        <w:jc w:val="both"/>
        <w:rPr>
          <w:u w:val="single"/>
        </w:rPr>
      </w:pPr>
    </w:p>
    <w:p w:rsidR="00002494" w:rsidRPr="00002494" w:rsidRDefault="00387869" w:rsidP="00387869">
      <w:pPr>
        <w:ind w:firstLine="720"/>
        <w:jc w:val="both"/>
      </w:pPr>
      <w:r>
        <w:t>We find S</w:t>
      </w:r>
      <w:r w:rsidR="00002494" w:rsidRPr="00002494">
        <w:t>unrise sh</w:t>
      </w:r>
      <w:r>
        <w:t>all</w:t>
      </w:r>
      <w:r w:rsidR="00002494" w:rsidRPr="00002494">
        <w:t xml:space="preserve"> be allowed an annual increase of $7,510 (10.02 percent). This will allow the Utility the opportunity to recover its expenses and a 10 percent cushion over its O&amp;M expenses. The calculations are as follows:</w:t>
      </w:r>
    </w:p>
    <w:p w:rsidR="00002494" w:rsidRPr="00002494" w:rsidRDefault="00002494" w:rsidP="00526BF4">
      <w:pPr>
        <w:jc w:val="both"/>
      </w:pPr>
    </w:p>
    <w:p w:rsidR="00387869" w:rsidRDefault="00387869">
      <w:pPr>
        <w:rPr>
          <w:b/>
        </w:rPr>
      </w:pPr>
      <w:r>
        <w:rPr>
          <w:b/>
        </w:rPr>
        <w:br w:type="page"/>
      </w:r>
    </w:p>
    <w:p w:rsidR="00002494" w:rsidRPr="00002494" w:rsidRDefault="00002494" w:rsidP="00526BF4">
      <w:pPr>
        <w:jc w:val="center"/>
        <w:rPr>
          <w:b/>
        </w:rPr>
      </w:pPr>
      <w:r w:rsidRPr="00002494">
        <w:rPr>
          <w:b/>
        </w:rPr>
        <w:lastRenderedPageBreak/>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791"/>
        <w:gridCol w:w="1231"/>
      </w:tblGrid>
      <w:tr w:rsidR="00002494" w:rsidRPr="00002494" w:rsidTr="00002494">
        <w:trPr>
          <w:cantSplit/>
          <w:jc w:val="center"/>
        </w:trPr>
        <w:tc>
          <w:tcPr>
            <w:tcW w:w="3681" w:type="dxa"/>
            <w:tcBorders>
              <w:top w:val="single" w:sz="4" w:space="0" w:color="auto"/>
            </w:tcBorders>
          </w:tcPr>
          <w:p w:rsidR="00002494" w:rsidRPr="00002494" w:rsidRDefault="00002494" w:rsidP="00526BF4">
            <w:r w:rsidRPr="00002494">
              <w:t>Adjusted O&amp;M Expense</w:t>
            </w:r>
          </w:p>
        </w:tc>
        <w:tc>
          <w:tcPr>
            <w:tcW w:w="791" w:type="dxa"/>
            <w:tcBorders>
              <w:top w:val="single" w:sz="4" w:space="0" w:color="auto"/>
            </w:tcBorders>
          </w:tcPr>
          <w:p w:rsidR="00002494" w:rsidRPr="00002494" w:rsidRDefault="00002494" w:rsidP="00526BF4">
            <w:pPr>
              <w:jc w:val="center"/>
            </w:pPr>
          </w:p>
        </w:tc>
        <w:tc>
          <w:tcPr>
            <w:tcW w:w="1231" w:type="dxa"/>
            <w:tcBorders>
              <w:top w:val="single" w:sz="4" w:space="0" w:color="auto"/>
              <w:bottom w:val="nil"/>
            </w:tcBorders>
          </w:tcPr>
          <w:p w:rsidR="00002494" w:rsidRPr="00002494" w:rsidRDefault="00002494" w:rsidP="00526BF4">
            <w:pPr>
              <w:jc w:val="right"/>
            </w:pPr>
            <w:r w:rsidRPr="00002494">
              <w:t>$66,697</w:t>
            </w:r>
          </w:p>
        </w:tc>
      </w:tr>
      <w:tr w:rsidR="00002494" w:rsidRPr="00002494" w:rsidTr="00002494">
        <w:trPr>
          <w:cantSplit/>
          <w:jc w:val="center"/>
        </w:trPr>
        <w:tc>
          <w:tcPr>
            <w:tcW w:w="3681" w:type="dxa"/>
          </w:tcPr>
          <w:p w:rsidR="00002494" w:rsidRPr="00002494" w:rsidRDefault="00002494" w:rsidP="00526BF4">
            <w:r w:rsidRPr="00002494">
              <w:t>Operating Margin Ratio</w:t>
            </w:r>
          </w:p>
        </w:tc>
        <w:tc>
          <w:tcPr>
            <w:tcW w:w="791" w:type="dxa"/>
          </w:tcPr>
          <w:p w:rsidR="00002494" w:rsidRPr="00002494" w:rsidRDefault="00002494" w:rsidP="00526BF4">
            <w:pPr>
              <w:jc w:val="center"/>
            </w:pPr>
          </w:p>
        </w:tc>
        <w:tc>
          <w:tcPr>
            <w:tcW w:w="1231" w:type="dxa"/>
            <w:tcBorders>
              <w:top w:val="nil"/>
              <w:bottom w:val="single" w:sz="4" w:space="0" w:color="auto"/>
            </w:tcBorders>
          </w:tcPr>
          <w:p w:rsidR="00002494" w:rsidRPr="00002494" w:rsidRDefault="00002494" w:rsidP="00526BF4">
            <w:pPr>
              <w:jc w:val="right"/>
            </w:pPr>
            <w:r w:rsidRPr="00002494">
              <w:t>x 10.00%</w:t>
            </w:r>
          </w:p>
        </w:tc>
      </w:tr>
      <w:tr w:rsidR="00002494" w:rsidRPr="00002494" w:rsidTr="00002494">
        <w:trPr>
          <w:cantSplit/>
          <w:jc w:val="center"/>
        </w:trPr>
        <w:tc>
          <w:tcPr>
            <w:tcW w:w="3681" w:type="dxa"/>
          </w:tcPr>
          <w:p w:rsidR="00002494" w:rsidRPr="00002494" w:rsidRDefault="00002494" w:rsidP="00526BF4">
            <w:r w:rsidRPr="00002494">
              <w:t>Operating Margin</w:t>
            </w:r>
          </w:p>
        </w:tc>
        <w:tc>
          <w:tcPr>
            <w:tcW w:w="791" w:type="dxa"/>
          </w:tcPr>
          <w:p w:rsidR="00002494" w:rsidRPr="00002494" w:rsidRDefault="00002494" w:rsidP="00526BF4">
            <w:pPr>
              <w:jc w:val="center"/>
            </w:pPr>
          </w:p>
        </w:tc>
        <w:tc>
          <w:tcPr>
            <w:tcW w:w="1231" w:type="dxa"/>
            <w:tcBorders>
              <w:top w:val="single" w:sz="4" w:space="0" w:color="auto"/>
            </w:tcBorders>
          </w:tcPr>
          <w:p w:rsidR="00002494" w:rsidRPr="00002494" w:rsidRDefault="00002494" w:rsidP="00526BF4">
            <w:pPr>
              <w:jc w:val="right"/>
            </w:pPr>
            <w:r w:rsidRPr="00002494">
              <w:t>$6,670</w:t>
            </w:r>
            <w:r w:rsidRPr="00002494">
              <w:rPr>
                <w:strike/>
              </w:rPr>
              <w:t xml:space="preserve"> </w:t>
            </w:r>
            <w:r w:rsidRPr="00002494">
              <w:t xml:space="preserve"> </w:t>
            </w:r>
          </w:p>
        </w:tc>
      </w:tr>
      <w:tr w:rsidR="00002494" w:rsidRPr="00002494" w:rsidTr="00002494">
        <w:trPr>
          <w:cantSplit/>
          <w:jc w:val="center"/>
        </w:trPr>
        <w:tc>
          <w:tcPr>
            <w:tcW w:w="3681" w:type="dxa"/>
          </w:tcPr>
          <w:p w:rsidR="00002494" w:rsidRPr="00002494" w:rsidRDefault="00002494" w:rsidP="00526BF4">
            <w:r w:rsidRPr="00002494">
              <w:t>Adjusted O&amp;M Expense</w:t>
            </w:r>
          </w:p>
        </w:tc>
        <w:tc>
          <w:tcPr>
            <w:tcW w:w="791" w:type="dxa"/>
          </w:tcPr>
          <w:p w:rsidR="00002494" w:rsidRPr="00002494" w:rsidRDefault="00002494" w:rsidP="00526BF4">
            <w:pPr>
              <w:jc w:val="center"/>
            </w:pPr>
          </w:p>
        </w:tc>
        <w:tc>
          <w:tcPr>
            <w:tcW w:w="1231" w:type="dxa"/>
          </w:tcPr>
          <w:p w:rsidR="00002494" w:rsidRPr="00002494" w:rsidRDefault="00002494" w:rsidP="00526BF4">
            <w:pPr>
              <w:jc w:val="right"/>
            </w:pPr>
            <w:r w:rsidRPr="00002494">
              <w:t xml:space="preserve">66,697 </w:t>
            </w:r>
          </w:p>
        </w:tc>
      </w:tr>
      <w:tr w:rsidR="00002494" w:rsidRPr="00002494" w:rsidTr="00002494">
        <w:trPr>
          <w:cantSplit/>
          <w:jc w:val="center"/>
        </w:trPr>
        <w:tc>
          <w:tcPr>
            <w:tcW w:w="3681" w:type="dxa"/>
          </w:tcPr>
          <w:p w:rsidR="00002494" w:rsidRPr="00002494" w:rsidRDefault="00002494" w:rsidP="00526BF4">
            <w:r w:rsidRPr="00002494">
              <w:t xml:space="preserve">Depreciation Expense (Net) </w:t>
            </w:r>
          </w:p>
        </w:tc>
        <w:tc>
          <w:tcPr>
            <w:tcW w:w="791" w:type="dxa"/>
          </w:tcPr>
          <w:p w:rsidR="00002494" w:rsidRPr="00002494" w:rsidRDefault="00002494" w:rsidP="00526BF4">
            <w:pPr>
              <w:jc w:val="center"/>
            </w:pPr>
          </w:p>
        </w:tc>
        <w:tc>
          <w:tcPr>
            <w:tcW w:w="1231" w:type="dxa"/>
          </w:tcPr>
          <w:p w:rsidR="00002494" w:rsidRPr="00002494" w:rsidRDefault="00002494" w:rsidP="00526BF4">
            <w:pPr>
              <w:jc w:val="right"/>
            </w:pPr>
            <w:r w:rsidRPr="00002494">
              <w:t>4,508</w:t>
            </w:r>
          </w:p>
        </w:tc>
      </w:tr>
      <w:tr w:rsidR="00002494" w:rsidRPr="00002494" w:rsidTr="00002494">
        <w:trPr>
          <w:cantSplit/>
          <w:jc w:val="center"/>
        </w:trPr>
        <w:tc>
          <w:tcPr>
            <w:tcW w:w="3681" w:type="dxa"/>
          </w:tcPr>
          <w:p w:rsidR="00002494" w:rsidRPr="00002494" w:rsidRDefault="00002494" w:rsidP="00526BF4">
            <w:r w:rsidRPr="00002494">
              <w:t>Taxes Other Than Income</w:t>
            </w:r>
          </w:p>
        </w:tc>
        <w:tc>
          <w:tcPr>
            <w:tcW w:w="791" w:type="dxa"/>
          </w:tcPr>
          <w:p w:rsidR="00002494" w:rsidRPr="00002494" w:rsidRDefault="00002494" w:rsidP="00526BF4">
            <w:pPr>
              <w:jc w:val="center"/>
            </w:pPr>
          </w:p>
        </w:tc>
        <w:tc>
          <w:tcPr>
            <w:tcW w:w="1231" w:type="dxa"/>
            <w:tcBorders>
              <w:bottom w:val="nil"/>
            </w:tcBorders>
          </w:tcPr>
          <w:p w:rsidR="00002494" w:rsidRPr="00002494" w:rsidRDefault="00002494" w:rsidP="00526BF4">
            <w:pPr>
              <w:jc w:val="right"/>
            </w:pPr>
            <w:r w:rsidRPr="00002494">
              <w:t xml:space="preserve"> 4,573</w:t>
            </w:r>
          </w:p>
        </w:tc>
      </w:tr>
      <w:tr w:rsidR="00002494" w:rsidRPr="00002494" w:rsidTr="00002494">
        <w:trPr>
          <w:cantSplit/>
          <w:jc w:val="center"/>
        </w:trPr>
        <w:tc>
          <w:tcPr>
            <w:tcW w:w="3681" w:type="dxa"/>
          </w:tcPr>
          <w:p w:rsidR="00002494" w:rsidRPr="00002494" w:rsidRDefault="00002494" w:rsidP="00526BF4">
            <w:r w:rsidRPr="00002494">
              <w:t>Income Taxes</w:t>
            </w:r>
          </w:p>
        </w:tc>
        <w:tc>
          <w:tcPr>
            <w:tcW w:w="791" w:type="dxa"/>
          </w:tcPr>
          <w:p w:rsidR="00002494" w:rsidRPr="00002494" w:rsidRDefault="00002494" w:rsidP="00526BF4">
            <w:pPr>
              <w:jc w:val="center"/>
            </w:pPr>
          </w:p>
        </w:tc>
        <w:tc>
          <w:tcPr>
            <w:tcW w:w="1231" w:type="dxa"/>
            <w:tcBorders>
              <w:top w:val="nil"/>
              <w:bottom w:val="single" w:sz="4" w:space="0" w:color="auto"/>
            </w:tcBorders>
          </w:tcPr>
          <w:p w:rsidR="00002494" w:rsidRPr="00002494" w:rsidRDefault="00002494" w:rsidP="00526BF4">
            <w:pPr>
              <w:jc w:val="right"/>
            </w:pPr>
            <w:r w:rsidRPr="00002494">
              <w:t>0</w:t>
            </w:r>
          </w:p>
        </w:tc>
      </w:tr>
      <w:tr w:rsidR="00002494" w:rsidRPr="00002494" w:rsidTr="00002494">
        <w:trPr>
          <w:cantSplit/>
          <w:jc w:val="center"/>
        </w:trPr>
        <w:tc>
          <w:tcPr>
            <w:tcW w:w="3681" w:type="dxa"/>
          </w:tcPr>
          <w:p w:rsidR="00002494" w:rsidRPr="00002494" w:rsidRDefault="00002494" w:rsidP="00526BF4">
            <w:r w:rsidRPr="00002494">
              <w:t xml:space="preserve">Revenue Requirement </w:t>
            </w:r>
          </w:p>
        </w:tc>
        <w:tc>
          <w:tcPr>
            <w:tcW w:w="791" w:type="dxa"/>
          </w:tcPr>
          <w:p w:rsidR="00002494" w:rsidRPr="00002494" w:rsidRDefault="00002494" w:rsidP="00526BF4">
            <w:pPr>
              <w:jc w:val="center"/>
            </w:pPr>
          </w:p>
        </w:tc>
        <w:tc>
          <w:tcPr>
            <w:tcW w:w="1231" w:type="dxa"/>
            <w:tcBorders>
              <w:top w:val="single" w:sz="4" w:space="0" w:color="auto"/>
              <w:bottom w:val="nil"/>
            </w:tcBorders>
          </w:tcPr>
          <w:p w:rsidR="00002494" w:rsidRPr="00002494" w:rsidRDefault="00002494" w:rsidP="00526BF4">
            <w:pPr>
              <w:jc w:val="right"/>
            </w:pPr>
            <w:r w:rsidRPr="00002494">
              <w:t>$82,448</w:t>
            </w:r>
          </w:p>
        </w:tc>
      </w:tr>
      <w:tr w:rsidR="00002494" w:rsidRPr="00002494" w:rsidTr="00002494">
        <w:trPr>
          <w:cantSplit/>
          <w:jc w:val="center"/>
        </w:trPr>
        <w:tc>
          <w:tcPr>
            <w:tcW w:w="3681" w:type="dxa"/>
          </w:tcPr>
          <w:p w:rsidR="00002494" w:rsidRPr="00002494" w:rsidRDefault="00002494" w:rsidP="00526BF4">
            <w:r w:rsidRPr="00002494">
              <w:t>Less Adjusted Test Year Revenues</w:t>
            </w:r>
          </w:p>
        </w:tc>
        <w:tc>
          <w:tcPr>
            <w:tcW w:w="791" w:type="dxa"/>
          </w:tcPr>
          <w:p w:rsidR="00002494" w:rsidRPr="00002494" w:rsidRDefault="00002494" w:rsidP="00526BF4">
            <w:pPr>
              <w:jc w:val="center"/>
            </w:pPr>
          </w:p>
        </w:tc>
        <w:tc>
          <w:tcPr>
            <w:tcW w:w="1231" w:type="dxa"/>
            <w:tcBorders>
              <w:top w:val="nil"/>
              <w:bottom w:val="single" w:sz="4" w:space="0" w:color="auto"/>
            </w:tcBorders>
          </w:tcPr>
          <w:p w:rsidR="00002494" w:rsidRPr="00002494" w:rsidRDefault="00002494" w:rsidP="00526BF4">
            <w:pPr>
              <w:jc w:val="right"/>
            </w:pPr>
            <w:r w:rsidRPr="00002494">
              <w:t>74,938</w:t>
            </w:r>
          </w:p>
        </w:tc>
      </w:tr>
      <w:tr w:rsidR="00002494" w:rsidRPr="00002494" w:rsidTr="00002494">
        <w:trPr>
          <w:cantSplit/>
          <w:jc w:val="center"/>
        </w:trPr>
        <w:tc>
          <w:tcPr>
            <w:tcW w:w="3681" w:type="dxa"/>
          </w:tcPr>
          <w:p w:rsidR="00002494" w:rsidRPr="00002494" w:rsidRDefault="00002494" w:rsidP="00526BF4">
            <w:r w:rsidRPr="00002494">
              <w:t>Annual Increase</w:t>
            </w:r>
          </w:p>
        </w:tc>
        <w:tc>
          <w:tcPr>
            <w:tcW w:w="791" w:type="dxa"/>
          </w:tcPr>
          <w:p w:rsidR="00002494" w:rsidRPr="00002494" w:rsidRDefault="00002494" w:rsidP="00526BF4">
            <w:pPr>
              <w:jc w:val="center"/>
            </w:pPr>
          </w:p>
        </w:tc>
        <w:tc>
          <w:tcPr>
            <w:tcW w:w="1231" w:type="dxa"/>
            <w:tcBorders>
              <w:top w:val="single" w:sz="4" w:space="0" w:color="auto"/>
              <w:bottom w:val="double" w:sz="4" w:space="0" w:color="auto"/>
            </w:tcBorders>
          </w:tcPr>
          <w:p w:rsidR="00002494" w:rsidRPr="00002494" w:rsidRDefault="00002494" w:rsidP="00526BF4">
            <w:pPr>
              <w:jc w:val="right"/>
            </w:pPr>
            <w:r w:rsidRPr="00002494">
              <w:t xml:space="preserve">$7,510 </w:t>
            </w:r>
          </w:p>
        </w:tc>
      </w:tr>
      <w:tr w:rsidR="00002494" w:rsidRPr="00002494" w:rsidTr="00002494">
        <w:trPr>
          <w:cantSplit/>
          <w:trHeight w:val="372"/>
          <w:jc w:val="center"/>
        </w:trPr>
        <w:tc>
          <w:tcPr>
            <w:tcW w:w="3681" w:type="dxa"/>
          </w:tcPr>
          <w:p w:rsidR="00002494" w:rsidRPr="00002494" w:rsidRDefault="00002494" w:rsidP="00526BF4">
            <w:r w:rsidRPr="00002494">
              <w:t>Percent Increase</w:t>
            </w:r>
          </w:p>
        </w:tc>
        <w:tc>
          <w:tcPr>
            <w:tcW w:w="791" w:type="dxa"/>
          </w:tcPr>
          <w:p w:rsidR="00002494" w:rsidRPr="00002494" w:rsidRDefault="00002494" w:rsidP="00526BF4">
            <w:pPr>
              <w:jc w:val="center"/>
            </w:pPr>
          </w:p>
        </w:tc>
        <w:tc>
          <w:tcPr>
            <w:tcW w:w="1231" w:type="dxa"/>
            <w:tcBorders>
              <w:top w:val="double" w:sz="4" w:space="0" w:color="auto"/>
              <w:bottom w:val="single" w:sz="4" w:space="0" w:color="auto"/>
            </w:tcBorders>
          </w:tcPr>
          <w:p w:rsidR="00002494" w:rsidRPr="00002494" w:rsidRDefault="00002494" w:rsidP="00526BF4">
            <w:pPr>
              <w:jc w:val="right"/>
            </w:pPr>
            <w:r w:rsidRPr="00002494">
              <w:t xml:space="preserve">10.02% </w:t>
            </w:r>
          </w:p>
        </w:tc>
      </w:tr>
    </w:tbl>
    <w:p w:rsidR="00002494" w:rsidRPr="00002494" w:rsidRDefault="00002494" w:rsidP="00526BF4">
      <w:pPr>
        <w:jc w:val="both"/>
        <w:rPr>
          <w:b/>
          <w:i/>
        </w:rPr>
      </w:pPr>
    </w:p>
    <w:p w:rsidR="00002494" w:rsidRPr="00002494" w:rsidRDefault="00387869" w:rsidP="00526BF4">
      <w:pPr>
        <w:jc w:val="both"/>
      </w:pPr>
      <w:r>
        <w:rPr>
          <w:u w:val="single"/>
        </w:rPr>
        <w:t xml:space="preserve">Rate Structure and Rates </w:t>
      </w:r>
    </w:p>
    <w:p w:rsidR="00002494" w:rsidRPr="00002494" w:rsidRDefault="00002494" w:rsidP="00526BF4">
      <w:pPr>
        <w:jc w:val="both"/>
      </w:pPr>
    </w:p>
    <w:p w:rsidR="00002494" w:rsidRPr="00002494" w:rsidRDefault="001D2507" w:rsidP="001D2507">
      <w:pPr>
        <w:ind w:firstLine="720"/>
        <w:jc w:val="both"/>
      </w:pPr>
      <w:r>
        <w:t>As previously</w:t>
      </w:r>
      <w:r w:rsidR="00835BE5">
        <w:t xml:space="preserve"> discussed</w:t>
      </w:r>
      <w:r>
        <w:t>, S</w:t>
      </w:r>
      <w:r w:rsidR="00002494" w:rsidRPr="00002494">
        <w:t xml:space="preserve">unrise is located in Polk County within the SWFWMD. The Utility </w:t>
      </w:r>
      <w:r>
        <w:t>p</w:t>
      </w:r>
      <w:r w:rsidR="00002494" w:rsidRPr="00002494">
        <w:t xml:space="preserve">rovides water service to approximately 247 residential customers and no general service customers. Approximately 5 percent of the residential customer bills during the test year had zero gallons, indicating a non-seasonal customer base. The average residential water demand is 4,797 gallons per month. The Utility’s current water system rate structure for residential customers consists of a base facility charge (BFC) and a three-tier inclining block rate structure. The rate blocks are: (1) 0-5,000 gallons; (2) 5,001-10,000 gallons; and (3) all usage in excess of 10,000 gallons per month. The General service rate structure includes a BFC based on meter size and uniform </w:t>
      </w:r>
      <w:proofErr w:type="spellStart"/>
      <w:r w:rsidR="00002494" w:rsidRPr="00002494">
        <w:t>gallonage</w:t>
      </w:r>
      <w:proofErr w:type="spellEnd"/>
      <w:r w:rsidR="00002494" w:rsidRPr="00002494">
        <w:t xml:space="preserve"> charge.   </w:t>
      </w:r>
    </w:p>
    <w:p w:rsidR="00002494" w:rsidRPr="00002494" w:rsidRDefault="00002494" w:rsidP="00526BF4">
      <w:pPr>
        <w:ind w:firstLine="720"/>
        <w:jc w:val="both"/>
      </w:pPr>
    </w:p>
    <w:p w:rsidR="00002494" w:rsidRPr="00002494" w:rsidRDefault="001D2507" w:rsidP="001D2507">
      <w:pPr>
        <w:ind w:firstLine="720"/>
        <w:jc w:val="both"/>
      </w:pPr>
      <w:r>
        <w:t>We</w:t>
      </w:r>
      <w:r w:rsidR="00002494" w:rsidRPr="00002494">
        <w:t xml:space="preserve"> performed an analysis of the Utility’s billing data in order to evaluate the appropriate rate structure for the residential water customers. The goal of the evaluation was to select rate design parameters that: (1) produce </w:t>
      </w:r>
      <w:r w:rsidR="00835BE5">
        <w:t>an appropriate</w:t>
      </w:r>
      <w:r w:rsidR="00002494" w:rsidRPr="00002494">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t xml:space="preserve">this </w:t>
      </w:r>
      <w:r w:rsidR="00002494" w:rsidRPr="00002494">
        <w:t>Commission</w:t>
      </w:r>
      <w:r>
        <w:t>’s</w:t>
      </w:r>
      <w:r w:rsidR="00002494" w:rsidRPr="00002494">
        <w:t xml:space="preserve"> practice.</w:t>
      </w:r>
    </w:p>
    <w:p w:rsidR="00002494" w:rsidRPr="00002494" w:rsidRDefault="00002494" w:rsidP="00526BF4">
      <w:pPr>
        <w:jc w:val="both"/>
      </w:pPr>
    </w:p>
    <w:p w:rsidR="00002494" w:rsidRPr="00002494" w:rsidRDefault="001D2507" w:rsidP="001D2507">
      <w:pPr>
        <w:ind w:firstLine="720"/>
        <w:jc w:val="both"/>
      </w:pPr>
      <w:r>
        <w:t xml:space="preserve">We </w:t>
      </w:r>
      <w:r w:rsidR="00002494" w:rsidRPr="00002494">
        <w:t xml:space="preserve">evaluated whether it was appropriate to change the design of the Utility’s current rate structure to a less aggressive rate structure due to its average residential consumption. Based on </w:t>
      </w:r>
      <w:r>
        <w:t>our</w:t>
      </w:r>
      <w:r w:rsidR="00002494" w:rsidRPr="00002494">
        <w:t xml:space="preserve"> analysis, establishing a BFC and two-tier inclining block rate structure with a separate block for non-discretionary usage results in a non-equitable distribution of cost recovery. The Alternative 1 and 2 rate designs shown in </w:t>
      </w:r>
      <w:r>
        <w:t>the table below</w:t>
      </w:r>
      <w:r w:rsidR="00002494" w:rsidRPr="00002494">
        <w:t xml:space="preserve"> reflect price decreases at the 0 and 1,000 gallon consumption levels and price decreases at the higher levels of consumption</w:t>
      </w:r>
      <w:r>
        <w:t>, which is contrary to our rate-</w:t>
      </w:r>
      <w:r w:rsidR="00002494" w:rsidRPr="00002494">
        <w:t xml:space="preserve">setting goals. Typically, when designing rates, all levels of consumption should receive price increases with increases escalating as consumption increases. Therefore, </w:t>
      </w:r>
      <w:r>
        <w:t>we find</w:t>
      </w:r>
      <w:r w:rsidR="00002494" w:rsidRPr="00002494">
        <w:t xml:space="preserve"> an across-the-board increase of 10.39 percent to the existing rates and no repression adjustment to water consumption. The 10.39 percent increase reflects t</w:t>
      </w:r>
      <w:r w:rsidR="00835BE5">
        <w:t>he approved</w:t>
      </w:r>
      <w:r w:rsidR="00002494" w:rsidRPr="00002494">
        <w:t xml:space="preserve"> revenue increase excluding miscellaneous revenues. </w:t>
      </w:r>
      <w:r>
        <w:t>The t</w:t>
      </w:r>
      <w:r w:rsidR="00002494" w:rsidRPr="00002494">
        <w:t xml:space="preserve">able, on the </w:t>
      </w:r>
      <w:r>
        <w:t>following page, contains our</w:t>
      </w:r>
      <w:r w:rsidR="00002494" w:rsidRPr="00002494">
        <w:t xml:space="preserve"> </w:t>
      </w:r>
      <w:r w:rsidR="00835BE5">
        <w:lastRenderedPageBreak/>
        <w:t xml:space="preserve">approved </w:t>
      </w:r>
      <w:r w:rsidR="00002494" w:rsidRPr="00002494">
        <w:t xml:space="preserve">rates as an across-the-board increase to the existing rate structure and rates and two alternative rate structures, which include a block for non-discretionary usage. </w:t>
      </w:r>
    </w:p>
    <w:p w:rsidR="00002494" w:rsidRPr="00002494" w:rsidRDefault="00002494" w:rsidP="00526BF4">
      <w:pPr>
        <w:jc w:val="center"/>
        <w:rPr>
          <w:b/>
        </w:rPr>
      </w:pPr>
    </w:p>
    <w:p w:rsidR="00002494" w:rsidRDefault="001D2507" w:rsidP="00526BF4">
      <w:pPr>
        <w:jc w:val="center"/>
        <w:rPr>
          <w:b/>
        </w:rPr>
      </w:pPr>
      <w:r>
        <w:rPr>
          <w:b/>
        </w:rPr>
        <w:t>Commission Approved</w:t>
      </w:r>
      <w:r w:rsidR="00002494" w:rsidRPr="00002494">
        <w:rPr>
          <w:b/>
        </w:rPr>
        <w:t xml:space="preserve"> and Alternative Water Rate Structures and Rates</w:t>
      </w:r>
    </w:p>
    <w:tbl>
      <w:tblPr>
        <w:tblW w:w="10019" w:type="dxa"/>
        <w:jc w:val="center"/>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319"/>
        <w:gridCol w:w="2341"/>
        <w:gridCol w:w="1796"/>
        <w:gridCol w:w="1683"/>
      </w:tblGrid>
      <w:tr w:rsidR="00002494" w:rsidRPr="00002494" w:rsidTr="00002494">
        <w:trPr>
          <w:trHeight w:val="265"/>
          <w:jc w:val="center"/>
        </w:trPr>
        <w:tc>
          <w:tcPr>
            <w:tcW w:w="2880" w:type="dxa"/>
            <w:shd w:val="clear" w:color="000000" w:fill="auto"/>
            <w:noWrap/>
            <w:vAlign w:val="bottom"/>
            <w:hideMark/>
          </w:tcPr>
          <w:p w:rsidR="00002494" w:rsidRPr="00002494" w:rsidRDefault="00002494" w:rsidP="00526BF4">
            <w:pPr>
              <w:rPr>
                <w:b/>
                <w:bCs/>
                <w:sz w:val="20"/>
                <w:szCs w:val="20"/>
                <w:u w:val="single"/>
              </w:rPr>
            </w:pPr>
          </w:p>
        </w:tc>
        <w:tc>
          <w:tcPr>
            <w:tcW w:w="1319" w:type="dxa"/>
            <w:shd w:val="clear" w:color="000000" w:fill="auto"/>
            <w:noWrap/>
            <w:vAlign w:val="bottom"/>
          </w:tcPr>
          <w:p w:rsidR="00002494" w:rsidRPr="00002494" w:rsidRDefault="00002494" w:rsidP="00526BF4">
            <w:pPr>
              <w:jc w:val="center"/>
              <w:rPr>
                <w:b/>
                <w:bCs/>
                <w:color w:val="000000"/>
                <w:sz w:val="20"/>
                <w:szCs w:val="20"/>
              </w:rPr>
            </w:pPr>
            <w:r w:rsidRPr="00002494">
              <w:rPr>
                <w:b/>
                <w:bCs/>
                <w:color w:val="000000"/>
                <w:sz w:val="20"/>
                <w:szCs w:val="20"/>
              </w:rPr>
              <w:t>RATES AT</w:t>
            </w:r>
          </w:p>
        </w:tc>
        <w:tc>
          <w:tcPr>
            <w:tcW w:w="2341" w:type="dxa"/>
            <w:shd w:val="clear" w:color="000000" w:fill="auto"/>
            <w:noWrap/>
            <w:vAlign w:val="bottom"/>
          </w:tcPr>
          <w:p w:rsidR="00002494" w:rsidRPr="00002494" w:rsidRDefault="001D2507" w:rsidP="00526BF4">
            <w:pPr>
              <w:jc w:val="center"/>
              <w:rPr>
                <w:b/>
                <w:bCs/>
                <w:color w:val="000000"/>
                <w:sz w:val="20"/>
                <w:szCs w:val="20"/>
              </w:rPr>
            </w:pPr>
            <w:r>
              <w:rPr>
                <w:b/>
                <w:bCs/>
                <w:color w:val="000000"/>
                <w:sz w:val="20"/>
                <w:szCs w:val="20"/>
              </w:rPr>
              <w:t>COMMISSION</w:t>
            </w:r>
          </w:p>
        </w:tc>
        <w:tc>
          <w:tcPr>
            <w:tcW w:w="1796" w:type="dxa"/>
            <w:shd w:val="clear" w:color="000000" w:fill="auto"/>
            <w:noWrap/>
            <w:vAlign w:val="bottom"/>
            <w:hideMark/>
          </w:tcPr>
          <w:p w:rsidR="00002494" w:rsidRPr="00002494" w:rsidRDefault="00002494" w:rsidP="00526BF4">
            <w:pPr>
              <w:jc w:val="center"/>
              <w:rPr>
                <w:b/>
                <w:bCs/>
                <w:color w:val="000000"/>
                <w:sz w:val="20"/>
                <w:szCs w:val="20"/>
              </w:rPr>
            </w:pPr>
            <w:r w:rsidRPr="00002494">
              <w:rPr>
                <w:b/>
                <w:bCs/>
                <w:color w:val="000000"/>
                <w:sz w:val="20"/>
                <w:szCs w:val="20"/>
              </w:rPr>
              <w:t>ALTERNATIVE</w:t>
            </w:r>
          </w:p>
        </w:tc>
        <w:tc>
          <w:tcPr>
            <w:tcW w:w="1683" w:type="dxa"/>
            <w:shd w:val="clear" w:color="000000" w:fill="auto"/>
            <w:noWrap/>
            <w:vAlign w:val="bottom"/>
            <w:hideMark/>
          </w:tcPr>
          <w:p w:rsidR="00002494" w:rsidRPr="00002494" w:rsidRDefault="00002494" w:rsidP="00526BF4">
            <w:pPr>
              <w:jc w:val="center"/>
              <w:rPr>
                <w:b/>
                <w:bCs/>
                <w:color w:val="000000"/>
                <w:sz w:val="20"/>
                <w:szCs w:val="20"/>
              </w:rPr>
            </w:pPr>
            <w:r w:rsidRPr="00002494">
              <w:rPr>
                <w:b/>
                <w:bCs/>
                <w:color w:val="000000"/>
                <w:sz w:val="20"/>
                <w:szCs w:val="20"/>
              </w:rPr>
              <w:t>ALTERNATIVE</w:t>
            </w:r>
          </w:p>
        </w:tc>
      </w:tr>
      <w:tr w:rsidR="00002494" w:rsidRPr="00002494" w:rsidTr="00002494">
        <w:trPr>
          <w:trHeight w:val="278"/>
          <w:jc w:val="center"/>
        </w:trPr>
        <w:tc>
          <w:tcPr>
            <w:tcW w:w="2880" w:type="dxa"/>
            <w:shd w:val="clear" w:color="000000" w:fill="auto"/>
            <w:noWrap/>
            <w:vAlign w:val="bottom"/>
            <w:hideMark/>
          </w:tcPr>
          <w:p w:rsidR="00002494" w:rsidRPr="00002494" w:rsidRDefault="00002494" w:rsidP="00526BF4">
            <w:pPr>
              <w:rPr>
                <w:b/>
                <w:bCs/>
                <w:sz w:val="20"/>
                <w:szCs w:val="20"/>
                <w:u w:val="single"/>
              </w:rPr>
            </w:pPr>
          </w:p>
        </w:tc>
        <w:tc>
          <w:tcPr>
            <w:tcW w:w="1319" w:type="dxa"/>
            <w:shd w:val="clear" w:color="000000" w:fill="auto"/>
            <w:noWrap/>
            <w:vAlign w:val="bottom"/>
          </w:tcPr>
          <w:p w:rsidR="00002494" w:rsidRPr="00002494" w:rsidRDefault="00002494" w:rsidP="00526BF4">
            <w:pPr>
              <w:jc w:val="center"/>
              <w:rPr>
                <w:b/>
                <w:bCs/>
                <w:color w:val="000000"/>
                <w:sz w:val="20"/>
                <w:szCs w:val="20"/>
              </w:rPr>
            </w:pPr>
            <w:r w:rsidRPr="00002494">
              <w:rPr>
                <w:b/>
                <w:bCs/>
                <w:color w:val="000000"/>
                <w:sz w:val="20"/>
                <w:szCs w:val="20"/>
              </w:rPr>
              <w:t>TIME OF</w:t>
            </w:r>
          </w:p>
        </w:tc>
        <w:tc>
          <w:tcPr>
            <w:tcW w:w="2341" w:type="dxa"/>
            <w:shd w:val="clear" w:color="000000" w:fill="auto"/>
            <w:noWrap/>
            <w:vAlign w:val="bottom"/>
          </w:tcPr>
          <w:p w:rsidR="00002494" w:rsidRPr="00002494" w:rsidRDefault="001D2507" w:rsidP="00526BF4">
            <w:pPr>
              <w:jc w:val="center"/>
              <w:rPr>
                <w:b/>
                <w:bCs/>
                <w:color w:val="000000"/>
                <w:sz w:val="20"/>
                <w:szCs w:val="20"/>
              </w:rPr>
            </w:pPr>
            <w:r>
              <w:rPr>
                <w:b/>
                <w:bCs/>
                <w:color w:val="000000"/>
                <w:sz w:val="20"/>
                <w:szCs w:val="20"/>
              </w:rPr>
              <w:t>APPROVED</w:t>
            </w:r>
          </w:p>
        </w:tc>
        <w:tc>
          <w:tcPr>
            <w:tcW w:w="1796" w:type="dxa"/>
            <w:shd w:val="clear" w:color="000000" w:fill="auto"/>
            <w:noWrap/>
            <w:vAlign w:val="bottom"/>
            <w:hideMark/>
          </w:tcPr>
          <w:p w:rsidR="00002494" w:rsidRPr="00002494" w:rsidRDefault="00002494" w:rsidP="00526BF4">
            <w:pPr>
              <w:jc w:val="center"/>
              <w:rPr>
                <w:b/>
                <w:bCs/>
                <w:color w:val="000000"/>
                <w:sz w:val="20"/>
                <w:szCs w:val="20"/>
              </w:rPr>
            </w:pPr>
            <w:r w:rsidRPr="00002494">
              <w:rPr>
                <w:b/>
                <w:bCs/>
                <w:color w:val="000000"/>
                <w:sz w:val="20"/>
                <w:szCs w:val="20"/>
              </w:rPr>
              <w:t>I</w:t>
            </w:r>
          </w:p>
        </w:tc>
        <w:tc>
          <w:tcPr>
            <w:tcW w:w="1683" w:type="dxa"/>
            <w:shd w:val="clear" w:color="000000" w:fill="auto"/>
            <w:noWrap/>
            <w:vAlign w:val="bottom"/>
            <w:hideMark/>
          </w:tcPr>
          <w:p w:rsidR="00002494" w:rsidRPr="00002494" w:rsidRDefault="00002494" w:rsidP="00526BF4">
            <w:pPr>
              <w:jc w:val="center"/>
              <w:rPr>
                <w:b/>
                <w:bCs/>
                <w:color w:val="000000"/>
                <w:sz w:val="20"/>
                <w:szCs w:val="20"/>
              </w:rPr>
            </w:pPr>
            <w:r w:rsidRPr="00002494">
              <w:rPr>
                <w:b/>
                <w:bCs/>
                <w:color w:val="000000"/>
                <w:sz w:val="20"/>
                <w:szCs w:val="20"/>
              </w:rPr>
              <w:t>II</w:t>
            </w:r>
          </w:p>
        </w:tc>
      </w:tr>
      <w:tr w:rsidR="00002494" w:rsidRPr="00002494" w:rsidTr="00002494">
        <w:trPr>
          <w:trHeight w:val="278"/>
          <w:jc w:val="center"/>
        </w:trPr>
        <w:tc>
          <w:tcPr>
            <w:tcW w:w="2880" w:type="dxa"/>
            <w:shd w:val="clear" w:color="000000" w:fill="auto"/>
            <w:noWrap/>
            <w:vAlign w:val="bottom"/>
          </w:tcPr>
          <w:p w:rsidR="00002494" w:rsidRPr="00002494" w:rsidRDefault="00002494" w:rsidP="00526BF4">
            <w:pPr>
              <w:rPr>
                <w:b/>
                <w:bCs/>
                <w:sz w:val="20"/>
                <w:szCs w:val="20"/>
                <w:u w:val="single"/>
              </w:rPr>
            </w:pPr>
          </w:p>
        </w:tc>
        <w:tc>
          <w:tcPr>
            <w:tcW w:w="1319" w:type="dxa"/>
            <w:shd w:val="clear" w:color="000000" w:fill="auto"/>
            <w:noWrap/>
            <w:vAlign w:val="bottom"/>
          </w:tcPr>
          <w:p w:rsidR="00002494" w:rsidRPr="00002494" w:rsidRDefault="00002494" w:rsidP="00526BF4">
            <w:pPr>
              <w:jc w:val="center"/>
              <w:rPr>
                <w:b/>
                <w:bCs/>
                <w:color w:val="000000"/>
                <w:sz w:val="20"/>
                <w:szCs w:val="20"/>
              </w:rPr>
            </w:pPr>
            <w:r w:rsidRPr="00002494">
              <w:rPr>
                <w:b/>
                <w:bCs/>
                <w:color w:val="000000"/>
                <w:sz w:val="20"/>
                <w:szCs w:val="20"/>
              </w:rPr>
              <w:t>FILING</w:t>
            </w:r>
          </w:p>
        </w:tc>
        <w:tc>
          <w:tcPr>
            <w:tcW w:w="2341" w:type="dxa"/>
            <w:shd w:val="clear" w:color="000000" w:fill="auto"/>
            <w:noWrap/>
            <w:vAlign w:val="bottom"/>
          </w:tcPr>
          <w:p w:rsidR="00002494" w:rsidRPr="00002494" w:rsidRDefault="00002494" w:rsidP="00526BF4">
            <w:pPr>
              <w:jc w:val="center"/>
              <w:rPr>
                <w:b/>
                <w:bCs/>
                <w:color w:val="000000"/>
                <w:sz w:val="20"/>
                <w:szCs w:val="20"/>
              </w:rPr>
            </w:pPr>
            <w:r w:rsidRPr="00002494">
              <w:rPr>
                <w:b/>
                <w:bCs/>
                <w:color w:val="000000"/>
                <w:sz w:val="20"/>
                <w:szCs w:val="20"/>
              </w:rPr>
              <w:t>ACROSS-THE-BOARD</w:t>
            </w:r>
          </w:p>
        </w:tc>
        <w:tc>
          <w:tcPr>
            <w:tcW w:w="1796" w:type="dxa"/>
            <w:shd w:val="clear" w:color="000000" w:fill="auto"/>
            <w:noWrap/>
            <w:vAlign w:val="bottom"/>
          </w:tcPr>
          <w:p w:rsidR="00002494" w:rsidRPr="00002494" w:rsidRDefault="00002494" w:rsidP="00526BF4">
            <w:pPr>
              <w:jc w:val="center"/>
              <w:rPr>
                <w:b/>
                <w:bCs/>
                <w:color w:val="000000"/>
                <w:sz w:val="20"/>
                <w:szCs w:val="20"/>
              </w:rPr>
            </w:pPr>
            <w:r w:rsidRPr="00002494">
              <w:rPr>
                <w:b/>
                <w:bCs/>
                <w:color w:val="000000"/>
                <w:sz w:val="20"/>
                <w:szCs w:val="20"/>
              </w:rPr>
              <w:t>(30% BFC)</w:t>
            </w:r>
          </w:p>
        </w:tc>
        <w:tc>
          <w:tcPr>
            <w:tcW w:w="1683" w:type="dxa"/>
            <w:shd w:val="clear" w:color="000000" w:fill="auto"/>
            <w:noWrap/>
            <w:vAlign w:val="bottom"/>
          </w:tcPr>
          <w:p w:rsidR="00002494" w:rsidRPr="00002494" w:rsidRDefault="00002494" w:rsidP="00526BF4">
            <w:pPr>
              <w:jc w:val="center"/>
              <w:rPr>
                <w:b/>
                <w:bCs/>
                <w:color w:val="000000"/>
                <w:sz w:val="20"/>
                <w:szCs w:val="20"/>
              </w:rPr>
            </w:pPr>
            <w:r w:rsidRPr="00002494">
              <w:rPr>
                <w:b/>
                <w:bCs/>
                <w:color w:val="000000"/>
                <w:sz w:val="20"/>
                <w:szCs w:val="20"/>
              </w:rPr>
              <w:t>(30% BFC)</w:t>
            </w:r>
          </w:p>
        </w:tc>
      </w:tr>
      <w:tr w:rsidR="00002494" w:rsidRPr="00002494" w:rsidTr="00002494">
        <w:trPr>
          <w:trHeight w:val="265"/>
          <w:jc w:val="center"/>
        </w:trPr>
        <w:tc>
          <w:tcPr>
            <w:tcW w:w="2880" w:type="dxa"/>
            <w:shd w:val="clear" w:color="auto" w:fill="auto"/>
            <w:noWrap/>
            <w:vAlign w:val="bottom"/>
            <w:hideMark/>
          </w:tcPr>
          <w:p w:rsidR="00002494" w:rsidRPr="00002494" w:rsidRDefault="00002494" w:rsidP="00526BF4">
            <w:pPr>
              <w:rPr>
                <w:b/>
                <w:bCs/>
                <w:color w:val="000000"/>
                <w:sz w:val="20"/>
                <w:szCs w:val="20"/>
                <w:u w:val="single"/>
              </w:rPr>
            </w:pPr>
            <w:r w:rsidRPr="00002494">
              <w:rPr>
                <w:b/>
                <w:bCs/>
                <w:color w:val="000000"/>
                <w:sz w:val="20"/>
                <w:szCs w:val="20"/>
                <w:u w:val="single"/>
              </w:rPr>
              <w:t xml:space="preserve">Residential </w:t>
            </w:r>
          </w:p>
        </w:tc>
        <w:tc>
          <w:tcPr>
            <w:tcW w:w="1319" w:type="dxa"/>
            <w:shd w:val="clear" w:color="auto" w:fill="auto"/>
            <w:noWrap/>
            <w:vAlign w:val="bottom"/>
            <w:hideMark/>
          </w:tcPr>
          <w:p w:rsidR="00002494" w:rsidRPr="00002494" w:rsidRDefault="00002494" w:rsidP="00526BF4">
            <w:pPr>
              <w:jc w:val="center"/>
              <w:rPr>
                <w:b/>
                <w:bCs/>
                <w:color w:val="000000"/>
                <w:sz w:val="20"/>
                <w:szCs w:val="20"/>
              </w:rPr>
            </w:pPr>
          </w:p>
        </w:tc>
        <w:tc>
          <w:tcPr>
            <w:tcW w:w="2341" w:type="dxa"/>
            <w:shd w:val="clear" w:color="auto" w:fill="auto"/>
            <w:noWrap/>
            <w:vAlign w:val="bottom"/>
            <w:hideMark/>
          </w:tcPr>
          <w:p w:rsidR="00002494" w:rsidRPr="00002494" w:rsidRDefault="00002494" w:rsidP="00526BF4">
            <w:pPr>
              <w:jc w:val="center"/>
              <w:rPr>
                <w:b/>
                <w:bCs/>
                <w:color w:val="000000"/>
                <w:sz w:val="20"/>
                <w:szCs w:val="20"/>
              </w:rPr>
            </w:pPr>
            <w:r w:rsidRPr="00002494">
              <w:rPr>
                <w:b/>
                <w:bCs/>
                <w:color w:val="000000"/>
                <w:sz w:val="20"/>
                <w:szCs w:val="20"/>
              </w:rPr>
              <w:t> </w:t>
            </w:r>
          </w:p>
        </w:tc>
        <w:tc>
          <w:tcPr>
            <w:tcW w:w="1796" w:type="dxa"/>
            <w:shd w:val="clear" w:color="auto" w:fill="auto"/>
            <w:noWrap/>
            <w:vAlign w:val="bottom"/>
            <w:hideMark/>
          </w:tcPr>
          <w:p w:rsidR="00002494" w:rsidRPr="00002494" w:rsidRDefault="00002494" w:rsidP="00526BF4">
            <w:pPr>
              <w:jc w:val="center"/>
              <w:rPr>
                <w:b/>
                <w:bCs/>
                <w:color w:val="000000"/>
                <w:sz w:val="20"/>
                <w:szCs w:val="20"/>
              </w:rPr>
            </w:pPr>
          </w:p>
        </w:tc>
        <w:tc>
          <w:tcPr>
            <w:tcW w:w="1683" w:type="dxa"/>
            <w:shd w:val="clear" w:color="auto" w:fill="auto"/>
            <w:noWrap/>
            <w:vAlign w:val="bottom"/>
            <w:hideMark/>
          </w:tcPr>
          <w:p w:rsidR="00002494" w:rsidRPr="00002494" w:rsidRDefault="00002494" w:rsidP="00526BF4">
            <w:pPr>
              <w:jc w:val="center"/>
              <w:rPr>
                <w:b/>
                <w:bCs/>
                <w:color w:val="000000"/>
                <w:sz w:val="20"/>
                <w:szCs w:val="20"/>
              </w:rPr>
            </w:pPr>
            <w:r w:rsidRPr="00002494">
              <w:rPr>
                <w:b/>
                <w:bCs/>
                <w:color w:val="000000"/>
                <w:sz w:val="20"/>
                <w:szCs w:val="20"/>
              </w:rPr>
              <w:t> </w:t>
            </w:r>
          </w:p>
        </w:tc>
      </w:tr>
      <w:tr w:rsidR="00002494" w:rsidRPr="00002494" w:rsidTr="00002494">
        <w:trPr>
          <w:trHeight w:val="265"/>
          <w:jc w:val="center"/>
        </w:trPr>
        <w:tc>
          <w:tcPr>
            <w:tcW w:w="2880" w:type="dxa"/>
            <w:shd w:val="clear" w:color="auto" w:fill="auto"/>
            <w:noWrap/>
            <w:vAlign w:val="bottom"/>
            <w:hideMark/>
          </w:tcPr>
          <w:p w:rsidR="00002494" w:rsidRPr="00002494" w:rsidRDefault="00002494" w:rsidP="00526BF4">
            <w:pPr>
              <w:rPr>
                <w:color w:val="000000"/>
                <w:sz w:val="20"/>
                <w:szCs w:val="20"/>
              </w:rPr>
            </w:pPr>
            <w:r w:rsidRPr="00002494">
              <w:rPr>
                <w:color w:val="000000"/>
                <w:sz w:val="20"/>
                <w:szCs w:val="20"/>
              </w:rPr>
              <w:t>5/8” x 3/4” Meter Size</w:t>
            </w:r>
          </w:p>
        </w:tc>
        <w:tc>
          <w:tcPr>
            <w:tcW w:w="1319"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$9.07</w:t>
            </w:r>
          </w:p>
        </w:tc>
        <w:tc>
          <w:tcPr>
            <w:tcW w:w="2341"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$10.01</w:t>
            </w:r>
          </w:p>
        </w:tc>
        <w:tc>
          <w:tcPr>
            <w:tcW w:w="1796"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$8.11</w:t>
            </w:r>
          </w:p>
        </w:tc>
        <w:tc>
          <w:tcPr>
            <w:tcW w:w="1683"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$8.10</w:t>
            </w:r>
          </w:p>
        </w:tc>
      </w:tr>
      <w:tr w:rsidR="00002494" w:rsidRPr="00002494" w:rsidTr="00002494">
        <w:trPr>
          <w:trHeight w:val="265"/>
          <w:jc w:val="center"/>
        </w:trPr>
        <w:tc>
          <w:tcPr>
            <w:tcW w:w="2880" w:type="dxa"/>
            <w:shd w:val="clear" w:color="auto" w:fill="auto"/>
            <w:noWrap/>
            <w:vAlign w:val="bottom"/>
            <w:hideMark/>
          </w:tcPr>
          <w:p w:rsidR="00002494" w:rsidRPr="00002494" w:rsidRDefault="00002494" w:rsidP="00526BF4">
            <w:pPr>
              <w:rPr>
                <w:color w:val="000000"/>
                <w:sz w:val="20"/>
                <w:szCs w:val="20"/>
              </w:rPr>
            </w:pPr>
            <w:r w:rsidRPr="00002494">
              <w:rPr>
                <w:color w:val="000000"/>
                <w:sz w:val="20"/>
                <w:szCs w:val="20"/>
              </w:rPr>
              <w:t> </w:t>
            </w:r>
          </w:p>
        </w:tc>
        <w:tc>
          <w:tcPr>
            <w:tcW w:w="1319" w:type="dxa"/>
            <w:shd w:val="clear" w:color="auto" w:fill="auto"/>
            <w:noWrap/>
            <w:vAlign w:val="bottom"/>
            <w:hideMark/>
          </w:tcPr>
          <w:p w:rsidR="00002494" w:rsidRPr="00002494" w:rsidRDefault="00002494" w:rsidP="00526BF4">
            <w:pPr>
              <w:jc w:val="right"/>
              <w:rPr>
                <w:color w:val="000000"/>
                <w:sz w:val="20"/>
                <w:szCs w:val="20"/>
              </w:rPr>
            </w:pPr>
          </w:p>
        </w:tc>
        <w:tc>
          <w:tcPr>
            <w:tcW w:w="2341" w:type="dxa"/>
            <w:shd w:val="clear" w:color="auto" w:fill="auto"/>
            <w:noWrap/>
            <w:vAlign w:val="bottom"/>
            <w:hideMark/>
          </w:tcPr>
          <w:p w:rsidR="00002494" w:rsidRPr="00002494" w:rsidRDefault="00002494" w:rsidP="00526BF4">
            <w:pPr>
              <w:jc w:val="right"/>
              <w:rPr>
                <w:color w:val="000000"/>
                <w:sz w:val="20"/>
                <w:szCs w:val="20"/>
              </w:rPr>
            </w:pPr>
          </w:p>
        </w:tc>
        <w:tc>
          <w:tcPr>
            <w:tcW w:w="1796" w:type="dxa"/>
            <w:shd w:val="clear" w:color="auto" w:fill="auto"/>
            <w:noWrap/>
            <w:vAlign w:val="bottom"/>
            <w:hideMark/>
          </w:tcPr>
          <w:p w:rsidR="00002494" w:rsidRPr="00002494" w:rsidRDefault="00002494" w:rsidP="00526BF4">
            <w:pPr>
              <w:jc w:val="right"/>
              <w:rPr>
                <w:color w:val="000000"/>
                <w:sz w:val="20"/>
                <w:szCs w:val="20"/>
              </w:rPr>
            </w:pPr>
          </w:p>
        </w:tc>
        <w:tc>
          <w:tcPr>
            <w:tcW w:w="1683"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w:t>
            </w:r>
          </w:p>
        </w:tc>
      </w:tr>
      <w:tr w:rsidR="00002494" w:rsidRPr="00002494" w:rsidTr="00002494">
        <w:trPr>
          <w:trHeight w:val="265"/>
          <w:jc w:val="center"/>
        </w:trPr>
        <w:tc>
          <w:tcPr>
            <w:tcW w:w="2880" w:type="dxa"/>
            <w:shd w:val="clear" w:color="auto" w:fill="auto"/>
            <w:noWrap/>
            <w:vAlign w:val="bottom"/>
            <w:hideMark/>
          </w:tcPr>
          <w:p w:rsidR="00002494" w:rsidRPr="00002494" w:rsidRDefault="00002494" w:rsidP="00526BF4">
            <w:pPr>
              <w:rPr>
                <w:sz w:val="20"/>
                <w:szCs w:val="20"/>
              </w:rPr>
            </w:pPr>
            <w:r w:rsidRPr="00002494">
              <w:rPr>
                <w:sz w:val="20"/>
                <w:szCs w:val="20"/>
              </w:rPr>
              <w:t xml:space="preserve">Charge per 1,000 gallons  </w:t>
            </w:r>
          </w:p>
        </w:tc>
        <w:tc>
          <w:tcPr>
            <w:tcW w:w="1319" w:type="dxa"/>
            <w:shd w:val="clear" w:color="auto" w:fill="auto"/>
            <w:noWrap/>
            <w:vAlign w:val="bottom"/>
            <w:hideMark/>
          </w:tcPr>
          <w:p w:rsidR="00002494" w:rsidRPr="00002494" w:rsidRDefault="00002494" w:rsidP="00526BF4">
            <w:pPr>
              <w:jc w:val="right"/>
              <w:rPr>
                <w:color w:val="000000"/>
                <w:sz w:val="20"/>
                <w:szCs w:val="20"/>
              </w:rPr>
            </w:pPr>
          </w:p>
        </w:tc>
        <w:tc>
          <w:tcPr>
            <w:tcW w:w="2341" w:type="dxa"/>
            <w:shd w:val="clear" w:color="auto" w:fill="auto"/>
            <w:noWrap/>
            <w:vAlign w:val="bottom"/>
            <w:hideMark/>
          </w:tcPr>
          <w:p w:rsidR="00002494" w:rsidRPr="00002494" w:rsidRDefault="00002494" w:rsidP="00526BF4">
            <w:pPr>
              <w:jc w:val="right"/>
              <w:rPr>
                <w:color w:val="000000"/>
                <w:sz w:val="20"/>
                <w:szCs w:val="20"/>
              </w:rPr>
            </w:pPr>
          </w:p>
        </w:tc>
        <w:tc>
          <w:tcPr>
            <w:tcW w:w="1796" w:type="dxa"/>
            <w:shd w:val="clear" w:color="auto" w:fill="auto"/>
            <w:noWrap/>
            <w:vAlign w:val="bottom"/>
            <w:hideMark/>
          </w:tcPr>
          <w:p w:rsidR="00002494" w:rsidRPr="00002494" w:rsidRDefault="00002494" w:rsidP="00526BF4">
            <w:pPr>
              <w:jc w:val="right"/>
              <w:rPr>
                <w:color w:val="000000"/>
                <w:sz w:val="20"/>
                <w:szCs w:val="20"/>
              </w:rPr>
            </w:pPr>
          </w:p>
        </w:tc>
        <w:tc>
          <w:tcPr>
            <w:tcW w:w="1683" w:type="dxa"/>
            <w:shd w:val="clear" w:color="auto" w:fill="auto"/>
            <w:noWrap/>
            <w:vAlign w:val="bottom"/>
            <w:hideMark/>
          </w:tcPr>
          <w:p w:rsidR="00002494" w:rsidRPr="00002494" w:rsidRDefault="00002494" w:rsidP="00526BF4">
            <w:pPr>
              <w:jc w:val="right"/>
              <w:rPr>
                <w:color w:val="000000"/>
                <w:sz w:val="20"/>
                <w:szCs w:val="20"/>
              </w:rPr>
            </w:pPr>
          </w:p>
        </w:tc>
      </w:tr>
      <w:tr w:rsidR="00002494" w:rsidRPr="00002494" w:rsidTr="00002494">
        <w:trPr>
          <w:trHeight w:val="265"/>
          <w:jc w:val="center"/>
        </w:trPr>
        <w:tc>
          <w:tcPr>
            <w:tcW w:w="2880" w:type="dxa"/>
            <w:shd w:val="clear" w:color="auto" w:fill="auto"/>
            <w:noWrap/>
            <w:vAlign w:val="bottom"/>
          </w:tcPr>
          <w:p w:rsidR="00002494" w:rsidRPr="00002494" w:rsidRDefault="00002494" w:rsidP="00526BF4">
            <w:pPr>
              <w:rPr>
                <w:sz w:val="20"/>
                <w:szCs w:val="20"/>
              </w:rPr>
            </w:pPr>
            <w:r w:rsidRPr="00002494">
              <w:rPr>
                <w:sz w:val="20"/>
                <w:szCs w:val="20"/>
              </w:rPr>
              <w:t>0-5,000 gallons</w:t>
            </w:r>
          </w:p>
        </w:tc>
        <w:tc>
          <w:tcPr>
            <w:tcW w:w="1319"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$2.89</w:t>
            </w:r>
          </w:p>
        </w:tc>
        <w:tc>
          <w:tcPr>
            <w:tcW w:w="2341"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$3.19</w:t>
            </w:r>
          </w:p>
        </w:tc>
        <w:tc>
          <w:tcPr>
            <w:tcW w:w="1796"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$3.80</w:t>
            </w:r>
          </w:p>
        </w:tc>
        <w:tc>
          <w:tcPr>
            <w:tcW w:w="1683" w:type="dxa"/>
            <w:shd w:val="clear" w:color="auto" w:fill="auto"/>
            <w:noWrap/>
            <w:vAlign w:val="bottom"/>
          </w:tcPr>
          <w:p w:rsidR="00002494" w:rsidRPr="00002494" w:rsidRDefault="00002494" w:rsidP="00526BF4">
            <w:pPr>
              <w:jc w:val="right"/>
              <w:rPr>
                <w:color w:val="000000"/>
                <w:sz w:val="20"/>
                <w:szCs w:val="20"/>
              </w:rPr>
            </w:pPr>
          </w:p>
        </w:tc>
      </w:tr>
      <w:tr w:rsidR="00002494" w:rsidRPr="00002494" w:rsidTr="00002494">
        <w:trPr>
          <w:trHeight w:val="265"/>
          <w:jc w:val="center"/>
        </w:trPr>
        <w:tc>
          <w:tcPr>
            <w:tcW w:w="2880" w:type="dxa"/>
            <w:shd w:val="clear" w:color="auto" w:fill="auto"/>
            <w:noWrap/>
            <w:vAlign w:val="bottom"/>
          </w:tcPr>
          <w:p w:rsidR="00002494" w:rsidRPr="00002494" w:rsidRDefault="00002494" w:rsidP="00526BF4">
            <w:pPr>
              <w:rPr>
                <w:sz w:val="20"/>
                <w:szCs w:val="20"/>
              </w:rPr>
            </w:pPr>
            <w:r w:rsidRPr="00002494">
              <w:rPr>
                <w:sz w:val="20"/>
                <w:szCs w:val="20"/>
              </w:rPr>
              <w:t>5,001-10,000  gallons</w:t>
            </w:r>
          </w:p>
        </w:tc>
        <w:tc>
          <w:tcPr>
            <w:tcW w:w="1319"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$3.18</w:t>
            </w:r>
          </w:p>
        </w:tc>
        <w:tc>
          <w:tcPr>
            <w:tcW w:w="2341"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$3.51</w:t>
            </w:r>
          </w:p>
        </w:tc>
        <w:tc>
          <w:tcPr>
            <w:tcW w:w="1796"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$3.96</w:t>
            </w:r>
          </w:p>
        </w:tc>
        <w:tc>
          <w:tcPr>
            <w:tcW w:w="1683" w:type="dxa"/>
            <w:shd w:val="clear" w:color="auto" w:fill="auto"/>
            <w:noWrap/>
            <w:vAlign w:val="bottom"/>
          </w:tcPr>
          <w:p w:rsidR="00002494" w:rsidRPr="00002494" w:rsidRDefault="00002494" w:rsidP="00526BF4">
            <w:pPr>
              <w:jc w:val="right"/>
              <w:rPr>
                <w:color w:val="000000"/>
                <w:sz w:val="20"/>
                <w:szCs w:val="20"/>
              </w:rPr>
            </w:pPr>
          </w:p>
        </w:tc>
      </w:tr>
      <w:tr w:rsidR="00002494" w:rsidRPr="00002494" w:rsidTr="00002494">
        <w:trPr>
          <w:trHeight w:val="265"/>
          <w:jc w:val="center"/>
        </w:trPr>
        <w:tc>
          <w:tcPr>
            <w:tcW w:w="2880" w:type="dxa"/>
            <w:shd w:val="clear" w:color="auto" w:fill="auto"/>
            <w:noWrap/>
            <w:vAlign w:val="bottom"/>
          </w:tcPr>
          <w:p w:rsidR="00002494" w:rsidRPr="00002494" w:rsidRDefault="00002494" w:rsidP="00526BF4">
            <w:pPr>
              <w:rPr>
                <w:sz w:val="20"/>
                <w:szCs w:val="20"/>
              </w:rPr>
            </w:pPr>
            <w:r w:rsidRPr="00002494">
              <w:rPr>
                <w:sz w:val="20"/>
                <w:szCs w:val="20"/>
              </w:rPr>
              <w:t>Over 10,000 gallons</w:t>
            </w:r>
          </w:p>
        </w:tc>
        <w:tc>
          <w:tcPr>
            <w:tcW w:w="1319" w:type="dxa"/>
            <w:shd w:val="clear" w:color="auto" w:fill="auto"/>
            <w:noWrap/>
            <w:vAlign w:val="bottom"/>
          </w:tcPr>
          <w:p w:rsidR="00002494" w:rsidRPr="00002494" w:rsidRDefault="00002494" w:rsidP="00526BF4">
            <w:pPr>
              <w:jc w:val="right"/>
              <w:rPr>
                <w:sz w:val="20"/>
                <w:szCs w:val="20"/>
              </w:rPr>
            </w:pPr>
            <w:r w:rsidRPr="00002494">
              <w:rPr>
                <w:sz w:val="20"/>
                <w:szCs w:val="20"/>
              </w:rPr>
              <w:t>$6.35</w:t>
            </w:r>
          </w:p>
        </w:tc>
        <w:tc>
          <w:tcPr>
            <w:tcW w:w="2341"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$7.01</w:t>
            </w:r>
          </w:p>
        </w:tc>
        <w:tc>
          <w:tcPr>
            <w:tcW w:w="1796"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$5.95</w:t>
            </w:r>
          </w:p>
        </w:tc>
        <w:tc>
          <w:tcPr>
            <w:tcW w:w="1683" w:type="dxa"/>
            <w:shd w:val="clear" w:color="auto" w:fill="auto"/>
            <w:noWrap/>
            <w:vAlign w:val="bottom"/>
          </w:tcPr>
          <w:p w:rsidR="00002494" w:rsidRPr="00002494" w:rsidRDefault="00002494" w:rsidP="00526BF4">
            <w:pPr>
              <w:jc w:val="right"/>
              <w:rPr>
                <w:color w:val="000000"/>
                <w:sz w:val="20"/>
                <w:szCs w:val="20"/>
              </w:rPr>
            </w:pPr>
          </w:p>
        </w:tc>
      </w:tr>
      <w:tr w:rsidR="00002494" w:rsidRPr="00002494" w:rsidTr="00002494">
        <w:trPr>
          <w:trHeight w:val="265"/>
          <w:jc w:val="center"/>
        </w:trPr>
        <w:tc>
          <w:tcPr>
            <w:tcW w:w="2880" w:type="dxa"/>
            <w:shd w:val="clear" w:color="auto" w:fill="auto"/>
            <w:noWrap/>
            <w:vAlign w:val="bottom"/>
          </w:tcPr>
          <w:p w:rsidR="00002494" w:rsidRPr="00002494" w:rsidRDefault="00002494" w:rsidP="00526BF4">
            <w:pPr>
              <w:rPr>
                <w:sz w:val="20"/>
                <w:szCs w:val="20"/>
              </w:rPr>
            </w:pPr>
          </w:p>
        </w:tc>
        <w:tc>
          <w:tcPr>
            <w:tcW w:w="1319" w:type="dxa"/>
            <w:shd w:val="clear" w:color="auto" w:fill="auto"/>
            <w:noWrap/>
            <w:vAlign w:val="bottom"/>
          </w:tcPr>
          <w:p w:rsidR="00002494" w:rsidRPr="00002494" w:rsidRDefault="00002494" w:rsidP="00526BF4">
            <w:pPr>
              <w:jc w:val="right"/>
              <w:rPr>
                <w:sz w:val="20"/>
                <w:szCs w:val="20"/>
              </w:rPr>
            </w:pPr>
          </w:p>
        </w:tc>
        <w:tc>
          <w:tcPr>
            <w:tcW w:w="2341" w:type="dxa"/>
            <w:shd w:val="clear" w:color="auto" w:fill="auto"/>
            <w:noWrap/>
            <w:vAlign w:val="bottom"/>
          </w:tcPr>
          <w:p w:rsidR="00002494" w:rsidRPr="00002494" w:rsidRDefault="00002494" w:rsidP="00526BF4">
            <w:pPr>
              <w:jc w:val="right"/>
              <w:rPr>
                <w:color w:val="000000"/>
                <w:sz w:val="20"/>
                <w:szCs w:val="20"/>
              </w:rPr>
            </w:pPr>
          </w:p>
        </w:tc>
        <w:tc>
          <w:tcPr>
            <w:tcW w:w="1796" w:type="dxa"/>
            <w:shd w:val="clear" w:color="auto" w:fill="auto"/>
            <w:noWrap/>
            <w:vAlign w:val="bottom"/>
          </w:tcPr>
          <w:p w:rsidR="00002494" w:rsidRPr="00002494" w:rsidRDefault="00002494" w:rsidP="00526BF4">
            <w:pPr>
              <w:jc w:val="right"/>
              <w:rPr>
                <w:color w:val="000000"/>
                <w:sz w:val="20"/>
                <w:szCs w:val="20"/>
              </w:rPr>
            </w:pPr>
          </w:p>
        </w:tc>
        <w:tc>
          <w:tcPr>
            <w:tcW w:w="1683" w:type="dxa"/>
            <w:shd w:val="clear" w:color="auto" w:fill="auto"/>
            <w:noWrap/>
            <w:vAlign w:val="bottom"/>
          </w:tcPr>
          <w:p w:rsidR="00002494" w:rsidRPr="00002494" w:rsidRDefault="00002494" w:rsidP="00526BF4">
            <w:pPr>
              <w:jc w:val="right"/>
              <w:rPr>
                <w:color w:val="000000"/>
                <w:sz w:val="20"/>
                <w:szCs w:val="20"/>
              </w:rPr>
            </w:pPr>
          </w:p>
        </w:tc>
      </w:tr>
      <w:tr w:rsidR="00002494" w:rsidRPr="00002494" w:rsidTr="00002494">
        <w:trPr>
          <w:trHeight w:val="265"/>
          <w:jc w:val="center"/>
        </w:trPr>
        <w:tc>
          <w:tcPr>
            <w:tcW w:w="2880" w:type="dxa"/>
            <w:shd w:val="clear" w:color="auto" w:fill="auto"/>
            <w:noWrap/>
            <w:vAlign w:val="bottom"/>
          </w:tcPr>
          <w:p w:rsidR="00002494" w:rsidRPr="00002494" w:rsidRDefault="00002494" w:rsidP="00526BF4">
            <w:pPr>
              <w:rPr>
                <w:sz w:val="20"/>
                <w:szCs w:val="20"/>
              </w:rPr>
            </w:pPr>
            <w:r w:rsidRPr="00002494">
              <w:rPr>
                <w:sz w:val="20"/>
                <w:szCs w:val="20"/>
              </w:rPr>
              <w:t>0-5,000 gallons</w:t>
            </w:r>
          </w:p>
        </w:tc>
        <w:tc>
          <w:tcPr>
            <w:tcW w:w="1319" w:type="dxa"/>
            <w:shd w:val="clear" w:color="auto" w:fill="auto"/>
            <w:noWrap/>
            <w:vAlign w:val="bottom"/>
          </w:tcPr>
          <w:p w:rsidR="00002494" w:rsidRPr="00002494" w:rsidRDefault="00002494" w:rsidP="00526BF4">
            <w:pPr>
              <w:jc w:val="right"/>
              <w:rPr>
                <w:sz w:val="20"/>
                <w:szCs w:val="20"/>
              </w:rPr>
            </w:pPr>
          </w:p>
        </w:tc>
        <w:tc>
          <w:tcPr>
            <w:tcW w:w="2341" w:type="dxa"/>
            <w:shd w:val="clear" w:color="auto" w:fill="auto"/>
            <w:noWrap/>
            <w:vAlign w:val="bottom"/>
          </w:tcPr>
          <w:p w:rsidR="00002494" w:rsidRPr="00002494" w:rsidRDefault="00002494" w:rsidP="00526BF4">
            <w:pPr>
              <w:jc w:val="right"/>
              <w:rPr>
                <w:color w:val="000000"/>
                <w:sz w:val="20"/>
                <w:szCs w:val="20"/>
              </w:rPr>
            </w:pPr>
          </w:p>
        </w:tc>
        <w:tc>
          <w:tcPr>
            <w:tcW w:w="1796" w:type="dxa"/>
            <w:shd w:val="clear" w:color="auto" w:fill="auto"/>
            <w:noWrap/>
            <w:vAlign w:val="bottom"/>
          </w:tcPr>
          <w:p w:rsidR="00002494" w:rsidRPr="00002494" w:rsidRDefault="00002494" w:rsidP="00526BF4">
            <w:pPr>
              <w:jc w:val="right"/>
              <w:rPr>
                <w:color w:val="000000"/>
                <w:sz w:val="20"/>
                <w:szCs w:val="20"/>
              </w:rPr>
            </w:pPr>
          </w:p>
        </w:tc>
        <w:tc>
          <w:tcPr>
            <w:tcW w:w="1683"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$3.95</w:t>
            </w:r>
          </w:p>
        </w:tc>
      </w:tr>
      <w:tr w:rsidR="00002494" w:rsidRPr="00002494" w:rsidTr="00002494">
        <w:trPr>
          <w:trHeight w:val="265"/>
          <w:jc w:val="center"/>
        </w:trPr>
        <w:tc>
          <w:tcPr>
            <w:tcW w:w="2880" w:type="dxa"/>
            <w:shd w:val="clear" w:color="auto" w:fill="auto"/>
            <w:noWrap/>
            <w:vAlign w:val="bottom"/>
          </w:tcPr>
          <w:p w:rsidR="00002494" w:rsidRPr="00002494" w:rsidRDefault="00002494" w:rsidP="00526BF4">
            <w:pPr>
              <w:rPr>
                <w:sz w:val="20"/>
                <w:szCs w:val="20"/>
              </w:rPr>
            </w:pPr>
            <w:r w:rsidRPr="00002494">
              <w:rPr>
                <w:sz w:val="20"/>
                <w:szCs w:val="20"/>
              </w:rPr>
              <w:t>Over 5,000 gallons</w:t>
            </w:r>
          </w:p>
        </w:tc>
        <w:tc>
          <w:tcPr>
            <w:tcW w:w="1319" w:type="dxa"/>
            <w:shd w:val="clear" w:color="auto" w:fill="auto"/>
            <w:noWrap/>
            <w:vAlign w:val="bottom"/>
          </w:tcPr>
          <w:p w:rsidR="00002494" w:rsidRPr="00002494" w:rsidRDefault="00002494" w:rsidP="00526BF4">
            <w:pPr>
              <w:jc w:val="right"/>
              <w:rPr>
                <w:sz w:val="20"/>
                <w:szCs w:val="20"/>
              </w:rPr>
            </w:pPr>
          </w:p>
        </w:tc>
        <w:tc>
          <w:tcPr>
            <w:tcW w:w="2341" w:type="dxa"/>
            <w:shd w:val="clear" w:color="auto" w:fill="auto"/>
            <w:noWrap/>
            <w:vAlign w:val="bottom"/>
          </w:tcPr>
          <w:p w:rsidR="00002494" w:rsidRPr="00002494" w:rsidRDefault="00002494" w:rsidP="00526BF4">
            <w:pPr>
              <w:jc w:val="right"/>
              <w:rPr>
                <w:color w:val="000000"/>
                <w:sz w:val="20"/>
                <w:szCs w:val="20"/>
              </w:rPr>
            </w:pPr>
          </w:p>
        </w:tc>
        <w:tc>
          <w:tcPr>
            <w:tcW w:w="1796" w:type="dxa"/>
            <w:shd w:val="clear" w:color="auto" w:fill="auto"/>
            <w:noWrap/>
            <w:vAlign w:val="bottom"/>
          </w:tcPr>
          <w:p w:rsidR="00002494" w:rsidRPr="00002494" w:rsidRDefault="00002494" w:rsidP="00526BF4">
            <w:pPr>
              <w:jc w:val="right"/>
              <w:rPr>
                <w:color w:val="000000"/>
                <w:sz w:val="20"/>
                <w:szCs w:val="20"/>
              </w:rPr>
            </w:pPr>
          </w:p>
        </w:tc>
        <w:tc>
          <w:tcPr>
            <w:tcW w:w="1683" w:type="dxa"/>
            <w:shd w:val="clear" w:color="auto" w:fill="auto"/>
            <w:noWrap/>
            <w:vAlign w:val="bottom"/>
          </w:tcPr>
          <w:p w:rsidR="00002494" w:rsidRPr="00002494" w:rsidRDefault="00002494" w:rsidP="00526BF4">
            <w:pPr>
              <w:jc w:val="right"/>
              <w:rPr>
                <w:color w:val="000000"/>
                <w:sz w:val="20"/>
                <w:szCs w:val="20"/>
              </w:rPr>
            </w:pPr>
            <w:r w:rsidRPr="00002494">
              <w:rPr>
                <w:color w:val="000000"/>
                <w:sz w:val="20"/>
                <w:szCs w:val="20"/>
              </w:rPr>
              <w:t>$4.33</w:t>
            </w:r>
          </w:p>
        </w:tc>
      </w:tr>
      <w:tr w:rsidR="00002494" w:rsidRPr="00002494" w:rsidTr="00002494">
        <w:trPr>
          <w:trHeight w:val="265"/>
          <w:jc w:val="center"/>
        </w:trPr>
        <w:tc>
          <w:tcPr>
            <w:tcW w:w="2880" w:type="dxa"/>
            <w:shd w:val="clear" w:color="auto" w:fill="auto"/>
            <w:noWrap/>
            <w:vAlign w:val="bottom"/>
          </w:tcPr>
          <w:p w:rsidR="00002494" w:rsidRPr="00002494" w:rsidRDefault="00002494" w:rsidP="00526BF4">
            <w:pPr>
              <w:rPr>
                <w:sz w:val="20"/>
                <w:szCs w:val="20"/>
              </w:rPr>
            </w:pPr>
          </w:p>
        </w:tc>
        <w:tc>
          <w:tcPr>
            <w:tcW w:w="1319" w:type="dxa"/>
            <w:shd w:val="clear" w:color="auto" w:fill="auto"/>
            <w:noWrap/>
            <w:vAlign w:val="bottom"/>
          </w:tcPr>
          <w:p w:rsidR="00002494" w:rsidRPr="00002494" w:rsidRDefault="00002494" w:rsidP="00526BF4">
            <w:pPr>
              <w:jc w:val="right"/>
              <w:rPr>
                <w:sz w:val="20"/>
                <w:szCs w:val="20"/>
              </w:rPr>
            </w:pPr>
          </w:p>
        </w:tc>
        <w:tc>
          <w:tcPr>
            <w:tcW w:w="2341" w:type="dxa"/>
            <w:shd w:val="clear" w:color="auto" w:fill="auto"/>
            <w:noWrap/>
            <w:vAlign w:val="bottom"/>
          </w:tcPr>
          <w:p w:rsidR="00002494" w:rsidRPr="00002494" w:rsidRDefault="00002494" w:rsidP="00526BF4">
            <w:pPr>
              <w:jc w:val="right"/>
              <w:rPr>
                <w:color w:val="000000"/>
                <w:sz w:val="20"/>
                <w:szCs w:val="20"/>
              </w:rPr>
            </w:pPr>
          </w:p>
        </w:tc>
        <w:tc>
          <w:tcPr>
            <w:tcW w:w="1796" w:type="dxa"/>
            <w:shd w:val="clear" w:color="auto" w:fill="auto"/>
            <w:noWrap/>
            <w:vAlign w:val="bottom"/>
          </w:tcPr>
          <w:p w:rsidR="00002494" w:rsidRPr="00002494" w:rsidRDefault="00002494" w:rsidP="00526BF4">
            <w:pPr>
              <w:jc w:val="right"/>
              <w:rPr>
                <w:color w:val="000000"/>
                <w:sz w:val="20"/>
                <w:szCs w:val="20"/>
              </w:rPr>
            </w:pPr>
          </w:p>
        </w:tc>
        <w:tc>
          <w:tcPr>
            <w:tcW w:w="1683" w:type="dxa"/>
            <w:shd w:val="clear" w:color="auto" w:fill="auto"/>
            <w:noWrap/>
            <w:vAlign w:val="bottom"/>
          </w:tcPr>
          <w:p w:rsidR="00002494" w:rsidRPr="00002494" w:rsidRDefault="00002494" w:rsidP="00526BF4">
            <w:pPr>
              <w:jc w:val="right"/>
              <w:rPr>
                <w:color w:val="000000"/>
                <w:sz w:val="20"/>
                <w:szCs w:val="20"/>
              </w:rPr>
            </w:pPr>
          </w:p>
        </w:tc>
      </w:tr>
      <w:tr w:rsidR="00002494" w:rsidRPr="00002494" w:rsidTr="00002494">
        <w:trPr>
          <w:trHeight w:val="265"/>
          <w:jc w:val="center"/>
        </w:trPr>
        <w:tc>
          <w:tcPr>
            <w:tcW w:w="6540" w:type="dxa"/>
            <w:gridSpan w:val="3"/>
            <w:shd w:val="clear" w:color="auto" w:fill="auto"/>
            <w:noWrap/>
            <w:vAlign w:val="bottom"/>
            <w:hideMark/>
          </w:tcPr>
          <w:p w:rsidR="00002494" w:rsidRPr="00002494" w:rsidRDefault="00002494" w:rsidP="00526BF4">
            <w:pPr>
              <w:rPr>
                <w:color w:val="000000"/>
                <w:sz w:val="20"/>
                <w:szCs w:val="20"/>
              </w:rPr>
            </w:pPr>
            <w:r w:rsidRPr="00002494">
              <w:rPr>
                <w:b/>
                <w:bCs/>
                <w:color w:val="000000"/>
                <w:sz w:val="20"/>
                <w:szCs w:val="20"/>
                <w:u w:val="single"/>
              </w:rPr>
              <w:t>Typical Residential 5/8" x 3/4" Meter Bill Comparison</w:t>
            </w:r>
          </w:p>
        </w:tc>
        <w:tc>
          <w:tcPr>
            <w:tcW w:w="1796" w:type="dxa"/>
            <w:shd w:val="clear" w:color="auto" w:fill="auto"/>
            <w:noWrap/>
            <w:vAlign w:val="bottom"/>
            <w:hideMark/>
          </w:tcPr>
          <w:p w:rsidR="00002494" w:rsidRPr="00002494" w:rsidRDefault="00002494" w:rsidP="00526BF4">
            <w:pPr>
              <w:jc w:val="right"/>
              <w:rPr>
                <w:color w:val="000000"/>
                <w:sz w:val="20"/>
                <w:szCs w:val="20"/>
              </w:rPr>
            </w:pPr>
          </w:p>
        </w:tc>
        <w:tc>
          <w:tcPr>
            <w:tcW w:w="1683"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w:t>
            </w:r>
          </w:p>
        </w:tc>
      </w:tr>
      <w:tr w:rsidR="00002494" w:rsidRPr="00002494" w:rsidTr="00002494">
        <w:trPr>
          <w:trHeight w:val="265"/>
          <w:jc w:val="center"/>
        </w:trPr>
        <w:tc>
          <w:tcPr>
            <w:tcW w:w="2880" w:type="dxa"/>
            <w:shd w:val="clear" w:color="auto" w:fill="auto"/>
            <w:noWrap/>
            <w:vAlign w:val="bottom"/>
            <w:hideMark/>
          </w:tcPr>
          <w:p w:rsidR="00002494" w:rsidRPr="00002494" w:rsidRDefault="00002494" w:rsidP="00526BF4">
            <w:pPr>
              <w:rPr>
                <w:color w:val="000000"/>
                <w:sz w:val="20"/>
                <w:szCs w:val="20"/>
              </w:rPr>
            </w:pPr>
            <w:r w:rsidRPr="00002494">
              <w:rPr>
                <w:color w:val="000000"/>
                <w:sz w:val="20"/>
                <w:szCs w:val="20"/>
              </w:rPr>
              <w:t>3,000 Gallons</w:t>
            </w:r>
          </w:p>
        </w:tc>
        <w:tc>
          <w:tcPr>
            <w:tcW w:w="1319"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xml:space="preserve">$17.74 </w:t>
            </w:r>
          </w:p>
        </w:tc>
        <w:tc>
          <w:tcPr>
            <w:tcW w:w="2341"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$19.58</w:t>
            </w:r>
          </w:p>
        </w:tc>
        <w:tc>
          <w:tcPr>
            <w:tcW w:w="1796"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$19.51</w:t>
            </w:r>
          </w:p>
        </w:tc>
        <w:tc>
          <w:tcPr>
            <w:tcW w:w="1683"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xml:space="preserve">$19.95 </w:t>
            </w:r>
          </w:p>
        </w:tc>
      </w:tr>
      <w:tr w:rsidR="00002494" w:rsidRPr="00002494" w:rsidTr="00002494">
        <w:trPr>
          <w:trHeight w:val="265"/>
          <w:jc w:val="center"/>
        </w:trPr>
        <w:tc>
          <w:tcPr>
            <w:tcW w:w="2880" w:type="dxa"/>
            <w:shd w:val="clear" w:color="auto" w:fill="auto"/>
            <w:noWrap/>
            <w:vAlign w:val="bottom"/>
            <w:hideMark/>
          </w:tcPr>
          <w:p w:rsidR="00002494" w:rsidRPr="00002494" w:rsidRDefault="00002494" w:rsidP="00526BF4">
            <w:pPr>
              <w:rPr>
                <w:color w:val="000000"/>
                <w:sz w:val="20"/>
                <w:szCs w:val="20"/>
              </w:rPr>
            </w:pPr>
            <w:r w:rsidRPr="00002494">
              <w:rPr>
                <w:color w:val="000000"/>
                <w:sz w:val="20"/>
                <w:szCs w:val="20"/>
              </w:rPr>
              <w:t>5,000 Gallons</w:t>
            </w:r>
          </w:p>
        </w:tc>
        <w:tc>
          <w:tcPr>
            <w:tcW w:w="1319"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$23.52</w:t>
            </w:r>
          </w:p>
        </w:tc>
        <w:tc>
          <w:tcPr>
            <w:tcW w:w="2341"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$25.96</w:t>
            </w:r>
          </w:p>
        </w:tc>
        <w:tc>
          <w:tcPr>
            <w:tcW w:w="1796"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xml:space="preserve">$27.11 </w:t>
            </w:r>
          </w:p>
        </w:tc>
        <w:tc>
          <w:tcPr>
            <w:tcW w:w="1683"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xml:space="preserve">$27.85 </w:t>
            </w:r>
          </w:p>
        </w:tc>
      </w:tr>
      <w:tr w:rsidR="00002494" w:rsidRPr="00002494" w:rsidTr="00002494">
        <w:trPr>
          <w:trHeight w:val="265"/>
          <w:jc w:val="center"/>
        </w:trPr>
        <w:tc>
          <w:tcPr>
            <w:tcW w:w="2880" w:type="dxa"/>
            <w:shd w:val="clear" w:color="auto" w:fill="auto"/>
            <w:noWrap/>
            <w:vAlign w:val="bottom"/>
            <w:hideMark/>
          </w:tcPr>
          <w:p w:rsidR="00002494" w:rsidRPr="00002494" w:rsidRDefault="00002494" w:rsidP="00526BF4">
            <w:pPr>
              <w:rPr>
                <w:color w:val="000000"/>
                <w:sz w:val="20"/>
                <w:szCs w:val="20"/>
              </w:rPr>
            </w:pPr>
            <w:r w:rsidRPr="00002494">
              <w:rPr>
                <w:color w:val="000000"/>
                <w:sz w:val="20"/>
                <w:szCs w:val="20"/>
              </w:rPr>
              <w:t>10,000 Gallons</w:t>
            </w:r>
          </w:p>
        </w:tc>
        <w:tc>
          <w:tcPr>
            <w:tcW w:w="1319"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xml:space="preserve">$39.42 </w:t>
            </w:r>
          </w:p>
        </w:tc>
        <w:tc>
          <w:tcPr>
            <w:tcW w:w="2341"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xml:space="preserve">$43.51 </w:t>
            </w:r>
          </w:p>
        </w:tc>
        <w:tc>
          <w:tcPr>
            <w:tcW w:w="1796"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$46.91</w:t>
            </w:r>
          </w:p>
        </w:tc>
        <w:tc>
          <w:tcPr>
            <w:tcW w:w="1683"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xml:space="preserve">$49.50 </w:t>
            </w:r>
          </w:p>
        </w:tc>
      </w:tr>
      <w:tr w:rsidR="00002494" w:rsidRPr="00002494" w:rsidTr="00002494">
        <w:trPr>
          <w:trHeight w:val="278"/>
          <w:jc w:val="center"/>
        </w:trPr>
        <w:tc>
          <w:tcPr>
            <w:tcW w:w="2880" w:type="dxa"/>
            <w:shd w:val="clear" w:color="auto" w:fill="auto"/>
            <w:noWrap/>
            <w:vAlign w:val="bottom"/>
            <w:hideMark/>
          </w:tcPr>
          <w:p w:rsidR="00002494" w:rsidRPr="00002494" w:rsidRDefault="00002494" w:rsidP="00526BF4">
            <w:pPr>
              <w:rPr>
                <w:color w:val="000000"/>
                <w:sz w:val="20"/>
                <w:szCs w:val="20"/>
              </w:rPr>
            </w:pPr>
            <w:r w:rsidRPr="00002494">
              <w:rPr>
                <w:color w:val="000000"/>
                <w:sz w:val="20"/>
                <w:szCs w:val="20"/>
              </w:rPr>
              <w:t> </w:t>
            </w:r>
          </w:p>
        </w:tc>
        <w:tc>
          <w:tcPr>
            <w:tcW w:w="1319"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w:t>
            </w:r>
          </w:p>
        </w:tc>
        <w:tc>
          <w:tcPr>
            <w:tcW w:w="2341"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w:t>
            </w:r>
          </w:p>
        </w:tc>
        <w:tc>
          <w:tcPr>
            <w:tcW w:w="1796"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w:t>
            </w:r>
          </w:p>
        </w:tc>
        <w:tc>
          <w:tcPr>
            <w:tcW w:w="1683" w:type="dxa"/>
            <w:shd w:val="clear" w:color="auto" w:fill="auto"/>
            <w:noWrap/>
            <w:vAlign w:val="bottom"/>
            <w:hideMark/>
          </w:tcPr>
          <w:p w:rsidR="00002494" w:rsidRPr="00002494" w:rsidRDefault="00002494" w:rsidP="00526BF4">
            <w:pPr>
              <w:jc w:val="right"/>
              <w:rPr>
                <w:color w:val="000000"/>
                <w:sz w:val="20"/>
                <w:szCs w:val="20"/>
              </w:rPr>
            </w:pPr>
            <w:r w:rsidRPr="00002494">
              <w:rPr>
                <w:color w:val="000000"/>
                <w:sz w:val="20"/>
                <w:szCs w:val="20"/>
              </w:rPr>
              <w:t> </w:t>
            </w:r>
          </w:p>
        </w:tc>
      </w:tr>
    </w:tbl>
    <w:p w:rsidR="00002494" w:rsidRPr="00002494" w:rsidRDefault="00002494" w:rsidP="00526BF4">
      <w:pPr>
        <w:ind w:left="-360"/>
      </w:pPr>
      <w:r w:rsidRPr="00002494">
        <w:t xml:space="preserve">Source: Current tariffs and </w:t>
      </w:r>
      <w:r w:rsidR="001D2507">
        <w:t>our</w:t>
      </w:r>
      <w:r w:rsidRPr="00002494">
        <w:t xml:space="preserve"> calculations</w:t>
      </w:r>
    </w:p>
    <w:p w:rsidR="00002494" w:rsidRPr="00002494" w:rsidRDefault="00002494" w:rsidP="00526BF4">
      <w:pPr>
        <w:rPr>
          <w:b/>
        </w:rPr>
      </w:pPr>
    </w:p>
    <w:p w:rsidR="00002494" w:rsidRPr="001D2507" w:rsidRDefault="001D2507" w:rsidP="001D2507">
      <w:pPr>
        <w:ind w:firstLine="720"/>
        <w:rPr>
          <w:i/>
        </w:rPr>
      </w:pPr>
      <w:r w:rsidRPr="001D2507">
        <w:rPr>
          <w:i/>
        </w:rPr>
        <w:t>Rate Str</w:t>
      </w:r>
      <w:r>
        <w:rPr>
          <w:i/>
        </w:rPr>
        <w:t>u</w:t>
      </w:r>
      <w:r w:rsidRPr="001D2507">
        <w:rPr>
          <w:i/>
        </w:rPr>
        <w:t xml:space="preserve">cture &amp; Rates </w:t>
      </w:r>
      <w:r w:rsidR="00002494" w:rsidRPr="001D2507">
        <w:rPr>
          <w:i/>
        </w:rPr>
        <w:t>Summary</w:t>
      </w:r>
    </w:p>
    <w:p w:rsidR="001D2507" w:rsidRDefault="001D2507" w:rsidP="00526BF4">
      <w:pPr>
        <w:jc w:val="both"/>
      </w:pPr>
    </w:p>
    <w:p w:rsidR="00002494" w:rsidRPr="00002494" w:rsidRDefault="00002494" w:rsidP="001D2507">
      <w:pPr>
        <w:ind w:firstLine="720"/>
        <w:jc w:val="both"/>
      </w:pPr>
      <w:r w:rsidRPr="00002494">
        <w:t xml:space="preserve">The rate structures and monthly water rates </w:t>
      </w:r>
      <w:r w:rsidR="001D2507">
        <w:t xml:space="preserve">approved by us for Sunrise </w:t>
      </w:r>
      <w:r w:rsidRPr="00002494">
        <w:t>are shown on Schedule No. 4</w:t>
      </w:r>
      <w:r w:rsidR="001D2507">
        <w:t xml:space="preserve"> attached to this Order</w:t>
      </w:r>
      <w:r w:rsidRPr="00002494">
        <w:t xml:space="preserve">. </w:t>
      </w:r>
      <w:r w:rsidR="001D2507">
        <w:t>Sunrise</w:t>
      </w:r>
      <w:r w:rsidRPr="00002494">
        <w:t xml:space="preserve"> sh</w:t>
      </w:r>
      <w:r w:rsidR="001D2507">
        <w:t>all</w:t>
      </w:r>
      <w:r w:rsidRPr="00002494">
        <w:t xml:space="preserve"> file revised tariff sheets and a proposed customer notice to reflect the approved rates. The approved rates </w:t>
      </w:r>
      <w:r w:rsidR="00E73CE2">
        <w:t>shall</w:t>
      </w:r>
      <w:r w:rsidRPr="00002494">
        <w:t xml:space="preserve"> be effective for service rendered on or after the stamped approval date on the tariff sheets pursuant to Rule 25-30.475(1), F.A.C. In add</w:t>
      </w:r>
      <w:r w:rsidR="001D2507">
        <w:t>ition, the approved rates shall</w:t>
      </w:r>
      <w:r w:rsidRPr="00002494">
        <w:t xml:space="preserve"> not be implemented until </w:t>
      </w:r>
      <w:r w:rsidR="001D2507">
        <w:t xml:space="preserve">our </w:t>
      </w:r>
      <w:r w:rsidRPr="00002494">
        <w:t xml:space="preserve">staff has approved the proposed customer notice and the notice has been received by the customers. </w:t>
      </w:r>
      <w:r w:rsidR="001D2507">
        <w:t>Sunrise</w:t>
      </w:r>
      <w:r w:rsidRPr="00002494">
        <w:t xml:space="preserve"> sh</w:t>
      </w:r>
      <w:r w:rsidR="001D2507">
        <w:t>all</w:t>
      </w:r>
      <w:r w:rsidRPr="00002494">
        <w:t xml:space="preserve"> provide proof of the date notice was given within 10 days of the date of the notice.</w:t>
      </w:r>
    </w:p>
    <w:p w:rsidR="00002494" w:rsidRDefault="00002494" w:rsidP="00526BF4">
      <w:pPr>
        <w:jc w:val="both"/>
        <w:outlineLvl w:val="0"/>
        <w:rPr>
          <w:b/>
          <w:bCs/>
          <w:i/>
          <w:kern w:val="32"/>
          <w:szCs w:val="32"/>
        </w:rPr>
      </w:pPr>
    </w:p>
    <w:p w:rsidR="001D2507" w:rsidRPr="001D2507" w:rsidRDefault="001D2507" w:rsidP="00526BF4">
      <w:pPr>
        <w:jc w:val="both"/>
        <w:outlineLvl w:val="0"/>
        <w:rPr>
          <w:bCs/>
          <w:kern w:val="32"/>
          <w:szCs w:val="32"/>
          <w:u w:val="single"/>
        </w:rPr>
      </w:pPr>
      <w:r w:rsidRPr="001D2507">
        <w:rPr>
          <w:bCs/>
          <w:kern w:val="32"/>
          <w:szCs w:val="32"/>
          <w:u w:val="single"/>
        </w:rPr>
        <w:t xml:space="preserve">Four Year Rate Reduction </w:t>
      </w:r>
    </w:p>
    <w:p w:rsidR="001D2507" w:rsidRDefault="001D2507" w:rsidP="00526BF4">
      <w:pPr>
        <w:jc w:val="both"/>
        <w:outlineLvl w:val="1"/>
        <w:rPr>
          <w:b/>
          <w:bCs/>
          <w:i/>
          <w:iCs/>
          <w:szCs w:val="28"/>
        </w:rPr>
      </w:pPr>
    </w:p>
    <w:p w:rsidR="00002494" w:rsidRPr="00002494" w:rsidRDefault="00002494" w:rsidP="001D2507">
      <w:pPr>
        <w:ind w:firstLine="720"/>
        <w:jc w:val="both"/>
      </w:pPr>
      <w:r w:rsidRPr="00002494">
        <w:t xml:space="preserve">Section 367.0816, F.S., requires that the rates be reduced immediately following the expiration of the four-year period by the amount of the rate case expense previously included in the rates. The reduction will reflect the removal of revenues associated with the amortization of rate case expense, the associated operating margin, and the gross-up for RAFs which is $763. Using </w:t>
      </w:r>
      <w:r w:rsidR="001D2507">
        <w:t>Sunrise</w:t>
      </w:r>
      <w:r w:rsidRPr="00002494">
        <w:t>’s current revenues, expenses, and customer base, the reduction in revenues will result in the rate decrease shown on Schedule No. 4</w:t>
      </w:r>
      <w:r w:rsidR="001D2507">
        <w:t xml:space="preserve"> attached to this Order</w:t>
      </w:r>
      <w:r w:rsidRPr="00002494">
        <w:t>.</w:t>
      </w:r>
    </w:p>
    <w:p w:rsidR="00002494" w:rsidRPr="00002494" w:rsidRDefault="00002494" w:rsidP="00526BF4">
      <w:pPr>
        <w:jc w:val="both"/>
      </w:pPr>
    </w:p>
    <w:p w:rsidR="00002494" w:rsidRDefault="00002494" w:rsidP="001D2507">
      <w:pPr>
        <w:ind w:firstLine="720"/>
        <w:jc w:val="both"/>
      </w:pPr>
      <w:r w:rsidRPr="00002494">
        <w:rPr>
          <w:color w:val="000000"/>
        </w:rPr>
        <w:lastRenderedPageBreak/>
        <w:t xml:space="preserve">Sunrise </w:t>
      </w:r>
      <w:r w:rsidRPr="00002494">
        <w:t>s</w:t>
      </w:r>
      <w:r w:rsidR="001D2507">
        <w:t>hall</w:t>
      </w:r>
      <w:r w:rsidRPr="00002494">
        <w:t xml:space="preserve"> be required to file revised tariff sheets no later than one month prior to the actual date of the required rate reduction. The Utility also sh</w:t>
      </w:r>
      <w:r w:rsidR="001D2507">
        <w:t>all</w:t>
      </w:r>
      <w:r w:rsidRPr="00002494">
        <w:t xml:space="preserve"> be required to file a proposed customer notice setting forth the lower rates and the reason for the reduction. If Sunrise files this reduction in conjunction with a price index or pass-through rate </w:t>
      </w:r>
      <w:r w:rsidR="001D2507">
        <w:t>adjustment, separate data shall</w:t>
      </w:r>
      <w:r w:rsidRPr="00002494">
        <w:t xml:space="preserve"> be filed for the price index and/or pass-through increase or decrease and the reduction in the rates due to the amortized rate case expense.</w:t>
      </w:r>
    </w:p>
    <w:p w:rsidR="001D2507" w:rsidRDefault="001D2507" w:rsidP="001D2507">
      <w:pPr>
        <w:jc w:val="both"/>
      </w:pPr>
    </w:p>
    <w:p w:rsidR="001D2507" w:rsidRPr="001D2507" w:rsidRDefault="001D2507" w:rsidP="001D2507">
      <w:pPr>
        <w:jc w:val="both"/>
        <w:rPr>
          <w:u w:val="single"/>
        </w:rPr>
      </w:pPr>
      <w:r w:rsidRPr="001D2507">
        <w:rPr>
          <w:u w:val="single"/>
        </w:rPr>
        <w:t>Customer Deposits</w:t>
      </w:r>
    </w:p>
    <w:p w:rsidR="001D2507" w:rsidRDefault="001D2507" w:rsidP="00526BF4">
      <w:pPr>
        <w:jc w:val="both"/>
        <w:outlineLvl w:val="0"/>
        <w:rPr>
          <w:b/>
          <w:bCs/>
          <w:i/>
          <w:kern w:val="32"/>
          <w:szCs w:val="32"/>
        </w:rPr>
      </w:pPr>
    </w:p>
    <w:p w:rsidR="00002494" w:rsidRDefault="00002494" w:rsidP="00BE2F50">
      <w:pPr>
        <w:ind w:firstLine="720"/>
        <w:jc w:val="both"/>
        <w:outlineLvl w:val="1"/>
      </w:pPr>
      <w:r w:rsidRPr="00002494">
        <w:rPr>
          <w:color w:val="000000"/>
        </w:rPr>
        <w:t xml:space="preserve">Rule 25-30.311, F.A.C., contains the criteria for collecting, administering, and refunding customer deposits. Customer deposits are designed to minimize the exposure of bad debt expense for the </w:t>
      </w:r>
      <w:r w:rsidR="00BE2F50">
        <w:t>u</w:t>
      </w:r>
      <w:r w:rsidRPr="00002494">
        <w:rPr>
          <w:color w:val="000000"/>
        </w:rPr>
        <w:t xml:space="preserve">tility and, ultimately, the general body of ratepayers. Historically, </w:t>
      </w:r>
      <w:r w:rsidR="00BE2F50">
        <w:rPr>
          <w:color w:val="000000"/>
        </w:rPr>
        <w:t xml:space="preserve">we have </w:t>
      </w:r>
      <w:r w:rsidRPr="00002494">
        <w:rPr>
          <w:color w:val="000000"/>
        </w:rPr>
        <w:t>set initial customer deposits equal to two times the average estimated bill.</w:t>
      </w:r>
      <w:r w:rsidRPr="00002494">
        <w:rPr>
          <w:color w:val="000000"/>
          <w:vertAlign w:val="superscript"/>
        </w:rPr>
        <w:footnoteReference w:id="15"/>
      </w:r>
      <w:r w:rsidRPr="00002494">
        <w:rPr>
          <w:color w:val="000000"/>
        </w:rPr>
        <w:t xml:space="preserve"> Currently, </w:t>
      </w:r>
      <w:r w:rsidR="00BE2F50">
        <w:rPr>
          <w:color w:val="000000"/>
        </w:rPr>
        <w:t>Sunrise</w:t>
      </w:r>
      <w:r w:rsidRPr="00002494">
        <w:rPr>
          <w:color w:val="000000"/>
        </w:rPr>
        <w:t xml:space="preserve">’s existing initial deposit for residential and general service is $52 for the 5/8 inch x 3/4 inch meter size. Based on </w:t>
      </w:r>
      <w:r w:rsidR="00BE2F50">
        <w:rPr>
          <w:color w:val="000000"/>
        </w:rPr>
        <w:t>the rates we approved</w:t>
      </w:r>
      <w:r w:rsidRPr="00002494">
        <w:rPr>
          <w:color w:val="000000"/>
        </w:rPr>
        <w:t xml:space="preserve">, </w:t>
      </w:r>
      <w:r w:rsidRPr="00002494">
        <w:t xml:space="preserve">the appropriate initial customer deposit for residential </w:t>
      </w:r>
      <w:r w:rsidR="00E73CE2">
        <w:t>shall</w:t>
      </w:r>
      <w:r w:rsidRPr="00002494">
        <w:t xml:space="preserve"> be $5</w:t>
      </w:r>
      <w:r w:rsidR="00F95A3C">
        <w:t>2</w:t>
      </w:r>
      <w:r w:rsidRPr="00002494">
        <w:t xml:space="preserve"> for the 5/8 inch x ¾ inch meter size. Therefore, </w:t>
      </w:r>
      <w:r w:rsidR="00BE2F50">
        <w:t>we find that Sunrise’s</w:t>
      </w:r>
      <w:r w:rsidRPr="00002494">
        <w:t xml:space="preserve"> initial customer deposits </w:t>
      </w:r>
      <w:r w:rsidR="00BE2F50">
        <w:t xml:space="preserve">shall </w:t>
      </w:r>
      <w:r w:rsidRPr="00002494">
        <w:t>remain unchanged for residential and general service meter sizes.</w:t>
      </w:r>
    </w:p>
    <w:p w:rsidR="00BE2F50" w:rsidRPr="00002494" w:rsidRDefault="00BE2F50" w:rsidP="00BE2F50">
      <w:pPr>
        <w:ind w:firstLine="720"/>
        <w:jc w:val="both"/>
        <w:outlineLvl w:val="1"/>
      </w:pPr>
    </w:p>
    <w:p w:rsidR="00002494" w:rsidRPr="00002494" w:rsidRDefault="00F95A3C" w:rsidP="00BE2F50">
      <w:pPr>
        <w:ind w:firstLine="720"/>
        <w:jc w:val="both"/>
        <w:rPr>
          <w:color w:val="000000"/>
        </w:rPr>
      </w:pPr>
      <w:r>
        <w:rPr>
          <w:color w:val="000000"/>
        </w:rPr>
        <w:t xml:space="preserve">In addition, it appears that Sunrise is </w:t>
      </w:r>
      <w:r w:rsidR="00002494" w:rsidRPr="00002494">
        <w:rPr>
          <w:color w:val="000000"/>
        </w:rPr>
        <w:t>in violation of Rule 25-30.311, F.A.C.</w:t>
      </w:r>
      <w:r>
        <w:rPr>
          <w:color w:val="000000"/>
        </w:rPr>
        <w:t xml:space="preserve">, in regard to its customer deposits. </w:t>
      </w:r>
      <w:r w:rsidR="00002494" w:rsidRPr="00002494">
        <w:rPr>
          <w:color w:val="000000"/>
        </w:rPr>
        <w:t xml:space="preserve"> During </w:t>
      </w:r>
      <w:r w:rsidR="00BE2F50">
        <w:rPr>
          <w:color w:val="000000"/>
        </w:rPr>
        <w:t>our</w:t>
      </w:r>
      <w:r w:rsidR="00002494" w:rsidRPr="00002494">
        <w:rPr>
          <w:color w:val="000000"/>
        </w:rPr>
        <w:t xml:space="preserve"> review of the Utility’s deposit records, </w:t>
      </w:r>
      <w:r w:rsidR="00BE2F50">
        <w:rPr>
          <w:color w:val="000000"/>
        </w:rPr>
        <w:t>we</w:t>
      </w:r>
      <w:r w:rsidR="00002494" w:rsidRPr="00002494">
        <w:rPr>
          <w:color w:val="000000"/>
        </w:rPr>
        <w:t xml:space="preserve"> noted that the Utility failed to properly record the amount of each deposit, failed to pay the appropriate amount of interest on customer deposits, and failed to refund residential customer deposits after 23 months. The Utility is working on correcting these issues and has taken some corrective actions to resolve the issues regarding the customer deposits. On February 15, 2016, the Utility provided a copy of its current Customer Deposit Report, which indicated that only a few customers had received a credit for interest payments on their deposits. Due to</w:t>
      </w:r>
      <w:r>
        <w:rPr>
          <w:color w:val="000000"/>
        </w:rPr>
        <w:t xml:space="preserve"> the</w:t>
      </w:r>
      <w:r w:rsidR="00002494" w:rsidRPr="00002494">
        <w:rPr>
          <w:color w:val="000000"/>
        </w:rPr>
        <w:t xml:space="preserve"> approximately $3,400 of customer deposits that are due to be refunded, </w:t>
      </w:r>
      <w:r w:rsidR="00BE2F50">
        <w:rPr>
          <w:color w:val="000000"/>
        </w:rPr>
        <w:t>Sunrise</w:t>
      </w:r>
      <w:r w:rsidR="00002494" w:rsidRPr="00002494">
        <w:rPr>
          <w:color w:val="000000"/>
        </w:rPr>
        <w:t xml:space="preserve"> has requested to pay customer deposits to those customers, who are entitled a refund, in a three month period to avoid financial hardship. </w:t>
      </w:r>
      <w:r w:rsidR="00BE2F50">
        <w:rPr>
          <w:color w:val="000000"/>
        </w:rPr>
        <w:t>We find Sunrise’s</w:t>
      </w:r>
      <w:r w:rsidR="00002494" w:rsidRPr="00002494">
        <w:rPr>
          <w:color w:val="000000"/>
        </w:rPr>
        <w:t xml:space="preserve"> request is reasonable</w:t>
      </w:r>
      <w:r w:rsidR="00BE2F50">
        <w:rPr>
          <w:color w:val="000000"/>
        </w:rPr>
        <w:t xml:space="preserve">, and </w:t>
      </w:r>
      <w:r w:rsidR="00002494" w:rsidRPr="00002494">
        <w:rPr>
          <w:color w:val="000000"/>
        </w:rPr>
        <w:t xml:space="preserve">that </w:t>
      </w:r>
      <w:r w:rsidR="00BE2F50">
        <w:rPr>
          <w:color w:val="000000"/>
        </w:rPr>
        <w:t>Sunrise</w:t>
      </w:r>
      <w:r w:rsidR="00002494" w:rsidRPr="00002494">
        <w:rPr>
          <w:color w:val="000000"/>
        </w:rPr>
        <w:t xml:space="preserve"> </w:t>
      </w:r>
      <w:r>
        <w:rPr>
          <w:color w:val="000000"/>
        </w:rPr>
        <w:t xml:space="preserve">shall </w:t>
      </w:r>
      <w:r w:rsidR="00002494" w:rsidRPr="00002494">
        <w:rPr>
          <w:color w:val="000000"/>
        </w:rPr>
        <w:t>continue to work on its compliance with Rule 25-30.311 F.A.C. The Utility sh</w:t>
      </w:r>
      <w:r w:rsidR="00BE2F50">
        <w:rPr>
          <w:color w:val="000000"/>
        </w:rPr>
        <w:t>all</w:t>
      </w:r>
      <w:r w:rsidR="00002494" w:rsidRPr="00002494">
        <w:rPr>
          <w:color w:val="000000"/>
        </w:rPr>
        <w:t xml:space="preserve"> complete re</w:t>
      </w:r>
      <w:r w:rsidR="00BE2F50">
        <w:rPr>
          <w:color w:val="000000"/>
        </w:rPr>
        <w:t>funds within three months of this Order becoming final</w:t>
      </w:r>
      <w:r w:rsidR="00002494" w:rsidRPr="00002494">
        <w:rPr>
          <w:color w:val="000000"/>
        </w:rPr>
        <w:t xml:space="preserve">. </w:t>
      </w:r>
      <w:r w:rsidR="00BE2F50">
        <w:rPr>
          <w:color w:val="000000"/>
        </w:rPr>
        <w:t>Sunrise is</w:t>
      </w:r>
      <w:r w:rsidR="00002494" w:rsidRPr="00002494">
        <w:rPr>
          <w:color w:val="000000"/>
        </w:rPr>
        <w:t xml:space="preserve"> required to provide monthly reports until it has satisfactorily refunded the appropriate amount of customer deposits and applied the appropriate interest on customer deposits. </w:t>
      </w:r>
      <w:r w:rsidR="00BE2F50">
        <w:rPr>
          <w:color w:val="000000"/>
        </w:rPr>
        <w:t>Our s</w:t>
      </w:r>
      <w:r w:rsidR="00002494" w:rsidRPr="00002494">
        <w:rPr>
          <w:color w:val="000000"/>
        </w:rPr>
        <w:t xml:space="preserve">taff </w:t>
      </w:r>
      <w:r w:rsidR="00BE2F50">
        <w:rPr>
          <w:color w:val="000000"/>
        </w:rPr>
        <w:t>is</w:t>
      </w:r>
      <w:r w:rsidR="00002494" w:rsidRPr="00002494">
        <w:rPr>
          <w:color w:val="000000"/>
        </w:rPr>
        <w:t xml:space="preserve"> </w:t>
      </w:r>
      <w:r>
        <w:rPr>
          <w:color w:val="000000"/>
        </w:rPr>
        <w:t xml:space="preserve">hereby </w:t>
      </w:r>
      <w:r w:rsidR="00002494" w:rsidRPr="00002494">
        <w:rPr>
          <w:color w:val="000000"/>
        </w:rPr>
        <w:t xml:space="preserve">given administrative authority to determine when the Utility is in compliance with Rule 25-30.311, F.A.C. </w:t>
      </w:r>
      <w:r w:rsidR="00795C11">
        <w:rPr>
          <w:color w:val="000000"/>
        </w:rPr>
        <w:t>We find that Sunrise</w:t>
      </w:r>
      <w:r w:rsidR="00002494" w:rsidRPr="00002494">
        <w:rPr>
          <w:color w:val="000000"/>
        </w:rPr>
        <w:t xml:space="preserve"> is moving forward to make corrective actions to resolve the issues regarding the customer deposits. Therefore, </w:t>
      </w:r>
      <w:r w:rsidR="00795C11">
        <w:rPr>
          <w:color w:val="000000"/>
        </w:rPr>
        <w:t>we find</w:t>
      </w:r>
      <w:r w:rsidR="00002494" w:rsidRPr="00002494">
        <w:rPr>
          <w:color w:val="000000"/>
        </w:rPr>
        <w:t xml:space="preserve"> that enforcement action </w:t>
      </w:r>
      <w:r w:rsidR="00795C11">
        <w:rPr>
          <w:color w:val="000000"/>
        </w:rPr>
        <w:t xml:space="preserve">against Sunrise </w:t>
      </w:r>
      <w:r w:rsidR="00002494" w:rsidRPr="00002494">
        <w:rPr>
          <w:color w:val="000000"/>
        </w:rPr>
        <w:t xml:space="preserve">is not warranted at this time. However, Sunrise </w:t>
      </w:r>
      <w:r w:rsidR="00795C11">
        <w:rPr>
          <w:color w:val="000000"/>
        </w:rPr>
        <w:t>is</w:t>
      </w:r>
      <w:r w:rsidR="00002494" w:rsidRPr="00002494">
        <w:rPr>
          <w:color w:val="000000"/>
        </w:rPr>
        <w:t xml:space="preserve"> put on notice that the if the Utility does not resolve the customer deposit errors within a reasonable times and/or its deposit records are found to be out of compliance with </w:t>
      </w:r>
      <w:r w:rsidR="00795C11">
        <w:rPr>
          <w:color w:val="000000"/>
        </w:rPr>
        <w:t>our</w:t>
      </w:r>
      <w:r w:rsidR="00002494" w:rsidRPr="00002494">
        <w:rPr>
          <w:color w:val="000000"/>
        </w:rPr>
        <w:t xml:space="preserve"> regulations in the future, </w:t>
      </w:r>
      <w:r w:rsidR="00795C11">
        <w:rPr>
          <w:color w:val="000000"/>
        </w:rPr>
        <w:t xml:space="preserve">Sunrise </w:t>
      </w:r>
      <w:r w:rsidR="00002494" w:rsidRPr="00002494">
        <w:rPr>
          <w:color w:val="000000"/>
        </w:rPr>
        <w:t>may be subject t</w:t>
      </w:r>
      <w:r w:rsidR="00795C11">
        <w:rPr>
          <w:color w:val="000000"/>
        </w:rPr>
        <w:t>o a show cause proceeding by this</w:t>
      </w:r>
      <w:r w:rsidR="00002494" w:rsidRPr="00002494">
        <w:rPr>
          <w:color w:val="000000"/>
        </w:rPr>
        <w:t xml:space="preserve"> Commission, including penalties.</w:t>
      </w:r>
    </w:p>
    <w:p w:rsidR="00795C11" w:rsidRDefault="00795C11" w:rsidP="00795C11">
      <w:pPr>
        <w:ind w:firstLine="720"/>
        <w:jc w:val="both"/>
      </w:pPr>
    </w:p>
    <w:p w:rsidR="00795C11" w:rsidRPr="00795C11" w:rsidRDefault="00795C11" w:rsidP="00795C11">
      <w:pPr>
        <w:ind w:firstLine="720"/>
        <w:jc w:val="both"/>
        <w:rPr>
          <w:i/>
        </w:rPr>
      </w:pPr>
      <w:r w:rsidRPr="00795C11">
        <w:rPr>
          <w:i/>
        </w:rPr>
        <w:lastRenderedPageBreak/>
        <w:t>Customer Deposit Summary</w:t>
      </w:r>
    </w:p>
    <w:p w:rsidR="00795C11" w:rsidRDefault="00795C11" w:rsidP="00795C11">
      <w:pPr>
        <w:ind w:firstLine="720"/>
        <w:jc w:val="both"/>
      </w:pPr>
    </w:p>
    <w:p w:rsidR="00002494" w:rsidRDefault="00002494" w:rsidP="00795C11">
      <w:pPr>
        <w:ind w:firstLine="720"/>
        <w:jc w:val="both"/>
        <w:rPr>
          <w:color w:val="000000"/>
        </w:rPr>
      </w:pPr>
      <w:r w:rsidRPr="00002494">
        <w:t xml:space="preserve">Based on the </w:t>
      </w:r>
      <w:r w:rsidR="00F95A3C">
        <w:t xml:space="preserve">foregoing </w:t>
      </w:r>
      <w:r w:rsidR="00795C11">
        <w:t>reasons</w:t>
      </w:r>
      <w:r w:rsidRPr="00002494">
        <w:t xml:space="preserve">, </w:t>
      </w:r>
      <w:r w:rsidR="00795C11">
        <w:t>we find that Sunrise</w:t>
      </w:r>
      <w:r w:rsidRPr="00002494">
        <w:t xml:space="preserve">’s current initial customer deposits of $52 for the 5/8 inch x </w:t>
      </w:r>
      <w:r w:rsidRPr="00002494">
        <w:rPr>
          <w:color w:val="000000"/>
        </w:rPr>
        <w:t>3/4</w:t>
      </w:r>
      <w:r w:rsidRPr="00002494">
        <w:t xml:space="preserve"> inch residential meter size and two times the estimated average bill for all other residential and general service meter sizes </w:t>
      </w:r>
      <w:r w:rsidR="00795C11">
        <w:t>shall</w:t>
      </w:r>
      <w:r w:rsidRPr="00002494">
        <w:t xml:space="preserve"> remain unchanged. </w:t>
      </w:r>
      <w:r w:rsidRPr="00002494">
        <w:rPr>
          <w:color w:val="000000"/>
        </w:rPr>
        <w:t xml:space="preserve">The approved customer deposits </w:t>
      </w:r>
      <w:r w:rsidR="00E73CE2">
        <w:rPr>
          <w:color w:val="000000"/>
        </w:rPr>
        <w:t>shall</w:t>
      </w:r>
      <w:r w:rsidRPr="00002494">
        <w:rPr>
          <w:color w:val="000000"/>
        </w:rPr>
        <w:t xml:space="preserve"> be effective for services rendered or connections made on or after the stamped approval date on the tariff sheets, pursuant to Rule 25-3</w:t>
      </w:r>
      <w:r w:rsidR="00795C11">
        <w:rPr>
          <w:color w:val="000000"/>
        </w:rPr>
        <w:t>0.475, F.A.C. The Utility shall</w:t>
      </w:r>
      <w:r w:rsidRPr="00002494">
        <w:rPr>
          <w:color w:val="000000"/>
        </w:rPr>
        <w:t xml:space="preserve"> be required to charge the approved charges until </w:t>
      </w:r>
      <w:r w:rsidR="00795C11">
        <w:rPr>
          <w:color w:val="000000"/>
        </w:rPr>
        <w:t>authorized to change them by this</w:t>
      </w:r>
      <w:r w:rsidRPr="00002494">
        <w:rPr>
          <w:color w:val="000000"/>
        </w:rPr>
        <w:t xml:space="preserve"> Commission in a subsequent proceeding.  </w:t>
      </w:r>
    </w:p>
    <w:p w:rsidR="00795C11" w:rsidRPr="00002494" w:rsidRDefault="00795C11" w:rsidP="00795C11">
      <w:pPr>
        <w:ind w:firstLine="720"/>
        <w:jc w:val="both"/>
        <w:rPr>
          <w:color w:val="000000"/>
        </w:rPr>
      </w:pPr>
    </w:p>
    <w:p w:rsidR="00002494" w:rsidRDefault="00795C11" w:rsidP="00795C11">
      <w:pPr>
        <w:ind w:firstLine="720"/>
        <w:jc w:val="both"/>
        <w:outlineLvl w:val="0"/>
        <w:rPr>
          <w:bCs/>
          <w:color w:val="000000"/>
          <w:kern w:val="32"/>
          <w:szCs w:val="32"/>
        </w:rPr>
      </w:pPr>
      <w:r>
        <w:rPr>
          <w:bCs/>
          <w:color w:val="000000"/>
          <w:kern w:val="32"/>
          <w:szCs w:val="32"/>
        </w:rPr>
        <w:t xml:space="preserve">In addition, Sunrise shall </w:t>
      </w:r>
      <w:r w:rsidR="00002494" w:rsidRPr="00002494">
        <w:rPr>
          <w:bCs/>
          <w:color w:val="000000"/>
          <w:kern w:val="32"/>
          <w:szCs w:val="32"/>
        </w:rPr>
        <w:t xml:space="preserve">continue to work on its compliance with Rule 25-30.311 F.A.C. The Utility </w:t>
      </w:r>
      <w:r w:rsidR="00E73CE2">
        <w:rPr>
          <w:bCs/>
          <w:color w:val="000000"/>
          <w:kern w:val="32"/>
          <w:szCs w:val="32"/>
        </w:rPr>
        <w:t>shall</w:t>
      </w:r>
      <w:r w:rsidR="00002494" w:rsidRPr="00002494">
        <w:rPr>
          <w:bCs/>
          <w:color w:val="000000"/>
          <w:kern w:val="32"/>
          <w:szCs w:val="32"/>
        </w:rPr>
        <w:t xml:space="preserve"> complete refunds within three months of th</w:t>
      </w:r>
      <w:r>
        <w:rPr>
          <w:bCs/>
          <w:color w:val="000000"/>
          <w:kern w:val="32"/>
          <w:szCs w:val="32"/>
        </w:rPr>
        <w:t>is Order becoming final</w:t>
      </w:r>
      <w:r w:rsidR="00002494" w:rsidRPr="00002494">
        <w:rPr>
          <w:bCs/>
          <w:color w:val="000000"/>
          <w:kern w:val="32"/>
          <w:szCs w:val="32"/>
        </w:rPr>
        <w:t>. Sunrise sh</w:t>
      </w:r>
      <w:r>
        <w:rPr>
          <w:bCs/>
          <w:color w:val="000000"/>
          <w:kern w:val="32"/>
          <w:szCs w:val="32"/>
        </w:rPr>
        <w:t xml:space="preserve">all </w:t>
      </w:r>
      <w:r w:rsidR="00002494" w:rsidRPr="00002494">
        <w:rPr>
          <w:bCs/>
          <w:color w:val="000000"/>
          <w:kern w:val="32"/>
          <w:szCs w:val="32"/>
        </w:rPr>
        <w:t xml:space="preserve">be required to reconcile its customer deposit accounts and records within a reasonable time. </w:t>
      </w:r>
      <w:r>
        <w:rPr>
          <w:bCs/>
          <w:color w:val="000000"/>
          <w:kern w:val="32"/>
          <w:szCs w:val="32"/>
        </w:rPr>
        <w:t>Sunrise is</w:t>
      </w:r>
      <w:r w:rsidR="00002494" w:rsidRPr="00002494">
        <w:rPr>
          <w:bCs/>
          <w:color w:val="000000"/>
          <w:kern w:val="32"/>
          <w:szCs w:val="32"/>
        </w:rPr>
        <w:t xml:space="preserve"> required to provide monthly reports beginning </w:t>
      </w:r>
      <w:r>
        <w:rPr>
          <w:bCs/>
          <w:color w:val="000000"/>
          <w:kern w:val="32"/>
          <w:szCs w:val="32"/>
        </w:rPr>
        <w:t>April 15</w:t>
      </w:r>
      <w:r w:rsidR="00002494" w:rsidRPr="00002494">
        <w:rPr>
          <w:bCs/>
          <w:color w:val="000000"/>
          <w:kern w:val="32"/>
          <w:szCs w:val="32"/>
        </w:rPr>
        <w:t>, 2016, until it has satisfactorily refunded the appropriate amount of customer deposits and applied the appropriate interest on custo</w:t>
      </w:r>
      <w:r>
        <w:rPr>
          <w:bCs/>
          <w:color w:val="000000"/>
          <w:kern w:val="32"/>
          <w:szCs w:val="32"/>
        </w:rPr>
        <w:t>mer deposits. Our s</w:t>
      </w:r>
      <w:r w:rsidR="00002494" w:rsidRPr="00002494">
        <w:rPr>
          <w:bCs/>
          <w:color w:val="000000"/>
          <w:kern w:val="32"/>
          <w:szCs w:val="32"/>
        </w:rPr>
        <w:t xml:space="preserve">taff </w:t>
      </w:r>
      <w:r>
        <w:rPr>
          <w:bCs/>
          <w:color w:val="000000"/>
          <w:kern w:val="32"/>
          <w:szCs w:val="32"/>
        </w:rPr>
        <w:t>is</w:t>
      </w:r>
      <w:r w:rsidR="00002494" w:rsidRPr="00002494">
        <w:rPr>
          <w:bCs/>
          <w:color w:val="000000"/>
          <w:kern w:val="32"/>
          <w:szCs w:val="32"/>
        </w:rPr>
        <w:t xml:space="preserve"> given administrative authority to determine when the </w:t>
      </w:r>
      <w:r w:rsidR="00002494" w:rsidRPr="00002494">
        <w:rPr>
          <w:bCs/>
          <w:kern w:val="32"/>
          <w:szCs w:val="32"/>
        </w:rPr>
        <w:t>U</w:t>
      </w:r>
      <w:r w:rsidR="00002494" w:rsidRPr="00002494">
        <w:rPr>
          <w:bCs/>
          <w:color w:val="000000"/>
          <w:kern w:val="32"/>
          <w:szCs w:val="32"/>
        </w:rPr>
        <w:t xml:space="preserve">tility is in compliance with Rule 25-30.311, F.A.C. </w:t>
      </w:r>
      <w:r>
        <w:rPr>
          <w:bCs/>
          <w:color w:val="000000"/>
          <w:kern w:val="32"/>
          <w:szCs w:val="32"/>
        </w:rPr>
        <w:t>We find that Sunrise</w:t>
      </w:r>
      <w:r w:rsidR="00002494" w:rsidRPr="00002494">
        <w:rPr>
          <w:bCs/>
          <w:color w:val="000000"/>
          <w:kern w:val="32"/>
          <w:szCs w:val="32"/>
        </w:rPr>
        <w:t xml:space="preserve"> is moving forward to make corrective actions to resolve the issues regarding the customer deposits. Therefore, </w:t>
      </w:r>
      <w:r>
        <w:rPr>
          <w:bCs/>
          <w:color w:val="000000"/>
          <w:kern w:val="32"/>
          <w:szCs w:val="32"/>
        </w:rPr>
        <w:t xml:space="preserve">we find that an </w:t>
      </w:r>
      <w:r w:rsidR="00002494" w:rsidRPr="00002494">
        <w:rPr>
          <w:bCs/>
          <w:color w:val="000000"/>
          <w:kern w:val="32"/>
          <w:szCs w:val="32"/>
        </w:rPr>
        <w:t xml:space="preserve">enforcement action </w:t>
      </w:r>
      <w:r>
        <w:rPr>
          <w:bCs/>
          <w:color w:val="000000"/>
          <w:kern w:val="32"/>
          <w:szCs w:val="32"/>
        </w:rPr>
        <w:t xml:space="preserve">against Sunrise </w:t>
      </w:r>
      <w:r w:rsidR="00002494" w:rsidRPr="00002494">
        <w:rPr>
          <w:bCs/>
          <w:color w:val="000000"/>
          <w:kern w:val="32"/>
          <w:szCs w:val="32"/>
        </w:rPr>
        <w:t xml:space="preserve">is not warranted at this time. </w:t>
      </w:r>
    </w:p>
    <w:p w:rsidR="00795C11" w:rsidRDefault="00795C11" w:rsidP="00795C11">
      <w:pPr>
        <w:jc w:val="both"/>
        <w:outlineLvl w:val="0"/>
        <w:rPr>
          <w:bCs/>
          <w:color w:val="000000"/>
          <w:kern w:val="32"/>
          <w:szCs w:val="32"/>
        </w:rPr>
      </w:pPr>
    </w:p>
    <w:p w:rsidR="00795C11" w:rsidRPr="00795C11" w:rsidRDefault="00795C11" w:rsidP="00795C11">
      <w:pPr>
        <w:jc w:val="both"/>
        <w:outlineLvl w:val="0"/>
        <w:rPr>
          <w:bCs/>
          <w:kern w:val="32"/>
          <w:szCs w:val="32"/>
          <w:u w:val="single"/>
        </w:rPr>
      </w:pPr>
      <w:r w:rsidRPr="00795C11">
        <w:rPr>
          <w:bCs/>
          <w:color w:val="000000"/>
          <w:kern w:val="32"/>
          <w:szCs w:val="32"/>
          <w:u w:val="single"/>
        </w:rPr>
        <w:t>Temporary Rates</w:t>
      </w:r>
    </w:p>
    <w:p w:rsidR="00002494" w:rsidRDefault="00002494" w:rsidP="00526BF4">
      <w:pPr>
        <w:jc w:val="both"/>
        <w:outlineLvl w:val="1"/>
        <w:rPr>
          <w:b/>
          <w:bCs/>
          <w:i/>
          <w:iCs/>
          <w:szCs w:val="28"/>
        </w:rPr>
      </w:pPr>
    </w:p>
    <w:p w:rsidR="00795C11" w:rsidRPr="00002494" w:rsidRDefault="00795C11" w:rsidP="00526BF4">
      <w:pPr>
        <w:jc w:val="both"/>
        <w:outlineLvl w:val="1"/>
        <w:rPr>
          <w:b/>
          <w:bCs/>
          <w:i/>
          <w:iCs/>
          <w:vanish/>
          <w:szCs w:val="28"/>
        </w:rPr>
      </w:pPr>
      <w:r>
        <w:rPr>
          <w:b/>
          <w:bCs/>
          <w:i/>
          <w:iCs/>
          <w:szCs w:val="28"/>
        </w:rPr>
        <w:tab/>
      </w:r>
    </w:p>
    <w:p w:rsidR="00002494" w:rsidRDefault="00795C11" w:rsidP="00526BF4">
      <w:pPr>
        <w:jc w:val="both"/>
      </w:pPr>
      <w:r>
        <w:t>This Order approves</w:t>
      </w:r>
      <w:r w:rsidR="00002494" w:rsidRPr="00002494">
        <w:t xml:space="preserve"> an increase in rates. A timely protest might delay what may be a justified rate increase resulting in an unrecoverable loss of revenue to the Utility. Therefore, pursuant to Section 367.0814(7), F.S., in the event of a protest filed by a party other than the Utility, </w:t>
      </w:r>
      <w:r>
        <w:t>we find</w:t>
      </w:r>
      <w:r w:rsidR="00002494" w:rsidRPr="00002494">
        <w:t xml:space="preserve"> that t</w:t>
      </w:r>
      <w:r w:rsidR="00F95A3C">
        <w:t>he approved</w:t>
      </w:r>
      <w:r w:rsidR="00002494" w:rsidRPr="00002494">
        <w:t xml:space="preserve"> rates be approved as temporary rates. </w:t>
      </w:r>
      <w:r>
        <w:t xml:space="preserve">Sunrise </w:t>
      </w:r>
      <w:r w:rsidR="00002494" w:rsidRPr="00002494">
        <w:t>sh</w:t>
      </w:r>
      <w:r>
        <w:t>all</w:t>
      </w:r>
      <w:r w:rsidR="00002494" w:rsidRPr="00002494">
        <w:t xml:space="preserve"> file revised tariff sheets and a proposed customer notice to reflect the approved rates. The approved rates sh</w:t>
      </w:r>
      <w:r>
        <w:t>all</w:t>
      </w:r>
      <w:r w:rsidR="00002494" w:rsidRPr="00002494">
        <w:t xml:space="preserve"> be effective for service rendered on or after the stamped approval date on the tariff sheet, pursuant to Rule 25-30.475(1), F.A.C. In addi</w:t>
      </w:r>
      <w:r>
        <w:t>tion, the temporary rates shall</w:t>
      </w:r>
      <w:r w:rsidR="00002494" w:rsidRPr="00002494">
        <w:t xml:space="preserve"> not be implemented until </w:t>
      </w:r>
      <w:r>
        <w:t xml:space="preserve">our </w:t>
      </w:r>
      <w:r w:rsidR="00002494" w:rsidRPr="00002494">
        <w:t xml:space="preserve">staff has approved the proposed notice, and the notice has been received by the customers. The recommended rates collected by </w:t>
      </w:r>
      <w:r>
        <w:t>Sunrise</w:t>
      </w:r>
      <w:r w:rsidR="00002494" w:rsidRPr="00002494">
        <w:t xml:space="preserve"> sh</w:t>
      </w:r>
      <w:r>
        <w:t>all</w:t>
      </w:r>
      <w:r w:rsidR="00002494" w:rsidRPr="00002494">
        <w:t xml:space="preserve"> be subject to the refund provisions discussed below.</w:t>
      </w:r>
    </w:p>
    <w:p w:rsidR="00795C11" w:rsidRPr="00002494" w:rsidRDefault="00795C11" w:rsidP="00526BF4">
      <w:pPr>
        <w:jc w:val="both"/>
      </w:pPr>
    </w:p>
    <w:p w:rsidR="00002494" w:rsidRDefault="00795C11" w:rsidP="00795C11">
      <w:pPr>
        <w:ind w:firstLine="720"/>
        <w:jc w:val="both"/>
      </w:pPr>
      <w:r>
        <w:t>Sunrise is</w:t>
      </w:r>
      <w:r w:rsidR="00002494" w:rsidRPr="00002494">
        <w:t xml:space="preserve"> authorized to collect the temporary rates upon </w:t>
      </w:r>
      <w:r>
        <w:t xml:space="preserve">our </w:t>
      </w:r>
      <w:r w:rsidR="00002494" w:rsidRPr="00002494">
        <w:t xml:space="preserve">staff’s approval of an appropriate security for the potential refund and the proposed customer notice. Security </w:t>
      </w:r>
      <w:r w:rsidR="00E73CE2">
        <w:t>shall</w:t>
      </w:r>
      <w:r w:rsidR="00002494" w:rsidRPr="00002494">
        <w:t xml:space="preserve"> be in the form of a bond or letter of credit in the amount of</w:t>
      </w:r>
      <w:r>
        <w:t xml:space="preserve"> </w:t>
      </w:r>
      <w:r w:rsidRPr="00002494">
        <w:t>$5,018</w:t>
      </w:r>
      <w:r w:rsidR="00002494" w:rsidRPr="00002494">
        <w:t xml:space="preserve">. Alternatively, </w:t>
      </w:r>
      <w:r w:rsidR="001815DD">
        <w:t>Sunrise may</w:t>
      </w:r>
      <w:r w:rsidR="00002494" w:rsidRPr="00002494">
        <w:t xml:space="preserve"> establish an escrow agreement with an independent financial institution.</w:t>
      </w:r>
    </w:p>
    <w:p w:rsidR="001815DD" w:rsidRPr="00002494" w:rsidRDefault="001815DD" w:rsidP="00795C11">
      <w:pPr>
        <w:ind w:firstLine="720"/>
        <w:jc w:val="both"/>
      </w:pPr>
    </w:p>
    <w:p w:rsidR="00002494" w:rsidRDefault="00002494" w:rsidP="001815DD">
      <w:pPr>
        <w:ind w:firstLine="720"/>
        <w:jc w:val="both"/>
      </w:pPr>
      <w:r w:rsidRPr="00002494">
        <w:t xml:space="preserve">If </w:t>
      </w:r>
      <w:r w:rsidR="001815DD">
        <w:t>Sunrise</w:t>
      </w:r>
      <w:r w:rsidRPr="00002494">
        <w:t xml:space="preserve"> chooses a bond as security, the bond </w:t>
      </w:r>
      <w:r w:rsidR="00E73CE2">
        <w:t>shall</w:t>
      </w:r>
      <w:r w:rsidRPr="00002494">
        <w:t xml:space="preserve"> contain wording to the effect that it will be terminated only under the following conditions:</w:t>
      </w:r>
    </w:p>
    <w:p w:rsidR="001815DD" w:rsidRPr="00002494" w:rsidRDefault="001815DD" w:rsidP="001815DD">
      <w:pPr>
        <w:ind w:firstLine="720"/>
        <w:jc w:val="both"/>
      </w:pPr>
    </w:p>
    <w:p w:rsidR="00002494" w:rsidRPr="00002494" w:rsidRDefault="00002494" w:rsidP="00526BF4">
      <w:pPr>
        <w:numPr>
          <w:ilvl w:val="0"/>
          <w:numId w:val="19"/>
        </w:numPr>
        <w:jc w:val="both"/>
      </w:pPr>
      <w:r w:rsidRPr="00002494">
        <w:t>The Commission approves the rate increase; or,</w:t>
      </w:r>
    </w:p>
    <w:p w:rsidR="00002494" w:rsidRPr="00002494" w:rsidRDefault="00002494" w:rsidP="00526BF4">
      <w:pPr>
        <w:numPr>
          <w:ilvl w:val="0"/>
          <w:numId w:val="19"/>
        </w:numPr>
        <w:jc w:val="both"/>
      </w:pPr>
      <w:r w:rsidRPr="00002494">
        <w:t>If the Commission denies the increase, the Utility shall refund the amount collected that is attributable to the increase.</w:t>
      </w:r>
    </w:p>
    <w:p w:rsidR="001815DD" w:rsidRDefault="001815DD">
      <w:r>
        <w:br w:type="page"/>
      </w:r>
    </w:p>
    <w:p w:rsidR="00002494" w:rsidRDefault="00002494" w:rsidP="001815DD">
      <w:pPr>
        <w:ind w:firstLine="720"/>
        <w:jc w:val="both"/>
      </w:pPr>
      <w:r w:rsidRPr="00002494">
        <w:lastRenderedPageBreak/>
        <w:t xml:space="preserve">If the Utility chooses a letter of credit as a security, it </w:t>
      </w:r>
      <w:r w:rsidR="00E73CE2">
        <w:t>shall</w:t>
      </w:r>
      <w:r w:rsidRPr="00002494">
        <w:t xml:space="preserve"> contain the following conditions:</w:t>
      </w:r>
    </w:p>
    <w:p w:rsidR="001815DD" w:rsidRPr="00002494" w:rsidRDefault="001815DD" w:rsidP="001815DD">
      <w:pPr>
        <w:ind w:firstLine="720"/>
        <w:jc w:val="both"/>
      </w:pPr>
    </w:p>
    <w:p w:rsidR="00002494" w:rsidRPr="00002494" w:rsidRDefault="00002494" w:rsidP="00526BF4">
      <w:pPr>
        <w:numPr>
          <w:ilvl w:val="0"/>
          <w:numId w:val="20"/>
        </w:numPr>
        <w:jc w:val="both"/>
      </w:pPr>
      <w:r w:rsidRPr="00002494">
        <w:t>The letter of credit is irrevocable for the period it is in effect.</w:t>
      </w:r>
    </w:p>
    <w:p w:rsidR="00002494" w:rsidRPr="00002494" w:rsidRDefault="00002494" w:rsidP="00526BF4">
      <w:pPr>
        <w:numPr>
          <w:ilvl w:val="0"/>
          <w:numId w:val="20"/>
        </w:numPr>
        <w:jc w:val="both"/>
      </w:pPr>
      <w:r w:rsidRPr="00002494">
        <w:t>The letter of credit will be in effect until a final Commission order is rendered, either approving or denying the rate increase.</w:t>
      </w:r>
    </w:p>
    <w:p w:rsidR="001815DD" w:rsidRDefault="001815DD" w:rsidP="00526BF4">
      <w:pPr>
        <w:jc w:val="both"/>
      </w:pPr>
    </w:p>
    <w:p w:rsidR="00002494" w:rsidRDefault="00002494" w:rsidP="001815DD">
      <w:pPr>
        <w:ind w:firstLine="720"/>
        <w:jc w:val="both"/>
      </w:pPr>
      <w:r w:rsidRPr="00002494">
        <w:t xml:space="preserve">If security is provided through an escrow agreement, the following conditions </w:t>
      </w:r>
      <w:r w:rsidR="00E73CE2">
        <w:t>shall</w:t>
      </w:r>
      <w:r w:rsidRPr="00002494">
        <w:t xml:space="preserve"> be part of the agreement:</w:t>
      </w:r>
    </w:p>
    <w:p w:rsidR="001815DD" w:rsidRPr="00002494" w:rsidRDefault="001815DD" w:rsidP="001815DD">
      <w:pPr>
        <w:ind w:firstLine="720"/>
        <w:jc w:val="both"/>
      </w:pPr>
    </w:p>
    <w:p w:rsidR="00002494" w:rsidRPr="00002494" w:rsidRDefault="00002494" w:rsidP="00526BF4">
      <w:pPr>
        <w:ind w:left="1080" w:hanging="360"/>
        <w:jc w:val="both"/>
      </w:pPr>
      <w:r w:rsidRPr="00002494">
        <w:t>1.</w:t>
      </w:r>
      <w:r w:rsidRPr="00002494">
        <w:tab/>
        <w:t>The Commission Clerk, or his or her designee, must be a signatory to the escrow agreement.</w:t>
      </w:r>
    </w:p>
    <w:p w:rsidR="00002494" w:rsidRPr="00002494" w:rsidRDefault="00002494" w:rsidP="00526BF4">
      <w:pPr>
        <w:ind w:left="1080" w:hanging="360"/>
        <w:jc w:val="both"/>
      </w:pPr>
      <w:r w:rsidRPr="00002494">
        <w:t>2.</w:t>
      </w:r>
      <w:r w:rsidRPr="00002494">
        <w:tab/>
        <w:t xml:space="preserve">No monies in the escrow account may be withdrawn by the Utility without the prior written authorization of the Commission Clerk, or his or her designee. </w:t>
      </w:r>
    </w:p>
    <w:p w:rsidR="00002494" w:rsidRPr="00002494" w:rsidRDefault="00002494" w:rsidP="00526BF4">
      <w:pPr>
        <w:ind w:left="1080" w:hanging="360"/>
        <w:jc w:val="both"/>
      </w:pPr>
      <w:r w:rsidRPr="00002494">
        <w:t>3.</w:t>
      </w:r>
      <w:r w:rsidRPr="00002494">
        <w:tab/>
        <w:t>The escrow account shall be an interest bearing account.</w:t>
      </w:r>
    </w:p>
    <w:p w:rsidR="00002494" w:rsidRPr="00002494" w:rsidRDefault="00002494" w:rsidP="00526BF4">
      <w:pPr>
        <w:ind w:left="1080" w:hanging="360"/>
        <w:jc w:val="both"/>
      </w:pPr>
      <w:r w:rsidRPr="00002494">
        <w:t>4.</w:t>
      </w:r>
      <w:r w:rsidRPr="00002494">
        <w:tab/>
        <w:t>If a refund to the customers is required, all interest earned by the escrow account shall be distributed to the customers.</w:t>
      </w:r>
    </w:p>
    <w:p w:rsidR="00002494" w:rsidRPr="00002494" w:rsidRDefault="00002494" w:rsidP="00526BF4">
      <w:pPr>
        <w:ind w:left="1080" w:hanging="360"/>
        <w:jc w:val="both"/>
      </w:pPr>
      <w:r w:rsidRPr="00002494">
        <w:t>5.</w:t>
      </w:r>
      <w:r w:rsidRPr="00002494">
        <w:tab/>
        <w:t>If a refund to the customers is not required, the interest earned by the escrow account shall revert to the Utility.</w:t>
      </w:r>
    </w:p>
    <w:p w:rsidR="00002494" w:rsidRPr="00002494" w:rsidRDefault="00002494" w:rsidP="00526BF4">
      <w:pPr>
        <w:ind w:left="1080" w:hanging="360"/>
        <w:jc w:val="both"/>
      </w:pPr>
      <w:r w:rsidRPr="00002494">
        <w:t>6.</w:t>
      </w:r>
      <w:r w:rsidRPr="00002494">
        <w:tab/>
        <w:t>All information on the escrow account shall be available from the holder of the escrow account to a Commission representative at all times.</w:t>
      </w:r>
    </w:p>
    <w:p w:rsidR="00002494" w:rsidRPr="00002494" w:rsidRDefault="00002494" w:rsidP="00526BF4">
      <w:pPr>
        <w:ind w:left="1080" w:hanging="360"/>
        <w:jc w:val="both"/>
      </w:pPr>
      <w:r w:rsidRPr="00002494">
        <w:t>7.</w:t>
      </w:r>
      <w:r w:rsidRPr="00002494">
        <w:tab/>
        <w:t>The amount of revenue subject to refund shall be deposited in the escrow account within seven days of receipt.</w:t>
      </w:r>
    </w:p>
    <w:p w:rsidR="00002494" w:rsidRPr="00002494" w:rsidRDefault="00002494" w:rsidP="00526BF4">
      <w:pPr>
        <w:ind w:left="1080" w:hanging="360"/>
        <w:jc w:val="both"/>
      </w:pPr>
      <w:r w:rsidRPr="00002494">
        <w:t>8.</w:t>
      </w:r>
      <w:r w:rsidRPr="00002494">
        <w:tab/>
        <w:t xml:space="preserve">This escrow account is established by the direction of the Florida Public Service Commission for the purpose(s) set forth in its order requiring such account. Pursuant to </w:t>
      </w:r>
      <w:proofErr w:type="spellStart"/>
      <w:r w:rsidRPr="001815DD">
        <w:rPr>
          <w:u w:val="single"/>
        </w:rPr>
        <w:t>Cosentino</w:t>
      </w:r>
      <w:proofErr w:type="spellEnd"/>
      <w:r w:rsidRPr="001815DD">
        <w:rPr>
          <w:u w:val="single"/>
        </w:rPr>
        <w:t xml:space="preserve"> v. Elson</w:t>
      </w:r>
      <w:r w:rsidRPr="00002494">
        <w:t>, 263 So. 2d 253 (Fla. 3d DCA 1972), escrow accounts are not subject to garnishments.</w:t>
      </w:r>
    </w:p>
    <w:p w:rsidR="00002494" w:rsidRPr="00002494" w:rsidRDefault="00002494" w:rsidP="00526BF4">
      <w:pPr>
        <w:ind w:left="1080" w:hanging="360"/>
        <w:jc w:val="both"/>
      </w:pPr>
      <w:r w:rsidRPr="00002494">
        <w:t>9.</w:t>
      </w:r>
      <w:r w:rsidRPr="00002494">
        <w:tab/>
        <w:t>The account must specify by whom and on whose behalf such monies were paid.</w:t>
      </w:r>
    </w:p>
    <w:p w:rsidR="00C6233A" w:rsidRDefault="00C6233A" w:rsidP="00526BF4">
      <w:pPr>
        <w:jc w:val="both"/>
      </w:pPr>
    </w:p>
    <w:p w:rsidR="00002494" w:rsidRDefault="00002494" w:rsidP="00C6233A">
      <w:pPr>
        <w:ind w:firstLine="720"/>
        <w:jc w:val="both"/>
      </w:pPr>
      <w:r w:rsidRPr="00002494">
        <w:t xml:space="preserve">In no instance </w:t>
      </w:r>
      <w:r w:rsidR="00E73CE2">
        <w:t>shall</w:t>
      </w:r>
      <w:r w:rsidRPr="00002494">
        <w:t xml:space="preserve"> the maintenance and administrative costs associated with the refund be borne by the customers. These costs are the responsibility of, and sh</w:t>
      </w:r>
      <w:r w:rsidR="00C6233A">
        <w:t>all</w:t>
      </w:r>
      <w:r w:rsidRPr="00002494">
        <w:t xml:space="preserve"> be borne by, the Utility. Irrespective of the form of security chosen by</w:t>
      </w:r>
      <w:r w:rsidR="00C6233A">
        <w:t xml:space="preserve"> Sunrise</w:t>
      </w:r>
      <w:r w:rsidRPr="00002494">
        <w:t xml:space="preserve">, an account of all monies received as a result of the rate increase </w:t>
      </w:r>
      <w:r w:rsidR="00E73CE2">
        <w:t>shall</w:t>
      </w:r>
      <w:r w:rsidRPr="00002494">
        <w:t xml:space="preserve"> be maintained by the Utility. If a refund is ultimately required, it sh</w:t>
      </w:r>
      <w:r w:rsidR="00C6233A">
        <w:t xml:space="preserve">all </w:t>
      </w:r>
      <w:r w:rsidRPr="00002494">
        <w:t>be paid with interest calculated pursuant to Rule 25-30.360(4), F.A.C.</w:t>
      </w:r>
    </w:p>
    <w:p w:rsidR="00C6233A" w:rsidRPr="00002494" w:rsidRDefault="00C6233A" w:rsidP="00C6233A">
      <w:pPr>
        <w:ind w:firstLine="720"/>
        <w:jc w:val="both"/>
      </w:pPr>
    </w:p>
    <w:p w:rsidR="00002494" w:rsidRDefault="00C6233A" w:rsidP="00C6233A">
      <w:pPr>
        <w:ind w:firstLine="720"/>
        <w:jc w:val="both"/>
      </w:pPr>
      <w:r>
        <w:t>Sunrise shall</w:t>
      </w:r>
      <w:r w:rsidR="00002494" w:rsidRPr="00002494">
        <w:t xml:space="preserve"> maintain a record of the amount of the bond, and the amount of revenues that are subject to refund. In addition, after the increased rates are in effect, pursuant to Rule 25-30.360(6), F.A.C., the Utility sh</w:t>
      </w:r>
      <w:r>
        <w:t>all</w:t>
      </w:r>
      <w:r w:rsidR="00002494" w:rsidRPr="00002494">
        <w:t xml:space="preserve"> file reports with th</w:t>
      </w:r>
      <w:r>
        <w:t>e</w:t>
      </w:r>
      <w:r w:rsidR="00002494" w:rsidRPr="00002494">
        <w:t xml:space="preserve"> Commission Clerk’s office no later than the twentieth of every month indicating the monthly and total amount of money subject to refund at the end of the precedin</w:t>
      </w:r>
      <w:r>
        <w:t>g month. The report filed shall</w:t>
      </w:r>
      <w:r w:rsidR="00002494" w:rsidRPr="00002494">
        <w:t xml:space="preserve"> also indicate the status of the security being used to guarantee repayment of any potential refund.</w:t>
      </w:r>
    </w:p>
    <w:p w:rsidR="00C6233A" w:rsidRDefault="00C6233A" w:rsidP="00C6233A">
      <w:pPr>
        <w:jc w:val="both"/>
      </w:pPr>
    </w:p>
    <w:p w:rsidR="00C6233A" w:rsidRDefault="00C6233A">
      <w:pPr>
        <w:rPr>
          <w:u w:val="single"/>
        </w:rPr>
      </w:pPr>
      <w:r>
        <w:rPr>
          <w:u w:val="single"/>
        </w:rPr>
        <w:br w:type="page"/>
      </w:r>
    </w:p>
    <w:p w:rsidR="00C6233A" w:rsidRPr="00C6233A" w:rsidRDefault="00C6233A" w:rsidP="00C6233A">
      <w:pPr>
        <w:jc w:val="both"/>
        <w:rPr>
          <w:u w:val="single"/>
        </w:rPr>
      </w:pPr>
      <w:r w:rsidRPr="00C6233A">
        <w:rPr>
          <w:u w:val="single"/>
        </w:rPr>
        <w:lastRenderedPageBreak/>
        <w:t xml:space="preserve">Proof of Adjustments </w:t>
      </w:r>
    </w:p>
    <w:p w:rsidR="00C6233A" w:rsidRDefault="00C6233A" w:rsidP="00526BF4">
      <w:pPr>
        <w:autoSpaceDE w:val="0"/>
        <w:autoSpaceDN w:val="0"/>
        <w:adjustRightInd w:val="0"/>
        <w:jc w:val="both"/>
        <w:rPr>
          <w:b/>
          <w:bCs/>
          <w:i/>
          <w:iCs/>
          <w:szCs w:val="28"/>
        </w:rPr>
      </w:pPr>
    </w:p>
    <w:p w:rsidR="00002494" w:rsidRDefault="00C6233A" w:rsidP="00C6233A">
      <w:pPr>
        <w:autoSpaceDE w:val="0"/>
        <w:autoSpaceDN w:val="0"/>
        <w:adjustRightInd w:val="0"/>
        <w:ind w:firstLine="720"/>
        <w:jc w:val="both"/>
      </w:pPr>
      <w:r>
        <w:t>Sunrise shall</w:t>
      </w:r>
      <w:r w:rsidR="00002494" w:rsidRPr="00002494">
        <w:t xml:space="preserve"> be required to notify the Commission, in writing that it has adjusted its books in accordance with the Commission’s decision. Schedule No. 5 reflects the accumulated plant, depreciation, CIAC, and amortization of CIAC balances as of December 31, 2014. Sunrise </w:t>
      </w:r>
      <w:r w:rsidR="00E73CE2">
        <w:t>shall</w:t>
      </w:r>
      <w:r w:rsidR="00002494" w:rsidRPr="00002494">
        <w:t xml:space="preserve"> submit a letter within 90 days of the final order in this docket, confirming that the adjustments to all the applicable NARUC USOA primary accounts</w:t>
      </w:r>
      <w:r>
        <w:t>,</w:t>
      </w:r>
      <w:r w:rsidR="00002494" w:rsidRPr="00002494">
        <w:t xml:space="preserve"> as shown on Schedule No. 5</w:t>
      </w:r>
      <w:r>
        <w:t xml:space="preserve"> attached to this Order,</w:t>
      </w:r>
      <w:r w:rsidR="00002494" w:rsidRPr="00002494">
        <w:t xml:space="preserve"> have been made to the Utility’s books and records. In the event the Utility needs additional time to complete the adjustments, notice sh</w:t>
      </w:r>
      <w:r>
        <w:t>all</w:t>
      </w:r>
      <w:r w:rsidR="00002494" w:rsidRPr="00002494">
        <w:t xml:space="preserve"> be provided within seven days prior to deadline. Upon providing good cause, </w:t>
      </w:r>
      <w:r>
        <w:t xml:space="preserve">our </w:t>
      </w:r>
      <w:r w:rsidR="00002494" w:rsidRPr="00002494">
        <w:t xml:space="preserve">staff </w:t>
      </w:r>
      <w:r>
        <w:t>is</w:t>
      </w:r>
      <w:r w:rsidR="00002494" w:rsidRPr="00002494">
        <w:t xml:space="preserve"> be given administrative authority to grant an extension of up to 60 days.</w:t>
      </w:r>
    </w:p>
    <w:p w:rsidR="00C6233A" w:rsidRPr="00002494" w:rsidRDefault="00C6233A" w:rsidP="00C6233A">
      <w:pPr>
        <w:autoSpaceDE w:val="0"/>
        <w:autoSpaceDN w:val="0"/>
        <w:adjustRightInd w:val="0"/>
        <w:ind w:firstLine="720"/>
        <w:jc w:val="both"/>
      </w:pPr>
    </w:p>
    <w:p w:rsidR="00002494" w:rsidRPr="00002494" w:rsidRDefault="00002494" w:rsidP="00C6233A">
      <w:pPr>
        <w:ind w:firstLine="720"/>
        <w:jc w:val="both"/>
      </w:pPr>
      <w:r w:rsidRPr="00002494">
        <w:t xml:space="preserve">In addition, as discussed in </w:t>
      </w:r>
      <w:r w:rsidR="00C6233A">
        <w:t>the Rate Base and Operation and Maintenance Expenses section of this Order</w:t>
      </w:r>
      <w:r w:rsidRPr="00002494">
        <w:t>, Rule 25-30.115, F.A.C., requires that water and wastewater utilities maintain their accounts and records in conformity with the 1996 NARUC USOA. The Utility is not currently maintaining its books and records on a monthly basis as required. The lack of properly maintained books and records proved to be</w:t>
      </w:r>
      <w:r w:rsidR="00C6233A">
        <w:t xml:space="preserve"> a significant impediment to our</w:t>
      </w:r>
      <w:r w:rsidRPr="00002494">
        <w:t xml:space="preserve"> audit staff, substantially increasing the work required to process the audit </w:t>
      </w:r>
      <w:r w:rsidR="00C6233A">
        <w:t xml:space="preserve">for this docket, as well as our </w:t>
      </w:r>
      <w:r w:rsidRPr="00002494">
        <w:t xml:space="preserve">audit in the Alturas SARC docket. The lack of properly maintained books and records also proved to be a significant impediment to </w:t>
      </w:r>
      <w:r w:rsidR="00C6233A">
        <w:t xml:space="preserve">our </w:t>
      </w:r>
      <w:r w:rsidRPr="00002494">
        <w:t>technical staff’s work on this docket as well. Further,</w:t>
      </w:r>
      <w:r w:rsidR="00C6233A">
        <w:t xml:space="preserve"> we find that </w:t>
      </w:r>
      <w:r w:rsidRPr="00002494">
        <w:t>the lack of frequent bookkeeping activities hinder</w:t>
      </w:r>
      <w:r w:rsidR="00C6233A">
        <w:t>s</w:t>
      </w:r>
      <w:r w:rsidRPr="00002494">
        <w:t xml:space="preserve"> the Utility’s ability to detect and respond to cash flow concerns on a more regular basis. Therefore, </w:t>
      </w:r>
      <w:r w:rsidR="00C6233A">
        <w:t xml:space="preserve">we find </w:t>
      </w:r>
      <w:r w:rsidRPr="00002494">
        <w:t xml:space="preserve">that </w:t>
      </w:r>
      <w:r w:rsidR="00C6233A">
        <w:t>Sunrise shall be</w:t>
      </w:r>
      <w:r w:rsidRPr="00002494">
        <w:t xml:space="preserve"> required to maintain its books and records on a monthly basis in accordance with the NARUC USOA. </w:t>
      </w:r>
    </w:p>
    <w:p w:rsidR="00C6233A" w:rsidRDefault="00C6233A" w:rsidP="00526BF4">
      <w:pPr>
        <w:jc w:val="both"/>
      </w:pPr>
    </w:p>
    <w:p w:rsidR="00002494" w:rsidRPr="00002494" w:rsidRDefault="00002494" w:rsidP="00C6233A">
      <w:pPr>
        <w:ind w:firstLine="720"/>
        <w:jc w:val="both"/>
        <w:rPr>
          <w:highlight w:val="yellow"/>
        </w:rPr>
      </w:pPr>
      <w:r w:rsidRPr="00002494">
        <w:t xml:space="preserve">Due to the Utility’s recent efforts to hire a contractual accountant to begin maintaining the books and records going forward, </w:t>
      </w:r>
      <w:r w:rsidR="00C6233A">
        <w:t xml:space="preserve">we do not find </w:t>
      </w:r>
      <w:r w:rsidRPr="00002494">
        <w:t xml:space="preserve">it is necessary to initiate a show cause proceeding at this time. However, </w:t>
      </w:r>
      <w:r w:rsidR="00C6233A">
        <w:t>Sunrise is</w:t>
      </w:r>
      <w:r w:rsidRPr="00002494">
        <w:t xml:space="preserve"> put on notice that if the Utility’s books and records are found to be out of compliance with </w:t>
      </w:r>
      <w:r w:rsidR="00C6233A">
        <w:t>our r</w:t>
      </w:r>
      <w:r w:rsidRPr="00002494">
        <w:t xml:space="preserve">egulations in the future, </w:t>
      </w:r>
      <w:r w:rsidR="00C6233A">
        <w:t xml:space="preserve">Sunrise </w:t>
      </w:r>
      <w:r w:rsidRPr="00002494">
        <w:t>may be subject to a show cause action by th</w:t>
      </w:r>
      <w:r w:rsidR="00C6233A">
        <w:t>is</w:t>
      </w:r>
      <w:r w:rsidRPr="00002494">
        <w:t xml:space="preserve"> Commission.</w:t>
      </w:r>
    </w:p>
    <w:p w:rsidR="00C6233A" w:rsidRDefault="00C6233A" w:rsidP="00526BF4">
      <w:pPr>
        <w:jc w:val="both"/>
        <w:rPr>
          <w:b/>
          <w:i/>
        </w:rPr>
      </w:pPr>
    </w:p>
    <w:p w:rsidR="00C6233A" w:rsidRDefault="00C6233A" w:rsidP="00526BF4">
      <w:r>
        <w:tab/>
        <w:t>Based on the foregoing, it is</w:t>
      </w:r>
    </w:p>
    <w:p w:rsidR="00FB23DB" w:rsidRDefault="00FB23DB" w:rsidP="00526BF4"/>
    <w:p w:rsidR="00C6233A" w:rsidRPr="004F1440" w:rsidRDefault="00C6233A" w:rsidP="00C6233A">
      <w:pPr>
        <w:pStyle w:val="OrderBody"/>
        <w:ind w:firstLine="720"/>
      </w:pPr>
      <w:r>
        <w:t>ORDERED by the Florida Public Service Commission that</w:t>
      </w:r>
      <w:r w:rsidRPr="004F1440">
        <w:t xml:space="preserve"> </w:t>
      </w:r>
      <w:r>
        <w:t>Sunrise Utilities, L.L.C.</w:t>
      </w:r>
      <w:r w:rsidRPr="004F1440">
        <w:t>’s application for an increase in rates and charges is hereby approved as set forth in the body of this Order. It is further</w:t>
      </w:r>
      <w:r w:rsidR="00E73CE2">
        <w:t>,</w:t>
      </w:r>
    </w:p>
    <w:p w:rsidR="00C6233A" w:rsidRPr="004F1440" w:rsidRDefault="00C6233A" w:rsidP="00C6233A">
      <w:pPr>
        <w:pStyle w:val="OrderBody"/>
      </w:pPr>
    </w:p>
    <w:p w:rsidR="00C6233A" w:rsidRPr="004F1440" w:rsidRDefault="00C6233A" w:rsidP="00C6233A">
      <w:pPr>
        <w:pStyle w:val="OrderBody"/>
      </w:pPr>
      <w:r w:rsidRPr="004F1440">
        <w:tab/>
        <w:t xml:space="preserve">ORDERED that each of the findings made in the body of this Order </w:t>
      </w:r>
      <w:r w:rsidR="00F95A3C">
        <w:t>is</w:t>
      </w:r>
      <w:r w:rsidRPr="004F1440">
        <w:t xml:space="preserve"> he</w:t>
      </w:r>
      <w:r>
        <w:t>reby approved in every respect.</w:t>
      </w:r>
      <w:r w:rsidRPr="004F1440">
        <w:t xml:space="preserve"> It is further</w:t>
      </w:r>
      <w:r w:rsidR="00E73CE2">
        <w:t>,</w:t>
      </w:r>
    </w:p>
    <w:p w:rsidR="00C6233A" w:rsidRPr="004F1440" w:rsidRDefault="00C6233A" w:rsidP="00C6233A">
      <w:pPr>
        <w:pStyle w:val="OrderBody"/>
      </w:pPr>
    </w:p>
    <w:p w:rsidR="00C6233A" w:rsidRPr="004F1440" w:rsidRDefault="00C6233A" w:rsidP="00C6233A">
      <w:pPr>
        <w:pStyle w:val="OrderBody"/>
      </w:pPr>
      <w:r w:rsidRPr="004F1440">
        <w:tab/>
        <w:t>ORDERED that all matters contained in the schedules attached hereto are incorporated by reference.  It is further</w:t>
      </w:r>
      <w:r w:rsidR="00E73CE2">
        <w:t>,</w:t>
      </w:r>
    </w:p>
    <w:p w:rsidR="00C6233A" w:rsidRPr="004F1440" w:rsidRDefault="00C6233A" w:rsidP="00C6233A">
      <w:pPr>
        <w:pStyle w:val="OrderBody"/>
      </w:pPr>
    </w:p>
    <w:p w:rsidR="00E73CE2" w:rsidRDefault="00E73CE2">
      <w:r>
        <w:br w:type="page"/>
      </w:r>
    </w:p>
    <w:p w:rsidR="00F95A3C" w:rsidRDefault="00F95A3C" w:rsidP="00C6233A">
      <w:pPr>
        <w:ind w:firstLine="720"/>
        <w:jc w:val="both"/>
      </w:pPr>
      <w:r>
        <w:lastRenderedPageBreak/>
        <w:t xml:space="preserve">ORDERED that </w:t>
      </w:r>
      <w:r w:rsidR="00C6233A">
        <w:t>t</w:t>
      </w:r>
      <w:r w:rsidR="00C6233A" w:rsidRPr="00002494">
        <w:t xml:space="preserve">he overall quality of service provided by </w:t>
      </w:r>
      <w:r w:rsidR="00C6233A">
        <w:t>Sunrise</w:t>
      </w:r>
      <w:r w:rsidR="00C6233A" w:rsidRPr="00002494">
        <w:t xml:space="preserve"> </w:t>
      </w:r>
      <w:r w:rsidR="00C6233A">
        <w:t>Utilities, L.L.C.</w:t>
      </w:r>
      <w:r w:rsidR="00C6233A" w:rsidRPr="00002494">
        <w:t xml:space="preserve"> </w:t>
      </w:r>
      <w:r w:rsidR="00C6233A">
        <w:t>is</w:t>
      </w:r>
      <w:r w:rsidR="00C6233A" w:rsidRPr="00002494">
        <w:t xml:space="preserve"> unsatisfactory </w:t>
      </w:r>
      <w:r w:rsidR="00C6233A">
        <w:t xml:space="preserve">and, the salaries of Sunrise Utilities, L.L.C.’s </w:t>
      </w:r>
      <w:r w:rsidR="00C6233A" w:rsidRPr="00002494">
        <w:t xml:space="preserve">officers’ salaries </w:t>
      </w:r>
      <w:r w:rsidR="00C6233A">
        <w:t xml:space="preserve">are decreased </w:t>
      </w:r>
      <w:r w:rsidR="00C6233A" w:rsidRPr="00002494">
        <w:t>by 25 percent</w:t>
      </w:r>
      <w:r w:rsidR="00C6233A">
        <w:t xml:space="preserve">. </w:t>
      </w:r>
      <w:r>
        <w:t xml:space="preserve">It is further, </w:t>
      </w:r>
    </w:p>
    <w:p w:rsidR="00F95A3C" w:rsidRDefault="00F95A3C" w:rsidP="00C6233A">
      <w:pPr>
        <w:ind w:firstLine="720"/>
        <w:jc w:val="both"/>
      </w:pPr>
    </w:p>
    <w:p w:rsidR="00C6233A" w:rsidRDefault="00F95A3C" w:rsidP="00C6233A">
      <w:pPr>
        <w:ind w:firstLine="720"/>
        <w:jc w:val="both"/>
      </w:pPr>
      <w:r>
        <w:t xml:space="preserve">ORDERED that </w:t>
      </w:r>
      <w:r w:rsidR="00C6233A">
        <w:t>Sunrise</w:t>
      </w:r>
      <w:r w:rsidR="00C6233A" w:rsidRPr="00002494">
        <w:t xml:space="preserve"> </w:t>
      </w:r>
      <w:r w:rsidR="00C6233A">
        <w:t>Utilities, L.L.C. is required to file six monthly status reports, beginning April 15, 2016, to provide the status of its progress in meeting the requirements of the Polk County Health Department Consent Order. Should Sunrise continue</w:t>
      </w:r>
      <w:r w:rsidR="00C6233A" w:rsidRPr="00002494">
        <w:t xml:space="preserve"> to show a pattern of non-responsiveness to </w:t>
      </w:r>
      <w:r w:rsidR="00C6233A">
        <w:t xml:space="preserve">this </w:t>
      </w:r>
      <w:r w:rsidR="00C6233A" w:rsidRPr="00002494">
        <w:t>Commission</w:t>
      </w:r>
      <w:r w:rsidR="00C6233A">
        <w:t xml:space="preserve"> </w:t>
      </w:r>
      <w:r w:rsidR="00C6233A" w:rsidRPr="00002494">
        <w:t xml:space="preserve">or </w:t>
      </w:r>
      <w:r w:rsidR="00C6233A">
        <w:t xml:space="preserve">Sunrise </w:t>
      </w:r>
      <w:r w:rsidR="00C6233A" w:rsidRPr="00002494">
        <w:t xml:space="preserve">customers continue to complain about </w:t>
      </w:r>
      <w:r w:rsidR="00C6233A">
        <w:t>its</w:t>
      </w:r>
      <w:r w:rsidR="00C6233A" w:rsidRPr="00002494">
        <w:t xml:space="preserve"> practice of collecting payments, a show-cause proceeding</w:t>
      </w:r>
      <w:r w:rsidR="00C6233A">
        <w:t xml:space="preserve"> may be initiated against the Utility</w:t>
      </w:r>
      <w:r w:rsidR="00C6233A" w:rsidRPr="00002494">
        <w:t xml:space="preserve">. </w:t>
      </w:r>
      <w:r w:rsidR="00C6233A">
        <w:t>It is further,</w:t>
      </w:r>
    </w:p>
    <w:p w:rsidR="00C6233A" w:rsidRDefault="00C6233A" w:rsidP="00C6233A">
      <w:pPr>
        <w:jc w:val="both"/>
      </w:pPr>
    </w:p>
    <w:p w:rsidR="00C6233A" w:rsidRDefault="00C6233A" w:rsidP="00C6233A">
      <w:pPr>
        <w:ind w:firstLine="720"/>
        <w:jc w:val="both"/>
      </w:pPr>
      <w:r>
        <w:t>ORDERED that Sunrise</w:t>
      </w:r>
      <w:r w:rsidRPr="00002494">
        <w:t xml:space="preserve"> </w:t>
      </w:r>
      <w:r>
        <w:t>Utilities, L.L.C.</w:t>
      </w:r>
      <w:r w:rsidRPr="00002494">
        <w:t xml:space="preserve">’s water treatment plant and its distribution system </w:t>
      </w:r>
      <w:r>
        <w:t xml:space="preserve">are </w:t>
      </w:r>
      <w:r w:rsidRPr="00002494">
        <w:t>considered 100 percent U</w:t>
      </w:r>
      <w:r>
        <w:t>sed &amp; Useful</w:t>
      </w:r>
      <w:r w:rsidRPr="00002494">
        <w:t xml:space="preserve">. </w:t>
      </w:r>
      <w:r>
        <w:t>It is further,</w:t>
      </w:r>
    </w:p>
    <w:p w:rsidR="00C6233A" w:rsidRDefault="00C6233A" w:rsidP="00C6233A">
      <w:pPr>
        <w:ind w:firstLine="720"/>
        <w:jc w:val="both"/>
      </w:pPr>
    </w:p>
    <w:p w:rsidR="00C6233A" w:rsidRPr="00002494" w:rsidRDefault="00C6233A" w:rsidP="00C6233A">
      <w:pPr>
        <w:ind w:firstLine="720"/>
        <w:jc w:val="both"/>
      </w:pPr>
      <w:r>
        <w:t xml:space="preserve">ORDERED that a </w:t>
      </w:r>
      <w:r w:rsidR="00F95A3C">
        <w:t>9</w:t>
      </w:r>
      <w:r w:rsidRPr="00002494">
        <w:t xml:space="preserve"> percent adjustment for excessive unaccounted for water </w:t>
      </w:r>
      <w:r>
        <w:t>is</w:t>
      </w:r>
      <w:r w:rsidRPr="00002494">
        <w:t xml:space="preserve"> made to </w:t>
      </w:r>
      <w:r>
        <w:t>Sunrise</w:t>
      </w:r>
      <w:r w:rsidRPr="00002494">
        <w:t xml:space="preserve"> </w:t>
      </w:r>
      <w:r>
        <w:t xml:space="preserve">Utilities, L.L.C.’s </w:t>
      </w:r>
      <w:r w:rsidRPr="00002494">
        <w:t>operating expenses for chemicals and purchased power.</w:t>
      </w:r>
      <w:r>
        <w:t xml:space="preserve">  It is further,</w:t>
      </w:r>
    </w:p>
    <w:p w:rsidR="00C6233A" w:rsidRDefault="00C6233A" w:rsidP="00C6233A">
      <w:pPr>
        <w:pStyle w:val="OrderBody"/>
      </w:pPr>
    </w:p>
    <w:p w:rsidR="00C6233A" w:rsidRDefault="00C6233A" w:rsidP="00C6233A">
      <w:pPr>
        <w:jc w:val="both"/>
        <w:outlineLvl w:val="1"/>
      </w:pPr>
      <w:r>
        <w:tab/>
        <w:t>ORDERED that t</w:t>
      </w:r>
      <w:r w:rsidRPr="00002494">
        <w:t xml:space="preserve">he appropriate allocation of common costs to </w:t>
      </w:r>
      <w:r>
        <w:t>Sunrise</w:t>
      </w:r>
      <w:r w:rsidRPr="00002494">
        <w:t xml:space="preserve"> </w:t>
      </w:r>
      <w:r>
        <w:t>Utilities, L.L.C.</w:t>
      </w:r>
      <w:r w:rsidRPr="00002494">
        <w:t xml:space="preserve"> is 78 percent. </w:t>
      </w:r>
      <w:r>
        <w:t>It is further,</w:t>
      </w:r>
    </w:p>
    <w:p w:rsidR="00C6233A" w:rsidRDefault="00C6233A" w:rsidP="00C6233A">
      <w:pPr>
        <w:jc w:val="both"/>
        <w:outlineLvl w:val="1"/>
      </w:pPr>
    </w:p>
    <w:p w:rsidR="00F95A3C" w:rsidRDefault="00C6233A" w:rsidP="00C6233A">
      <w:pPr>
        <w:jc w:val="both"/>
        <w:outlineLvl w:val="1"/>
      </w:pPr>
      <w:r>
        <w:tab/>
        <w:t>ORDERED that</w:t>
      </w:r>
      <w:r>
        <w:rPr>
          <w:b/>
          <w:bCs/>
          <w:i/>
          <w:iCs/>
          <w:szCs w:val="28"/>
        </w:rPr>
        <w:t xml:space="preserve"> </w:t>
      </w:r>
      <w:r>
        <w:t>the a</w:t>
      </w:r>
      <w:r w:rsidRPr="00002494">
        <w:t xml:space="preserve">ppropriate average test year rate base for </w:t>
      </w:r>
      <w:r>
        <w:t>Sunrise</w:t>
      </w:r>
      <w:r w:rsidRPr="00002494">
        <w:t xml:space="preserve"> </w:t>
      </w:r>
      <w:r>
        <w:t>Utilities, L.L.C.</w:t>
      </w:r>
      <w:r w:rsidRPr="00002494">
        <w:t xml:space="preserve"> is $49,773. </w:t>
      </w:r>
      <w:r w:rsidR="00F95A3C">
        <w:t>It is further,</w:t>
      </w:r>
    </w:p>
    <w:p w:rsidR="00F95A3C" w:rsidRDefault="00F95A3C" w:rsidP="00C6233A">
      <w:pPr>
        <w:jc w:val="both"/>
        <w:outlineLvl w:val="1"/>
      </w:pPr>
    </w:p>
    <w:p w:rsidR="00C6233A" w:rsidRDefault="00F95A3C" w:rsidP="00F95A3C">
      <w:pPr>
        <w:ind w:firstLine="720"/>
        <w:jc w:val="both"/>
        <w:outlineLvl w:val="1"/>
      </w:pPr>
      <w:r>
        <w:t>ORDERED that i</w:t>
      </w:r>
      <w:r w:rsidR="00C6233A">
        <w:t>n</w:t>
      </w:r>
      <w:r w:rsidR="00C6233A" w:rsidRPr="00002494">
        <w:t xml:space="preserve"> the event </w:t>
      </w:r>
      <w:r w:rsidR="00C6233A">
        <w:t>that Sunrise</w:t>
      </w:r>
      <w:r w:rsidR="00C6233A" w:rsidRPr="00002494">
        <w:t xml:space="preserve"> </w:t>
      </w:r>
      <w:r w:rsidR="00C6233A">
        <w:t>Utilities, L.L.C.</w:t>
      </w:r>
      <w:r w:rsidR="00C6233A" w:rsidRPr="00002494">
        <w:t xml:space="preserve"> is unable to issue customer deposit refunds and interest payments to former customers, the resulting total of the unclaimed refunds and associated accrued interest be credited to contributions-in-aid-of-construction in </w:t>
      </w:r>
      <w:r w:rsidR="00C6233A">
        <w:t>Sunrise</w:t>
      </w:r>
      <w:r w:rsidR="00C6233A" w:rsidRPr="00002494">
        <w:t xml:space="preserve"> </w:t>
      </w:r>
      <w:r w:rsidR="00C6233A">
        <w:t>Utilities, L.L.C.</w:t>
      </w:r>
      <w:r w:rsidR="00C6233A" w:rsidRPr="00002494">
        <w:t>’s next rate proceeding.</w:t>
      </w:r>
      <w:r w:rsidR="00C6233A">
        <w:t xml:space="preserve"> It is further,</w:t>
      </w:r>
    </w:p>
    <w:p w:rsidR="00C6233A" w:rsidRDefault="00C6233A" w:rsidP="00C6233A">
      <w:pPr>
        <w:jc w:val="both"/>
        <w:outlineLvl w:val="1"/>
      </w:pPr>
    </w:p>
    <w:p w:rsidR="00C6233A" w:rsidRDefault="00C6233A" w:rsidP="00C6233A">
      <w:pPr>
        <w:jc w:val="both"/>
        <w:outlineLvl w:val="1"/>
      </w:pPr>
      <w:r>
        <w:tab/>
        <w:t xml:space="preserve">ORDERED that the </w:t>
      </w:r>
      <w:r w:rsidRPr="00002494">
        <w:t>appropriate return on equity</w:t>
      </w:r>
      <w:r>
        <w:t xml:space="preserve"> for Sunrise</w:t>
      </w:r>
      <w:r w:rsidRPr="00002494">
        <w:t xml:space="preserve"> </w:t>
      </w:r>
      <w:r>
        <w:t>Utilities, L.L.C.</w:t>
      </w:r>
      <w:r w:rsidRPr="00002494">
        <w:t xml:space="preserve"> is 8.74 percent with a range of 7.74 percent to 9.74 percent. The appropriate overall rate of return is 8.13 percent. </w:t>
      </w:r>
      <w:r>
        <w:t xml:space="preserve"> It is further,</w:t>
      </w:r>
    </w:p>
    <w:p w:rsidR="00C6233A" w:rsidRDefault="00C6233A" w:rsidP="00C6233A">
      <w:pPr>
        <w:jc w:val="both"/>
        <w:outlineLvl w:val="1"/>
      </w:pPr>
    </w:p>
    <w:p w:rsidR="00C6233A" w:rsidRDefault="00C6233A" w:rsidP="00C6233A">
      <w:pPr>
        <w:jc w:val="both"/>
        <w:outlineLvl w:val="1"/>
      </w:pPr>
      <w:r>
        <w:tab/>
        <w:t>ORDERED that</w:t>
      </w:r>
      <w:r w:rsidR="00F95A3C">
        <w:t xml:space="preserve"> </w:t>
      </w:r>
      <w:r w:rsidR="00F95A3C" w:rsidRPr="00002494">
        <w:t>by December 31, 2016</w:t>
      </w:r>
      <w:r w:rsidR="00F95A3C">
        <w:t>,</w:t>
      </w:r>
      <w:r>
        <w:t xml:space="preserve"> Sunrise</w:t>
      </w:r>
      <w:r w:rsidRPr="00002494">
        <w:t xml:space="preserve"> </w:t>
      </w:r>
      <w:r>
        <w:t>Utilities, L.L.C. is</w:t>
      </w:r>
      <w:r w:rsidRPr="00002494">
        <w:t xml:space="preserve"> required to file written documentation in this docket showing that Sunrise </w:t>
      </w:r>
      <w:r>
        <w:t xml:space="preserve">Utilities, L.L.C. </w:t>
      </w:r>
      <w:r w:rsidRPr="00002494">
        <w:t>owns or has the right to continued long-term use of the land upon which its treatment facilities are located.</w:t>
      </w:r>
      <w:r>
        <w:t xml:space="preserve">  In addition, Sunrise</w:t>
      </w:r>
      <w:r w:rsidRPr="00002494">
        <w:t xml:space="preserve"> </w:t>
      </w:r>
      <w:r>
        <w:t xml:space="preserve">Utilities, L.L.C. is required to file six monthly status reports, beginning April 15, 2016, to provide the status of its progress to correct the land ownership issue. </w:t>
      </w:r>
      <w:r w:rsidRPr="00002494">
        <w:t xml:space="preserve"> </w:t>
      </w:r>
      <w:r>
        <w:t>It is further,</w:t>
      </w:r>
    </w:p>
    <w:p w:rsidR="00C6233A" w:rsidRDefault="00C6233A" w:rsidP="00C6233A">
      <w:pPr>
        <w:jc w:val="both"/>
        <w:outlineLvl w:val="1"/>
      </w:pPr>
    </w:p>
    <w:p w:rsidR="00C6233A" w:rsidRDefault="00C6233A" w:rsidP="00C6233A">
      <w:pPr>
        <w:jc w:val="both"/>
        <w:outlineLvl w:val="1"/>
      </w:pPr>
      <w:r>
        <w:tab/>
        <w:t>ORDERED that t</w:t>
      </w:r>
      <w:r w:rsidRPr="00002494">
        <w:t xml:space="preserve">he appropriate test year revenues for </w:t>
      </w:r>
      <w:r>
        <w:t>Sunrise Utilities, L.L.C.</w:t>
      </w:r>
      <w:r w:rsidRPr="00002494">
        <w:t>’s water system are $74,938.</w:t>
      </w:r>
      <w:r>
        <w:t xml:space="preserve">  It is further,</w:t>
      </w:r>
    </w:p>
    <w:p w:rsidR="00C6233A" w:rsidRDefault="00C6233A" w:rsidP="00C6233A">
      <w:pPr>
        <w:jc w:val="both"/>
        <w:outlineLvl w:val="1"/>
      </w:pPr>
    </w:p>
    <w:p w:rsidR="00F95A3C" w:rsidRDefault="00C6233A" w:rsidP="00C6233A">
      <w:pPr>
        <w:jc w:val="both"/>
      </w:pPr>
      <w:r>
        <w:tab/>
        <w:t>ORDERED that the</w:t>
      </w:r>
      <w:r w:rsidRPr="00002494">
        <w:t xml:space="preserve"> appropriate amount of operating expenses for</w:t>
      </w:r>
      <w:r w:rsidRPr="00926E1C">
        <w:t xml:space="preserve"> </w:t>
      </w:r>
      <w:r>
        <w:t>Sunrise Utilities, L.L.C.</w:t>
      </w:r>
      <w:r w:rsidRPr="00002494">
        <w:t xml:space="preserve"> is $75,778. </w:t>
      </w:r>
      <w:r>
        <w:t>I</w:t>
      </w:r>
      <w:r w:rsidR="00F95A3C">
        <w:t>t is further,</w:t>
      </w:r>
    </w:p>
    <w:p w:rsidR="00F95A3C" w:rsidRDefault="00F95A3C" w:rsidP="00C6233A">
      <w:pPr>
        <w:jc w:val="both"/>
      </w:pPr>
    </w:p>
    <w:p w:rsidR="002D1B8E" w:rsidRDefault="002D1B8E" w:rsidP="00F95A3C">
      <w:pPr>
        <w:ind w:firstLine="720"/>
        <w:jc w:val="both"/>
      </w:pPr>
    </w:p>
    <w:p w:rsidR="002D1B8E" w:rsidRDefault="002D1B8E" w:rsidP="00F95A3C">
      <w:pPr>
        <w:ind w:firstLine="720"/>
        <w:jc w:val="both"/>
      </w:pPr>
    </w:p>
    <w:p w:rsidR="00C6233A" w:rsidRDefault="00F95A3C" w:rsidP="00F95A3C">
      <w:pPr>
        <w:ind w:firstLine="720"/>
        <w:jc w:val="both"/>
      </w:pPr>
      <w:r>
        <w:t>ORDERED that</w:t>
      </w:r>
      <w:r w:rsidR="002D1B8E">
        <w:t xml:space="preserve"> </w:t>
      </w:r>
      <w:r w:rsidR="002D1B8E" w:rsidRPr="00002494">
        <w:t>by December 31, 2016</w:t>
      </w:r>
      <w:r w:rsidR="002D1B8E">
        <w:t>,</w:t>
      </w:r>
      <w:r w:rsidR="00C6233A">
        <w:t xml:space="preserve"> Sunrise Utilities, L.L.C. is required to </w:t>
      </w:r>
      <w:r w:rsidR="00C6233A" w:rsidRPr="00002494">
        <w:t>file documentation in this docket</w:t>
      </w:r>
      <w:r w:rsidR="002D1B8E">
        <w:t>,</w:t>
      </w:r>
      <w:r w:rsidR="00C6233A" w:rsidRPr="00002494">
        <w:t xml:space="preserve"> showing that the pro forma </w:t>
      </w:r>
      <w:proofErr w:type="spellStart"/>
      <w:r w:rsidR="00C6233A" w:rsidRPr="00002494">
        <w:t>trihalomethane</w:t>
      </w:r>
      <w:proofErr w:type="spellEnd"/>
      <w:r w:rsidR="00C6233A" w:rsidRPr="00002494">
        <w:t xml:space="preserve"> and </w:t>
      </w:r>
      <w:proofErr w:type="spellStart"/>
      <w:r w:rsidR="00C6233A" w:rsidRPr="00002494">
        <w:t>haloacetic</w:t>
      </w:r>
      <w:proofErr w:type="spellEnd"/>
      <w:r w:rsidR="00C6233A" w:rsidRPr="00002494">
        <w:t xml:space="preserve"> acid tests have been completed. The documentation </w:t>
      </w:r>
      <w:r w:rsidR="00E73CE2">
        <w:t>shall</w:t>
      </w:r>
      <w:r w:rsidR="00C6233A" w:rsidRPr="00002494">
        <w:t xml:space="preserve"> include a copy of the test results and final invoices. </w:t>
      </w:r>
      <w:r w:rsidR="00C6233A">
        <w:t xml:space="preserve"> In addition, Sunrise</w:t>
      </w:r>
      <w:r w:rsidR="00C6233A" w:rsidRPr="00002494">
        <w:t xml:space="preserve"> </w:t>
      </w:r>
      <w:r w:rsidR="00C6233A">
        <w:t>Utilities, L.L.C. is required to file six monthly status reports, beginning April 15, 2016, to provide the status of its contractual service providers, including the name and position of each contractual service provider currently providing services for the Utility. It is further,</w:t>
      </w:r>
    </w:p>
    <w:p w:rsidR="00C6233A" w:rsidRDefault="00C6233A" w:rsidP="00C6233A">
      <w:pPr>
        <w:jc w:val="both"/>
      </w:pPr>
    </w:p>
    <w:p w:rsidR="00C6233A" w:rsidRPr="00002494" w:rsidRDefault="00C6233A" w:rsidP="00C6233A">
      <w:pPr>
        <w:jc w:val="both"/>
        <w:outlineLvl w:val="1"/>
      </w:pPr>
      <w:r>
        <w:tab/>
        <w:t xml:space="preserve">ORDERED that the </w:t>
      </w:r>
      <w:r w:rsidRPr="00002494">
        <w:t xml:space="preserve">operating ratio methodology </w:t>
      </w:r>
      <w:r>
        <w:t xml:space="preserve">shall be used </w:t>
      </w:r>
      <w:r w:rsidRPr="00002494">
        <w:t>for calculating the revenue requirement for Sunrise</w:t>
      </w:r>
      <w:r>
        <w:t xml:space="preserve"> Utilities, L.L.C., with a </w:t>
      </w:r>
      <w:r w:rsidRPr="00002494">
        <w:t xml:space="preserve">margin </w:t>
      </w:r>
      <w:r>
        <w:t xml:space="preserve">of </w:t>
      </w:r>
      <w:r w:rsidRPr="00002494">
        <w:t xml:space="preserve">10 percent of O&amp;M expense. </w:t>
      </w:r>
      <w:r>
        <w:t>It is further,</w:t>
      </w:r>
    </w:p>
    <w:p w:rsidR="00C6233A" w:rsidRDefault="00C6233A" w:rsidP="00C6233A">
      <w:pPr>
        <w:jc w:val="both"/>
      </w:pPr>
    </w:p>
    <w:p w:rsidR="00C6233A" w:rsidRPr="00002494" w:rsidRDefault="00C6233A" w:rsidP="00C6233A">
      <w:pPr>
        <w:jc w:val="both"/>
        <w:outlineLvl w:val="1"/>
      </w:pPr>
      <w:r w:rsidRPr="004F1440">
        <w:tab/>
        <w:t>ORDERED that the appropriate revenue requirement for</w:t>
      </w:r>
      <w:r>
        <w:t xml:space="preserve"> Sunrise Utilities, L.L.C.</w:t>
      </w:r>
      <w:r w:rsidRPr="004F1440">
        <w:t xml:space="preserve"> is</w:t>
      </w:r>
      <w:r>
        <w:t xml:space="preserve"> </w:t>
      </w:r>
      <w:r w:rsidRPr="00002494">
        <w:t xml:space="preserve">$82,448, resulting in an annual increase of $7,510 (10.02 percent). </w:t>
      </w:r>
      <w:r w:rsidRPr="004F1440">
        <w:t>It is further</w:t>
      </w:r>
      <w:r w:rsidR="00E73CE2">
        <w:t>,</w:t>
      </w:r>
    </w:p>
    <w:p w:rsidR="00C6233A" w:rsidRPr="007F2B66" w:rsidRDefault="00C6233A" w:rsidP="00C6233A">
      <w:pPr>
        <w:pStyle w:val="OrderBody"/>
        <w:rPr>
          <w:highlight w:val="yellow"/>
        </w:rPr>
      </w:pPr>
    </w:p>
    <w:p w:rsidR="00C6233A" w:rsidRPr="0094301B" w:rsidRDefault="00C6233A" w:rsidP="00C6233A">
      <w:pPr>
        <w:pStyle w:val="OrderBody"/>
        <w:ind w:firstLine="720"/>
      </w:pPr>
      <w:r w:rsidRPr="0094301B">
        <w:t xml:space="preserve">ORDERED that </w:t>
      </w:r>
      <w:r>
        <w:t>the approved r</w:t>
      </w:r>
      <w:r w:rsidRPr="00002494">
        <w:t xml:space="preserve">ate structure and monthly water rates </w:t>
      </w:r>
      <w:r>
        <w:t xml:space="preserve">for Sunrise Utilities, L.L.C. </w:t>
      </w:r>
      <w:r w:rsidRPr="00002494">
        <w:t>are shown on Schedule No. 4.</w:t>
      </w:r>
      <w:r>
        <w:t xml:space="preserve">  Sunrise Utilities, L.L.C.</w:t>
      </w:r>
      <w:r w:rsidRPr="0094301B">
        <w:t xml:space="preserve"> shall file revised tariff sheets and a proposed customer notice to reflect the approved rates shown on Schedule 4. The revised tariff sheets shall be approved upon our staff’s verification that the tariff sheets are consistent with our decision herein. It is further</w:t>
      </w:r>
      <w:r w:rsidR="00E73CE2">
        <w:t>,</w:t>
      </w:r>
    </w:p>
    <w:p w:rsidR="00C6233A" w:rsidRPr="0094301B" w:rsidRDefault="00C6233A" w:rsidP="00C6233A">
      <w:pPr>
        <w:pStyle w:val="OrderBody"/>
        <w:ind w:firstLine="720"/>
      </w:pPr>
    </w:p>
    <w:p w:rsidR="00C6233A" w:rsidRPr="0094301B" w:rsidRDefault="00C6233A" w:rsidP="00C6233A">
      <w:pPr>
        <w:pStyle w:val="OrderBody"/>
        <w:ind w:firstLine="720"/>
      </w:pPr>
      <w:r w:rsidRPr="0094301B">
        <w:t xml:space="preserve">ORDERED that </w:t>
      </w:r>
      <w:r>
        <w:t>Sunrise Utilities, L.L.C.</w:t>
      </w:r>
      <w:r w:rsidRPr="0094301B">
        <w:t>’s approved rates shall be effective for service rendered on or after the stamped approval date on the tariff sheets, pursuant to Rule 25-30.475(1), F.A.C. It is further</w:t>
      </w:r>
      <w:r w:rsidR="00E73CE2">
        <w:t>,</w:t>
      </w:r>
    </w:p>
    <w:p w:rsidR="00C6233A" w:rsidRPr="0094301B" w:rsidRDefault="00C6233A" w:rsidP="00C6233A">
      <w:pPr>
        <w:pStyle w:val="OrderBody"/>
        <w:ind w:firstLine="720"/>
      </w:pPr>
    </w:p>
    <w:p w:rsidR="00C6233A" w:rsidRDefault="00C6233A" w:rsidP="00C6233A">
      <w:pPr>
        <w:pStyle w:val="OrderBody"/>
        <w:ind w:firstLine="720"/>
      </w:pPr>
      <w:r w:rsidRPr="0094301B">
        <w:t xml:space="preserve">ORDERED that </w:t>
      </w:r>
      <w:r>
        <w:t>Sunrise Utilities, L.L.C.</w:t>
      </w:r>
      <w:r w:rsidRPr="0094301B">
        <w:t xml:space="preserve">’s approved rates shall not be implemented until our staff has approved the proposed customer notice and the notice has been received by the customers as </w:t>
      </w:r>
      <w:r w:rsidR="007423AE">
        <w:t xml:space="preserve">set </w:t>
      </w:r>
      <w:bookmarkStart w:id="7" w:name="_GoBack"/>
      <w:bookmarkEnd w:id="7"/>
      <w:r w:rsidRPr="0094301B">
        <w:t xml:space="preserve">forth in this Order. </w:t>
      </w:r>
      <w:r>
        <w:t>Sunrise Utilities, L.L.C.</w:t>
      </w:r>
      <w:r w:rsidRPr="0094301B">
        <w:t xml:space="preserve"> shall provide documentation </w:t>
      </w:r>
      <w:r>
        <w:t xml:space="preserve">to this Commission </w:t>
      </w:r>
      <w:r w:rsidRPr="0094301B">
        <w:t>that the notice was provided to its customers within 10 days of the date of the notice. It is further</w:t>
      </w:r>
      <w:r w:rsidR="00E73CE2">
        <w:t>,</w:t>
      </w:r>
    </w:p>
    <w:p w:rsidR="00C6233A" w:rsidRDefault="00C6233A" w:rsidP="00C6233A"/>
    <w:p w:rsidR="00E73CE2" w:rsidRPr="00411080" w:rsidRDefault="00C6233A" w:rsidP="00E73CE2">
      <w:pPr>
        <w:pStyle w:val="OrderBody"/>
        <w:ind w:firstLine="720"/>
        <w:rPr>
          <w:color w:val="000000"/>
        </w:rPr>
      </w:pPr>
      <w:r w:rsidRPr="00411080">
        <w:t xml:space="preserve">ORDERED that the appropriate initial customer deposit for Sunrise Utilities, L.L.C. is $52 for the residential 5/8″ x 3/4″ meter size for water. The initial customer deposit for all other residential meter sizes and all general service meter sizes shall be two times the average estimated bill for water. </w:t>
      </w:r>
      <w:r w:rsidRPr="00411080">
        <w:rPr>
          <w:color w:val="000000"/>
        </w:rPr>
        <w:t xml:space="preserve">The approved customer deposits shall be effective for services rendered, or connections made, on or after the stamped approval date on the tariff sheets, pursuant to Rule 25-30.475, F.A.C. </w:t>
      </w:r>
      <w:r w:rsidRPr="00411080">
        <w:t>Sunrise Utilities, L.L.C.</w:t>
      </w:r>
      <w:r w:rsidRPr="00411080">
        <w:rPr>
          <w:color w:val="000000"/>
        </w:rPr>
        <w:t xml:space="preserve"> shall be required to charge the approved charges until this Commission authorizes it to change them in a subsequent proceeding.  It is further</w:t>
      </w:r>
      <w:r w:rsidR="00E73CE2">
        <w:rPr>
          <w:color w:val="000000"/>
        </w:rPr>
        <w:t>,</w:t>
      </w:r>
    </w:p>
    <w:p w:rsidR="00C6233A" w:rsidRDefault="00C6233A" w:rsidP="00C6233A">
      <w:pPr>
        <w:pStyle w:val="OrderBody"/>
        <w:rPr>
          <w:color w:val="000000"/>
        </w:rPr>
      </w:pPr>
    </w:p>
    <w:p w:rsidR="002D1B8E" w:rsidRDefault="002D1B8E">
      <w:pPr>
        <w:rPr>
          <w:color w:val="000000"/>
        </w:rPr>
      </w:pPr>
      <w:r>
        <w:rPr>
          <w:color w:val="000000"/>
        </w:rPr>
        <w:br w:type="page"/>
      </w:r>
    </w:p>
    <w:p w:rsidR="00C6233A" w:rsidRPr="00002494" w:rsidRDefault="00C6233A" w:rsidP="00C6233A">
      <w:pPr>
        <w:ind w:firstLine="720"/>
        <w:jc w:val="both"/>
      </w:pPr>
      <w:r>
        <w:rPr>
          <w:color w:val="000000"/>
        </w:rPr>
        <w:lastRenderedPageBreak/>
        <w:t xml:space="preserve">ORDERED that </w:t>
      </w:r>
      <w:r w:rsidRPr="00411080">
        <w:t>Sunrise Utilities, L.L.C.</w:t>
      </w:r>
      <w:r>
        <w:t xml:space="preserve"> </w:t>
      </w:r>
      <w:r w:rsidRPr="00002494">
        <w:rPr>
          <w:color w:val="000000"/>
        </w:rPr>
        <w:t xml:space="preserve">continue to work on </w:t>
      </w:r>
      <w:r>
        <w:rPr>
          <w:color w:val="000000"/>
        </w:rPr>
        <w:t>complying</w:t>
      </w:r>
      <w:r w:rsidRPr="00002494">
        <w:rPr>
          <w:color w:val="000000"/>
        </w:rPr>
        <w:t xml:space="preserve"> with Rule 25-30.311 F.A.C. </w:t>
      </w:r>
      <w:r w:rsidRPr="00411080">
        <w:t>Sunrise Utilities, L.L.C.</w:t>
      </w:r>
      <w:r>
        <w:t xml:space="preserve"> shall </w:t>
      </w:r>
      <w:r w:rsidRPr="00002494">
        <w:rPr>
          <w:color w:val="000000"/>
        </w:rPr>
        <w:t>complete refunds within three months of th</w:t>
      </w:r>
      <w:r>
        <w:rPr>
          <w:color w:val="000000"/>
        </w:rPr>
        <w:t>is Order becoming final</w:t>
      </w:r>
      <w:r w:rsidRPr="00002494">
        <w:rPr>
          <w:color w:val="000000"/>
        </w:rPr>
        <w:t xml:space="preserve">. </w:t>
      </w:r>
      <w:r w:rsidRPr="00411080">
        <w:t>Sunrise Utilities, L.L.C.</w:t>
      </w:r>
      <w:r>
        <w:t xml:space="preserve"> </w:t>
      </w:r>
      <w:r>
        <w:rPr>
          <w:color w:val="000000"/>
        </w:rPr>
        <w:t>is</w:t>
      </w:r>
      <w:r w:rsidRPr="00002494">
        <w:rPr>
          <w:color w:val="000000"/>
        </w:rPr>
        <w:t xml:space="preserve"> required to reconcile its customer deposit accounts and records within a reasonable time. </w:t>
      </w:r>
      <w:r>
        <w:rPr>
          <w:color w:val="000000"/>
        </w:rPr>
        <w:t xml:space="preserve">In addition, </w:t>
      </w:r>
      <w:r w:rsidRPr="00411080">
        <w:t>Sunrise Utilities, L.L.C.</w:t>
      </w:r>
      <w:r>
        <w:rPr>
          <w:color w:val="000000"/>
        </w:rPr>
        <w:t xml:space="preserve"> is</w:t>
      </w:r>
      <w:r w:rsidRPr="00002494">
        <w:rPr>
          <w:color w:val="000000"/>
        </w:rPr>
        <w:t xml:space="preserve"> required to provide mo</w:t>
      </w:r>
      <w:r>
        <w:rPr>
          <w:color w:val="000000"/>
        </w:rPr>
        <w:t>nthly reports beginning April 15</w:t>
      </w:r>
      <w:r w:rsidRPr="00002494">
        <w:rPr>
          <w:color w:val="000000"/>
        </w:rPr>
        <w:t>, 2016, until it has satisfactorily refunded the appropriate amount of customer deposits and applied the appropriate interest o</w:t>
      </w:r>
      <w:r>
        <w:rPr>
          <w:color w:val="000000"/>
        </w:rPr>
        <w:t>n customer deposits. Our s</w:t>
      </w:r>
      <w:r w:rsidRPr="00002494">
        <w:rPr>
          <w:color w:val="000000"/>
        </w:rPr>
        <w:t xml:space="preserve">taff </w:t>
      </w:r>
      <w:r w:rsidR="002D1B8E">
        <w:rPr>
          <w:color w:val="000000"/>
        </w:rPr>
        <w:t>is hereby</w:t>
      </w:r>
      <w:r w:rsidRPr="00002494">
        <w:rPr>
          <w:color w:val="000000"/>
        </w:rPr>
        <w:t xml:space="preserve"> given administrative authority to determine when </w:t>
      </w:r>
      <w:r w:rsidRPr="00411080">
        <w:t>Sunrise Utilities, L.L.C.</w:t>
      </w:r>
      <w:r w:rsidRPr="00002494">
        <w:rPr>
          <w:color w:val="000000"/>
        </w:rPr>
        <w:t xml:space="preserve"> is in compliance with Rule 25-30.311, F.A.C. </w:t>
      </w:r>
      <w:r>
        <w:t>It is further,</w:t>
      </w:r>
    </w:p>
    <w:p w:rsidR="00C6233A" w:rsidRDefault="00C6233A">
      <w:pPr>
        <w:rPr>
          <w:color w:val="000000"/>
        </w:rPr>
      </w:pPr>
    </w:p>
    <w:p w:rsidR="00C6233A" w:rsidRPr="00B936FA" w:rsidRDefault="00C6233A" w:rsidP="00C6233A">
      <w:pPr>
        <w:pStyle w:val="OrderBody"/>
        <w:ind w:firstLine="720"/>
      </w:pPr>
      <w:r w:rsidRPr="00B936FA">
        <w:rPr>
          <w:color w:val="000000"/>
        </w:rPr>
        <w:t xml:space="preserve">ORDERED that, subject to the conditions set forth in the body of this Order, following the expiration of the four-year rate case expense recovery period, </w:t>
      </w:r>
      <w:r>
        <w:rPr>
          <w:color w:val="000000"/>
        </w:rPr>
        <w:t>Sunrise Utilities, L.L.C.</w:t>
      </w:r>
      <w:r w:rsidRPr="00B936FA">
        <w:rPr>
          <w:color w:val="000000"/>
        </w:rPr>
        <w:t xml:space="preserve">’s </w:t>
      </w:r>
      <w:r w:rsidRPr="00B936FA">
        <w:t xml:space="preserve">rates shall be reduced as shown on Schedule No. 4 attached hereto, to remove rate case expense grossed-up for Regulatory Assessment Fees and amortized over a four-year period. </w:t>
      </w:r>
      <w:r w:rsidRPr="00B936FA">
        <w:rPr>
          <w:color w:val="000000"/>
        </w:rPr>
        <w:t>It is further</w:t>
      </w:r>
    </w:p>
    <w:p w:rsidR="00C6233A" w:rsidRPr="00B936FA" w:rsidRDefault="00C6233A" w:rsidP="00C6233A">
      <w:pPr>
        <w:pStyle w:val="OrderBody"/>
      </w:pPr>
    </w:p>
    <w:p w:rsidR="00C6233A" w:rsidRPr="00B936FA" w:rsidRDefault="00C6233A" w:rsidP="00C6233A">
      <w:pPr>
        <w:pStyle w:val="OrderBody"/>
        <w:ind w:firstLine="720"/>
      </w:pPr>
      <w:r w:rsidRPr="00B936FA">
        <w:t xml:space="preserve">ORDERED that </w:t>
      </w:r>
      <w:r>
        <w:t>Sunrise Utilities, L.L.C.</w:t>
      </w:r>
      <w:r w:rsidRPr="00B936FA">
        <w:t xml:space="preserve"> shall be required to file revised tariffs and a proposed customer notice setting forth the lower rates and the reason for the reduction, no later than one month prior to the actual date of the required rate reduction. It is further</w:t>
      </w:r>
    </w:p>
    <w:p w:rsidR="00C6233A" w:rsidRPr="00B936FA" w:rsidRDefault="00C6233A" w:rsidP="00C6233A">
      <w:pPr>
        <w:pStyle w:val="OrderBody"/>
        <w:ind w:firstLine="720"/>
      </w:pPr>
    </w:p>
    <w:p w:rsidR="00C6233A" w:rsidRPr="00B936FA" w:rsidRDefault="00E73CE2" w:rsidP="00C6233A">
      <w:pPr>
        <w:pStyle w:val="OrderBody"/>
        <w:ind w:firstLine="720"/>
      </w:pPr>
      <w:r>
        <w:t>ORDERED that i</w:t>
      </w:r>
      <w:r w:rsidR="00C6233A" w:rsidRPr="00B936FA">
        <w:t xml:space="preserve">f </w:t>
      </w:r>
      <w:r w:rsidR="00C6233A">
        <w:t>Sunrise Utilities, L.L.C.</w:t>
      </w:r>
      <w:r w:rsidR="00C6233A" w:rsidRPr="00B936FA">
        <w:t xml:space="preserve"> files this reduction in conjunction with a price index or pass-through rate adjustment, it shall file separate data for the price index and/or pass-through increase or decrease and the reduction in the rates due to the amortized rate case expense. </w:t>
      </w:r>
      <w:r w:rsidR="00C6233A" w:rsidRPr="00B936FA">
        <w:rPr>
          <w:color w:val="000000"/>
        </w:rPr>
        <w:t>It is further</w:t>
      </w:r>
    </w:p>
    <w:p w:rsidR="00C6233A" w:rsidRPr="00B936FA" w:rsidRDefault="00C6233A" w:rsidP="00C6233A">
      <w:pPr>
        <w:pStyle w:val="OrderBody"/>
        <w:rPr>
          <w:color w:val="000000"/>
        </w:rPr>
      </w:pPr>
    </w:p>
    <w:p w:rsidR="00C6233A" w:rsidRPr="00B936FA" w:rsidRDefault="00C6233A" w:rsidP="00C6233A">
      <w:pPr>
        <w:pStyle w:val="OrderBody"/>
      </w:pPr>
      <w:r w:rsidRPr="00B936FA">
        <w:rPr>
          <w:color w:val="000000"/>
        </w:rPr>
        <w:tab/>
        <w:t>ORDERED that the approved</w:t>
      </w:r>
      <w:r w:rsidRPr="00B936FA">
        <w:t xml:space="preserve"> rates shall be approved for </w:t>
      </w:r>
      <w:r>
        <w:t>Sunrise Utilities, L.L.C.</w:t>
      </w:r>
      <w:r w:rsidRPr="00B936FA">
        <w:t xml:space="preserve"> on a temporary basis, subject to refund with interest, in the event of a protest filed by a party other than the Utility. </w:t>
      </w:r>
      <w:r>
        <w:t>Sunrise Utilities, L.L.C.</w:t>
      </w:r>
      <w:r w:rsidRPr="00B936FA">
        <w:t xml:space="preserve"> shall file revised tariff sheets and a proposed customer notice, reflecting the approved temporary rates. The approved temporary rates shall be effective for service rendered on or after the stamped approval date on the tariff sheet, pursuant to Rule 25-30.475(1), F.A.C. It is further</w:t>
      </w:r>
    </w:p>
    <w:p w:rsidR="00C6233A" w:rsidRPr="00B936FA" w:rsidRDefault="00C6233A" w:rsidP="00C6233A">
      <w:pPr>
        <w:pStyle w:val="OrderBody"/>
      </w:pPr>
    </w:p>
    <w:p w:rsidR="00C6233A" w:rsidRPr="00B936FA" w:rsidRDefault="00C6233A" w:rsidP="00C6233A">
      <w:pPr>
        <w:pStyle w:val="OrderBody"/>
        <w:ind w:firstLine="720"/>
      </w:pPr>
      <w:r w:rsidRPr="00B936FA">
        <w:t xml:space="preserve">ORDERED that prior to implementation of any temporary rates, </w:t>
      </w:r>
      <w:r>
        <w:t>Sunrise Utilities, L.L.C.</w:t>
      </w:r>
      <w:r w:rsidRPr="00B936FA">
        <w:t xml:space="preserve"> shall provide appropriate security for the potential refund in </w:t>
      </w:r>
      <w:r w:rsidRPr="00002494">
        <w:t>$5,018</w:t>
      </w:r>
      <w:r w:rsidRPr="00B936FA">
        <w:t xml:space="preserve">, as set out in the body of this Order. The temporary rates collected by </w:t>
      </w:r>
      <w:r>
        <w:t>Sunrise Utilities, L.L.C.</w:t>
      </w:r>
      <w:r w:rsidRPr="00B936FA">
        <w:t xml:space="preserve"> shall be subject to refund provisions. </w:t>
      </w:r>
      <w:r>
        <w:t>Sunrise Utilities, L.L.C.</w:t>
      </w:r>
      <w:r w:rsidRPr="00B936FA">
        <w:t xml:space="preserve"> may collect the temporary rates upon our staff’s approval of an appropriate security for the potential refund and the proposed customer notice. It is further</w:t>
      </w:r>
    </w:p>
    <w:p w:rsidR="00C6233A" w:rsidRPr="00B936FA" w:rsidRDefault="00C6233A" w:rsidP="00C6233A">
      <w:pPr>
        <w:pStyle w:val="OrderBody"/>
      </w:pPr>
    </w:p>
    <w:p w:rsidR="00C6233A" w:rsidRPr="00B936FA" w:rsidRDefault="00C6233A" w:rsidP="00C6233A">
      <w:pPr>
        <w:pStyle w:val="OrderBody"/>
        <w:ind w:firstLine="720"/>
      </w:pPr>
      <w:r w:rsidRPr="00B936FA">
        <w:t>ORDERED that, irrespective of the form of the security chosen</w:t>
      </w:r>
      <w:r>
        <w:t xml:space="preserve"> by Sunrise Utilities, L.L.C., the Utility</w:t>
      </w:r>
      <w:r w:rsidRPr="00B936FA">
        <w:t xml:space="preserve"> shall maintain an account of all monies received as a result of the rate increase. It is further</w:t>
      </w:r>
    </w:p>
    <w:p w:rsidR="00C6233A" w:rsidRPr="00B936FA" w:rsidRDefault="00C6233A" w:rsidP="00C6233A">
      <w:pPr>
        <w:pStyle w:val="OrderBody"/>
        <w:ind w:firstLine="720"/>
      </w:pPr>
    </w:p>
    <w:p w:rsidR="002D1B8E" w:rsidRDefault="002D1B8E">
      <w:r>
        <w:br w:type="page"/>
      </w:r>
    </w:p>
    <w:p w:rsidR="002D1B8E" w:rsidRDefault="002D1B8E" w:rsidP="00C6233A">
      <w:pPr>
        <w:pStyle w:val="OrderBody"/>
        <w:ind w:firstLine="720"/>
      </w:pPr>
    </w:p>
    <w:p w:rsidR="00C6233A" w:rsidRPr="00B936FA" w:rsidRDefault="00C6233A" w:rsidP="00C6233A">
      <w:pPr>
        <w:pStyle w:val="OrderBody"/>
        <w:ind w:firstLine="720"/>
      </w:pPr>
      <w:r w:rsidRPr="00B936FA">
        <w:t xml:space="preserve">ORDERED that, after the increased rates are in effect, pursuant to Rule 25-30.360(6), F.A.C., </w:t>
      </w:r>
      <w:r>
        <w:t>Sunrise Utilities, L.L.C.</w:t>
      </w:r>
      <w:r w:rsidRPr="00B936FA">
        <w:t xml:space="preserve">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p>
    <w:p w:rsidR="002D1B8E" w:rsidRDefault="002D1B8E"/>
    <w:p w:rsidR="00C6233A" w:rsidRDefault="00C6233A" w:rsidP="00C6233A">
      <w:pPr>
        <w:ind w:firstLine="720"/>
        <w:jc w:val="both"/>
      </w:pPr>
      <w:r w:rsidRPr="00B936FA">
        <w:t xml:space="preserve">ORDERED that </w:t>
      </w:r>
      <w:r>
        <w:t>Sunrise Utilities, L.L.C.</w:t>
      </w:r>
      <w:r w:rsidRPr="00B936FA">
        <w:t xml:space="preserve"> </w:t>
      </w:r>
      <w:r w:rsidR="002D1B8E">
        <w:t>is</w:t>
      </w:r>
      <w:r>
        <w:t xml:space="preserve"> required to notify this Commission in writing</w:t>
      </w:r>
      <w:r w:rsidRPr="00B936FA">
        <w:t>, within 90 days of the effective date of the final order in this docket, that the adjustments for all applicable NARUC USOA primary accounts</w:t>
      </w:r>
      <w:r w:rsidR="002D1B8E">
        <w:t>,</w:t>
      </w:r>
      <w:r w:rsidRPr="00B936FA">
        <w:t xml:space="preserve"> </w:t>
      </w:r>
      <w:r w:rsidRPr="00002494">
        <w:t>as shown on Schedule No. 5</w:t>
      </w:r>
      <w:r>
        <w:t xml:space="preserve"> attached,</w:t>
      </w:r>
      <w:r w:rsidRPr="00002494">
        <w:t xml:space="preserve"> have been made to the Utility’s books and records. </w:t>
      </w:r>
      <w:r w:rsidRPr="00B936FA">
        <w:t xml:space="preserve">Our staff has administrative authority to grant </w:t>
      </w:r>
      <w:r>
        <w:t>Sunrise Utilities, L.L.C.</w:t>
      </w:r>
      <w:r w:rsidRPr="00B936FA">
        <w:t xml:space="preserve"> an extension, of up to 60 days, upon the Utility providing good cause, in writing, for additional time to complete the adjustments. It is further</w:t>
      </w:r>
    </w:p>
    <w:p w:rsidR="00C6233A" w:rsidRPr="00B936FA" w:rsidRDefault="00C6233A" w:rsidP="00C6233A">
      <w:pPr>
        <w:pStyle w:val="OrderBody"/>
        <w:ind w:firstLine="720"/>
      </w:pPr>
    </w:p>
    <w:p w:rsidR="00C6233A" w:rsidRPr="00B936FA" w:rsidRDefault="00C6233A" w:rsidP="00C6233A">
      <w:pPr>
        <w:pStyle w:val="OrderBody"/>
        <w:keepNext/>
        <w:keepLines/>
        <w:ind w:firstLine="720"/>
      </w:pPr>
      <w:r w:rsidRPr="00B936FA">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p>
    <w:p w:rsidR="00C6233A" w:rsidRDefault="00C6233A" w:rsidP="00C6233A"/>
    <w:p w:rsidR="00C6233A" w:rsidRPr="00B936FA" w:rsidRDefault="00C6233A" w:rsidP="00C6233A">
      <w:pPr>
        <w:pStyle w:val="OrderBody"/>
        <w:ind w:firstLine="720"/>
      </w:pPr>
      <w:r w:rsidRPr="00B936FA">
        <w:t>ORDERED that, if no person whose substantial interests are affected by the proposed agency action files a protest within 21 days of the issuance of the order, a Consummating Order shall be issued. This docket shall remain open for our staff to verify that: (</w:t>
      </w:r>
      <w:proofErr w:type="spellStart"/>
      <w:r w:rsidRPr="00B936FA">
        <w:t>i</w:t>
      </w:r>
      <w:proofErr w:type="spellEnd"/>
      <w:r w:rsidRPr="00B936FA">
        <w:t xml:space="preserve">) the required revised tariff sheets and customer notices have been filed by </w:t>
      </w:r>
      <w:r>
        <w:t>Sunrise Utilities, L.L.C.</w:t>
      </w:r>
      <w:r w:rsidRPr="00B936FA">
        <w:t xml:space="preserve"> and approved by our staff; (ii) </w:t>
      </w:r>
      <w:r>
        <w:t>Sunrise Utilities, L.L.C.</w:t>
      </w:r>
      <w:r w:rsidRPr="00B936FA">
        <w:t xml:space="preserve"> has adjusted its books</w:t>
      </w:r>
      <w:r>
        <w:t xml:space="preserve"> </w:t>
      </w:r>
      <w:r w:rsidRPr="00002494">
        <w:t>for all the applicable NARUC USOA primary accounts</w:t>
      </w:r>
      <w:r w:rsidRPr="00B936FA">
        <w:t xml:space="preserve">; (iii) </w:t>
      </w:r>
      <w:r>
        <w:t>Sunrise Utilities, L.L.C.</w:t>
      </w:r>
      <w:r w:rsidRPr="00B936FA">
        <w:t xml:space="preserve"> has </w:t>
      </w:r>
      <w:r w:rsidR="00397B2D" w:rsidRPr="00002494">
        <w:t>adjusted its customer deposit records and all deposit amounts that may be owed to customers have been properly refunded</w:t>
      </w:r>
      <w:r w:rsidRPr="00B936FA">
        <w:t xml:space="preserve">; and (iv) </w:t>
      </w:r>
      <w:r>
        <w:t>Sunrise Utilities, L.L.C. has filed the monthly status reports outlined in this Order</w:t>
      </w:r>
      <w:r w:rsidRPr="00B936FA">
        <w:t>. Once these actions are complete, this docket shall be closed administratively.  It is further</w:t>
      </w:r>
    </w:p>
    <w:p w:rsidR="00C6233A" w:rsidRDefault="00C6233A" w:rsidP="00C6233A">
      <w:pPr>
        <w:pStyle w:val="OrderBody"/>
        <w:ind w:firstLine="720"/>
      </w:pPr>
    </w:p>
    <w:p w:rsidR="002D1B8E" w:rsidRDefault="00C6233A" w:rsidP="002D1B8E">
      <w:pPr>
        <w:pStyle w:val="OrderBody"/>
        <w:ind w:firstLine="720"/>
      </w:pPr>
      <w:r w:rsidRPr="00B936FA">
        <w:rPr>
          <w:color w:val="000000"/>
        </w:rPr>
        <w:t>ORDERED that upon the issuance of the Consummating Order in this docket</w:t>
      </w:r>
      <w:r w:rsidRPr="00B936FA">
        <w:t>, the surety bond</w:t>
      </w:r>
      <w:r w:rsidR="002D1B8E">
        <w:t>, if any,</w:t>
      </w:r>
      <w:r w:rsidRPr="00B936FA">
        <w:t xml:space="preserve"> shall be released.</w:t>
      </w:r>
    </w:p>
    <w:p w:rsidR="002D1B8E" w:rsidRDefault="002D1B8E" w:rsidP="002D1B8E">
      <w:pPr>
        <w:pStyle w:val="OrderBody"/>
        <w:ind w:firstLine="720"/>
      </w:pPr>
    </w:p>
    <w:p w:rsidR="002D1B8E" w:rsidRDefault="002D1B8E">
      <w:r>
        <w:br w:type="page"/>
      </w:r>
    </w:p>
    <w:p w:rsidR="002D1B8E" w:rsidRDefault="00FB23DB" w:rsidP="002D1B8E">
      <w:pPr>
        <w:pStyle w:val="OrderBody"/>
        <w:ind w:firstLine="720"/>
      </w:pPr>
      <w:r>
        <w:lastRenderedPageBreak/>
        <w:t xml:space="preserve">By ORDER of the Florida Public Service Commission this </w:t>
      </w:r>
      <w:bookmarkStart w:id="8" w:name="replaceDate"/>
      <w:bookmarkEnd w:id="8"/>
      <w:r w:rsidR="00AC3B23">
        <w:rPr>
          <w:u w:val="single"/>
        </w:rPr>
        <w:t>28th</w:t>
      </w:r>
      <w:r w:rsidR="00AC3B23">
        <w:t xml:space="preserve"> day of </w:t>
      </w:r>
      <w:r w:rsidR="00AC3B23">
        <w:rPr>
          <w:u w:val="single"/>
        </w:rPr>
        <w:t>March</w:t>
      </w:r>
      <w:r w:rsidR="00AC3B23">
        <w:t xml:space="preserve">, </w:t>
      </w:r>
      <w:r w:rsidR="00AC3B23">
        <w:rPr>
          <w:u w:val="single"/>
        </w:rPr>
        <w:t>2016</w:t>
      </w:r>
      <w:r w:rsidR="00AC3B23">
        <w:t>.</w:t>
      </w:r>
    </w:p>
    <w:p w:rsidR="00AC3B23" w:rsidRDefault="00AC3B23" w:rsidP="002D1B8E">
      <w:pPr>
        <w:pStyle w:val="OrderBody"/>
        <w:ind w:firstLine="720"/>
      </w:pPr>
    </w:p>
    <w:p w:rsidR="00AC3B23" w:rsidRDefault="00AC3B23" w:rsidP="002D1B8E">
      <w:pPr>
        <w:pStyle w:val="OrderBody"/>
        <w:ind w:firstLine="720"/>
      </w:pPr>
    </w:p>
    <w:p w:rsidR="00AC3B23" w:rsidRPr="00AC3B23" w:rsidRDefault="00AC3B23" w:rsidP="002D1B8E">
      <w:pPr>
        <w:pStyle w:val="OrderBody"/>
        <w:ind w:firstLine="720"/>
      </w:pPr>
    </w:p>
    <w:tbl>
      <w:tblPr>
        <w:tblW w:w="4720" w:type="dxa"/>
        <w:tblInd w:w="3800" w:type="dxa"/>
        <w:tblLayout w:type="fixed"/>
        <w:tblLook w:val="0000" w:firstRow="0" w:lastRow="0" w:firstColumn="0" w:lastColumn="0" w:noHBand="0" w:noVBand="0"/>
      </w:tblPr>
      <w:tblGrid>
        <w:gridCol w:w="686"/>
        <w:gridCol w:w="4034"/>
      </w:tblGrid>
      <w:tr w:rsidR="00FB23DB" w:rsidTr="002D1B8E">
        <w:tc>
          <w:tcPr>
            <w:tcW w:w="686" w:type="dxa"/>
            <w:shd w:val="clear" w:color="auto" w:fill="auto"/>
          </w:tcPr>
          <w:p w:rsidR="00FB23DB" w:rsidRDefault="00FB23DB" w:rsidP="002D1B8E">
            <w:pPr>
              <w:pStyle w:val="OrderBody"/>
              <w:keepNext/>
              <w:keepLines/>
            </w:pPr>
            <w:bookmarkStart w:id="9" w:name="bkmrkSignature" w:colFirst="0" w:colLast="0"/>
          </w:p>
        </w:tc>
        <w:tc>
          <w:tcPr>
            <w:tcW w:w="4034" w:type="dxa"/>
            <w:tcBorders>
              <w:bottom w:val="single" w:sz="4" w:space="0" w:color="auto"/>
            </w:tcBorders>
            <w:shd w:val="clear" w:color="auto" w:fill="auto"/>
          </w:tcPr>
          <w:p w:rsidR="00FB23DB" w:rsidRDefault="00AC3B23" w:rsidP="002D1B8E">
            <w:pPr>
              <w:pStyle w:val="OrderBody"/>
              <w:keepNext/>
              <w:keepLines/>
            </w:pPr>
            <w:r>
              <w:t>/s/ Carlotta S. Stauffer</w:t>
            </w:r>
          </w:p>
        </w:tc>
      </w:tr>
      <w:bookmarkEnd w:id="9"/>
      <w:tr w:rsidR="00FB23DB" w:rsidTr="002D1B8E">
        <w:tc>
          <w:tcPr>
            <w:tcW w:w="686" w:type="dxa"/>
            <w:shd w:val="clear" w:color="auto" w:fill="auto"/>
          </w:tcPr>
          <w:p w:rsidR="00FB23DB" w:rsidRDefault="00FB23DB" w:rsidP="002D1B8E">
            <w:pPr>
              <w:pStyle w:val="OrderBody"/>
              <w:keepNext/>
              <w:keepLines/>
            </w:pPr>
          </w:p>
        </w:tc>
        <w:tc>
          <w:tcPr>
            <w:tcW w:w="4034" w:type="dxa"/>
            <w:tcBorders>
              <w:top w:val="single" w:sz="4" w:space="0" w:color="auto"/>
            </w:tcBorders>
            <w:shd w:val="clear" w:color="auto" w:fill="auto"/>
          </w:tcPr>
          <w:p w:rsidR="00FB23DB" w:rsidRDefault="00FB23DB" w:rsidP="002D1B8E">
            <w:pPr>
              <w:pStyle w:val="OrderBody"/>
              <w:keepNext/>
              <w:keepLines/>
            </w:pPr>
            <w:r>
              <w:t>CARLOTTA S. STAUFFER</w:t>
            </w:r>
          </w:p>
          <w:p w:rsidR="00FB23DB" w:rsidRDefault="00FB23DB" w:rsidP="002D1B8E">
            <w:pPr>
              <w:pStyle w:val="OrderBody"/>
              <w:keepNext/>
              <w:keepLines/>
            </w:pPr>
            <w:r>
              <w:t>Commission Clerk</w:t>
            </w:r>
          </w:p>
        </w:tc>
      </w:tr>
    </w:tbl>
    <w:p w:rsidR="00FB23DB" w:rsidRDefault="00FB23DB" w:rsidP="002D1B8E">
      <w:pPr>
        <w:pStyle w:val="OrderSigInfo"/>
        <w:keepNext/>
        <w:keepLines/>
      </w:pPr>
      <w:r>
        <w:t>Florida Public Service Commission</w:t>
      </w:r>
    </w:p>
    <w:p w:rsidR="00FB23DB" w:rsidRDefault="00FB23DB" w:rsidP="002D1B8E">
      <w:pPr>
        <w:pStyle w:val="OrderSigInfo"/>
        <w:keepNext/>
        <w:keepLines/>
      </w:pPr>
      <w:r>
        <w:t>2540 Shumard Oak Boulevard</w:t>
      </w:r>
    </w:p>
    <w:p w:rsidR="00FB23DB" w:rsidRDefault="00FB23DB" w:rsidP="002D1B8E">
      <w:pPr>
        <w:pStyle w:val="OrderSigInfo"/>
        <w:keepNext/>
        <w:keepLines/>
      </w:pPr>
      <w:r>
        <w:t>Tallahassee, Florida  32399</w:t>
      </w:r>
    </w:p>
    <w:p w:rsidR="00FB23DB" w:rsidRDefault="00FB23DB" w:rsidP="002D1B8E">
      <w:pPr>
        <w:pStyle w:val="OrderSigInfo"/>
        <w:keepNext/>
        <w:keepLines/>
      </w:pPr>
      <w:r>
        <w:t>(850) 413</w:t>
      </w:r>
      <w:r>
        <w:noBreakHyphen/>
        <w:t>6770</w:t>
      </w:r>
    </w:p>
    <w:p w:rsidR="00FB23DB" w:rsidRDefault="00FB23DB" w:rsidP="002D1B8E">
      <w:pPr>
        <w:pStyle w:val="OrderSigInfo"/>
        <w:keepNext/>
        <w:keepLines/>
      </w:pPr>
      <w:r>
        <w:t>www.floridapsc.com</w:t>
      </w:r>
    </w:p>
    <w:p w:rsidR="00FB23DB" w:rsidRDefault="00FB23DB" w:rsidP="002D1B8E">
      <w:pPr>
        <w:pStyle w:val="OrderSigInfo"/>
        <w:keepNext/>
        <w:keepLines/>
      </w:pPr>
    </w:p>
    <w:p w:rsidR="00FB23DB" w:rsidRDefault="00FB23DB" w:rsidP="002D1B8E">
      <w:pPr>
        <w:pStyle w:val="OrderSigInfo"/>
        <w:keepNext/>
        <w:keepLines/>
      </w:pPr>
      <w:r>
        <w:t>Copies furnished:  A copy of this document is provided to the parties of record at the time of issuance and, if applicable, interested persons.</w:t>
      </w:r>
    </w:p>
    <w:p w:rsidR="00FB23DB" w:rsidRDefault="00FB23DB" w:rsidP="002D1B8E">
      <w:pPr>
        <w:pStyle w:val="OrderBody"/>
        <w:keepNext/>
        <w:keepLines/>
      </w:pPr>
    </w:p>
    <w:p w:rsidR="00FB23DB" w:rsidRDefault="00FB23DB" w:rsidP="002D1B8E">
      <w:pPr>
        <w:pStyle w:val="OrderBody"/>
        <w:keepNext/>
        <w:keepLines/>
      </w:pPr>
      <w:r>
        <w:t>KFC</w:t>
      </w:r>
    </w:p>
    <w:p w:rsidR="003A5858" w:rsidRDefault="003A5858">
      <w:r>
        <w:br w:type="page"/>
      </w:r>
    </w:p>
    <w:p w:rsidR="00FB23DB" w:rsidRDefault="00FB23DB" w:rsidP="00FB23DB">
      <w:pPr>
        <w:pStyle w:val="OrderBody"/>
      </w:pPr>
    </w:p>
    <w:p w:rsidR="00FB23DB" w:rsidRDefault="00FB23DB" w:rsidP="00FB23DB">
      <w:pPr>
        <w:pStyle w:val="OrderBody"/>
      </w:pPr>
    </w:p>
    <w:p w:rsidR="00FB23DB" w:rsidRDefault="00FB23DB" w:rsidP="00FB23DB">
      <w:pPr>
        <w:pStyle w:val="CenterUnderline"/>
      </w:pPr>
      <w:r>
        <w:t>NOTICE OF FURTHER PROCEEDINGS OR JUDICIAL REVIEW</w:t>
      </w:r>
    </w:p>
    <w:p w:rsidR="00FB23DB" w:rsidRDefault="00FB23DB" w:rsidP="00FB23DB">
      <w:pPr>
        <w:pStyle w:val="CenterUnderline"/>
        <w:rPr>
          <w:u w:val="none"/>
        </w:rPr>
      </w:pPr>
    </w:p>
    <w:p w:rsidR="00FB23DB" w:rsidRDefault="00FB23DB" w:rsidP="00FB23D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B23DB" w:rsidRDefault="00FB23DB" w:rsidP="00FB23DB">
      <w:pPr>
        <w:pStyle w:val="OrderBody"/>
      </w:pPr>
    </w:p>
    <w:p w:rsidR="00373762" w:rsidRDefault="00FB23DB" w:rsidP="00373762">
      <w:pPr>
        <w:pStyle w:val="OrderBody"/>
      </w:pPr>
      <w:r>
        <w:tab/>
      </w:r>
      <w:r w:rsidR="00373762" w:rsidRPr="007676EC">
        <w:t xml:space="preserve">As identified in the body of this order, </w:t>
      </w:r>
      <w:r w:rsidR="00373762">
        <w:t>t</w:t>
      </w:r>
      <w:r w:rsidR="00397B2D">
        <w:t>he action</w:t>
      </w:r>
      <w:r w:rsidR="00373762">
        <w:t>s</w:t>
      </w:r>
      <w:r w:rsidR="00397B2D">
        <w:t xml:space="preserve"> proposed herein </w:t>
      </w:r>
      <w:r w:rsidR="00373762">
        <w:t>are</w:t>
      </w:r>
      <w:r w:rsidR="00397B2D">
        <w:t xml:space="preserve"> preliminary in nature</w:t>
      </w:r>
      <w:r w:rsidR="00373762">
        <w:t xml:space="preserve">, except </w:t>
      </w:r>
      <w:r w:rsidR="00FD238F">
        <w:t>the</w:t>
      </w:r>
      <w:r w:rsidR="00373762">
        <w:t xml:space="preserve"> decisions regarding (1) </w:t>
      </w:r>
      <w:r w:rsidR="00373762" w:rsidRPr="00B936FA">
        <w:t xml:space="preserve">the granting of temporary rates in the event of protest, </w:t>
      </w:r>
      <w:r w:rsidR="00373762">
        <w:t xml:space="preserve">(2) </w:t>
      </w:r>
      <w:r w:rsidR="00373762" w:rsidRPr="00B936FA">
        <w:t xml:space="preserve">the reduction for rate case expense, and </w:t>
      </w:r>
      <w:r w:rsidR="00373762">
        <w:t xml:space="preserve">(3) </w:t>
      </w:r>
      <w:r w:rsidR="00373762" w:rsidRPr="00B936FA">
        <w:t xml:space="preserve">the proof of adjustment </w:t>
      </w:r>
      <w:r w:rsidR="00373762">
        <w:t xml:space="preserve">to NARUC USOC accounts, which are final agency action. </w:t>
      </w:r>
      <w:r w:rsidR="00397B2D">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C3B23">
        <w:rPr>
          <w:u w:val="single"/>
        </w:rPr>
        <w:t>April 18, 2016</w:t>
      </w:r>
      <w:r w:rsidR="00397B2D">
        <w:t>.</w:t>
      </w:r>
      <w:r w:rsidR="00373762">
        <w:t xml:space="preserve">  </w:t>
      </w:r>
    </w:p>
    <w:p w:rsidR="00373762" w:rsidRDefault="00373762" w:rsidP="00373762">
      <w:pPr>
        <w:pStyle w:val="OrderBody"/>
      </w:pPr>
    </w:p>
    <w:p w:rsidR="00FB23DB" w:rsidRDefault="00373762" w:rsidP="00FD238F">
      <w:pPr>
        <w:pStyle w:val="OrderBody"/>
        <w:ind w:firstLine="720"/>
      </w:pPr>
      <w:r>
        <w:t>If such a petition is filed, mediation may be available on a case-by-case basis.  If mediation is conducted, it does not affect a substantially interested person's right to a hearing.</w:t>
      </w:r>
      <w:r w:rsidR="00FD238F">
        <w:t xml:space="preserve">  </w:t>
      </w:r>
      <w:r w:rsidR="00FB23DB">
        <w:t>In the absence of such a petition, this order shall become final and effective upon the issuance of a Consummating Order.</w:t>
      </w:r>
    </w:p>
    <w:p w:rsidR="00FB23DB" w:rsidRDefault="00FB23DB" w:rsidP="00FB23DB">
      <w:pPr>
        <w:pStyle w:val="OrderBody"/>
      </w:pPr>
    </w:p>
    <w:p w:rsidR="00FB23DB" w:rsidRDefault="00FB23DB" w:rsidP="00FB23DB">
      <w:pPr>
        <w:pStyle w:val="OrderBody"/>
      </w:pPr>
      <w:r>
        <w:tab/>
        <w:t>Any objection or protest filed in this/these docket(s) before the issuance date of this order is considered abandoned unless it satisfies the foregoing conditions and is renewed within the specified protest period.</w:t>
      </w:r>
    </w:p>
    <w:p w:rsidR="00FB23DB" w:rsidRDefault="00FB23DB" w:rsidP="00FB23DB">
      <w:pPr>
        <w:pStyle w:val="OrderBody"/>
      </w:pPr>
    </w:p>
    <w:p w:rsidR="00373762" w:rsidRDefault="00373762" w:rsidP="00373762">
      <w:pPr>
        <w:jc w:val="both"/>
      </w:pPr>
      <w:r>
        <w:tab/>
      </w:r>
      <w:r w:rsidRPr="007676EC">
        <w:t>Any party adversely affected by the Commission's final action in this matter may request: (1) reconsideration of the decision by filing a motion for reconsideration with the Office of Commission Clerk, within fifteen (15</w:t>
      </w:r>
      <w:r>
        <w:t>) days of the issuance of this O</w:t>
      </w:r>
      <w:r w:rsidRPr="007676EC">
        <w:t>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w:t>
      </w:r>
      <w:r>
        <w:t>ays after the issuance of this O</w:t>
      </w:r>
      <w:r w:rsidRPr="007676EC">
        <w:t>rder, pursuant to Rule 9.110, Florida Rules of Appellate Proced</w:t>
      </w:r>
      <w:r>
        <w:t xml:space="preserve">ure.  The notice of appeal must </w:t>
      </w:r>
      <w:r w:rsidRPr="007676EC">
        <w:t>be in the form specified in Rule 9.900(a), Flori</w:t>
      </w:r>
      <w:r>
        <w:t>da Rules of Appellate Procedure.</w:t>
      </w:r>
    </w:p>
    <w:p w:rsidR="00373762" w:rsidRDefault="00373762" w:rsidP="00FB23DB">
      <w:pPr>
        <w:pStyle w:val="OrderBody"/>
        <w:sectPr w:rsidR="00373762">
          <w:headerReference w:type="default" r:id="rId9"/>
          <w:footerReference w:type="first" r:id="rId10"/>
          <w:pgSz w:w="12240" w:h="15840" w:code="1"/>
          <w:pgMar w:top="1440" w:right="1440" w:bottom="1440" w:left="1440" w:header="720" w:footer="720" w:gutter="0"/>
          <w:cols w:space="720"/>
          <w:titlePg/>
          <w:docGrid w:linePitch="360"/>
        </w:sectPr>
      </w:pPr>
    </w:p>
    <w:tbl>
      <w:tblPr>
        <w:tblW w:w="9376" w:type="dxa"/>
        <w:jc w:val="center"/>
        <w:tblInd w:w="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76"/>
        <w:gridCol w:w="3812"/>
        <w:gridCol w:w="238"/>
        <w:gridCol w:w="1491"/>
        <w:gridCol w:w="129"/>
        <w:gridCol w:w="736"/>
        <w:gridCol w:w="974"/>
        <w:gridCol w:w="1620"/>
      </w:tblGrid>
      <w:tr w:rsidR="00796932" w:rsidRPr="00F52F8B" w:rsidTr="00796932">
        <w:trPr>
          <w:trHeight w:val="301"/>
          <w:jc w:val="center"/>
        </w:trPr>
        <w:tc>
          <w:tcPr>
            <w:tcW w:w="376" w:type="dxa"/>
            <w:shd w:val="clear" w:color="auto" w:fill="auto"/>
            <w:noWrap/>
            <w:vAlign w:val="bottom"/>
          </w:tcPr>
          <w:p w:rsidR="00796932" w:rsidRPr="00572F00" w:rsidRDefault="00796932" w:rsidP="00796932">
            <w:pPr>
              <w:rPr>
                <w:rFonts w:ascii="SWISS" w:hAnsi="SWISS" w:cs="Arial"/>
                <w:color w:val="000000"/>
                <w:sz w:val="20"/>
                <w:szCs w:val="20"/>
              </w:rPr>
            </w:pPr>
            <w:r w:rsidRPr="00572F00">
              <w:rPr>
                <w:rFonts w:ascii="SWISS" w:hAnsi="SWISS" w:cs="Arial"/>
                <w:color w:val="000000"/>
                <w:sz w:val="20"/>
                <w:szCs w:val="20"/>
              </w:rPr>
              <w:lastRenderedPageBreak/>
              <w:t> </w:t>
            </w:r>
          </w:p>
        </w:tc>
        <w:tc>
          <w:tcPr>
            <w:tcW w:w="5541" w:type="dxa"/>
            <w:gridSpan w:val="3"/>
            <w:shd w:val="clear" w:color="auto" w:fill="auto"/>
            <w:noWrap/>
            <w:vAlign w:val="bottom"/>
          </w:tcPr>
          <w:p w:rsidR="00796932" w:rsidRPr="00162A11" w:rsidRDefault="00796932" w:rsidP="00796932">
            <w:pPr>
              <w:rPr>
                <w:rFonts w:ascii="SWISS" w:hAnsi="SWISS" w:cs="Arial"/>
                <w:color w:val="000000"/>
                <w:sz w:val="20"/>
                <w:szCs w:val="20"/>
              </w:rPr>
            </w:pPr>
            <w:r w:rsidRPr="00162A11">
              <w:rPr>
                <w:rFonts w:ascii="SWISS" w:hAnsi="SWISS" w:cs="Arial"/>
                <w:b/>
                <w:bCs/>
                <w:color w:val="000000"/>
                <w:sz w:val="20"/>
                <w:szCs w:val="20"/>
              </w:rPr>
              <w:t>SUNRISE UTILITIES, LLC</w:t>
            </w:r>
            <w:r>
              <w:rPr>
                <w:rFonts w:ascii="SWISS" w:hAnsi="SWISS" w:cs="Arial"/>
                <w:b/>
                <w:bCs/>
                <w:color w:val="000000"/>
                <w:sz w:val="20"/>
                <w:szCs w:val="20"/>
              </w:rPr>
              <w:t>.</w:t>
            </w:r>
          </w:p>
        </w:tc>
        <w:tc>
          <w:tcPr>
            <w:tcW w:w="3459" w:type="dxa"/>
            <w:gridSpan w:val="4"/>
            <w:shd w:val="clear" w:color="auto" w:fill="auto"/>
            <w:noWrap/>
            <w:vAlign w:val="bottom"/>
          </w:tcPr>
          <w:p w:rsidR="00796932" w:rsidRPr="00F52F8B" w:rsidRDefault="00796932" w:rsidP="00796932">
            <w:pPr>
              <w:jc w:val="right"/>
              <w:rPr>
                <w:sz w:val="20"/>
                <w:szCs w:val="20"/>
              </w:rPr>
            </w:pPr>
            <w:r w:rsidRPr="00F52F8B">
              <w:rPr>
                <w:rFonts w:ascii="SWISS" w:hAnsi="SWISS" w:cs="Arial"/>
                <w:b/>
                <w:bCs/>
                <w:color w:val="000000"/>
                <w:sz w:val="20"/>
                <w:szCs w:val="20"/>
              </w:rPr>
              <w:t>SCHEDULE NO. 1-A</w:t>
            </w:r>
            <w:r w:rsidR="00953FEE" w:rsidRPr="00F52F8B">
              <w:rPr>
                <w:sz w:val="20"/>
                <w:szCs w:val="20"/>
              </w:rPr>
              <w:fldChar w:fldCharType="begin"/>
            </w:r>
            <w:r w:rsidRPr="00F52F8B">
              <w:rPr>
                <w:sz w:val="20"/>
                <w:szCs w:val="20"/>
              </w:rPr>
              <w:instrText xml:space="preserve"> TC "</w:instrText>
            </w:r>
            <w:bookmarkStart w:id="11" w:name="_Toc442874087"/>
            <w:r w:rsidRPr="00F52F8B">
              <w:rPr>
                <w:sz w:val="20"/>
                <w:szCs w:val="20"/>
              </w:rPr>
              <w:tab/>
            </w:r>
            <w:bookmarkStart w:id="12" w:name="_Toc418142432"/>
            <w:bookmarkStart w:id="13" w:name="_Toc443551998"/>
            <w:r w:rsidRPr="00F52F8B">
              <w:rPr>
                <w:sz w:val="20"/>
                <w:szCs w:val="20"/>
              </w:rPr>
              <w:instrText>Schedule No. 1-A Water Rate Base</w:instrText>
            </w:r>
            <w:bookmarkEnd w:id="11"/>
            <w:bookmarkEnd w:id="12"/>
            <w:bookmarkEnd w:id="13"/>
            <w:r w:rsidRPr="00F52F8B">
              <w:rPr>
                <w:sz w:val="20"/>
                <w:szCs w:val="20"/>
              </w:rPr>
              <w:instrText xml:space="preserve">”l 1 </w:instrText>
            </w:r>
            <w:r w:rsidR="00953FEE" w:rsidRPr="00F52F8B">
              <w:rPr>
                <w:sz w:val="20"/>
                <w:szCs w:val="20"/>
              </w:rPr>
              <w:fldChar w:fldCharType="end"/>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3812" w:type="dxa"/>
            <w:shd w:val="clear" w:color="auto" w:fill="auto"/>
            <w:noWrap/>
            <w:vAlign w:val="bottom"/>
          </w:tcPr>
          <w:p w:rsidR="00796932" w:rsidRPr="00162A11" w:rsidRDefault="00796932" w:rsidP="00796932">
            <w:pPr>
              <w:rPr>
                <w:rFonts w:ascii="SWISS" w:hAnsi="SWISS" w:cs="Arial"/>
                <w:b/>
                <w:bCs/>
                <w:color w:val="000000"/>
                <w:sz w:val="20"/>
                <w:szCs w:val="20"/>
              </w:rPr>
            </w:pPr>
            <w:r w:rsidRPr="00162A11">
              <w:rPr>
                <w:rFonts w:ascii="SWISS" w:hAnsi="SWISS" w:cs="Arial"/>
                <w:b/>
                <w:bCs/>
                <w:color w:val="000000"/>
                <w:sz w:val="20"/>
                <w:szCs w:val="20"/>
              </w:rPr>
              <w:t>TEST YEAR ENDED  12/31/14</w:t>
            </w:r>
          </w:p>
        </w:tc>
        <w:tc>
          <w:tcPr>
            <w:tcW w:w="2594" w:type="dxa"/>
            <w:gridSpan w:val="4"/>
            <w:shd w:val="clear" w:color="auto" w:fill="auto"/>
            <w:noWrap/>
            <w:vAlign w:val="bottom"/>
          </w:tcPr>
          <w:p w:rsidR="00796932" w:rsidRPr="00F52F8B" w:rsidRDefault="00796932" w:rsidP="00796932">
            <w:pPr>
              <w:rPr>
                <w:rFonts w:ascii="SWISS" w:hAnsi="SWISS" w:cs="Arial"/>
                <w:color w:val="000000"/>
                <w:sz w:val="20"/>
                <w:szCs w:val="20"/>
              </w:rPr>
            </w:pPr>
          </w:p>
        </w:tc>
        <w:tc>
          <w:tcPr>
            <w:tcW w:w="2594" w:type="dxa"/>
            <w:gridSpan w:val="2"/>
            <w:shd w:val="clear" w:color="auto" w:fill="auto"/>
            <w:noWrap/>
            <w:vAlign w:val="bottom"/>
          </w:tcPr>
          <w:p w:rsidR="00796932" w:rsidRPr="00F52F8B" w:rsidRDefault="00796932" w:rsidP="00796932">
            <w:pPr>
              <w:jc w:val="right"/>
              <w:rPr>
                <w:rFonts w:ascii="SWISS" w:hAnsi="SWISS" w:cs="Arial"/>
                <w:b/>
                <w:bCs/>
                <w:color w:val="000000"/>
                <w:sz w:val="20"/>
                <w:szCs w:val="20"/>
              </w:rPr>
            </w:pPr>
            <w:r>
              <w:rPr>
                <w:rFonts w:ascii="SWISS" w:hAnsi="SWISS" w:cs="Arial"/>
                <w:b/>
                <w:bCs/>
                <w:color w:val="000000"/>
                <w:sz w:val="20"/>
                <w:szCs w:val="20"/>
              </w:rPr>
              <w:t>DOCKET NO. 140220-WU</w:t>
            </w:r>
          </w:p>
        </w:tc>
      </w:tr>
      <w:tr w:rsidR="00796932" w:rsidRPr="00F52F8B" w:rsidTr="00796932">
        <w:trPr>
          <w:trHeight w:val="301"/>
          <w:jc w:val="center"/>
        </w:trPr>
        <w:tc>
          <w:tcPr>
            <w:tcW w:w="376" w:type="dxa"/>
            <w:tcBorders>
              <w:bottom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5670" w:type="dxa"/>
            <w:gridSpan w:val="4"/>
            <w:tcBorders>
              <w:bottom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b/>
                <w:bCs/>
                <w:color w:val="000000"/>
                <w:sz w:val="20"/>
                <w:szCs w:val="20"/>
              </w:rPr>
              <w:t>SCHEDULE OF WATER RATE BASE</w:t>
            </w:r>
          </w:p>
        </w:tc>
        <w:tc>
          <w:tcPr>
            <w:tcW w:w="1710" w:type="dxa"/>
            <w:gridSpan w:val="2"/>
            <w:tcBorders>
              <w:bottom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tcBorders>
              <w:bottom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p>
        </w:tc>
      </w:tr>
      <w:tr w:rsidR="00796932" w:rsidRPr="00F52F8B" w:rsidTr="00796932">
        <w:trPr>
          <w:trHeight w:val="301"/>
          <w:jc w:val="center"/>
        </w:trPr>
        <w:tc>
          <w:tcPr>
            <w:tcW w:w="376" w:type="dxa"/>
            <w:tcBorders>
              <w:top w:val="single" w:sz="12" w:space="0" w:color="000000"/>
              <w:bottom w:val="nil"/>
            </w:tcBorders>
            <w:shd w:val="clear" w:color="auto" w:fill="auto"/>
            <w:noWrap/>
            <w:vAlign w:val="bottom"/>
          </w:tcPr>
          <w:p w:rsidR="00796932" w:rsidRPr="00F52F8B" w:rsidRDefault="00796932" w:rsidP="00796932">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single" w:sz="12" w:space="0" w:color="000000"/>
              <w:bottom w:val="nil"/>
            </w:tcBorders>
            <w:shd w:val="clear" w:color="auto" w:fill="auto"/>
            <w:noWrap/>
            <w:vAlign w:val="bottom"/>
          </w:tcPr>
          <w:p w:rsidR="00796932" w:rsidRPr="00F52F8B" w:rsidRDefault="00796932" w:rsidP="00796932">
            <w:pPr>
              <w:rPr>
                <w:rFonts w:ascii="SWISS" w:hAnsi="SWISS" w:cs="Arial"/>
                <w:b/>
                <w:color w:val="000000"/>
                <w:sz w:val="20"/>
                <w:szCs w:val="20"/>
              </w:rPr>
            </w:pPr>
            <w:r w:rsidRPr="00F52F8B">
              <w:rPr>
                <w:rFonts w:ascii="SWISS" w:hAnsi="SWISS" w:cs="Arial"/>
                <w:b/>
                <w:color w:val="000000"/>
                <w:sz w:val="20"/>
                <w:szCs w:val="20"/>
              </w:rPr>
              <w:t> </w:t>
            </w:r>
          </w:p>
        </w:tc>
        <w:tc>
          <w:tcPr>
            <w:tcW w:w="1620" w:type="dxa"/>
            <w:gridSpan w:val="2"/>
            <w:tcBorders>
              <w:top w:val="single" w:sz="12" w:space="0" w:color="000000"/>
              <w:bottom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BALANCE</w:t>
            </w:r>
          </w:p>
        </w:tc>
        <w:tc>
          <w:tcPr>
            <w:tcW w:w="1710" w:type="dxa"/>
            <w:gridSpan w:val="2"/>
            <w:tcBorders>
              <w:top w:val="single" w:sz="12" w:space="0" w:color="000000"/>
              <w:bottom w:val="nil"/>
            </w:tcBorders>
            <w:shd w:val="clear" w:color="auto" w:fill="auto"/>
            <w:noWrap/>
            <w:vAlign w:val="bottom"/>
          </w:tcPr>
          <w:p w:rsidR="00796932" w:rsidRPr="00F52F8B" w:rsidRDefault="00526BF4" w:rsidP="00796932">
            <w:pPr>
              <w:jc w:val="center"/>
              <w:rPr>
                <w:rFonts w:ascii="SWISS" w:hAnsi="SWISS" w:cs="Arial"/>
                <w:b/>
                <w:bCs/>
                <w:color w:val="000000"/>
                <w:sz w:val="20"/>
                <w:szCs w:val="20"/>
              </w:rPr>
            </w:pPr>
            <w:r>
              <w:rPr>
                <w:rFonts w:ascii="SWISS" w:hAnsi="SWISS" w:cs="Arial"/>
                <w:b/>
                <w:bCs/>
                <w:color w:val="000000"/>
                <w:sz w:val="20"/>
                <w:szCs w:val="20"/>
              </w:rPr>
              <w:t>COMMISSION</w:t>
            </w:r>
          </w:p>
        </w:tc>
        <w:tc>
          <w:tcPr>
            <w:tcW w:w="1620" w:type="dxa"/>
            <w:tcBorders>
              <w:top w:val="single" w:sz="12" w:space="0" w:color="000000"/>
              <w:bottom w:val="nil"/>
            </w:tcBorders>
            <w:shd w:val="clear" w:color="auto" w:fill="auto"/>
            <w:noWrap/>
            <w:vAlign w:val="bottom"/>
          </w:tcPr>
          <w:p w:rsidR="00796932" w:rsidRPr="00F52F8B" w:rsidRDefault="00E73CE2" w:rsidP="00796932">
            <w:pPr>
              <w:jc w:val="center"/>
              <w:rPr>
                <w:rFonts w:ascii="SWISS" w:hAnsi="SWISS" w:cs="Arial"/>
                <w:b/>
                <w:bCs/>
                <w:color w:val="000000"/>
                <w:sz w:val="20"/>
                <w:szCs w:val="20"/>
              </w:rPr>
            </w:pPr>
            <w:r>
              <w:rPr>
                <w:rFonts w:ascii="SWISS" w:hAnsi="SWISS" w:cs="Arial"/>
                <w:b/>
                <w:bCs/>
                <w:color w:val="000000"/>
                <w:sz w:val="20"/>
                <w:szCs w:val="20"/>
              </w:rPr>
              <w:t>COMMISSION</w:t>
            </w:r>
          </w:p>
        </w:tc>
      </w:tr>
      <w:tr w:rsidR="00796932" w:rsidRPr="00F52F8B" w:rsidTr="00796932">
        <w:trPr>
          <w:trHeight w:val="301"/>
          <w:jc w:val="center"/>
        </w:trPr>
        <w:tc>
          <w:tcPr>
            <w:tcW w:w="376" w:type="dxa"/>
            <w:tcBorders>
              <w:top w:val="nil"/>
              <w:bottom w:val="nil"/>
            </w:tcBorders>
            <w:shd w:val="clear" w:color="auto" w:fill="auto"/>
            <w:noWrap/>
            <w:vAlign w:val="bottom"/>
          </w:tcPr>
          <w:p w:rsidR="00796932" w:rsidRPr="00F52F8B" w:rsidRDefault="00796932" w:rsidP="00796932">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nil"/>
              <w:bottom w:val="nil"/>
            </w:tcBorders>
            <w:shd w:val="clear" w:color="auto" w:fill="auto"/>
            <w:noWrap/>
            <w:vAlign w:val="bottom"/>
          </w:tcPr>
          <w:p w:rsidR="00796932" w:rsidRPr="00F52F8B" w:rsidRDefault="00796932" w:rsidP="00796932">
            <w:pPr>
              <w:rPr>
                <w:rFonts w:ascii="SWISS" w:hAnsi="SWISS" w:cs="Arial"/>
                <w:b/>
                <w:color w:val="000000"/>
              </w:rPr>
            </w:pPr>
          </w:p>
        </w:tc>
        <w:tc>
          <w:tcPr>
            <w:tcW w:w="1620" w:type="dxa"/>
            <w:gridSpan w:val="2"/>
            <w:tcBorders>
              <w:top w:val="nil"/>
              <w:bottom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710" w:type="dxa"/>
            <w:gridSpan w:val="2"/>
            <w:tcBorders>
              <w:top w:val="nil"/>
              <w:bottom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620" w:type="dxa"/>
            <w:tcBorders>
              <w:top w:val="nil"/>
              <w:bottom w:val="nil"/>
            </w:tcBorders>
            <w:shd w:val="clear" w:color="auto" w:fill="auto"/>
            <w:noWrap/>
            <w:vAlign w:val="bottom"/>
          </w:tcPr>
          <w:p w:rsidR="00796932" w:rsidRPr="00F52F8B" w:rsidRDefault="00E73CE2" w:rsidP="00E73CE2">
            <w:pPr>
              <w:jc w:val="center"/>
              <w:rPr>
                <w:rFonts w:ascii="SWISS" w:hAnsi="SWISS" w:cs="Arial"/>
                <w:b/>
                <w:bCs/>
                <w:color w:val="000000"/>
                <w:sz w:val="20"/>
                <w:szCs w:val="20"/>
              </w:rPr>
            </w:pPr>
            <w:r>
              <w:rPr>
                <w:rFonts w:ascii="SWISS" w:hAnsi="SWISS" w:cs="Arial"/>
                <w:b/>
                <w:bCs/>
                <w:color w:val="000000"/>
                <w:sz w:val="20"/>
                <w:szCs w:val="20"/>
              </w:rPr>
              <w:t>APPROVED</w:t>
            </w:r>
          </w:p>
        </w:tc>
      </w:tr>
      <w:tr w:rsidR="00796932" w:rsidRPr="00F52F8B" w:rsidTr="00796932">
        <w:trPr>
          <w:trHeight w:val="301"/>
          <w:jc w:val="center"/>
        </w:trPr>
        <w:tc>
          <w:tcPr>
            <w:tcW w:w="376" w:type="dxa"/>
            <w:tcBorders>
              <w:top w:val="nil"/>
              <w:bottom w:val="single" w:sz="12" w:space="0" w:color="000000"/>
            </w:tcBorders>
            <w:shd w:val="clear" w:color="auto" w:fill="auto"/>
            <w:noWrap/>
            <w:vAlign w:val="bottom"/>
          </w:tcPr>
          <w:p w:rsidR="00796932" w:rsidRPr="00F52F8B" w:rsidRDefault="00796932" w:rsidP="00796932">
            <w:pPr>
              <w:rPr>
                <w:rFonts w:ascii="SWISS" w:hAnsi="SWISS" w:cs="Arial"/>
                <w:b/>
                <w:color w:val="000000"/>
                <w:sz w:val="20"/>
                <w:szCs w:val="20"/>
              </w:rPr>
            </w:pPr>
            <w:r w:rsidRPr="00F52F8B">
              <w:rPr>
                <w:rFonts w:ascii="SWISS" w:hAnsi="SWISS" w:cs="Arial"/>
                <w:b/>
                <w:color w:val="000000"/>
                <w:sz w:val="20"/>
                <w:szCs w:val="20"/>
              </w:rPr>
              <w:t> </w:t>
            </w:r>
          </w:p>
        </w:tc>
        <w:tc>
          <w:tcPr>
            <w:tcW w:w="4050" w:type="dxa"/>
            <w:gridSpan w:val="2"/>
            <w:tcBorders>
              <w:top w:val="nil"/>
              <w:bottom w:val="single" w:sz="12" w:space="0" w:color="000000"/>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DESCRIPTION</w:t>
            </w:r>
          </w:p>
        </w:tc>
        <w:tc>
          <w:tcPr>
            <w:tcW w:w="1620" w:type="dxa"/>
            <w:gridSpan w:val="2"/>
            <w:tcBorders>
              <w:top w:val="nil"/>
              <w:bottom w:val="single" w:sz="12" w:space="0" w:color="000000"/>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710" w:type="dxa"/>
            <w:gridSpan w:val="2"/>
            <w:tcBorders>
              <w:top w:val="nil"/>
              <w:bottom w:val="single" w:sz="12" w:space="0" w:color="000000"/>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TO UTIL. BAL.</w:t>
            </w:r>
          </w:p>
        </w:tc>
        <w:tc>
          <w:tcPr>
            <w:tcW w:w="1620" w:type="dxa"/>
            <w:tcBorders>
              <w:top w:val="nil"/>
              <w:bottom w:val="single" w:sz="12" w:space="0" w:color="000000"/>
            </w:tcBorders>
            <w:shd w:val="clear" w:color="auto" w:fill="auto"/>
            <w:noWrap/>
            <w:vAlign w:val="bottom"/>
          </w:tcPr>
          <w:p w:rsidR="00796932" w:rsidRPr="00F52F8B" w:rsidRDefault="00E73CE2" w:rsidP="00796932">
            <w:pPr>
              <w:jc w:val="center"/>
              <w:rPr>
                <w:rFonts w:ascii="SWISS" w:hAnsi="SWISS" w:cs="Arial"/>
                <w:b/>
                <w:bCs/>
                <w:color w:val="000000"/>
                <w:sz w:val="20"/>
                <w:szCs w:val="20"/>
              </w:rPr>
            </w:pPr>
            <w:r>
              <w:rPr>
                <w:rFonts w:ascii="SWISS" w:hAnsi="SWISS" w:cs="Arial"/>
                <w:b/>
                <w:bCs/>
                <w:color w:val="000000"/>
                <w:sz w:val="20"/>
                <w:szCs w:val="20"/>
              </w:rPr>
              <w:t>BALANCE</w:t>
            </w:r>
          </w:p>
        </w:tc>
      </w:tr>
      <w:tr w:rsidR="00796932" w:rsidRPr="00F52F8B" w:rsidTr="00796932">
        <w:trPr>
          <w:trHeight w:val="357"/>
          <w:jc w:val="center"/>
        </w:trPr>
        <w:tc>
          <w:tcPr>
            <w:tcW w:w="376" w:type="dxa"/>
            <w:tcBorders>
              <w:top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tcBorders>
              <w:top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tcBorders>
              <w:top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tcBorders>
              <w:top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620" w:type="dxa"/>
            <w:tcBorders>
              <w:top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1.</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UTILITY PLANT IN SERVICE</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124</w:t>
            </w:r>
            <w:r w:rsidRPr="00F52F8B">
              <w:rPr>
                <w:rFonts w:ascii="SWISS" w:hAnsi="SWISS" w:cs="Arial"/>
                <w:color w:val="000000"/>
                <w:sz w:val="20"/>
                <w:szCs w:val="20"/>
              </w:rPr>
              <w:t>,</w:t>
            </w:r>
            <w:r>
              <w:rPr>
                <w:rFonts w:ascii="SWISS" w:hAnsi="SWISS" w:cs="Arial"/>
                <w:color w:val="000000"/>
                <w:sz w:val="20"/>
                <w:szCs w:val="20"/>
              </w:rPr>
              <w:t>367</w:t>
            </w:r>
            <w:r w:rsidRPr="00F52F8B">
              <w:rPr>
                <w:rFonts w:ascii="SWISS" w:hAnsi="SWISS" w:cs="Arial"/>
                <w:color w:val="000000"/>
                <w:sz w:val="20"/>
                <w:szCs w:val="20"/>
              </w:rPr>
              <w:t xml:space="preserve"> </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w:t>
            </w:r>
            <w:r w:rsidRPr="00F52F8B">
              <w:rPr>
                <w:rFonts w:ascii="SWISS" w:hAnsi="SWISS" w:cs="Arial"/>
                <w:color w:val="000000"/>
                <w:sz w:val="20"/>
                <w:szCs w:val="20"/>
              </w:rPr>
              <w:t>$</w:t>
            </w:r>
            <w:r>
              <w:rPr>
                <w:rFonts w:ascii="SWISS" w:hAnsi="SWISS" w:cs="Arial"/>
                <w:color w:val="000000"/>
                <w:sz w:val="20"/>
                <w:szCs w:val="20"/>
              </w:rPr>
              <w:t>1</w:t>
            </w:r>
            <w:r w:rsidRPr="00F52F8B">
              <w:rPr>
                <w:rFonts w:ascii="SWISS" w:hAnsi="SWISS" w:cs="Arial"/>
                <w:color w:val="000000"/>
                <w:sz w:val="20"/>
                <w:szCs w:val="20"/>
              </w:rPr>
              <w:t>5,</w:t>
            </w:r>
            <w:r>
              <w:rPr>
                <w:rFonts w:ascii="SWISS" w:hAnsi="SWISS" w:cs="Arial"/>
                <w:color w:val="000000"/>
                <w:sz w:val="20"/>
                <w:szCs w:val="20"/>
              </w:rPr>
              <w:t>067)</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109</w:t>
            </w:r>
            <w:r w:rsidRPr="00F52F8B">
              <w:rPr>
                <w:rFonts w:ascii="SWISS" w:hAnsi="SWISS" w:cs="Arial"/>
                <w:color w:val="000000"/>
                <w:sz w:val="20"/>
                <w:szCs w:val="20"/>
              </w:rPr>
              <w:t>,</w:t>
            </w:r>
            <w:r>
              <w:rPr>
                <w:rFonts w:ascii="SWISS" w:hAnsi="SWISS" w:cs="Arial"/>
                <w:color w:val="000000"/>
                <w:sz w:val="20"/>
                <w:szCs w:val="20"/>
              </w:rPr>
              <w:t>300</w:t>
            </w:r>
            <w:r w:rsidRPr="00F52F8B">
              <w:rPr>
                <w:rFonts w:ascii="SWISS" w:hAnsi="SWISS" w:cs="Arial"/>
                <w:color w:val="000000"/>
                <w:sz w:val="20"/>
                <w:szCs w:val="20"/>
              </w:rPr>
              <w:t xml:space="preserve"> </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2.</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LAND &amp; LAND RIGHTS</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553</w:t>
            </w:r>
            <w:r w:rsidRPr="00F52F8B">
              <w:rPr>
                <w:rFonts w:ascii="SWISS" w:hAnsi="SWISS" w:cs="Arial"/>
                <w:color w:val="000000"/>
                <w:sz w:val="20"/>
                <w:szCs w:val="20"/>
              </w:rPr>
              <w:t xml:space="preserve"> </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5</w:t>
            </w:r>
            <w:r>
              <w:rPr>
                <w:rFonts w:ascii="SWISS" w:hAnsi="SWISS" w:cs="Arial"/>
                <w:color w:val="000000"/>
                <w:sz w:val="20"/>
                <w:szCs w:val="20"/>
              </w:rPr>
              <w:t>53</w:t>
            </w:r>
            <w:r w:rsidRPr="00F52F8B">
              <w:rPr>
                <w:rFonts w:ascii="SWISS" w:hAnsi="SWISS" w:cs="Arial"/>
                <w:color w:val="000000"/>
                <w:sz w:val="20"/>
                <w:szCs w:val="20"/>
              </w:rPr>
              <w:t xml:space="preserve"> </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3.</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NON-USED AND USEFUL COMPONENTS</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xml:space="preserve">0 </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xml:space="preserve">0 </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4.</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CIAC</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5</w:t>
            </w:r>
            <w:r w:rsidRPr="00F52F8B">
              <w:rPr>
                <w:rFonts w:ascii="SWISS" w:hAnsi="SWISS" w:cs="Arial"/>
                <w:color w:val="000000"/>
                <w:sz w:val="20"/>
                <w:szCs w:val="20"/>
              </w:rPr>
              <w:t>,</w:t>
            </w:r>
            <w:r>
              <w:rPr>
                <w:rFonts w:ascii="SWISS" w:hAnsi="SWISS" w:cs="Arial"/>
                <w:color w:val="000000"/>
                <w:sz w:val="20"/>
                <w:szCs w:val="20"/>
              </w:rPr>
              <w:t>168</w:t>
            </w:r>
            <w:r w:rsidRPr="00F52F8B">
              <w:rPr>
                <w:rFonts w:ascii="SWISS" w:hAnsi="SWISS" w:cs="Arial"/>
                <w:color w:val="000000"/>
                <w:sz w:val="20"/>
                <w:szCs w:val="20"/>
              </w:rPr>
              <w:t>)</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(7,225)</w:t>
            </w:r>
            <w:r w:rsidRPr="00F52F8B">
              <w:rPr>
                <w:rFonts w:ascii="SWISS" w:hAnsi="SWISS" w:cs="Arial"/>
                <w:color w:val="000000"/>
                <w:sz w:val="20"/>
                <w:szCs w:val="20"/>
              </w:rPr>
              <w:t xml:space="preserve"> </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(1</w:t>
            </w:r>
            <w:r>
              <w:rPr>
                <w:rFonts w:ascii="SWISS" w:hAnsi="SWISS" w:cs="Arial"/>
                <w:color w:val="000000"/>
                <w:sz w:val="20"/>
                <w:szCs w:val="20"/>
              </w:rPr>
              <w:t>2</w:t>
            </w:r>
            <w:r w:rsidRPr="00F52F8B">
              <w:rPr>
                <w:rFonts w:ascii="SWISS" w:hAnsi="SWISS" w:cs="Arial"/>
                <w:color w:val="000000"/>
                <w:sz w:val="20"/>
                <w:szCs w:val="20"/>
              </w:rPr>
              <w:t>,</w:t>
            </w:r>
            <w:r>
              <w:rPr>
                <w:rFonts w:ascii="SWISS" w:hAnsi="SWISS" w:cs="Arial"/>
                <w:color w:val="000000"/>
                <w:sz w:val="20"/>
                <w:szCs w:val="20"/>
              </w:rPr>
              <w:t>393</w:t>
            </w:r>
            <w:r w:rsidRPr="00F52F8B">
              <w:rPr>
                <w:rFonts w:ascii="SWISS" w:hAnsi="SWISS" w:cs="Arial"/>
                <w:color w:val="000000"/>
                <w:sz w:val="20"/>
                <w:szCs w:val="20"/>
              </w:rPr>
              <w:t>)</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p>
        </w:tc>
      </w:tr>
      <w:tr w:rsidR="00796932" w:rsidRPr="00F52F8B" w:rsidTr="00796932">
        <w:trPr>
          <w:trHeight w:val="313"/>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5.</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ACCUMULATED DEPRECIATION</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68</w:t>
            </w:r>
            <w:r w:rsidRPr="00F52F8B">
              <w:rPr>
                <w:rFonts w:ascii="SWISS" w:hAnsi="SWISS" w:cs="Arial"/>
                <w:color w:val="000000"/>
                <w:sz w:val="20"/>
                <w:szCs w:val="20"/>
              </w:rPr>
              <w:t>,</w:t>
            </w:r>
            <w:r>
              <w:rPr>
                <w:rFonts w:ascii="SWISS" w:hAnsi="SWISS" w:cs="Arial"/>
                <w:color w:val="000000"/>
                <w:sz w:val="20"/>
                <w:szCs w:val="20"/>
              </w:rPr>
              <w:t>952</w:t>
            </w:r>
            <w:r w:rsidRPr="00F52F8B">
              <w:rPr>
                <w:rFonts w:ascii="SWISS" w:hAnsi="SWISS" w:cs="Arial"/>
                <w:color w:val="000000"/>
                <w:sz w:val="20"/>
                <w:szCs w:val="20"/>
              </w:rPr>
              <w:t>)</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535</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w:t>
            </w:r>
            <w:r>
              <w:rPr>
                <w:rFonts w:ascii="SWISS" w:hAnsi="SWISS" w:cs="Arial"/>
                <w:color w:val="000000"/>
                <w:sz w:val="20"/>
                <w:szCs w:val="20"/>
              </w:rPr>
              <w:t>68</w:t>
            </w:r>
            <w:r w:rsidRPr="00F52F8B">
              <w:rPr>
                <w:rFonts w:ascii="SWISS" w:hAnsi="SWISS" w:cs="Arial"/>
                <w:color w:val="000000"/>
                <w:sz w:val="20"/>
                <w:szCs w:val="20"/>
              </w:rPr>
              <w:t>,</w:t>
            </w:r>
            <w:r>
              <w:rPr>
                <w:rFonts w:ascii="SWISS" w:hAnsi="SWISS" w:cs="Arial"/>
                <w:color w:val="000000"/>
                <w:sz w:val="20"/>
                <w:szCs w:val="20"/>
              </w:rPr>
              <w:t>417</w:t>
            </w:r>
            <w:r w:rsidRPr="00F52F8B">
              <w:rPr>
                <w:rFonts w:ascii="SWISS" w:hAnsi="SWISS" w:cs="Arial"/>
                <w:color w:val="000000"/>
                <w:sz w:val="20"/>
                <w:szCs w:val="20"/>
              </w:rPr>
              <w:t>)</w:t>
            </w:r>
          </w:p>
        </w:tc>
      </w:tr>
      <w:tr w:rsidR="00796932" w:rsidRPr="00F52F8B" w:rsidTr="00796932">
        <w:trPr>
          <w:trHeight w:val="313"/>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p>
        </w:tc>
      </w:tr>
      <w:tr w:rsidR="00796932" w:rsidRPr="00F52F8B" w:rsidTr="00796932">
        <w:trPr>
          <w:trHeight w:val="313"/>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6.</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AMORTIZATION OF CIAC</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5</w:t>
            </w:r>
            <w:r w:rsidRPr="00F52F8B">
              <w:rPr>
                <w:rFonts w:ascii="SWISS" w:hAnsi="SWISS" w:cs="Arial"/>
                <w:color w:val="000000"/>
                <w:sz w:val="20"/>
                <w:szCs w:val="20"/>
              </w:rPr>
              <w:t>,</w:t>
            </w:r>
            <w:r>
              <w:rPr>
                <w:rFonts w:ascii="SWISS" w:hAnsi="SWISS" w:cs="Arial"/>
                <w:color w:val="000000"/>
                <w:sz w:val="20"/>
                <w:szCs w:val="20"/>
              </w:rPr>
              <w:t>168</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7,225</w:t>
            </w:r>
            <w:r w:rsidRPr="00F52F8B">
              <w:rPr>
                <w:rFonts w:ascii="SWISS" w:hAnsi="SWISS" w:cs="Arial"/>
                <w:color w:val="000000"/>
                <w:sz w:val="20"/>
                <w:szCs w:val="20"/>
              </w:rPr>
              <w:t xml:space="preserve"> </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1</w:t>
            </w:r>
            <w:r>
              <w:rPr>
                <w:rFonts w:ascii="SWISS" w:hAnsi="SWISS" w:cs="Arial"/>
                <w:color w:val="000000"/>
                <w:sz w:val="20"/>
                <w:szCs w:val="20"/>
              </w:rPr>
              <w:t>2</w:t>
            </w:r>
            <w:r w:rsidRPr="00F52F8B">
              <w:rPr>
                <w:rFonts w:ascii="SWISS" w:hAnsi="SWISS" w:cs="Arial"/>
                <w:color w:val="000000"/>
                <w:sz w:val="20"/>
                <w:szCs w:val="20"/>
              </w:rPr>
              <w:t>,</w:t>
            </w:r>
            <w:r>
              <w:rPr>
                <w:rFonts w:ascii="SWISS" w:hAnsi="SWISS" w:cs="Arial"/>
                <w:color w:val="000000"/>
                <w:sz w:val="20"/>
                <w:szCs w:val="20"/>
              </w:rPr>
              <w:t>393</w:t>
            </w:r>
            <w:r w:rsidRPr="00F52F8B">
              <w:rPr>
                <w:rFonts w:ascii="SWISS" w:hAnsi="SWISS" w:cs="Arial"/>
                <w:color w:val="000000"/>
                <w:sz w:val="20"/>
                <w:szCs w:val="20"/>
              </w:rPr>
              <w:t xml:space="preserve"> </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7.</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WORKING CAPITAL ALLOWANCE</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u w:val="single"/>
              </w:rPr>
            </w:pPr>
            <w:r w:rsidRPr="00F52F8B">
              <w:rPr>
                <w:rFonts w:ascii="SWISS" w:hAnsi="SWISS" w:cs="Arial"/>
                <w:color w:val="000000"/>
                <w:sz w:val="20"/>
                <w:szCs w:val="20"/>
                <w:u w:val="single"/>
              </w:rPr>
              <w:t xml:space="preserve">0 </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u w:val="single"/>
              </w:rPr>
            </w:pPr>
            <w:r>
              <w:rPr>
                <w:rFonts w:ascii="SWISS" w:hAnsi="SWISS" w:cs="Arial"/>
                <w:color w:val="000000"/>
                <w:sz w:val="20"/>
                <w:szCs w:val="20"/>
                <w:u w:val="single"/>
              </w:rPr>
              <w:t>8,337</w:t>
            </w:r>
            <w:r w:rsidRPr="00F52F8B">
              <w:rPr>
                <w:rFonts w:ascii="SWISS" w:hAnsi="SWISS" w:cs="Arial"/>
                <w:color w:val="000000"/>
                <w:sz w:val="20"/>
                <w:szCs w:val="20"/>
                <w:u w:val="single"/>
              </w:rPr>
              <w:t xml:space="preserve"> </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u w:val="single"/>
              </w:rPr>
            </w:pPr>
            <w:r>
              <w:rPr>
                <w:rFonts w:ascii="SWISS" w:hAnsi="SWISS" w:cs="Arial"/>
                <w:color w:val="000000"/>
                <w:sz w:val="20"/>
                <w:szCs w:val="20"/>
                <w:u w:val="single"/>
              </w:rPr>
              <w:t>8,337</w:t>
            </w:r>
            <w:r w:rsidRPr="00F52F8B">
              <w:rPr>
                <w:rFonts w:ascii="SWISS" w:hAnsi="SWISS" w:cs="Arial"/>
                <w:color w:val="000000"/>
                <w:sz w:val="20"/>
                <w:szCs w:val="20"/>
                <w:u w:val="single"/>
              </w:rPr>
              <w:t xml:space="preserve"> </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rPr>
            </w:pP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8.</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WATER RATE BASE</w:t>
            </w:r>
          </w:p>
        </w:tc>
        <w:tc>
          <w:tcPr>
            <w:tcW w:w="1620" w:type="dxa"/>
            <w:gridSpan w:val="2"/>
            <w:shd w:val="clear" w:color="auto" w:fill="auto"/>
            <w:noWrap/>
            <w:vAlign w:val="bottom"/>
          </w:tcPr>
          <w:p w:rsidR="00796932" w:rsidRPr="00F52F8B" w:rsidRDefault="00796932" w:rsidP="00796932">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5</w:t>
            </w:r>
            <w:r w:rsidRPr="00F52F8B">
              <w:rPr>
                <w:rFonts w:ascii="SWISS" w:hAnsi="SWISS" w:cs="Arial"/>
                <w:color w:val="000000"/>
                <w:sz w:val="20"/>
                <w:szCs w:val="20"/>
                <w:u w:val="double"/>
              </w:rPr>
              <w:t>5,</w:t>
            </w:r>
            <w:r>
              <w:rPr>
                <w:rFonts w:ascii="SWISS" w:hAnsi="SWISS" w:cs="Arial"/>
                <w:color w:val="000000"/>
                <w:sz w:val="20"/>
                <w:szCs w:val="20"/>
                <w:u w:val="double"/>
              </w:rPr>
              <w:t>415</w:t>
            </w:r>
            <w:r w:rsidRPr="00F52F8B">
              <w:rPr>
                <w:rFonts w:ascii="SWISS" w:hAnsi="SWISS" w:cs="Arial"/>
                <w:color w:val="000000"/>
                <w:sz w:val="20"/>
                <w:szCs w:val="20"/>
                <w:u w:val="double"/>
              </w:rPr>
              <w:t xml:space="preserve"> </w:t>
            </w:r>
          </w:p>
        </w:tc>
        <w:tc>
          <w:tcPr>
            <w:tcW w:w="1710" w:type="dxa"/>
            <w:gridSpan w:val="2"/>
            <w:shd w:val="clear" w:color="auto" w:fill="auto"/>
            <w:noWrap/>
            <w:vAlign w:val="bottom"/>
          </w:tcPr>
          <w:p w:rsidR="00796932" w:rsidRPr="00F52F8B" w:rsidRDefault="00796932" w:rsidP="00796932">
            <w:pPr>
              <w:jc w:val="right"/>
              <w:rPr>
                <w:rFonts w:ascii="SWISS" w:hAnsi="SWISS" w:cs="Arial"/>
                <w:color w:val="000000"/>
                <w:sz w:val="20"/>
                <w:szCs w:val="20"/>
                <w:u w:val="double"/>
              </w:rPr>
            </w:pPr>
            <w:r>
              <w:rPr>
                <w:rFonts w:ascii="SWISS" w:hAnsi="SWISS" w:cs="Arial"/>
                <w:color w:val="000000"/>
                <w:sz w:val="20"/>
                <w:szCs w:val="20"/>
                <w:u w:val="double"/>
              </w:rPr>
              <w:t>(</w:t>
            </w:r>
            <w:r w:rsidRPr="00F52F8B">
              <w:rPr>
                <w:rFonts w:ascii="SWISS" w:hAnsi="SWISS" w:cs="Arial"/>
                <w:color w:val="000000"/>
                <w:sz w:val="20"/>
                <w:szCs w:val="20"/>
                <w:u w:val="double"/>
              </w:rPr>
              <w:t>$</w:t>
            </w:r>
            <w:r>
              <w:rPr>
                <w:rFonts w:ascii="SWISS" w:hAnsi="SWISS" w:cs="Arial"/>
                <w:color w:val="000000"/>
                <w:sz w:val="20"/>
                <w:szCs w:val="20"/>
                <w:u w:val="double"/>
              </w:rPr>
              <w:t>5,642)</w:t>
            </w:r>
          </w:p>
        </w:tc>
        <w:tc>
          <w:tcPr>
            <w:tcW w:w="1620" w:type="dxa"/>
            <w:shd w:val="clear" w:color="auto" w:fill="auto"/>
            <w:noWrap/>
            <w:vAlign w:val="bottom"/>
          </w:tcPr>
          <w:p w:rsidR="00796932" w:rsidRPr="00F52F8B" w:rsidRDefault="00796932" w:rsidP="00796932">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49</w:t>
            </w:r>
            <w:r w:rsidRPr="00F52F8B">
              <w:rPr>
                <w:rFonts w:ascii="SWISS" w:hAnsi="SWISS" w:cs="Arial"/>
                <w:color w:val="000000"/>
                <w:sz w:val="20"/>
                <w:szCs w:val="20"/>
                <w:u w:val="double"/>
              </w:rPr>
              <w:t>,</w:t>
            </w:r>
            <w:r>
              <w:rPr>
                <w:rFonts w:ascii="SWISS" w:hAnsi="SWISS" w:cs="Arial"/>
                <w:color w:val="000000"/>
                <w:sz w:val="20"/>
                <w:szCs w:val="20"/>
                <w:u w:val="double"/>
              </w:rPr>
              <w:t>773</w:t>
            </w:r>
            <w:r w:rsidRPr="00F52F8B">
              <w:rPr>
                <w:rFonts w:ascii="SWISS" w:hAnsi="SWISS" w:cs="Arial"/>
                <w:color w:val="000000"/>
                <w:sz w:val="20"/>
                <w:szCs w:val="20"/>
                <w:u w:val="double"/>
              </w:rPr>
              <w:t xml:space="preserve"> </w:t>
            </w:r>
          </w:p>
        </w:tc>
      </w:tr>
      <w:tr w:rsidR="00796932" w:rsidRPr="00F52F8B" w:rsidTr="00796932">
        <w:trPr>
          <w:trHeight w:val="301"/>
          <w:jc w:val="center"/>
        </w:trPr>
        <w:tc>
          <w:tcPr>
            <w:tcW w:w="376"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405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62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710" w:type="dxa"/>
            <w:gridSpan w:val="2"/>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620" w:type="dxa"/>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bl>
    <w:p w:rsidR="00FB23DB" w:rsidRDefault="00FB23DB" w:rsidP="00FB23DB">
      <w:pPr>
        <w:pStyle w:val="OrderBody"/>
      </w:pPr>
    </w:p>
    <w:p w:rsidR="00796932" w:rsidRDefault="00796932" w:rsidP="00FB23DB">
      <w:pPr>
        <w:pStyle w:val="OrderBody"/>
        <w:sectPr w:rsidR="00796932">
          <w:headerReference w:type="first" r:id="rId11"/>
          <w:pgSz w:w="12240" w:h="15840" w:code="1"/>
          <w:pgMar w:top="1440" w:right="1440" w:bottom="1440" w:left="1440" w:header="720" w:footer="720" w:gutter="0"/>
          <w:cols w:space="720"/>
          <w:titlePg/>
          <w:docGrid w:linePitch="360"/>
        </w:sectPr>
      </w:pPr>
    </w:p>
    <w:tbl>
      <w:tblPr>
        <w:tblW w:w="10079" w:type="dxa"/>
        <w:jc w:val="center"/>
        <w:tblLook w:val="0000" w:firstRow="0" w:lastRow="0" w:firstColumn="0" w:lastColumn="0" w:noHBand="0" w:noVBand="0"/>
      </w:tblPr>
      <w:tblGrid>
        <w:gridCol w:w="482"/>
        <w:gridCol w:w="6843"/>
        <w:gridCol w:w="2754"/>
      </w:tblGrid>
      <w:tr w:rsidR="00796932" w:rsidRPr="00F52F8B" w:rsidTr="00796932">
        <w:trPr>
          <w:trHeight w:val="264"/>
          <w:jc w:val="center"/>
        </w:trPr>
        <w:tc>
          <w:tcPr>
            <w:tcW w:w="482" w:type="dxa"/>
            <w:tcBorders>
              <w:top w:val="single" w:sz="12" w:space="0" w:color="000000"/>
              <w:left w:val="single" w:sz="12" w:space="0" w:color="000000"/>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lastRenderedPageBreak/>
              <w:t> </w:t>
            </w:r>
          </w:p>
        </w:tc>
        <w:tc>
          <w:tcPr>
            <w:tcW w:w="6843" w:type="dxa"/>
            <w:tcBorders>
              <w:top w:val="single" w:sz="12" w:space="0" w:color="000000"/>
              <w:left w:val="nil"/>
              <w:bottom w:val="nil"/>
              <w:right w:val="nil"/>
            </w:tcBorders>
            <w:shd w:val="clear" w:color="auto" w:fill="auto"/>
            <w:noWrap/>
            <w:vAlign w:val="bottom"/>
          </w:tcPr>
          <w:p w:rsidR="00796932" w:rsidRPr="00162A11" w:rsidRDefault="00796932" w:rsidP="00796932">
            <w:pPr>
              <w:rPr>
                <w:rFonts w:ascii="SWISS" w:hAnsi="SWISS" w:cs="Arial"/>
                <w:color w:val="000000"/>
                <w:sz w:val="20"/>
                <w:szCs w:val="20"/>
              </w:rPr>
            </w:pPr>
            <w:r w:rsidRPr="00162A11">
              <w:rPr>
                <w:rFonts w:ascii="SWISS" w:hAnsi="SWISS" w:cs="Arial"/>
                <w:b/>
                <w:bCs/>
                <w:color w:val="000000"/>
                <w:sz w:val="20"/>
                <w:szCs w:val="20"/>
              </w:rPr>
              <w:t>SUNRISE UTILITIES, LLC</w:t>
            </w:r>
            <w:r>
              <w:rPr>
                <w:rFonts w:ascii="SWISS" w:hAnsi="SWISS" w:cs="Arial"/>
                <w:b/>
                <w:bCs/>
                <w:color w:val="000000"/>
                <w:sz w:val="20"/>
                <w:szCs w:val="20"/>
              </w:rPr>
              <w:t>.</w:t>
            </w:r>
          </w:p>
        </w:tc>
        <w:tc>
          <w:tcPr>
            <w:tcW w:w="2754" w:type="dxa"/>
            <w:tcBorders>
              <w:top w:val="single" w:sz="12" w:space="0" w:color="000000"/>
              <w:left w:val="nil"/>
              <w:bottom w:val="nil"/>
              <w:right w:val="single" w:sz="12" w:space="0" w:color="000000"/>
            </w:tcBorders>
            <w:shd w:val="clear" w:color="auto" w:fill="auto"/>
            <w:noWrap/>
            <w:vAlign w:val="bottom"/>
          </w:tcPr>
          <w:p w:rsidR="00796932" w:rsidRPr="00F52F8B" w:rsidRDefault="00796932" w:rsidP="00796932">
            <w:pPr>
              <w:rPr>
                <w:rFonts w:ascii="SWISS" w:hAnsi="SWISS" w:cs="Arial"/>
                <w:b/>
                <w:bCs/>
                <w:color w:val="000000"/>
                <w:sz w:val="20"/>
                <w:szCs w:val="20"/>
              </w:rPr>
            </w:pPr>
            <w:r>
              <w:rPr>
                <w:rFonts w:ascii="SWISS" w:hAnsi="SWISS" w:cs="Arial"/>
                <w:b/>
                <w:bCs/>
                <w:color w:val="000000"/>
                <w:sz w:val="20"/>
                <w:szCs w:val="20"/>
              </w:rPr>
              <w:t xml:space="preserve">             </w:t>
            </w:r>
            <w:r w:rsidRPr="00F52F8B">
              <w:rPr>
                <w:rFonts w:ascii="SWISS" w:hAnsi="SWISS" w:cs="Arial"/>
                <w:b/>
                <w:bCs/>
                <w:color w:val="000000"/>
                <w:sz w:val="20"/>
                <w:szCs w:val="20"/>
              </w:rPr>
              <w:t>SCHEDULE NO. 1-B</w:t>
            </w:r>
            <w:r w:rsidR="00953FEE" w:rsidRPr="00F52F8B">
              <w:rPr>
                <w:sz w:val="20"/>
                <w:szCs w:val="20"/>
              </w:rPr>
              <w:fldChar w:fldCharType="begin"/>
            </w:r>
            <w:r w:rsidRPr="00F52F8B">
              <w:rPr>
                <w:sz w:val="20"/>
                <w:szCs w:val="20"/>
              </w:rPr>
              <w:instrText xml:space="preserve"> TC "</w:instrText>
            </w:r>
            <w:bookmarkStart w:id="14" w:name="_Toc442874088"/>
            <w:r w:rsidRPr="00F52F8B">
              <w:rPr>
                <w:sz w:val="20"/>
                <w:szCs w:val="20"/>
              </w:rPr>
              <w:tab/>
            </w:r>
            <w:bookmarkStart w:id="15" w:name="_Toc418142433"/>
            <w:bookmarkStart w:id="16" w:name="_Toc443551999"/>
            <w:r w:rsidRPr="00F52F8B">
              <w:rPr>
                <w:sz w:val="20"/>
                <w:szCs w:val="20"/>
              </w:rPr>
              <w:instrText>Schedule No. 1-B Adjustments to Rate Base</w:instrText>
            </w:r>
            <w:bookmarkEnd w:id="14"/>
            <w:bookmarkEnd w:id="15"/>
            <w:bookmarkEnd w:id="16"/>
            <w:r w:rsidRPr="00F52F8B">
              <w:rPr>
                <w:sz w:val="20"/>
                <w:szCs w:val="20"/>
              </w:rPr>
              <w:instrText xml:space="preserve">”\l 1 </w:instrText>
            </w:r>
            <w:r w:rsidR="00953FEE" w:rsidRPr="00F52F8B">
              <w:rPr>
                <w:sz w:val="20"/>
                <w:szCs w:val="20"/>
              </w:rPr>
              <w:fldChar w:fldCharType="end"/>
            </w:r>
          </w:p>
        </w:tc>
      </w:tr>
      <w:tr w:rsidR="00796932" w:rsidRPr="00F52F8B" w:rsidTr="00796932">
        <w:trPr>
          <w:trHeight w:val="264"/>
          <w:jc w:val="center"/>
        </w:trPr>
        <w:tc>
          <w:tcPr>
            <w:tcW w:w="482" w:type="dxa"/>
            <w:tcBorders>
              <w:top w:val="nil"/>
              <w:left w:val="single" w:sz="12" w:space="0" w:color="000000"/>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2754" w:type="dxa"/>
            <w:tcBorders>
              <w:top w:val="nil"/>
              <w:left w:val="nil"/>
              <w:right w:val="single" w:sz="12" w:space="0" w:color="000000"/>
            </w:tcBorders>
            <w:shd w:val="clear" w:color="auto" w:fill="auto"/>
            <w:noWrap/>
            <w:vAlign w:val="center"/>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w:t>
            </w:r>
            <w:r>
              <w:rPr>
                <w:rFonts w:ascii="SWISS" w:hAnsi="SWISS" w:cs="Arial"/>
                <w:b/>
                <w:bCs/>
                <w:color w:val="000000"/>
                <w:sz w:val="20"/>
                <w:szCs w:val="20"/>
              </w:rPr>
              <w:t xml:space="preserve">. </w:t>
            </w:r>
            <w:r w:rsidRPr="00F52F8B">
              <w:rPr>
                <w:rFonts w:ascii="SWISS" w:hAnsi="SWISS" w:cs="Arial"/>
                <w:b/>
                <w:bCs/>
                <w:color w:val="000000"/>
                <w:sz w:val="20"/>
                <w:szCs w:val="20"/>
              </w:rPr>
              <w:t>1402</w:t>
            </w:r>
            <w:r>
              <w:rPr>
                <w:rFonts w:ascii="SWISS" w:hAnsi="SWISS" w:cs="Arial"/>
                <w:b/>
                <w:bCs/>
                <w:color w:val="000000"/>
                <w:sz w:val="20"/>
                <w:szCs w:val="20"/>
              </w:rPr>
              <w:t>20</w:t>
            </w:r>
            <w:r w:rsidRPr="00F52F8B">
              <w:rPr>
                <w:rFonts w:ascii="SWISS" w:hAnsi="SWISS" w:cs="Arial"/>
                <w:b/>
                <w:bCs/>
                <w:color w:val="000000"/>
                <w:sz w:val="20"/>
                <w:szCs w:val="20"/>
              </w:rPr>
              <w:t>-WU</w:t>
            </w:r>
          </w:p>
        </w:tc>
      </w:tr>
      <w:tr w:rsidR="00796932" w:rsidRPr="00F52F8B" w:rsidTr="00796932">
        <w:trPr>
          <w:trHeight w:val="264"/>
          <w:jc w:val="center"/>
        </w:trPr>
        <w:tc>
          <w:tcPr>
            <w:tcW w:w="482" w:type="dxa"/>
            <w:tcBorders>
              <w:top w:val="nil"/>
              <w:left w:val="single" w:sz="12" w:space="0" w:color="000000"/>
              <w:bottom w:val="single" w:sz="12" w:space="0" w:color="000000"/>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single" w:sz="12" w:space="0" w:color="000000"/>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ADJUSTMENTS TO RATE BASE</w:t>
            </w:r>
          </w:p>
        </w:tc>
        <w:tc>
          <w:tcPr>
            <w:tcW w:w="2754" w:type="dxa"/>
            <w:tcBorders>
              <w:top w:val="nil"/>
              <w:left w:val="nil"/>
              <w:bottom w:val="single" w:sz="12" w:space="0" w:color="000000"/>
              <w:right w:val="single" w:sz="12" w:space="0" w:color="000000"/>
            </w:tcBorders>
            <w:shd w:val="clear" w:color="auto" w:fill="auto"/>
            <w:noWrap/>
            <w:vAlign w:val="bottom"/>
          </w:tcPr>
          <w:p w:rsidR="00796932" w:rsidRPr="00F52F8B" w:rsidRDefault="00796932" w:rsidP="00796932">
            <w:pPr>
              <w:rPr>
                <w:rFonts w:ascii="SWISS" w:hAnsi="SWISS" w:cs="Arial"/>
                <w:b/>
                <w:bCs/>
                <w:color w:val="000000"/>
                <w:sz w:val="20"/>
                <w:szCs w:val="20"/>
              </w:rPr>
            </w:pPr>
          </w:p>
        </w:tc>
      </w:tr>
      <w:tr w:rsidR="00796932" w:rsidRPr="00F52F8B" w:rsidTr="00796932">
        <w:trPr>
          <w:trHeight w:val="264"/>
          <w:jc w:val="center"/>
        </w:trPr>
        <w:tc>
          <w:tcPr>
            <w:tcW w:w="482" w:type="dxa"/>
            <w:tcBorders>
              <w:top w:val="single" w:sz="12" w:space="0" w:color="000000"/>
              <w:left w:val="single" w:sz="12" w:space="0" w:color="000000"/>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single" w:sz="12" w:space="0" w:color="000000"/>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p>
        </w:tc>
        <w:tc>
          <w:tcPr>
            <w:tcW w:w="2754" w:type="dxa"/>
            <w:tcBorders>
              <w:top w:val="single" w:sz="12" w:space="0" w:color="000000"/>
              <w:left w:val="nil"/>
              <w:bottom w:val="nil"/>
              <w:right w:val="single" w:sz="12" w:space="0" w:color="000000"/>
            </w:tcBorders>
            <w:shd w:val="clear" w:color="auto" w:fill="auto"/>
            <w:noWrap/>
            <w:vAlign w:val="bottom"/>
          </w:tcPr>
          <w:p w:rsidR="00796932" w:rsidRPr="00F52F8B" w:rsidRDefault="00796932" w:rsidP="00796932">
            <w:pPr>
              <w:rPr>
                <w:rFonts w:ascii="SWISS" w:hAnsi="SWISS" w:cs="Arial"/>
                <w:b/>
                <w:bCs/>
                <w:color w:val="000000"/>
                <w:sz w:val="20"/>
                <w:szCs w:val="20"/>
              </w:rPr>
            </w:pP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u w:val="single"/>
              </w:rPr>
            </w:pPr>
            <w:r w:rsidRPr="00F52F8B">
              <w:rPr>
                <w:rFonts w:ascii="SWISS" w:hAnsi="SWISS" w:cs="Arial"/>
                <w:b/>
                <w:bCs/>
                <w:color w:val="000000"/>
                <w:sz w:val="20"/>
                <w:szCs w:val="20"/>
                <w:u w:val="single"/>
              </w:rPr>
              <w:t>UTILITY PLANT IN SERVICE</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w:t>
            </w:r>
            <w:r>
              <w:rPr>
                <w:rFonts w:ascii="SWISS" w:hAnsi="SWISS" w:cs="Arial"/>
                <w:color w:val="000000"/>
                <w:sz w:val="20"/>
                <w:szCs w:val="20"/>
              </w:rPr>
              <w:t>o reflect appropriate plant in service per audit.</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rPr>
            </w:pPr>
            <w:r>
              <w:rPr>
                <w:rFonts w:ascii="SWISS" w:hAnsi="SWISS" w:cs="Arial"/>
                <w:sz w:val="20"/>
                <w:szCs w:val="20"/>
              </w:rPr>
              <w:t>(</w:t>
            </w:r>
            <w:r w:rsidRPr="00F52F8B">
              <w:rPr>
                <w:rFonts w:ascii="SWISS" w:hAnsi="SWISS" w:cs="Arial"/>
                <w:sz w:val="20"/>
                <w:szCs w:val="20"/>
              </w:rPr>
              <w:t>$</w:t>
            </w:r>
            <w:r>
              <w:rPr>
                <w:rFonts w:ascii="SWISS" w:hAnsi="SWISS" w:cs="Arial"/>
                <w:sz w:val="20"/>
                <w:szCs w:val="20"/>
              </w:rPr>
              <w:t>13</w:t>
            </w:r>
            <w:r w:rsidRPr="00F52F8B">
              <w:rPr>
                <w:rFonts w:ascii="SWISS" w:hAnsi="SWISS" w:cs="Arial"/>
                <w:sz w:val="20"/>
                <w:szCs w:val="20"/>
              </w:rPr>
              <w:t>,</w:t>
            </w:r>
            <w:r>
              <w:rPr>
                <w:rFonts w:ascii="SWISS" w:hAnsi="SWISS" w:cs="Arial"/>
                <w:sz w:val="20"/>
                <w:szCs w:val="20"/>
              </w:rPr>
              <w:t>767)</w:t>
            </w:r>
            <w:r w:rsidRPr="00F52F8B">
              <w:rPr>
                <w:rFonts w:ascii="SWISS" w:hAnsi="SWISS" w:cs="Arial"/>
                <w:sz w:val="20"/>
                <w:szCs w:val="20"/>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To reflect retirements associated with 201</w:t>
            </w:r>
            <w:r>
              <w:rPr>
                <w:rFonts w:ascii="SWISS" w:hAnsi="SWISS" w:cs="Arial"/>
                <w:color w:val="000000"/>
                <w:sz w:val="20"/>
                <w:szCs w:val="20"/>
              </w:rPr>
              <w:t>2</w:t>
            </w:r>
            <w:r w:rsidRPr="00F52F8B">
              <w:rPr>
                <w:rFonts w:ascii="SWISS" w:hAnsi="SWISS" w:cs="Arial"/>
                <w:color w:val="000000"/>
                <w:sz w:val="20"/>
                <w:szCs w:val="20"/>
              </w:rPr>
              <w:t xml:space="preserve"> and 201</w:t>
            </w:r>
            <w:r>
              <w:rPr>
                <w:rFonts w:ascii="SWISS" w:hAnsi="SWISS" w:cs="Arial"/>
                <w:color w:val="000000"/>
                <w:sz w:val="20"/>
                <w:szCs w:val="20"/>
              </w:rPr>
              <w:t>3</w:t>
            </w:r>
            <w:r w:rsidRPr="00F52F8B">
              <w:rPr>
                <w:rFonts w:ascii="SWISS" w:hAnsi="SWISS" w:cs="Arial"/>
                <w:color w:val="000000"/>
                <w:sz w:val="20"/>
                <w:szCs w:val="20"/>
              </w:rPr>
              <w:t xml:space="preserve"> plant additions.</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u w:val="single"/>
              </w:rPr>
            </w:pPr>
            <w:r w:rsidRPr="00F52F8B">
              <w:rPr>
                <w:rFonts w:ascii="SWISS" w:hAnsi="SWISS" w:cs="Arial"/>
                <w:sz w:val="20"/>
                <w:szCs w:val="20"/>
                <w:u w:val="single"/>
              </w:rPr>
              <w:t>(1,</w:t>
            </w:r>
            <w:r>
              <w:rPr>
                <w:rFonts w:ascii="SWISS" w:hAnsi="SWISS" w:cs="Arial"/>
                <w:sz w:val="20"/>
                <w:szCs w:val="20"/>
                <w:u w:val="single"/>
              </w:rPr>
              <w:t>300</w:t>
            </w:r>
            <w:r w:rsidRPr="00F52F8B">
              <w:rPr>
                <w:rFonts w:ascii="SWISS" w:hAnsi="SWISS" w:cs="Arial"/>
                <w:sz w:val="20"/>
                <w:szCs w:val="20"/>
                <w:u w:val="single"/>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 </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1</w:t>
            </w:r>
            <w:r w:rsidRPr="00F52F8B">
              <w:rPr>
                <w:rFonts w:ascii="SWISS" w:hAnsi="SWISS" w:cs="Arial"/>
                <w:sz w:val="20"/>
                <w:szCs w:val="20"/>
                <w:u w:val="double"/>
              </w:rPr>
              <w:t>5,</w:t>
            </w:r>
            <w:r>
              <w:rPr>
                <w:rFonts w:ascii="SWISS" w:hAnsi="SWISS" w:cs="Arial"/>
                <w:sz w:val="20"/>
                <w:szCs w:val="20"/>
                <w:u w:val="double"/>
              </w:rPr>
              <w:t>067)</w:t>
            </w:r>
            <w:r w:rsidRPr="00F52F8B">
              <w:rPr>
                <w:rFonts w:ascii="SWISS" w:hAnsi="SWISS" w:cs="Arial"/>
                <w:sz w:val="20"/>
                <w:szCs w:val="20"/>
                <w:u w:val="double"/>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rPr>
            </w:pP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u w:val="single"/>
              </w:rPr>
            </w:pPr>
            <w:r>
              <w:rPr>
                <w:rFonts w:ascii="SWISS" w:hAnsi="SWISS" w:cs="Arial"/>
                <w:b/>
                <w:bCs/>
                <w:color w:val="000000"/>
                <w:sz w:val="20"/>
                <w:szCs w:val="20"/>
                <w:u w:val="single"/>
              </w:rPr>
              <w:t>LAND &amp; LAND RIGHTS</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w:t>
            </w:r>
            <w:r>
              <w:rPr>
                <w:rFonts w:ascii="SWISS" w:hAnsi="SWISS" w:cs="Arial"/>
                <w:color w:val="000000"/>
                <w:sz w:val="20"/>
                <w:szCs w:val="20"/>
              </w:rPr>
              <w:t>o reflect appropriate land and land rights.</w:t>
            </w:r>
          </w:p>
        </w:tc>
        <w:tc>
          <w:tcPr>
            <w:tcW w:w="2754" w:type="dxa"/>
            <w:tcBorders>
              <w:top w:val="nil"/>
              <w:left w:val="nil"/>
              <w:bottom w:val="nil"/>
              <w:right w:val="single" w:sz="12" w:space="0" w:color="000000"/>
            </w:tcBorders>
            <w:shd w:val="clear" w:color="auto" w:fill="auto"/>
            <w:noWrap/>
            <w:vAlign w:val="bottom"/>
          </w:tcPr>
          <w:p w:rsidR="00796932" w:rsidRPr="00BF4E41" w:rsidRDefault="00796932" w:rsidP="00796932">
            <w:pPr>
              <w:jc w:val="right"/>
              <w:rPr>
                <w:rFonts w:ascii="SWISS" w:hAnsi="SWISS" w:cs="Arial"/>
                <w:sz w:val="20"/>
                <w:szCs w:val="20"/>
                <w:u w:val="double"/>
              </w:rPr>
            </w:pPr>
            <w:r w:rsidRPr="00BF4E41">
              <w:rPr>
                <w:rFonts w:ascii="SWISS" w:hAnsi="SWISS" w:cs="Arial"/>
                <w:sz w:val="20"/>
                <w:szCs w:val="20"/>
                <w:u w:val="double"/>
              </w:rPr>
              <w:t xml:space="preserve">$553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u w:val="single"/>
              </w:rPr>
            </w:pP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u w:val="single"/>
              </w:rPr>
            </w:pPr>
            <w:r>
              <w:rPr>
                <w:rFonts w:ascii="SWISS" w:hAnsi="SWISS" w:cs="Arial"/>
                <w:b/>
                <w:bCs/>
                <w:color w:val="000000"/>
                <w:sz w:val="20"/>
                <w:szCs w:val="20"/>
                <w:u w:val="single"/>
              </w:rPr>
              <w:t>CIAC</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w:t>
            </w:r>
            <w:r>
              <w:rPr>
                <w:rFonts w:ascii="SWISS" w:hAnsi="SWISS" w:cs="Arial"/>
                <w:color w:val="000000"/>
                <w:sz w:val="20"/>
                <w:szCs w:val="20"/>
              </w:rPr>
              <w:t>o reflect appropriate CIAC.</w:t>
            </w:r>
          </w:p>
        </w:tc>
        <w:tc>
          <w:tcPr>
            <w:tcW w:w="2754" w:type="dxa"/>
            <w:tcBorders>
              <w:top w:val="nil"/>
              <w:left w:val="nil"/>
              <w:bottom w:val="nil"/>
              <w:right w:val="single" w:sz="12" w:space="0" w:color="000000"/>
            </w:tcBorders>
            <w:shd w:val="clear" w:color="auto" w:fill="auto"/>
            <w:noWrap/>
            <w:vAlign w:val="bottom"/>
          </w:tcPr>
          <w:p w:rsidR="00796932" w:rsidRPr="00BF4E41" w:rsidRDefault="00796932" w:rsidP="00796932">
            <w:pPr>
              <w:jc w:val="right"/>
              <w:rPr>
                <w:rFonts w:ascii="SWISS" w:hAnsi="SWISS" w:cs="Arial"/>
                <w:sz w:val="20"/>
                <w:szCs w:val="20"/>
                <w:u w:val="double"/>
              </w:rPr>
            </w:pPr>
            <w:r>
              <w:rPr>
                <w:rFonts w:ascii="SWISS" w:hAnsi="SWISS" w:cs="Arial"/>
                <w:sz w:val="20"/>
                <w:szCs w:val="20"/>
                <w:u w:val="double"/>
              </w:rPr>
              <w:t>(</w:t>
            </w:r>
            <w:r w:rsidRPr="00BF4E41">
              <w:rPr>
                <w:rFonts w:ascii="SWISS" w:hAnsi="SWISS" w:cs="Arial"/>
                <w:sz w:val="20"/>
                <w:szCs w:val="20"/>
                <w:u w:val="double"/>
              </w:rPr>
              <w:t>$</w:t>
            </w:r>
            <w:r>
              <w:rPr>
                <w:rFonts w:ascii="SWISS" w:hAnsi="SWISS" w:cs="Arial"/>
                <w:sz w:val="20"/>
                <w:szCs w:val="20"/>
                <w:u w:val="double"/>
              </w:rPr>
              <w:t>7,225)</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u w:val="single"/>
              </w:rPr>
            </w:pP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u w:val="single"/>
              </w:rPr>
            </w:pPr>
            <w:r w:rsidRPr="00F52F8B">
              <w:rPr>
                <w:rFonts w:ascii="SWISS" w:hAnsi="SWISS" w:cs="Arial"/>
                <w:b/>
                <w:bCs/>
                <w:color w:val="000000"/>
                <w:sz w:val="20"/>
                <w:szCs w:val="20"/>
                <w:u w:val="single"/>
              </w:rPr>
              <w:t>ACCUMULATED DEPRECIATION</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To reflect accumulated depreciation per Rule 25-30.140, F.A.C.</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3</w:t>
            </w:r>
            <w:r w:rsidRPr="00F52F8B">
              <w:rPr>
                <w:rFonts w:ascii="SWISS" w:hAnsi="SWISS" w:cs="Arial"/>
                <w:sz w:val="20"/>
                <w:szCs w:val="20"/>
              </w:rPr>
              <w:t>,</w:t>
            </w:r>
            <w:r>
              <w:rPr>
                <w:rFonts w:ascii="SWISS" w:hAnsi="SWISS" w:cs="Arial"/>
                <w:sz w:val="20"/>
                <w:szCs w:val="20"/>
              </w:rPr>
              <w:t>131</w:t>
            </w:r>
            <w:r w:rsidRPr="00F52F8B">
              <w:rPr>
                <w:rFonts w:ascii="SWISS" w:hAnsi="SWISS" w:cs="Arial"/>
                <w:sz w:val="20"/>
                <w:szCs w:val="20"/>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To reflect retirements associated with 201</w:t>
            </w:r>
            <w:r>
              <w:rPr>
                <w:rFonts w:ascii="SWISS" w:hAnsi="SWISS" w:cs="Arial"/>
                <w:color w:val="000000"/>
                <w:sz w:val="20"/>
                <w:szCs w:val="20"/>
              </w:rPr>
              <w:t>2</w:t>
            </w:r>
            <w:r w:rsidRPr="00F52F8B">
              <w:rPr>
                <w:rFonts w:ascii="SWISS" w:hAnsi="SWISS" w:cs="Arial"/>
                <w:color w:val="000000"/>
                <w:sz w:val="20"/>
                <w:szCs w:val="20"/>
              </w:rPr>
              <w:t xml:space="preserve"> and 201</w:t>
            </w:r>
            <w:r>
              <w:rPr>
                <w:rFonts w:ascii="SWISS" w:hAnsi="SWISS" w:cs="Arial"/>
                <w:color w:val="000000"/>
                <w:sz w:val="20"/>
                <w:szCs w:val="20"/>
              </w:rPr>
              <w:t>3</w:t>
            </w:r>
            <w:r w:rsidRPr="00F52F8B">
              <w:rPr>
                <w:rFonts w:ascii="SWISS" w:hAnsi="SWISS" w:cs="Arial"/>
                <w:color w:val="000000"/>
                <w:sz w:val="20"/>
                <w:szCs w:val="20"/>
              </w:rPr>
              <w:t xml:space="preserve"> plant additions. </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rPr>
            </w:pPr>
            <w:r>
              <w:rPr>
                <w:rFonts w:ascii="SWISS" w:hAnsi="SWISS" w:cs="Arial"/>
                <w:sz w:val="20"/>
                <w:szCs w:val="20"/>
              </w:rPr>
              <w:t>1</w:t>
            </w:r>
            <w:r w:rsidRPr="00F52F8B">
              <w:rPr>
                <w:rFonts w:ascii="SWISS" w:hAnsi="SWISS" w:cs="Arial"/>
                <w:sz w:val="20"/>
                <w:szCs w:val="20"/>
              </w:rPr>
              <w:t>,</w:t>
            </w:r>
            <w:r>
              <w:rPr>
                <w:rFonts w:ascii="SWISS" w:hAnsi="SWISS" w:cs="Arial"/>
                <w:sz w:val="20"/>
                <w:szCs w:val="20"/>
              </w:rPr>
              <w:t>412</w:t>
            </w:r>
            <w:r w:rsidRPr="00F52F8B">
              <w:rPr>
                <w:rFonts w:ascii="SWISS" w:hAnsi="SWISS" w:cs="Arial"/>
                <w:sz w:val="20"/>
                <w:szCs w:val="20"/>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3.</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To reflect an averaging adjustment.</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u w:val="single"/>
              </w:rPr>
            </w:pPr>
            <w:r>
              <w:rPr>
                <w:rFonts w:ascii="SWISS" w:hAnsi="SWISS" w:cs="Arial"/>
                <w:sz w:val="20"/>
                <w:szCs w:val="20"/>
                <w:u w:val="single"/>
              </w:rPr>
              <w:t>2,254</w:t>
            </w:r>
            <w:r w:rsidRPr="00F52F8B">
              <w:rPr>
                <w:rFonts w:ascii="SWISS" w:hAnsi="SWISS" w:cs="Arial"/>
                <w:sz w:val="20"/>
                <w:szCs w:val="20"/>
                <w:u w:val="single"/>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b/>
                <w:sz w:val="20"/>
                <w:szCs w:val="20"/>
              </w:rPr>
            </w:pPr>
            <w:r w:rsidRPr="00F52F8B">
              <w:rPr>
                <w:rFonts w:ascii="SWISS" w:hAnsi="SWISS" w:cs="Arial"/>
                <w:b/>
                <w:sz w:val="20"/>
                <w:szCs w:val="20"/>
              </w:rPr>
              <w:t> </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535</w:t>
            </w:r>
            <w:r w:rsidRPr="00F52F8B">
              <w:rPr>
                <w:rFonts w:ascii="SWISS" w:hAnsi="SWISS" w:cs="Arial"/>
                <w:sz w:val="20"/>
                <w:szCs w:val="20"/>
                <w:u w:val="double"/>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b/>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u w:val="single"/>
              </w:rPr>
            </w:pPr>
            <w:r w:rsidRPr="00F52F8B">
              <w:rPr>
                <w:rFonts w:ascii="SWISS" w:hAnsi="SWISS" w:cs="Arial"/>
                <w:b/>
                <w:bCs/>
                <w:color w:val="000000"/>
                <w:sz w:val="20"/>
                <w:szCs w:val="20"/>
                <w:u w:val="single"/>
              </w:rPr>
              <w:t>A</w:t>
            </w:r>
            <w:r>
              <w:rPr>
                <w:rFonts w:ascii="SWISS" w:hAnsi="SWISS" w:cs="Arial"/>
                <w:b/>
                <w:bCs/>
                <w:color w:val="000000"/>
                <w:sz w:val="20"/>
                <w:szCs w:val="20"/>
                <w:u w:val="single"/>
              </w:rPr>
              <w:t>MORTIZATION OF CIAC</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1.</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To reflect </w:t>
            </w:r>
            <w:r>
              <w:rPr>
                <w:rFonts w:ascii="SWISS" w:hAnsi="SWISS" w:cs="Arial"/>
                <w:color w:val="000000"/>
                <w:sz w:val="20"/>
                <w:szCs w:val="20"/>
              </w:rPr>
              <w:t>appropriate amortization of CIAC.</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6</w:t>
            </w:r>
            <w:r w:rsidRPr="00F52F8B">
              <w:rPr>
                <w:rFonts w:ascii="SWISS" w:hAnsi="SWISS" w:cs="Arial"/>
                <w:sz w:val="20"/>
                <w:szCs w:val="20"/>
              </w:rPr>
              <w:t>,</w:t>
            </w:r>
            <w:r>
              <w:rPr>
                <w:rFonts w:ascii="SWISS" w:hAnsi="SWISS" w:cs="Arial"/>
                <w:sz w:val="20"/>
                <w:szCs w:val="20"/>
              </w:rPr>
              <w:t>900</w:t>
            </w:r>
            <w:r w:rsidRPr="00F52F8B">
              <w:rPr>
                <w:rFonts w:ascii="SWISS" w:hAnsi="SWISS" w:cs="Arial"/>
                <w:sz w:val="20"/>
                <w:szCs w:val="20"/>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2.</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To reflect</w:t>
            </w:r>
            <w:r>
              <w:rPr>
                <w:rFonts w:ascii="SWISS" w:hAnsi="SWISS" w:cs="Arial"/>
                <w:color w:val="000000"/>
                <w:sz w:val="20"/>
                <w:szCs w:val="20"/>
              </w:rPr>
              <w:t xml:space="preserve"> pro forma adjustment to fully amortize CIAC in August 2015.</w:t>
            </w:r>
            <w:r w:rsidRPr="00F52F8B">
              <w:rPr>
                <w:rFonts w:ascii="SWISS" w:hAnsi="SWISS" w:cs="Arial"/>
                <w:color w:val="000000"/>
                <w:sz w:val="20"/>
                <w:szCs w:val="20"/>
              </w:rPr>
              <w:t xml:space="preserve"> </w:t>
            </w:r>
          </w:p>
        </w:tc>
        <w:tc>
          <w:tcPr>
            <w:tcW w:w="2754" w:type="dxa"/>
            <w:tcBorders>
              <w:top w:val="nil"/>
              <w:left w:val="nil"/>
              <w:bottom w:val="nil"/>
              <w:right w:val="single" w:sz="12" w:space="0" w:color="000000"/>
            </w:tcBorders>
            <w:shd w:val="clear" w:color="auto" w:fill="auto"/>
            <w:noWrap/>
            <w:vAlign w:val="bottom"/>
          </w:tcPr>
          <w:p w:rsidR="00796932" w:rsidRPr="00CF6613" w:rsidRDefault="00796932" w:rsidP="00796932">
            <w:pPr>
              <w:jc w:val="right"/>
              <w:rPr>
                <w:rFonts w:ascii="SWISS" w:hAnsi="SWISS" w:cs="Arial"/>
                <w:sz w:val="20"/>
                <w:szCs w:val="20"/>
                <w:u w:val="single"/>
              </w:rPr>
            </w:pPr>
            <w:r w:rsidRPr="00CF6613">
              <w:rPr>
                <w:rFonts w:ascii="SWISS" w:hAnsi="SWISS" w:cs="Arial"/>
                <w:sz w:val="20"/>
                <w:szCs w:val="20"/>
                <w:u w:val="single"/>
              </w:rPr>
              <w:t xml:space="preserve">325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b/>
                <w:sz w:val="20"/>
                <w:szCs w:val="20"/>
              </w:rPr>
            </w:pPr>
            <w:r w:rsidRPr="00F52F8B">
              <w:rPr>
                <w:rFonts w:ascii="SWISS" w:hAnsi="SWISS" w:cs="Arial"/>
                <w:b/>
                <w:sz w:val="20"/>
                <w:szCs w:val="20"/>
              </w:rPr>
              <w:t> </w:t>
            </w: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     Total</w:t>
            </w: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7</w:t>
            </w:r>
            <w:r w:rsidRPr="00F52F8B">
              <w:rPr>
                <w:rFonts w:ascii="SWISS" w:hAnsi="SWISS" w:cs="Arial"/>
                <w:sz w:val="20"/>
                <w:szCs w:val="20"/>
                <w:u w:val="double"/>
              </w:rPr>
              <w:t>,</w:t>
            </w:r>
            <w:r>
              <w:rPr>
                <w:rFonts w:ascii="SWISS" w:hAnsi="SWISS" w:cs="Arial"/>
                <w:sz w:val="20"/>
                <w:szCs w:val="20"/>
                <w:u w:val="double"/>
              </w:rPr>
              <w:t>225</w:t>
            </w:r>
            <w:r w:rsidRPr="00F52F8B">
              <w:rPr>
                <w:rFonts w:ascii="SWISS" w:hAnsi="SWISS" w:cs="Arial"/>
                <w:sz w:val="20"/>
                <w:szCs w:val="20"/>
                <w:u w:val="double"/>
              </w:rPr>
              <w:t xml:space="preserve"> </w:t>
            </w:r>
          </w:p>
        </w:tc>
      </w:tr>
      <w:tr w:rsidR="00796932" w:rsidRPr="00F52F8B" w:rsidTr="00796932">
        <w:trPr>
          <w:trHeight w:val="264"/>
          <w:jc w:val="center"/>
        </w:trPr>
        <w:tc>
          <w:tcPr>
            <w:tcW w:w="482" w:type="dxa"/>
            <w:tcBorders>
              <w:top w:val="nil"/>
              <w:left w:val="single" w:sz="12" w:space="0" w:color="000000"/>
              <w:bottom w:val="nil"/>
              <w:right w:val="nil"/>
            </w:tcBorders>
            <w:shd w:val="clear" w:color="auto" w:fill="auto"/>
            <w:noWrap/>
            <w:vAlign w:val="bottom"/>
          </w:tcPr>
          <w:p w:rsidR="00796932" w:rsidRPr="00F52F8B" w:rsidRDefault="00796932" w:rsidP="00796932">
            <w:pPr>
              <w:jc w:val="right"/>
              <w:rPr>
                <w:rFonts w:ascii="SWISS" w:hAnsi="SWISS" w:cs="Arial"/>
                <w:b/>
                <w:sz w:val="20"/>
                <w:szCs w:val="20"/>
              </w:rPr>
            </w:pPr>
          </w:p>
        </w:tc>
        <w:tc>
          <w:tcPr>
            <w:tcW w:w="6843"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2754" w:type="dxa"/>
            <w:tcBorders>
              <w:top w:val="nil"/>
              <w:left w:val="nil"/>
              <w:bottom w:val="nil"/>
              <w:right w:val="single" w:sz="12" w:space="0" w:color="000000"/>
            </w:tcBorders>
            <w:shd w:val="clear" w:color="auto" w:fill="auto"/>
            <w:noWrap/>
            <w:vAlign w:val="bottom"/>
          </w:tcPr>
          <w:p w:rsidR="00796932" w:rsidRPr="00F52F8B" w:rsidRDefault="00796932" w:rsidP="00796932">
            <w:pPr>
              <w:jc w:val="right"/>
              <w:rPr>
                <w:rFonts w:ascii="SWISS" w:hAnsi="SWISS" w:cs="Arial"/>
                <w:sz w:val="20"/>
                <w:szCs w:val="20"/>
              </w:rPr>
            </w:pPr>
          </w:p>
        </w:tc>
      </w:tr>
      <w:tr w:rsidR="00796932" w:rsidRPr="00F52F8B" w:rsidTr="00796932">
        <w:trPr>
          <w:trHeight w:val="264"/>
          <w:jc w:val="center"/>
        </w:trPr>
        <w:tc>
          <w:tcPr>
            <w:tcW w:w="482" w:type="dxa"/>
            <w:tcBorders>
              <w:top w:val="nil"/>
              <w:left w:val="single" w:sz="12" w:space="0" w:color="auto"/>
              <w:right w:val="nil"/>
            </w:tcBorders>
            <w:shd w:val="clear" w:color="auto" w:fill="auto"/>
            <w:noWrap/>
            <w:vAlign w:val="bottom"/>
          </w:tcPr>
          <w:p w:rsidR="00796932" w:rsidRPr="00F52F8B" w:rsidRDefault="00796932" w:rsidP="00796932">
            <w:pPr>
              <w:rPr>
                <w:rFonts w:ascii="SWISS" w:hAnsi="SWISS" w:cs="Arial"/>
              </w:rPr>
            </w:pPr>
          </w:p>
        </w:tc>
        <w:tc>
          <w:tcPr>
            <w:tcW w:w="6843" w:type="dxa"/>
            <w:tcBorders>
              <w:top w:val="nil"/>
              <w:left w:val="nil"/>
              <w:right w:val="nil"/>
            </w:tcBorders>
            <w:shd w:val="clear" w:color="auto" w:fill="auto"/>
            <w:noWrap/>
            <w:vAlign w:val="bottom"/>
          </w:tcPr>
          <w:p w:rsidR="00796932" w:rsidRPr="00F52F8B" w:rsidRDefault="00796932" w:rsidP="00796932">
            <w:pPr>
              <w:rPr>
                <w:rFonts w:ascii="SWISS" w:hAnsi="SWISS" w:cs="Arial"/>
                <w:b/>
                <w:bCs/>
                <w:color w:val="000000"/>
                <w:sz w:val="20"/>
                <w:szCs w:val="20"/>
                <w:u w:val="single"/>
              </w:rPr>
            </w:pPr>
            <w:r w:rsidRPr="00F52F8B">
              <w:rPr>
                <w:rFonts w:ascii="SWISS" w:hAnsi="SWISS" w:cs="Arial"/>
                <w:b/>
                <w:bCs/>
                <w:color w:val="000000"/>
                <w:sz w:val="20"/>
                <w:szCs w:val="20"/>
                <w:u w:val="single"/>
              </w:rPr>
              <w:t>WORKING CAPITAL ALLOWANCE</w:t>
            </w:r>
          </w:p>
        </w:tc>
        <w:tc>
          <w:tcPr>
            <w:tcW w:w="2754" w:type="dxa"/>
            <w:tcBorders>
              <w:top w:val="nil"/>
              <w:left w:val="nil"/>
              <w:right w:val="single" w:sz="12" w:space="0" w:color="auto"/>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w:t>
            </w:r>
          </w:p>
        </w:tc>
      </w:tr>
      <w:tr w:rsidR="00796932" w:rsidRPr="00F52F8B" w:rsidTr="00796932">
        <w:trPr>
          <w:trHeight w:val="264"/>
          <w:jc w:val="center"/>
        </w:trPr>
        <w:tc>
          <w:tcPr>
            <w:tcW w:w="482" w:type="dxa"/>
            <w:tcBorders>
              <w:top w:val="nil"/>
              <w:left w:val="single" w:sz="12" w:space="0" w:color="auto"/>
              <w:right w:val="nil"/>
            </w:tcBorders>
            <w:shd w:val="clear" w:color="auto" w:fill="auto"/>
            <w:noWrap/>
            <w:vAlign w:val="bottom"/>
          </w:tcPr>
          <w:p w:rsidR="00796932" w:rsidRPr="00F52F8B" w:rsidRDefault="00796932" w:rsidP="00796932">
            <w:pPr>
              <w:rPr>
                <w:rFonts w:ascii="SWISS" w:hAnsi="SWISS" w:cs="Arial"/>
              </w:rPr>
            </w:pPr>
          </w:p>
        </w:tc>
        <w:tc>
          <w:tcPr>
            <w:tcW w:w="6843" w:type="dxa"/>
            <w:tcBorders>
              <w:top w:val="nil"/>
              <w:left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To reflect 1/8 of test year O&amp;M expenses.</w:t>
            </w:r>
          </w:p>
        </w:tc>
        <w:tc>
          <w:tcPr>
            <w:tcW w:w="2754" w:type="dxa"/>
            <w:tcBorders>
              <w:top w:val="nil"/>
              <w:left w:val="nil"/>
              <w:right w:val="single" w:sz="12" w:space="0" w:color="auto"/>
            </w:tcBorders>
            <w:shd w:val="clear" w:color="auto" w:fill="auto"/>
            <w:noWrap/>
            <w:vAlign w:val="bottom"/>
          </w:tcPr>
          <w:p w:rsidR="00796932" w:rsidRPr="00F52F8B" w:rsidRDefault="00796932" w:rsidP="00796932">
            <w:pPr>
              <w:jc w:val="right"/>
              <w:rPr>
                <w:rFonts w:ascii="SWISS" w:hAnsi="SWISS" w:cs="Arial"/>
                <w:color w:val="000000"/>
                <w:sz w:val="20"/>
                <w:szCs w:val="20"/>
                <w:u w:val="double"/>
              </w:rPr>
            </w:pPr>
            <w:r w:rsidRPr="00F52F8B">
              <w:rPr>
                <w:rFonts w:ascii="SWISS" w:hAnsi="SWISS" w:cs="Arial"/>
                <w:color w:val="000000"/>
                <w:sz w:val="20"/>
                <w:szCs w:val="20"/>
                <w:u w:val="double"/>
              </w:rPr>
              <w:t>$</w:t>
            </w:r>
            <w:r>
              <w:rPr>
                <w:rFonts w:ascii="SWISS" w:hAnsi="SWISS" w:cs="Arial"/>
                <w:color w:val="000000"/>
                <w:sz w:val="20"/>
                <w:szCs w:val="20"/>
                <w:u w:val="double"/>
              </w:rPr>
              <w:t>8,337</w:t>
            </w:r>
            <w:r w:rsidRPr="00F52F8B">
              <w:rPr>
                <w:rFonts w:ascii="SWISS" w:hAnsi="SWISS" w:cs="Arial"/>
                <w:color w:val="000000"/>
                <w:sz w:val="20"/>
                <w:szCs w:val="20"/>
                <w:u w:val="double"/>
              </w:rPr>
              <w:t xml:space="preserve"> </w:t>
            </w:r>
          </w:p>
        </w:tc>
      </w:tr>
      <w:tr w:rsidR="00796932" w:rsidRPr="00F52F8B" w:rsidTr="00796932">
        <w:trPr>
          <w:trHeight w:val="264"/>
          <w:jc w:val="center"/>
        </w:trPr>
        <w:tc>
          <w:tcPr>
            <w:tcW w:w="482" w:type="dxa"/>
            <w:tcBorders>
              <w:top w:val="nil"/>
              <w:left w:val="single" w:sz="12" w:space="0" w:color="auto"/>
              <w:bottom w:val="single" w:sz="12" w:space="0" w:color="auto"/>
              <w:right w:val="nil"/>
            </w:tcBorders>
            <w:shd w:val="clear" w:color="auto" w:fill="auto"/>
            <w:noWrap/>
            <w:vAlign w:val="bottom"/>
          </w:tcPr>
          <w:p w:rsidR="00796932" w:rsidRPr="00F52F8B" w:rsidRDefault="00796932" w:rsidP="00796932">
            <w:pPr>
              <w:rPr>
                <w:rFonts w:ascii="SWISS" w:hAnsi="SWISS" w:cs="Arial"/>
              </w:rPr>
            </w:pPr>
          </w:p>
        </w:tc>
        <w:tc>
          <w:tcPr>
            <w:tcW w:w="6843" w:type="dxa"/>
            <w:tcBorders>
              <w:top w:val="nil"/>
              <w:left w:val="nil"/>
              <w:bottom w:val="single" w:sz="12"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2754" w:type="dxa"/>
            <w:tcBorders>
              <w:top w:val="nil"/>
              <w:left w:val="nil"/>
              <w:bottom w:val="single" w:sz="12" w:space="0" w:color="auto"/>
              <w:right w:val="single" w:sz="12"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p>
        </w:tc>
      </w:tr>
    </w:tbl>
    <w:p w:rsidR="00796932" w:rsidRDefault="00796932" w:rsidP="00FB23DB">
      <w:pPr>
        <w:pStyle w:val="OrderBody"/>
        <w:sectPr w:rsidR="00796932">
          <w:pgSz w:w="12240" w:h="15840" w:code="1"/>
          <w:pgMar w:top="1440" w:right="1440" w:bottom="1440" w:left="1440" w:header="720" w:footer="720" w:gutter="0"/>
          <w:cols w:space="720"/>
          <w:titlePg/>
          <w:docGrid w:linePitch="360"/>
        </w:sectPr>
      </w:pPr>
    </w:p>
    <w:tbl>
      <w:tblPr>
        <w:tblW w:w="13867" w:type="dxa"/>
        <w:jc w:val="center"/>
        <w:tblInd w:w="98" w:type="dxa"/>
        <w:tblLook w:val="0000" w:firstRow="0" w:lastRow="0" w:firstColumn="0" w:lastColumn="0" w:noHBand="0" w:noVBand="0"/>
      </w:tblPr>
      <w:tblGrid>
        <w:gridCol w:w="483"/>
        <w:gridCol w:w="2855"/>
        <w:gridCol w:w="1124"/>
        <w:gridCol w:w="1213"/>
        <w:gridCol w:w="1755"/>
        <w:gridCol w:w="1256"/>
        <w:gridCol w:w="1328"/>
        <w:gridCol w:w="1255"/>
        <w:gridCol w:w="1183"/>
        <w:gridCol w:w="1460"/>
      </w:tblGrid>
      <w:tr w:rsidR="00796932" w:rsidRPr="00F52F8B" w:rsidTr="00796932">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lastRenderedPageBreak/>
              <w:t> </w:t>
            </w:r>
          </w:p>
        </w:tc>
        <w:tc>
          <w:tcPr>
            <w:tcW w:w="9486" w:type="dxa"/>
            <w:gridSpan w:val="6"/>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b/>
                <w:bCs/>
                <w:color w:val="000000"/>
                <w:sz w:val="20"/>
                <w:szCs w:val="20"/>
              </w:rPr>
              <w:t>SUNRISE UTILITIES, LLC.</w:t>
            </w:r>
          </w:p>
        </w:tc>
        <w:tc>
          <w:tcPr>
            <w:tcW w:w="1255" w:type="dxa"/>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rPr>
            </w:pPr>
            <w:r w:rsidRPr="00DA0E11">
              <w:rPr>
                <w:rFonts w:ascii="SWISS" w:hAnsi="SWISS" w:cs="Arial"/>
              </w:rPr>
              <w:t> </w:t>
            </w:r>
          </w:p>
        </w:tc>
        <w:tc>
          <w:tcPr>
            <w:tcW w:w="2643" w:type="dxa"/>
            <w:gridSpan w:val="2"/>
            <w:tcBorders>
              <w:top w:val="single" w:sz="8" w:space="0" w:color="auto"/>
              <w:left w:val="nil"/>
              <w:bottom w:val="nil"/>
              <w:right w:val="single" w:sz="8" w:space="0" w:color="auto"/>
            </w:tcBorders>
            <w:shd w:val="clear" w:color="auto" w:fill="auto"/>
            <w:noWrap/>
            <w:vAlign w:val="bottom"/>
          </w:tcPr>
          <w:p w:rsidR="00796932" w:rsidRPr="00DA0E11" w:rsidRDefault="00796932" w:rsidP="00796932">
            <w:pPr>
              <w:rPr>
                <w:rFonts w:ascii="SWISS" w:hAnsi="SWISS" w:cs="Arial"/>
                <w:b/>
                <w:bCs/>
                <w:color w:val="000000"/>
                <w:sz w:val="20"/>
                <w:szCs w:val="20"/>
              </w:rPr>
            </w:pPr>
            <w:r w:rsidRPr="00DA0E11">
              <w:rPr>
                <w:rFonts w:ascii="SWISS" w:hAnsi="SWISS" w:cs="Arial"/>
                <w:b/>
                <w:bCs/>
                <w:color w:val="000000"/>
                <w:sz w:val="20"/>
                <w:szCs w:val="20"/>
              </w:rPr>
              <w:t xml:space="preserve">     </w:t>
            </w:r>
            <w:r>
              <w:rPr>
                <w:rFonts w:ascii="SWISS" w:hAnsi="SWISS" w:cs="Arial"/>
                <w:b/>
                <w:bCs/>
                <w:color w:val="000000"/>
                <w:sz w:val="20"/>
                <w:szCs w:val="20"/>
              </w:rPr>
              <w:t xml:space="preserve"> </w:t>
            </w:r>
            <w:r w:rsidRPr="00DA0E11">
              <w:rPr>
                <w:rFonts w:ascii="SWISS" w:hAnsi="SWISS" w:cs="Arial"/>
                <w:b/>
                <w:bCs/>
                <w:color w:val="000000"/>
                <w:sz w:val="20"/>
                <w:szCs w:val="20"/>
              </w:rPr>
              <w:t xml:space="preserve">        SCHEDULE NO. 2</w:t>
            </w:r>
            <w:r w:rsidR="00953FEE" w:rsidRPr="00DA0E11">
              <w:rPr>
                <w:sz w:val="20"/>
                <w:szCs w:val="20"/>
              </w:rPr>
              <w:fldChar w:fldCharType="begin"/>
            </w:r>
            <w:r w:rsidRPr="00DA0E11">
              <w:rPr>
                <w:sz w:val="20"/>
                <w:szCs w:val="20"/>
              </w:rPr>
              <w:instrText xml:space="preserve"> TC "</w:instrText>
            </w:r>
            <w:bookmarkStart w:id="17" w:name="_Toc442874089"/>
            <w:r w:rsidRPr="00DA0E11">
              <w:rPr>
                <w:sz w:val="20"/>
                <w:szCs w:val="20"/>
              </w:rPr>
              <w:tab/>
            </w:r>
            <w:bookmarkStart w:id="18" w:name="_Toc418142434"/>
            <w:bookmarkStart w:id="19" w:name="_Toc443552000"/>
            <w:r w:rsidRPr="00DA0E11">
              <w:rPr>
                <w:sz w:val="20"/>
                <w:szCs w:val="20"/>
              </w:rPr>
              <w:instrText>Schedule No. 2 Capital Structure</w:instrText>
            </w:r>
            <w:bookmarkEnd w:id="17"/>
            <w:bookmarkEnd w:id="18"/>
            <w:bookmarkEnd w:id="19"/>
            <w:r w:rsidRPr="00DA0E11">
              <w:rPr>
                <w:sz w:val="20"/>
                <w:szCs w:val="20"/>
              </w:rPr>
              <w:instrText xml:space="preserve">”\l 1 </w:instrText>
            </w:r>
            <w:r w:rsidR="00953FEE" w:rsidRPr="00DA0E11">
              <w:rPr>
                <w:sz w:val="20"/>
                <w:szCs w:val="20"/>
              </w:rPr>
              <w:fldChar w:fldCharType="end"/>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3979" w:type="dxa"/>
            <w:gridSpan w:val="2"/>
            <w:tcBorders>
              <w:top w:val="nil"/>
              <w:left w:val="nil"/>
              <w:bottom w:val="nil"/>
              <w:right w:val="nil"/>
            </w:tcBorders>
            <w:shd w:val="clear" w:color="auto" w:fill="auto"/>
            <w:noWrap/>
            <w:vAlign w:val="bottom"/>
          </w:tcPr>
          <w:p w:rsidR="00796932" w:rsidRPr="00DA0E11" w:rsidRDefault="00796932" w:rsidP="00796932">
            <w:pPr>
              <w:rPr>
                <w:rFonts w:ascii="SWISS" w:hAnsi="SWISS" w:cs="Arial"/>
                <w:b/>
                <w:bCs/>
                <w:color w:val="000000"/>
                <w:sz w:val="20"/>
                <w:szCs w:val="20"/>
              </w:rPr>
            </w:pPr>
            <w:r w:rsidRPr="00DA0E11">
              <w:rPr>
                <w:rFonts w:ascii="SWISS" w:hAnsi="SWISS" w:cs="Arial"/>
                <w:b/>
                <w:bCs/>
                <w:color w:val="000000"/>
                <w:sz w:val="20"/>
                <w:szCs w:val="20"/>
              </w:rPr>
              <w:t>TEST YEAR ENDED  12/31/14</w:t>
            </w: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rPr>
            </w:pPr>
          </w:p>
        </w:tc>
        <w:tc>
          <w:tcPr>
            <w:tcW w:w="2643" w:type="dxa"/>
            <w:gridSpan w:val="2"/>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b/>
                <w:bCs/>
                <w:color w:val="000000"/>
                <w:sz w:val="20"/>
                <w:szCs w:val="20"/>
              </w:rPr>
            </w:pPr>
            <w:r w:rsidRPr="00DA0E11">
              <w:rPr>
                <w:rFonts w:ascii="SWISS" w:hAnsi="SWISS" w:cs="Arial"/>
                <w:b/>
                <w:bCs/>
                <w:color w:val="000000"/>
                <w:sz w:val="20"/>
                <w:szCs w:val="20"/>
              </w:rPr>
              <w:t xml:space="preserve"> DOCKET NO. 140220-WU</w:t>
            </w:r>
          </w:p>
        </w:tc>
      </w:tr>
      <w:tr w:rsidR="00796932" w:rsidRPr="00F52F8B" w:rsidTr="00796932">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5192" w:type="dxa"/>
            <w:gridSpan w:val="3"/>
            <w:tcBorders>
              <w:top w:val="nil"/>
              <w:left w:val="nil"/>
              <w:bottom w:val="single" w:sz="8" w:space="0" w:color="auto"/>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56" w:type="dxa"/>
            <w:tcBorders>
              <w:top w:val="nil"/>
              <w:left w:val="nil"/>
              <w:bottom w:val="single" w:sz="8" w:space="0" w:color="auto"/>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83" w:type="dxa"/>
            <w:tcBorders>
              <w:top w:val="nil"/>
              <w:left w:val="nil"/>
              <w:bottom w:val="single" w:sz="8" w:space="0" w:color="auto"/>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55" w:type="dxa"/>
            <w:tcBorders>
              <w:top w:val="nil"/>
              <w:left w:val="nil"/>
              <w:bottom w:val="single" w:sz="8" w:space="0" w:color="auto"/>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83" w:type="dxa"/>
            <w:tcBorders>
              <w:top w:val="nil"/>
              <w:left w:val="nil"/>
              <w:bottom w:val="single" w:sz="8" w:space="0" w:color="auto"/>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460" w:type="dxa"/>
            <w:tcBorders>
              <w:top w:val="nil"/>
              <w:left w:val="nil"/>
              <w:bottom w:val="single" w:sz="8" w:space="0" w:color="auto"/>
              <w:right w:val="single" w:sz="8" w:space="0" w:color="auto"/>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r>
      <w:tr w:rsidR="00796932" w:rsidRPr="00F52F8B" w:rsidTr="00796932">
        <w:trPr>
          <w:trHeight w:val="292"/>
          <w:jc w:val="center"/>
        </w:trPr>
        <w:tc>
          <w:tcPr>
            <w:tcW w:w="483" w:type="dxa"/>
            <w:tcBorders>
              <w:top w:val="single" w:sz="8" w:space="0" w:color="auto"/>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c>
          <w:tcPr>
            <w:tcW w:w="1124" w:type="dxa"/>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c>
          <w:tcPr>
            <w:tcW w:w="1213" w:type="dxa"/>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c>
          <w:tcPr>
            <w:tcW w:w="1755" w:type="dxa"/>
            <w:tcBorders>
              <w:top w:val="single" w:sz="8" w:space="0" w:color="auto"/>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BALANCE</w:t>
            </w:r>
          </w:p>
        </w:tc>
        <w:tc>
          <w:tcPr>
            <w:tcW w:w="1256" w:type="dxa"/>
            <w:tcBorders>
              <w:top w:val="single" w:sz="8" w:space="0" w:color="auto"/>
              <w:left w:val="nil"/>
              <w:bottom w:val="nil"/>
              <w:right w:val="nil"/>
            </w:tcBorders>
            <w:shd w:val="clear" w:color="auto" w:fill="auto"/>
            <w:noWrap/>
            <w:vAlign w:val="bottom"/>
          </w:tcPr>
          <w:p w:rsidR="00796932" w:rsidRPr="00DA0E11" w:rsidRDefault="00796932" w:rsidP="00796932">
            <w:pPr>
              <w:jc w:val="center"/>
              <w:rPr>
                <w:rFonts w:ascii="SWISS" w:hAnsi="SWISS" w:cs="Arial"/>
                <w:color w:val="000000"/>
                <w:sz w:val="20"/>
                <w:szCs w:val="20"/>
              </w:rPr>
            </w:pPr>
            <w:r w:rsidRPr="00DA0E11">
              <w:rPr>
                <w:rFonts w:ascii="SWISS" w:hAnsi="SWISS" w:cs="Arial"/>
                <w:b/>
                <w:bCs/>
                <w:color w:val="000000"/>
                <w:sz w:val="20"/>
                <w:szCs w:val="20"/>
              </w:rPr>
              <w:t>PRO</w:t>
            </w:r>
          </w:p>
        </w:tc>
        <w:tc>
          <w:tcPr>
            <w:tcW w:w="1283" w:type="dxa"/>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c>
          <w:tcPr>
            <w:tcW w:w="1255" w:type="dxa"/>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c>
          <w:tcPr>
            <w:tcW w:w="1183" w:type="dxa"/>
            <w:tcBorders>
              <w:top w:val="single" w:sz="8" w:space="0" w:color="auto"/>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c>
          <w:tcPr>
            <w:tcW w:w="1460" w:type="dxa"/>
            <w:tcBorders>
              <w:top w:val="single" w:sz="8" w:space="0" w:color="auto"/>
              <w:left w:val="nil"/>
              <w:bottom w:val="nil"/>
              <w:right w:val="single" w:sz="8" w:space="0" w:color="auto"/>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b/>
                <w:bCs/>
                <w:color w:val="000000"/>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SPECIFIC</w:t>
            </w:r>
          </w:p>
        </w:tc>
        <w:tc>
          <w:tcPr>
            <w:tcW w:w="1755"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BEFORE</w:t>
            </w:r>
          </w:p>
        </w:tc>
        <w:tc>
          <w:tcPr>
            <w:tcW w:w="1256"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RATA</w:t>
            </w:r>
          </w:p>
        </w:tc>
        <w:tc>
          <w:tcPr>
            <w:tcW w:w="1283" w:type="dxa"/>
            <w:tcBorders>
              <w:top w:val="nil"/>
              <w:left w:val="nil"/>
              <w:bottom w:val="nil"/>
              <w:right w:val="nil"/>
            </w:tcBorders>
            <w:shd w:val="clear" w:color="auto" w:fill="auto"/>
            <w:noWrap/>
            <w:vAlign w:val="bottom"/>
          </w:tcPr>
          <w:p w:rsidR="00796932" w:rsidRPr="00DA0E11" w:rsidRDefault="00E73CE2" w:rsidP="00796932">
            <w:pPr>
              <w:jc w:val="center"/>
              <w:rPr>
                <w:rFonts w:ascii="SWISS" w:hAnsi="SWISS" w:cs="Arial"/>
                <w:b/>
                <w:bCs/>
                <w:color w:val="000000"/>
                <w:sz w:val="20"/>
                <w:szCs w:val="20"/>
              </w:rPr>
            </w:pPr>
            <w:r>
              <w:rPr>
                <w:rFonts w:ascii="SWISS" w:hAnsi="SWISS" w:cs="Arial"/>
                <w:b/>
                <w:bCs/>
                <w:color w:val="000000"/>
                <w:sz w:val="20"/>
                <w:szCs w:val="20"/>
              </w:rPr>
              <w:t>COM</w:t>
            </w:r>
            <w:r w:rsidR="00F578AC">
              <w:rPr>
                <w:rFonts w:ascii="SWISS" w:hAnsi="SWISS" w:cs="Arial"/>
                <w:b/>
                <w:bCs/>
                <w:color w:val="000000"/>
                <w:sz w:val="20"/>
                <w:szCs w:val="20"/>
              </w:rPr>
              <w:t>.</w:t>
            </w:r>
          </w:p>
        </w:tc>
        <w:tc>
          <w:tcPr>
            <w:tcW w:w="1255"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PERCENT</w:t>
            </w: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b/>
                <w:bCs/>
                <w:color w:val="000000"/>
                <w:sz w:val="20"/>
                <w:szCs w:val="20"/>
              </w:rPr>
            </w:pPr>
            <w:r w:rsidRPr="00DA0E11">
              <w:rPr>
                <w:rFonts w:ascii="SWISS" w:hAnsi="SWISS" w:cs="Arial"/>
                <w:b/>
                <w:bCs/>
                <w:color w:val="000000"/>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PER</w:t>
            </w:r>
          </w:p>
        </w:tc>
        <w:tc>
          <w:tcPr>
            <w:tcW w:w="1213"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ADJUST-</w:t>
            </w:r>
          </w:p>
        </w:tc>
        <w:tc>
          <w:tcPr>
            <w:tcW w:w="1755"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PRO RATA</w:t>
            </w:r>
          </w:p>
        </w:tc>
        <w:tc>
          <w:tcPr>
            <w:tcW w:w="1256"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ADJUST-</w:t>
            </w:r>
          </w:p>
        </w:tc>
        <w:tc>
          <w:tcPr>
            <w:tcW w:w="1283" w:type="dxa"/>
            <w:tcBorders>
              <w:top w:val="nil"/>
              <w:left w:val="nil"/>
              <w:bottom w:val="nil"/>
              <w:right w:val="nil"/>
            </w:tcBorders>
            <w:shd w:val="clear" w:color="auto" w:fill="auto"/>
            <w:noWrap/>
            <w:vAlign w:val="bottom"/>
          </w:tcPr>
          <w:p w:rsidR="00796932" w:rsidRPr="00DA0E11" w:rsidRDefault="00E73CE2" w:rsidP="00796932">
            <w:pPr>
              <w:jc w:val="center"/>
              <w:rPr>
                <w:rFonts w:ascii="SWISS" w:hAnsi="SWISS" w:cs="Arial"/>
                <w:b/>
                <w:bCs/>
                <w:color w:val="000000"/>
                <w:sz w:val="20"/>
                <w:szCs w:val="20"/>
              </w:rPr>
            </w:pPr>
            <w:r>
              <w:rPr>
                <w:rFonts w:ascii="SWISS" w:hAnsi="SWISS" w:cs="Arial"/>
                <w:b/>
                <w:bCs/>
                <w:color w:val="000000"/>
                <w:sz w:val="20"/>
                <w:szCs w:val="20"/>
              </w:rPr>
              <w:t>APPROVED</w:t>
            </w:r>
          </w:p>
        </w:tc>
        <w:tc>
          <w:tcPr>
            <w:tcW w:w="1255"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OF</w:t>
            </w: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b/>
                <w:bCs/>
                <w:color w:val="000000"/>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WEIGHTED</w:t>
            </w:r>
          </w:p>
        </w:tc>
      </w:tr>
      <w:tr w:rsidR="00796932" w:rsidRPr="00F52F8B" w:rsidTr="00796932">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796932" w:rsidRPr="00DA0E11" w:rsidRDefault="00796932" w:rsidP="00796932">
            <w:pPr>
              <w:rPr>
                <w:rFonts w:ascii="SWISS" w:hAnsi="SWISS" w:cs="Arial"/>
                <w:b/>
                <w:bCs/>
                <w:color w:val="000000"/>
                <w:sz w:val="20"/>
                <w:szCs w:val="20"/>
              </w:rPr>
            </w:pPr>
            <w:r w:rsidRPr="00DA0E11">
              <w:rPr>
                <w:rFonts w:ascii="SWISS" w:hAnsi="SWISS" w:cs="Arial"/>
                <w:b/>
                <w:bCs/>
                <w:color w:val="000000"/>
                <w:sz w:val="20"/>
                <w:szCs w:val="20"/>
              </w:rPr>
              <w:t>CAPITAL COMPONENT</w:t>
            </w:r>
          </w:p>
        </w:tc>
        <w:tc>
          <w:tcPr>
            <w:tcW w:w="1124" w:type="dxa"/>
            <w:tcBorders>
              <w:top w:val="nil"/>
              <w:left w:val="nil"/>
              <w:bottom w:val="single" w:sz="8" w:space="0" w:color="auto"/>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UTILITY</w:t>
            </w:r>
          </w:p>
        </w:tc>
        <w:tc>
          <w:tcPr>
            <w:tcW w:w="1213" w:type="dxa"/>
            <w:tcBorders>
              <w:top w:val="nil"/>
              <w:left w:val="nil"/>
              <w:bottom w:val="single" w:sz="8" w:space="0" w:color="auto"/>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MENTS</w:t>
            </w:r>
          </w:p>
        </w:tc>
        <w:tc>
          <w:tcPr>
            <w:tcW w:w="1755" w:type="dxa"/>
            <w:tcBorders>
              <w:top w:val="nil"/>
              <w:left w:val="nil"/>
              <w:bottom w:val="single" w:sz="8" w:space="0" w:color="auto"/>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ADJUSTMENTS</w:t>
            </w:r>
          </w:p>
        </w:tc>
        <w:tc>
          <w:tcPr>
            <w:tcW w:w="1256" w:type="dxa"/>
            <w:tcBorders>
              <w:top w:val="nil"/>
              <w:left w:val="nil"/>
              <w:bottom w:val="single" w:sz="8" w:space="0" w:color="auto"/>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MENTS</w:t>
            </w:r>
          </w:p>
        </w:tc>
        <w:tc>
          <w:tcPr>
            <w:tcW w:w="1283" w:type="dxa"/>
            <w:tcBorders>
              <w:top w:val="nil"/>
              <w:left w:val="nil"/>
              <w:bottom w:val="single" w:sz="8" w:space="0" w:color="auto"/>
              <w:right w:val="nil"/>
            </w:tcBorders>
            <w:shd w:val="clear" w:color="auto" w:fill="auto"/>
            <w:noWrap/>
            <w:vAlign w:val="bottom"/>
          </w:tcPr>
          <w:p w:rsidR="00796932" w:rsidRPr="00DA0E11" w:rsidRDefault="00E73CE2" w:rsidP="00796932">
            <w:pPr>
              <w:jc w:val="center"/>
              <w:rPr>
                <w:rFonts w:ascii="SWISS" w:hAnsi="SWISS" w:cs="Arial"/>
                <w:b/>
                <w:bCs/>
                <w:color w:val="000000"/>
                <w:sz w:val="20"/>
                <w:szCs w:val="20"/>
              </w:rPr>
            </w:pPr>
            <w:r>
              <w:rPr>
                <w:rFonts w:ascii="SWISS" w:hAnsi="SWISS" w:cs="Arial"/>
                <w:b/>
                <w:bCs/>
                <w:color w:val="000000"/>
                <w:sz w:val="20"/>
                <w:szCs w:val="20"/>
              </w:rPr>
              <w:t>BALANCE</w:t>
            </w:r>
          </w:p>
        </w:tc>
        <w:tc>
          <w:tcPr>
            <w:tcW w:w="1255" w:type="dxa"/>
            <w:tcBorders>
              <w:top w:val="nil"/>
              <w:left w:val="nil"/>
              <w:bottom w:val="single" w:sz="8" w:space="0" w:color="auto"/>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TOTAL</w:t>
            </w:r>
          </w:p>
        </w:tc>
        <w:tc>
          <w:tcPr>
            <w:tcW w:w="1183" w:type="dxa"/>
            <w:tcBorders>
              <w:top w:val="nil"/>
              <w:left w:val="nil"/>
              <w:bottom w:val="single" w:sz="8" w:space="0" w:color="auto"/>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shd w:val="clear" w:color="auto" w:fill="auto"/>
            <w:noWrap/>
            <w:vAlign w:val="bottom"/>
          </w:tcPr>
          <w:p w:rsidR="00796932" w:rsidRPr="00DA0E11" w:rsidRDefault="00796932" w:rsidP="00796932">
            <w:pPr>
              <w:jc w:val="center"/>
              <w:rPr>
                <w:rFonts w:ascii="SWISS" w:hAnsi="SWISS" w:cs="Arial"/>
                <w:b/>
                <w:bCs/>
                <w:color w:val="000000"/>
                <w:sz w:val="20"/>
                <w:szCs w:val="20"/>
              </w:rPr>
            </w:pPr>
            <w:r w:rsidRPr="00DA0E11">
              <w:rPr>
                <w:rFonts w:ascii="SWISS" w:hAnsi="SWISS" w:cs="Arial"/>
                <w:b/>
                <w:bCs/>
                <w:color w:val="000000"/>
                <w:sz w:val="20"/>
                <w:szCs w:val="20"/>
              </w:rPr>
              <w:t>COST</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7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1.</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COMMON STOCK</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2.</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RETAINED EARNINGS</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3.</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PAID IN CAPITAL</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4.</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OTHER COMMON EQUITY</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90,000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90,000 </w:t>
            </w: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xml:space="preserve">  TOTAL COMMON EQUITY</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$90,000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$90,000 </w:t>
            </w:r>
          </w:p>
        </w:tc>
        <w:tc>
          <w:tcPr>
            <w:tcW w:w="1256"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($4</w:t>
            </w:r>
            <w:r>
              <w:rPr>
                <w:rFonts w:ascii="SWISS" w:hAnsi="SWISS" w:cs="Arial"/>
                <w:sz w:val="20"/>
                <w:szCs w:val="20"/>
              </w:rPr>
              <w:t>4,707</w:t>
            </w:r>
            <w:r w:rsidRPr="00DA0E11">
              <w:rPr>
                <w:rFonts w:ascii="SWISS" w:hAnsi="SWISS" w:cs="Arial"/>
                <w:sz w:val="20"/>
                <w:szCs w:val="20"/>
              </w:rPr>
              <w:t>)</w:t>
            </w:r>
          </w:p>
        </w:tc>
        <w:tc>
          <w:tcPr>
            <w:tcW w:w="12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$4</w:t>
            </w:r>
            <w:r>
              <w:rPr>
                <w:rFonts w:ascii="SWISS" w:hAnsi="SWISS" w:cs="Arial"/>
                <w:sz w:val="20"/>
                <w:szCs w:val="20"/>
              </w:rPr>
              <w:t>5,293</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Pr>
                <w:rFonts w:ascii="SWISS" w:hAnsi="SWISS" w:cs="Arial"/>
                <w:sz w:val="20"/>
                <w:szCs w:val="20"/>
              </w:rPr>
              <w:t>91.00</w:t>
            </w:r>
            <w:r w:rsidRPr="00DA0E11">
              <w:rPr>
                <w:rFonts w:ascii="SWISS" w:hAnsi="SWISS" w:cs="Arial"/>
                <w:sz w:val="20"/>
                <w:szCs w:val="20"/>
              </w:rPr>
              <w:t>%</w:t>
            </w:r>
          </w:p>
        </w:tc>
        <w:tc>
          <w:tcPr>
            <w:tcW w:w="11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8.74%</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7.95%</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5.</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xml:space="preserve">LONG TERM DEBT </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6.</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SHORT-TERM DEBT</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7.</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PREFERRED STOCK</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256"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0.00%</w:t>
            </w:r>
          </w:p>
        </w:tc>
        <w:tc>
          <w:tcPr>
            <w:tcW w:w="11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TOTAL DEBT</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6"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w:t>
            </w:r>
          </w:p>
        </w:tc>
        <w:tc>
          <w:tcPr>
            <w:tcW w:w="12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 xml:space="preserve">$0 </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0.00%</w:t>
            </w: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8.</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CUSTOMER DEPOSITS</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$4,480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$4,480 </w:t>
            </w:r>
          </w:p>
        </w:tc>
        <w:tc>
          <w:tcPr>
            <w:tcW w:w="1256"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$0 </w:t>
            </w:r>
          </w:p>
        </w:tc>
        <w:tc>
          <w:tcPr>
            <w:tcW w:w="12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 xml:space="preserve">$4,480 </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single"/>
              </w:rPr>
            </w:pPr>
            <w:r>
              <w:rPr>
                <w:rFonts w:ascii="SWISS" w:hAnsi="SWISS" w:cs="Arial"/>
                <w:sz w:val="20"/>
                <w:szCs w:val="20"/>
                <w:u w:val="single"/>
              </w:rPr>
              <w:t>9.00</w:t>
            </w:r>
            <w:r w:rsidRPr="00DA0E11">
              <w:rPr>
                <w:rFonts w:ascii="SWISS" w:hAnsi="SWISS" w:cs="Arial"/>
                <w:sz w:val="20"/>
                <w:szCs w:val="20"/>
                <w:u w:val="single"/>
              </w:rPr>
              <w:t>%</w:t>
            </w:r>
          </w:p>
        </w:tc>
        <w:tc>
          <w:tcPr>
            <w:tcW w:w="11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rPr>
            </w:pPr>
            <w:r w:rsidRPr="00DA0E11">
              <w:rPr>
                <w:rFonts w:ascii="SWISS" w:hAnsi="SWISS" w:cs="Arial"/>
                <w:sz w:val="20"/>
                <w:szCs w:val="20"/>
              </w:rPr>
              <w:t>2.00%</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jc w:val="right"/>
              <w:rPr>
                <w:rFonts w:ascii="SWISS" w:hAnsi="SWISS" w:cs="Arial"/>
                <w:sz w:val="20"/>
                <w:szCs w:val="20"/>
                <w:u w:val="single"/>
              </w:rPr>
            </w:pPr>
            <w:r w:rsidRPr="00DA0E11">
              <w:rPr>
                <w:rFonts w:ascii="SWISS" w:hAnsi="SWISS" w:cs="Arial"/>
                <w:sz w:val="20"/>
                <w:szCs w:val="20"/>
                <w:u w:val="single"/>
              </w:rPr>
              <w:t>0.18%</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color w:val="000000"/>
                <w:sz w:val="20"/>
                <w:szCs w:val="20"/>
              </w:rPr>
            </w:pPr>
            <w:r w:rsidRPr="00F52F8B">
              <w:rPr>
                <w:rFonts w:ascii="SWISS" w:hAnsi="SWISS" w:cs="Arial"/>
                <w:color w:val="000000"/>
                <w:sz w:val="20"/>
                <w:szCs w:val="20"/>
              </w:rPr>
              <w:t>9.</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TOTAL</w:t>
            </w:r>
          </w:p>
        </w:tc>
        <w:tc>
          <w:tcPr>
            <w:tcW w:w="1124"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double"/>
              </w:rPr>
            </w:pPr>
            <w:r w:rsidRPr="00DA0E11">
              <w:rPr>
                <w:rFonts w:ascii="SWISS" w:hAnsi="SWISS" w:cs="Arial"/>
                <w:sz w:val="20"/>
                <w:szCs w:val="20"/>
                <w:u w:val="double"/>
              </w:rPr>
              <w:t xml:space="preserve">$0 </w:t>
            </w:r>
          </w:p>
        </w:tc>
        <w:tc>
          <w:tcPr>
            <w:tcW w:w="121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double"/>
              </w:rPr>
            </w:pPr>
            <w:r w:rsidRPr="00DA0E11">
              <w:rPr>
                <w:rFonts w:ascii="SWISS" w:hAnsi="SWISS" w:cs="Arial"/>
                <w:sz w:val="20"/>
                <w:szCs w:val="20"/>
                <w:u w:val="double"/>
              </w:rPr>
              <w:t xml:space="preserve">$94,480 </w:t>
            </w:r>
          </w:p>
        </w:tc>
        <w:tc>
          <w:tcPr>
            <w:tcW w:w="17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double"/>
              </w:rPr>
            </w:pPr>
            <w:r w:rsidRPr="00DA0E11">
              <w:rPr>
                <w:rFonts w:ascii="SWISS" w:hAnsi="SWISS" w:cs="Arial"/>
                <w:sz w:val="20"/>
                <w:szCs w:val="20"/>
                <w:u w:val="double"/>
              </w:rPr>
              <w:t xml:space="preserve">$94,480 </w:t>
            </w:r>
          </w:p>
        </w:tc>
        <w:tc>
          <w:tcPr>
            <w:tcW w:w="1256"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double"/>
              </w:rPr>
            </w:pPr>
            <w:r w:rsidRPr="00DA0E11">
              <w:rPr>
                <w:rFonts w:ascii="SWISS" w:hAnsi="SWISS" w:cs="Arial"/>
                <w:sz w:val="20"/>
                <w:szCs w:val="20"/>
                <w:u w:val="double"/>
              </w:rPr>
              <w:t>($</w:t>
            </w:r>
            <w:r>
              <w:rPr>
                <w:rFonts w:ascii="SWISS" w:hAnsi="SWISS" w:cs="Arial"/>
                <w:sz w:val="20"/>
                <w:szCs w:val="20"/>
                <w:u w:val="double"/>
              </w:rPr>
              <w:t>44,707</w:t>
            </w:r>
            <w:r w:rsidRPr="00DA0E11">
              <w:rPr>
                <w:rFonts w:ascii="SWISS" w:hAnsi="SWISS" w:cs="Arial"/>
                <w:sz w:val="20"/>
                <w:szCs w:val="20"/>
                <w:u w:val="double"/>
              </w:rPr>
              <w:t>)</w:t>
            </w:r>
          </w:p>
        </w:tc>
        <w:tc>
          <w:tcPr>
            <w:tcW w:w="12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double"/>
              </w:rPr>
            </w:pPr>
            <w:r w:rsidRPr="00DA0E11">
              <w:rPr>
                <w:rFonts w:ascii="SWISS" w:hAnsi="SWISS" w:cs="Arial"/>
                <w:sz w:val="20"/>
                <w:szCs w:val="20"/>
                <w:u w:val="double"/>
              </w:rPr>
              <w:t>$49,</w:t>
            </w:r>
            <w:r>
              <w:rPr>
                <w:rFonts w:ascii="SWISS" w:hAnsi="SWISS" w:cs="Arial"/>
                <w:sz w:val="20"/>
                <w:szCs w:val="20"/>
                <w:u w:val="double"/>
              </w:rPr>
              <w:t>773</w:t>
            </w:r>
            <w:r w:rsidRPr="00DA0E11">
              <w:rPr>
                <w:rFonts w:ascii="SWISS" w:hAnsi="SWISS" w:cs="Arial"/>
                <w:sz w:val="20"/>
                <w:szCs w:val="20"/>
                <w:u w:val="double"/>
              </w:rPr>
              <w:t xml:space="preserve"> </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sz w:val="20"/>
                <w:szCs w:val="20"/>
                <w:u w:val="double"/>
              </w:rPr>
            </w:pPr>
            <w:r w:rsidRPr="00DA0E11">
              <w:rPr>
                <w:rFonts w:ascii="SWISS" w:hAnsi="SWISS" w:cs="Arial"/>
                <w:sz w:val="20"/>
                <w:szCs w:val="20"/>
                <w:u w:val="double"/>
              </w:rPr>
              <w:t>100.00%</w:t>
            </w: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jc w:val="right"/>
              <w:rPr>
                <w:rFonts w:ascii="SWISS" w:hAnsi="SWISS" w:cs="Arial"/>
                <w:sz w:val="20"/>
                <w:szCs w:val="20"/>
                <w:u w:val="double"/>
              </w:rPr>
            </w:pPr>
            <w:r w:rsidRPr="00DA0E11">
              <w:rPr>
                <w:rFonts w:ascii="SWISS" w:hAnsi="SWISS" w:cs="Arial"/>
                <w:sz w:val="20"/>
                <w:szCs w:val="20"/>
                <w:u w:val="double"/>
              </w:rPr>
              <w:t>8.13%</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7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6"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1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sz w:val="20"/>
                <w:szCs w:val="20"/>
              </w:rPr>
            </w:pP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sz w:val="20"/>
                <w:szCs w:val="20"/>
              </w:rPr>
            </w:pPr>
            <w:r w:rsidRPr="00DA0E11">
              <w:rPr>
                <w:rFonts w:ascii="SWISS" w:hAnsi="SWISS" w:cs="Arial"/>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796932" w:rsidRPr="00DA0E11" w:rsidRDefault="00796932" w:rsidP="00796932">
            <w:pPr>
              <w:rPr>
                <w:rFonts w:ascii="SWISS" w:hAnsi="SWISS" w:cs="Arial"/>
                <w:b/>
                <w:bCs/>
                <w:color w:val="000000"/>
                <w:sz w:val="20"/>
                <w:szCs w:val="20"/>
              </w:rPr>
            </w:pPr>
            <w:r w:rsidRPr="00DA0E11">
              <w:rPr>
                <w:rFonts w:ascii="SWISS" w:hAnsi="SWISS" w:cs="Arial"/>
                <w:b/>
                <w:bCs/>
                <w:color w:val="000000"/>
                <w:sz w:val="20"/>
                <w:szCs w:val="20"/>
              </w:rPr>
              <w:t>RANGE OF REASONABLENESS</w:t>
            </w:r>
          </w:p>
        </w:tc>
        <w:tc>
          <w:tcPr>
            <w:tcW w:w="1255"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u w:val="single"/>
              </w:rPr>
            </w:pPr>
            <w:r w:rsidRPr="00DA0E11">
              <w:rPr>
                <w:rFonts w:ascii="SWISS" w:hAnsi="SWISS" w:cs="Arial"/>
                <w:b/>
                <w:bCs/>
                <w:color w:val="000000"/>
                <w:sz w:val="20"/>
                <w:szCs w:val="20"/>
                <w:u w:val="single"/>
              </w:rPr>
              <w:t>LOW</w:t>
            </w:r>
          </w:p>
        </w:tc>
        <w:tc>
          <w:tcPr>
            <w:tcW w:w="1183" w:type="dxa"/>
            <w:tcBorders>
              <w:top w:val="nil"/>
              <w:left w:val="nil"/>
              <w:bottom w:val="nil"/>
              <w:right w:val="nil"/>
            </w:tcBorders>
            <w:shd w:val="clear" w:color="auto" w:fill="auto"/>
            <w:noWrap/>
            <w:vAlign w:val="bottom"/>
          </w:tcPr>
          <w:p w:rsidR="00796932" w:rsidRPr="00DA0E11" w:rsidRDefault="00796932" w:rsidP="00796932">
            <w:pPr>
              <w:jc w:val="center"/>
              <w:rPr>
                <w:rFonts w:ascii="SWISS" w:hAnsi="SWISS" w:cs="Arial"/>
                <w:b/>
                <w:bCs/>
                <w:color w:val="000000"/>
                <w:sz w:val="20"/>
                <w:szCs w:val="20"/>
                <w:u w:val="single"/>
              </w:rPr>
            </w:pPr>
            <w:r w:rsidRPr="00DA0E11">
              <w:rPr>
                <w:rFonts w:ascii="SWISS" w:hAnsi="SWISS" w:cs="Arial"/>
                <w:b/>
                <w:bCs/>
                <w:color w:val="000000"/>
                <w:sz w:val="20"/>
                <w:szCs w:val="20"/>
                <w:u w:val="single"/>
              </w:rPr>
              <w:t>HIGH</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3011" w:type="dxa"/>
            <w:gridSpan w:val="2"/>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xml:space="preserve">    RETURN ON EQUITY</w:t>
            </w:r>
          </w:p>
        </w:tc>
        <w:tc>
          <w:tcPr>
            <w:tcW w:w="128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color w:val="000000"/>
                <w:sz w:val="20"/>
                <w:szCs w:val="20"/>
                <w:u w:val="double"/>
              </w:rPr>
            </w:pPr>
            <w:r w:rsidRPr="00DA0E11">
              <w:rPr>
                <w:rFonts w:ascii="SWISS" w:hAnsi="SWISS" w:cs="Arial"/>
                <w:color w:val="000000"/>
                <w:sz w:val="20"/>
                <w:szCs w:val="20"/>
                <w:u w:val="double"/>
              </w:rPr>
              <w:t>7.74%</w:t>
            </w:r>
          </w:p>
        </w:tc>
        <w:tc>
          <w:tcPr>
            <w:tcW w:w="11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color w:val="000000"/>
                <w:sz w:val="20"/>
                <w:szCs w:val="20"/>
                <w:u w:val="double"/>
              </w:rPr>
            </w:pPr>
            <w:r w:rsidRPr="00DA0E11">
              <w:rPr>
                <w:rFonts w:ascii="SWISS" w:hAnsi="SWISS" w:cs="Arial"/>
                <w:color w:val="000000"/>
                <w:sz w:val="20"/>
                <w:szCs w:val="20"/>
                <w:u w:val="double"/>
              </w:rPr>
              <w:t>9.74%</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r>
      <w:tr w:rsidR="00796932" w:rsidRPr="00F52F8B" w:rsidTr="00796932">
        <w:trPr>
          <w:trHeight w:val="292"/>
          <w:jc w:val="center"/>
        </w:trPr>
        <w:tc>
          <w:tcPr>
            <w:tcW w:w="483"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124"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1213" w:type="dxa"/>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p>
        </w:tc>
        <w:tc>
          <w:tcPr>
            <w:tcW w:w="4294" w:type="dxa"/>
            <w:gridSpan w:val="3"/>
            <w:tcBorders>
              <w:top w:val="nil"/>
              <w:left w:val="nil"/>
              <w:bottom w:val="nil"/>
              <w:right w:val="nil"/>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xml:space="preserve">    OVERALL RATE OF RETURN</w:t>
            </w:r>
          </w:p>
        </w:tc>
        <w:tc>
          <w:tcPr>
            <w:tcW w:w="1255"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color w:val="000000"/>
                <w:sz w:val="20"/>
                <w:szCs w:val="20"/>
                <w:u w:val="double"/>
              </w:rPr>
            </w:pPr>
            <w:r w:rsidRPr="00DA0E11">
              <w:rPr>
                <w:rFonts w:ascii="SWISS" w:hAnsi="SWISS" w:cs="Arial"/>
                <w:color w:val="000000"/>
                <w:sz w:val="20"/>
                <w:szCs w:val="20"/>
                <w:u w:val="double"/>
              </w:rPr>
              <w:t>7.22%</w:t>
            </w:r>
          </w:p>
        </w:tc>
        <w:tc>
          <w:tcPr>
            <w:tcW w:w="1183" w:type="dxa"/>
            <w:tcBorders>
              <w:top w:val="nil"/>
              <w:left w:val="nil"/>
              <w:bottom w:val="nil"/>
              <w:right w:val="nil"/>
            </w:tcBorders>
            <w:shd w:val="clear" w:color="auto" w:fill="auto"/>
            <w:noWrap/>
            <w:vAlign w:val="bottom"/>
          </w:tcPr>
          <w:p w:rsidR="00796932" w:rsidRPr="00DA0E11" w:rsidRDefault="00796932" w:rsidP="00796932">
            <w:pPr>
              <w:jc w:val="right"/>
              <w:rPr>
                <w:rFonts w:ascii="SWISS" w:hAnsi="SWISS" w:cs="Arial"/>
                <w:color w:val="000000"/>
                <w:sz w:val="20"/>
                <w:szCs w:val="20"/>
                <w:u w:val="double"/>
              </w:rPr>
            </w:pPr>
            <w:r w:rsidRPr="00DA0E11">
              <w:rPr>
                <w:rFonts w:ascii="SWISS" w:hAnsi="SWISS" w:cs="Arial"/>
                <w:color w:val="000000"/>
                <w:sz w:val="20"/>
                <w:szCs w:val="20"/>
                <w:u w:val="double"/>
              </w:rPr>
              <w:t>9.04%</w:t>
            </w:r>
          </w:p>
        </w:tc>
        <w:tc>
          <w:tcPr>
            <w:tcW w:w="1460" w:type="dxa"/>
            <w:tcBorders>
              <w:top w:val="nil"/>
              <w:left w:val="nil"/>
              <w:bottom w:val="nil"/>
              <w:right w:val="single" w:sz="8" w:space="0" w:color="auto"/>
            </w:tcBorders>
            <w:shd w:val="clear" w:color="auto" w:fill="auto"/>
            <w:noWrap/>
            <w:vAlign w:val="bottom"/>
          </w:tcPr>
          <w:p w:rsidR="00796932" w:rsidRPr="00DA0E11" w:rsidRDefault="00796932" w:rsidP="00796932">
            <w:pPr>
              <w:rPr>
                <w:rFonts w:ascii="SWISS" w:hAnsi="SWISS" w:cs="Arial"/>
                <w:color w:val="000000"/>
                <w:sz w:val="20"/>
                <w:szCs w:val="20"/>
              </w:rPr>
            </w:pPr>
            <w:r w:rsidRPr="00DA0E11">
              <w:rPr>
                <w:rFonts w:ascii="SWISS" w:hAnsi="SWISS" w:cs="Arial"/>
                <w:color w:val="000000"/>
                <w:sz w:val="20"/>
                <w:szCs w:val="20"/>
              </w:rPr>
              <w:t> </w:t>
            </w:r>
          </w:p>
        </w:tc>
      </w:tr>
      <w:tr w:rsidR="00796932" w:rsidRPr="00F52F8B" w:rsidTr="00796932">
        <w:trPr>
          <w:trHeight w:val="303"/>
          <w:jc w:val="center"/>
        </w:trPr>
        <w:tc>
          <w:tcPr>
            <w:tcW w:w="483"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2855"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124"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213"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755"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256"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283"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255"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183"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460" w:type="dxa"/>
            <w:tcBorders>
              <w:top w:val="nil"/>
              <w:left w:val="nil"/>
              <w:bottom w:val="single" w:sz="8" w:space="0" w:color="auto"/>
              <w:right w:val="single" w:sz="8" w:space="0" w:color="auto"/>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bl>
    <w:p w:rsidR="00796932" w:rsidRDefault="00796932" w:rsidP="00FB23DB">
      <w:pPr>
        <w:pStyle w:val="OrderBody"/>
      </w:pPr>
    </w:p>
    <w:p w:rsidR="00796932" w:rsidRDefault="00796932" w:rsidP="00FB23DB">
      <w:pPr>
        <w:pStyle w:val="OrderBody"/>
        <w:sectPr w:rsidR="00796932" w:rsidSect="00796932">
          <w:pgSz w:w="15840" w:h="12240" w:orient="landscape" w:code="1"/>
          <w:pgMar w:top="1440" w:right="1440" w:bottom="1440" w:left="1440" w:header="720" w:footer="720" w:gutter="0"/>
          <w:cols w:space="720"/>
          <w:titlePg/>
          <w:docGrid w:linePitch="360"/>
        </w:sectPr>
      </w:pPr>
    </w:p>
    <w:tbl>
      <w:tblPr>
        <w:tblW w:w="13844" w:type="dxa"/>
        <w:jc w:val="center"/>
        <w:tblInd w:w="98" w:type="dxa"/>
        <w:tblCellMar>
          <w:left w:w="0" w:type="dxa"/>
          <w:right w:w="0" w:type="dxa"/>
        </w:tblCellMar>
        <w:tblLook w:val="0000" w:firstRow="0" w:lastRow="0" w:firstColumn="0" w:lastColumn="0" w:noHBand="0" w:noVBand="0"/>
      </w:tblPr>
      <w:tblGrid>
        <w:gridCol w:w="774"/>
        <w:gridCol w:w="3657"/>
        <w:gridCol w:w="1905"/>
        <w:gridCol w:w="1905"/>
        <w:gridCol w:w="1905"/>
        <w:gridCol w:w="1905"/>
        <w:gridCol w:w="1905"/>
      </w:tblGrid>
      <w:tr w:rsidR="00796932" w:rsidRPr="00F52F8B" w:rsidTr="00796932">
        <w:trPr>
          <w:trHeight w:val="294"/>
          <w:jc w:val="center"/>
        </w:trPr>
        <w:tc>
          <w:tcPr>
            <w:tcW w:w="758" w:type="dxa"/>
            <w:tcBorders>
              <w:top w:val="single" w:sz="8" w:space="0" w:color="auto"/>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lastRenderedPageBreak/>
              <w:br w:type="page"/>
            </w:r>
            <w:r w:rsidRPr="00F52F8B">
              <w:rPr>
                <w:rFonts w:ascii="SWISS" w:hAnsi="SWISS" w:cs="Arial"/>
                <w:sz w:val="20"/>
                <w:szCs w:val="20"/>
              </w:rPr>
              <w:t> </w:t>
            </w:r>
          </w:p>
        </w:tc>
        <w:tc>
          <w:tcPr>
            <w:tcW w:w="5530" w:type="dxa"/>
            <w:gridSpan w:val="2"/>
            <w:tcBorders>
              <w:top w:val="single" w:sz="8" w:space="0" w:color="auto"/>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162A11">
              <w:rPr>
                <w:rFonts w:ascii="SWISS" w:hAnsi="SWISS" w:cs="Arial"/>
                <w:b/>
                <w:bCs/>
                <w:sz w:val="20"/>
                <w:szCs w:val="20"/>
              </w:rPr>
              <w:t>SUNRISE U</w:t>
            </w:r>
            <w:r>
              <w:rPr>
                <w:rFonts w:ascii="SWISS" w:hAnsi="SWISS" w:cs="Arial"/>
                <w:b/>
                <w:bCs/>
                <w:sz w:val="20"/>
                <w:szCs w:val="20"/>
              </w:rPr>
              <w:t>TILITIES, LLC.</w:t>
            </w:r>
          </w:p>
        </w:tc>
        <w:tc>
          <w:tcPr>
            <w:tcW w:w="1889" w:type="dxa"/>
            <w:tcBorders>
              <w:top w:val="single" w:sz="8" w:space="0" w:color="auto"/>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c>
          <w:tcPr>
            <w:tcW w:w="1889" w:type="dxa"/>
            <w:tcBorders>
              <w:top w:val="single" w:sz="8" w:space="0" w:color="auto"/>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c>
          <w:tcPr>
            <w:tcW w:w="3778" w:type="dxa"/>
            <w:gridSpan w:val="2"/>
            <w:tcBorders>
              <w:top w:val="single" w:sz="8" w:space="0" w:color="auto"/>
              <w:left w:val="nil"/>
              <w:bottom w:val="nil"/>
              <w:right w:val="single" w:sz="8" w:space="0" w:color="auto"/>
            </w:tcBorders>
            <w:shd w:val="clear" w:color="auto" w:fill="auto"/>
            <w:noWrap/>
            <w:vAlign w:val="bottom"/>
          </w:tcPr>
          <w:p w:rsidR="00796932" w:rsidRPr="00F52F8B" w:rsidRDefault="00796932" w:rsidP="00796932">
            <w:pPr>
              <w:rPr>
                <w:rFonts w:ascii="SWISS" w:hAnsi="SWISS" w:cs="Arial"/>
                <w:b/>
                <w:bCs/>
                <w:sz w:val="20"/>
                <w:szCs w:val="20"/>
              </w:rPr>
            </w:pPr>
            <w:r w:rsidRPr="00F52F8B">
              <w:rPr>
                <w:rFonts w:ascii="SWISS" w:hAnsi="SWISS" w:cs="Arial"/>
                <w:b/>
                <w:bCs/>
                <w:sz w:val="20"/>
                <w:szCs w:val="20"/>
              </w:rPr>
              <w:t xml:space="preserve">                      </w:t>
            </w:r>
            <w:r>
              <w:rPr>
                <w:rFonts w:ascii="SWISS" w:hAnsi="SWISS" w:cs="Arial"/>
                <w:b/>
                <w:bCs/>
                <w:sz w:val="20"/>
                <w:szCs w:val="20"/>
              </w:rPr>
              <w:t xml:space="preserve">       </w:t>
            </w:r>
            <w:r w:rsidRPr="00F52F8B">
              <w:rPr>
                <w:rFonts w:ascii="SWISS" w:hAnsi="SWISS" w:cs="Arial"/>
                <w:b/>
                <w:bCs/>
                <w:sz w:val="20"/>
                <w:szCs w:val="20"/>
              </w:rPr>
              <w:t xml:space="preserve">       SCHEDULE NO. 3-A</w:t>
            </w:r>
            <w:r w:rsidR="00953FEE" w:rsidRPr="00F52F8B">
              <w:rPr>
                <w:sz w:val="20"/>
                <w:szCs w:val="20"/>
              </w:rPr>
              <w:fldChar w:fldCharType="begin"/>
            </w:r>
            <w:r w:rsidRPr="00F52F8B">
              <w:rPr>
                <w:sz w:val="20"/>
                <w:szCs w:val="20"/>
              </w:rPr>
              <w:instrText xml:space="preserve"> TC "</w:instrText>
            </w:r>
            <w:bookmarkStart w:id="20" w:name="_Toc442874090"/>
            <w:r w:rsidRPr="00F52F8B">
              <w:rPr>
                <w:sz w:val="20"/>
                <w:szCs w:val="20"/>
              </w:rPr>
              <w:tab/>
            </w:r>
            <w:bookmarkStart w:id="21" w:name="_Toc418142435"/>
            <w:bookmarkStart w:id="22" w:name="_Toc443552001"/>
            <w:r w:rsidRPr="00F52F8B">
              <w:rPr>
                <w:sz w:val="20"/>
                <w:szCs w:val="20"/>
              </w:rPr>
              <w:instrText>Schedule No. 3-A  Water Operating Income</w:instrText>
            </w:r>
            <w:bookmarkEnd w:id="20"/>
            <w:bookmarkEnd w:id="21"/>
            <w:bookmarkEnd w:id="22"/>
            <w:r w:rsidRPr="00F52F8B">
              <w:rPr>
                <w:sz w:val="20"/>
                <w:szCs w:val="20"/>
              </w:rPr>
              <w:instrText xml:space="preserve">”\l 1 </w:instrText>
            </w:r>
            <w:r w:rsidR="00953FEE" w:rsidRPr="00F52F8B">
              <w:rPr>
                <w:sz w:val="20"/>
                <w:szCs w:val="20"/>
              </w:rPr>
              <w:fldChar w:fldCharType="end"/>
            </w:r>
          </w:p>
        </w:tc>
      </w:tr>
      <w:tr w:rsidR="00796932" w:rsidRPr="00F52F8B" w:rsidTr="00796932">
        <w:trPr>
          <w:trHeight w:val="294"/>
          <w:jc w:val="center"/>
        </w:trPr>
        <w:tc>
          <w:tcPr>
            <w:tcW w:w="75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889" w:type="dxa"/>
            <w:tcBorders>
              <w:top w:val="nil"/>
              <w:left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3778" w:type="dxa"/>
            <w:gridSpan w:val="2"/>
            <w:tcBorders>
              <w:top w:val="nil"/>
              <w:left w:val="nil"/>
              <w:right w:val="single" w:sz="8" w:space="0" w:color="auto"/>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w:t>
            </w:r>
            <w:r>
              <w:rPr>
                <w:rFonts w:ascii="SWISS" w:hAnsi="SWISS" w:cs="Arial"/>
                <w:b/>
                <w:bCs/>
                <w:color w:val="000000"/>
                <w:sz w:val="20"/>
                <w:szCs w:val="20"/>
              </w:rPr>
              <w:t>20</w:t>
            </w:r>
            <w:r w:rsidRPr="00F52F8B">
              <w:rPr>
                <w:rFonts w:ascii="SWISS" w:hAnsi="SWISS" w:cs="Arial"/>
                <w:b/>
                <w:bCs/>
                <w:color w:val="000000"/>
                <w:sz w:val="20"/>
                <w:szCs w:val="20"/>
              </w:rPr>
              <w:t>-WU</w:t>
            </w:r>
          </w:p>
        </w:tc>
      </w:tr>
      <w:tr w:rsidR="00796932" w:rsidRPr="00F52F8B" w:rsidTr="00796932">
        <w:trPr>
          <w:trHeight w:val="306"/>
          <w:jc w:val="center"/>
        </w:trPr>
        <w:tc>
          <w:tcPr>
            <w:tcW w:w="758"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7419" w:type="dxa"/>
            <w:gridSpan w:val="3"/>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SCHEDULE OF WATER OPERATING INCOME</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single" w:sz="8" w:space="0" w:color="auto"/>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r w:rsidR="00796932" w:rsidRPr="00F52F8B" w:rsidTr="00796932">
        <w:trPr>
          <w:trHeight w:val="294"/>
          <w:jc w:val="center"/>
        </w:trPr>
        <w:tc>
          <w:tcPr>
            <w:tcW w:w="758" w:type="dxa"/>
            <w:tcBorders>
              <w:top w:val="single" w:sz="8" w:space="0" w:color="auto"/>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single" w:sz="8" w:space="0" w:color="auto"/>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single" w:sz="8" w:space="0" w:color="auto"/>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w:t>
            </w:r>
          </w:p>
        </w:tc>
        <w:tc>
          <w:tcPr>
            <w:tcW w:w="1889" w:type="dxa"/>
            <w:tcBorders>
              <w:top w:val="single" w:sz="8" w:space="0" w:color="auto"/>
              <w:left w:val="nil"/>
              <w:bottom w:val="nil"/>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 </w:t>
            </w:r>
          </w:p>
        </w:tc>
        <w:tc>
          <w:tcPr>
            <w:tcW w:w="1889" w:type="dxa"/>
            <w:tcBorders>
              <w:top w:val="single" w:sz="8" w:space="0" w:color="auto"/>
              <w:left w:val="nil"/>
              <w:bottom w:val="nil"/>
              <w:right w:val="nil"/>
            </w:tcBorders>
            <w:shd w:val="clear" w:color="auto" w:fill="auto"/>
            <w:noWrap/>
            <w:vAlign w:val="bottom"/>
          </w:tcPr>
          <w:p w:rsidR="00796932" w:rsidRPr="00F52F8B" w:rsidRDefault="00526BF4" w:rsidP="00796932">
            <w:pPr>
              <w:jc w:val="center"/>
              <w:rPr>
                <w:rFonts w:ascii="SWISS" w:hAnsi="SWISS" w:cs="Arial"/>
                <w:b/>
                <w:bCs/>
                <w:color w:val="000000"/>
                <w:sz w:val="20"/>
                <w:szCs w:val="20"/>
              </w:rPr>
            </w:pPr>
            <w:r>
              <w:rPr>
                <w:rFonts w:ascii="SWISS" w:hAnsi="SWISS" w:cs="Arial"/>
                <w:b/>
                <w:bCs/>
                <w:color w:val="000000"/>
                <w:sz w:val="20"/>
                <w:szCs w:val="20"/>
              </w:rPr>
              <w:t>COMMISSION</w:t>
            </w:r>
          </w:p>
        </w:tc>
        <w:tc>
          <w:tcPr>
            <w:tcW w:w="1889" w:type="dxa"/>
            <w:tcBorders>
              <w:top w:val="single" w:sz="8" w:space="0" w:color="auto"/>
              <w:left w:val="nil"/>
              <w:bottom w:val="nil"/>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ADJUST.</w:t>
            </w:r>
          </w:p>
        </w:tc>
        <w:tc>
          <w:tcPr>
            <w:tcW w:w="1889" w:type="dxa"/>
            <w:tcBorders>
              <w:top w:val="single" w:sz="8" w:space="0" w:color="auto"/>
              <w:left w:val="nil"/>
              <w:bottom w:val="nil"/>
              <w:right w:val="single" w:sz="8" w:space="0" w:color="auto"/>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w:t>
            </w:r>
          </w:p>
        </w:tc>
      </w:tr>
      <w:tr w:rsidR="00796932" w:rsidRPr="00F52F8B"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89" w:type="dxa"/>
            <w:tcBorders>
              <w:top w:val="nil"/>
              <w:left w:val="nil"/>
              <w:bottom w:val="nil"/>
              <w:right w:val="nil"/>
            </w:tcBorders>
            <w:shd w:val="clear" w:color="auto" w:fill="auto"/>
            <w:noWrap/>
            <w:vAlign w:val="bottom"/>
          </w:tcPr>
          <w:p w:rsidR="00796932" w:rsidRPr="00F52F8B" w:rsidRDefault="00526BF4" w:rsidP="00796932">
            <w:pPr>
              <w:jc w:val="center"/>
              <w:rPr>
                <w:rFonts w:ascii="SWISS" w:hAnsi="SWISS" w:cs="Arial"/>
                <w:b/>
                <w:bCs/>
                <w:color w:val="000000"/>
                <w:sz w:val="20"/>
                <w:szCs w:val="20"/>
              </w:rPr>
            </w:pPr>
            <w:r>
              <w:rPr>
                <w:rFonts w:ascii="SWISS" w:hAnsi="SWISS" w:cs="Arial"/>
                <w:b/>
                <w:bCs/>
                <w:color w:val="000000"/>
                <w:sz w:val="20"/>
                <w:szCs w:val="20"/>
              </w:rPr>
              <w:t>COMMISSION</w:t>
            </w:r>
            <w:r w:rsidR="00796932" w:rsidRPr="00F52F8B">
              <w:rPr>
                <w:rFonts w:ascii="SWISS" w:hAnsi="SWISS" w:cs="Arial"/>
                <w:b/>
                <w:bCs/>
                <w:color w:val="000000"/>
                <w:sz w:val="20"/>
                <w:szCs w:val="20"/>
              </w:rPr>
              <w:t xml:space="preserve"> </w:t>
            </w:r>
          </w:p>
        </w:tc>
        <w:tc>
          <w:tcPr>
            <w:tcW w:w="1889" w:type="dxa"/>
            <w:tcBorders>
              <w:top w:val="nil"/>
              <w:left w:val="nil"/>
              <w:bottom w:val="nil"/>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ADJUSTED</w:t>
            </w:r>
          </w:p>
        </w:tc>
        <w:tc>
          <w:tcPr>
            <w:tcW w:w="1889" w:type="dxa"/>
            <w:tcBorders>
              <w:top w:val="nil"/>
              <w:left w:val="nil"/>
              <w:bottom w:val="nil"/>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FOR</w:t>
            </w:r>
          </w:p>
        </w:tc>
        <w:tc>
          <w:tcPr>
            <w:tcW w:w="1889" w:type="dxa"/>
            <w:tcBorders>
              <w:top w:val="nil"/>
              <w:left w:val="nil"/>
              <w:bottom w:val="nil"/>
              <w:right w:val="single" w:sz="8" w:space="0" w:color="auto"/>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REVENUE</w:t>
            </w:r>
          </w:p>
        </w:tc>
      </w:tr>
      <w:tr w:rsidR="00796932" w:rsidRPr="00F52F8B" w:rsidTr="00796932">
        <w:trPr>
          <w:trHeight w:val="306"/>
          <w:jc w:val="center"/>
        </w:trPr>
        <w:tc>
          <w:tcPr>
            <w:tcW w:w="758"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PER UTILITY</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ADJUSTMENTS</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TEST YEAR</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INCREASE</w:t>
            </w:r>
          </w:p>
        </w:tc>
        <w:tc>
          <w:tcPr>
            <w:tcW w:w="1889" w:type="dxa"/>
            <w:tcBorders>
              <w:top w:val="nil"/>
              <w:left w:val="nil"/>
              <w:bottom w:val="single" w:sz="8" w:space="0" w:color="auto"/>
              <w:right w:val="single" w:sz="8" w:space="0" w:color="auto"/>
            </w:tcBorders>
            <w:shd w:val="clear" w:color="auto" w:fill="auto"/>
            <w:noWrap/>
            <w:vAlign w:val="bottom"/>
          </w:tcPr>
          <w:p w:rsidR="00796932" w:rsidRPr="00F52F8B" w:rsidRDefault="00796932" w:rsidP="00796932">
            <w:pPr>
              <w:jc w:val="center"/>
              <w:rPr>
                <w:rFonts w:ascii="SWISS" w:hAnsi="SWISS" w:cs="Arial"/>
                <w:b/>
                <w:bCs/>
                <w:color w:val="000000"/>
                <w:sz w:val="20"/>
                <w:szCs w:val="20"/>
              </w:rPr>
            </w:pPr>
            <w:r w:rsidRPr="00F52F8B">
              <w:rPr>
                <w:rFonts w:ascii="SWISS" w:hAnsi="SWISS" w:cs="Arial"/>
                <w:b/>
                <w:bCs/>
                <w:color w:val="000000"/>
                <w:sz w:val="20"/>
                <w:szCs w:val="20"/>
              </w:rPr>
              <w:t>REQUIREMENT</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color w:val="000000"/>
                <w:sz w:val="20"/>
                <w:szCs w:val="20"/>
              </w:rPr>
            </w:pPr>
            <w:r w:rsidRPr="00310347">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color w:val="000000"/>
                <w:sz w:val="20"/>
                <w:szCs w:val="20"/>
              </w:rPr>
            </w:pPr>
            <w:r w:rsidRPr="00310347">
              <w:rPr>
                <w:rFonts w:ascii="SWISS" w:hAnsi="SWISS" w:cs="Arial"/>
                <w:color w:val="000000"/>
                <w:sz w:val="20"/>
                <w:szCs w:val="20"/>
              </w:rPr>
              <w:t>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color w:val="000000"/>
                <w:sz w:val="20"/>
                <w:szCs w:val="20"/>
              </w:rPr>
            </w:pPr>
            <w:r w:rsidRPr="00310347">
              <w:rPr>
                <w:rFonts w:ascii="SWISS" w:hAnsi="SWISS" w:cs="Arial"/>
                <w:color w:val="000000"/>
                <w:sz w:val="20"/>
                <w:szCs w:val="20"/>
              </w:rPr>
              <w:t> </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color w:val="000000"/>
                <w:sz w:val="20"/>
                <w:szCs w:val="20"/>
              </w:rPr>
            </w:pPr>
            <w:r w:rsidRPr="00310347">
              <w:rPr>
                <w:rFonts w:ascii="SWISS" w:hAnsi="SWISS" w:cs="Arial"/>
                <w:color w:val="000000"/>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1.</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xml:space="preserve">OPERATING REVENUES               </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69</w:t>
            </w:r>
            <w:r w:rsidRPr="00F52F8B">
              <w:rPr>
                <w:rFonts w:ascii="SWISS" w:hAnsi="SWISS" w:cs="Arial"/>
                <w:sz w:val="20"/>
                <w:szCs w:val="20"/>
                <w:u w:val="single"/>
              </w:rPr>
              <w:t>,</w:t>
            </w:r>
            <w:r>
              <w:rPr>
                <w:rFonts w:ascii="SWISS" w:hAnsi="SWISS" w:cs="Arial"/>
                <w:sz w:val="20"/>
                <w:szCs w:val="20"/>
                <w:u w:val="single"/>
              </w:rPr>
              <w:t>416</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$5,522</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$74,938</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 xml:space="preserve">$7,510 </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$82,448</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 10.02%</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OPERATING EXPENSES:</w:t>
            </w: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2.</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  OPERATION &amp; MAINTENANCE</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69</w:t>
            </w:r>
            <w:r w:rsidRPr="00F52F8B">
              <w:rPr>
                <w:rFonts w:ascii="SWISS" w:hAnsi="SWISS" w:cs="Arial"/>
                <w:sz w:val="20"/>
                <w:szCs w:val="20"/>
              </w:rPr>
              <w:t>,</w:t>
            </w:r>
            <w:r>
              <w:rPr>
                <w:rFonts w:ascii="SWISS" w:hAnsi="SWISS" w:cs="Arial"/>
                <w:sz w:val="20"/>
                <w:szCs w:val="20"/>
              </w:rPr>
              <w:t>373</w:t>
            </w:r>
            <w:r w:rsidRPr="00F52F8B">
              <w:rPr>
                <w:rFonts w:ascii="SWISS" w:hAnsi="SWISS" w:cs="Arial"/>
                <w:sz w:val="20"/>
                <w:szCs w:val="20"/>
              </w:rPr>
              <w:t xml:space="preserve">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($2,676)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$66,697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$0 </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$66,697 </w:t>
            </w:r>
          </w:p>
        </w:tc>
      </w:tr>
      <w:tr w:rsidR="00796932" w:rsidRPr="00310347" w:rsidTr="00796932">
        <w:trPr>
          <w:trHeight w:val="306"/>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306"/>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3.</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  DEPRECIATION (NET)</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0</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4,508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4,508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0 </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4,508</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4.</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  TAXES OTHER THAN INCOME</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Pr>
                <w:rFonts w:ascii="SWISS" w:hAnsi="SWISS" w:cs="Arial"/>
                <w:sz w:val="20"/>
                <w:szCs w:val="20"/>
              </w:rPr>
              <w:t>5</w:t>
            </w:r>
            <w:r w:rsidRPr="00F52F8B">
              <w:rPr>
                <w:rFonts w:ascii="SWISS" w:hAnsi="SWISS" w:cs="Arial"/>
                <w:sz w:val="20"/>
                <w:szCs w:val="20"/>
              </w:rPr>
              <w:t>,</w:t>
            </w:r>
            <w:r>
              <w:rPr>
                <w:rFonts w:ascii="SWISS" w:hAnsi="SWISS" w:cs="Arial"/>
                <w:sz w:val="20"/>
                <w:szCs w:val="20"/>
              </w:rPr>
              <w:t>731</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(1,496)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4,235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 xml:space="preserve">338 </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rPr>
            </w:pPr>
            <w:r w:rsidRPr="00310347">
              <w:rPr>
                <w:rFonts w:ascii="SWISS" w:hAnsi="SWISS" w:cs="Arial"/>
                <w:sz w:val="20"/>
                <w:szCs w:val="20"/>
              </w:rPr>
              <w:t>4,573</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5.</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xml:space="preserve">  INCOME TAXES</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single"/>
              </w:rPr>
            </w:pPr>
            <w:r w:rsidRPr="00F52F8B">
              <w:rPr>
                <w:rFonts w:ascii="SWISS" w:hAnsi="SWISS" w:cs="Arial"/>
                <w:sz w:val="20"/>
                <w:szCs w:val="20"/>
                <w:u w:val="single"/>
              </w:rPr>
              <w:t>0</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0</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0</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 xml:space="preserve">0 </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 xml:space="preserve">0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6.</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xml:space="preserve">TOTAL OPERATING EXPENSES    </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single"/>
              </w:rPr>
            </w:pPr>
            <w:r w:rsidRPr="00F52F8B">
              <w:rPr>
                <w:rFonts w:ascii="SWISS" w:hAnsi="SWISS" w:cs="Arial"/>
                <w:sz w:val="20"/>
                <w:szCs w:val="20"/>
                <w:u w:val="single"/>
              </w:rPr>
              <w:t>$</w:t>
            </w:r>
            <w:r>
              <w:rPr>
                <w:rFonts w:ascii="SWISS" w:hAnsi="SWISS" w:cs="Arial"/>
                <w:sz w:val="20"/>
                <w:szCs w:val="20"/>
                <w:u w:val="single"/>
              </w:rPr>
              <w:t>75</w:t>
            </w:r>
            <w:r w:rsidRPr="00F52F8B">
              <w:rPr>
                <w:rFonts w:ascii="SWISS" w:hAnsi="SWISS" w:cs="Arial"/>
                <w:sz w:val="20"/>
                <w:szCs w:val="20"/>
                <w:u w:val="single"/>
              </w:rPr>
              <w:t>,</w:t>
            </w:r>
            <w:r>
              <w:rPr>
                <w:rFonts w:ascii="SWISS" w:hAnsi="SWISS" w:cs="Arial"/>
                <w:sz w:val="20"/>
                <w:szCs w:val="20"/>
                <w:u w:val="single"/>
              </w:rPr>
              <w:t>104</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$336</w:t>
            </w:r>
            <w:r w:rsidRPr="00310347">
              <w:rPr>
                <w:rFonts w:ascii="SWISS" w:hAnsi="SWISS" w:cs="Arial"/>
                <w:strike/>
                <w:sz w:val="20"/>
                <w:szCs w:val="20"/>
                <w:u w:val="single"/>
              </w:rPr>
              <w:t>)</w:t>
            </w:r>
            <w:r w:rsidRPr="00310347">
              <w:rPr>
                <w:rFonts w:ascii="SWISS" w:hAnsi="SWISS" w:cs="Arial"/>
                <w:sz w:val="20"/>
                <w:szCs w:val="20"/>
                <w:u w:val="single"/>
              </w:rPr>
              <w:t xml:space="preserve">  </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$75,440</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 xml:space="preserve">$338 </w:t>
            </w: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single"/>
              </w:rPr>
            </w:pPr>
            <w:r w:rsidRPr="00310347">
              <w:rPr>
                <w:rFonts w:ascii="SWISS" w:hAnsi="SWISS" w:cs="Arial"/>
                <w:sz w:val="20"/>
                <w:szCs w:val="20"/>
                <w:u w:val="single"/>
              </w:rPr>
              <w:t>$75,778</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7.</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xml:space="preserve">OPERATING INCOME/(LOSS)        </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w:t>
            </w:r>
            <w:r w:rsidRPr="00F52F8B">
              <w:rPr>
                <w:rFonts w:ascii="SWISS" w:hAnsi="SWISS" w:cs="Arial"/>
                <w:sz w:val="20"/>
                <w:szCs w:val="20"/>
                <w:u w:val="double"/>
              </w:rPr>
              <w:t>,</w:t>
            </w:r>
            <w:r>
              <w:rPr>
                <w:rFonts w:ascii="SWISS" w:hAnsi="SWISS" w:cs="Arial"/>
                <w:sz w:val="20"/>
                <w:szCs w:val="20"/>
                <w:u w:val="double"/>
              </w:rPr>
              <w:t>688</w:t>
            </w:r>
            <w:r w:rsidRPr="00F52F8B">
              <w:rPr>
                <w:rFonts w:ascii="SWISS" w:hAnsi="SWISS" w:cs="Arial"/>
                <w:sz w:val="20"/>
                <w:szCs w:val="20"/>
                <w:u w:val="double"/>
              </w:rPr>
              <w:t xml:space="preserve">)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double"/>
              </w:rPr>
            </w:pPr>
            <w:r w:rsidRPr="00310347">
              <w:rPr>
                <w:rFonts w:ascii="SWISS" w:hAnsi="SWISS" w:cs="Arial"/>
                <w:sz w:val="20"/>
                <w:szCs w:val="20"/>
                <w:u w:val="double"/>
              </w:rPr>
              <w:t xml:space="preserve">($502)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double"/>
              </w:rPr>
            </w:pPr>
            <w:r w:rsidRPr="00310347">
              <w:rPr>
                <w:rFonts w:ascii="SWISS" w:hAnsi="SWISS" w:cs="Arial"/>
                <w:sz w:val="20"/>
                <w:szCs w:val="20"/>
                <w:u w:val="double"/>
              </w:rPr>
              <w:t xml:space="preserve">$6,670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8.</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 xml:space="preserve">WATER RATE BASE           </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5</w:t>
            </w:r>
            <w:r w:rsidRPr="00F52F8B">
              <w:rPr>
                <w:rFonts w:ascii="SWISS" w:hAnsi="SWISS" w:cs="Arial"/>
                <w:sz w:val="20"/>
                <w:szCs w:val="20"/>
                <w:u w:val="double"/>
              </w:rPr>
              <w:t>5,</w:t>
            </w:r>
            <w:r>
              <w:rPr>
                <w:rFonts w:ascii="SWISS" w:hAnsi="SWISS" w:cs="Arial"/>
                <w:sz w:val="20"/>
                <w:szCs w:val="20"/>
                <w:u w:val="double"/>
              </w:rPr>
              <w:t>415</w:t>
            </w:r>
            <w:r w:rsidRPr="00F52F8B">
              <w:rPr>
                <w:rFonts w:ascii="SWISS" w:hAnsi="SWISS" w:cs="Arial"/>
                <w:sz w:val="20"/>
                <w:szCs w:val="20"/>
                <w:u w:val="double"/>
              </w:rPr>
              <w:t xml:space="preserve">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double"/>
              </w:rPr>
            </w:pPr>
            <w:r w:rsidRPr="00310347">
              <w:rPr>
                <w:rFonts w:ascii="SWISS" w:hAnsi="SWISS" w:cs="Arial"/>
                <w:sz w:val="20"/>
                <w:szCs w:val="20"/>
                <w:u w:val="double"/>
              </w:rPr>
              <w:t xml:space="preserve">$49,773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double"/>
              </w:rPr>
            </w:pPr>
            <w:r w:rsidRPr="00310347">
              <w:rPr>
                <w:rFonts w:ascii="SWISS" w:hAnsi="SWISS" w:cs="Arial"/>
                <w:sz w:val="20"/>
                <w:szCs w:val="20"/>
                <w:u w:val="double"/>
              </w:rPr>
              <w:t xml:space="preserve">$49,773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rPr>
                <w:rFonts w:ascii="SWISS" w:hAnsi="SWISS" w:cs="Arial"/>
                <w:sz w:val="20"/>
                <w:szCs w:val="20"/>
              </w:rPr>
            </w:pPr>
            <w:r w:rsidRPr="00310347">
              <w:rPr>
                <w:rFonts w:ascii="SWISS" w:hAnsi="SWISS" w:cs="Arial"/>
                <w:sz w:val="20"/>
                <w:szCs w:val="20"/>
              </w:rPr>
              <w:t> </w:t>
            </w: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9.</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RATE OF RETURN</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10</w:t>
            </w:r>
            <w:r w:rsidRPr="00F52F8B">
              <w:rPr>
                <w:rFonts w:ascii="SWISS" w:hAnsi="SWISS" w:cs="Arial"/>
                <w:sz w:val="20"/>
                <w:szCs w:val="20"/>
                <w:u w:val="double"/>
              </w:rPr>
              <w:t>.</w:t>
            </w:r>
            <w:r>
              <w:rPr>
                <w:rFonts w:ascii="SWISS" w:hAnsi="SWISS" w:cs="Arial"/>
                <w:sz w:val="20"/>
                <w:szCs w:val="20"/>
                <w:u w:val="double"/>
              </w:rPr>
              <w:t>26</w:t>
            </w:r>
            <w:r w:rsidRPr="00F52F8B">
              <w:rPr>
                <w:rFonts w:ascii="SWISS" w:hAnsi="SWISS" w:cs="Arial"/>
                <w:sz w:val="20"/>
                <w:szCs w:val="20"/>
                <w:u w:val="double"/>
              </w:rPr>
              <w:t>%</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r w:rsidRPr="00310347">
              <w:rPr>
                <w:rFonts w:ascii="SWISS" w:hAnsi="SWISS" w:cs="Arial"/>
                <w:sz w:val="20"/>
                <w:szCs w:val="20"/>
                <w:u w:val="double"/>
              </w:rPr>
              <w:t>)</w:t>
            </w: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double"/>
              </w:rPr>
            </w:pPr>
            <w:r w:rsidRPr="00310347">
              <w:rPr>
                <w:rFonts w:ascii="SWISS" w:hAnsi="SWISS" w:cs="Arial"/>
                <w:sz w:val="20"/>
                <w:szCs w:val="20"/>
                <w:u w:val="double"/>
              </w:rPr>
              <w:t xml:space="preserve">(1.01%) </w:t>
            </w: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double"/>
              </w:rPr>
            </w:pP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double"/>
              </w:rPr>
            </w:pPr>
          </w:p>
        </w:tc>
      </w:tr>
      <w:tr w:rsidR="00796932" w:rsidRPr="00310347" w:rsidTr="00796932">
        <w:trPr>
          <w:trHeight w:val="294"/>
          <w:jc w:val="center"/>
        </w:trPr>
        <w:tc>
          <w:tcPr>
            <w:tcW w:w="758" w:type="dxa"/>
            <w:tcBorders>
              <w:top w:val="nil"/>
              <w:left w:val="single" w:sz="8" w:space="0" w:color="auto"/>
              <w:bottom w:val="nil"/>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r w:rsidRPr="00F52F8B">
              <w:rPr>
                <w:rFonts w:ascii="SWISS" w:hAnsi="SWISS" w:cs="Arial"/>
                <w:color w:val="000000"/>
                <w:sz w:val="20"/>
                <w:szCs w:val="20"/>
              </w:rPr>
              <w:t xml:space="preserve">  </w:t>
            </w:r>
            <w:r>
              <w:rPr>
                <w:rFonts w:ascii="SWISS" w:hAnsi="SWISS" w:cs="Arial"/>
                <w:color w:val="000000"/>
                <w:sz w:val="20"/>
                <w:szCs w:val="20"/>
              </w:rPr>
              <w:t>10</w:t>
            </w:r>
            <w:r w:rsidRPr="00F52F8B">
              <w:rPr>
                <w:rFonts w:ascii="SWISS" w:hAnsi="SWISS" w:cs="Arial"/>
                <w:color w:val="000000"/>
                <w:sz w:val="20"/>
                <w:szCs w:val="20"/>
              </w:rPr>
              <w:t>.</w:t>
            </w:r>
          </w:p>
        </w:tc>
        <w:tc>
          <w:tcPr>
            <w:tcW w:w="3641" w:type="dxa"/>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Pr>
                <w:rFonts w:ascii="SWISS" w:hAnsi="SWISS" w:cs="Arial"/>
                <w:b/>
                <w:bCs/>
                <w:color w:val="000000"/>
                <w:sz w:val="20"/>
                <w:szCs w:val="20"/>
              </w:rPr>
              <w:t>OPERATING RATIO</w:t>
            </w:r>
          </w:p>
        </w:tc>
        <w:tc>
          <w:tcPr>
            <w:tcW w:w="1889" w:type="dxa"/>
            <w:tcBorders>
              <w:top w:val="nil"/>
              <w:left w:val="nil"/>
              <w:bottom w:val="nil"/>
              <w:right w:val="nil"/>
            </w:tcBorders>
            <w:shd w:val="clear" w:color="auto" w:fill="auto"/>
            <w:noWrap/>
            <w:vAlign w:val="bottom"/>
          </w:tcPr>
          <w:p w:rsidR="00796932" w:rsidRPr="00F52F8B" w:rsidRDefault="00796932" w:rsidP="00796932">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jc w:val="right"/>
              <w:rPr>
                <w:rFonts w:ascii="SWISS" w:hAnsi="SWISS" w:cs="Arial"/>
                <w:sz w:val="20"/>
                <w:szCs w:val="20"/>
                <w:u w:val="double"/>
              </w:rPr>
            </w:pPr>
          </w:p>
        </w:tc>
        <w:tc>
          <w:tcPr>
            <w:tcW w:w="1889" w:type="dxa"/>
            <w:tcBorders>
              <w:top w:val="nil"/>
              <w:left w:val="nil"/>
              <w:bottom w:val="nil"/>
              <w:right w:val="nil"/>
            </w:tcBorders>
            <w:shd w:val="clear" w:color="auto" w:fill="auto"/>
            <w:noWrap/>
            <w:vAlign w:val="bottom"/>
          </w:tcPr>
          <w:p w:rsidR="00796932" w:rsidRPr="00310347" w:rsidRDefault="00796932" w:rsidP="00796932">
            <w:pPr>
              <w:rPr>
                <w:rFonts w:ascii="SWISS" w:hAnsi="SWISS" w:cs="Arial"/>
                <w:sz w:val="20"/>
                <w:szCs w:val="20"/>
                <w:u w:val="double"/>
              </w:rPr>
            </w:pPr>
          </w:p>
        </w:tc>
        <w:tc>
          <w:tcPr>
            <w:tcW w:w="1889" w:type="dxa"/>
            <w:tcBorders>
              <w:top w:val="nil"/>
              <w:left w:val="nil"/>
              <w:bottom w:val="nil"/>
              <w:right w:val="single" w:sz="8" w:space="0" w:color="auto"/>
            </w:tcBorders>
            <w:shd w:val="clear" w:color="auto" w:fill="auto"/>
            <w:noWrap/>
            <w:vAlign w:val="bottom"/>
          </w:tcPr>
          <w:p w:rsidR="00796932" w:rsidRPr="00310347" w:rsidRDefault="00796932" w:rsidP="00796932">
            <w:pPr>
              <w:jc w:val="right"/>
              <w:rPr>
                <w:rFonts w:ascii="SWISS" w:hAnsi="SWISS" w:cs="Arial"/>
                <w:sz w:val="20"/>
                <w:szCs w:val="20"/>
                <w:u w:val="double"/>
              </w:rPr>
            </w:pPr>
            <w:r w:rsidRPr="00310347">
              <w:rPr>
                <w:rFonts w:ascii="SWISS" w:hAnsi="SWISS" w:cs="Arial"/>
                <w:sz w:val="20"/>
                <w:szCs w:val="20"/>
                <w:u w:val="double"/>
              </w:rPr>
              <w:t>10.00%</w:t>
            </w:r>
          </w:p>
        </w:tc>
      </w:tr>
      <w:tr w:rsidR="00796932" w:rsidRPr="00F52F8B" w:rsidTr="00796932">
        <w:trPr>
          <w:trHeight w:val="306"/>
          <w:jc w:val="center"/>
        </w:trPr>
        <w:tc>
          <w:tcPr>
            <w:tcW w:w="758"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jc w:val="center"/>
              <w:rPr>
                <w:rFonts w:ascii="SWISS" w:hAnsi="SWISS" w:cs="Arial"/>
                <w:color w:val="000000"/>
                <w:sz w:val="20"/>
                <w:szCs w:val="20"/>
              </w:rPr>
            </w:pPr>
          </w:p>
        </w:tc>
        <w:tc>
          <w:tcPr>
            <w:tcW w:w="3641"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1889" w:type="dxa"/>
            <w:tcBorders>
              <w:top w:val="nil"/>
              <w:left w:val="nil"/>
              <w:bottom w:val="single" w:sz="8" w:space="0" w:color="auto"/>
              <w:right w:val="single" w:sz="8" w:space="0" w:color="auto"/>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bl>
    <w:p w:rsidR="00796932" w:rsidRDefault="00796932" w:rsidP="00FB23DB">
      <w:pPr>
        <w:pStyle w:val="OrderBody"/>
      </w:pPr>
    </w:p>
    <w:p w:rsidR="00796932" w:rsidRDefault="00796932" w:rsidP="00FB23DB">
      <w:pPr>
        <w:pStyle w:val="OrderBody"/>
        <w:sectPr w:rsidR="00796932" w:rsidSect="00796932">
          <w:pgSz w:w="15840" w:h="12240" w:orient="landscape" w:code="1"/>
          <w:pgMar w:top="1440" w:right="1440" w:bottom="1440" w:left="1440" w:header="720" w:footer="720" w:gutter="0"/>
          <w:cols w:space="720"/>
          <w:titlePg/>
          <w:docGrid w:linePitch="360"/>
        </w:sectPr>
      </w:pPr>
    </w:p>
    <w:tbl>
      <w:tblPr>
        <w:tblW w:w="10620" w:type="dxa"/>
        <w:jc w:val="center"/>
        <w:tblInd w:w="10" w:type="dxa"/>
        <w:tblCellMar>
          <w:left w:w="0" w:type="dxa"/>
          <w:right w:w="0" w:type="dxa"/>
        </w:tblCellMar>
        <w:tblLook w:val="04A0" w:firstRow="1" w:lastRow="0" w:firstColumn="1" w:lastColumn="0" w:noHBand="0" w:noVBand="1"/>
      </w:tblPr>
      <w:tblGrid>
        <w:gridCol w:w="1424"/>
        <w:gridCol w:w="99"/>
        <w:gridCol w:w="7783"/>
        <w:gridCol w:w="40"/>
        <w:gridCol w:w="842"/>
        <w:gridCol w:w="480"/>
      </w:tblGrid>
      <w:tr w:rsidR="00796932" w:rsidTr="00796932">
        <w:trPr>
          <w:trHeight w:val="48"/>
          <w:jc w:val="center"/>
        </w:trPr>
        <w:tc>
          <w:tcPr>
            <w:tcW w:w="1507" w:type="dxa"/>
            <w:gridSpan w:val="2"/>
            <w:tcBorders>
              <w:top w:val="single" w:sz="8" w:space="0" w:color="auto"/>
              <w:left w:val="single" w:sz="8" w:space="0" w:color="auto"/>
              <w:bottom w:val="nil"/>
              <w:right w:val="nil"/>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lastRenderedPageBreak/>
              <w:t> </w:t>
            </w:r>
          </w:p>
        </w:tc>
        <w:tc>
          <w:tcPr>
            <w:tcW w:w="9113" w:type="dxa"/>
            <w:gridSpan w:val="4"/>
            <w:tcBorders>
              <w:top w:val="single" w:sz="8" w:space="0" w:color="auto"/>
              <w:left w:val="nil"/>
              <w:bottom w:val="nil"/>
              <w:right w:val="single" w:sz="8" w:space="0" w:color="auto"/>
            </w:tcBorders>
            <w:noWrap/>
            <w:vAlign w:val="bottom"/>
            <w:hideMark/>
          </w:tcPr>
          <w:p w:rsidR="00796932" w:rsidRDefault="00796932" w:rsidP="00796932">
            <w:pPr>
              <w:jc w:val="both"/>
              <w:rPr>
                <w:rFonts w:ascii="SWISS" w:hAnsi="SWISS" w:cs="Arial"/>
                <w:b/>
                <w:bCs/>
                <w:color w:val="000000"/>
                <w:sz w:val="20"/>
                <w:szCs w:val="20"/>
              </w:rPr>
            </w:pPr>
            <w:r>
              <w:rPr>
                <w:rFonts w:ascii="SWISS" w:hAnsi="SWISS" w:cs="Arial"/>
                <w:b/>
                <w:bCs/>
                <w:color w:val="000000"/>
                <w:sz w:val="20"/>
                <w:szCs w:val="20"/>
              </w:rPr>
              <w:t>SUNRISE UTILITIES, LLC.                                                                                     SCHEDULE NO. 3-B</w:t>
            </w:r>
            <w:r w:rsidR="00953FEE">
              <w:rPr>
                <w:sz w:val="20"/>
                <w:szCs w:val="20"/>
              </w:rPr>
              <w:fldChar w:fldCharType="begin"/>
            </w:r>
            <w:r>
              <w:rPr>
                <w:sz w:val="20"/>
                <w:szCs w:val="20"/>
              </w:rPr>
              <w:instrText xml:space="preserve"> TC "</w:instrText>
            </w:r>
            <w:bookmarkStart w:id="23" w:name="_Toc442874091"/>
            <w:r>
              <w:rPr>
                <w:sz w:val="20"/>
                <w:szCs w:val="20"/>
              </w:rPr>
              <w:instrText xml:space="preserve"> </w:instrText>
            </w:r>
            <w:bookmarkStart w:id="24" w:name="_Toc443479237"/>
            <w:bookmarkStart w:id="25" w:name="_Toc418142436"/>
            <w:bookmarkStart w:id="26" w:name="_Toc443552002"/>
            <w:r>
              <w:rPr>
                <w:sz w:val="20"/>
                <w:szCs w:val="20"/>
              </w:rPr>
              <w:instrText>Schedule No. 3-B  Adjustments to NOI</w:instrText>
            </w:r>
            <w:bookmarkEnd w:id="23"/>
            <w:bookmarkEnd w:id="24"/>
            <w:bookmarkEnd w:id="25"/>
            <w:bookmarkEnd w:id="26"/>
            <w:r>
              <w:rPr>
                <w:sz w:val="20"/>
                <w:szCs w:val="20"/>
              </w:rPr>
              <w:instrText xml:space="preserve">”\l 1 </w:instrText>
            </w:r>
            <w:r w:rsidR="00953FEE">
              <w:rPr>
                <w:sz w:val="20"/>
                <w:szCs w:val="20"/>
              </w:rPr>
              <w:fldChar w:fldCharType="end"/>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 </w:t>
            </w:r>
          </w:p>
        </w:tc>
        <w:tc>
          <w:tcPr>
            <w:tcW w:w="9113" w:type="dxa"/>
            <w:gridSpan w:val="4"/>
            <w:tcBorders>
              <w:top w:val="nil"/>
              <w:left w:val="nil"/>
              <w:bottom w:val="nil"/>
              <w:right w:val="single" w:sz="8" w:space="0" w:color="auto"/>
            </w:tcBorders>
            <w:noWrap/>
            <w:vAlign w:val="bottom"/>
            <w:hideMark/>
          </w:tcPr>
          <w:p w:rsidR="00796932" w:rsidRDefault="00796932" w:rsidP="00796932">
            <w:pPr>
              <w:ind w:left="-11"/>
              <w:jc w:val="both"/>
              <w:rPr>
                <w:rFonts w:ascii="SWISS" w:hAnsi="SWISS" w:cs="Arial"/>
                <w:b/>
                <w:bCs/>
                <w:color w:val="000000"/>
                <w:sz w:val="20"/>
                <w:szCs w:val="20"/>
              </w:rPr>
            </w:pPr>
            <w:r>
              <w:rPr>
                <w:rFonts w:ascii="SWISS" w:hAnsi="SWISS" w:cs="Arial"/>
                <w:b/>
                <w:bCs/>
                <w:color w:val="000000"/>
                <w:sz w:val="20"/>
                <w:szCs w:val="20"/>
              </w:rPr>
              <w:t>TEST YEAR ENDED 12/31/14                                                                           DOCKET NO. 140220-WU</w:t>
            </w:r>
          </w:p>
        </w:tc>
      </w:tr>
      <w:tr w:rsidR="00796932" w:rsidTr="00796932">
        <w:trPr>
          <w:trHeight w:val="51"/>
          <w:jc w:val="center"/>
        </w:trPr>
        <w:tc>
          <w:tcPr>
            <w:tcW w:w="1507" w:type="dxa"/>
            <w:gridSpan w:val="2"/>
            <w:tcBorders>
              <w:top w:val="nil"/>
              <w:left w:val="single" w:sz="8" w:space="0" w:color="auto"/>
              <w:bottom w:val="single" w:sz="8" w:space="0" w:color="auto"/>
              <w:right w:val="nil"/>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 </w:t>
            </w:r>
          </w:p>
        </w:tc>
        <w:tc>
          <w:tcPr>
            <w:tcW w:w="9113" w:type="dxa"/>
            <w:gridSpan w:val="4"/>
            <w:tcBorders>
              <w:top w:val="nil"/>
              <w:left w:val="nil"/>
              <w:bottom w:val="single" w:sz="8" w:space="0" w:color="auto"/>
              <w:right w:val="single" w:sz="8" w:space="0" w:color="auto"/>
            </w:tcBorders>
            <w:noWrap/>
            <w:vAlign w:val="bottom"/>
            <w:hideMark/>
          </w:tcPr>
          <w:p w:rsidR="00796932" w:rsidRDefault="00796932" w:rsidP="00796932">
            <w:pPr>
              <w:jc w:val="both"/>
              <w:rPr>
                <w:rFonts w:ascii="SWISS" w:hAnsi="SWISS" w:cs="Arial"/>
                <w:b/>
                <w:bCs/>
                <w:color w:val="000000"/>
                <w:sz w:val="20"/>
                <w:szCs w:val="20"/>
              </w:rPr>
            </w:pPr>
            <w:r>
              <w:rPr>
                <w:rFonts w:ascii="SWISS" w:hAnsi="SWISS" w:cs="Arial"/>
                <w:b/>
                <w:bCs/>
                <w:sz w:val="20"/>
                <w:szCs w:val="20"/>
              </w:rPr>
              <w:t xml:space="preserve">ADJUSTMENTS TO OPERATING INCOME                                                                           </w:t>
            </w:r>
            <w:r>
              <w:rPr>
                <w:rFonts w:ascii="SWISS" w:hAnsi="SWISS" w:cs="Arial"/>
                <w:b/>
                <w:bCs/>
                <w:color w:val="000000"/>
                <w:sz w:val="20"/>
                <w:szCs w:val="20"/>
              </w:rPr>
              <w:t>Page 1 of 2</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jc w:val="right"/>
              <w:rPr>
                <w:rFonts w:ascii="SWISS" w:hAnsi="SWISS" w:cs="Arial"/>
                <w:sz w:val="20"/>
                <w:szCs w:val="20"/>
              </w:rPr>
            </w:pPr>
          </w:p>
        </w:tc>
        <w:tc>
          <w:tcPr>
            <w:tcW w:w="7767" w:type="dxa"/>
            <w:noWrap/>
            <w:vAlign w:val="bottom"/>
          </w:tcPr>
          <w:p w:rsidR="00796932" w:rsidRDefault="00796932" w:rsidP="00796932">
            <w:pPr>
              <w:rPr>
                <w:rFonts w:ascii="SWISS" w:hAnsi="SWISS" w:cs="Arial"/>
                <w:b/>
                <w:bCs/>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color w:val="000000"/>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ind w:left="10"/>
              <w:jc w:val="right"/>
              <w:rPr>
                <w:rFonts w:ascii="SWISS" w:hAnsi="SWISS" w:cs="Arial"/>
                <w:sz w:val="20"/>
                <w:szCs w:val="20"/>
              </w:rPr>
            </w:pPr>
          </w:p>
        </w:tc>
        <w:tc>
          <w:tcPr>
            <w:tcW w:w="7767" w:type="dxa"/>
            <w:noWrap/>
            <w:vAlign w:val="bottom"/>
            <w:hideMark/>
          </w:tcPr>
          <w:p w:rsidR="00796932" w:rsidRDefault="00796932" w:rsidP="00796932">
            <w:pPr>
              <w:rPr>
                <w:rFonts w:ascii="SWISS" w:hAnsi="SWISS" w:cs="Arial"/>
                <w:b/>
                <w:bCs/>
                <w:sz w:val="20"/>
                <w:szCs w:val="20"/>
              </w:rPr>
            </w:pPr>
            <w:r>
              <w:rPr>
                <w:rFonts w:ascii="SWISS" w:hAnsi="SWISS" w:cs="Arial"/>
                <w:b/>
                <w:bCs/>
                <w:sz w:val="20"/>
                <w:szCs w:val="20"/>
              </w:rPr>
              <w:t>OPERATING REVENUES</w:t>
            </w: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sz w:val="20"/>
                <w:szCs w:val="20"/>
              </w:rPr>
            </w:pPr>
            <w:r>
              <w:rPr>
                <w:rFonts w:ascii="SWISS" w:hAnsi="SWISS" w:cs="Arial"/>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ind w:left="331"/>
              <w:rPr>
                <w:rFonts w:ascii="SWISS" w:hAnsi="SWISS" w:cs="Arial"/>
                <w:sz w:val="20"/>
                <w:szCs w:val="20"/>
              </w:rPr>
            </w:pPr>
          </w:p>
        </w:tc>
        <w:tc>
          <w:tcPr>
            <w:tcW w:w="7767" w:type="dxa"/>
            <w:noWrap/>
            <w:vAlign w:val="bottom"/>
          </w:tcPr>
          <w:p w:rsidR="00796932" w:rsidRDefault="00796932" w:rsidP="00796932">
            <w:pPr>
              <w:rPr>
                <w:rFonts w:ascii="SWISS" w:hAnsi="SWISS" w:cs="Arial"/>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jc w:val="right"/>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ind w:left="331"/>
              <w:rPr>
                <w:rFonts w:ascii="SWISS" w:hAnsi="SWISS" w:cs="Arial"/>
                <w:sz w:val="20"/>
                <w:szCs w:val="20"/>
              </w:rPr>
            </w:pPr>
            <w:r>
              <w:rPr>
                <w:rFonts w:ascii="SWISS" w:hAnsi="SWISS" w:cs="Arial"/>
                <w:sz w:val="20"/>
                <w:szCs w:val="20"/>
              </w:rPr>
              <w:t xml:space="preserve">              1.</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To reflect the appropriate test year revenues.</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$2,882</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tabs>
                <w:tab w:val="left" w:pos="745"/>
              </w:tabs>
              <w:ind w:left="331"/>
              <w:rPr>
                <w:rFonts w:ascii="SWISS" w:hAnsi="SWISS" w:cs="Arial"/>
                <w:sz w:val="20"/>
                <w:szCs w:val="20"/>
              </w:rPr>
            </w:pPr>
            <w:r>
              <w:rPr>
                <w:rFonts w:ascii="SWISS" w:hAnsi="SWISS" w:cs="Arial"/>
                <w:sz w:val="20"/>
                <w:szCs w:val="20"/>
              </w:rPr>
              <w:t xml:space="preserve">              2.</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To reflect the appropriate test year miscellaneous service revenues.</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single"/>
              </w:rPr>
            </w:pPr>
            <w:r>
              <w:rPr>
                <w:rFonts w:ascii="SWISS" w:hAnsi="SWISS" w:cs="Arial"/>
                <w:sz w:val="20"/>
                <w:szCs w:val="20"/>
                <w:u w:val="single"/>
              </w:rPr>
              <w:t xml:space="preserve">2,640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ind w:left="331"/>
              <w:jc w:val="right"/>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Subtotal</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double"/>
              </w:rPr>
            </w:pPr>
            <w:r>
              <w:rPr>
                <w:rFonts w:ascii="SWISS" w:hAnsi="SWISS" w:cs="Arial"/>
                <w:sz w:val="20"/>
                <w:szCs w:val="20"/>
                <w:u w:val="double"/>
              </w:rPr>
              <w:t>$5,522</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jc w:val="right"/>
              <w:rPr>
                <w:rFonts w:ascii="SWISS" w:hAnsi="SWISS" w:cs="Arial"/>
                <w:sz w:val="20"/>
                <w:szCs w:val="20"/>
              </w:rPr>
            </w:pPr>
          </w:p>
        </w:tc>
        <w:tc>
          <w:tcPr>
            <w:tcW w:w="7767" w:type="dxa"/>
            <w:noWrap/>
            <w:vAlign w:val="bottom"/>
          </w:tcPr>
          <w:p w:rsidR="00796932" w:rsidRDefault="00796932" w:rsidP="00796932">
            <w:pPr>
              <w:rPr>
                <w:rFonts w:ascii="SWISS" w:hAnsi="SWISS" w:cs="Arial"/>
                <w:b/>
                <w:bCs/>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 </w:t>
            </w:r>
          </w:p>
        </w:tc>
        <w:tc>
          <w:tcPr>
            <w:tcW w:w="7767" w:type="dxa"/>
            <w:noWrap/>
            <w:vAlign w:val="bottom"/>
            <w:hideMark/>
          </w:tcPr>
          <w:p w:rsidR="00796932" w:rsidRDefault="00796932" w:rsidP="00796932">
            <w:pPr>
              <w:rPr>
                <w:rFonts w:ascii="SWISS" w:hAnsi="SWISS" w:cs="Arial"/>
                <w:b/>
                <w:bCs/>
                <w:sz w:val="20"/>
                <w:szCs w:val="20"/>
              </w:rPr>
            </w:pPr>
            <w:r>
              <w:rPr>
                <w:rFonts w:ascii="SWISS" w:hAnsi="SWISS" w:cs="Arial"/>
                <w:b/>
                <w:bCs/>
                <w:sz w:val="20"/>
                <w:szCs w:val="20"/>
              </w:rPr>
              <w:t>OPERATION AND MAINTENANCE EXPENSES</w:t>
            </w: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color w:val="000000"/>
                <w:sz w:val="20"/>
                <w:szCs w:val="20"/>
              </w:rPr>
            </w:pPr>
            <w:r>
              <w:rPr>
                <w:rFonts w:ascii="SWISS" w:hAnsi="SWISS" w:cs="Arial"/>
                <w:color w:val="000000"/>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 </w:t>
            </w:r>
          </w:p>
        </w:tc>
        <w:tc>
          <w:tcPr>
            <w:tcW w:w="7767" w:type="dxa"/>
            <w:noWrap/>
            <w:vAlign w:val="bottom"/>
          </w:tcPr>
          <w:p w:rsidR="00796932" w:rsidRDefault="00796932" w:rsidP="00796932">
            <w:pPr>
              <w:rPr>
                <w:rFonts w:ascii="SWISS" w:hAnsi="SWISS" w:cs="Arial"/>
                <w:color w:val="000000"/>
                <w:sz w:val="20"/>
                <w:szCs w:val="20"/>
              </w:rPr>
            </w:pP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color w:val="000000"/>
                <w:sz w:val="20"/>
                <w:szCs w:val="20"/>
              </w:rPr>
            </w:pPr>
            <w:r>
              <w:rPr>
                <w:rFonts w:ascii="SWISS" w:hAnsi="SWISS" w:cs="Arial"/>
                <w:color w:val="000000"/>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1.</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Salaries and Wages - Officers (603)</w:t>
            </w: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sz w:val="20"/>
                <w:szCs w:val="20"/>
              </w:rPr>
            </w:pPr>
            <w:r>
              <w:rPr>
                <w:rFonts w:ascii="SWISS" w:hAnsi="SWISS" w:cs="Arial"/>
                <w:sz w:val="20"/>
                <w:szCs w:val="20"/>
              </w:rPr>
              <w:t> </w:t>
            </w:r>
          </w:p>
        </w:tc>
      </w:tr>
      <w:tr w:rsidR="00796932" w:rsidTr="00796932">
        <w:trPr>
          <w:trHeight w:val="51"/>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a. To reflect appropriate allocation of administration officer/owner's salary.</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($2,640)</w:t>
            </w:r>
          </w:p>
        </w:tc>
      </w:tr>
      <w:tr w:rsidR="00796932" w:rsidTr="00796932">
        <w:trPr>
          <w:trHeight w:val="243"/>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b. To reflect appropriate allocation of president's salary.</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 xml:space="preserve">        585</w:t>
            </w:r>
          </w:p>
        </w:tc>
      </w:tr>
      <w:tr w:rsidR="00796932" w:rsidTr="00796932">
        <w:trPr>
          <w:trHeight w:val="51"/>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c. To reflect reduction in officers' salaries due to quality of service penalty.</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single"/>
              </w:rPr>
            </w:pPr>
            <w:r>
              <w:rPr>
                <w:rFonts w:ascii="SWISS" w:hAnsi="SWISS" w:cs="Arial"/>
                <w:sz w:val="20"/>
                <w:szCs w:val="20"/>
                <w:u w:val="single"/>
              </w:rPr>
              <w:t>(2,486)</w:t>
            </w:r>
          </w:p>
        </w:tc>
      </w:tr>
      <w:tr w:rsidR="00796932" w:rsidTr="00796932">
        <w:trPr>
          <w:trHeight w:val="51"/>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tcPr>
          <w:p w:rsidR="00796932" w:rsidRDefault="00796932" w:rsidP="00796932">
            <w:pPr>
              <w:rPr>
                <w:rFonts w:ascii="SWISS" w:hAnsi="SWISS" w:cs="Arial"/>
                <w:sz w:val="20"/>
                <w:szCs w:val="20"/>
              </w:rPr>
            </w:pP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double"/>
              </w:rPr>
            </w:pPr>
            <w:r>
              <w:rPr>
                <w:rFonts w:ascii="SWISS" w:hAnsi="SWISS" w:cs="Arial"/>
                <w:sz w:val="20"/>
                <w:szCs w:val="20"/>
                <w:u w:val="double"/>
              </w:rPr>
              <w:t>($4,541)</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2.</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Purchased Power (615)</w:t>
            </w: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sz w:val="20"/>
                <w:szCs w:val="20"/>
              </w:rPr>
            </w:pPr>
            <w:r>
              <w:rPr>
                <w:rFonts w:ascii="SWISS" w:hAnsi="SWISS" w:cs="Arial"/>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a. To reflect appropriate purchased power expense and removal of late fees..</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color w:val="000000"/>
                <w:sz w:val="20"/>
                <w:szCs w:val="20"/>
              </w:rPr>
            </w:pPr>
            <w:r>
              <w:rPr>
                <w:rFonts w:ascii="SWISS" w:hAnsi="SWISS" w:cs="Arial"/>
                <w:color w:val="000000"/>
                <w:sz w:val="20"/>
                <w:szCs w:val="20"/>
              </w:rPr>
              <w:t>($63)</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b. To reflect 9% excessive unaccounted for water adjustment.</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color w:val="000000"/>
                <w:sz w:val="20"/>
                <w:szCs w:val="20"/>
                <w:u w:val="single"/>
              </w:rPr>
            </w:pPr>
            <w:r>
              <w:rPr>
                <w:rFonts w:ascii="SWISS" w:hAnsi="SWISS" w:cs="Arial"/>
                <w:color w:val="000000"/>
                <w:sz w:val="20"/>
                <w:szCs w:val="20"/>
                <w:u w:val="single"/>
              </w:rPr>
              <w:t>(205)</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Subtotal</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double"/>
              </w:rPr>
            </w:pPr>
            <w:r>
              <w:rPr>
                <w:rFonts w:ascii="SWISS" w:hAnsi="SWISS" w:cs="Arial"/>
                <w:sz w:val="20"/>
                <w:szCs w:val="20"/>
                <w:u w:val="double"/>
              </w:rPr>
              <w:t>($268)</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tcPr>
          <w:p w:rsidR="00796932" w:rsidRDefault="00796932" w:rsidP="00796932">
            <w:pPr>
              <w:rPr>
                <w:rFonts w:ascii="SWISS" w:hAnsi="SWISS" w:cs="Arial"/>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3.</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Fuel for Power Production (616)</w:t>
            </w: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sz w:val="20"/>
                <w:szCs w:val="20"/>
              </w:rPr>
            </w:pPr>
            <w:r>
              <w:rPr>
                <w:rFonts w:ascii="SWISS" w:hAnsi="SWISS" w:cs="Arial"/>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To reflect propane fuel expense for emergency generator.</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color w:val="000000"/>
                <w:sz w:val="20"/>
                <w:szCs w:val="20"/>
                <w:u w:val="double"/>
              </w:rPr>
            </w:pPr>
            <w:r>
              <w:rPr>
                <w:rFonts w:ascii="SWISS" w:hAnsi="SWISS" w:cs="Arial"/>
                <w:color w:val="000000"/>
                <w:sz w:val="20"/>
                <w:szCs w:val="20"/>
                <w:u w:val="double"/>
              </w:rPr>
              <w:t>$219</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tcPr>
          <w:p w:rsidR="00796932" w:rsidRDefault="00796932" w:rsidP="00796932">
            <w:pPr>
              <w:rPr>
                <w:rFonts w:ascii="SWISS" w:hAnsi="SWISS" w:cs="Arial"/>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4.</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Chemicals (618)</w:t>
            </w: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a. To reflect appropriate chemicals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color w:val="000000"/>
                <w:sz w:val="20"/>
                <w:szCs w:val="20"/>
              </w:rPr>
            </w:pPr>
            <w:r>
              <w:rPr>
                <w:rFonts w:ascii="SWISS" w:hAnsi="SWISS" w:cs="Arial"/>
                <w:color w:val="000000"/>
                <w:sz w:val="20"/>
                <w:szCs w:val="20"/>
              </w:rPr>
              <w:t>$131</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b. To reflect 9% excessive unaccounted for water adjustment.</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color w:val="000000"/>
                <w:sz w:val="20"/>
                <w:szCs w:val="20"/>
                <w:u w:val="single"/>
              </w:rPr>
            </w:pPr>
            <w:r>
              <w:rPr>
                <w:rFonts w:ascii="SWISS" w:hAnsi="SWISS" w:cs="Arial"/>
                <w:color w:val="000000"/>
                <w:sz w:val="20"/>
                <w:szCs w:val="20"/>
                <w:u w:val="single"/>
              </w:rPr>
              <w:t>(141)</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Subtotal</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double"/>
              </w:rPr>
            </w:pPr>
            <w:r>
              <w:rPr>
                <w:rFonts w:ascii="SWISS" w:hAnsi="SWISS" w:cs="Arial"/>
                <w:sz w:val="20"/>
                <w:szCs w:val="20"/>
                <w:u w:val="double"/>
              </w:rPr>
              <w:t>($10)</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tcPr>
          <w:p w:rsidR="00796932" w:rsidRDefault="00796932" w:rsidP="00796932">
            <w:pPr>
              <w:rPr>
                <w:rFonts w:ascii="SWISS" w:hAnsi="SWISS" w:cs="Arial"/>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5.</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Contractual Services - Billing (630)</w:t>
            </w: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sz w:val="20"/>
                <w:szCs w:val="20"/>
              </w:rPr>
            </w:pPr>
            <w:r>
              <w:rPr>
                <w:rFonts w:ascii="SWISS" w:hAnsi="SWISS" w:cs="Arial"/>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pStyle w:val="ListParagraph"/>
              <w:numPr>
                <w:ilvl w:val="0"/>
                <w:numId w:val="24"/>
              </w:numPr>
              <w:ind w:left="171" w:hanging="171"/>
              <w:rPr>
                <w:rFonts w:ascii="SWISS" w:hAnsi="SWISS" w:cs="Arial"/>
                <w:sz w:val="20"/>
                <w:szCs w:val="20"/>
              </w:rPr>
            </w:pPr>
            <w:r>
              <w:rPr>
                <w:rFonts w:ascii="SWISS" w:hAnsi="SWISS" w:cs="Arial"/>
                <w:sz w:val="20"/>
                <w:szCs w:val="20"/>
              </w:rPr>
              <w:t>To reflect pro forma meter reading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$60</w:t>
            </w:r>
          </w:p>
        </w:tc>
      </w:tr>
      <w:tr w:rsidR="00796932" w:rsidRPr="00646D9C"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center"/>
            <w:hideMark/>
          </w:tcPr>
          <w:p w:rsidR="00796932" w:rsidRDefault="00796932" w:rsidP="00796932">
            <w:pPr>
              <w:rPr>
                <w:rFonts w:ascii="SWISS" w:hAnsi="SWISS" w:cs="Arial"/>
                <w:sz w:val="20"/>
                <w:szCs w:val="20"/>
              </w:rPr>
            </w:pPr>
            <w:r>
              <w:rPr>
                <w:rFonts w:ascii="SWISS" w:hAnsi="SWISS" w:cs="Arial"/>
                <w:sz w:val="20"/>
                <w:szCs w:val="20"/>
              </w:rPr>
              <w:t>b. To reflect pro forma contractual bookkeeping expense.</w:t>
            </w:r>
          </w:p>
        </w:tc>
        <w:tc>
          <w:tcPr>
            <w:tcW w:w="1346" w:type="dxa"/>
            <w:gridSpan w:val="3"/>
            <w:tcBorders>
              <w:top w:val="nil"/>
              <w:left w:val="nil"/>
              <w:bottom w:val="nil"/>
              <w:right w:val="single" w:sz="8" w:space="0" w:color="auto"/>
            </w:tcBorders>
            <w:noWrap/>
            <w:vAlign w:val="bottom"/>
            <w:hideMark/>
          </w:tcPr>
          <w:p w:rsidR="00796932" w:rsidRPr="00646D9C" w:rsidRDefault="00796932" w:rsidP="00796932">
            <w:pPr>
              <w:jc w:val="right"/>
              <w:rPr>
                <w:rFonts w:ascii="SWISS" w:hAnsi="SWISS" w:cs="Arial"/>
                <w:sz w:val="20"/>
                <w:szCs w:val="20"/>
                <w:u w:val="single"/>
              </w:rPr>
            </w:pPr>
            <w:r w:rsidRPr="00646D9C">
              <w:rPr>
                <w:rFonts w:ascii="SWISS" w:hAnsi="SWISS" w:cs="Arial"/>
                <w:sz w:val="20"/>
                <w:szCs w:val="20"/>
                <w:u w:val="single"/>
              </w:rPr>
              <w:t xml:space="preserve">($3,118) </w:t>
            </w:r>
          </w:p>
        </w:tc>
      </w:tr>
      <w:tr w:rsidR="00796932" w:rsidRPr="00646D9C"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Subtotal</w:t>
            </w:r>
          </w:p>
        </w:tc>
        <w:tc>
          <w:tcPr>
            <w:tcW w:w="1346" w:type="dxa"/>
            <w:gridSpan w:val="3"/>
            <w:tcBorders>
              <w:top w:val="nil"/>
              <w:left w:val="nil"/>
              <w:bottom w:val="nil"/>
              <w:right w:val="single" w:sz="8" w:space="0" w:color="auto"/>
            </w:tcBorders>
            <w:noWrap/>
            <w:vAlign w:val="bottom"/>
            <w:hideMark/>
          </w:tcPr>
          <w:p w:rsidR="00796932" w:rsidRPr="00646D9C" w:rsidRDefault="00796932" w:rsidP="00796932">
            <w:pPr>
              <w:jc w:val="right"/>
              <w:rPr>
                <w:rFonts w:ascii="SWISS" w:hAnsi="SWISS" w:cs="Arial"/>
                <w:sz w:val="20"/>
                <w:szCs w:val="20"/>
              </w:rPr>
            </w:pPr>
            <w:r w:rsidRPr="00646D9C">
              <w:rPr>
                <w:rFonts w:ascii="SWISS" w:hAnsi="SWISS" w:cs="Arial"/>
                <w:sz w:val="20"/>
                <w:szCs w:val="20"/>
                <w:u w:val="single"/>
              </w:rPr>
              <w:t>($3,058)</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tcPr>
          <w:p w:rsidR="00796932" w:rsidRDefault="00796932" w:rsidP="00796932">
            <w:pPr>
              <w:rPr>
                <w:rFonts w:ascii="SWISS" w:hAnsi="SWISS" w:cs="Arial"/>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jc w:val="right"/>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6.</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Contractual Services - Professional (631)</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pStyle w:val="ListParagraph"/>
              <w:numPr>
                <w:ilvl w:val="0"/>
                <w:numId w:val="25"/>
              </w:numPr>
              <w:ind w:left="245" w:hanging="245"/>
              <w:rPr>
                <w:rFonts w:ascii="SWISS" w:hAnsi="SWISS" w:cs="Arial"/>
                <w:sz w:val="20"/>
                <w:szCs w:val="20"/>
              </w:rPr>
            </w:pPr>
            <w:r>
              <w:rPr>
                <w:rFonts w:ascii="SWISS" w:hAnsi="SWISS" w:cs="Arial"/>
                <w:sz w:val="20"/>
                <w:szCs w:val="20"/>
              </w:rPr>
              <w:t>To reflect pro forma contractual bookkeeping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double"/>
              </w:rPr>
            </w:pPr>
            <w:r>
              <w:rPr>
                <w:rFonts w:ascii="SWISS" w:hAnsi="SWISS" w:cs="Arial"/>
                <w:sz w:val="20"/>
                <w:szCs w:val="20"/>
                <w:u w:val="double"/>
              </w:rPr>
              <w:t>$1,670</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tcPr>
          <w:p w:rsidR="00796932" w:rsidRDefault="00796932" w:rsidP="00796932">
            <w:pPr>
              <w:pStyle w:val="ListParagraph"/>
              <w:ind w:left="245"/>
              <w:rPr>
                <w:rFonts w:ascii="SWISS" w:hAnsi="SWISS" w:cs="Arial"/>
                <w:sz w:val="20"/>
                <w:szCs w:val="20"/>
              </w:rPr>
            </w:pP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7.</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Contractual Services - Testing (635)</w:t>
            </w:r>
          </w:p>
        </w:tc>
        <w:tc>
          <w:tcPr>
            <w:tcW w:w="1346" w:type="dxa"/>
            <w:gridSpan w:val="3"/>
            <w:tcBorders>
              <w:top w:val="nil"/>
              <w:left w:val="nil"/>
              <w:bottom w:val="nil"/>
              <w:right w:val="single" w:sz="8" w:space="0" w:color="auto"/>
            </w:tcBorders>
            <w:noWrap/>
            <w:vAlign w:val="bottom"/>
          </w:tcPr>
          <w:p w:rsidR="00796932" w:rsidRDefault="00796932" w:rsidP="00796932">
            <w:pPr>
              <w:jc w:val="right"/>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a. To reflect appropriate annual testing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 xml:space="preserve">$2,340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center"/>
            <w:hideMark/>
          </w:tcPr>
          <w:p w:rsidR="00796932" w:rsidRDefault="00796932" w:rsidP="00796932">
            <w:pPr>
              <w:rPr>
                <w:rFonts w:ascii="SWISS" w:hAnsi="SWISS" w:cs="Arial"/>
                <w:sz w:val="20"/>
                <w:szCs w:val="20"/>
              </w:rPr>
            </w:pPr>
            <w:r>
              <w:rPr>
                <w:rFonts w:ascii="SWISS" w:hAnsi="SWISS" w:cs="Arial"/>
                <w:sz w:val="20"/>
                <w:szCs w:val="20"/>
              </w:rPr>
              <w:t>b. To reflect pro forma 3-year amortization of triennial water tests.</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1,508</w:t>
            </w: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w:t>
            </w:r>
          </w:p>
        </w:tc>
        <w:tc>
          <w:tcPr>
            <w:tcW w:w="7767" w:type="dxa"/>
            <w:noWrap/>
            <w:vAlign w:val="center"/>
            <w:hideMark/>
          </w:tcPr>
          <w:p w:rsidR="00796932" w:rsidRDefault="00796932" w:rsidP="00796932">
            <w:pPr>
              <w:rPr>
                <w:rFonts w:ascii="SWISS" w:hAnsi="SWISS" w:cs="Arial"/>
                <w:sz w:val="20"/>
                <w:szCs w:val="20"/>
              </w:rPr>
            </w:pPr>
            <w:r>
              <w:rPr>
                <w:rFonts w:ascii="SWISS" w:hAnsi="SWISS" w:cs="Arial"/>
                <w:sz w:val="20"/>
                <w:szCs w:val="20"/>
              </w:rPr>
              <w:t>c. To reflect pro forma 5-year amortization of DEP-required additional tests.</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single"/>
              </w:rPr>
            </w:pPr>
            <w:r>
              <w:rPr>
                <w:rFonts w:ascii="SWISS" w:hAnsi="SWISS" w:cs="Arial"/>
                <w:sz w:val="20"/>
                <w:szCs w:val="20"/>
                <w:u w:val="single"/>
              </w:rPr>
              <w:t xml:space="preserve">760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Subtotal</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double"/>
              </w:rPr>
            </w:pPr>
            <w:r>
              <w:rPr>
                <w:rFonts w:ascii="SWISS" w:hAnsi="SWISS" w:cs="Arial"/>
                <w:sz w:val="20"/>
                <w:szCs w:val="20"/>
                <w:u w:val="double"/>
              </w:rPr>
              <w:t xml:space="preserve">$4,608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tcPr>
          <w:p w:rsidR="00796932" w:rsidRDefault="00796932" w:rsidP="00796932">
            <w:pPr>
              <w:rPr>
                <w:rFonts w:ascii="SWISS" w:hAnsi="SWISS" w:cs="Arial"/>
              </w:rPr>
            </w:pPr>
          </w:p>
        </w:tc>
        <w:tc>
          <w:tcPr>
            <w:tcW w:w="1346" w:type="dxa"/>
            <w:gridSpan w:val="3"/>
            <w:tcBorders>
              <w:top w:val="nil"/>
              <w:left w:val="nil"/>
              <w:bottom w:val="nil"/>
              <w:right w:val="single" w:sz="8" w:space="0" w:color="auto"/>
            </w:tcBorders>
            <w:noWrap/>
            <w:vAlign w:val="bottom"/>
          </w:tcPr>
          <w:p w:rsidR="00796932" w:rsidRDefault="00796932" w:rsidP="00796932">
            <w:pPr>
              <w:rPr>
                <w:rFonts w:ascii="SWISS" w:hAnsi="SWISS" w:cs="Arial"/>
                <w:sz w:val="20"/>
                <w:szCs w:val="20"/>
              </w:rPr>
            </w:pPr>
          </w:p>
        </w:tc>
      </w:tr>
      <w:tr w:rsidR="00796932" w:rsidTr="00796932">
        <w:trPr>
          <w:trHeight w:val="48"/>
          <w:jc w:val="center"/>
        </w:trPr>
        <w:tc>
          <w:tcPr>
            <w:tcW w:w="1507" w:type="dxa"/>
            <w:gridSpan w:val="2"/>
            <w:tcBorders>
              <w:top w:val="nil"/>
              <w:left w:val="single" w:sz="8" w:space="0" w:color="auto"/>
              <w:bottom w:val="nil"/>
              <w:right w:val="nil"/>
            </w:tcBorders>
            <w:noWrap/>
            <w:vAlign w:val="bottom"/>
            <w:hideMark/>
          </w:tcPr>
          <w:p w:rsidR="00796932" w:rsidRDefault="00796932" w:rsidP="00796932">
            <w:pPr>
              <w:jc w:val="center"/>
              <w:rPr>
                <w:rFonts w:ascii="SWISS" w:hAnsi="SWISS" w:cs="Arial"/>
                <w:sz w:val="20"/>
                <w:szCs w:val="20"/>
              </w:rPr>
            </w:pPr>
            <w:r>
              <w:rPr>
                <w:rFonts w:ascii="SWISS" w:hAnsi="SWISS" w:cs="Arial"/>
                <w:sz w:val="20"/>
                <w:szCs w:val="20"/>
              </w:rPr>
              <w:t xml:space="preserve">               8.</w:t>
            </w: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Contractual Services - Other (636)</w:t>
            </w:r>
          </w:p>
        </w:tc>
        <w:tc>
          <w:tcPr>
            <w:tcW w:w="1346" w:type="dxa"/>
            <w:gridSpan w:val="3"/>
            <w:tcBorders>
              <w:top w:val="nil"/>
              <w:left w:val="nil"/>
              <w:bottom w:val="nil"/>
              <w:right w:val="single" w:sz="8" w:space="0" w:color="auto"/>
            </w:tcBorders>
            <w:noWrap/>
            <w:vAlign w:val="bottom"/>
            <w:hideMark/>
          </w:tcPr>
          <w:p w:rsidR="00796932" w:rsidRDefault="00796932" w:rsidP="00796932">
            <w:pPr>
              <w:rPr>
                <w:rFonts w:ascii="SWISS" w:hAnsi="SWISS" w:cs="Arial"/>
                <w:sz w:val="20"/>
                <w:szCs w:val="20"/>
              </w:rPr>
            </w:pPr>
            <w:r>
              <w:rPr>
                <w:rFonts w:ascii="SWISS" w:hAnsi="SWISS" w:cs="Arial"/>
                <w:sz w:val="20"/>
                <w:szCs w:val="20"/>
              </w:rPr>
              <w:t> </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a. To reflect appropriate contractual office manager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($1,958)</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b. To reflect appropriate test year contractual operator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173</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c. To reflect appropriate test year maintenance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(6,727)</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center"/>
            <w:hideMark/>
          </w:tcPr>
          <w:p w:rsidR="00796932" w:rsidRDefault="00796932" w:rsidP="00796932">
            <w:pPr>
              <w:rPr>
                <w:rFonts w:ascii="SWISS" w:hAnsi="SWISS" w:cs="Arial"/>
                <w:sz w:val="20"/>
                <w:szCs w:val="20"/>
              </w:rPr>
            </w:pPr>
            <w:r>
              <w:rPr>
                <w:rFonts w:ascii="SWISS" w:hAnsi="SWISS" w:cs="Arial"/>
                <w:sz w:val="20"/>
                <w:szCs w:val="20"/>
              </w:rPr>
              <w:t>d. To reclassify meter checking expense from Alturas to Sunrise.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159</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center"/>
            <w:hideMark/>
          </w:tcPr>
          <w:p w:rsidR="00796932" w:rsidRDefault="00796932" w:rsidP="00796932">
            <w:pPr>
              <w:rPr>
                <w:rFonts w:ascii="SWISS" w:hAnsi="SWISS" w:cs="Arial"/>
                <w:sz w:val="20"/>
                <w:szCs w:val="20"/>
              </w:rPr>
            </w:pPr>
            <w:r>
              <w:rPr>
                <w:rFonts w:ascii="SWISS" w:hAnsi="SWISS" w:cs="Arial"/>
                <w:sz w:val="20"/>
                <w:szCs w:val="20"/>
              </w:rPr>
              <w:t>e. To reflect pro forma contractual utility service technician expense.</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rPr>
            </w:pPr>
            <w:r>
              <w:rPr>
                <w:rFonts w:ascii="SWISS" w:hAnsi="SWISS" w:cs="Arial"/>
                <w:sz w:val="20"/>
                <w:szCs w:val="20"/>
              </w:rPr>
              <w:t>10,140</w:t>
            </w:r>
          </w:p>
        </w:tc>
      </w:tr>
      <w:tr w:rsidR="00796932" w:rsidTr="00796932">
        <w:trPr>
          <w:trHeight w:val="48"/>
          <w:jc w:val="center"/>
        </w:trPr>
        <w:tc>
          <w:tcPr>
            <w:tcW w:w="1507" w:type="dxa"/>
            <w:gridSpan w:val="2"/>
            <w:tcBorders>
              <w:top w:val="nil"/>
              <w:left w:val="single" w:sz="8" w:space="0" w:color="auto"/>
              <w:right w:val="nil"/>
            </w:tcBorders>
            <w:noWrap/>
            <w:vAlign w:val="bottom"/>
          </w:tcPr>
          <w:p w:rsidR="00796932" w:rsidRDefault="00796932" w:rsidP="00796932">
            <w:pPr>
              <w:rPr>
                <w:rFonts w:ascii="SWISS" w:hAnsi="SWISS" w:cs="Arial"/>
                <w:sz w:val="20"/>
                <w:szCs w:val="20"/>
              </w:rPr>
            </w:pPr>
          </w:p>
        </w:tc>
        <w:tc>
          <w:tcPr>
            <w:tcW w:w="7767" w:type="dxa"/>
            <w:noWrap/>
            <w:vAlign w:val="center"/>
            <w:hideMark/>
          </w:tcPr>
          <w:p w:rsidR="00796932" w:rsidRDefault="00796932" w:rsidP="00796932">
            <w:pPr>
              <w:rPr>
                <w:rFonts w:ascii="SWISS" w:hAnsi="SWISS" w:cs="Arial"/>
                <w:sz w:val="20"/>
                <w:szCs w:val="20"/>
              </w:rPr>
            </w:pPr>
            <w:r>
              <w:rPr>
                <w:rFonts w:ascii="SWISS" w:hAnsi="SWISS" w:cs="Arial"/>
                <w:sz w:val="20"/>
                <w:szCs w:val="20"/>
              </w:rPr>
              <w:t xml:space="preserve">f. To reflect annual amortization of </w:t>
            </w:r>
            <w:proofErr w:type="spellStart"/>
            <w:r>
              <w:rPr>
                <w:rFonts w:ascii="SWISS" w:hAnsi="SWISS" w:cs="Arial"/>
                <w:sz w:val="20"/>
                <w:szCs w:val="20"/>
              </w:rPr>
              <w:t>hydropneumatic</w:t>
            </w:r>
            <w:proofErr w:type="spellEnd"/>
            <w:r>
              <w:rPr>
                <w:rFonts w:ascii="SWISS" w:hAnsi="SWISS" w:cs="Arial"/>
                <w:sz w:val="20"/>
                <w:szCs w:val="20"/>
              </w:rPr>
              <w:t xml:space="preserve"> tank inspection/cleaning.</w:t>
            </w:r>
          </w:p>
        </w:tc>
        <w:tc>
          <w:tcPr>
            <w:tcW w:w="1346" w:type="dxa"/>
            <w:gridSpan w:val="3"/>
            <w:tcBorders>
              <w:top w:val="nil"/>
              <w:left w:val="nil"/>
              <w:right w:val="single" w:sz="8" w:space="0" w:color="auto"/>
            </w:tcBorders>
            <w:noWrap/>
            <w:vAlign w:val="bottom"/>
            <w:hideMark/>
          </w:tcPr>
          <w:p w:rsidR="00796932" w:rsidRDefault="00796932" w:rsidP="00796932">
            <w:pPr>
              <w:jc w:val="right"/>
              <w:rPr>
                <w:rFonts w:ascii="SWISS" w:hAnsi="SWISS" w:cs="Arial"/>
                <w:sz w:val="20"/>
                <w:szCs w:val="20"/>
                <w:u w:val="single"/>
              </w:rPr>
            </w:pPr>
            <w:r>
              <w:rPr>
                <w:rFonts w:ascii="SWISS" w:hAnsi="SWISS" w:cs="Arial"/>
                <w:sz w:val="20"/>
                <w:szCs w:val="20"/>
                <w:u w:val="single"/>
              </w:rPr>
              <w:t>762</w:t>
            </w:r>
          </w:p>
        </w:tc>
      </w:tr>
      <w:tr w:rsidR="00796932" w:rsidTr="00796932">
        <w:trPr>
          <w:trHeight w:val="48"/>
          <w:jc w:val="center"/>
        </w:trPr>
        <w:tc>
          <w:tcPr>
            <w:tcW w:w="1507" w:type="dxa"/>
            <w:gridSpan w:val="2"/>
            <w:tcBorders>
              <w:top w:val="nil"/>
              <w:left w:val="single" w:sz="8" w:space="0" w:color="auto"/>
              <w:bottom w:val="nil"/>
              <w:right w:val="nil"/>
            </w:tcBorders>
            <w:noWrap/>
            <w:vAlign w:val="bottom"/>
          </w:tcPr>
          <w:p w:rsidR="00796932" w:rsidRDefault="00796932" w:rsidP="00796932">
            <w:pPr>
              <w:rPr>
                <w:rFonts w:ascii="SWISS" w:hAnsi="SWISS" w:cs="Arial"/>
                <w:sz w:val="20"/>
                <w:szCs w:val="20"/>
              </w:rPr>
            </w:pPr>
          </w:p>
        </w:tc>
        <w:tc>
          <w:tcPr>
            <w:tcW w:w="7767" w:type="dxa"/>
            <w:noWrap/>
            <w:vAlign w:val="bottom"/>
            <w:hideMark/>
          </w:tcPr>
          <w:p w:rsidR="00796932" w:rsidRDefault="00796932" w:rsidP="00796932">
            <w:pPr>
              <w:rPr>
                <w:rFonts w:ascii="SWISS" w:hAnsi="SWISS" w:cs="Arial"/>
                <w:sz w:val="20"/>
                <w:szCs w:val="20"/>
              </w:rPr>
            </w:pPr>
            <w:r>
              <w:rPr>
                <w:rFonts w:ascii="SWISS" w:hAnsi="SWISS" w:cs="Arial"/>
                <w:sz w:val="20"/>
                <w:szCs w:val="20"/>
              </w:rPr>
              <w:t xml:space="preserve">       Subtotal</w:t>
            </w:r>
          </w:p>
        </w:tc>
        <w:tc>
          <w:tcPr>
            <w:tcW w:w="1346" w:type="dxa"/>
            <w:gridSpan w:val="3"/>
            <w:tcBorders>
              <w:top w:val="nil"/>
              <w:left w:val="nil"/>
              <w:bottom w:val="nil"/>
              <w:right w:val="single" w:sz="8" w:space="0" w:color="auto"/>
            </w:tcBorders>
            <w:noWrap/>
            <w:vAlign w:val="bottom"/>
            <w:hideMark/>
          </w:tcPr>
          <w:p w:rsidR="00796932" w:rsidRDefault="00796932" w:rsidP="00796932">
            <w:pPr>
              <w:jc w:val="right"/>
              <w:rPr>
                <w:rFonts w:ascii="SWISS" w:hAnsi="SWISS" w:cs="Arial"/>
                <w:sz w:val="20"/>
                <w:szCs w:val="20"/>
                <w:u w:val="double"/>
              </w:rPr>
            </w:pPr>
            <w:r>
              <w:rPr>
                <w:rFonts w:ascii="SWISS" w:hAnsi="SWISS" w:cs="Arial"/>
                <w:sz w:val="20"/>
                <w:szCs w:val="20"/>
                <w:u w:val="double"/>
              </w:rPr>
              <w:t>$2,549</w:t>
            </w:r>
          </w:p>
        </w:tc>
      </w:tr>
      <w:tr w:rsidR="00796932" w:rsidTr="00796932">
        <w:trPr>
          <w:trHeight w:val="48"/>
          <w:jc w:val="center"/>
        </w:trPr>
        <w:tc>
          <w:tcPr>
            <w:tcW w:w="1507" w:type="dxa"/>
            <w:gridSpan w:val="2"/>
            <w:tcBorders>
              <w:top w:val="nil"/>
              <w:left w:val="single" w:sz="8" w:space="0" w:color="auto"/>
              <w:bottom w:val="single" w:sz="8" w:space="0" w:color="auto"/>
              <w:right w:val="nil"/>
            </w:tcBorders>
            <w:noWrap/>
            <w:vAlign w:val="bottom"/>
          </w:tcPr>
          <w:p w:rsidR="00796932" w:rsidRDefault="00796932" w:rsidP="00796932">
            <w:pPr>
              <w:rPr>
                <w:rFonts w:ascii="SWISS" w:hAnsi="SWISS" w:cs="Arial"/>
                <w:sz w:val="20"/>
                <w:szCs w:val="20"/>
              </w:rPr>
            </w:pPr>
          </w:p>
        </w:tc>
        <w:tc>
          <w:tcPr>
            <w:tcW w:w="7767" w:type="dxa"/>
            <w:tcBorders>
              <w:bottom w:val="single" w:sz="8" w:space="0" w:color="auto"/>
            </w:tcBorders>
            <w:noWrap/>
            <w:vAlign w:val="bottom"/>
          </w:tcPr>
          <w:p w:rsidR="00796932" w:rsidRDefault="00796932" w:rsidP="00796932">
            <w:pPr>
              <w:rPr>
                <w:rFonts w:ascii="SWISS" w:hAnsi="SWISS" w:cs="Arial"/>
                <w:sz w:val="20"/>
                <w:szCs w:val="20"/>
              </w:rPr>
            </w:pPr>
          </w:p>
        </w:tc>
        <w:tc>
          <w:tcPr>
            <w:tcW w:w="1346" w:type="dxa"/>
            <w:gridSpan w:val="3"/>
            <w:tcBorders>
              <w:top w:val="nil"/>
              <w:left w:val="nil"/>
              <w:bottom w:val="single" w:sz="8" w:space="0" w:color="auto"/>
              <w:right w:val="single" w:sz="8" w:space="0" w:color="auto"/>
            </w:tcBorders>
            <w:noWrap/>
            <w:vAlign w:val="bottom"/>
          </w:tcPr>
          <w:p w:rsidR="00796932" w:rsidRDefault="00796932" w:rsidP="00796932">
            <w:pPr>
              <w:jc w:val="right"/>
              <w:rPr>
                <w:rFonts w:ascii="SWISS" w:hAnsi="SWISS" w:cs="Arial"/>
                <w:sz w:val="20"/>
                <w:szCs w:val="20"/>
                <w:u w:val="double"/>
              </w:rPr>
            </w:pPr>
          </w:p>
          <w:p w:rsidR="00796932" w:rsidRDefault="00796932" w:rsidP="00796932">
            <w:pPr>
              <w:jc w:val="right"/>
              <w:rPr>
                <w:rFonts w:ascii="SWISS" w:hAnsi="SWISS" w:cs="Arial"/>
                <w:sz w:val="20"/>
                <w:szCs w:val="20"/>
                <w:u w:val="double"/>
              </w:rPr>
            </w:pP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single" w:sz="8" w:space="0" w:color="auto"/>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lastRenderedPageBreak/>
              <w:t> </w:t>
            </w:r>
          </w:p>
        </w:tc>
        <w:tc>
          <w:tcPr>
            <w:tcW w:w="8732" w:type="dxa"/>
            <w:gridSpan w:val="4"/>
            <w:tcBorders>
              <w:top w:val="single" w:sz="8" w:space="0" w:color="auto"/>
              <w:left w:val="nil"/>
              <w:bottom w:val="nil"/>
              <w:right w:val="single" w:sz="8" w:space="0" w:color="auto"/>
            </w:tcBorders>
            <w:shd w:val="clear" w:color="auto" w:fill="auto"/>
            <w:noWrap/>
            <w:vAlign w:val="bottom"/>
          </w:tcPr>
          <w:p w:rsidR="00796932" w:rsidRPr="00F52F8B" w:rsidRDefault="00796932" w:rsidP="00796932">
            <w:pPr>
              <w:jc w:val="both"/>
              <w:rPr>
                <w:rFonts w:ascii="SWISS" w:hAnsi="SWISS" w:cs="Arial"/>
                <w:b/>
                <w:bCs/>
                <w:color w:val="000000"/>
                <w:sz w:val="20"/>
                <w:szCs w:val="20"/>
              </w:rPr>
            </w:pPr>
            <w:r>
              <w:rPr>
                <w:rFonts w:ascii="SWISS" w:hAnsi="SWISS" w:cs="Arial"/>
                <w:b/>
                <w:bCs/>
                <w:color w:val="000000"/>
                <w:sz w:val="20"/>
                <w:szCs w:val="20"/>
              </w:rPr>
              <w:t xml:space="preserve">SUNRISE UTILITIES, LLC. </w:t>
            </w:r>
            <w:r w:rsidRPr="00F52F8B">
              <w:rPr>
                <w:rFonts w:ascii="SWISS" w:hAnsi="SWISS" w:cs="Arial"/>
                <w:b/>
                <w:bCs/>
                <w:color w:val="000000"/>
                <w:sz w:val="20"/>
                <w:szCs w:val="20"/>
              </w:rPr>
              <w:t xml:space="preserve">                                                                      </w:t>
            </w:r>
            <w:r>
              <w:rPr>
                <w:rFonts w:ascii="SWISS" w:hAnsi="SWISS" w:cs="Arial"/>
                <w:b/>
                <w:bCs/>
                <w:color w:val="000000"/>
                <w:sz w:val="20"/>
                <w:szCs w:val="20"/>
              </w:rPr>
              <w:t xml:space="preserve"> </w:t>
            </w:r>
            <w:r w:rsidRPr="00F52F8B">
              <w:rPr>
                <w:rFonts w:ascii="SWISS" w:hAnsi="SWISS" w:cs="Arial"/>
                <w:b/>
                <w:bCs/>
                <w:color w:val="000000"/>
                <w:sz w:val="20"/>
                <w:szCs w:val="20"/>
              </w:rPr>
              <w:t xml:space="preserve">          SCHEDULE NO. 3-B</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 </w:t>
            </w:r>
          </w:p>
        </w:tc>
        <w:tc>
          <w:tcPr>
            <w:tcW w:w="8732" w:type="dxa"/>
            <w:gridSpan w:val="4"/>
            <w:tcBorders>
              <w:top w:val="nil"/>
              <w:left w:val="nil"/>
              <w:bottom w:val="nil"/>
              <w:right w:val="single" w:sz="8" w:space="0" w:color="auto"/>
            </w:tcBorders>
            <w:shd w:val="clear" w:color="auto" w:fill="auto"/>
            <w:noWrap/>
            <w:vAlign w:val="bottom"/>
          </w:tcPr>
          <w:p w:rsidR="00796932" w:rsidRPr="00F52F8B" w:rsidRDefault="00796932" w:rsidP="00796932">
            <w:pPr>
              <w:ind w:left="-11"/>
              <w:jc w:val="both"/>
              <w:rPr>
                <w:rFonts w:ascii="SWISS" w:hAnsi="SWISS" w:cs="Arial"/>
                <w:b/>
                <w:bCs/>
                <w:color w:val="000000"/>
                <w:sz w:val="20"/>
                <w:szCs w:val="20"/>
              </w:rPr>
            </w:pPr>
            <w:r w:rsidRPr="00F52F8B">
              <w:rPr>
                <w:rFonts w:ascii="SWISS" w:hAnsi="SWISS" w:cs="Arial"/>
                <w:b/>
                <w:bCs/>
                <w:color w:val="000000"/>
                <w:sz w:val="20"/>
                <w:szCs w:val="20"/>
              </w:rPr>
              <w:t xml:space="preserve">TEST YEAR ENDED 12/31/14                                                                     </w:t>
            </w:r>
            <w:r>
              <w:rPr>
                <w:rFonts w:ascii="SWISS" w:hAnsi="SWISS" w:cs="Arial"/>
                <w:b/>
                <w:bCs/>
                <w:color w:val="000000"/>
                <w:sz w:val="20"/>
                <w:szCs w:val="20"/>
              </w:rPr>
              <w:t xml:space="preserve"> </w:t>
            </w:r>
            <w:r w:rsidRPr="00F52F8B">
              <w:rPr>
                <w:rFonts w:ascii="SWISS" w:hAnsi="SWISS" w:cs="Arial"/>
                <w:b/>
                <w:bCs/>
                <w:color w:val="000000"/>
                <w:sz w:val="20"/>
                <w:szCs w:val="20"/>
              </w:rPr>
              <w:t xml:space="preserve"> DOCKET NO. 1402</w:t>
            </w:r>
            <w:r>
              <w:rPr>
                <w:rFonts w:ascii="SWISS" w:hAnsi="SWISS" w:cs="Arial"/>
                <w:b/>
                <w:bCs/>
                <w:color w:val="000000"/>
                <w:sz w:val="20"/>
                <w:szCs w:val="20"/>
              </w:rPr>
              <w:t>20</w:t>
            </w:r>
            <w:r w:rsidRPr="00F52F8B">
              <w:rPr>
                <w:rFonts w:ascii="SWISS" w:hAnsi="SWISS" w:cs="Arial"/>
                <w:b/>
                <w:bCs/>
                <w:color w:val="000000"/>
                <w:sz w:val="20"/>
                <w:szCs w:val="20"/>
              </w:rPr>
              <w:t>-WU</w:t>
            </w:r>
          </w:p>
        </w:tc>
      </w:tr>
      <w:tr w:rsidR="00796932" w:rsidRPr="00F52F8B" w:rsidTr="00796932">
        <w:tblPrEx>
          <w:tblLook w:val="0000" w:firstRow="0" w:lastRow="0" w:firstColumn="0" w:lastColumn="0" w:noHBand="0" w:noVBand="0"/>
        </w:tblPrEx>
        <w:trPr>
          <w:gridAfter w:val="1"/>
          <w:wAfter w:w="480" w:type="dxa"/>
          <w:trHeight w:val="56"/>
          <w:jc w:val="center"/>
        </w:trPr>
        <w:tc>
          <w:tcPr>
            <w:tcW w:w="1408"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 </w:t>
            </w:r>
          </w:p>
        </w:tc>
        <w:tc>
          <w:tcPr>
            <w:tcW w:w="8732" w:type="dxa"/>
            <w:gridSpan w:val="4"/>
            <w:tcBorders>
              <w:top w:val="nil"/>
              <w:left w:val="nil"/>
              <w:bottom w:val="single" w:sz="8" w:space="0" w:color="auto"/>
              <w:right w:val="single" w:sz="8" w:space="0" w:color="auto"/>
            </w:tcBorders>
            <w:shd w:val="clear" w:color="auto" w:fill="auto"/>
            <w:noWrap/>
            <w:vAlign w:val="bottom"/>
          </w:tcPr>
          <w:p w:rsidR="00796932" w:rsidRPr="00F52F8B" w:rsidRDefault="00796932" w:rsidP="00796932">
            <w:pPr>
              <w:jc w:val="both"/>
              <w:rPr>
                <w:rFonts w:ascii="SWISS" w:hAnsi="SWISS" w:cs="Arial"/>
                <w:b/>
                <w:bCs/>
                <w:color w:val="000000"/>
                <w:sz w:val="20"/>
                <w:szCs w:val="20"/>
              </w:rPr>
            </w:pPr>
            <w:r w:rsidRPr="00F52F8B">
              <w:rPr>
                <w:rFonts w:ascii="SWISS" w:hAnsi="SWISS" w:cs="Arial"/>
                <w:b/>
                <w:bCs/>
                <w:sz w:val="20"/>
                <w:szCs w:val="20"/>
              </w:rPr>
              <w:t>ADJUSTMENTS TO OPERATING INCOME</w:t>
            </w:r>
            <w:r>
              <w:rPr>
                <w:rFonts w:ascii="SWISS" w:hAnsi="SWISS" w:cs="Arial"/>
                <w:b/>
                <w:bCs/>
                <w:sz w:val="20"/>
                <w:szCs w:val="20"/>
              </w:rPr>
              <w:t xml:space="preserve">                  </w:t>
            </w:r>
            <w:r w:rsidRPr="00F52F8B">
              <w:rPr>
                <w:rFonts w:ascii="SWISS" w:hAnsi="SWISS" w:cs="Arial"/>
                <w:b/>
                <w:bCs/>
                <w:sz w:val="20"/>
                <w:szCs w:val="20"/>
              </w:rPr>
              <w:t xml:space="preserve">                         </w:t>
            </w:r>
            <w:r>
              <w:rPr>
                <w:rFonts w:ascii="SWISS" w:hAnsi="SWISS" w:cs="Arial"/>
                <w:b/>
                <w:bCs/>
                <w:sz w:val="20"/>
                <w:szCs w:val="20"/>
              </w:rPr>
              <w:t xml:space="preserve">  </w:t>
            </w:r>
            <w:r w:rsidRPr="00F52F8B">
              <w:rPr>
                <w:rFonts w:ascii="SWISS" w:hAnsi="SWISS" w:cs="Arial"/>
                <w:b/>
                <w:bCs/>
                <w:sz w:val="20"/>
                <w:szCs w:val="20"/>
              </w:rPr>
              <w:t xml:space="preserve">                           </w:t>
            </w:r>
            <w:r w:rsidRPr="00F52F8B">
              <w:rPr>
                <w:rFonts w:ascii="SWISS" w:hAnsi="SWISS" w:cs="Arial"/>
                <w:b/>
                <w:bCs/>
                <w:color w:val="000000"/>
                <w:sz w:val="20"/>
                <w:szCs w:val="20"/>
              </w:rPr>
              <w:t>Page 2 of 2</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 </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b/>
                <w:bCs/>
                <w:color w:val="000000"/>
                <w:sz w:val="20"/>
                <w:szCs w:val="20"/>
                <w:u w:val="single"/>
              </w:rPr>
            </w:pP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color w:val="000000"/>
                <w:sz w:val="20"/>
                <w:szCs w:val="20"/>
              </w:rPr>
            </w:pP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 </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sz w:val="20"/>
                <w:szCs w:val="20"/>
              </w:rPr>
            </w:pPr>
            <w:r w:rsidRPr="00F52F8B">
              <w:rPr>
                <w:rFonts w:ascii="SWISS" w:hAnsi="SWISS" w:cs="Arial"/>
                <w:b/>
                <w:bCs/>
                <w:sz w:val="20"/>
                <w:szCs w:val="20"/>
              </w:rPr>
              <w:t xml:space="preserve">OPERATION AND MAINTENANCE EXPENSES </w:t>
            </w:r>
            <w:r w:rsidR="003A5858">
              <w:rPr>
                <w:rFonts w:ascii="SWISS" w:hAnsi="SWISS" w:cs="Arial"/>
                <w:b/>
                <w:bCs/>
                <w:sz w:val="20"/>
                <w:szCs w:val="20"/>
              </w:rPr>
              <w:t xml:space="preserve"> </w:t>
            </w:r>
            <w:r w:rsidRPr="003A5858">
              <w:rPr>
                <w:rFonts w:ascii="SWISS" w:hAnsi="SWISS" w:cs="Arial"/>
                <w:b/>
                <w:bCs/>
                <w:i/>
                <w:sz w:val="20"/>
                <w:szCs w:val="20"/>
              </w:rPr>
              <w:t>(CONTINUED)</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color w:val="000000"/>
                <w:sz w:val="20"/>
                <w:szCs w:val="20"/>
              </w:rPr>
            </w:pPr>
            <w:r w:rsidRPr="00F52F8B">
              <w:rPr>
                <w:rFonts w:ascii="SWISS" w:hAnsi="SWISS" w:cs="Arial"/>
                <w:color w:val="000000"/>
                <w:sz w:val="20"/>
                <w:szCs w:val="20"/>
              </w:rPr>
              <w:t> </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color w:val="000000"/>
                <w:sz w:val="20"/>
                <w:szCs w:val="20"/>
              </w:rPr>
            </w:pP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w:t>
            </w:r>
            <w:r>
              <w:rPr>
                <w:rFonts w:ascii="SWISS" w:hAnsi="SWISS" w:cs="Arial"/>
                <w:sz w:val="20"/>
                <w:szCs w:val="20"/>
              </w:rPr>
              <w:t>9</w:t>
            </w:r>
            <w:r w:rsidRPr="00F52F8B">
              <w:rPr>
                <w:rFonts w:ascii="SWISS" w:hAnsi="SWISS" w:cs="Arial"/>
                <w:sz w:val="20"/>
                <w:szCs w:val="20"/>
              </w:rPr>
              <w:t>.</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Transportation Expense (650)</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To re</w:t>
            </w:r>
            <w:r>
              <w:rPr>
                <w:rFonts w:ascii="SWISS" w:hAnsi="SWISS" w:cs="Arial"/>
                <w:sz w:val="20"/>
                <w:szCs w:val="20"/>
              </w:rPr>
              <w:t>flect pro forma transportation expense.</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1.274</w:t>
            </w:r>
            <w:r w:rsidRPr="00F52F8B">
              <w:rPr>
                <w:rFonts w:ascii="SWISS" w:hAnsi="SWISS" w:cs="Arial"/>
                <w:sz w:val="20"/>
                <w:szCs w:val="20"/>
                <w:u w:val="double"/>
              </w:rPr>
              <w:t>)</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10</w:t>
            </w:r>
            <w:r w:rsidRPr="00F52F8B">
              <w:rPr>
                <w:rFonts w:ascii="SWISS" w:hAnsi="SWISS" w:cs="Arial"/>
                <w:sz w:val="20"/>
                <w:szCs w:val="20"/>
              </w:rPr>
              <w:t>.</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Insurance Expense (655)</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To reflect appropriate insurance expense.</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182)</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color w:val="000000"/>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color w:val="000000"/>
                <w:sz w:val="20"/>
                <w:szCs w:val="20"/>
              </w:rPr>
            </w:pP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82577" w:rsidRDefault="00796932" w:rsidP="00796932">
            <w:pPr>
              <w:rPr>
                <w:rFonts w:ascii="SWISS" w:hAnsi="SWISS" w:cs="Arial"/>
                <w:sz w:val="20"/>
                <w:szCs w:val="20"/>
              </w:rPr>
            </w:pPr>
            <w:r w:rsidRPr="00F82577">
              <w:rPr>
                <w:rFonts w:ascii="SWISS" w:hAnsi="SWISS" w:cs="Arial"/>
                <w:sz w:val="20"/>
                <w:szCs w:val="20"/>
              </w:rPr>
              <w:t xml:space="preserve">      </w:t>
            </w:r>
            <w:r>
              <w:rPr>
                <w:rFonts w:ascii="SWISS" w:hAnsi="SWISS" w:cs="Arial"/>
                <w:sz w:val="20"/>
                <w:szCs w:val="20"/>
              </w:rPr>
              <w:t xml:space="preserve">         </w:t>
            </w:r>
            <w:r w:rsidRPr="00F82577">
              <w:rPr>
                <w:rFonts w:ascii="SWISS" w:hAnsi="SWISS" w:cs="Arial"/>
                <w:sz w:val="20"/>
                <w:szCs w:val="20"/>
              </w:rPr>
              <w:t xml:space="preserve">   1</w:t>
            </w:r>
            <w:r>
              <w:rPr>
                <w:rFonts w:ascii="SWISS" w:hAnsi="SWISS" w:cs="Arial"/>
                <w:sz w:val="20"/>
                <w:szCs w:val="20"/>
              </w:rPr>
              <w:t>1</w:t>
            </w:r>
            <w:r w:rsidRPr="00F82577">
              <w:rPr>
                <w:rFonts w:ascii="SWISS" w:hAnsi="SWISS" w:cs="Arial"/>
                <w:sz w:val="20"/>
                <w:szCs w:val="20"/>
              </w:rPr>
              <w:t>.</w:t>
            </w:r>
          </w:p>
        </w:tc>
        <w:tc>
          <w:tcPr>
            <w:tcW w:w="7906" w:type="dxa"/>
            <w:gridSpan w:val="3"/>
            <w:tcBorders>
              <w:top w:val="nil"/>
              <w:left w:val="nil"/>
              <w:bottom w:val="nil"/>
              <w:right w:val="nil"/>
            </w:tcBorders>
            <w:shd w:val="clear" w:color="auto" w:fill="auto"/>
            <w:noWrap/>
            <w:vAlign w:val="bottom"/>
          </w:tcPr>
          <w:p w:rsidR="00796932" w:rsidRPr="00F82577" w:rsidRDefault="00796932" w:rsidP="00796932">
            <w:pPr>
              <w:rPr>
                <w:rFonts w:ascii="SWISS" w:hAnsi="SWISS" w:cs="Arial"/>
                <w:sz w:val="20"/>
                <w:szCs w:val="20"/>
              </w:rPr>
            </w:pPr>
            <w:r w:rsidRPr="00F82577">
              <w:rPr>
                <w:rFonts w:ascii="SWISS" w:hAnsi="SWISS" w:cs="Arial"/>
                <w:sz w:val="20"/>
                <w:szCs w:val="20"/>
              </w:rPr>
              <w:t>Regulatory Commission Expense (665)</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a. To reflect 4-year amortization of rate case expense (</w:t>
            </w:r>
            <w:r>
              <w:rPr>
                <w:rFonts w:ascii="SWISS" w:hAnsi="SWISS" w:cs="Arial"/>
                <w:sz w:val="20"/>
                <w:szCs w:val="20"/>
              </w:rPr>
              <w:t>Docket No. 110238-WU)</w:t>
            </w:r>
            <w:r w:rsidRPr="00F52F8B">
              <w:rPr>
                <w:rFonts w:ascii="SWISS" w:hAnsi="SWISS" w:cs="Arial"/>
                <w:sz w:val="20"/>
                <w:szCs w:val="20"/>
              </w:rPr>
              <w:t>.</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344</w:t>
            </w:r>
            <w:r w:rsidRPr="00F52F8B">
              <w:rPr>
                <w:rFonts w:ascii="SWISS" w:hAnsi="SWISS" w:cs="Arial"/>
                <w:sz w:val="20"/>
                <w:szCs w:val="20"/>
              </w:rPr>
              <w:t xml:space="preserve"> </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p>
        </w:tc>
        <w:tc>
          <w:tcPr>
            <w:tcW w:w="7906" w:type="dxa"/>
            <w:gridSpan w:val="3"/>
            <w:tcBorders>
              <w:top w:val="nil"/>
              <w:left w:val="nil"/>
              <w:bottom w:val="nil"/>
              <w:right w:val="nil"/>
            </w:tcBorders>
            <w:shd w:val="clear" w:color="auto" w:fill="auto"/>
            <w:noWrap/>
            <w:vAlign w:val="center"/>
          </w:tcPr>
          <w:p w:rsidR="00796932" w:rsidRPr="00F52F8B" w:rsidRDefault="00796932" w:rsidP="00796932">
            <w:pPr>
              <w:rPr>
                <w:rFonts w:ascii="SWISS" w:hAnsi="SWISS" w:cs="Arial"/>
                <w:sz w:val="20"/>
                <w:szCs w:val="20"/>
              </w:rPr>
            </w:pPr>
            <w:r w:rsidRPr="00F52F8B">
              <w:rPr>
                <w:rFonts w:ascii="SWISS" w:hAnsi="SWISS" w:cs="Arial"/>
                <w:sz w:val="20"/>
                <w:szCs w:val="20"/>
              </w:rPr>
              <w:t xml:space="preserve">b. To reflect </w:t>
            </w:r>
            <w:r>
              <w:rPr>
                <w:rFonts w:ascii="SWISS" w:hAnsi="SWISS" w:cs="Arial"/>
                <w:sz w:val="20"/>
                <w:szCs w:val="20"/>
              </w:rPr>
              <w:t>4-year amortization of rate case expense for current case ($2,648/4).</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single"/>
              </w:rPr>
            </w:pPr>
            <w:r>
              <w:rPr>
                <w:rFonts w:ascii="SWISS" w:hAnsi="SWISS" w:cs="Arial"/>
                <w:sz w:val="20"/>
                <w:szCs w:val="20"/>
                <w:u w:val="single"/>
              </w:rPr>
              <w:t>662</w:t>
            </w:r>
            <w:r w:rsidRPr="00F52F8B">
              <w:rPr>
                <w:rFonts w:ascii="SWISS" w:hAnsi="SWISS" w:cs="Arial"/>
                <w:sz w:val="20"/>
                <w:szCs w:val="20"/>
                <w:u w:val="single"/>
              </w:rPr>
              <w:t xml:space="preserve"> </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Subtotal</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1,006</w:t>
            </w:r>
            <w:r w:rsidRPr="00F52F8B">
              <w:rPr>
                <w:rFonts w:ascii="SWISS" w:hAnsi="SWISS" w:cs="Arial"/>
                <w:sz w:val="20"/>
                <w:szCs w:val="20"/>
                <w:u w:val="double"/>
              </w:rPr>
              <w:t xml:space="preserve"> </w:t>
            </w:r>
          </w:p>
        </w:tc>
      </w:tr>
      <w:tr w:rsidR="00796932" w:rsidRPr="00F52F8B"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2</w:t>
            </w:r>
            <w:r w:rsidRPr="00F52F8B">
              <w:rPr>
                <w:rFonts w:ascii="SWISS" w:hAnsi="SWISS" w:cs="Arial"/>
                <w:sz w:val="20"/>
                <w:szCs w:val="20"/>
              </w:rPr>
              <w:t>.</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Bad Debt Expense (670)</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DB159C" w:rsidTr="00796932">
        <w:tblPrEx>
          <w:tblLook w:val="0000" w:firstRow="0" w:lastRow="0" w:firstColumn="0" w:lastColumn="0" w:noHBand="0" w:noVBand="0"/>
        </w:tblPrEx>
        <w:trPr>
          <w:gridAfter w:val="1"/>
          <w:wAfter w:w="480" w:type="dxa"/>
          <w:trHeight w:val="56"/>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a. To reflect appropriate bad debt expense.</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Pr>
                <w:rFonts w:ascii="SWISS" w:hAnsi="SWISS" w:cs="Arial"/>
                <w:sz w:val="20"/>
                <w:szCs w:val="20"/>
                <w:u w:val="double"/>
              </w:rPr>
              <w:t>($2,510)</w:t>
            </w:r>
          </w:p>
        </w:tc>
      </w:tr>
      <w:tr w:rsidR="00796932" w:rsidRPr="00DB159C" w:rsidTr="00796932">
        <w:tblPrEx>
          <w:tblLook w:val="0000" w:firstRow="0" w:lastRow="0" w:firstColumn="0" w:lastColumn="0" w:noHBand="0" w:noVBand="0"/>
        </w:tblPrEx>
        <w:trPr>
          <w:gridAfter w:val="1"/>
          <w:wAfter w:w="480" w:type="dxa"/>
          <w:trHeight w:val="56"/>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single"/>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r>
              <w:rPr>
                <w:rFonts w:ascii="SWISS" w:hAnsi="SWISS" w:cs="Arial"/>
                <w:sz w:val="20"/>
                <w:szCs w:val="20"/>
              </w:rPr>
              <w:t>3</w:t>
            </w:r>
            <w:r w:rsidRPr="00F52F8B">
              <w:rPr>
                <w:rFonts w:ascii="SWISS" w:hAnsi="SWISS" w:cs="Arial"/>
                <w:sz w:val="20"/>
                <w:szCs w:val="20"/>
              </w:rPr>
              <w:t>.</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Miscellaneous Expense (675)</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a. To reflect appropriate test year miscellaneous expense.</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w:t>
            </w:r>
            <w:r w:rsidRPr="00F52F8B">
              <w:rPr>
                <w:rFonts w:ascii="SWISS" w:hAnsi="SWISS" w:cs="Arial"/>
                <w:color w:val="000000"/>
                <w:sz w:val="20"/>
                <w:szCs w:val="20"/>
              </w:rPr>
              <w:t>$</w:t>
            </w:r>
            <w:r>
              <w:rPr>
                <w:rFonts w:ascii="SWISS" w:hAnsi="SWISS" w:cs="Arial"/>
                <w:color w:val="000000"/>
                <w:sz w:val="20"/>
                <w:szCs w:val="20"/>
              </w:rPr>
              <w:t>1,371)</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b. To reflect</w:t>
            </w:r>
            <w:r>
              <w:rPr>
                <w:rFonts w:ascii="SWISS" w:hAnsi="SWISS" w:cs="Arial"/>
                <w:sz w:val="20"/>
                <w:szCs w:val="20"/>
              </w:rPr>
              <w:t xml:space="preserve"> 5-year amortization of non-recurring miscellaneous operator expense</w:t>
            </w:r>
            <w:r w:rsidRPr="00F52F8B">
              <w:rPr>
                <w:rFonts w:ascii="SWISS" w:hAnsi="SWISS" w:cs="Arial"/>
                <w:sz w:val="20"/>
                <w:szCs w:val="20"/>
              </w:rPr>
              <w:t>.</w:t>
            </w:r>
          </w:p>
        </w:tc>
        <w:tc>
          <w:tcPr>
            <w:tcW w:w="826" w:type="dxa"/>
            <w:tcBorders>
              <w:top w:val="nil"/>
              <w:left w:val="nil"/>
              <w:right w:val="single" w:sz="8" w:space="0" w:color="auto"/>
            </w:tcBorders>
            <w:shd w:val="clear" w:color="auto" w:fill="auto"/>
            <w:noWrap/>
            <w:vAlign w:val="bottom"/>
          </w:tcPr>
          <w:p w:rsidR="00796932" w:rsidRPr="00F52F8B" w:rsidRDefault="00796932" w:rsidP="00796932">
            <w:pPr>
              <w:jc w:val="right"/>
              <w:rPr>
                <w:rFonts w:ascii="SWISS" w:hAnsi="SWISS" w:cs="Arial"/>
                <w:color w:val="000000"/>
                <w:sz w:val="20"/>
                <w:szCs w:val="20"/>
              </w:rPr>
            </w:pPr>
            <w:r>
              <w:rPr>
                <w:rFonts w:ascii="SWISS" w:hAnsi="SWISS" w:cs="Arial"/>
                <w:color w:val="000000"/>
                <w:sz w:val="20"/>
                <w:szCs w:val="20"/>
              </w:rPr>
              <w:t>115</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c. To reflect pro forma annual FRWA membership dues.</w:t>
            </w:r>
          </w:p>
        </w:tc>
        <w:tc>
          <w:tcPr>
            <w:tcW w:w="826" w:type="dxa"/>
            <w:tcBorders>
              <w:top w:val="nil"/>
              <w:left w:val="nil"/>
              <w:right w:val="single" w:sz="8" w:space="0" w:color="auto"/>
            </w:tcBorders>
            <w:shd w:val="clear" w:color="auto" w:fill="auto"/>
            <w:noWrap/>
            <w:vAlign w:val="bottom"/>
          </w:tcPr>
          <w:p w:rsidR="00796932" w:rsidRPr="00805960" w:rsidRDefault="00796932" w:rsidP="00796932">
            <w:pPr>
              <w:jc w:val="right"/>
              <w:rPr>
                <w:rFonts w:ascii="SWISS" w:hAnsi="SWISS" w:cs="Arial"/>
                <w:color w:val="000000"/>
                <w:sz w:val="20"/>
                <w:szCs w:val="20"/>
              </w:rPr>
            </w:pPr>
            <w:r w:rsidRPr="00805960">
              <w:rPr>
                <w:rFonts w:ascii="SWISS" w:hAnsi="SWISS" w:cs="Arial"/>
                <w:color w:val="000000"/>
                <w:sz w:val="20"/>
                <w:szCs w:val="20"/>
              </w:rPr>
              <w:t>202</w:t>
            </w:r>
          </w:p>
        </w:tc>
      </w:tr>
      <w:tr w:rsidR="00796932" w:rsidRPr="00805960"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sz w:val="20"/>
                <w:szCs w:val="20"/>
              </w:rPr>
            </w:pPr>
            <w:r>
              <w:rPr>
                <w:rFonts w:ascii="SWISS" w:hAnsi="SWISS" w:cs="Arial"/>
                <w:sz w:val="20"/>
                <w:szCs w:val="20"/>
              </w:rPr>
              <w:t xml:space="preserve">d. To reflect pro forma 5-year </w:t>
            </w:r>
            <w:proofErr w:type="spellStart"/>
            <w:r>
              <w:rPr>
                <w:rFonts w:ascii="SWISS" w:hAnsi="SWISS" w:cs="Arial"/>
                <w:sz w:val="20"/>
                <w:szCs w:val="20"/>
              </w:rPr>
              <w:t>amort</w:t>
            </w:r>
            <w:proofErr w:type="spellEnd"/>
            <w:r>
              <w:rPr>
                <w:rFonts w:ascii="SWISS" w:hAnsi="SWISS" w:cs="Arial"/>
                <w:sz w:val="20"/>
                <w:szCs w:val="20"/>
              </w:rPr>
              <w:t>. of software update, additional license, and training.</w:t>
            </w:r>
          </w:p>
        </w:tc>
        <w:tc>
          <w:tcPr>
            <w:tcW w:w="826" w:type="dxa"/>
            <w:tcBorders>
              <w:top w:val="nil"/>
              <w:left w:val="nil"/>
              <w:right w:val="single" w:sz="8" w:space="0" w:color="auto"/>
            </w:tcBorders>
            <w:shd w:val="clear" w:color="auto" w:fill="auto"/>
            <w:noWrap/>
            <w:vAlign w:val="bottom"/>
          </w:tcPr>
          <w:p w:rsidR="00796932" w:rsidRPr="00805960" w:rsidRDefault="00796932" w:rsidP="00796932">
            <w:pPr>
              <w:jc w:val="right"/>
              <w:rPr>
                <w:rFonts w:ascii="SWISS" w:hAnsi="SWISS" w:cs="Arial"/>
                <w:color w:val="000000"/>
                <w:sz w:val="20"/>
                <w:szCs w:val="20"/>
              </w:rPr>
            </w:pPr>
            <w:r w:rsidRPr="00805960">
              <w:rPr>
                <w:rFonts w:ascii="SWISS" w:hAnsi="SWISS" w:cs="Arial"/>
                <w:color w:val="000000"/>
                <w:sz w:val="20"/>
                <w:szCs w:val="20"/>
              </w:rPr>
              <w:t>108</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sz w:val="20"/>
                <w:szCs w:val="20"/>
              </w:rPr>
            </w:pPr>
            <w:r>
              <w:rPr>
                <w:rFonts w:ascii="SWISS" w:hAnsi="SWISS" w:cs="Arial"/>
                <w:sz w:val="20"/>
                <w:szCs w:val="20"/>
              </w:rPr>
              <w:t>e</w:t>
            </w:r>
            <w:r w:rsidRPr="00F52F8B">
              <w:rPr>
                <w:rFonts w:ascii="SWISS" w:hAnsi="SWISS" w:cs="Arial"/>
                <w:sz w:val="20"/>
                <w:szCs w:val="20"/>
              </w:rPr>
              <w:t>. To reflect pro forma</w:t>
            </w:r>
            <w:r>
              <w:rPr>
                <w:rFonts w:ascii="SWISS" w:hAnsi="SWISS" w:cs="Arial"/>
                <w:sz w:val="20"/>
                <w:szCs w:val="20"/>
              </w:rPr>
              <w:t xml:space="preserve"> 5-year amortization of electronic bank deposit machine</w:t>
            </w:r>
            <w:r w:rsidRPr="00F52F8B">
              <w:rPr>
                <w:rFonts w:ascii="SWISS" w:hAnsi="SWISS" w:cs="Arial"/>
                <w:sz w:val="20"/>
                <w:szCs w:val="20"/>
              </w:rPr>
              <w:t>.</w:t>
            </w:r>
          </w:p>
        </w:tc>
        <w:tc>
          <w:tcPr>
            <w:tcW w:w="826" w:type="dxa"/>
            <w:tcBorders>
              <w:top w:val="nil"/>
              <w:left w:val="nil"/>
              <w:right w:val="single" w:sz="8" w:space="0" w:color="auto"/>
            </w:tcBorders>
            <w:shd w:val="clear" w:color="auto" w:fill="auto"/>
            <w:noWrap/>
            <w:vAlign w:val="bottom"/>
          </w:tcPr>
          <w:p w:rsidR="00796932" w:rsidRPr="00F52F8B" w:rsidRDefault="00796932" w:rsidP="00796932">
            <w:pPr>
              <w:jc w:val="right"/>
              <w:rPr>
                <w:rFonts w:ascii="SWISS" w:hAnsi="SWISS" w:cs="Arial"/>
                <w:color w:val="000000"/>
                <w:sz w:val="20"/>
                <w:szCs w:val="20"/>
                <w:u w:val="single"/>
              </w:rPr>
            </w:pPr>
            <w:r>
              <w:rPr>
                <w:rFonts w:ascii="SWISS" w:hAnsi="SWISS" w:cs="Arial"/>
                <w:color w:val="000000"/>
                <w:sz w:val="20"/>
                <w:szCs w:val="20"/>
                <w:u w:val="single"/>
              </w:rPr>
              <w:t>60</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Subtotal</w:t>
            </w:r>
          </w:p>
        </w:tc>
        <w:tc>
          <w:tcPr>
            <w:tcW w:w="826" w:type="dxa"/>
            <w:tcBorders>
              <w:top w:val="nil"/>
              <w:left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885)</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b/>
                <w:bCs/>
                <w:color w:val="000000"/>
                <w:sz w:val="20"/>
                <w:szCs w:val="20"/>
              </w:rPr>
            </w:pPr>
            <w:r w:rsidRPr="00F52F8B">
              <w:rPr>
                <w:rFonts w:ascii="SWISS" w:hAnsi="SWISS" w:cs="Arial"/>
                <w:b/>
                <w:bCs/>
                <w:color w:val="000000"/>
                <w:sz w:val="20"/>
                <w:szCs w:val="20"/>
              </w:rPr>
              <w:t>TOTAL OPERATION &amp; MAINTENANCE ADJUSTMENTS</w:t>
            </w:r>
          </w:p>
        </w:tc>
        <w:tc>
          <w:tcPr>
            <w:tcW w:w="826" w:type="dxa"/>
            <w:tcBorders>
              <w:top w:val="nil"/>
              <w:left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Pr>
                <w:rFonts w:ascii="SWISS" w:hAnsi="SWISS" w:cs="Arial"/>
                <w:sz w:val="20"/>
                <w:szCs w:val="20"/>
                <w:u w:val="double"/>
              </w:rPr>
              <w:t>(</w:t>
            </w:r>
            <w:r w:rsidRPr="00F52F8B">
              <w:rPr>
                <w:rFonts w:ascii="SWISS" w:hAnsi="SWISS" w:cs="Arial"/>
                <w:sz w:val="20"/>
                <w:szCs w:val="20"/>
                <w:u w:val="double"/>
              </w:rPr>
              <w:t>$</w:t>
            </w:r>
            <w:r>
              <w:rPr>
                <w:rFonts w:ascii="SWISS" w:hAnsi="SWISS" w:cs="Arial"/>
                <w:sz w:val="20"/>
                <w:szCs w:val="20"/>
                <w:u w:val="double"/>
              </w:rPr>
              <w:t>2,676)</w:t>
            </w:r>
            <w:r w:rsidRPr="00F52F8B">
              <w:rPr>
                <w:rFonts w:ascii="SWISS" w:hAnsi="SWISS" w:cs="Arial"/>
                <w:sz w:val="20"/>
                <w:szCs w:val="20"/>
                <w:u w:val="double"/>
              </w:rPr>
              <w:t xml:space="preserve"> </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rPr>
            </w:pPr>
          </w:p>
        </w:tc>
        <w:tc>
          <w:tcPr>
            <w:tcW w:w="826" w:type="dxa"/>
            <w:tcBorders>
              <w:top w:val="nil"/>
              <w:left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rPr>
            </w:pPr>
          </w:p>
        </w:tc>
        <w:tc>
          <w:tcPr>
            <w:tcW w:w="826" w:type="dxa"/>
            <w:tcBorders>
              <w:top w:val="nil"/>
              <w:left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right w:val="nil"/>
            </w:tcBorders>
            <w:shd w:val="clear" w:color="auto" w:fill="auto"/>
            <w:noWrap/>
            <w:vAlign w:val="bottom"/>
          </w:tcPr>
          <w:p w:rsidR="00796932" w:rsidRPr="00F52F8B" w:rsidRDefault="00796932" w:rsidP="00796932">
            <w:pPr>
              <w:jc w:val="right"/>
              <w:rPr>
                <w:rFonts w:ascii="SWISS" w:hAnsi="SWISS" w:cs="Arial"/>
                <w:sz w:val="20"/>
                <w:szCs w:val="20"/>
              </w:rPr>
            </w:pPr>
          </w:p>
        </w:tc>
        <w:tc>
          <w:tcPr>
            <w:tcW w:w="7906" w:type="dxa"/>
            <w:gridSpan w:val="3"/>
            <w:tcBorders>
              <w:top w:val="nil"/>
              <w:left w:val="nil"/>
              <w:right w:val="nil"/>
            </w:tcBorders>
            <w:shd w:val="clear" w:color="auto" w:fill="auto"/>
            <w:noWrap/>
            <w:vAlign w:val="bottom"/>
          </w:tcPr>
          <w:p w:rsidR="00796932" w:rsidRPr="00F52F8B" w:rsidRDefault="00796932" w:rsidP="00796932">
            <w:pPr>
              <w:rPr>
                <w:rFonts w:ascii="SWISS" w:hAnsi="SWISS" w:cs="Arial"/>
                <w:b/>
                <w:bCs/>
                <w:sz w:val="20"/>
                <w:szCs w:val="20"/>
              </w:rPr>
            </w:pPr>
            <w:r w:rsidRPr="00F52F8B">
              <w:rPr>
                <w:rFonts w:ascii="SWISS" w:hAnsi="SWISS" w:cs="Arial"/>
                <w:b/>
                <w:bCs/>
                <w:sz w:val="20"/>
                <w:szCs w:val="20"/>
              </w:rPr>
              <w:t>DEPRECIATION EXPENSE</w:t>
            </w:r>
          </w:p>
        </w:tc>
        <w:tc>
          <w:tcPr>
            <w:tcW w:w="826" w:type="dxa"/>
            <w:tcBorders>
              <w:top w:val="nil"/>
              <w:left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ind w:left="331"/>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To reflect test year depreciation calculated per Rule 25-30.140, F.A.C.</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4</w:t>
            </w:r>
            <w:r w:rsidRPr="00F52F8B">
              <w:rPr>
                <w:rFonts w:ascii="SWISS" w:hAnsi="SWISS" w:cs="Arial"/>
                <w:sz w:val="20"/>
                <w:szCs w:val="20"/>
                <w:u w:val="double"/>
              </w:rPr>
              <w:t>,</w:t>
            </w:r>
            <w:r>
              <w:rPr>
                <w:rFonts w:ascii="SWISS" w:hAnsi="SWISS" w:cs="Arial"/>
                <w:sz w:val="20"/>
                <w:szCs w:val="20"/>
                <w:u w:val="double"/>
              </w:rPr>
              <w:t>508</w:t>
            </w:r>
            <w:r w:rsidRPr="00F52F8B">
              <w:rPr>
                <w:rFonts w:ascii="SWISS" w:hAnsi="SWISS" w:cs="Arial"/>
                <w:sz w:val="20"/>
                <w:szCs w:val="20"/>
                <w:u w:val="double"/>
              </w:rPr>
              <w:t xml:space="preserve"> </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b/>
                <w:bCs/>
                <w:sz w:val="20"/>
                <w:szCs w:val="20"/>
              </w:rPr>
            </w:pPr>
            <w:r w:rsidRPr="00F52F8B">
              <w:rPr>
                <w:rFonts w:ascii="SWISS" w:hAnsi="SWISS" w:cs="Arial"/>
                <w:b/>
                <w:bCs/>
                <w:sz w:val="20"/>
                <w:szCs w:val="20"/>
              </w:rPr>
              <w:t>TAXES OTHER THAN INCOME</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1.</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To reflect appropriate test year RAFs.</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249</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tabs>
                <w:tab w:val="left" w:pos="745"/>
              </w:tabs>
              <w:ind w:left="331"/>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 xml:space="preserve">  2.</w:t>
            </w: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To reflect appropriate test year utility property taxes.</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single"/>
              </w:rPr>
            </w:pPr>
            <w:r w:rsidRPr="00F52F8B">
              <w:rPr>
                <w:rFonts w:ascii="SWISS" w:hAnsi="SWISS" w:cs="Arial"/>
                <w:sz w:val="20"/>
                <w:szCs w:val="20"/>
                <w:u w:val="single"/>
              </w:rPr>
              <w:t>(1,7</w:t>
            </w:r>
            <w:r>
              <w:rPr>
                <w:rFonts w:ascii="SWISS" w:hAnsi="SWISS" w:cs="Arial"/>
                <w:sz w:val="20"/>
                <w:szCs w:val="20"/>
                <w:u w:val="single"/>
              </w:rPr>
              <w:t>45</w:t>
            </w:r>
            <w:r w:rsidRPr="00F52F8B">
              <w:rPr>
                <w:rFonts w:ascii="SWISS" w:hAnsi="SWISS" w:cs="Arial"/>
                <w:sz w:val="20"/>
                <w:szCs w:val="20"/>
                <w:u w:val="single"/>
              </w:rPr>
              <w:t xml:space="preserve">) </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r w:rsidRPr="00F52F8B">
              <w:rPr>
                <w:rFonts w:ascii="SWISS" w:hAnsi="SWISS" w:cs="Arial"/>
                <w:sz w:val="20"/>
                <w:szCs w:val="20"/>
              </w:rPr>
              <w:t xml:space="preserve">  </w:t>
            </w:r>
            <w:r>
              <w:rPr>
                <w:rFonts w:ascii="SWISS" w:hAnsi="SWISS" w:cs="Arial"/>
                <w:sz w:val="20"/>
                <w:szCs w:val="20"/>
              </w:rPr>
              <w:t xml:space="preserve">    </w:t>
            </w:r>
            <w:r w:rsidRPr="00F52F8B">
              <w:rPr>
                <w:rFonts w:ascii="SWISS" w:hAnsi="SWISS" w:cs="Arial"/>
                <w:sz w:val="20"/>
                <w:szCs w:val="20"/>
              </w:rPr>
              <w:t>Total</w:t>
            </w: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jc w:val="right"/>
              <w:rPr>
                <w:rFonts w:ascii="SWISS" w:hAnsi="SWISS" w:cs="Arial"/>
                <w:sz w:val="20"/>
                <w:szCs w:val="20"/>
                <w:u w:val="double"/>
              </w:rPr>
            </w:pPr>
            <w:r w:rsidRPr="00F52F8B">
              <w:rPr>
                <w:rFonts w:ascii="SWISS" w:hAnsi="SWISS" w:cs="Arial"/>
                <w:sz w:val="20"/>
                <w:szCs w:val="20"/>
                <w:u w:val="double"/>
              </w:rPr>
              <w:t>($1,</w:t>
            </w:r>
            <w:r>
              <w:rPr>
                <w:rFonts w:ascii="SWISS" w:hAnsi="SWISS" w:cs="Arial"/>
                <w:sz w:val="20"/>
                <w:szCs w:val="20"/>
                <w:u w:val="double"/>
              </w:rPr>
              <w:t>496</w:t>
            </w:r>
            <w:r w:rsidRPr="00F52F8B">
              <w:rPr>
                <w:rFonts w:ascii="SWISS" w:hAnsi="SWISS" w:cs="Arial"/>
                <w:sz w:val="20"/>
                <w:szCs w:val="20"/>
                <w:u w:val="double"/>
              </w:rPr>
              <w:t>)</w:t>
            </w: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nil"/>
              <w:right w:val="nil"/>
            </w:tcBorders>
            <w:shd w:val="clear" w:color="auto" w:fill="auto"/>
            <w:noWrap/>
            <w:vAlign w:val="bottom"/>
          </w:tcPr>
          <w:p w:rsidR="00796932" w:rsidRPr="00F52F8B" w:rsidRDefault="00796932" w:rsidP="00796932">
            <w:pPr>
              <w:rPr>
                <w:rFonts w:ascii="SWISS" w:hAnsi="SWISS" w:cs="Arial"/>
                <w:sz w:val="20"/>
                <w:szCs w:val="20"/>
              </w:rPr>
            </w:pPr>
          </w:p>
        </w:tc>
        <w:tc>
          <w:tcPr>
            <w:tcW w:w="826" w:type="dxa"/>
            <w:tcBorders>
              <w:top w:val="nil"/>
              <w:left w:val="nil"/>
              <w:bottom w:val="nil"/>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p>
        </w:tc>
      </w:tr>
      <w:tr w:rsidR="00796932" w:rsidRPr="00DB159C" w:rsidTr="00796932">
        <w:tblPrEx>
          <w:tblLook w:val="0000" w:firstRow="0" w:lastRow="0" w:firstColumn="0" w:lastColumn="0" w:noHBand="0" w:noVBand="0"/>
        </w:tblPrEx>
        <w:trPr>
          <w:gridAfter w:val="1"/>
          <w:wAfter w:w="480" w:type="dxa"/>
          <w:trHeight w:val="53"/>
          <w:jc w:val="center"/>
        </w:trPr>
        <w:tc>
          <w:tcPr>
            <w:tcW w:w="1408" w:type="dxa"/>
            <w:tcBorders>
              <w:top w:val="nil"/>
              <w:left w:val="single" w:sz="8" w:space="0" w:color="auto"/>
              <w:bottom w:val="single" w:sz="8" w:space="0" w:color="auto"/>
              <w:right w:val="nil"/>
            </w:tcBorders>
            <w:shd w:val="clear" w:color="auto" w:fill="auto"/>
            <w:noWrap/>
            <w:vAlign w:val="bottom"/>
          </w:tcPr>
          <w:p w:rsidR="00796932" w:rsidRPr="00F52F8B" w:rsidRDefault="00796932" w:rsidP="00796932">
            <w:pPr>
              <w:rPr>
                <w:rFonts w:ascii="SWISS" w:hAnsi="SWISS" w:cs="Arial"/>
                <w:sz w:val="20"/>
                <w:szCs w:val="20"/>
              </w:rPr>
            </w:pPr>
          </w:p>
        </w:tc>
        <w:tc>
          <w:tcPr>
            <w:tcW w:w="7906" w:type="dxa"/>
            <w:gridSpan w:val="3"/>
            <w:tcBorders>
              <w:top w:val="nil"/>
              <w:left w:val="nil"/>
              <w:bottom w:val="single" w:sz="8" w:space="0" w:color="auto"/>
              <w:right w:val="nil"/>
            </w:tcBorders>
            <w:shd w:val="clear" w:color="auto" w:fill="auto"/>
            <w:noWrap/>
            <w:vAlign w:val="bottom"/>
          </w:tcPr>
          <w:p w:rsidR="00796932" w:rsidRPr="00F52F8B" w:rsidRDefault="00796932" w:rsidP="00796932">
            <w:pPr>
              <w:rPr>
                <w:rFonts w:ascii="SWISS" w:hAnsi="SWISS" w:cs="Arial"/>
              </w:rPr>
            </w:pPr>
          </w:p>
        </w:tc>
        <w:tc>
          <w:tcPr>
            <w:tcW w:w="826" w:type="dxa"/>
            <w:tcBorders>
              <w:top w:val="nil"/>
              <w:left w:val="nil"/>
              <w:bottom w:val="single" w:sz="8" w:space="0" w:color="auto"/>
              <w:right w:val="single" w:sz="8" w:space="0" w:color="auto"/>
            </w:tcBorders>
            <w:shd w:val="clear" w:color="auto" w:fill="auto"/>
            <w:noWrap/>
            <w:vAlign w:val="bottom"/>
          </w:tcPr>
          <w:p w:rsidR="00796932" w:rsidRPr="00F52F8B" w:rsidRDefault="00796932" w:rsidP="00796932">
            <w:pPr>
              <w:rPr>
                <w:rFonts w:ascii="SWISS" w:hAnsi="SWISS" w:cs="Arial"/>
                <w:sz w:val="20"/>
                <w:szCs w:val="20"/>
              </w:rPr>
            </w:pPr>
          </w:p>
        </w:tc>
      </w:tr>
    </w:tbl>
    <w:p w:rsidR="00796932" w:rsidRDefault="00796932" w:rsidP="00FB23DB">
      <w:pPr>
        <w:pStyle w:val="OrderBody"/>
        <w:sectPr w:rsidR="00796932" w:rsidSect="00796932">
          <w:pgSz w:w="12240" w:h="15840" w:code="1"/>
          <w:pgMar w:top="1440" w:right="1440" w:bottom="1440" w:left="1440" w:header="720" w:footer="720" w:gutter="0"/>
          <w:cols w:space="720"/>
          <w:titlePg/>
          <w:docGrid w:linePitch="360"/>
        </w:sectPr>
      </w:pPr>
    </w:p>
    <w:tbl>
      <w:tblPr>
        <w:tblW w:w="9509" w:type="dxa"/>
        <w:jc w:val="center"/>
        <w:tblLook w:val="0000" w:firstRow="0" w:lastRow="0" w:firstColumn="0" w:lastColumn="0" w:noHBand="0" w:noVBand="0"/>
      </w:tblPr>
      <w:tblGrid>
        <w:gridCol w:w="4883"/>
        <w:gridCol w:w="1348"/>
        <w:gridCol w:w="1706"/>
        <w:gridCol w:w="1572"/>
      </w:tblGrid>
      <w:tr w:rsidR="006276E6" w:rsidRPr="00F52F8B" w:rsidTr="003D6C61">
        <w:trPr>
          <w:trHeight w:val="300"/>
          <w:jc w:val="center"/>
        </w:trPr>
        <w:tc>
          <w:tcPr>
            <w:tcW w:w="4883" w:type="dxa"/>
            <w:tcBorders>
              <w:top w:val="single" w:sz="8" w:space="0" w:color="auto"/>
              <w:left w:val="single" w:sz="8" w:space="0" w:color="auto"/>
              <w:bottom w:val="nil"/>
              <w:right w:val="nil"/>
            </w:tcBorders>
            <w:shd w:val="clear" w:color="auto" w:fill="auto"/>
            <w:noWrap/>
            <w:vAlign w:val="bottom"/>
          </w:tcPr>
          <w:p w:rsidR="006276E6" w:rsidRPr="00F52F8B" w:rsidRDefault="006276E6" w:rsidP="00526BF4">
            <w:pPr>
              <w:rPr>
                <w:rFonts w:ascii="SWISS" w:hAnsi="SWISS" w:cs="Arial"/>
                <w:b/>
                <w:bCs/>
                <w:color w:val="000000"/>
                <w:sz w:val="20"/>
                <w:szCs w:val="20"/>
              </w:rPr>
            </w:pPr>
            <w:r w:rsidRPr="00825F37">
              <w:rPr>
                <w:rFonts w:ascii="SWISS" w:hAnsi="SWISS" w:cs="Arial"/>
                <w:b/>
                <w:bCs/>
                <w:color w:val="000000"/>
                <w:sz w:val="20"/>
                <w:szCs w:val="20"/>
              </w:rPr>
              <w:lastRenderedPageBreak/>
              <w:t>SUNRISE</w:t>
            </w:r>
            <w:r>
              <w:rPr>
                <w:rFonts w:ascii="SWISS" w:hAnsi="SWISS" w:cs="Arial"/>
                <w:b/>
                <w:bCs/>
                <w:color w:val="000000"/>
                <w:sz w:val="20"/>
                <w:szCs w:val="20"/>
              </w:rPr>
              <w:t xml:space="preserve"> UTILITIES, LLC.</w:t>
            </w:r>
          </w:p>
        </w:tc>
        <w:tc>
          <w:tcPr>
            <w:tcW w:w="1348" w:type="dxa"/>
            <w:tcBorders>
              <w:top w:val="single" w:sz="8" w:space="0" w:color="auto"/>
              <w:left w:val="nil"/>
              <w:bottom w:val="nil"/>
              <w:right w:val="nil"/>
            </w:tcBorders>
            <w:shd w:val="clear" w:color="auto" w:fill="auto"/>
            <w:noWrap/>
            <w:vAlign w:val="bottom"/>
          </w:tcPr>
          <w:p w:rsidR="006276E6" w:rsidRPr="00F52F8B" w:rsidRDefault="006276E6" w:rsidP="00526BF4">
            <w:pPr>
              <w:rPr>
                <w:rFonts w:ascii="SWISS" w:hAnsi="SWISS" w:cs="Arial"/>
                <w:b/>
                <w:bCs/>
                <w:color w:val="000000"/>
                <w:sz w:val="20"/>
                <w:szCs w:val="20"/>
              </w:rPr>
            </w:pPr>
            <w:r w:rsidRPr="00F52F8B">
              <w:rPr>
                <w:rFonts w:ascii="SWISS" w:hAnsi="SWISS" w:cs="Arial"/>
                <w:b/>
                <w:bCs/>
                <w:color w:val="000000"/>
                <w:sz w:val="20"/>
                <w:szCs w:val="20"/>
              </w:rPr>
              <w:t> </w:t>
            </w:r>
          </w:p>
        </w:tc>
        <w:tc>
          <w:tcPr>
            <w:tcW w:w="3278" w:type="dxa"/>
            <w:gridSpan w:val="2"/>
            <w:tcBorders>
              <w:top w:val="single" w:sz="8" w:space="0" w:color="auto"/>
              <w:left w:val="nil"/>
              <w:bottom w:val="nil"/>
              <w:right w:val="single" w:sz="8" w:space="0" w:color="000000"/>
            </w:tcBorders>
            <w:shd w:val="clear" w:color="auto" w:fill="auto"/>
            <w:noWrap/>
            <w:vAlign w:val="bottom"/>
          </w:tcPr>
          <w:p w:rsidR="006276E6" w:rsidRPr="00F52F8B" w:rsidRDefault="006276E6" w:rsidP="00526BF4">
            <w:pPr>
              <w:jc w:val="right"/>
              <w:rPr>
                <w:rFonts w:ascii="SWISS" w:hAnsi="SWISS" w:cs="Arial"/>
                <w:b/>
                <w:bCs/>
                <w:color w:val="000000"/>
                <w:sz w:val="20"/>
                <w:szCs w:val="20"/>
              </w:rPr>
            </w:pPr>
            <w:r w:rsidRPr="00F52F8B">
              <w:rPr>
                <w:rFonts w:ascii="SWISS" w:hAnsi="SWISS" w:cs="Arial"/>
                <w:b/>
                <w:bCs/>
                <w:color w:val="000000"/>
                <w:sz w:val="20"/>
                <w:szCs w:val="20"/>
              </w:rPr>
              <w:t>SCHEDULE NO. 3-C</w:t>
            </w:r>
            <w:r w:rsidR="00953FEE" w:rsidRPr="00F52F8B">
              <w:rPr>
                <w:sz w:val="20"/>
                <w:szCs w:val="20"/>
              </w:rPr>
              <w:fldChar w:fldCharType="begin"/>
            </w:r>
            <w:r w:rsidRPr="00F52F8B">
              <w:rPr>
                <w:sz w:val="20"/>
                <w:szCs w:val="20"/>
              </w:rPr>
              <w:instrText xml:space="preserve"> TC "</w:instrText>
            </w:r>
            <w:bookmarkStart w:id="27" w:name="_Toc442874092"/>
            <w:r w:rsidRPr="00F52F8B">
              <w:rPr>
                <w:sz w:val="20"/>
                <w:szCs w:val="20"/>
              </w:rPr>
              <w:tab/>
            </w:r>
            <w:bookmarkStart w:id="28" w:name="_Toc418142437"/>
            <w:bookmarkStart w:id="29" w:name="_Toc443552003"/>
            <w:r w:rsidRPr="00F52F8B">
              <w:rPr>
                <w:sz w:val="20"/>
                <w:szCs w:val="20"/>
              </w:rPr>
              <w:instrText>Schedule No. 3-C  Water O&amp;M Expense</w:instrText>
            </w:r>
            <w:bookmarkEnd w:id="27"/>
            <w:bookmarkEnd w:id="28"/>
            <w:bookmarkEnd w:id="29"/>
            <w:r w:rsidRPr="00F52F8B">
              <w:rPr>
                <w:sz w:val="20"/>
                <w:szCs w:val="20"/>
              </w:rPr>
              <w:instrText xml:space="preserve">”\l 1 </w:instrText>
            </w:r>
            <w:r w:rsidR="00953FEE" w:rsidRPr="00F52F8B">
              <w:rPr>
                <w:sz w:val="20"/>
                <w:szCs w:val="20"/>
              </w:rPr>
              <w:fldChar w:fldCharType="end"/>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b/>
                <w:bCs/>
                <w:color w:val="000000"/>
                <w:sz w:val="20"/>
                <w:szCs w:val="20"/>
              </w:rPr>
            </w:pPr>
            <w:r w:rsidRPr="00F52F8B">
              <w:rPr>
                <w:rFonts w:ascii="SWISS" w:hAnsi="SWISS" w:cs="Arial"/>
                <w:b/>
                <w:bCs/>
                <w:color w:val="000000"/>
                <w:sz w:val="20"/>
                <w:szCs w:val="20"/>
              </w:rPr>
              <w:t>TEST YEAR ENDED  12/31/14</w:t>
            </w:r>
          </w:p>
        </w:tc>
        <w:tc>
          <w:tcPr>
            <w:tcW w:w="1348" w:type="dxa"/>
            <w:tcBorders>
              <w:top w:val="nil"/>
              <w:left w:val="nil"/>
              <w:bottom w:val="nil"/>
              <w:right w:val="nil"/>
            </w:tcBorders>
            <w:shd w:val="clear" w:color="auto" w:fill="auto"/>
            <w:noWrap/>
            <w:vAlign w:val="bottom"/>
          </w:tcPr>
          <w:p w:rsidR="006276E6" w:rsidRPr="00F52F8B" w:rsidRDefault="006276E6" w:rsidP="00526BF4">
            <w:pPr>
              <w:rPr>
                <w:rFonts w:ascii="SWISS" w:hAnsi="SWISS" w:cs="Arial"/>
                <w:b/>
                <w:bCs/>
                <w:color w:val="000000"/>
                <w:sz w:val="20"/>
                <w:szCs w:val="20"/>
              </w:rPr>
            </w:pPr>
          </w:p>
        </w:tc>
        <w:tc>
          <w:tcPr>
            <w:tcW w:w="3278" w:type="dxa"/>
            <w:gridSpan w:val="2"/>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b/>
                <w:bCs/>
                <w:color w:val="000000"/>
                <w:sz w:val="20"/>
                <w:szCs w:val="20"/>
              </w:rPr>
            </w:pPr>
            <w:r>
              <w:rPr>
                <w:rFonts w:ascii="SWISS" w:hAnsi="SWISS" w:cs="Arial"/>
                <w:b/>
                <w:bCs/>
                <w:color w:val="000000"/>
                <w:sz w:val="20"/>
                <w:szCs w:val="20"/>
              </w:rPr>
              <w:t xml:space="preserve"> </w:t>
            </w:r>
            <w:r w:rsidRPr="00F52F8B">
              <w:rPr>
                <w:rFonts w:ascii="SWISS" w:hAnsi="SWISS" w:cs="Arial"/>
                <w:b/>
                <w:bCs/>
                <w:color w:val="000000"/>
                <w:sz w:val="20"/>
                <w:szCs w:val="20"/>
              </w:rPr>
              <w:t>DOCKET NO. 1402</w:t>
            </w:r>
            <w:r>
              <w:rPr>
                <w:rFonts w:ascii="SWISS" w:hAnsi="SWISS" w:cs="Arial"/>
                <w:b/>
                <w:bCs/>
                <w:color w:val="000000"/>
                <w:sz w:val="20"/>
                <w:szCs w:val="20"/>
              </w:rPr>
              <w:t>20</w:t>
            </w:r>
            <w:r w:rsidRPr="00F52F8B">
              <w:rPr>
                <w:rFonts w:ascii="SWISS" w:hAnsi="SWISS" w:cs="Arial"/>
                <w:b/>
                <w:bCs/>
                <w:color w:val="000000"/>
                <w:sz w:val="20"/>
                <w:szCs w:val="20"/>
              </w:rPr>
              <w:t>-WU</w:t>
            </w:r>
          </w:p>
        </w:tc>
      </w:tr>
      <w:tr w:rsidR="006276E6" w:rsidRPr="00F52F8B" w:rsidTr="003D6C61">
        <w:trPr>
          <w:trHeight w:val="312"/>
          <w:jc w:val="center"/>
        </w:trPr>
        <w:tc>
          <w:tcPr>
            <w:tcW w:w="9509" w:type="dxa"/>
            <w:gridSpan w:val="4"/>
            <w:tcBorders>
              <w:top w:val="nil"/>
              <w:left w:val="single" w:sz="8" w:space="0" w:color="auto"/>
              <w:bottom w:val="single" w:sz="8" w:space="0" w:color="auto"/>
              <w:right w:val="single" w:sz="8" w:space="0" w:color="auto"/>
            </w:tcBorders>
            <w:shd w:val="clear" w:color="auto" w:fill="auto"/>
            <w:noWrap/>
            <w:vAlign w:val="bottom"/>
          </w:tcPr>
          <w:p w:rsidR="006276E6" w:rsidRPr="00F52F8B" w:rsidRDefault="006276E6" w:rsidP="00526BF4">
            <w:pPr>
              <w:rPr>
                <w:rFonts w:ascii="SWISS" w:hAnsi="SWISS" w:cs="Arial"/>
                <w:b/>
                <w:bCs/>
                <w:color w:val="000000"/>
                <w:sz w:val="20"/>
                <w:szCs w:val="20"/>
              </w:rPr>
            </w:pPr>
            <w:r w:rsidRPr="00F52F8B">
              <w:rPr>
                <w:rFonts w:ascii="SWISS" w:hAnsi="SWISS" w:cs="Arial"/>
                <w:b/>
                <w:bCs/>
                <w:color w:val="000000"/>
                <w:sz w:val="20"/>
                <w:szCs w:val="20"/>
              </w:rPr>
              <w:t>ANALYSIS OF WATER OPERATION AND MAINTENANCE EXPENSE </w:t>
            </w:r>
          </w:p>
        </w:tc>
      </w:tr>
      <w:tr w:rsidR="006276E6" w:rsidRPr="00F52F8B" w:rsidTr="003D6C61">
        <w:trPr>
          <w:trHeight w:val="300"/>
          <w:jc w:val="center"/>
        </w:trPr>
        <w:tc>
          <w:tcPr>
            <w:tcW w:w="4883" w:type="dxa"/>
            <w:tcBorders>
              <w:top w:val="single" w:sz="8" w:space="0" w:color="auto"/>
              <w:left w:val="single" w:sz="8" w:space="0" w:color="auto"/>
              <w:bottom w:val="nil"/>
              <w:right w:val="nil"/>
            </w:tcBorders>
            <w:shd w:val="clear" w:color="auto" w:fill="auto"/>
            <w:noWrap/>
            <w:vAlign w:val="bottom"/>
          </w:tcPr>
          <w:p w:rsidR="006276E6" w:rsidRPr="00F52F8B" w:rsidRDefault="006276E6" w:rsidP="00526BF4">
            <w:pPr>
              <w:rPr>
                <w:rFonts w:ascii="SWISS" w:hAnsi="SWISS" w:cs="Arial"/>
                <w:b/>
                <w:bCs/>
                <w:color w:val="000000"/>
                <w:sz w:val="20"/>
                <w:szCs w:val="20"/>
              </w:rPr>
            </w:pPr>
            <w:r w:rsidRPr="00F52F8B">
              <w:rPr>
                <w:rFonts w:ascii="SWISS" w:hAnsi="SWISS" w:cs="Arial"/>
                <w:b/>
                <w:bCs/>
                <w:color w:val="000000"/>
                <w:sz w:val="20"/>
                <w:szCs w:val="20"/>
              </w:rPr>
              <w:t> </w:t>
            </w:r>
          </w:p>
        </w:tc>
        <w:tc>
          <w:tcPr>
            <w:tcW w:w="1348" w:type="dxa"/>
            <w:tcBorders>
              <w:top w:val="single" w:sz="8" w:space="0" w:color="auto"/>
              <w:left w:val="nil"/>
              <w:bottom w:val="nil"/>
              <w:right w:val="nil"/>
            </w:tcBorders>
            <w:shd w:val="clear" w:color="auto" w:fill="auto"/>
            <w:noWrap/>
            <w:vAlign w:val="bottom"/>
          </w:tcPr>
          <w:p w:rsidR="006276E6" w:rsidRPr="00F52F8B" w:rsidRDefault="006276E6" w:rsidP="00526BF4">
            <w:pPr>
              <w:jc w:val="center"/>
              <w:rPr>
                <w:rFonts w:ascii="SWISS" w:hAnsi="SWISS" w:cs="Arial"/>
                <w:b/>
                <w:bCs/>
                <w:color w:val="000000"/>
                <w:sz w:val="20"/>
                <w:szCs w:val="20"/>
              </w:rPr>
            </w:pPr>
            <w:r w:rsidRPr="00F52F8B">
              <w:rPr>
                <w:rFonts w:ascii="SWISS" w:hAnsi="SWISS" w:cs="Arial"/>
                <w:b/>
                <w:bCs/>
                <w:color w:val="000000"/>
                <w:sz w:val="20"/>
                <w:szCs w:val="20"/>
              </w:rPr>
              <w:t>TOTAL</w:t>
            </w:r>
          </w:p>
        </w:tc>
        <w:tc>
          <w:tcPr>
            <w:tcW w:w="1706" w:type="dxa"/>
            <w:tcBorders>
              <w:top w:val="single" w:sz="8" w:space="0" w:color="auto"/>
              <w:left w:val="nil"/>
              <w:bottom w:val="nil"/>
              <w:right w:val="nil"/>
            </w:tcBorders>
            <w:shd w:val="clear" w:color="auto" w:fill="auto"/>
            <w:noWrap/>
            <w:vAlign w:val="bottom"/>
          </w:tcPr>
          <w:p w:rsidR="006276E6" w:rsidRPr="00F52F8B" w:rsidRDefault="00526BF4" w:rsidP="00526BF4">
            <w:pPr>
              <w:jc w:val="center"/>
              <w:rPr>
                <w:rFonts w:ascii="SWISS" w:hAnsi="SWISS" w:cs="Arial"/>
                <w:b/>
                <w:bCs/>
                <w:color w:val="000000"/>
                <w:sz w:val="20"/>
                <w:szCs w:val="20"/>
              </w:rPr>
            </w:pPr>
            <w:r>
              <w:rPr>
                <w:rFonts w:ascii="SWISS" w:hAnsi="SWISS" w:cs="Arial"/>
                <w:b/>
                <w:bCs/>
                <w:color w:val="000000"/>
                <w:sz w:val="20"/>
                <w:szCs w:val="20"/>
              </w:rPr>
              <w:t>COMMISSION</w:t>
            </w:r>
          </w:p>
        </w:tc>
        <w:tc>
          <w:tcPr>
            <w:tcW w:w="1572" w:type="dxa"/>
            <w:tcBorders>
              <w:top w:val="single" w:sz="8" w:space="0" w:color="auto"/>
              <w:left w:val="nil"/>
              <w:bottom w:val="nil"/>
              <w:right w:val="single" w:sz="8" w:space="0" w:color="auto"/>
            </w:tcBorders>
            <w:shd w:val="clear" w:color="auto" w:fill="auto"/>
            <w:noWrap/>
            <w:vAlign w:val="bottom"/>
          </w:tcPr>
          <w:p w:rsidR="006276E6" w:rsidRPr="00F52F8B" w:rsidRDefault="00F578AC" w:rsidP="00526BF4">
            <w:pPr>
              <w:jc w:val="center"/>
              <w:rPr>
                <w:rFonts w:ascii="SWISS" w:hAnsi="SWISS" w:cs="Arial"/>
                <w:b/>
                <w:bCs/>
                <w:color w:val="000000"/>
                <w:sz w:val="20"/>
                <w:szCs w:val="20"/>
              </w:rPr>
            </w:pPr>
            <w:r>
              <w:rPr>
                <w:rFonts w:ascii="SWISS" w:hAnsi="SWISS" w:cs="Arial"/>
                <w:b/>
                <w:bCs/>
                <w:color w:val="000000"/>
                <w:sz w:val="20"/>
                <w:szCs w:val="20"/>
              </w:rPr>
              <w:t>COMMISSION</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b/>
                <w:bCs/>
                <w:color w:val="000000"/>
                <w:sz w:val="20"/>
                <w:szCs w:val="20"/>
              </w:rPr>
            </w:pPr>
            <w:r w:rsidRPr="00F52F8B">
              <w:rPr>
                <w:rFonts w:ascii="SWISS" w:hAnsi="SWISS" w:cs="Arial"/>
                <w:b/>
                <w:bCs/>
                <w:color w:val="000000"/>
                <w:sz w:val="20"/>
                <w:szCs w:val="20"/>
              </w:rPr>
              <w:t> </w:t>
            </w:r>
          </w:p>
        </w:tc>
        <w:tc>
          <w:tcPr>
            <w:tcW w:w="1348" w:type="dxa"/>
            <w:tcBorders>
              <w:top w:val="nil"/>
              <w:left w:val="nil"/>
              <w:bottom w:val="nil"/>
              <w:right w:val="nil"/>
            </w:tcBorders>
            <w:shd w:val="clear" w:color="auto" w:fill="auto"/>
            <w:noWrap/>
            <w:vAlign w:val="bottom"/>
          </w:tcPr>
          <w:p w:rsidR="006276E6" w:rsidRPr="00F52F8B" w:rsidRDefault="006276E6" w:rsidP="00526BF4">
            <w:pPr>
              <w:jc w:val="center"/>
              <w:rPr>
                <w:rFonts w:ascii="SWISS" w:hAnsi="SWISS" w:cs="Arial"/>
                <w:b/>
                <w:bCs/>
                <w:color w:val="000000"/>
                <w:sz w:val="20"/>
                <w:szCs w:val="20"/>
              </w:rPr>
            </w:pPr>
            <w:r w:rsidRPr="00F52F8B">
              <w:rPr>
                <w:rFonts w:ascii="SWISS" w:hAnsi="SWISS" w:cs="Arial"/>
                <w:b/>
                <w:bCs/>
                <w:color w:val="000000"/>
                <w:sz w:val="20"/>
                <w:szCs w:val="20"/>
              </w:rPr>
              <w:t>PER</w:t>
            </w:r>
          </w:p>
        </w:tc>
        <w:tc>
          <w:tcPr>
            <w:tcW w:w="1706" w:type="dxa"/>
            <w:tcBorders>
              <w:top w:val="nil"/>
              <w:left w:val="nil"/>
              <w:bottom w:val="nil"/>
              <w:right w:val="nil"/>
            </w:tcBorders>
            <w:shd w:val="clear" w:color="auto" w:fill="auto"/>
            <w:noWrap/>
            <w:vAlign w:val="bottom"/>
          </w:tcPr>
          <w:p w:rsidR="006276E6" w:rsidRPr="00F52F8B" w:rsidRDefault="006276E6" w:rsidP="003D6C61">
            <w:pPr>
              <w:jc w:val="center"/>
              <w:rPr>
                <w:rFonts w:ascii="SWISS" w:hAnsi="SWISS" w:cs="Arial"/>
                <w:b/>
                <w:bCs/>
                <w:color w:val="000000"/>
                <w:sz w:val="20"/>
                <w:szCs w:val="20"/>
              </w:rPr>
            </w:pPr>
            <w:r w:rsidRPr="00F52F8B">
              <w:rPr>
                <w:rFonts w:ascii="SWISS" w:hAnsi="SWISS" w:cs="Arial"/>
                <w:b/>
                <w:bCs/>
                <w:color w:val="000000"/>
                <w:sz w:val="20"/>
                <w:szCs w:val="20"/>
              </w:rPr>
              <w:t>ADJUST</w:t>
            </w:r>
            <w:r w:rsidR="003D6C61">
              <w:rPr>
                <w:rFonts w:ascii="SWISS" w:hAnsi="SWISS" w:cs="Arial"/>
                <w:b/>
                <w:bCs/>
                <w:color w:val="000000"/>
                <w:sz w:val="20"/>
                <w:szCs w:val="20"/>
              </w:rPr>
              <w:t>MENTS</w:t>
            </w:r>
          </w:p>
        </w:tc>
        <w:tc>
          <w:tcPr>
            <w:tcW w:w="1572" w:type="dxa"/>
            <w:tcBorders>
              <w:top w:val="nil"/>
              <w:left w:val="nil"/>
              <w:bottom w:val="nil"/>
              <w:right w:val="single" w:sz="8" w:space="0" w:color="auto"/>
            </w:tcBorders>
            <w:shd w:val="clear" w:color="auto" w:fill="auto"/>
            <w:noWrap/>
            <w:vAlign w:val="bottom"/>
          </w:tcPr>
          <w:p w:rsidR="006276E6" w:rsidRPr="00F52F8B" w:rsidRDefault="00F578AC" w:rsidP="00526BF4">
            <w:pPr>
              <w:jc w:val="center"/>
              <w:rPr>
                <w:rFonts w:ascii="SWISS" w:hAnsi="SWISS" w:cs="Arial"/>
                <w:b/>
                <w:bCs/>
                <w:color w:val="000000"/>
                <w:sz w:val="20"/>
                <w:szCs w:val="20"/>
              </w:rPr>
            </w:pPr>
            <w:r>
              <w:rPr>
                <w:rFonts w:ascii="SWISS" w:hAnsi="SWISS" w:cs="Arial"/>
                <w:b/>
                <w:bCs/>
                <w:color w:val="000000"/>
                <w:sz w:val="20"/>
                <w:szCs w:val="20"/>
              </w:rPr>
              <w:t>APPROVED</w:t>
            </w:r>
          </w:p>
        </w:tc>
      </w:tr>
      <w:tr w:rsidR="006276E6" w:rsidRPr="00F52F8B" w:rsidTr="003D6C61">
        <w:trPr>
          <w:trHeight w:val="312"/>
          <w:jc w:val="center"/>
        </w:trPr>
        <w:tc>
          <w:tcPr>
            <w:tcW w:w="4883" w:type="dxa"/>
            <w:tcBorders>
              <w:top w:val="nil"/>
              <w:left w:val="single" w:sz="8" w:space="0" w:color="auto"/>
              <w:bottom w:val="single" w:sz="8" w:space="0" w:color="auto"/>
              <w:right w:val="nil"/>
            </w:tcBorders>
            <w:shd w:val="clear" w:color="auto" w:fill="auto"/>
            <w:noWrap/>
            <w:vAlign w:val="bottom"/>
          </w:tcPr>
          <w:p w:rsidR="006276E6" w:rsidRPr="00F52F8B" w:rsidRDefault="006276E6" w:rsidP="00526BF4">
            <w:pPr>
              <w:rPr>
                <w:rFonts w:ascii="SWISS" w:hAnsi="SWISS" w:cs="Arial"/>
                <w:b/>
                <w:bCs/>
                <w:color w:val="000000"/>
                <w:sz w:val="20"/>
                <w:szCs w:val="20"/>
              </w:rPr>
            </w:pPr>
            <w:r w:rsidRPr="00F52F8B">
              <w:rPr>
                <w:rFonts w:ascii="SWISS" w:hAnsi="SWISS" w:cs="Arial"/>
                <w:b/>
                <w:bCs/>
                <w:color w:val="000000"/>
                <w:sz w:val="20"/>
                <w:szCs w:val="20"/>
              </w:rPr>
              <w:t> </w:t>
            </w:r>
          </w:p>
        </w:tc>
        <w:tc>
          <w:tcPr>
            <w:tcW w:w="1348" w:type="dxa"/>
            <w:tcBorders>
              <w:top w:val="nil"/>
              <w:left w:val="nil"/>
              <w:bottom w:val="single" w:sz="8" w:space="0" w:color="auto"/>
              <w:right w:val="nil"/>
            </w:tcBorders>
            <w:shd w:val="clear" w:color="auto" w:fill="auto"/>
            <w:noWrap/>
            <w:vAlign w:val="bottom"/>
          </w:tcPr>
          <w:p w:rsidR="006276E6" w:rsidRPr="00F52F8B" w:rsidRDefault="006276E6" w:rsidP="00526BF4">
            <w:pPr>
              <w:jc w:val="center"/>
              <w:rPr>
                <w:rFonts w:ascii="SWISS" w:hAnsi="SWISS" w:cs="Arial"/>
                <w:b/>
                <w:bCs/>
                <w:color w:val="000000"/>
                <w:sz w:val="20"/>
                <w:szCs w:val="20"/>
              </w:rPr>
            </w:pPr>
            <w:r w:rsidRPr="00F52F8B">
              <w:rPr>
                <w:rFonts w:ascii="SWISS" w:hAnsi="SWISS" w:cs="Arial"/>
                <w:b/>
                <w:bCs/>
                <w:color w:val="000000"/>
                <w:sz w:val="20"/>
                <w:szCs w:val="20"/>
              </w:rPr>
              <w:t>UTILITY</w:t>
            </w:r>
          </w:p>
        </w:tc>
        <w:tc>
          <w:tcPr>
            <w:tcW w:w="1706" w:type="dxa"/>
            <w:tcBorders>
              <w:top w:val="nil"/>
              <w:left w:val="nil"/>
              <w:bottom w:val="single" w:sz="8" w:space="0" w:color="auto"/>
              <w:right w:val="nil"/>
            </w:tcBorders>
            <w:shd w:val="clear" w:color="auto" w:fill="auto"/>
            <w:noWrap/>
            <w:vAlign w:val="bottom"/>
          </w:tcPr>
          <w:p w:rsidR="006276E6" w:rsidRPr="00F52F8B" w:rsidRDefault="006276E6" w:rsidP="00526BF4">
            <w:pPr>
              <w:jc w:val="center"/>
              <w:rPr>
                <w:rFonts w:ascii="SWISS" w:hAnsi="SWISS" w:cs="Arial"/>
                <w:b/>
                <w:bCs/>
                <w:color w:val="000000"/>
                <w:sz w:val="20"/>
                <w:szCs w:val="20"/>
              </w:rPr>
            </w:pPr>
          </w:p>
        </w:tc>
        <w:tc>
          <w:tcPr>
            <w:tcW w:w="1572" w:type="dxa"/>
            <w:tcBorders>
              <w:top w:val="nil"/>
              <w:left w:val="nil"/>
              <w:bottom w:val="single" w:sz="8" w:space="0" w:color="auto"/>
              <w:right w:val="single" w:sz="8" w:space="0" w:color="auto"/>
            </w:tcBorders>
            <w:shd w:val="clear" w:color="auto" w:fill="auto"/>
            <w:noWrap/>
            <w:vAlign w:val="bottom"/>
          </w:tcPr>
          <w:p w:rsidR="006276E6" w:rsidRPr="00F52F8B" w:rsidRDefault="00F578AC" w:rsidP="00526BF4">
            <w:pPr>
              <w:jc w:val="center"/>
              <w:rPr>
                <w:rFonts w:ascii="SWISS" w:hAnsi="SWISS" w:cs="Arial"/>
                <w:b/>
                <w:bCs/>
                <w:color w:val="000000"/>
                <w:sz w:val="20"/>
                <w:szCs w:val="20"/>
              </w:rPr>
            </w:pPr>
            <w:r>
              <w:rPr>
                <w:rFonts w:ascii="SWISS" w:hAnsi="SWISS" w:cs="Arial"/>
                <w:b/>
                <w:bCs/>
                <w:color w:val="000000"/>
                <w:sz w:val="20"/>
                <w:szCs w:val="20"/>
              </w:rPr>
              <w:t>TOTAL</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(601) SALARIES AND WAGES - EMPLOYEES</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(603) SALARIES AND WAGES - OFFICERS</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12,000</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 xml:space="preserve">(4,541)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7,459</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(604) EMPLOYEE PENSIONS AND BENEFITS</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(610) PURCHASED WATER</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(615) PURCHASED POWER</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w:t>
            </w:r>
            <w:r w:rsidRPr="00F52F8B">
              <w:rPr>
                <w:rFonts w:ascii="SWISS" w:hAnsi="SWISS" w:cs="Arial"/>
                <w:sz w:val="20"/>
                <w:szCs w:val="20"/>
              </w:rPr>
              <w:t>,</w:t>
            </w:r>
            <w:r>
              <w:rPr>
                <w:rFonts w:ascii="SWISS" w:hAnsi="SWISS" w:cs="Arial"/>
                <w:sz w:val="20"/>
                <w:szCs w:val="20"/>
              </w:rPr>
              <w:t>340</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268</w:t>
            </w:r>
            <w:r w:rsidRPr="00F52F8B">
              <w:rPr>
                <w:rFonts w:ascii="SWISS" w:hAnsi="SWISS" w:cs="Arial"/>
                <w:sz w:val="20"/>
                <w:szCs w:val="20"/>
              </w:rPr>
              <w:t>)</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2,072</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(616) FUEL FOR POWER PRODUCTION</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219</w:t>
            </w:r>
            <w:r w:rsidRPr="00F52F8B">
              <w:rPr>
                <w:rFonts w:ascii="SWISS" w:hAnsi="SWISS" w:cs="Arial"/>
                <w:sz w:val="20"/>
                <w:szCs w:val="20"/>
              </w:rPr>
              <w:t xml:space="preserve">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219</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(618) CHEMICALS</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1,431</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10</w:t>
            </w:r>
            <w:r w:rsidRPr="00F52F8B">
              <w:rPr>
                <w:rFonts w:ascii="SWISS" w:hAnsi="SWISS" w:cs="Arial"/>
                <w:sz w:val="20"/>
                <w:szCs w:val="20"/>
              </w:rPr>
              <w:t xml:space="preserve">)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1,421</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(620) MATERIALS AND SUPPLIES</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0</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(630) CONTRACTUAL SERVICES - BILLING</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9</w:t>
            </w:r>
            <w:r w:rsidRPr="00F52F8B">
              <w:rPr>
                <w:rFonts w:ascii="SWISS" w:hAnsi="SWISS" w:cs="Arial"/>
                <w:sz w:val="20"/>
                <w:szCs w:val="20"/>
              </w:rPr>
              <w:t>,</w:t>
            </w:r>
            <w:r>
              <w:rPr>
                <w:rFonts w:ascii="SWISS" w:hAnsi="SWISS" w:cs="Arial"/>
                <w:sz w:val="20"/>
                <w:szCs w:val="20"/>
              </w:rPr>
              <w:t>802</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3,058</w:t>
            </w:r>
            <w:r w:rsidRPr="00F52F8B">
              <w:rPr>
                <w:rFonts w:ascii="SWISS" w:hAnsi="SWISS" w:cs="Arial"/>
                <w:sz w:val="20"/>
                <w:szCs w:val="20"/>
              </w:rPr>
              <w:t>)</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6,744</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3D6C61" w:rsidP="003D6C61">
            <w:pPr>
              <w:rPr>
                <w:rFonts w:ascii="SWISS" w:hAnsi="SWISS" w:cs="Arial"/>
                <w:sz w:val="20"/>
                <w:szCs w:val="20"/>
              </w:rPr>
            </w:pPr>
            <w:r>
              <w:rPr>
                <w:rFonts w:ascii="SWISS" w:hAnsi="SWISS" w:cs="Arial"/>
                <w:sz w:val="20"/>
                <w:szCs w:val="20"/>
              </w:rPr>
              <w:t>(631) CONTRACTUAL SERVICES - P</w:t>
            </w:r>
            <w:r w:rsidR="006276E6" w:rsidRPr="00F52F8B">
              <w:rPr>
                <w:rFonts w:ascii="SWISS" w:hAnsi="SWISS" w:cs="Arial"/>
                <w:sz w:val="20"/>
                <w:szCs w:val="20"/>
              </w:rPr>
              <w:t>ROFESSIONAL</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400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1,670</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2,070</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(635) CONTRACTUAL SERVICES - TESTING</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4</w:t>
            </w:r>
            <w:r w:rsidRPr="00F52F8B">
              <w:rPr>
                <w:rFonts w:ascii="SWISS" w:hAnsi="SWISS" w:cs="Arial"/>
                <w:sz w:val="20"/>
                <w:szCs w:val="20"/>
              </w:rPr>
              <w:t>,</w:t>
            </w:r>
            <w:r>
              <w:rPr>
                <w:rFonts w:ascii="SWISS" w:hAnsi="SWISS" w:cs="Arial"/>
                <w:sz w:val="20"/>
                <w:szCs w:val="20"/>
              </w:rPr>
              <w:t>608</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4</w:t>
            </w:r>
            <w:r w:rsidRPr="00F52F8B">
              <w:rPr>
                <w:rFonts w:ascii="SWISS" w:hAnsi="SWISS" w:cs="Arial"/>
                <w:sz w:val="20"/>
                <w:szCs w:val="20"/>
              </w:rPr>
              <w:t>,</w:t>
            </w:r>
            <w:r>
              <w:rPr>
                <w:rFonts w:ascii="SWISS" w:hAnsi="SWISS" w:cs="Arial"/>
                <w:sz w:val="20"/>
                <w:szCs w:val="20"/>
              </w:rPr>
              <w:t>608</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(636) CONTRACTUAL SERVICES - OTHER</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29</w:t>
            </w:r>
            <w:r w:rsidRPr="00F52F8B">
              <w:rPr>
                <w:rFonts w:ascii="SWISS" w:hAnsi="SWISS" w:cs="Arial"/>
                <w:sz w:val="20"/>
                <w:szCs w:val="20"/>
              </w:rPr>
              <w:t>,</w:t>
            </w:r>
            <w:r>
              <w:rPr>
                <w:rFonts w:ascii="SWISS" w:hAnsi="SWISS" w:cs="Arial"/>
                <w:sz w:val="20"/>
                <w:szCs w:val="20"/>
              </w:rPr>
              <w:t>173</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w:t>
            </w:r>
            <w:r w:rsidRPr="00F52F8B">
              <w:rPr>
                <w:rFonts w:ascii="SWISS" w:hAnsi="SWISS" w:cs="Arial"/>
                <w:sz w:val="20"/>
                <w:szCs w:val="20"/>
              </w:rPr>
              <w:t>,</w:t>
            </w:r>
            <w:r>
              <w:rPr>
                <w:rFonts w:ascii="SWISS" w:hAnsi="SWISS" w:cs="Arial"/>
                <w:sz w:val="20"/>
                <w:szCs w:val="20"/>
              </w:rPr>
              <w:t>549</w:t>
            </w:r>
            <w:r w:rsidRPr="00F52F8B">
              <w:rPr>
                <w:rFonts w:ascii="SWISS" w:hAnsi="SWISS" w:cs="Arial"/>
                <w:sz w:val="20"/>
                <w:szCs w:val="20"/>
              </w:rPr>
              <w:t xml:space="preserve">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31</w:t>
            </w:r>
            <w:r w:rsidRPr="00F52F8B">
              <w:rPr>
                <w:rFonts w:ascii="SWISS" w:hAnsi="SWISS" w:cs="Arial"/>
                <w:sz w:val="20"/>
                <w:szCs w:val="20"/>
              </w:rPr>
              <w:t>,</w:t>
            </w:r>
            <w:r>
              <w:rPr>
                <w:rFonts w:ascii="SWISS" w:hAnsi="SWISS" w:cs="Arial"/>
                <w:sz w:val="20"/>
                <w:szCs w:val="20"/>
              </w:rPr>
              <w:t>722</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(640) RENTS</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(650) TRANSPORTATION EXPENSE</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1,</w:t>
            </w:r>
            <w:r>
              <w:rPr>
                <w:rFonts w:ascii="SWISS" w:hAnsi="SWISS" w:cs="Arial"/>
                <w:sz w:val="20"/>
                <w:szCs w:val="20"/>
              </w:rPr>
              <w:t>976</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w:t>
            </w:r>
            <w:r>
              <w:rPr>
                <w:rFonts w:ascii="SWISS" w:hAnsi="SWISS" w:cs="Arial"/>
                <w:sz w:val="20"/>
                <w:szCs w:val="20"/>
              </w:rPr>
              <w:t>1,274</w:t>
            </w:r>
            <w:r w:rsidRPr="00F52F8B">
              <w:rPr>
                <w:rFonts w:ascii="SWISS" w:hAnsi="SWISS" w:cs="Arial"/>
                <w:sz w:val="20"/>
                <w:szCs w:val="20"/>
              </w:rPr>
              <w:t>)</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702</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(655) INSURANCE EXPENSE</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w:t>
            </w:r>
            <w:r w:rsidRPr="00F52F8B">
              <w:rPr>
                <w:rFonts w:ascii="SWISS" w:hAnsi="SWISS" w:cs="Arial"/>
                <w:sz w:val="20"/>
                <w:szCs w:val="20"/>
              </w:rPr>
              <w:t>,</w:t>
            </w:r>
            <w:r>
              <w:rPr>
                <w:rFonts w:ascii="SWISS" w:hAnsi="SWISS" w:cs="Arial"/>
                <w:sz w:val="20"/>
                <w:szCs w:val="20"/>
              </w:rPr>
              <w:t>010</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(182)</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1,828</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(665) REGULATORY COMMISSION EXPENSE</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sidRPr="00F52F8B">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1,006</w:t>
            </w:r>
            <w:r w:rsidRPr="00F52F8B">
              <w:rPr>
                <w:rFonts w:ascii="SWISS" w:hAnsi="SWISS" w:cs="Arial"/>
                <w:sz w:val="20"/>
                <w:szCs w:val="20"/>
              </w:rPr>
              <w:t xml:space="preserve">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1,006</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(670) BAD DEBT EXPENSE</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3,899</w:t>
            </w:r>
            <w:r w:rsidRPr="00F52F8B">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(2,510)</w:t>
            </w:r>
            <w:r w:rsidRPr="00F52F8B">
              <w:rPr>
                <w:rFonts w:ascii="SWISS" w:hAnsi="SWISS" w:cs="Arial"/>
                <w:sz w:val="20"/>
                <w:szCs w:val="20"/>
              </w:rPr>
              <w:t xml:space="preserve">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rPr>
            </w:pPr>
            <w:r>
              <w:rPr>
                <w:rFonts w:ascii="SWISS" w:hAnsi="SWISS" w:cs="Arial"/>
                <w:sz w:val="20"/>
                <w:szCs w:val="20"/>
              </w:rPr>
              <w:t>1,389</w:t>
            </w:r>
            <w:r w:rsidRPr="00F52F8B">
              <w:rPr>
                <w:rFonts w:ascii="SWISS" w:hAnsi="SWISS" w:cs="Arial"/>
                <w:sz w:val="20"/>
                <w:szCs w:val="20"/>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(675) MISCELLANEOUS EXPENSE</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u w:val="single"/>
              </w:rPr>
            </w:pPr>
            <w:r>
              <w:rPr>
                <w:rFonts w:ascii="SWISS" w:hAnsi="SWISS" w:cs="Arial"/>
                <w:sz w:val="20"/>
                <w:szCs w:val="20"/>
                <w:u w:val="single"/>
              </w:rPr>
              <w:t>6</w:t>
            </w:r>
            <w:r w:rsidRPr="00F52F8B">
              <w:rPr>
                <w:rFonts w:ascii="SWISS" w:hAnsi="SWISS" w:cs="Arial"/>
                <w:sz w:val="20"/>
                <w:szCs w:val="20"/>
                <w:u w:val="single"/>
              </w:rPr>
              <w:t>,</w:t>
            </w:r>
            <w:r>
              <w:rPr>
                <w:rFonts w:ascii="SWISS" w:hAnsi="SWISS" w:cs="Arial"/>
                <w:sz w:val="20"/>
                <w:szCs w:val="20"/>
                <w:u w:val="single"/>
              </w:rPr>
              <w:t>342</w:t>
            </w:r>
            <w:r w:rsidRPr="00F52F8B">
              <w:rPr>
                <w:rFonts w:ascii="SWISS" w:hAnsi="SWISS" w:cs="Arial"/>
                <w:sz w:val="20"/>
                <w:szCs w:val="20"/>
                <w:u w:val="single"/>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u w:val="single"/>
              </w:rPr>
            </w:pPr>
            <w:r>
              <w:rPr>
                <w:rFonts w:ascii="SWISS" w:hAnsi="SWISS" w:cs="Arial"/>
                <w:sz w:val="20"/>
                <w:szCs w:val="20"/>
                <w:u w:val="single"/>
              </w:rPr>
              <w:t>(885)</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u w:val="single"/>
              </w:rPr>
            </w:pPr>
            <w:r>
              <w:rPr>
                <w:rFonts w:ascii="SWISS" w:hAnsi="SWISS" w:cs="Arial"/>
                <w:sz w:val="20"/>
                <w:szCs w:val="20"/>
                <w:u w:val="single"/>
              </w:rPr>
              <w:t>5</w:t>
            </w:r>
            <w:r w:rsidRPr="00F52F8B">
              <w:rPr>
                <w:rFonts w:ascii="SWISS" w:hAnsi="SWISS" w:cs="Arial"/>
                <w:sz w:val="20"/>
                <w:szCs w:val="20"/>
                <w:u w:val="single"/>
              </w:rPr>
              <w:t>,</w:t>
            </w:r>
            <w:r>
              <w:rPr>
                <w:rFonts w:ascii="SWISS" w:hAnsi="SWISS" w:cs="Arial"/>
                <w:sz w:val="20"/>
                <w:szCs w:val="20"/>
                <w:u w:val="single"/>
              </w:rPr>
              <w:t>457</w:t>
            </w:r>
            <w:r w:rsidRPr="00F52F8B">
              <w:rPr>
                <w:rFonts w:ascii="SWISS" w:hAnsi="SWISS" w:cs="Arial"/>
                <w:sz w:val="20"/>
                <w:szCs w:val="20"/>
                <w:u w:val="single"/>
              </w:rPr>
              <w:t xml:space="preserve"> </w:t>
            </w: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 </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u w:val="single"/>
              </w:rPr>
            </w:pP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u w:val="single"/>
              </w:rPr>
            </w:pP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u w:val="single"/>
              </w:rPr>
            </w:pPr>
          </w:p>
        </w:tc>
      </w:tr>
      <w:tr w:rsidR="006276E6" w:rsidRPr="00F52F8B" w:rsidTr="003D6C61">
        <w:trPr>
          <w:trHeight w:val="300"/>
          <w:jc w:val="center"/>
        </w:trPr>
        <w:tc>
          <w:tcPr>
            <w:tcW w:w="4883" w:type="dxa"/>
            <w:tcBorders>
              <w:top w:val="nil"/>
              <w:left w:val="single" w:sz="8" w:space="0" w:color="auto"/>
              <w:bottom w:val="nil"/>
              <w:right w:val="nil"/>
            </w:tcBorders>
            <w:shd w:val="clear" w:color="auto" w:fill="auto"/>
            <w:noWrap/>
            <w:vAlign w:val="bottom"/>
          </w:tcPr>
          <w:p w:rsidR="006276E6" w:rsidRPr="00F52F8B" w:rsidRDefault="006276E6" w:rsidP="00526BF4">
            <w:pPr>
              <w:rPr>
                <w:rFonts w:ascii="SWISS" w:hAnsi="SWISS" w:cs="Arial"/>
                <w:sz w:val="20"/>
                <w:szCs w:val="20"/>
              </w:rPr>
            </w:pPr>
            <w:r w:rsidRPr="00F52F8B">
              <w:rPr>
                <w:rFonts w:ascii="SWISS" w:hAnsi="SWISS" w:cs="Arial"/>
                <w:sz w:val="20"/>
                <w:szCs w:val="20"/>
              </w:rPr>
              <w:t> </w:t>
            </w:r>
          </w:p>
        </w:tc>
        <w:tc>
          <w:tcPr>
            <w:tcW w:w="1348"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69</w:t>
            </w:r>
            <w:r w:rsidRPr="00F52F8B">
              <w:rPr>
                <w:rFonts w:ascii="SWISS" w:hAnsi="SWISS" w:cs="Arial"/>
                <w:sz w:val="20"/>
                <w:szCs w:val="20"/>
                <w:u w:val="double"/>
              </w:rPr>
              <w:t>,</w:t>
            </w:r>
            <w:r>
              <w:rPr>
                <w:rFonts w:ascii="SWISS" w:hAnsi="SWISS" w:cs="Arial"/>
                <w:sz w:val="20"/>
                <w:szCs w:val="20"/>
                <w:u w:val="double"/>
              </w:rPr>
              <w:t>373</w:t>
            </w:r>
            <w:r w:rsidRPr="00F52F8B">
              <w:rPr>
                <w:rFonts w:ascii="SWISS" w:hAnsi="SWISS" w:cs="Arial"/>
                <w:sz w:val="20"/>
                <w:szCs w:val="20"/>
                <w:u w:val="double"/>
              </w:rPr>
              <w:t xml:space="preserve"> </w:t>
            </w:r>
          </w:p>
        </w:tc>
        <w:tc>
          <w:tcPr>
            <w:tcW w:w="1706" w:type="dxa"/>
            <w:tcBorders>
              <w:top w:val="nil"/>
              <w:left w:val="nil"/>
              <w:bottom w:val="nil"/>
              <w:right w:val="nil"/>
            </w:tcBorders>
            <w:shd w:val="clear" w:color="auto" w:fill="auto"/>
            <w:noWrap/>
            <w:vAlign w:val="bottom"/>
          </w:tcPr>
          <w:p w:rsidR="006276E6" w:rsidRPr="00F52F8B" w:rsidRDefault="006276E6" w:rsidP="00526BF4">
            <w:pPr>
              <w:jc w:val="right"/>
              <w:rPr>
                <w:rFonts w:ascii="SWISS" w:hAnsi="SWISS" w:cs="Arial"/>
                <w:sz w:val="20"/>
                <w:szCs w:val="20"/>
                <w:u w:val="double"/>
              </w:rPr>
            </w:pPr>
            <w:r>
              <w:rPr>
                <w:rFonts w:ascii="SWISS" w:hAnsi="SWISS" w:cs="Arial"/>
                <w:sz w:val="20"/>
                <w:szCs w:val="20"/>
                <w:u w:val="double"/>
              </w:rPr>
              <w:t>($2,676)</w:t>
            </w:r>
            <w:r w:rsidRPr="00F52F8B">
              <w:rPr>
                <w:rFonts w:ascii="SWISS" w:hAnsi="SWISS" w:cs="Arial"/>
                <w:sz w:val="20"/>
                <w:szCs w:val="20"/>
                <w:u w:val="double"/>
              </w:rPr>
              <w:t xml:space="preserve"> </w:t>
            </w:r>
          </w:p>
        </w:tc>
        <w:tc>
          <w:tcPr>
            <w:tcW w:w="1572" w:type="dxa"/>
            <w:tcBorders>
              <w:top w:val="nil"/>
              <w:left w:val="nil"/>
              <w:bottom w:val="nil"/>
              <w:right w:val="single" w:sz="8" w:space="0" w:color="auto"/>
            </w:tcBorders>
            <w:shd w:val="clear" w:color="auto" w:fill="auto"/>
            <w:noWrap/>
            <w:vAlign w:val="bottom"/>
          </w:tcPr>
          <w:p w:rsidR="006276E6" w:rsidRPr="00F52F8B" w:rsidRDefault="006276E6" w:rsidP="00526BF4">
            <w:pPr>
              <w:jc w:val="right"/>
              <w:rPr>
                <w:rFonts w:ascii="SWISS" w:hAnsi="SWISS" w:cs="Arial"/>
                <w:sz w:val="20"/>
                <w:szCs w:val="20"/>
                <w:u w:val="double"/>
              </w:rPr>
            </w:pPr>
            <w:r w:rsidRPr="00F52F8B">
              <w:rPr>
                <w:rFonts w:ascii="SWISS" w:hAnsi="SWISS" w:cs="Arial"/>
                <w:sz w:val="20"/>
                <w:szCs w:val="20"/>
                <w:u w:val="double"/>
              </w:rPr>
              <w:t>$</w:t>
            </w:r>
            <w:r>
              <w:rPr>
                <w:rFonts w:ascii="SWISS" w:hAnsi="SWISS" w:cs="Arial"/>
                <w:sz w:val="20"/>
                <w:szCs w:val="20"/>
                <w:u w:val="double"/>
              </w:rPr>
              <w:t>66,697</w:t>
            </w:r>
            <w:r w:rsidRPr="00F52F8B">
              <w:rPr>
                <w:rFonts w:ascii="SWISS" w:hAnsi="SWISS" w:cs="Arial"/>
                <w:sz w:val="20"/>
                <w:szCs w:val="20"/>
                <w:u w:val="double"/>
              </w:rPr>
              <w:t xml:space="preserve"> </w:t>
            </w:r>
          </w:p>
        </w:tc>
      </w:tr>
      <w:tr w:rsidR="006276E6" w:rsidRPr="00F52F8B" w:rsidTr="003D6C61">
        <w:trPr>
          <w:trHeight w:val="312"/>
          <w:jc w:val="center"/>
        </w:trPr>
        <w:tc>
          <w:tcPr>
            <w:tcW w:w="4883" w:type="dxa"/>
            <w:tcBorders>
              <w:top w:val="nil"/>
              <w:left w:val="single" w:sz="8" w:space="0" w:color="auto"/>
              <w:bottom w:val="single" w:sz="8" w:space="0" w:color="auto"/>
              <w:right w:val="nil"/>
            </w:tcBorders>
            <w:shd w:val="clear" w:color="auto" w:fill="auto"/>
            <w:noWrap/>
            <w:vAlign w:val="bottom"/>
          </w:tcPr>
          <w:p w:rsidR="006276E6" w:rsidRPr="00F52F8B" w:rsidRDefault="006276E6" w:rsidP="00526BF4">
            <w:pPr>
              <w:rPr>
                <w:rFonts w:ascii="SWISS" w:hAnsi="SWISS" w:cs="Arial"/>
                <w:color w:val="000000"/>
                <w:sz w:val="20"/>
                <w:szCs w:val="20"/>
              </w:rPr>
            </w:pPr>
            <w:r w:rsidRPr="00F52F8B">
              <w:rPr>
                <w:rFonts w:ascii="SWISS" w:hAnsi="SWISS" w:cs="Arial"/>
                <w:color w:val="000000"/>
                <w:sz w:val="20"/>
                <w:szCs w:val="20"/>
              </w:rPr>
              <w:t> </w:t>
            </w:r>
          </w:p>
        </w:tc>
        <w:tc>
          <w:tcPr>
            <w:tcW w:w="1348" w:type="dxa"/>
            <w:tcBorders>
              <w:top w:val="nil"/>
              <w:left w:val="nil"/>
              <w:bottom w:val="single" w:sz="8" w:space="0" w:color="auto"/>
              <w:right w:val="nil"/>
            </w:tcBorders>
            <w:shd w:val="clear" w:color="auto" w:fill="auto"/>
            <w:noWrap/>
            <w:vAlign w:val="bottom"/>
          </w:tcPr>
          <w:p w:rsidR="006276E6" w:rsidRPr="00F52F8B" w:rsidRDefault="006276E6" w:rsidP="00526BF4">
            <w:pPr>
              <w:rPr>
                <w:rFonts w:ascii="SWISS" w:hAnsi="SWISS" w:cs="Arial"/>
                <w:color w:val="000000"/>
                <w:sz w:val="20"/>
                <w:szCs w:val="20"/>
              </w:rPr>
            </w:pPr>
            <w:r w:rsidRPr="00F52F8B">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tcPr>
          <w:p w:rsidR="006276E6" w:rsidRPr="00F52F8B" w:rsidRDefault="006276E6" w:rsidP="00526BF4">
            <w:pPr>
              <w:rPr>
                <w:rFonts w:ascii="SWISS" w:hAnsi="SWISS" w:cs="Arial"/>
                <w:color w:val="000000"/>
                <w:sz w:val="20"/>
                <w:szCs w:val="20"/>
              </w:rPr>
            </w:pPr>
            <w:r w:rsidRPr="00F52F8B">
              <w:rPr>
                <w:rFonts w:ascii="SWISS" w:hAnsi="SWISS" w:cs="Arial"/>
                <w:color w:val="000000"/>
                <w:sz w:val="20"/>
                <w:szCs w:val="20"/>
              </w:rPr>
              <w:t> </w:t>
            </w:r>
          </w:p>
        </w:tc>
        <w:tc>
          <w:tcPr>
            <w:tcW w:w="1572" w:type="dxa"/>
            <w:tcBorders>
              <w:top w:val="nil"/>
              <w:left w:val="nil"/>
              <w:bottom w:val="single" w:sz="8" w:space="0" w:color="auto"/>
              <w:right w:val="single" w:sz="8" w:space="0" w:color="auto"/>
            </w:tcBorders>
            <w:shd w:val="clear" w:color="auto" w:fill="auto"/>
            <w:noWrap/>
            <w:vAlign w:val="bottom"/>
          </w:tcPr>
          <w:p w:rsidR="006276E6" w:rsidRPr="00F52F8B" w:rsidRDefault="006276E6" w:rsidP="00526BF4">
            <w:pPr>
              <w:rPr>
                <w:rFonts w:ascii="SWISS" w:hAnsi="SWISS" w:cs="Arial"/>
                <w:color w:val="000000"/>
                <w:sz w:val="20"/>
                <w:szCs w:val="20"/>
              </w:rPr>
            </w:pPr>
            <w:r w:rsidRPr="00F52F8B">
              <w:rPr>
                <w:rFonts w:ascii="SWISS" w:hAnsi="SWISS" w:cs="Arial"/>
                <w:color w:val="000000"/>
                <w:sz w:val="20"/>
                <w:szCs w:val="20"/>
              </w:rPr>
              <w:t> </w:t>
            </w:r>
          </w:p>
        </w:tc>
      </w:tr>
    </w:tbl>
    <w:p w:rsidR="006276E6" w:rsidRDefault="006276E6" w:rsidP="00FB23DB">
      <w:pPr>
        <w:pStyle w:val="OrderBody"/>
        <w:sectPr w:rsidR="006276E6" w:rsidSect="00796932">
          <w:pgSz w:w="12240" w:h="15840" w:code="1"/>
          <w:pgMar w:top="1440" w:right="1440" w:bottom="1440" w:left="1440" w:header="720" w:footer="720" w:gutter="0"/>
          <w:cols w:space="720"/>
          <w:titlePg/>
          <w:docGrid w:linePitch="360"/>
        </w:sectPr>
      </w:pPr>
    </w:p>
    <w:tbl>
      <w:tblPr>
        <w:tblW w:w="9825" w:type="dxa"/>
        <w:tblInd w:w="93" w:type="dxa"/>
        <w:tblLayout w:type="fixed"/>
        <w:tblLook w:val="04A0" w:firstRow="1" w:lastRow="0" w:firstColumn="1" w:lastColumn="0" w:noHBand="0" w:noVBand="1"/>
      </w:tblPr>
      <w:tblGrid>
        <w:gridCol w:w="4491"/>
        <w:gridCol w:w="1664"/>
        <w:gridCol w:w="1960"/>
        <w:gridCol w:w="1710"/>
      </w:tblGrid>
      <w:tr w:rsidR="006276E6" w:rsidTr="003A5858">
        <w:trPr>
          <w:trHeight w:val="315"/>
        </w:trPr>
        <w:tc>
          <w:tcPr>
            <w:tcW w:w="4491" w:type="dxa"/>
            <w:tcBorders>
              <w:top w:val="single" w:sz="8" w:space="0" w:color="000000"/>
              <w:left w:val="single" w:sz="8" w:space="0" w:color="000000"/>
              <w:bottom w:val="nil"/>
              <w:right w:val="nil"/>
            </w:tcBorders>
            <w:shd w:val="clear" w:color="auto" w:fill="auto"/>
            <w:noWrap/>
            <w:vAlign w:val="bottom"/>
            <w:hideMark/>
          </w:tcPr>
          <w:p w:rsidR="006276E6" w:rsidRDefault="006276E6" w:rsidP="00526BF4">
            <w:pPr>
              <w:rPr>
                <w:rFonts w:ascii="SWISS" w:hAnsi="SWISS"/>
                <w:b/>
                <w:bCs/>
                <w:color w:val="000000"/>
                <w:sz w:val="20"/>
                <w:szCs w:val="20"/>
              </w:rPr>
            </w:pPr>
            <w:r>
              <w:rPr>
                <w:rFonts w:ascii="SWISS" w:hAnsi="SWISS"/>
                <w:b/>
                <w:bCs/>
                <w:color w:val="000000"/>
                <w:sz w:val="20"/>
                <w:szCs w:val="20"/>
              </w:rPr>
              <w:lastRenderedPageBreak/>
              <w:t>SUNRISE UTILITIES, LLC.</w:t>
            </w:r>
          </w:p>
        </w:tc>
        <w:tc>
          <w:tcPr>
            <w:tcW w:w="1664" w:type="dxa"/>
            <w:tcBorders>
              <w:top w:val="single" w:sz="8" w:space="0" w:color="000000"/>
              <w:left w:val="nil"/>
              <w:bottom w:val="nil"/>
              <w:right w:val="nil"/>
            </w:tcBorders>
            <w:shd w:val="clear" w:color="auto" w:fill="auto"/>
            <w:noWrap/>
            <w:vAlign w:val="bottom"/>
            <w:hideMark/>
          </w:tcPr>
          <w:p w:rsidR="006276E6" w:rsidRDefault="006276E6" w:rsidP="00526BF4">
            <w:pPr>
              <w:rPr>
                <w:rFonts w:ascii="SWISS" w:hAnsi="SWISS"/>
                <w:b/>
                <w:bCs/>
                <w:color w:val="000000"/>
                <w:sz w:val="20"/>
                <w:szCs w:val="20"/>
              </w:rPr>
            </w:pPr>
            <w:r>
              <w:rPr>
                <w:rFonts w:ascii="SWISS" w:hAnsi="SWISS"/>
                <w:b/>
                <w:bCs/>
                <w:color w:val="000000"/>
                <w:sz w:val="20"/>
                <w:szCs w:val="20"/>
              </w:rPr>
              <w:t> </w:t>
            </w:r>
          </w:p>
        </w:tc>
        <w:tc>
          <w:tcPr>
            <w:tcW w:w="3670" w:type="dxa"/>
            <w:gridSpan w:val="2"/>
            <w:tcBorders>
              <w:top w:val="single" w:sz="8" w:space="0" w:color="000000"/>
              <w:left w:val="nil"/>
              <w:bottom w:val="nil"/>
              <w:right w:val="single" w:sz="8" w:space="0" w:color="000000"/>
            </w:tcBorders>
            <w:shd w:val="clear" w:color="auto" w:fill="auto"/>
            <w:noWrap/>
            <w:vAlign w:val="bottom"/>
            <w:hideMark/>
          </w:tcPr>
          <w:p w:rsidR="006276E6" w:rsidRDefault="006276E6" w:rsidP="00526BF4">
            <w:pPr>
              <w:rPr>
                <w:rFonts w:ascii="SWISS" w:hAnsi="SWISS"/>
                <w:b/>
                <w:bCs/>
                <w:color w:val="000000"/>
                <w:sz w:val="20"/>
                <w:szCs w:val="20"/>
              </w:rPr>
            </w:pPr>
            <w:r>
              <w:rPr>
                <w:rFonts w:ascii="SWISS" w:hAnsi="SWISS"/>
                <w:b/>
                <w:bCs/>
                <w:color w:val="000000"/>
                <w:sz w:val="20"/>
                <w:szCs w:val="20"/>
              </w:rPr>
              <w:t> </w:t>
            </w:r>
          </w:p>
          <w:p w:rsidR="006276E6" w:rsidRDefault="006276E6" w:rsidP="00526BF4">
            <w:pPr>
              <w:jc w:val="right"/>
              <w:rPr>
                <w:rFonts w:ascii="SWISS" w:hAnsi="SWISS"/>
                <w:b/>
                <w:bCs/>
                <w:color w:val="000000"/>
                <w:sz w:val="20"/>
                <w:szCs w:val="20"/>
              </w:rPr>
            </w:pPr>
            <w:r>
              <w:rPr>
                <w:rFonts w:ascii="SWISS" w:hAnsi="SWISS"/>
                <w:b/>
                <w:bCs/>
                <w:color w:val="000000"/>
                <w:sz w:val="20"/>
                <w:szCs w:val="20"/>
              </w:rPr>
              <w:t>SCHEDULE NO. 4</w:t>
            </w:r>
          </w:p>
        </w:tc>
      </w:tr>
      <w:tr w:rsidR="006276E6" w:rsidTr="003A5858">
        <w:trPr>
          <w:trHeight w:val="315"/>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b/>
                <w:bCs/>
                <w:color w:val="000000"/>
                <w:sz w:val="20"/>
                <w:szCs w:val="20"/>
              </w:rPr>
            </w:pPr>
            <w:r>
              <w:rPr>
                <w:rFonts w:ascii="SWISS" w:hAnsi="SWISS"/>
                <w:b/>
                <w:bCs/>
                <w:color w:val="000000"/>
                <w:sz w:val="20"/>
                <w:szCs w:val="20"/>
              </w:rPr>
              <w:t>TEST YEAR ENDED 12/31/14</w:t>
            </w:r>
          </w:p>
        </w:tc>
        <w:tc>
          <w:tcPr>
            <w:tcW w:w="1664" w:type="dxa"/>
            <w:tcBorders>
              <w:top w:val="nil"/>
              <w:left w:val="nil"/>
              <w:bottom w:val="nil"/>
              <w:right w:val="nil"/>
            </w:tcBorders>
            <w:shd w:val="clear" w:color="auto" w:fill="auto"/>
            <w:noWrap/>
            <w:vAlign w:val="bottom"/>
            <w:hideMark/>
          </w:tcPr>
          <w:p w:rsidR="006276E6" w:rsidRDefault="006276E6" w:rsidP="00526BF4">
            <w:pPr>
              <w:rPr>
                <w:rFonts w:ascii="SWISS" w:hAnsi="SWISS"/>
                <w:b/>
                <w:bCs/>
                <w:color w:val="000000"/>
                <w:sz w:val="20"/>
                <w:szCs w:val="20"/>
              </w:rPr>
            </w:pPr>
          </w:p>
        </w:tc>
        <w:tc>
          <w:tcPr>
            <w:tcW w:w="3670" w:type="dxa"/>
            <w:gridSpan w:val="2"/>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b/>
                <w:bCs/>
                <w:color w:val="000000"/>
                <w:sz w:val="20"/>
                <w:szCs w:val="20"/>
              </w:rPr>
            </w:pPr>
            <w:r>
              <w:rPr>
                <w:rFonts w:ascii="SWISS" w:hAnsi="SWISS"/>
                <w:b/>
                <w:bCs/>
                <w:color w:val="000000"/>
                <w:sz w:val="20"/>
                <w:szCs w:val="20"/>
              </w:rPr>
              <w:t>DOCKET NO. 140220-WU</w:t>
            </w:r>
          </w:p>
        </w:tc>
      </w:tr>
      <w:tr w:rsidR="006276E6" w:rsidTr="003A5858">
        <w:trPr>
          <w:trHeight w:val="330"/>
        </w:trPr>
        <w:tc>
          <w:tcPr>
            <w:tcW w:w="4491" w:type="dxa"/>
            <w:tcBorders>
              <w:top w:val="nil"/>
              <w:left w:val="single" w:sz="8" w:space="0" w:color="000000"/>
              <w:bottom w:val="single" w:sz="8" w:space="0" w:color="000000"/>
              <w:right w:val="nil"/>
            </w:tcBorders>
            <w:shd w:val="clear" w:color="auto" w:fill="auto"/>
            <w:noWrap/>
            <w:vAlign w:val="bottom"/>
            <w:hideMark/>
          </w:tcPr>
          <w:p w:rsidR="006276E6" w:rsidRDefault="006276E6" w:rsidP="00526BF4">
            <w:pPr>
              <w:rPr>
                <w:rFonts w:ascii="SWISS" w:hAnsi="SWISS"/>
                <w:b/>
                <w:bCs/>
                <w:color w:val="000000"/>
                <w:sz w:val="20"/>
                <w:szCs w:val="20"/>
              </w:rPr>
            </w:pPr>
            <w:r>
              <w:rPr>
                <w:rFonts w:ascii="SWISS" w:hAnsi="SWISS"/>
                <w:b/>
                <w:bCs/>
                <w:color w:val="000000"/>
                <w:sz w:val="20"/>
                <w:szCs w:val="20"/>
              </w:rPr>
              <w:t>MONTHLY WATER RATES</w:t>
            </w:r>
          </w:p>
        </w:tc>
        <w:tc>
          <w:tcPr>
            <w:tcW w:w="1664" w:type="dxa"/>
            <w:tcBorders>
              <w:top w:val="nil"/>
              <w:left w:val="nil"/>
              <w:bottom w:val="single" w:sz="8" w:space="0" w:color="000000"/>
              <w:right w:val="nil"/>
            </w:tcBorders>
            <w:shd w:val="clear" w:color="auto" w:fill="auto"/>
            <w:noWrap/>
            <w:vAlign w:val="bottom"/>
            <w:hideMark/>
          </w:tcPr>
          <w:p w:rsidR="006276E6" w:rsidRDefault="006276E6" w:rsidP="00526BF4">
            <w:pPr>
              <w:rPr>
                <w:rFonts w:ascii="SWISS" w:hAnsi="SWISS"/>
                <w:b/>
                <w:bCs/>
                <w:sz w:val="20"/>
                <w:szCs w:val="20"/>
              </w:rPr>
            </w:pPr>
          </w:p>
        </w:tc>
        <w:tc>
          <w:tcPr>
            <w:tcW w:w="1960" w:type="dxa"/>
            <w:tcBorders>
              <w:top w:val="nil"/>
              <w:left w:val="nil"/>
              <w:bottom w:val="single" w:sz="8" w:space="0" w:color="000000"/>
              <w:right w:val="nil"/>
            </w:tcBorders>
            <w:shd w:val="clear" w:color="auto" w:fill="auto"/>
            <w:noWrap/>
            <w:vAlign w:val="bottom"/>
            <w:hideMark/>
          </w:tcPr>
          <w:p w:rsidR="006276E6" w:rsidRDefault="006276E6" w:rsidP="00526BF4">
            <w:pPr>
              <w:rPr>
                <w:rFonts w:ascii="SWISS" w:hAnsi="SWISS"/>
                <w:b/>
                <w:bCs/>
                <w:sz w:val="20"/>
                <w:szCs w:val="20"/>
              </w:rPr>
            </w:pPr>
          </w:p>
        </w:tc>
        <w:tc>
          <w:tcPr>
            <w:tcW w:w="1710" w:type="dxa"/>
            <w:tcBorders>
              <w:top w:val="nil"/>
              <w:left w:val="nil"/>
              <w:bottom w:val="single" w:sz="8" w:space="0" w:color="000000"/>
              <w:right w:val="single" w:sz="8" w:space="0" w:color="000000"/>
            </w:tcBorders>
            <w:shd w:val="clear" w:color="auto" w:fill="auto"/>
            <w:noWrap/>
            <w:vAlign w:val="bottom"/>
            <w:hideMark/>
          </w:tcPr>
          <w:p w:rsidR="006276E6" w:rsidRDefault="006276E6" w:rsidP="00526BF4">
            <w:pPr>
              <w:rPr>
                <w:rFonts w:ascii="SWISS" w:hAnsi="SWISS"/>
                <w:b/>
                <w:bCs/>
                <w:sz w:val="20"/>
                <w:szCs w:val="20"/>
              </w:rPr>
            </w:pPr>
            <w:r>
              <w:rPr>
                <w:rFonts w:ascii="SWISS" w:hAnsi="SWISS"/>
                <w:b/>
                <w:bCs/>
                <w:sz w:val="20"/>
                <w:szCs w:val="20"/>
              </w:rPr>
              <w:t> </w:t>
            </w:r>
          </w:p>
        </w:tc>
      </w:tr>
      <w:tr w:rsidR="006276E6" w:rsidTr="003A5858">
        <w:trPr>
          <w:trHeight w:val="315"/>
        </w:trPr>
        <w:tc>
          <w:tcPr>
            <w:tcW w:w="4491" w:type="dxa"/>
            <w:tcBorders>
              <w:top w:val="single" w:sz="8" w:space="0" w:color="000000"/>
              <w:left w:val="single" w:sz="8" w:space="0" w:color="000000"/>
              <w:bottom w:val="nil"/>
              <w:right w:val="nil"/>
            </w:tcBorders>
            <w:shd w:val="clear" w:color="000000" w:fill="auto"/>
            <w:noWrap/>
            <w:vAlign w:val="bottom"/>
            <w:hideMark/>
          </w:tcPr>
          <w:p w:rsidR="006276E6" w:rsidRDefault="006276E6" w:rsidP="00526BF4">
            <w:pPr>
              <w:rPr>
                <w:rFonts w:ascii="SWISS" w:hAnsi="SWISS"/>
                <w:b/>
                <w:bCs/>
                <w:sz w:val="20"/>
                <w:szCs w:val="20"/>
              </w:rPr>
            </w:pPr>
            <w:r>
              <w:rPr>
                <w:rFonts w:ascii="SWISS" w:hAnsi="SWISS"/>
                <w:b/>
                <w:bCs/>
                <w:sz w:val="20"/>
                <w:szCs w:val="20"/>
              </w:rPr>
              <w:t> </w:t>
            </w:r>
          </w:p>
        </w:tc>
        <w:tc>
          <w:tcPr>
            <w:tcW w:w="1664" w:type="dxa"/>
            <w:tcBorders>
              <w:top w:val="single" w:sz="8" w:space="0" w:color="000000"/>
              <w:left w:val="nil"/>
              <w:bottom w:val="nil"/>
              <w:right w:val="nil"/>
            </w:tcBorders>
            <w:shd w:val="clear" w:color="000000" w:fill="auto"/>
            <w:noWrap/>
            <w:vAlign w:val="bottom"/>
            <w:hideMark/>
          </w:tcPr>
          <w:p w:rsidR="006276E6" w:rsidRDefault="006276E6" w:rsidP="00526BF4">
            <w:pPr>
              <w:rPr>
                <w:rFonts w:ascii="Arial" w:hAnsi="Arial" w:cs="Arial"/>
                <w:sz w:val="20"/>
                <w:szCs w:val="20"/>
              </w:rPr>
            </w:pPr>
            <w:r>
              <w:rPr>
                <w:rFonts w:ascii="Arial" w:hAnsi="Arial" w:cs="Arial"/>
                <w:sz w:val="20"/>
                <w:szCs w:val="20"/>
              </w:rPr>
              <w:t> </w:t>
            </w:r>
          </w:p>
        </w:tc>
        <w:tc>
          <w:tcPr>
            <w:tcW w:w="1960" w:type="dxa"/>
            <w:tcBorders>
              <w:top w:val="single" w:sz="8" w:space="0" w:color="000000"/>
              <w:left w:val="nil"/>
              <w:bottom w:val="nil"/>
              <w:right w:val="nil"/>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 </w:t>
            </w:r>
          </w:p>
        </w:tc>
        <w:tc>
          <w:tcPr>
            <w:tcW w:w="1710" w:type="dxa"/>
            <w:tcBorders>
              <w:top w:val="single" w:sz="8" w:space="0" w:color="000000"/>
              <w:left w:val="nil"/>
              <w:bottom w:val="nil"/>
              <w:right w:val="single" w:sz="8" w:space="0" w:color="000000"/>
            </w:tcBorders>
            <w:shd w:val="clear" w:color="000000" w:fill="auto"/>
            <w:noWrap/>
            <w:vAlign w:val="bottom"/>
            <w:hideMark/>
          </w:tcPr>
          <w:p w:rsidR="006276E6" w:rsidRDefault="006276E6" w:rsidP="00526BF4">
            <w:pPr>
              <w:rPr>
                <w:rFonts w:ascii="Arial" w:hAnsi="Arial" w:cs="Arial"/>
                <w:sz w:val="20"/>
                <w:szCs w:val="20"/>
              </w:rPr>
            </w:pPr>
            <w:r>
              <w:rPr>
                <w:rFonts w:ascii="Arial" w:hAnsi="Arial" w:cs="Arial"/>
                <w:sz w:val="20"/>
                <w:szCs w:val="20"/>
              </w:rPr>
              <w:t> </w:t>
            </w:r>
          </w:p>
        </w:tc>
      </w:tr>
      <w:tr w:rsidR="006276E6" w:rsidTr="003A5858">
        <w:trPr>
          <w:trHeight w:val="315"/>
        </w:trPr>
        <w:tc>
          <w:tcPr>
            <w:tcW w:w="4491" w:type="dxa"/>
            <w:tcBorders>
              <w:top w:val="nil"/>
              <w:left w:val="single" w:sz="8" w:space="0" w:color="000000"/>
              <w:bottom w:val="nil"/>
              <w:right w:val="nil"/>
            </w:tcBorders>
            <w:shd w:val="clear" w:color="000000" w:fill="auto"/>
            <w:noWrap/>
            <w:vAlign w:val="bottom"/>
            <w:hideMark/>
          </w:tcPr>
          <w:p w:rsidR="006276E6" w:rsidRDefault="006276E6" w:rsidP="00526BF4">
            <w:pPr>
              <w:rPr>
                <w:rFonts w:ascii="SWISS" w:hAnsi="SWISS"/>
                <w:b/>
                <w:bCs/>
                <w:sz w:val="20"/>
                <w:szCs w:val="20"/>
              </w:rPr>
            </w:pPr>
            <w:r>
              <w:rPr>
                <w:rFonts w:ascii="SWISS" w:hAnsi="SWISS"/>
                <w:b/>
                <w:bCs/>
                <w:sz w:val="20"/>
                <w:szCs w:val="20"/>
              </w:rPr>
              <w:t> </w:t>
            </w:r>
          </w:p>
        </w:tc>
        <w:tc>
          <w:tcPr>
            <w:tcW w:w="1664" w:type="dxa"/>
            <w:tcBorders>
              <w:top w:val="nil"/>
              <w:left w:val="nil"/>
              <w:bottom w:val="nil"/>
              <w:right w:val="nil"/>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UTILITY</w:t>
            </w:r>
          </w:p>
        </w:tc>
        <w:tc>
          <w:tcPr>
            <w:tcW w:w="1960" w:type="dxa"/>
            <w:tcBorders>
              <w:top w:val="nil"/>
              <w:left w:val="nil"/>
              <w:bottom w:val="nil"/>
              <w:right w:val="nil"/>
            </w:tcBorders>
            <w:shd w:val="clear" w:color="000000" w:fill="auto"/>
            <w:noWrap/>
            <w:vAlign w:val="bottom"/>
            <w:hideMark/>
          </w:tcPr>
          <w:p w:rsidR="006276E6" w:rsidRDefault="00526BF4" w:rsidP="00526BF4">
            <w:pPr>
              <w:jc w:val="center"/>
              <w:rPr>
                <w:rFonts w:ascii="SWISS" w:hAnsi="SWISS"/>
                <w:b/>
                <w:bCs/>
                <w:color w:val="000000"/>
                <w:sz w:val="20"/>
                <w:szCs w:val="20"/>
              </w:rPr>
            </w:pPr>
            <w:r>
              <w:rPr>
                <w:rFonts w:ascii="SWISS" w:hAnsi="SWISS"/>
                <w:b/>
                <w:bCs/>
                <w:color w:val="000000"/>
                <w:sz w:val="20"/>
                <w:szCs w:val="20"/>
              </w:rPr>
              <w:t>COMMISSION</w:t>
            </w:r>
          </w:p>
        </w:tc>
        <w:tc>
          <w:tcPr>
            <w:tcW w:w="1710" w:type="dxa"/>
            <w:tcBorders>
              <w:top w:val="nil"/>
              <w:left w:val="nil"/>
              <w:bottom w:val="nil"/>
              <w:right w:val="single" w:sz="8" w:space="0" w:color="000000"/>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4 YEAR</w:t>
            </w:r>
          </w:p>
        </w:tc>
      </w:tr>
      <w:tr w:rsidR="006276E6" w:rsidTr="003A5858">
        <w:trPr>
          <w:trHeight w:val="315"/>
        </w:trPr>
        <w:tc>
          <w:tcPr>
            <w:tcW w:w="4491" w:type="dxa"/>
            <w:tcBorders>
              <w:top w:val="nil"/>
              <w:left w:val="single" w:sz="8" w:space="0" w:color="000000"/>
              <w:bottom w:val="nil"/>
              <w:right w:val="nil"/>
            </w:tcBorders>
            <w:shd w:val="clear" w:color="000000" w:fill="auto"/>
            <w:noWrap/>
            <w:vAlign w:val="bottom"/>
            <w:hideMark/>
          </w:tcPr>
          <w:p w:rsidR="006276E6" w:rsidRDefault="006276E6" w:rsidP="00526BF4">
            <w:pPr>
              <w:rPr>
                <w:rFonts w:ascii="SWISS" w:hAnsi="SWISS"/>
                <w:b/>
                <w:bCs/>
                <w:sz w:val="20"/>
                <w:szCs w:val="20"/>
                <w:u w:val="single"/>
              </w:rPr>
            </w:pPr>
          </w:p>
        </w:tc>
        <w:tc>
          <w:tcPr>
            <w:tcW w:w="1664" w:type="dxa"/>
            <w:tcBorders>
              <w:top w:val="nil"/>
              <w:left w:val="nil"/>
              <w:bottom w:val="nil"/>
              <w:right w:val="nil"/>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CURRENT</w:t>
            </w:r>
          </w:p>
        </w:tc>
        <w:tc>
          <w:tcPr>
            <w:tcW w:w="1960" w:type="dxa"/>
            <w:tcBorders>
              <w:top w:val="nil"/>
              <w:left w:val="nil"/>
              <w:bottom w:val="nil"/>
              <w:right w:val="nil"/>
            </w:tcBorders>
            <w:shd w:val="clear" w:color="000000" w:fill="auto"/>
            <w:noWrap/>
            <w:vAlign w:val="bottom"/>
            <w:hideMark/>
          </w:tcPr>
          <w:p w:rsidR="006276E6" w:rsidRDefault="00526BF4" w:rsidP="00526BF4">
            <w:pPr>
              <w:jc w:val="center"/>
              <w:rPr>
                <w:rFonts w:ascii="SWISS" w:hAnsi="SWISS"/>
                <w:b/>
                <w:bCs/>
                <w:color w:val="000000"/>
                <w:sz w:val="20"/>
                <w:szCs w:val="20"/>
              </w:rPr>
            </w:pPr>
            <w:r>
              <w:rPr>
                <w:rFonts w:ascii="SWISS" w:hAnsi="SWISS"/>
                <w:b/>
                <w:bCs/>
                <w:color w:val="000000"/>
                <w:sz w:val="20"/>
                <w:szCs w:val="20"/>
              </w:rPr>
              <w:t>APPROVED</w:t>
            </w:r>
          </w:p>
        </w:tc>
        <w:tc>
          <w:tcPr>
            <w:tcW w:w="1710" w:type="dxa"/>
            <w:tcBorders>
              <w:top w:val="nil"/>
              <w:left w:val="nil"/>
              <w:bottom w:val="nil"/>
              <w:right w:val="single" w:sz="8" w:space="0" w:color="000000"/>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RATE</w:t>
            </w:r>
          </w:p>
        </w:tc>
      </w:tr>
      <w:tr w:rsidR="006276E6" w:rsidTr="003A5858">
        <w:trPr>
          <w:trHeight w:val="330"/>
        </w:trPr>
        <w:tc>
          <w:tcPr>
            <w:tcW w:w="4491" w:type="dxa"/>
            <w:tcBorders>
              <w:top w:val="nil"/>
              <w:left w:val="single" w:sz="8" w:space="0" w:color="000000"/>
              <w:bottom w:val="single" w:sz="8" w:space="0" w:color="000000"/>
              <w:right w:val="nil"/>
            </w:tcBorders>
            <w:shd w:val="clear" w:color="000000" w:fill="auto"/>
            <w:noWrap/>
            <w:vAlign w:val="bottom"/>
            <w:hideMark/>
          </w:tcPr>
          <w:p w:rsidR="006276E6" w:rsidRDefault="006276E6" w:rsidP="00526BF4">
            <w:pPr>
              <w:rPr>
                <w:rFonts w:ascii="SWISS" w:hAnsi="SWISS"/>
                <w:b/>
                <w:bCs/>
                <w:sz w:val="20"/>
                <w:szCs w:val="20"/>
                <w:u w:val="single"/>
              </w:rPr>
            </w:pPr>
          </w:p>
        </w:tc>
        <w:tc>
          <w:tcPr>
            <w:tcW w:w="1664" w:type="dxa"/>
            <w:tcBorders>
              <w:top w:val="nil"/>
              <w:left w:val="nil"/>
              <w:bottom w:val="single" w:sz="8" w:space="0" w:color="000000"/>
              <w:right w:val="nil"/>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 xml:space="preserve">RATES </w:t>
            </w:r>
          </w:p>
        </w:tc>
        <w:tc>
          <w:tcPr>
            <w:tcW w:w="1960" w:type="dxa"/>
            <w:tcBorders>
              <w:top w:val="nil"/>
              <w:left w:val="nil"/>
              <w:bottom w:val="single" w:sz="8" w:space="0" w:color="000000"/>
              <w:right w:val="nil"/>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RATES</w:t>
            </w:r>
          </w:p>
        </w:tc>
        <w:tc>
          <w:tcPr>
            <w:tcW w:w="1710" w:type="dxa"/>
            <w:tcBorders>
              <w:top w:val="nil"/>
              <w:left w:val="nil"/>
              <w:bottom w:val="single" w:sz="8" w:space="0" w:color="000000"/>
              <w:right w:val="single" w:sz="8" w:space="0" w:color="000000"/>
            </w:tcBorders>
            <w:shd w:val="clear" w:color="000000" w:fill="auto"/>
            <w:noWrap/>
            <w:vAlign w:val="bottom"/>
            <w:hideMark/>
          </w:tcPr>
          <w:p w:rsidR="006276E6" w:rsidRDefault="006276E6" w:rsidP="00526BF4">
            <w:pPr>
              <w:jc w:val="center"/>
              <w:rPr>
                <w:rFonts w:ascii="SWISS" w:hAnsi="SWISS"/>
                <w:b/>
                <w:bCs/>
                <w:color w:val="000000"/>
                <w:sz w:val="20"/>
                <w:szCs w:val="20"/>
              </w:rPr>
            </w:pPr>
            <w:r>
              <w:rPr>
                <w:rFonts w:ascii="SWISS" w:hAnsi="SWISS"/>
                <w:b/>
                <w:bCs/>
                <w:color w:val="000000"/>
                <w:sz w:val="20"/>
                <w:szCs w:val="20"/>
              </w:rPr>
              <w:t>REDUCTION</w:t>
            </w:r>
          </w:p>
        </w:tc>
      </w:tr>
      <w:tr w:rsidR="006276E6" w:rsidTr="003A5858">
        <w:trPr>
          <w:trHeight w:val="315"/>
        </w:trPr>
        <w:tc>
          <w:tcPr>
            <w:tcW w:w="4491" w:type="dxa"/>
            <w:tcBorders>
              <w:top w:val="single" w:sz="8" w:space="0" w:color="000000"/>
              <w:left w:val="single" w:sz="8" w:space="0" w:color="000000"/>
              <w:bottom w:val="nil"/>
              <w:right w:val="nil"/>
            </w:tcBorders>
            <w:shd w:val="clear" w:color="auto" w:fill="auto"/>
            <w:noWrap/>
            <w:vAlign w:val="bottom"/>
            <w:hideMark/>
          </w:tcPr>
          <w:p w:rsidR="006276E6" w:rsidRDefault="006276E6" w:rsidP="00526BF4">
            <w:pPr>
              <w:rPr>
                <w:rFonts w:ascii="SWISS" w:hAnsi="SWISS"/>
                <w:sz w:val="20"/>
                <w:szCs w:val="20"/>
              </w:rPr>
            </w:pPr>
            <w:r>
              <w:rPr>
                <w:rFonts w:ascii="SWISS" w:hAnsi="SWISS"/>
                <w:sz w:val="20"/>
                <w:szCs w:val="20"/>
              </w:rPr>
              <w:t> </w:t>
            </w:r>
          </w:p>
        </w:tc>
        <w:tc>
          <w:tcPr>
            <w:tcW w:w="1664" w:type="dxa"/>
            <w:tcBorders>
              <w:top w:val="single" w:sz="8" w:space="0" w:color="000000"/>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960" w:type="dxa"/>
            <w:tcBorders>
              <w:top w:val="single" w:sz="8" w:space="0" w:color="000000"/>
              <w:left w:val="nil"/>
              <w:bottom w:val="nil"/>
              <w:right w:val="nil"/>
            </w:tcBorders>
            <w:shd w:val="clear" w:color="auto" w:fill="auto"/>
            <w:noWrap/>
            <w:vAlign w:val="bottom"/>
            <w:hideMark/>
          </w:tcPr>
          <w:p w:rsidR="006276E6" w:rsidRDefault="006276E6" w:rsidP="00526BF4">
            <w:pPr>
              <w:rPr>
                <w:rFonts w:ascii="SWISS" w:hAnsi="SWISS"/>
                <w:color w:val="000000"/>
                <w:sz w:val="20"/>
                <w:szCs w:val="20"/>
              </w:rPr>
            </w:pPr>
          </w:p>
        </w:tc>
        <w:tc>
          <w:tcPr>
            <w:tcW w:w="1710" w:type="dxa"/>
            <w:tcBorders>
              <w:top w:val="single" w:sz="8" w:space="0" w:color="000000"/>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b/>
                <w:bCs/>
                <w:sz w:val="20"/>
                <w:szCs w:val="20"/>
                <w:u w:val="single"/>
              </w:rPr>
            </w:pPr>
            <w:r>
              <w:rPr>
                <w:rFonts w:ascii="SWISS" w:hAnsi="SWISS"/>
                <w:b/>
                <w:bCs/>
                <w:sz w:val="20"/>
                <w:szCs w:val="20"/>
                <w:u w:val="single"/>
              </w:rPr>
              <w:t>Residential and General Service</w:t>
            </w:r>
          </w:p>
        </w:tc>
        <w:tc>
          <w:tcPr>
            <w:tcW w:w="1664" w:type="dxa"/>
            <w:tcBorders>
              <w:top w:val="nil"/>
              <w:left w:val="nil"/>
              <w:bottom w:val="nil"/>
              <w:right w:val="nil"/>
            </w:tcBorders>
            <w:shd w:val="clear" w:color="auto" w:fill="auto"/>
            <w:noWrap/>
            <w:vAlign w:val="bottom"/>
            <w:hideMark/>
          </w:tcPr>
          <w:p w:rsidR="006276E6" w:rsidRDefault="006276E6" w:rsidP="00526BF4">
            <w:pPr>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6276E6" w:rsidRDefault="006276E6" w:rsidP="00526BF4">
            <w:pPr>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sz w:val="20"/>
                <w:szCs w:val="20"/>
              </w:rPr>
            </w:pPr>
            <w:r>
              <w:rPr>
                <w:rFonts w:ascii="SWISS" w:hAnsi="SWISS"/>
                <w:sz w:val="20"/>
                <w:szCs w:val="20"/>
              </w:rPr>
              <w:t>Base Facility Charge by Meter Size</w:t>
            </w:r>
          </w:p>
        </w:tc>
        <w:tc>
          <w:tcPr>
            <w:tcW w:w="1664" w:type="dxa"/>
            <w:tcBorders>
              <w:top w:val="nil"/>
              <w:left w:val="nil"/>
              <w:bottom w:val="nil"/>
              <w:right w:val="nil"/>
            </w:tcBorders>
            <w:shd w:val="clear" w:color="auto" w:fill="auto"/>
            <w:noWrap/>
            <w:vAlign w:val="bottom"/>
            <w:hideMark/>
          </w:tcPr>
          <w:p w:rsidR="006276E6" w:rsidRDefault="006276E6" w:rsidP="00526BF4">
            <w:pPr>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6276E6" w:rsidRDefault="006276E6" w:rsidP="00526BF4">
            <w:pPr>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5/8"X3/4"</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$9.07</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$10.01</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$0.10</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3/4"</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$13.61</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$15.02</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$0.14</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1"</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$22.68</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$25.03</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$0.24</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1-1/2"</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$45.35</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$50.05</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$0.48</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2"</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$72.56</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$80.08</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$0.77</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3"</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$145.12</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$160.16</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$1.54</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4"</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$226.75</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$250.25</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$2.40</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6"</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$453.50</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$500.50</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$4.80</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Charge per 1,000 Gallons - Residential</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0-5,000 gallons</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$2.89</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$3.19</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$0.03</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5,001-10,000 gallons</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$3.18</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$3.51</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$0.03</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Over 10,000 gallons</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$6.35</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$7.01</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$0.07</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 xml:space="preserve">Charge per 1,000 gallons -  General Service </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$3.29</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$3.63</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$0.03 12</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6155" w:type="dxa"/>
            <w:gridSpan w:val="2"/>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b/>
                <w:bCs/>
                <w:color w:val="000000"/>
                <w:sz w:val="20"/>
                <w:szCs w:val="20"/>
                <w:u w:val="single"/>
              </w:rPr>
              <w:t>Typical Residential 5/8" x 3/4" Meter Bill Comparison</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3,000 Gallons</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xml:space="preserve">$17.74 </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xml:space="preserve">$19.58 </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5,000 Gallons</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xml:space="preserve">$23.52 </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xml:space="preserve">$25.96 </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10,000 Gallons</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xml:space="preserve">$39.42 </w:t>
            </w: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xml:space="preserve">$43.51 </w:t>
            </w: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00"/>
        </w:trPr>
        <w:tc>
          <w:tcPr>
            <w:tcW w:w="4491" w:type="dxa"/>
            <w:tcBorders>
              <w:top w:val="nil"/>
              <w:left w:val="single" w:sz="8" w:space="0" w:color="000000"/>
              <w:bottom w:val="nil"/>
              <w:right w:val="nil"/>
            </w:tcBorders>
            <w:shd w:val="clear" w:color="auto" w:fill="auto"/>
            <w:noWrap/>
            <w:vAlign w:val="bottom"/>
            <w:hideMark/>
          </w:tcPr>
          <w:p w:rsidR="006276E6" w:rsidRDefault="006276E6" w:rsidP="00526BF4">
            <w:pPr>
              <w:rPr>
                <w:rFonts w:ascii="SWISS" w:hAnsi="SWISS"/>
                <w:color w:val="000000"/>
                <w:sz w:val="20"/>
                <w:szCs w:val="20"/>
              </w:rPr>
            </w:pPr>
            <w:r>
              <w:rPr>
                <w:rFonts w:ascii="SWISS" w:hAnsi="SWISS"/>
                <w:color w:val="000000"/>
                <w:sz w:val="20"/>
                <w:szCs w:val="20"/>
              </w:rPr>
              <w:t> </w:t>
            </w:r>
          </w:p>
        </w:tc>
        <w:tc>
          <w:tcPr>
            <w:tcW w:w="1664"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960" w:type="dxa"/>
            <w:tcBorders>
              <w:top w:val="nil"/>
              <w:left w:val="nil"/>
              <w:bottom w:val="nil"/>
              <w:right w:val="nil"/>
            </w:tcBorders>
            <w:shd w:val="clear" w:color="auto" w:fill="auto"/>
            <w:noWrap/>
            <w:vAlign w:val="bottom"/>
            <w:hideMark/>
          </w:tcPr>
          <w:p w:rsidR="006276E6" w:rsidRDefault="006276E6" w:rsidP="00526BF4">
            <w:pPr>
              <w:jc w:val="right"/>
              <w:rPr>
                <w:rFonts w:ascii="SWISS" w:hAnsi="SWISS"/>
                <w:color w:val="000000"/>
                <w:sz w:val="20"/>
                <w:szCs w:val="20"/>
              </w:rPr>
            </w:pPr>
          </w:p>
        </w:tc>
        <w:tc>
          <w:tcPr>
            <w:tcW w:w="1710" w:type="dxa"/>
            <w:tcBorders>
              <w:top w:val="nil"/>
              <w:left w:val="nil"/>
              <w:bottom w:val="nil"/>
              <w:right w:val="single" w:sz="8" w:space="0" w:color="000000"/>
            </w:tcBorders>
            <w:shd w:val="clear" w:color="auto" w:fill="auto"/>
            <w:noWrap/>
            <w:vAlign w:val="bottom"/>
            <w:hideMark/>
          </w:tcPr>
          <w:p w:rsidR="006276E6" w:rsidRDefault="006276E6" w:rsidP="00526BF4">
            <w:pPr>
              <w:jc w:val="right"/>
              <w:rPr>
                <w:rFonts w:ascii="SWISS" w:hAnsi="SWISS"/>
                <w:color w:val="000000"/>
                <w:sz w:val="20"/>
                <w:szCs w:val="20"/>
              </w:rPr>
            </w:pPr>
            <w:r>
              <w:rPr>
                <w:rFonts w:ascii="SWISS" w:hAnsi="SWISS"/>
                <w:color w:val="000000"/>
                <w:sz w:val="20"/>
                <w:szCs w:val="20"/>
              </w:rPr>
              <w:t> </w:t>
            </w:r>
          </w:p>
        </w:tc>
      </w:tr>
      <w:tr w:rsidR="006276E6" w:rsidTr="003A5858">
        <w:trPr>
          <w:trHeight w:val="315"/>
        </w:trPr>
        <w:tc>
          <w:tcPr>
            <w:tcW w:w="4491" w:type="dxa"/>
            <w:tcBorders>
              <w:top w:val="nil"/>
              <w:left w:val="single" w:sz="8" w:space="0" w:color="000000"/>
              <w:bottom w:val="single" w:sz="8" w:space="0" w:color="000000"/>
              <w:right w:val="nil"/>
            </w:tcBorders>
            <w:shd w:val="clear" w:color="auto" w:fill="auto"/>
            <w:noWrap/>
            <w:vAlign w:val="bottom"/>
            <w:hideMark/>
          </w:tcPr>
          <w:p w:rsidR="006276E6" w:rsidRDefault="006276E6" w:rsidP="00526BF4">
            <w:pPr>
              <w:rPr>
                <w:rFonts w:ascii="Arial" w:hAnsi="Arial" w:cs="Arial"/>
                <w:sz w:val="20"/>
                <w:szCs w:val="20"/>
              </w:rPr>
            </w:pPr>
            <w:r>
              <w:rPr>
                <w:rFonts w:ascii="Arial" w:hAnsi="Arial" w:cs="Arial"/>
                <w:sz w:val="20"/>
                <w:szCs w:val="20"/>
              </w:rPr>
              <w:t> </w:t>
            </w:r>
          </w:p>
        </w:tc>
        <w:tc>
          <w:tcPr>
            <w:tcW w:w="1664" w:type="dxa"/>
            <w:tcBorders>
              <w:top w:val="nil"/>
              <w:left w:val="nil"/>
              <w:bottom w:val="single" w:sz="8" w:space="0" w:color="000000"/>
              <w:right w:val="nil"/>
            </w:tcBorders>
            <w:shd w:val="clear" w:color="auto" w:fill="auto"/>
            <w:noWrap/>
            <w:vAlign w:val="bottom"/>
            <w:hideMark/>
          </w:tcPr>
          <w:p w:rsidR="006276E6" w:rsidRDefault="006276E6" w:rsidP="00526BF4">
            <w:pPr>
              <w:rPr>
                <w:rFonts w:ascii="Arial" w:hAnsi="Arial" w:cs="Arial"/>
                <w:sz w:val="20"/>
                <w:szCs w:val="20"/>
              </w:rPr>
            </w:pPr>
            <w:r>
              <w:rPr>
                <w:rFonts w:ascii="Arial" w:hAnsi="Arial" w:cs="Arial"/>
                <w:sz w:val="20"/>
                <w:szCs w:val="20"/>
              </w:rPr>
              <w:t> </w:t>
            </w:r>
          </w:p>
        </w:tc>
        <w:tc>
          <w:tcPr>
            <w:tcW w:w="1960" w:type="dxa"/>
            <w:tcBorders>
              <w:top w:val="nil"/>
              <w:left w:val="nil"/>
              <w:bottom w:val="single" w:sz="8" w:space="0" w:color="000000"/>
              <w:right w:val="nil"/>
            </w:tcBorders>
            <w:shd w:val="clear" w:color="auto" w:fill="auto"/>
            <w:noWrap/>
            <w:vAlign w:val="bottom"/>
            <w:hideMark/>
          </w:tcPr>
          <w:p w:rsidR="006276E6" w:rsidRDefault="006276E6" w:rsidP="00526BF4">
            <w:pPr>
              <w:rPr>
                <w:rFonts w:ascii="Arial" w:hAnsi="Arial" w:cs="Arial"/>
                <w:sz w:val="20"/>
                <w:szCs w:val="20"/>
              </w:rPr>
            </w:pPr>
            <w:r>
              <w:rPr>
                <w:rFonts w:ascii="Arial" w:hAnsi="Arial" w:cs="Arial"/>
                <w:sz w:val="20"/>
                <w:szCs w:val="20"/>
              </w:rPr>
              <w:t> </w:t>
            </w:r>
          </w:p>
        </w:tc>
        <w:tc>
          <w:tcPr>
            <w:tcW w:w="1710" w:type="dxa"/>
            <w:tcBorders>
              <w:top w:val="nil"/>
              <w:left w:val="nil"/>
              <w:bottom w:val="single" w:sz="8" w:space="0" w:color="000000"/>
              <w:right w:val="single" w:sz="8" w:space="0" w:color="000000"/>
            </w:tcBorders>
            <w:shd w:val="clear" w:color="auto" w:fill="auto"/>
            <w:noWrap/>
            <w:vAlign w:val="bottom"/>
            <w:hideMark/>
          </w:tcPr>
          <w:p w:rsidR="006276E6" w:rsidRDefault="006276E6" w:rsidP="00526BF4">
            <w:pPr>
              <w:rPr>
                <w:rFonts w:ascii="Arial" w:hAnsi="Arial" w:cs="Arial"/>
                <w:sz w:val="20"/>
                <w:szCs w:val="20"/>
              </w:rPr>
            </w:pPr>
            <w:r>
              <w:rPr>
                <w:rFonts w:ascii="Arial" w:hAnsi="Arial" w:cs="Arial"/>
                <w:sz w:val="20"/>
                <w:szCs w:val="20"/>
              </w:rPr>
              <w:t> </w:t>
            </w:r>
          </w:p>
        </w:tc>
      </w:tr>
    </w:tbl>
    <w:p w:rsidR="006276E6" w:rsidRDefault="006276E6" w:rsidP="00FB23DB">
      <w:pPr>
        <w:pStyle w:val="OrderBody"/>
        <w:sectPr w:rsidR="006276E6" w:rsidSect="00796932">
          <w:pgSz w:w="12240" w:h="15840" w:code="1"/>
          <w:pgMar w:top="1440" w:right="1440" w:bottom="1440" w:left="1440" w:header="720" w:footer="720" w:gutter="0"/>
          <w:cols w:space="720"/>
          <w:titlePg/>
          <w:docGrid w:linePitch="360"/>
        </w:sectPr>
      </w:pPr>
    </w:p>
    <w:tbl>
      <w:tblPr>
        <w:tblW w:w="9473" w:type="dxa"/>
        <w:jc w:val="center"/>
        <w:tblLayout w:type="fixed"/>
        <w:tblLook w:val="04A0" w:firstRow="1" w:lastRow="0" w:firstColumn="1" w:lastColumn="0" w:noHBand="0" w:noVBand="1"/>
      </w:tblPr>
      <w:tblGrid>
        <w:gridCol w:w="815"/>
        <w:gridCol w:w="1080"/>
        <w:gridCol w:w="3614"/>
        <w:gridCol w:w="1336"/>
        <w:gridCol w:w="1350"/>
        <w:gridCol w:w="1278"/>
      </w:tblGrid>
      <w:tr w:rsidR="006276E6" w:rsidRPr="00006CBE" w:rsidTr="003A5858">
        <w:trPr>
          <w:trHeight w:val="312"/>
          <w:jc w:val="center"/>
        </w:trPr>
        <w:tc>
          <w:tcPr>
            <w:tcW w:w="5509" w:type="dxa"/>
            <w:gridSpan w:val="3"/>
            <w:tcBorders>
              <w:top w:val="single" w:sz="8" w:space="0" w:color="auto"/>
              <w:left w:val="single" w:sz="8" w:space="0" w:color="auto"/>
              <w:bottom w:val="nil"/>
              <w:right w:val="nil"/>
            </w:tcBorders>
            <w:shd w:val="clear" w:color="auto" w:fill="auto"/>
            <w:noWrap/>
            <w:vAlign w:val="center"/>
            <w:hideMark/>
          </w:tcPr>
          <w:p w:rsidR="006276E6" w:rsidRPr="00F52F8B" w:rsidRDefault="006276E6" w:rsidP="00526BF4">
            <w:pPr>
              <w:rPr>
                <w:rFonts w:ascii="SWISS" w:hAnsi="SWISS" w:cs="Arial"/>
                <w:b/>
                <w:bCs/>
                <w:color w:val="000000"/>
                <w:sz w:val="20"/>
                <w:szCs w:val="20"/>
              </w:rPr>
            </w:pPr>
            <w:r w:rsidRPr="0044402A">
              <w:rPr>
                <w:rFonts w:ascii="SWISS" w:hAnsi="SWISS" w:cs="Arial"/>
                <w:b/>
                <w:bCs/>
                <w:color w:val="000000"/>
                <w:sz w:val="20"/>
                <w:szCs w:val="20"/>
              </w:rPr>
              <w:lastRenderedPageBreak/>
              <w:t>SUNRISE UTILITIES, LLC.</w:t>
            </w:r>
          </w:p>
        </w:tc>
        <w:tc>
          <w:tcPr>
            <w:tcW w:w="3964" w:type="dxa"/>
            <w:gridSpan w:val="3"/>
            <w:tcBorders>
              <w:top w:val="single" w:sz="8" w:space="0" w:color="auto"/>
              <w:left w:val="nil"/>
              <w:bottom w:val="nil"/>
              <w:right w:val="single" w:sz="8" w:space="0" w:color="auto"/>
            </w:tcBorders>
            <w:shd w:val="clear" w:color="auto" w:fill="auto"/>
            <w:noWrap/>
            <w:vAlign w:val="center"/>
            <w:hideMark/>
          </w:tcPr>
          <w:p w:rsidR="006276E6" w:rsidRPr="00DD289C" w:rsidRDefault="006276E6" w:rsidP="00526BF4">
            <w:pPr>
              <w:rPr>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w:t>
            </w:r>
            <w:r>
              <w:rPr>
                <w:rFonts w:ascii="SWISS" w:hAnsi="SWISS" w:cs="Arial"/>
                <w:b/>
                <w:bCs/>
                <w:color w:val="000000"/>
                <w:sz w:val="20"/>
                <w:szCs w:val="20"/>
              </w:rPr>
              <w:t>SCHEDULE NO. 5</w:t>
            </w:r>
            <w:r w:rsidR="00953FEE" w:rsidRPr="00F04DBD">
              <w:rPr>
                <w:sz w:val="20"/>
                <w:szCs w:val="20"/>
              </w:rPr>
              <w:fldChar w:fldCharType="begin"/>
            </w:r>
            <w:r w:rsidRPr="00F04DBD">
              <w:rPr>
                <w:sz w:val="20"/>
                <w:szCs w:val="20"/>
              </w:rPr>
              <w:instrText xml:space="preserve"> TC "</w:instrText>
            </w:r>
            <w:bookmarkStart w:id="30" w:name="_Toc442874093"/>
            <w:r w:rsidRPr="00F04DBD">
              <w:rPr>
                <w:sz w:val="20"/>
                <w:szCs w:val="20"/>
              </w:rPr>
              <w:tab/>
            </w:r>
            <w:bookmarkStart w:id="31" w:name="_Toc441233999"/>
            <w:bookmarkStart w:id="32" w:name="_Toc443552005"/>
            <w:r>
              <w:rPr>
                <w:sz w:val="20"/>
                <w:szCs w:val="20"/>
              </w:rPr>
              <w:instrText xml:space="preserve">Schedule No. 5 </w:instrText>
            </w:r>
            <w:r w:rsidRPr="00F04DBD">
              <w:rPr>
                <w:sz w:val="20"/>
                <w:szCs w:val="20"/>
              </w:rPr>
              <w:instrText xml:space="preserve"> </w:instrText>
            </w:r>
            <w:r>
              <w:rPr>
                <w:sz w:val="20"/>
                <w:szCs w:val="20"/>
              </w:rPr>
              <w:instrText>Water Plant, Depreciation, CIAC, &amp; CIAC Amortization Balances</w:instrText>
            </w:r>
            <w:bookmarkEnd w:id="30"/>
            <w:bookmarkEnd w:id="31"/>
            <w:bookmarkEnd w:id="32"/>
            <w:r w:rsidRPr="00F04DBD">
              <w:rPr>
                <w:sz w:val="20"/>
                <w:szCs w:val="20"/>
              </w:rPr>
              <w:instrText xml:space="preserve">”\l 1 </w:instrText>
            </w:r>
            <w:r w:rsidR="00953FEE" w:rsidRPr="00F04DBD">
              <w:rPr>
                <w:sz w:val="20"/>
                <w:szCs w:val="20"/>
              </w:rPr>
              <w:fldChar w:fldCharType="end"/>
            </w:r>
          </w:p>
        </w:tc>
      </w:tr>
      <w:tr w:rsidR="006276E6" w:rsidRPr="00006CBE" w:rsidTr="003A5858">
        <w:trPr>
          <w:trHeight w:val="306"/>
          <w:jc w:val="center"/>
        </w:trPr>
        <w:tc>
          <w:tcPr>
            <w:tcW w:w="5509" w:type="dxa"/>
            <w:gridSpan w:val="3"/>
            <w:tcBorders>
              <w:top w:val="nil"/>
              <w:left w:val="single" w:sz="8" w:space="0" w:color="auto"/>
              <w:bottom w:val="nil"/>
              <w:right w:val="nil"/>
            </w:tcBorders>
            <w:shd w:val="clear" w:color="auto" w:fill="auto"/>
            <w:noWrap/>
            <w:vAlign w:val="center"/>
            <w:hideMark/>
          </w:tcPr>
          <w:p w:rsidR="006276E6" w:rsidRPr="00006CBE" w:rsidRDefault="006276E6" w:rsidP="00526BF4">
            <w:pPr>
              <w:rPr>
                <w:rFonts w:ascii="SWISS" w:hAnsi="SWISS" w:cs="Arial"/>
                <w:b/>
                <w:bCs/>
                <w:color w:val="000000"/>
                <w:sz w:val="20"/>
                <w:szCs w:val="20"/>
              </w:rPr>
            </w:pPr>
            <w:r w:rsidRPr="00006CBE">
              <w:rPr>
                <w:rFonts w:ascii="SWISS" w:hAnsi="SWISS" w:cs="Arial"/>
                <w:b/>
                <w:bCs/>
                <w:color w:val="000000"/>
                <w:sz w:val="20"/>
                <w:szCs w:val="20"/>
              </w:rPr>
              <w:t>TEST YEAR ENDED</w:t>
            </w:r>
            <w:r>
              <w:rPr>
                <w:rFonts w:ascii="SWISS" w:hAnsi="SWISS" w:cs="Arial"/>
                <w:b/>
                <w:bCs/>
                <w:color w:val="000000"/>
                <w:sz w:val="20"/>
                <w:szCs w:val="20"/>
              </w:rPr>
              <w:t xml:space="preserve"> 12/31/2014</w:t>
            </w:r>
          </w:p>
        </w:tc>
        <w:tc>
          <w:tcPr>
            <w:tcW w:w="3964" w:type="dxa"/>
            <w:gridSpan w:val="3"/>
            <w:tcBorders>
              <w:top w:val="nil"/>
              <w:left w:val="nil"/>
              <w:bottom w:val="nil"/>
              <w:right w:val="single" w:sz="8" w:space="0" w:color="auto"/>
            </w:tcBorders>
            <w:shd w:val="clear" w:color="auto" w:fill="auto"/>
            <w:noWrap/>
            <w:vAlign w:val="center"/>
            <w:hideMark/>
          </w:tcPr>
          <w:p w:rsidR="006276E6" w:rsidRPr="00006CBE" w:rsidRDefault="006276E6" w:rsidP="00526BF4">
            <w:pPr>
              <w:rPr>
                <w:rFonts w:ascii="SWISS" w:hAnsi="SWISS" w:cs="Arial"/>
                <w:b/>
                <w:bCs/>
                <w:color w:val="000000"/>
                <w:sz w:val="20"/>
                <w:szCs w:val="20"/>
              </w:rPr>
            </w:pPr>
            <w:r w:rsidRPr="00006CBE">
              <w:rPr>
                <w:rFonts w:ascii="SWISS" w:hAnsi="SWISS" w:cs="Arial"/>
                <w:b/>
                <w:bCs/>
                <w:color w:val="000000"/>
                <w:sz w:val="20"/>
                <w:szCs w:val="20"/>
              </w:rPr>
              <w:t xml:space="preserve">           </w:t>
            </w:r>
            <w:r>
              <w:rPr>
                <w:rFonts w:ascii="SWISS" w:hAnsi="SWISS" w:cs="Arial"/>
                <w:b/>
                <w:bCs/>
                <w:color w:val="000000"/>
                <w:sz w:val="20"/>
                <w:szCs w:val="20"/>
              </w:rPr>
              <w:t xml:space="preserve">              </w:t>
            </w:r>
            <w:r w:rsidRPr="00006CBE">
              <w:rPr>
                <w:rFonts w:ascii="SWISS" w:hAnsi="SWISS" w:cs="Arial"/>
                <w:b/>
                <w:bCs/>
                <w:color w:val="000000"/>
                <w:sz w:val="20"/>
                <w:szCs w:val="20"/>
              </w:rPr>
              <w:t xml:space="preserve">   DOCKET NO. 1</w:t>
            </w:r>
            <w:r>
              <w:rPr>
                <w:rFonts w:ascii="SWISS" w:hAnsi="SWISS" w:cs="Arial"/>
                <w:b/>
                <w:bCs/>
                <w:color w:val="000000"/>
                <w:sz w:val="20"/>
                <w:szCs w:val="20"/>
              </w:rPr>
              <w:t>40220</w:t>
            </w:r>
            <w:r w:rsidRPr="00006CBE">
              <w:rPr>
                <w:rFonts w:ascii="SWISS" w:hAnsi="SWISS" w:cs="Arial"/>
                <w:b/>
                <w:bCs/>
                <w:color w:val="000000"/>
                <w:sz w:val="20"/>
                <w:szCs w:val="20"/>
              </w:rPr>
              <w:t>-WU</w:t>
            </w:r>
          </w:p>
        </w:tc>
      </w:tr>
      <w:tr w:rsidR="006276E6" w:rsidRPr="00006CBE" w:rsidTr="003A5858">
        <w:trPr>
          <w:trHeight w:val="351"/>
          <w:jc w:val="center"/>
        </w:trPr>
        <w:tc>
          <w:tcPr>
            <w:tcW w:w="9473" w:type="dxa"/>
            <w:gridSpan w:val="6"/>
            <w:tcBorders>
              <w:top w:val="nil"/>
              <w:left w:val="single" w:sz="8" w:space="0" w:color="auto"/>
              <w:bottom w:val="single" w:sz="8" w:space="0" w:color="auto"/>
              <w:right w:val="single" w:sz="8" w:space="0" w:color="auto"/>
            </w:tcBorders>
            <w:shd w:val="clear" w:color="auto" w:fill="auto"/>
            <w:vAlign w:val="center"/>
            <w:hideMark/>
          </w:tcPr>
          <w:p w:rsidR="006276E6" w:rsidRPr="00006CBE" w:rsidRDefault="006276E6" w:rsidP="00526BF4">
            <w:pPr>
              <w:rPr>
                <w:rFonts w:ascii="SWISS" w:hAnsi="SWISS" w:cs="Arial"/>
                <w:b/>
                <w:bCs/>
                <w:color w:val="000000"/>
                <w:sz w:val="20"/>
                <w:szCs w:val="20"/>
              </w:rPr>
            </w:pPr>
            <w:r w:rsidRPr="00006CBE">
              <w:rPr>
                <w:rFonts w:ascii="SWISS" w:hAnsi="SWISS" w:cs="Arial"/>
                <w:b/>
                <w:bCs/>
                <w:color w:val="000000"/>
                <w:sz w:val="20"/>
                <w:szCs w:val="20"/>
              </w:rPr>
              <w:t xml:space="preserve">SCHEDULE OF </w:t>
            </w:r>
            <w:r>
              <w:rPr>
                <w:rFonts w:ascii="SWISS" w:hAnsi="SWISS" w:cs="Arial"/>
                <w:b/>
                <w:bCs/>
                <w:color w:val="000000"/>
                <w:sz w:val="20"/>
                <w:szCs w:val="20"/>
              </w:rPr>
              <w:t xml:space="preserve">WATER </w:t>
            </w:r>
            <w:r w:rsidRPr="00006CBE">
              <w:rPr>
                <w:rFonts w:ascii="SWISS" w:hAnsi="SWISS" w:cs="Arial"/>
                <w:b/>
                <w:bCs/>
                <w:color w:val="000000"/>
                <w:sz w:val="20"/>
                <w:szCs w:val="20"/>
              </w:rPr>
              <w:t>PLANT, DEPRECIATION,</w:t>
            </w:r>
            <w:r>
              <w:rPr>
                <w:rFonts w:ascii="SWISS" w:hAnsi="SWISS" w:cs="Arial"/>
                <w:b/>
                <w:bCs/>
                <w:color w:val="000000"/>
                <w:sz w:val="20"/>
                <w:szCs w:val="20"/>
              </w:rPr>
              <w:t xml:space="preserve"> CIAC, &amp; CIAC AMORTIZATION BALANCES</w:t>
            </w:r>
          </w:p>
        </w:tc>
      </w:tr>
      <w:tr w:rsidR="006276E6" w:rsidRPr="00006CBE" w:rsidTr="003A5858">
        <w:trPr>
          <w:trHeight w:val="312"/>
          <w:jc w:val="center"/>
        </w:trPr>
        <w:tc>
          <w:tcPr>
            <w:tcW w:w="815" w:type="dxa"/>
            <w:tcBorders>
              <w:top w:val="single" w:sz="8" w:space="0" w:color="auto"/>
              <w:left w:val="single" w:sz="8" w:space="0" w:color="auto"/>
              <w:bottom w:val="single" w:sz="8" w:space="0" w:color="auto"/>
              <w:right w:val="nil"/>
            </w:tcBorders>
            <w:shd w:val="clear" w:color="auto" w:fill="auto"/>
            <w:noWrap/>
            <w:vAlign w:val="bottom"/>
            <w:hideMark/>
          </w:tcPr>
          <w:p w:rsidR="006276E6" w:rsidRPr="006D3BD3" w:rsidRDefault="006276E6" w:rsidP="00526BF4">
            <w:pPr>
              <w:jc w:val="center"/>
              <w:rPr>
                <w:rFonts w:ascii="SWISS" w:hAnsi="SWISS" w:cs="Arial"/>
                <w:b/>
                <w:bCs/>
                <w:color w:val="000000"/>
                <w:sz w:val="20"/>
                <w:szCs w:val="20"/>
              </w:rPr>
            </w:pPr>
            <w:r w:rsidRPr="006D3BD3">
              <w:rPr>
                <w:rFonts w:ascii="SWISS" w:hAnsi="SWISS" w:cs="Arial"/>
                <w:b/>
                <w:bCs/>
                <w:color w:val="000000"/>
                <w:sz w:val="20"/>
                <w:szCs w:val="20"/>
              </w:rPr>
              <w:t>ACCTNO.</w:t>
            </w:r>
          </w:p>
        </w:tc>
        <w:tc>
          <w:tcPr>
            <w:tcW w:w="1080" w:type="dxa"/>
            <w:tcBorders>
              <w:top w:val="single" w:sz="8" w:space="0" w:color="auto"/>
              <w:left w:val="nil"/>
              <w:bottom w:val="single" w:sz="8" w:space="0" w:color="auto"/>
              <w:right w:val="nil"/>
            </w:tcBorders>
            <w:shd w:val="clear" w:color="auto" w:fill="auto"/>
            <w:noWrap/>
            <w:vAlign w:val="bottom"/>
            <w:hideMark/>
          </w:tcPr>
          <w:p w:rsidR="006276E6" w:rsidRPr="006D3BD3" w:rsidRDefault="006276E6" w:rsidP="00526BF4">
            <w:pPr>
              <w:jc w:val="center"/>
              <w:rPr>
                <w:rFonts w:ascii="SWISS" w:hAnsi="SWISS" w:cs="Arial"/>
                <w:b/>
                <w:bCs/>
                <w:color w:val="000000"/>
                <w:sz w:val="20"/>
                <w:szCs w:val="20"/>
              </w:rPr>
            </w:pPr>
            <w:r w:rsidRPr="006D3BD3">
              <w:rPr>
                <w:rFonts w:ascii="SWISS" w:hAnsi="SWISS" w:cs="Arial"/>
                <w:b/>
                <w:bCs/>
                <w:color w:val="000000"/>
                <w:sz w:val="20"/>
                <w:szCs w:val="20"/>
              </w:rPr>
              <w:t>DEPR. RATE PER RULE    25-30.140</w:t>
            </w:r>
          </w:p>
        </w:tc>
        <w:tc>
          <w:tcPr>
            <w:tcW w:w="4950" w:type="dxa"/>
            <w:gridSpan w:val="2"/>
            <w:tcBorders>
              <w:top w:val="single" w:sz="8" w:space="0" w:color="auto"/>
              <w:left w:val="nil"/>
              <w:bottom w:val="single" w:sz="8" w:space="0" w:color="auto"/>
              <w:right w:val="nil"/>
            </w:tcBorders>
            <w:shd w:val="clear" w:color="auto" w:fill="auto"/>
            <w:noWrap/>
            <w:vAlign w:val="bottom"/>
            <w:hideMark/>
          </w:tcPr>
          <w:p w:rsidR="006276E6" w:rsidRPr="006D3BD3" w:rsidRDefault="006276E6" w:rsidP="00526BF4">
            <w:pPr>
              <w:jc w:val="center"/>
              <w:rPr>
                <w:rFonts w:ascii="SWISS" w:hAnsi="SWISS" w:cs="Arial"/>
                <w:b/>
                <w:bCs/>
                <w:color w:val="000000"/>
                <w:sz w:val="20"/>
                <w:szCs w:val="20"/>
              </w:rPr>
            </w:pPr>
            <w:r w:rsidRPr="006D3BD3">
              <w:rPr>
                <w:rFonts w:ascii="SWISS" w:hAnsi="SWISS" w:cs="Arial"/>
                <w:b/>
                <w:bCs/>
                <w:color w:val="000000"/>
                <w:sz w:val="20"/>
                <w:szCs w:val="20"/>
              </w:rPr>
              <w:t>DESCRIPTION</w:t>
            </w:r>
          </w:p>
        </w:tc>
        <w:tc>
          <w:tcPr>
            <w:tcW w:w="1350" w:type="dxa"/>
            <w:tcBorders>
              <w:top w:val="single" w:sz="8" w:space="0" w:color="auto"/>
              <w:left w:val="nil"/>
              <w:bottom w:val="single" w:sz="8" w:space="0" w:color="auto"/>
              <w:right w:val="nil"/>
            </w:tcBorders>
            <w:shd w:val="clear" w:color="auto" w:fill="auto"/>
            <w:noWrap/>
            <w:vAlign w:val="bottom"/>
            <w:hideMark/>
          </w:tcPr>
          <w:p w:rsidR="006276E6" w:rsidRPr="006D3BD3" w:rsidRDefault="006276E6" w:rsidP="00526BF4">
            <w:pPr>
              <w:jc w:val="center"/>
              <w:rPr>
                <w:rFonts w:ascii="SWISS" w:hAnsi="SWISS" w:cs="Arial"/>
                <w:b/>
                <w:bCs/>
                <w:color w:val="000000"/>
                <w:sz w:val="20"/>
                <w:szCs w:val="20"/>
              </w:rPr>
            </w:pPr>
            <w:r w:rsidRPr="006D3BD3">
              <w:rPr>
                <w:rFonts w:ascii="SWISS" w:hAnsi="SWISS" w:cs="Arial"/>
                <w:b/>
                <w:bCs/>
                <w:color w:val="000000"/>
                <w:sz w:val="20"/>
                <w:szCs w:val="20"/>
              </w:rPr>
              <w:t xml:space="preserve">UPIS       </w:t>
            </w:r>
            <w:r>
              <w:rPr>
                <w:rFonts w:ascii="SWISS" w:hAnsi="SWISS" w:cs="Arial"/>
                <w:b/>
                <w:bCs/>
                <w:color w:val="000000"/>
                <w:sz w:val="20"/>
                <w:szCs w:val="20"/>
              </w:rPr>
              <w:t>12</w:t>
            </w:r>
            <w:r w:rsidRPr="006D3BD3">
              <w:rPr>
                <w:rFonts w:ascii="SWISS" w:hAnsi="SWISS" w:cs="Arial"/>
                <w:b/>
                <w:bCs/>
                <w:color w:val="000000"/>
                <w:sz w:val="20"/>
                <w:szCs w:val="20"/>
              </w:rPr>
              <w:t>/31/201</w:t>
            </w:r>
            <w:r>
              <w:rPr>
                <w:rFonts w:ascii="SWISS" w:hAnsi="SWISS" w:cs="Arial"/>
                <w:b/>
                <w:bCs/>
                <w:color w:val="000000"/>
                <w:sz w:val="20"/>
                <w:szCs w:val="20"/>
              </w:rPr>
              <w:t>4</w:t>
            </w:r>
            <w:r w:rsidRPr="006D3BD3">
              <w:rPr>
                <w:rFonts w:ascii="SWISS" w:hAnsi="SWISS" w:cs="Arial"/>
                <w:b/>
                <w:bCs/>
                <w:color w:val="000000"/>
                <w:sz w:val="20"/>
                <w:szCs w:val="20"/>
              </w:rPr>
              <w:t xml:space="preserve">    (DEBIT)</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rsidR="006276E6" w:rsidRPr="006D3BD3" w:rsidRDefault="006276E6" w:rsidP="00526BF4">
            <w:pPr>
              <w:jc w:val="center"/>
              <w:rPr>
                <w:rFonts w:ascii="SWISS" w:hAnsi="SWISS" w:cs="Arial"/>
                <w:b/>
                <w:bCs/>
                <w:color w:val="000000"/>
                <w:sz w:val="20"/>
                <w:szCs w:val="20"/>
              </w:rPr>
            </w:pPr>
            <w:r w:rsidRPr="006D3BD3">
              <w:rPr>
                <w:rFonts w:ascii="SWISS" w:hAnsi="SWISS" w:cs="Arial"/>
                <w:b/>
                <w:bCs/>
                <w:color w:val="000000"/>
                <w:sz w:val="20"/>
                <w:szCs w:val="20"/>
              </w:rPr>
              <w:t>ACCUM. DEPR</w:t>
            </w:r>
            <w:r>
              <w:rPr>
                <w:rFonts w:ascii="SWISS" w:hAnsi="SWISS" w:cs="Arial"/>
                <w:b/>
                <w:bCs/>
                <w:color w:val="000000"/>
                <w:sz w:val="20"/>
                <w:szCs w:val="20"/>
              </w:rPr>
              <w:t xml:space="preserve">. </w:t>
            </w:r>
            <w:r w:rsidRPr="006D3BD3">
              <w:rPr>
                <w:rFonts w:ascii="SWISS" w:hAnsi="SWISS" w:cs="Arial"/>
                <w:b/>
                <w:bCs/>
                <w:color w:val="000000"/>
                <w:sz w:val="20"/>
                <w:szCs w:val="20"/>
              </w:rPr>
              <w:t xml:space="preserve"> </w:t>
            </w:r>
            <w:r>
              <w:rPr>
                <w:rFonts w:ascii="SWISS" w:hAnsi="SWISS" w:cs="Arial"/>
                <w:b/>
                <w:bCs/>
                <w:color w:val="000000"/>
                <w:sz w:val="20"/>
                <w:szCs w:val="20"/>
              </w:rPr>
              <w:t>12</w:t>
            </w:r>
            <w:r w:rsidRPr="006D3BD3">
              <w:rPr>
                <w:rFonts w:ascii="SWISS" w:hAnsi="SWISS" w:cs="Arial"/>
                <w:b/>
                <w:bCs/>
                <w:color w:val="000000"/>
                <w:sz w:val="20"/>
                <w:szCs w:val="20"/>
              </w:rPr>
              <w:t>/31/201</w:t>
            </w:r>
            <w:r>
              <w:rPr>
                <w:rFonts w:ascii="SWISS" w:hAnsi="SWISS" w:cs="Arial"/>
                <w:b/>
                <w:bCs/>
                <w:color w:val="000000"/>
                <w:sz w:val="20"/>
                <w:szCs w:val="20"/>
              </w:rPr>
              <w:t>4</w:t>
            </w:r>
            <w:r w:rsidRPr="006D3BD3">
              <w:rPr>
                <w:rFonts w:ascii="SWISS" w:hAnsi="SWISS" w:cs="Arial"/>
                <w:b/>
                <w:bCs/>
                <w:color w:val="000000"/>
                <w:sz w:val="20"/>
                <w:szCs w:val="20"/>
              </w:rPr>
              <w:t xml:space="preserve">         (CREDIT)*</w:t>
            </w:r>
          </w:p>
        </w:tc>
      </w:tr>
      <w:tr w:rsidR="006276E6" w:rsidRPr="00006CBE" w:rsidTr="003A5858">
        <w:trPr>
          <w:trHeight w:val="312"/>
          <w:jc w:val="center"/>
        </w:trPr>
        <w:tc>
          <w:tcPr>
            <w:tcW w:w="815" w:type="dxa"/>
            <w:tcBorders>
              <w:top w:val="single" w:sz="8" w:space="0" w:color="auto"/>
              <w:left w:val="single" w:sz="8" w:space="0" w:color="auto"/>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single" w:sz="8" w:space="0" w:color="auto"/>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p>
        </w:tc>
        <w:tc>
          <w:tcPr>
            <w:tcW w:w="4950" w:type="dxa"/>
            <w:gridSpan w:val="2"/>
            <w:tcBorders>
              <w:top w:val="single" w:sz="8" w:space="0" w:color="auto"/>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301</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2.50%</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ORGANIZATION</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750</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w:t>
            </w:r>
            <w:r>
              <w:rPr>
                <w:rFonts w:ascii="SWISS" w:hAnsi="SWISS" w:cs="Arial"/>
                <w:bCs/>
                <w:color w:val="000000"/>
                <w:sz w:val="20"/>
                <w:szCs w:val="20"/>
              </w:rPr>
              <w:t>285</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303</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0.00%</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 xml:space="preserve">LAND AND LAND </w:t>
            </w:r>
            <w:r>
              <w:rPr>
                <w:rFonts w:ascii="SWISS" w:hAnsi="SWISS" w:cs="Arial"/>
                <w:bCs/>
                <w:color w:val="000000"/>
                <w:sz w:val="20"/>
                <w:szCs w:val="20"/>
              </w:rPr>
              <w:t>R</w:t>
            </w:r>
            <w:r w:rsidRPr="00006CBE">
              <w:rPr>
                <w:rFonts w:ascii="SWISS" w:hAnsi="SWISS" w:cs="Arial"/>
                <w:bCs/>
                <w:color w:val="000000"/>
                <w:sz w:val="20"/>
                <w:szCs w:val="20"/>
              </w:rPr>
              <w:t>IGHTS (NON-DEPR</w:t>
            </w:r>
            <w:r>
              <w:rPr>
                <w:rFonts w:ascii="SWISS" w:hAnsi="SWISS" w:cs="Arial"/>
                <w:bCs/>
                <w:color w:val="000000"/>
                <w:sz w:val="20"/>
                <w:szCs w:val="20"/>
              </w:rPr>
              <w:t>E</w:t>
            </w:r>
            <w:r w:rsidRPr="00006CBE">
              <w:rPr>
                <w:rFonts w:ascii="SWISS" w:hAnsi="SWISS" w:cs="Arial"/>
                <w:bCs/>
                <w:color w:val="000000"/>
                <w:sz w:val="20"/>
                <w:szCs w:val="20"/>
              </w:rPr>
              <w:t>CIABLE)</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553</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 xml:space="preserve">0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304</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STRUCTURES AND IMPROVEMENTS</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5</w:t>
            </w:r>
            <w:r w:rsidRPr="00006CBE">
              <w:rPr>
                <w:rFonts w:ascii="SWISS" w:hAnsi="SWISS" w:cs="Arial"/>
                <w:bCs/>
                <w:color w:val="000000"/>
                <w:sz w:val="20"/>
                <w:szCs w:val="20"/>
              </w:rPr>
              <w:t>,</w:t>
            </w:r>
            <w:r>
              <w:rPr>
                <w:rFonts w:ascii="SWISS" w:hAnsi="SWISS" w:cs="Arial"/>
                <w:bCs/>
                <w:color w:val="000000"/>
                <w:sz w:val="20"/>
                <w:szCs w:val="20"/>
              </w:rPr>
              <w:t>412</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3</w:t>
            </w:r>
            <w:r w:rsidRPr="00006CBE">
              <w:rPr>
                <w:rFonts w:ascii="SWISS" w:hAnsi="SWISS" w:cs="Arial"/>
                <w:bCs/>
                <w:color w:val="000000"/>
                <w:sz w:val="20"/>
                <w:szCs w:val="20"/>
              </w:rPr>
              <w:t>,</w:t>
            </w:r>
            <w:r>
              <w:rPr>
                <w:rFonts w:ascii="SWISS" w:hAnsi="SWISS" w:cs="Arial"/>
                <w:bCs/>
                <w:color w:val="000000"/>
                <w:sz w:val="20"/>
                <w:szCs w:val="20"/>
              </w:rPr>
              <w:t>408</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307</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3.70%</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WELLS AND SPRINGS</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16</w:t>
            </w:r>
            <w:r w:rsidRPr="00006CBE">
              <w:rPr>
                <w:rFonts w:ascii="SWISS" w:hAnsi="SWISS" w:cs="Arial"/>
                <w:bCs/>
                <w:color w:val="000000"/>
                <w:sz w:val="20"/>
                <w:szCs w:val="20"/>
              </w:rPr>
              <w:t>,</w:t>
            </w:r>
            <w:r>
              <w:rPr>
                <w:rFonts w:ascii="SWISS" w:hAnsi="SWISS" w:cs="Arial"/>
                <w:bCs/>
                <w:color w:val="000000"/>
                <w:sz w:val="20"/>
                <w:szCs w:val="20"/>
              </w:rPr>
              <w:t>972</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1</w:t>
            </w: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676</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309</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3.13%</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SUPPLY MAINS</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649</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w:t>
            </w:r>
            <w:r w:rsidRPr="00006CBE">
              <w:rPr>
                <w:rFonts w:ascii="SWISS" w:hAnsi="SWISS" w:cs="Arial"/>
                <w:bCs/>
                <w:color w:val="000000"/>
                <w:sz w:val="20"/>
                <w:szCs w:val="20"/>
              </w:rPr>
              <w:t>2</w:t>
            </w:r>
            <w:r>
              <w:rPr>
                <w:rFonts w:ascii="SWISS" w:hAnsi="SWISS" w:cs="Arial"/>
                <w:bCs/>
                <w:color w:val="000000"/>
                <w:sz w:val="20"/>
                <w:szCs w:val="20"/>
              </w:rPr>
              <w:t>73)</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tcPr>
          <w:p w:rsidR="006276E6" w:rsidRPr="00006CBE" w:rsidRDefault="006276E6" w:rsidP="00526BF4">
            <w:pPr>
              <w:jc w:val="center"/>
              <w:rPr>
                <w:rFonts w:ascii="SWISS" w:hAnsi="SWISS" w:cs="Arial"/>
                <w:bCs/>
                <w:color w:val="000000"/>
                <w:sz w:val="20"/>
                <w:szCs w:val="20"/>
              </w:rPr>
            </w:pPr>
            <w:r>
              <w:rPr>
                <w:rFonts w:ascii="SWISS" w:hAnsi="SWISS" w:cs="Arial"/>
                <w:bCs/>
                <w:color w:val="000000"/>
                <w:sz w:val="20"/>
                <w:szCs w:val="20"/>
              </w:rPr>
              <w:t>310</w:t>
            </w:r>
          </w:p>
        </w:tc>
        <w:tc>
          <w:tcPr>
            <w:tcW w:w="1080" w:type="dxa"/>
            <w:tcBorders>
              <w:top w:val="nil"/>
              <w:left w:val="nil"/>
              <w:bottom w:val="nil"/>
              <w:right w:val="nil"/>
            </w:tcBorders>
            <w:shd w:val="clear" w:color="auto" w:fill="auto"/>
            <w:noWrap/>
            <w:vAlign w:val="center"/>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tcPr>
          <w:p w:rsidR="006276E6" w:rsidRPr="00006CBE" w:rsidRDefault="006276E6" w:rsidP="00526BF4">
            <w:pPr>
              <w:rPr>
                <w:rFonts w:ascii="SWISS" w:hAnsi="SWISS" w:cs="Arial"/>
                <w:bCs/>
                <w:color w:val="000000"/>
                <w:sz w:val="20"/>
                <w:szCs w:val="20"/>
              </w:rPr>
            </w:pPr>
            <w:r>
              <w:rPr>
                <w:rFonts w:ascii="SWISS" w:hAnsi="SWISS" w:cs="Arial"/>
                <w:bCs/>
                <w:color w:val="000000"/>
                <w:sz w:val="20"/>
                <w:szCs w:val="20"/>
              </w:rPr>
              <w:t>POWER GENERATION EQUIPMENT</w:t>
            </w:r>
          </w:p>
        </w:tc>
        <w:tc>
          <w:tcPr>
            <w:tcW w:w="1350" w:type="dxa"/>
            <w:tcBorders>
              <w:top w:val="nil"/>
              <w:left w:val="nil"/>
              <w:bottom w:val="nil"/>
              <w:right w:val="nil"/>
            </w:tcBorders>
            <w:shd w:val="clear" w:color="auto" w:fill="auto"/>
            <w:noWrap/>
            <w:vAlign w:val="center"/>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 xml:space="preserve">15,070 </w:t>
            </w:r>
          </w:p>
        </w:tc>
        <w:tc>
          <w:tcPr>
            <w:tcW w:w="1278" w:type="dxa"/>
            <w:tcBorders>
              <w:top w:val="nil"/>
              <w:left w:val="nil"/>
              <w:bottom w:val="nil"/>
              <w:right w:val="single" w:sz="8" w:space="0" w:color="auto"/>
            </w:tcBorders>
            <w:shd w:val="clear" w:color="auto" w:fill="auto"/>
            <w:noWrap/>
            <w:vAlign w:val="center"/>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 xml:space="preserve">7,104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311</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PUMPING EQUIPMENT</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17</w:t>
            </w:r>
            <w:r w:rsidRPr="00006CBE">
              <w:rPr>
                <w:rFonts w:ascii="SWISS" w:hAnsi="SWISS" w:cs="Arial"/>
                <w:bCs/>
                <w:color w:val="000000"/>
                <w:sz w:val="20"/>
                <w:szCs w:val="20"/>
              </w:rPr>
              <w:t>,</w:t>
            </w:r>
            <w:r>
              <w:rPr>
                <w:rFonts w:ascii="SWISS" w:hAnsi="SWISS" w:cs="Arial"/>
                <w:bCs/>
                <w:color w:val="000000"/>
                <w:sz w:val="20"/>
                <w:szCs w:val="20"/>
              </w:rPr>
              <w:t>377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341</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320</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WATER TREATMENT EQUIPMENT</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055</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4</w:t>
            </w:r>
            <w:r w:rsidRPr="00006CBE">
              <w:rPr>
                <w:rFonts w:ascii="SWISS" w:hAnsi="SWISS" w:cs="Arial"/>
                <w:bCs/>
                <w:color w:val="000000"/>
                <w:sz w:val="20"/>
                <w:szCs w:val="20"/>
              </w:rPr>
              <w:t>,</w:t>
            </w:r>
            <w:r>
              <w:rPr>
                <w:rFonts w:ascii="SWISS" w:hAnsi="SWISS" w:cs="Arial"/>
                <w:bCs/>
                <w:color w:val="000000"/>
                <w:sz w:val="20"/>
                <w:szCs w:val="20"/>
              </w:rPr>
              <w:t>055</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330</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3.03%</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DISTRIBUTION RESERVOIRS AND STANDPIPES</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21</w:t>
            </w:r>
            <w:r w:rsidRPr="00006CBE">
              <w:rPr>
                <w:rFonts w:ascii="SWISS" w:hAnsi="SWISS" w:cs="Arial"/>
                <w:bCs/>
                <w:color w:val="000000"/>
                <w:sz w:val="20"/>
                <w:szCs w:val="20"/>
              </w:rPr>
              <w:t>,</w:t>
            </w:r>
            <w:r>
              <w:rPr>
                <w:rFonts w:ascii="SWISS" w:hAnsi="SWISS" w:cs="Arial"/>
                <w:bCs/>
                <w:color w:val="000000"/>
                <w:sz w:val="20"/>
                <w:szCs w:val="20"/>
              </w:rPr>
              <w:t>485</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15,903</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331</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2.63%</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TRANSMISSION AND DISTRIBUTION MAINS</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12</w:t>
            </w:r>
            <w:r w:rsidRPr="00006CBE">
              <w:rPr>
                <w:rFonts w:ascii="SWISS" w:hAnsi="SWISS" w:cs="Arial"/>
                <w:bCs/>
                <w:color w:val="000000"/>
                <w:sz w:val="20"/>
                <w:szCs w:val="20"/>
              </w:rPr>
              <w:t>,</w:t>
            </w:r>
            <w:r>
              <w:rPr>
                <w:rFonts w:ascii="SWISS" w:hAnsi="SWISS" w:cs="Arial"/>
                <w:bCs/>
                <w:color w:val="000000"/>
                <w:sz w:val="20"/>
                <w:szCs w:val="20"/>
              </w:rPr>
              <w:t>393</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8</w:t>
            </w:r>
            <w:r w:rsidRPr="00006CBE">
              <w:rPr>
                <w:rFonts w:ascii="SWISS" w:hAnsi="SWISS" w:cs="Arial"/>
                <w:bCs/>
                <w:color w:val="000000"/>
                <w:sz w:val="20"/>
                <w:szCs w:val="20"/>
              </w:rPr>
              <w:t>,</w:t>
            </w:r>
            <w:r>
              <w:rPr>
                <w:rFonts w:ascii="SWISS" w:hAnsi="SWISS" w:cs="Arial"/>
                <w:bCs/>
                <w:color w:val="000000"/>
                <w:sz w:val="20"/>
                <w:szCs w:val="20"/>
              </w:rPr>
              <w:t>253</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334</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5.88%</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METERS AND METER INSTALLATIONS</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12</w:t>
            </w:r>
            <w:r w:rsidRPr="00006CBE">
              <w:rPr>
                <w:rFonts w:ascii="SWISS" w:hAnsi="SWISS" w:cs="Arial"/>
                <w:bCs/>
                <w:color w:val="000000"/>
                <w:sz w:val="20"/>
                <w:szCs w:val="20"/>
              </w:rPr>
              <w:t>,</w:t>
            </w:r>
            <w:r>
              <w:rPr>
                <w:rFonts w:ascii="SWISS" w:hAnsi="SWISS" w:cs="Arial"/>
                <w:bCs/>
                <w:color w:val="000000"/>
                <w:sz w:val="20"/>
                <w:szCs w:val="20"/>
              </w:rPr>
              <w:t>257</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10,408</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w:t>
            </w:r>
            <w:r>
              <w:rPr>
                <w:rFonts w:ascii="SWISS" w:hAnsi="SWISS" w:cs="Arial"/>
                <w:bCs/>
                <w:color w:val="000000"/>
                <w:sz w:val="20"/>
                <w:szCs w:val="20"/>
              </w:rPr>
              <w:t>40</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Pr>
                <w:rFonts w:ascii="SWISS" w:hAnsi="SWISS" w:cs="Arial"/>
                <w:bCs/>
                <w:color w:val="000000"/>
                <w:sz w:val="20"/>
                <w:szCs w:val="20"/>
              </w:rPr>
              <w:t>6.67</w:t>
            </w:r>
            <w:r w:rsidRPr="00006CBE">
              <w:rPr>
                <w:rFonts w:ascii="SWISS" w:hAnsi="SWISS" w:cs="Arial"/>
                <w:bCs/>
                <w:color w:val="000000"/>
                <w:sz w:val="20"/>
                <w:szCs w:val="20"/>
              </w:rPr>
              <w:t>%</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OFFICE FURNITURE AND EQUIPMENT</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494</w:t>
            </w:r>
            <w:r w:rsidRPr="00006CBE">
              <w:rPr>
                <w:rFonts w:ascii="SWISS" w:hAnsi="SWISS" w:cs="Arial"/>
                <w:bCs/>
                <w:color w:val="000000"/>
                <w:sz w:val="20"/>
                <w:szCs w:val="20"/>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Pr>
                <w:rFonts w:ascii="SWISS" w:hAnsi="SWISS" w:cs="Arial"/>
                <w:bCs/>
                <w:color w:val="000000"/>
                <w:sz w:val="20"/>
                <w:szCs w:val="20"/>
              </w:rPr>
              <w:t>123</w:t>
            </w:r>
            <w:r w:rsidRPr="00006CBE">
              <w:rPr>
                <w:rFonts w:ascii="SWISS" w:hAnsi="SWISS" w:cs="Arial"/>
                <w:bCs/>
                <w:color w:val="000000"/>
                <w:sz w:val="20"/>
                <w:szCs w:val="20"/>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sidRPr="00006CBE">
              <w:rPr>
                <w:rFonts w:ascii="SWISS" w:hAnsi="SWISS" w:cs="Arial"/>
                <w:bCs/>
                <w:color w:val="000000"/>
                <w:sz w:val="20"/>
                <w:szCs w:val="20"/>
              </w:rPr>
              <w:t>34</w:t>
            </w:r>
            <w:r>
              <w:rPr>
                <w:rFonts w:ascii="SWISS" w:hAnsi="SWISS" w:cs="Arial"/>
                <w:bCs/>
                <w:color w:val="000000"/>
                <w:sz w:val="20"/>
                <w:szCs w:val="20"/>
              </w:rPr>
              <w:t>8</w:t>
            </w: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center"/>
              <w:rPr>
                <w:rFonts w:ascii="SWISS" w:hAnsi="SWISS" w:cs="Arial"/>
                <w:bCs/>
                <w:color w:val="000000"/>
                <w:sz w:val="20"/>
                <w:szCs w:val="20"/>
              </w:rPr>
            </w:pPr>
            <w:r>
              <w:rPr>
                <w:rFonts w:ascii="SWISS" w:hAnsi="SWISS" w:cs="Arial"/>
                <w:bCs/>
                <w:color w:val="000000"/>
                <w:sz w:val="20"/>
                <w:szCs w:val="20"/>
              </w:rPr>
              <w:t>10</w:t>
            </w:r>
            <w:r w:rsidRPr="00006CBE">
              <w:rPr>
                <w:rFonts w:ascii="SWISS" w:hAnsi="SWISS" w:cs="Arial"/>
                <w:bCs/>
                <w:color w:val="000000"/>
                <w:sz w:val="20"/>
                <w:szCs w:val="20"/>
              </w:rPr>
              <w:t>.</w:t>
            </w:r>
            <w:r>
              <w:rPr>
                <w:rFonts w:ascii="SWISS" w:hAnsi="SWISS" w:cs="Arial"/>
                <w:bCs/>
                <w:color w:val="000000"/>
                <w:sz w:val="20"/>
                <w:szCs w:val="20"/>
              </w:rPr>
              <w:t>00</w:t>
            </w:r>
            <w:r w:rsidRPr="00006CBE">
              <w:rPr>
                <w:rFonts w:ascii="SWISS" w:hAnsi="SWISS" w:cs="Arial"/>
                <w:bCs/>
                <w:color w:val="000000"/>
                <w:sz w:val="20"/>
                <w:szCs w:val="20"/>
              </w:rPr>
              <w:t>%</w:t>
            </w: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Pr>
                <w:rFonts w:ascii="SWISS" w:hAnsi="SWISS" w:cs="Arial"/>
                <w:bCs/>
                <w:color w:val="000000"/>
                <w:sz w:val="20"/>
                <w:szCs w:val="20"/>
              </w:rPr>
              <w:t>OTHER TANGIBLE PLANT</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u w:val="single"/>
              </w:rPr>
            </w:pPr>
            <w:r>
              <w:rPr>
                <w:rFonts w:ascii="SWISS" w:hAnsi="SWISS" w:cs="Arial"/>
                <w:bCs/>
                <w:color w:val="000000"/>
                <w:sz w:val="20"/>
                <w:szCs w:val="20"/>
                <w:u w:val="single"/>
              </w:rPr>
              <w:t>2</w:t>
            </w:r>
            <w:r w:rsidRPr="00006CBE">
              <w:rPr>
                <w:rFonts w:ascii="SWISS" w:hAnsi="SWISS" w:cs="Arial"/>
                <w:bCs/>
                <w:color w:val="000000"/>
                <w:sz w:val="20"/>
                <w:szCs w:val="20"/>
                <w:u w:val="single"/>
              </w:rPr>
              <w:t>,</w:t>
            </w:r>
            <w:r>
              <w:rPr>
                <w:rFonts w:ascii="SWISS" w:hAnsi="SWISS" w:cs="Arial"/>
                <w:bCs/>
                <w:color w:val="000000"/>
                <w:sz w:val="20"/>
                <w:szCs w:val="20"/>
                <w:u w:val="single"/>
              </w:rPr>
              <w:t>388</w:t>
            </w:r>
            <w:r w:rsidRPr="00006CBE">
              <w:rPr>
                <w:rFonts w:ascii="SWISS" w:hAnsi="SWISS" w:cs="Arial"/>
                <w:bCs/>
                <w:color w:val="000000"/>
                <w:sz w:val="20"/>
                <w:szCs w:val="20"/>
                <w:u w:val="single"/>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u w:val="single"/>
              </w:rPr>
            </w:pPr>
            <w:r>
              <w:rPr>
                <w:rFonts w:ascii="SWISS" w:hAnsi="SWISS" w:cs="Arial"/>
                <w:bCs/>
                <w:color w:val="000000"/>
                <w:sz w:val="20"/>
                <w:szCs w:val="20"/>
                <w:u w:val="single"/>
              </w:rPr>
              <w:t>2</w:t>
            </w:r>
            <w:r w:rsidRPr="00006CBE">
              <w:rPr>
                <w:rFonts w:ascii="SWISS" w:hAnsi="SWISS" w:cs="Arial"/>
                <w:bCs/>
                <w:color w:val="000000"/>
                <w:sz w:val="20"/>
                <w:szCs w:val="20"/>
                <w:u w:val="single"/>
              </w:rPr>
              <w:t>,</w:t>
            </w:r>
            <w:r>
              <w:rPr>
                <w:rFonts w:ascii="SWISS" w:hAnsi="SWISS" w:cs="Arial"/>
                <w:bCs/>
                <w:color w:val="000000"/>
                <w:sz w:val="20"/>
                <w:szCs w:val="20"/>
                <w:u w:val="single"/>
              </w:rPr>
              <w:t>388</w:t>
            </w:r>
            <w:r w:rsidRPr="00006CBE">
              <w:rPr>
                <w:rFonts w:ascii="SWISS" w:hAnsi="SWISS" w:cs="Arial"/>
                <w:bCs/>
                <w:color w:val="000000"/>
                <w:sz w:val="20"/>
                <w:szCs w:val="20"/>
                <w:u w:val="single"/>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rPr>
                <w:rFonts w:ascii="SWISS" w:hAnsi="SWISS" w:cs="Arial"/>
                <w:bCs/>
                <w:color w:val="000000"/>
                <w:sz w:val="20"/>
                <w:szCs w:val="20"/>
              </w:rPr>
            </w:pPr>
            <w:r w:rsidRPr="00006CBE">
              <w:rPr>
                <w:rFonts w:ascii="SWISS" w:hAnsi="SWISS" w:cs="Arial"/>
                <w:bCs/>
                <w:color w:val="000000"/>
                <w:sz w:val="20"/>
                <w:szCs w:val="20"/>
              </w:rPr>
              <w:t xml:space="preserve">TOTAL </w:t>
            </w:r>
            <w:r>
              <w:rPr>
                <w:rFonts w:ascii="SWISS" w:hAnsi="SWISS" w:cs="Arial"/>
                <w:bCs/>
                <w:color w:val="000000"/>
                <w:sz w:val="20"/>
                <w:szCs w:val="20"/>
              </w:rPr>
              <w:t>I</w:t>
            </w:r>
            <w:r w:rsidRPr="00006CBE">
              <w:rPr>
                <w:rFonts w:ascii="SWISS" w:hAnsi="SWISS" w:cs="Arial"/>
                <w:bCs/>
                <w:color w:val="000000"/>
                <w:sz w:val="20"/>
                <w:szCs w:val="20"/>
              </w:rPr>
              <w:t xml:space="preserve">NCLUDING </w:t>
            </w:r>
            <w:r>
              <w:rPr>
                <w:rFonts w:ascii="SWISS" w:hAnsi="SWISS" w:cs="Arial"/>
                <w:bCs/>
                <w:color w:val="000000"/>
                <w:sz w:val="20"/>
                <w:szCs w:val="20"/>
              </w:rPr>
              <w:t>L</w:t>
            </w:r>
            <w:r w:rsidRPr="00006CBE">
              <w:rPr>
                <w:rFonts w:ascii="SWISS" w:hAnsi="SWISS" w:cs="Arial"/>
                <w:bCs/>
                <w:color w:val="000000"/>
                <w:sz w:val="20"/>
                <w:szCs w:val="20"/>
              </w:rPr>
              <w:t>AND</w:t>
            </w: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109</w:t>
            </w:r>
            <w:r w:rsidRPr="00006CBE">
              <w:rPr>
                <w:rFonts w:ascii="SWISS" w:hAnsi="SWISS" w:cs="Arial"/>
                <w:bCs/>
                <w:color w:val="000000"/>
                <w:sz w:val="20"/>
                <w:szCs w:val="20"/>
                <w:u w:val="double"/>
              </w:rPr>
              <w:t>,</w:t>
            </w:r>
            <w:r>
              <w:rPr>
                <w:rFonts w:ascii="SWISS" w:hAnsi="SWISS" w:cs="Arial"/>
                <w:bCs/>
                <w:color w:val="000000"/>
                <w:sz w:val="20"/>
                <w:szCs w:val="20"/>
                <w:u w:val="double"/>
              </w:rPr>
              <w:t>855</w:t>
            </w:r>
            <w:r w:rsidRPr="00006CBE">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u w:val="double"/>
              </w:rPr>
            </w:pPr>
            <w:r w:rsidRPr="00006CBE">
              <w:rPr>
                <w:rFonts w:ascii="SWISS" w:hAnsi="SWISS" w:cs="Arial"/>
                <w:bCs/>
                <w:color w:val="000000"/>
                <w:sz w:val="20"/>
                <w:szCs w:val="20"/>
                <w:u w:val="double"/>
              </w:rPr>
              <w:t>$</w:t>
            </w:r>
            <w:r>
              <w:rPr>
                <w:rFonts w:ascii="SWISS" w:hAnsi="SWISS" w:cs="Arial"/>
                <w:bCs/>
                <w:color w:val="000000"/>
                <w:sz w:val="20"/>
                <w:szCs w:val="20"/>
                <w:u w:val="double"/>
              </w:rPr>
              <w:t>70</w:t>
            </w:r>
            <w:r w:rsidRPr="00006CBE">
              <w:rPr>
                <w:rFonts w:ascii="SWISS" w:hAnsi="SWISS" w:cs="Arial"/>
                <w:bCs/>
                <w:color w:val="000000"/>
                <w:sz w:val="20"/>
                <w:szCs w:val="20"/>
                <w:u w:val="double"/>
              </w:rPr>
              <w:t>,</w:t>
            </w:r>
            <w:r>
              <w:rPr>
                <w:rFonts w:ascii="SWISS" w:hAnsi="SWISS" w:cs="Arial"/>
                <w:bCs/>
                <w:color w:val="000000"/>
                <w:sz w:val="20"/>
                <w:szCs w:val="20"/>
                <w:u w:val="double"/>
              </w:rPr>
              <w:t>671</w:t>
            </w:r>
            <w:r w:rsidRPr="00006CBE">
              <w:rPr>
                <w:rFonts w:ascii="SWISS" w:hAnsi="SWISS" w:cs="Arial"/>
                <w:bCs/>
                <w:color w:val="000000"/>
                <w:sz w:val="20"/>
                <w:szCs w:val="20"/>
                <w:u w:val="double"/>
              </w:rPr>
              <w:t xml:space="preserve"> </w:t>
            </w:r>
          </w:p>
        </w:tc>
      </w:tr>
      <w:tr w:rsidR="006276E6" w:rsidRPr="00006CBE" w:rsidTr="003A5858">
        <w:trPr>
          <w:trHeight w:val="312"/>
          <w:jc w:val="center"/>
        </w:trPr>
        <w:tc>
          <w:tcPr>
            <w:tcW w:w="815" w:type="dxa"/>
            <w:tcBorders>
              <w:top w:val="nil"/>
              <w:left w:val="single" w:sz="8" w:space="0" w:color="auto"/>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080" w:type="dxa"/>
            <w:tcBorders>
              <w:top w:val="nil"/>
              <w:left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4950" w:type="dxa"/>
            <w:gridSpan w:val="2"/>
            <w:tcBorders>
              <w:top w:val="nil"/>
              <w:left w:val="nil"/>
              <w:right w:val="nil"/>
            </w:tcBorders>
            <w:shd w:val="clear" w:color="auto" w:fill="auto"/>
            <w:noWrap/>
            <w:vAlign w:val="bottom"/>
            <w:hideMark/>
          </w:tcPr>
          <w:p w:rsidR="006276E6" w:rsidRPr="00006CBE" w:rsidRDefault="006276E6" w:rsidP="00526BF4">
            <w:pPr>
              <w:jc w:val="right"/>
              <w:rPr>
                <w:rFonts w:ascii="SWISS" w:hAnsi="SWISS" w:cs="Arial"/>
                <w:bCs/>
                <w:color w:val="000000"/>
                <w:sz w:val="20"/>
                <w:szCs w:val="20"/>
              </w:rPr>
            </w:pPr>
          </w:p>
        </w:tc>
        <w:tc>
          <w:tcPr>
            <w:tcW w:w="1350" w:type="dxa"/>
            <w:tcBorders>
              <w:top w:val="nil"/>
              <w:left w:val="nil"/>
              <w:right w:val="nil"/>
            </w:tcBorders>
            <w:shd w:val="clear" w:color="auto" w:fill="auto"/>
            <w:noWrap/>
            <w:vAlign w:val="bottom"/>
            <w:hideMark/>
          </w:tcPr>
          <w:p w:rsidR="006276E6" w:rsidRPr="00006CBE" w:rsidRDefault="006276E6" w:rsidP="00526BF4">
            <w:pPr>
              <w:jc w:val="right"/>
              <w:rPr>
                <w:rFonts w:ascii="SWISS" w:hAnsi="SWISS" w:cs="Arial"/>
                <w:bCs/>
                <w:color w:val="000000"/>
                <w:sz w:val="20"/>
                <w:szCs w:val="20"/>
              </w:rPr>
            </w:pPr>
          </w:p>
        </w:tc>
        <w:tc>
          <w:tcPr>
            <w:tcW w:w="1278" w:type="dxa"/>
            <w:tcBorders>
              <w:top w:val="nil"/>
              <w:left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 </w:t>
            </w:r>
          </w:p>
        </w:tc>
      </w:tr>
      <w:tr w:rsidR="006276E6" w:rsidRPr="00006CBE" w:rsidTr="003A5858">
        <w:trPr>
          <w:trHeight w:val="864"/>
          <w:jc w:val="center"/>
        </w:trPr>
        <w:tc>
          <w:tcPr>
            <w:tcW w:w="815" w:type="dxa"/>
            <w:tcBorders>
              <w:left w:val="single" w:sz="8" w:space="0" w:color="auto"/>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080" w:type="dxa"/>
            <w:tcBorders>
              <w:left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4950" w:type="dxa"/>
            <w:gridSpan w:val="2"/>
            <w:tcBorders>
              <w:left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350" w:type="dxa"/>
            <w:tcBorders>
              <w:left w:val="nil"/>
              <w:bottom w:val="single" w:sz="8" w:space="0" w:color="auto"/>
              <w:right w:val="nil"/>
            </w:tcBorders>
            <w:shd w:val="clear" w:color="auto" w:fill="auto"/>
            <w:vAlign w:val="bottom"/>
            <w:hideMark/>
          </w:tcPr>
          <w:p w:rsidR="006276E6" w:rsidRPr="00D87B17" w:rsidRDefault="006276E6" w:rsidP="00526BF4">
            <w:pPr>
              <w:jc w:val="center"/>
              <w:rPr>
                <w:rFonts w:ascii="SWISS" w:hAnsi="SWISS" w:cs="Arial"/>
                <w:b/>
                <w:bCs/>
                <w:color w:val="000000"/>
                <w:sz w:val="20"/>
                <w:szCs w:val="20"/>
              </w:rPr>
            </w:pPr>
            <w:r w:rsidRPr="00D87B17">
              <w:rPr>
                <w:rFonts w:ascii="SWISS" w:hAnsi="SWISS" w:cs="Arial"/>
                <w:b/>
                <w:bCs/>
                <w:color w:val="000000"/>
                <w:sz w:val="20"/>
                <w:szCs w:val="20"/>
              </w:rPr>
              <w:t>CIAC</w:t>
            </w:r>
          </w:p>
          <w:p w:rsidR="006276E6" w:rsidRPr="00D87B17" w:rsidRDefault="006276E6" w:rsidP="00526BF4">
            <w:pPr>
              <w:jc w:val="center"/>
              <w:rPr>
                <w:rFonts w:ascii="SWISS" w:hAnsi="SWISS" w:cs="Arial"/>
                <w:b/>
                <w:bCs/>
                <w:color w:val="000000"/>
                <w:sz w:val="20"/>
                <w:szCs w:val="20"/>
              </w:rPr>
            </w:pPr>
            <w:r w:rsidRPr="00D87B17">
              <w:rPr>
                <w:rFonts w:ascii="SWISS" w:hAnsi="SWISS" w:cs="Arial"/>
                <w:b/>
                <w:bCs/>
                <w:color w:val="000000"/>
                <w:sz w:val="20"/>
                <w:szCs w:val="20"/>
              </w:rPr>
              <w:t xml:space="preserve"> AMORT.</w:t>
            </w:r>
          </w:p>
          <w:p w:rsidR="006276E6" w:rsidRPr="00D87B17" w:rsidRDefault="006276E6" w:rsidP="00526BF4">
            <w:pPr>
              <w:jc w:val="center"/>
              <w:rPr>
                <w:rFonts w:ascii="SWISS" w:hAnsi="SWISS" w:cs="Arial"/>
                <w:b/>
                <w:bCs/>
                <w:color w:val="000000"/>
                <w:sz w:val="20"/>
                <w:szCs w:val="20"/>
              </w:rPr>
            </w:pP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(DEBIT)</w:t>
            </w:r>
            <w:r w:rsidRPr="00526BF4">
              <w:rPr>
                <w:rFonts w:ascii="SWISS" w:hAnsi="SWISS" w:cs="Arial"/>
                <w:b/>
                <w:bCs/>
                <w:color w:val="000000"/>
              </w:rPr>
              <w:t>*</w:t>
            </w:r>
          </w:p>
        </w:tc>
        <w:tc>
          <w:tcPr>
            <w:tcW w:w="1278" w:type="dxa"/>
            <w:tcBorders>
              <w:left w:val="nil"/>
              <w:bottom w:val="single" w:sz="8" w:space="0" w:color="auto"/>
              <w:right w:val="single" w:sz="8" w:space="0" w:color="auto"/>
            </w:tcBorders>
            <w:shd w:val="clear" w:color="auto" w:fill="auto"/>
            <w:vAlign w:val="bottom"/>
            <w:hideMark/>
          </w:tcPr>
          <w:p w:rsidR="006276E6" w:rsidRPr="00D87B17" w:rsidRDefault="006276E6" w:rsidP="00526BF4">
            <w:pPr>
              <w:jc w:val="center"/>
              <w:rPr>
                <w:rFonts w:ascii="SWISS" w:hAnsi="SWISS" w:cs="Arial"/>
                <w:b/>
                <w:bCs/>
                <w:color w:val="000000"/>
                <w:sz w:val="20"/>
                <w:szCs w:val="20"/>
              </w:rPr>
            </w:pPr>
            <w:r w:rsidRPr="00D87B17">
              <w:rPr>
                <w:rFonts w:ascii="SWISS" w:hAnsi="SWISS" w:cs="Arial"/>
                <w:b/>
                <w:bCs/>
                <w:color w:val="000000"/>
                <w:sz w:val="20"/>
                <w:szCs w:val="20"/>
              </w:rPr>
              <w:t>CIAC</w:t>
            </w:r>
          </w:p>
          <w:p w:rsidR="006276E6" w:rsidRPr="00D87B17" w:rsidRDefault="006276E6" w:rsidP="00526BF4">
            <w:pPr>
              <w:jc w:val="center"/>
              <w:rPr>
                <w:rFonts w:ascii="SWISS" w:hAnsi="SWISS" w:cs="Arial"/>
                <w:b/>
                <w:bCs/>
                <w:color w:val="000000"/>
                <w:sz w:val="20"/>
                <w:szCs w:val="20"/>
              </w:rPr>
            </w:pPr>
            <w:r w:rsidRPr="00D87B17">
              <w:rPr>
                <w:rFonts w:ascii="SWISS" w:hAnsi="SWISS" w:cs="Arial"/>
                <w:b/>
                <w:bCs/>
                <w:color w:val="000000"/>
                <w:sz w:val="20"/>
                <w:szCs w:val="20"/>
              </w:rPr>
              <w:t xml:space="preserve"> </w:t>
            </w:r>
            <w:r>
              <w:rPr>
                <w:rFonts w:ascii="SWISS" w:hAnsi="SWISS" w:cs="Arial"/>
                <w:b/>
                <w:bCs/>
                <w:color w:val="000000"/>
                <w:sz w:val="20"/>
                <w:szCs w:val="20"/>
              </w:rPr>
              <w:t>12</w:t>
            </w:r>
            <w:r w:rsidRPr="00D87B17">
              <w:rPr>
                <w:rFonts w:ascii="SWISS" w:hAnsi="SWISS" w:cs="Arial"/>
                <w:b/>
                <w:bCs/>
                <w:color w:val="000000"/>
                <w:sz w:val="20"/>
                <w:szCs w:val="20"/>
              </w:rPr>
              <w:t>/31/201</w:t>
            </w:r>
            <w:r>
              <w:rPr>
                <w:rFonts w:ascii="SWISS" w:hAnsi="SWISS" w:cs="Arial"/>
                <w:b/>
                <w:bCs/>
                <w:color w:val="000000"/>
                <w:sz w:val="20"/>
                <w:szCs w:val="20"/>
              </w:rPr>
              <w:t>4</w:t>
            </w:r>
            <w:r w:rsidRPr="00D87B17">
              <w:rPr>
                <w:rFonts w:ascii="SWISS" w:hAnsi="SWISS" w:cs="Arial"/>
                <w:b/>
                <w:bCs/>
                <w:color w:val="000000"/>
                <w:sz w:val="20"/>
                <w:szCs w:val="20"/>
              </w:rPr>
              <w:t xml:space="preserve"> (CREDIT)</w:t>
            </w:r>
          </w:p>
        </w:tc>
      </w:tr>
      <w:tr w:rsidR="006276E6" w:rsidRPr="00006CBE" w:rsidTr="003A5858">
        <w:trPr>
          <w:trHeight w:val="312"/>
          <w:jc w:val="center"/>
        </w:trPr>
        <w:tc>
          <w:tcPr>
            <w:tcW w:w="815" w:type="dxa"/>
            <w:tcBorders>
              <w:left w:val="single" w:sz="8" w:space="0" w:color="auto"/>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080" w:type="dxa"/>
            <w:tcBorders>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4950" w:type="dxa"/>
            <w:gridSpan w:val="2"/>
            <w:tcBorders>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350" w:type="dxa"/>
            <w:tcBorders>
              <w:top w:val="single" w:sz="8" w:space="0" w:color="auto"/>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278" w:type="dxa"/>
            <w:tcBorders>
              <w:top w:val="single" w:sz="8" w:space="0" w:color="auto"/>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6276E6" w:rsidRPr="0076672A" w:rsidRDefault="006276E6" w:rsidP="00526BF4">
            <w:pPr>
              <w:jc w:val="right"/>
              <w:rPr>
                <w:rFonts w:ascii="SWISS" w:hAnsi="SWISS" w:cs="Arial"/>
                <w:bCs/>
                <w:color w:val="000000"/>
                <w:sz w:val="20"/>
                <w:szCs w:val="20"/>
                <w:u w:val="double"/>
              </w:rPr>
            </w:pPr>
            <w:r w:rsidRPr="0076672A">
              <w:rPr>
                <w:rFonts w:ascii="SWISS" w:hAnsi="SWISS" w:cs="Arial"/>
                <w:bCs/>
                <w:color w:val="000000"/>
                <w:sz w:val="20"/>
                <w:szCs w:val="20"/>
                <w:u w:val="double"/>
              </w:rPr>
              <w:t>$1</w:t>
            </w:r>
            <w:r>
              <w:rPr>
                <w:rFonts w:ascii="SWISS" w:hAnsi="SWISS" w:cs="Arial"/>
                <w:bCs/>
                <w:color w:val="000000"/>
                <w:sz w:val="20"/>
                <w:szCs w:val="20"/>
                <w:u w:val="double"/>
              </w:rPr>
              <w:t>2</w:t>
            </w:r>
            <w:r w:rsidRPr="0076672A">
              <w:rPr>
                <w:rFonts w:ascii="SWISS" w:hAnsi="SWISS" w:cs="Arial"/>
                <w:bCs/>
                <w:color w:val="000000"/>
                <w:sz w:val="20"/>
                <w:szCs w:val="20"/>
                <w:u w:val="double"/>
              </w:rPr>
              <w:t>,</w:t>
            </w:r>
            <w:r>
              <w:rPr>
                <w:rFonts w:ascii="SWISS" w:hAnsi="SWISS" w:cs="Arial"/>
                <w:bCs/>
                <w:color w:val="000000"/>
                <w:sz w:val="20"/>
                <w:szCs w:val="20"/>
                <w:u w:val="double"/>
              </w:rPr>
              <w:t>068</w:t>
            </w:r>
            <w:r w:rsidRPr="0076672A">
              <w:rPr>
                <w:rFonts w:ascii="SWISS" w:hAnsi="SWISS" w:cs="Arial"/>
                <w:bCs/>
                <w:color w:val="000000"/>
                <w:sz w:val="20"/>
                <w:szCs w:val="20"/>
                <w:u w:val="double"/>
              </w:rPr>
              <w:t xml:space="preserve"> </w:t>
            </w:r>
          </w:p>
        </w:tc>
        <w:tc>
          <w:tcPr>
            <w:tcW w:w="1278" w:type="dxa"/>
            <w:tcBorders>
              <w:top w:val="nil"/>
              <w:left w:val="nil"/>
              <w:bottom w:val="nil"/>
              <w:right w:val="single" w:sz="8" w:space="0" w:color="auto"/>
            </w:tcBorders>
            <w:shd w:val="clear" w:color="auto" w:fill="auto"/>
            <w:noWrap/>
            <w:vAlign w:val="center"/>
            <w:hideMark/>
          </w:tcPr>
          <w:p w:rsidR="006276E6" w:rsidRPr="0076672A" w:rsidRDefault="006276E6" w:rsidP="00526BF4">
            <w:pPr>
              <w:jc w:val="right"/>
              <w:rPr>
                <w:rFonts w:ascii="SWISS" w:hAnsi="SWISS" w:cs="Arial"/>
                <w:bCs/>
                <w:color w:val="000000"/>
                <w:sz w:val="20"/>
                <w:szCs w:val="20"/>
                <w:u w:val="double"/>
              </w:rPr>
            </w:pPr>
            <w:r w:rsidRPr="0076672A">
              <w:rPr>
                <w:rFonts w:ascii="SWISS" w:hAnsi="SWISS" w:cs="Arial"/>
                <w:bCs/>
                <w:color w:val="000000"/>
                <w:sz w:val="20"/>
                <w:szCs w:val="20"/>
                <w:u w:val="double"/>
              </w:rPr>
              <w:t>$</w:t>
            </w:r>
            <w:r>
              <w:rPr>
                <w:rFonts w:ascii="SWISS" w:hAnsi="SWISS" w:cs="Arial"/>
                <w:bCs/>
                <w:color w:val="000000"/>
                <w:sz w:val="20"/>
                <w:szCs w:val="20"/>
                <w:u w:val="double"/>
              </w:rPr>
              <w:t>12</w:t>
            </w:r>
            <w:r w:rsidRPr="0076672A">
              <w:rPr>
                <w:rFonts w:ascii="SWISS" w:hAnsi="SWISS" w:cs="Arial"/>
                <w:bCs/>
                <w:color w:val="000000"/>
                <w:sz w:val="20"/>
                <w:szCs w:val="20"/>
                <w:u w:val="double"/>
              </w:rPr>
              <w:t>,</w:t>
            </w:r>
            <w:r>
              <w:rPr>
                <w:rFonts w:ascii="SWISS" w:hAnsi="SWISS" w:cs="Arial"/>
                <w:bCs/>
                <w:color w:val="000000"/>
                <w:sz w:val="20"/>
                <w:szCs w:val="20"/>
                <w:u w:val="double"/>
              </w:rPr>
              <w:t>393</w:t>
            </w:r>
            <w:r w:rsidRPr="0076672A">
              <w:rPr>
                <w:rFonts w:ascii="SWISS" w:hAnsi="SWISS" w:cs="Arial"/>
                <w:bCs/>
                <w:color w:val="000000"/>
                <w:sz w:val="20"/>
                <w:szCs w:val="20"/>
                <w:u w:val="double"/>
              </w:rPr>
              <w:t xml:space="preserve"> </w:t>
            </w:r>
          </w:p>
        </w:tc>
      </w:tr>
      <w:tr w:rsidR="006276E6" w:rsidRPr="00006CBE" w:rsidTr="003A5858">
        <w:trPr>
          <w:trHeight w:val="312"/>
          <w:jc w:val="center"/>
        </w:trPr>
        <w:tc>
          <w:tcPr>
            <w:tcW w:w="815" w:type="dxa"/>
            <w:tcBorders>
              <w:top w:val="nil"/>
              <w:left w:val="single" w:sz="8" w:space="0" w:color="auto"/>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08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4950" w:type="dxa"/>
            <w:gridSpan w:val="2"/>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350" w:type="dxa"/>
            <w:tcBorders>
              <w:top w:val="nil"/>
              <w:left w:val="nil"/>
              <w:bottom w:val="nil"/>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278" w:type="dxa"/>
            <w:tcBorders>
              <w:top w:val="nil"/>
              <w:left w:val="nil"/>
              <w:bottom w:val="nil"/>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 </w:t>
            </w:r>
          </w:p>
        </w:tc>
      </w:tr>
      <w:tr w:rsidR="006276E6" w:rsidRPr="00006CBE" w:rsidTr="003A5858">
        <w:trPr>
          <w:trHeight w:val="312"/>
          <w:jc w:val="center"/>
        </w:trPr>
        <w:tc>
          <w:tcPr>
            <w:tcW w:w="815" w:type="dxa"/>
            <w:tcBorders>
              <w:top w:val="nil"/>
              <w:left w:val="single" w:sz="8" w:space="0" w:color="auto"/>
              <w:bottom w:val="single" w:sz="8" w:space="0" w:color="auto"/>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 </w:t>
            </w:r>
          </w:p>
        </w:tc>
        <w:tc>
          <w:tcPr>
            <w:tcW w:w="1080" w:type="dxa"/>
            <w:tcBorders>
              <w:top w:val="nil"/>
              <w:left w:val="nil"/>
              <w:bottom w:val="single" w:sz="8" w:space="0" w:color="auto"/>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4950" w:type="dxa"/>
            <w:gridSpan w:val="2"/>
            <w:tcBorders>
              <w:top w:val="nil"/>
              <w:left w:val="nil"/>
              <w:bottom w:val="single" w:sz="8" w:space="0" w:color="auto"/>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350" w:type="dxa"/>
            <w:tcBorders>
              <w:top w:val="nil"/>
              <w:left w:val="nil"/>
              <w:bottom w:val="single" w:sz="8" w:space="0" w:color="auto"/>
              <w:right w:val="nil"/>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p>
        </w:tc>
        <w:tc>
          <w:tcPr>
            <w:tcW w:w="1278" w:type="dxa"/>
            <w:tcBorders>
              <w:top w:val="nil"/>
              <w:left w:val="nil"/>
              <w:bottom w:val="single" w:sz="8" w:space="0" w:color="auto"/>
              <w:right w:val="single" w:sz="8" w:space="0" w:color="auto"/>
            </w:tcBorders>
            <w:shd w:val="clear" w:color="auto" w:fill="auto"/>
            <w:noWrap/>
            <w:vAlign w:val="center"/>
            <w:hideMark/>
          </w:tcPr>
          <w:p w:rsidR="006276E6" w:rsidRPr="00006CBE" w:rsidRDefault="006276E6" w:rsidP="00526BF4">
            <w:pPr>
              <w:jc w:val="right"/>
              <w:rPr>
                <w:rFonts w:ascii="SWISS" w:hAnsi="SWISS" w:cs="Arial"/>
                <w:bCs/>
                <w:color w:val="000000"/>
                <w:sz w:val="20"/>
                <w:szCs w:val="20"/>
              </w:rPr>
            </w:pPr>
            <w:r w:rsidRPr="00006CBE">
              <w:rPr>
                <w:rFonts w:ascii="SWISS" w:hAnsi="SWISS" w:cs="Arial"/>
                <w:bCs/>
                <w:color w:val="000000"/>
                <w:sz w:val="20"/>
                <w:szCs w:val="20"/>
              </w:rPr>
              <w:t> </w:t>
            </w:r>
          </w:p>
        </w:tc>
      </w:tr>
      <w:tr w:rsidR="006276E6" w:rsidRPr="00006CBE" w:rsidTr="003A5858">
        <w:trPr>
          <w:trHeight w:val="531"/>
          <w:jc w:val="center"/>
        </w:trPr>
        <w:tc>
          <w:tcPr>
            <w:tcW w:w="9473" w:type="dxa"/>
            <w:gridSpan w:val="6"/>
            <w:tcBorders>
              <w:top w:val="single" w:sz="8" w:space="0" w:color="auto"/>
              <w:left w:val="single" w:sz="8" w:space="0" w:color="auto"/>
              <w:bottom w:val="single" w:sz="8" w:space="0" w:color="auto"/>
              <w:right w:val="single" w:sz="8" w:space="0" w:color="auto"/>
            </w:tcBorders>
            <w:shd w:val="clear" w:color="auto" w:fill="auto"/>
            <w:vAlign w:val="bottom"/>
            <w:hideMark/>
          </w:tcPr>
          <w:p w:rsidR="006276E6" w:rsidRDefault="006276E6" w:rsidP="00526BF4">
            <w:pPr>
              <w:jc w:val="both"/>
              <w:rPr>
                <w:rFonts w:ascii="SWISS" w:hAnsi="SWISS" w:cs="Arial"/>
                <w:bCs/>
                <w:color w:val="000000"/>
                <w:sz w:val="20"/>
                <w:szCs w:val="20"/>
              </w:rPr>
            </w:pPr>
            <w:r w:rsidRPr="00526BF4">
              <w:rPr>
                <w:rFonts w:ascii="SWISS" w:hAnsi="SWISS" w:cs="Arial"/>
                <w:b/>
                <w:bCs/>
                <w:color w:val="000000"/>
              </w:rPr>
              <w:t>*</w:t>
            </w:r>
            <w:r w:rsidR="00526BF4">
              <w:rPr>
                <w:rFonts w:ascii="SWISS" w:hAnsi="SWISS" w:cs="Arial"/>
                <w:bCs/>
                <w:color w:val="000000"/>
                <w:sz w:val="20"/>
                <w:szCs w:val="20"/>
              </w:rPr>
              <w:t xml:space="preserve"> </w:t>
            </w:r>
            <w:r w:rsidRPr="006D3BD3">
              <w:rPr>
                <w:rFonts w:ascii="SWISS" w:hAnsi="SWISS" w:cs="Arial"/>
                <w:bCs/>
                <w:color w:val="000000"/>
                <w:sz w:val="20"/>
                <w:szCs w:val="20"/>
              </w:rPr>
              <w:t xml:space="preserve">The accumulated depreciation </w:t>
            </w:r>
            <w:r>
              <w:rPr>
                <w:rFonts w:ascii="SWISS" w:hAnsi="SWISS" w:cs="Arial"/>
                <w:bCs/>
                <w:color w:val="000000"/>
                <w:sz w:val="20"/>
                <w:szCs w:val="20"/>
              </w:rPr>
              <w:t>balance excludes</w:t>
            </w:r>
            <w:r w:rsidR="00F578AC">
              <w:rPr>
                <w:rFonts w:ascii="SWISS" w:hAnsi="SWISS" w:cs="Arial"/>
                <w:bCs/>
                <w:color w:val="000000"/>
                <w:sz w:val="20"/>
                <w:szCs w:val="20"/>
              </w:rPr>
              <w:t xml:space="preserve"> this</w:t>
            </w:r>
            <w:r>
              <w:rPr>
                <w:rFonts w:ascii="SWISS" w:hAnsi="SWISS" w:cs="Arial"/>
                <w:bCs/>
                <w:color w:val="000000"/>
                <w:sz w:val="20"/>
                <w:szCs w:val="20"/>
              </w:rPr>
              <w:t xml:space="preserve"> </w:t>
            </w:r>
            <w:r w:rsidR="00526BF4">
              <w:rPr>
                <w:rFonts w:ascii="SWISS" w:hAnsi="SWISS" w:cs="Arial"/>
                <w:bCs/>
                <w:color w:val="000000"/>
                <w:sz w:val="20"/>
                <w:szCs w:val="20"/>
              </w:rPr>
              <w:t>Commission</w:t>
            </w:r>
            <w:r w:rsidR="00F578AC">
              <w:rPr>
                <w:rFonts w:ascii="SWISS" w:hAnsi="SWISS" w:cs="Arial"/>
                <w:bCs/>
                <w:color w:val="000000"/>
                <w:sz w:val="20"/>
                <w:szCs w:val="20"/>
              </w:rPr>
              <w:t>’s</w:t>
            </w:r>
            <w:r>
              <w:rPr>
                <w:rFonts w:ascii="SWISS" w:hAnsi="SWISS" w:cs="Arial"/>
                <w:bCs/>
                <w:color w:val="000000"/>
                <w:sz w:val="20"/>
                <w:szCs w:val="20"/>
              </w:rPr>
              <w:t xml:space="preserve"> averaging adjustment</w:t>
            </w:r>
            <w:r w:rsidR="00526BF4">
              <w:rPr>
                <w:rFonts w:ascii="SWISS" w:hAnsi="SWISS" w:cs="Arial"/>
                <w:bCs/>
                <w:color w:val="000000"/>
                <w:sz w:val="20"/>
                <w:szCs w:val="20"/>
              </w:rPr>
              <w:t xml:space="preserve"> and the </w:t>
            </w:r>
            <w:r>
              <w:rPr>
                <w:rFonts w:ascii="SWISS" w:hAnsi="SWISS" w:cs="Arial"/>
                <w:bCs/>
                <w:color w:val="000000"/>
                <w:sz w:val="20"/>
                <w:szCs w:val="20"/>
              </w:rPr>
              <w:t>CIAC a</w:t>
            </w:r>
            <w:r w:rsidR="00F578AC">
              <w:rPr>
                <w:rFonts w:ascii="SWISS" w:hAnsi="SWISS" w:cs="Arial"/>
                <w:bCs/>
                <w:color w:val="000000"/>
                <w:sz w:val="20"/>
                <w:szCs w:val="20"/>
              </w:rPr>
              <w:t>mortization balance excludes this</w:t>
            </w:r>
            <w:r>
              <w:rPr>
                <w:rFonts w:ascii="SWISS" w:hAnsi="SWISS" w:cs="Arial"/>
                <w:bCs/>
                <w:color w:val="000000"/>
                <w:sz w:val="20"/>
                <w:szCs w:val="20"/>
              </w:rPr>
              <w:t xml:space="preserve"> </w:t>
            </w:r>
            <w:r w:rsidR="00526BF4">
              <w:rPr>
                <w:rFonts w:ascii="SWISS" w:hAnsi="SWISS" w:cs="Arial"/>
                <w:bCs/>
                <w:color w:val="000000"/>
                <w:sz w:val="20"/>
                <w:szCs w:val="20"/>
              </w:rPr>
              <w:t>Commission</w:t>
            </w:r>
            <w:r w:rsidR="00F578AC">
              <w:rPr>
                <w:rFonts w:ascii="SWISS" w:hAnsi="SWISS" w:cs="Arial"/>
                <w:bCs/>
                <w:color w:val="000000"/>
                <w:sz w:val="20"/>
                <w:szCs w:val="20"/>
              </w:rPr>
              <w:t>’s</w:t>
            </w:r>
            <w:r w:rsidR="00526BF4">
              <w:rPr>
                <w:rFonts w:ascii="SWISS" w:hAnsi="SWISS" w:cs="Arial"/>
                <w:bCs/>
                <w:color w:val="000000"/>
                <w:sz w:val="20"/>
                <w:szCs w:val="20"/>
              </w:rPr>
              <w:t xml:space="preserve"> </w:t>
            </w:r>
            <w:r>
              <w:rPr>
                <w:rFonts w:ascii="SWISS" w:hAnsi="SWISS" w:cs="Arial"/>
                <w:bCs/>
                <w:color w:val="000000"/>
                <w:sz w:val="20"/>
                <w:szCs w:val="20"/>
              </w:rPr>
              <w:t>$325 pro forma adjustment</w:t>
            </w:r>
            <w:r w:rsidR="00526BF4">
              <w:rPr>
                <w:rFonts w:ascii="SWISS" w:hAnsi="SWISS" w:cs="Arial"/>
                <w:bCs/>
                <w:color w:val="000000"/>
                <w:sz w:val="20"/>
                <w:szCs w:val="20"/>
              </w:rPr>
              <w:t xml:space="preserve">, which </w:t>
            </w:r>
            <w:r>
              <w:rPr>
                <w:rFonts w:ascii="SWISS" w:hAnsi="SWISS" w:cs="Arial"/>
                <w:bCs/>
                <w:color w:val="000000"/>
                <w:sz w:val="20"/>
                <w:szCs w:val="20"/>
              </w:rPr>
              <w:t xml:space="preserve">are only used </w:t>
            </w:r>
            <w:r w:rsidRPr="006D3BD3">
              <w:rPr>
                <w:rFonts w:ascii="SWISS" w:hAnsi="SWISS" w:cs="Arial"/>
                <w:bCs/>
                <w:color w:val="000000"/>
                <w:sz w:val="20"/>
                <w:szCs w:val="20"/>
              </w:rPr>
              <w:t>for rate</w:t>
            </w:r>
            <w:r w:rsidR="00526BF4">
              <w:rPr>
                <w:rFonts w:ascii="SWISS" w:hAnsi="SWISS" w:cs="Arial"/>
                <w:bCs/>
                <w:color w:val="000000"/>
                <w:sz w:val="20"/>
                <w:szCs w:val="20"/>
              </w:rPr>
              <w:t>-</w:t>
            </w:r>
            <w:r w:rsidRPr="006D3BD3">
              <w:rPr>
                <w:rFonts w:ascii="SWISS" w:hAnsi="SWISS" w:cs="Arial"/>
                <w:bCs/>
                <w:color w:val="000000"/>
                <w:sz w:val="20"/>
                <w:szCs w:val="20"/>
              </w:rPr>
              <w:t xml:space="preserve">setting purposes and should not be reflected on the </w:t>
            </w:r>
            <w:r>
              <w:rPr>
                <w:rFonts w:ascii="SWISS" w:hAnsi="SWISS" w:cs="Arial"/>
                <w:bCs/>
                <w:color w:val="000000"/>
                <w:sz w:val="20"/>
                <w:szCs w:val="20"/>
              </w:rPr>
              <w:t>U</w:t>
            </w:r>
            <w:r w:rsidRPr="006D3BD3">
              <w:rPr>
                <w:rFonts w:ascii="SWISS" w:hAnsi="SWISS" w:cs="Arial"/>
                <w:bCs/>
                <w:color w:val="000000"/>
                <w:sz w:val="20"/>
                <w:szCs w:val="20"/>
              </w:rPr>
              <w:t>tility’s books.</w:t>
            </w:r>
          </w:p>
          <w:p w:rsidR="003A5858" w:rsidRPr="006D3BD3" w:rsidRDefault="003A5858" w:rsidP="00526BF4">
            <w:pPr>
              <w:jc w:val="both"/>
              <w:rPr>
                <w:rFonts w:ascii="SWISS" w:hAnsi="SWISS" w:cs="Arial"/>
                <w:bCs/>
                <w:color w:val="000000"/>
                <w:sz w:val="20"/>
                <w:szCs w:val="20"/>
              </w:rPr>
            </w:pPr>
          </w:p>
        </w:tc>
      </w:tr>
    </w:tbl>
    <w:p w:rsidR="00796932" w:rsidRPr="00FB23DB" w:rsidRDefault="00796932" w:rsidP="00FB23DB">
      <w:pPr>
        <w:pStyle w:val="OrderBody"/>
      </w:pPr>
    </w:p>
    <w:sectPr w:rsidR="00796932" w:rsidRPr="00FB23DB" w:rsidSect="0079693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62" w:rsidRDefault="00373762">
      <w:r>
        <w:separator/>
      </w:r>
    </w:p>
  </w:endnote>
  <w:endnote w:type="continuationSeparator" w:id="0">
    <w:p w:rsidR="00373762" w:rsidRDefault="0037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2" w:rsidRDefault="00373762">
    <w:pPr>
      <w:pStyle w:val="Footer"/>
    </w:pPr>
  </w:p>
  <w:p w:rsidR="00373762" w:rsidRDefault="00373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62" w:rsidRDefault="00373762">
      <w:r>
        <w:separator/>
      </w:r>
    </w:p>
  </w:footnote>
  <w:footnote w:type="continuationSeparator" w:id="0">
    <w:p w:rsidR="00373762" w:rsidRDefault="00373762">
      <w:r>
        <w:continuationSeparator/>
      </w:r>
    </w:p>
  </w:footnote>
  <w:footnote w:id="1">
    <w:p w:rsidR="00373762" w:rsidRPr="00526BF4" w:rsidRDefault="00373762" w:rsidP="00387C1A">
      <w:pPr>
        <w:pStyle w:val="FootnoteText"/>
        <w:tabs>
          <w:tab w:val="left" w:pos="270"/>
        </w:tabs>
      </w:pPr>
      <w:r w:rsidRPr="00526BF4">
        <w:rPr>
          <w:rStyle w:val="FootnoteReference"/>
        </w:rPr>
        <w:footnoteRef/>
      </w:r>
      <w:r>
        <w:t xml:space="preserve"> </w:t>
      </w:r>
      <w:r>
        <w:tab/>
      </w:r>
      <w:r w:rsidRPr="00526BF4">
        <w:t xml:space="preserve">Order No. PSC-97-0832-FOF-WU, issued July 11, 1997, in Docket No. 961249-WU, </w:t>
      </w:r>
      <w:r w:rsidRPr="00526BF4">
        <w:rPr>
          <w:u w:val="single"/>
        </w:rPr>
        <w:t>In re: Application for grandfather certificate to provide water service in Polk County by Sunrise Water Company, Inc.</w:t>
      </w:r>
    </w:p>
  </w:footnote>
  <w:footnote w:id="2">
    <w:p w:rsidR="00373762" w:rsidRPr="00526BF4" w:rsidRDefault="00373762" w:rsidP="00387C1A">
      <w:pPr>
        <w:pStyle w:val="FootnoteText"/>
        <w:tabs>
          <w:tab w:val="left" w:pos="270"/>
        </w:tabs>
      </w:pPr>
      <w:r w:rsidRPr="00526BF4">
        <w:rPr>
          <w:rStyle w:val="FootnoteReference"/>
        </w:rPr>
        <w:footnoteRef/>
      </w:r>
      <w:r>
        <w:t xml:space="preserve"> </w:t>
      </w:r>
      <w:r>
        <w:tab/>
      </w:r>
      <w:r w:rsidRPr="00526BF4">
        <w:t xml:space="preserve">Order No. Order PSC-00-1388-PAA-WU, issued July 31, 2000, in Docket No. 990731-WU, </w:t>
      </w:r>
      <w:r w:rsidRPr="00526BF4">
        <w:rPr>
          <w:u w:val="single"/>
        </w:rPr>
        <w:t>In re: Application for transfer of water facilities from Sunrise Water Company, Inc., holder of Certificate No. 584-W, to Keen Sales. Rentals and Utilities, Inc., holder of Certificate No. 582-W, in Polk County, for cancellation of Certificate No. 584-W, and for amendment of Certificate No. 582-W to include additional territory</w:t>
      </w:r>
      <w:r w:rsidRPr="00526BF4">
        <w:t>.</w:t>
      </w:r>
    </w:p>
  </w:footnote>
  <w:footnote w:id="3">
    <w:p w:rsidR="00373762" w:rsidRPr="00526BF4" w:rsidRDefault="00373762" w:rsidP="00111EEF">
      <w:pPr>
        <w:pStyle w:val="FootnoteText"/>
        <w:tabs>
          <w:tab w:val="left" w:pos="270"/>
        </w:tabs>
      </w:pPr>
      <w:r w:rsidRPr="00526BF4">
        <w:rPr>
          <w:rStyle w:val="FootnoteReference"/>
        </w:rPr>
        <w:footnoteRef/>
      </w:r>
      <w:r>
        <w:t xml:space="preserve"> </w:t>
      </w:r>
      <w:r>
        <w:tab/>
      </w:r>
      <w:r w:rsidRPr="00526BF4">
        <w:t>Order No. PSC-05-0308-PAA-WU, issued March 20, 2005, in Docket No. 040159-WU,</w:t>
      </w:r>
      <w:r w:rsidRPr="003A5858">
        <w:rPr>
          <w:u w:val="single"/>
        </w:rPr>
        <w:t xml:space="preserve"> In re: Application for transfer of portion of Certificate No. 582-W by Keen Sales, Rentals and Utilities, Inc. to Sunrise Utilities, LLC, in Polk County.</w:t>
      </w:r>
    </w:p>
  </w:footnote>
  <w:footnote w:id="4">
    <w:p w:rsidR="00373762" w:rsidRPr="00526BF4" w:rsidRDefault="00373762" w:rsidP="00111EEF">
      <w:pPr>
        <w:pStyle w:val="FootnoteText"/>
        <w:tabs>
          <w:tab w:val="left" w:pos="270"/>
        </w:tabs>
      </w:pPr>
      <w:r w:rsidRPr="00526BF4">
        <w:rPr>
          <w:rStyle w:val="FootnoteReference"/>
        </w:rPr>
        <w:footnoteRef/>
      </w:r>
      <w:r>
        <w:t xml:space="preserve"> </w:t>
      </w:r>
      <w:r>
        <w:tab/>
      </w:r>
      <w:r w:rsidRPr="00526BF4">
        <w:t xml:space="preserve">Order No. PSC-12-0533-PAA-WU, issued October 9, 2012, in </w:t>
      </w:r>
      <w:r w:rsidRPr="00526BF4">
        <w:rPr>
          <w:bCs/>
        </w:rPr>
        <w:t xml:space="preserve">Docket No. 110238 - WU, </w:t>
      </w:r>
      <w:r w:rsidRPr="003A5858">
        <w:rPr>
          <w:bCs/>
          <w:u w:val="single"/>
        </w:rPr>
        <w:t>In re: Application for staff-assisted rate case in Polk County by Sunrise Utilities, LLC.</w:t>
      </w:r>
    </w:p>
  </w:footnote>
  <w:footnote w:id="5">
    <w:p w:rsidR="00373762" w:rsidRPr="00526BF4" w:rsidRDefault="00373762" w:rsidP="00111EEF">
      <w:pPr>
        <w:pStyle w:val="FootnoteText"/>
        <w:tabs>
          <w:tab w:val="left" w:pos="270"/>
        </w:tabs>
      </w:pPr>
      <w:r w:rsidRPr="00526BF4">
        <w:rPr>
          <w:rStyle w:val="FootnoteReference"/>
        </w:rPr>
        <w:footnoteRef/>
      </w:r>
      <w:r>
        <w:t xml:space="preserve"> </w:t>
      </w:r>
      <w:r>
        <w:tab/>
      </w:r>
      <w:r w:rsidRPr="003A5858">
        <w:rPr>
          <w:u w:val="single"/>
        </w:rPr>
        <w:t>See</w:t>
      </w:r>
      <w:r>
        <w:t xml:space="preserve">, </w:t>
      </w:r>
      <w:r w:rsidRPr="00526BF4">
        <w:t>Document No. 03572-15 filed on June 10, 2015, in Docket No. 140220-WU.</w:t>
      </w:r>
    </w:p>
  </w:footnote>
  <w:footnote w:id="6">
    <w:p w:rsidR="00373762" w:rsidRPr="00526BF4" w:rsidRDefault="00373762" w:rsidP="00111EEF">
      <w:pPr>
        <w:pStyle w:val="FootnoteText"/>
        <w:tabs>
          <w:tab w:val="left" w:pos="270"/>
        </w:tabs>
      </w:pPr>
      <w:r w:rsidRPr="00526BF4">
        <w:rPr>
          <w:rStyle w:val="FootnoteReference"/>
        </w:rPr>
        <w:footnoteRef/>
      </w:r>
      <w:r>
        <w:t xml:space="preserve"> </w:t>
      </w:r>
      <w:r>
        <w:tab/>
      </w:r>
      <w:r w:rsidRPr="003A5858">
        <w:rPr>
          <w:u w:val="single"/>
        </w:rPr>
        <w:t>See</w:t>
      </w:r>
      <w:r>
        <w:t xml:space="preserve">, </w:t>
      </w:r>
      <w:r w:rsidRPr="00526BF4">
        <w:t>Document No. 07808-15, filed on December 10, 2015, in Docket Nos. 140219-WU and 140220-WU.</w:t>
      </w:r>
    </w:p>
  </w:footnote>
  <w:footnote w:id="7">
    <w:p w:rsidR="00373762" w:rsidRPr="00526BF4" w:rsidRDefault="00373762" w:rsidP="00526BF4">
      <w:pPr>
        <w:pStyle w:val="FootnoteText"/>
        <w:ind w:left="270" w:hanging="270"/>
      </w:pPr>
      <w:r w:rsidRPr="00526BF4">
        <w:rPr>
          <w:rStyle w:val="FootnoteReference"/>
        </w:rPr>
        <w:footnoteRef/>
      </w:r>
      <w:r>
        <w:t xml:space="preserve"> </w:t>
      </w:r>
      <w:r>
        <w:tab/>
      </w:r>
      <w:r w:rsidRPr="00526BF4">
        <w:t xml:space="preserve">Document </w:t>
      </w:r>
      <w:r w:rsidRPr="00526BF4">
        <w:rPr>
          <w:color w:val="333333"/>
        </w:rPr>
        <w:t>06695-15, filed on October 20, 2015, in Docket No. 140219-WU.</w:t>
      </w:r>
    </w:p>
  </w:footnote>
  <w:footnote w:id="8">
    <w:p w:rsidR="00373762" w:rsidRPr="00324D1A" w:rsidRDefault="00373762" w:rsidP="00387C1A">
      <w:pPr>
        <w:pStyle w:val="FootnoteText"/>
        <w:tabs>
          <w:tab w:val="left" w:pos="270"/>
        </w:tabs>
      </w:pPr>
      <w:r w:rsidRPr="00526BF4">
        <w:rPr>
          <w:rStyle w:val="FootnoteReference"/>
        </w:rPr>
        <w:footnoteRef/>
      </w:r>
      <w:r>
        <w:rPr>
          <w:rStyle w:val="BodyTextChar"/>
          <w:sz w:val="20"/>
          <w:szCs w:val="20"/>
        </w:rPr>
        <w:t xml:space="preserve"> </w:t>
      </w:r>
      <w:r>
        <w:rPr>
          <w:rStyle w:val="BodyTextChar"/>
          <w:sz w:val="20"/>
          <w:szCs w:val="20"/>
        </w:rPr>
        <w:tab/>
      </w:r>
      <w:r w:rsidRPr="00324D1A">
        <w:rPr>
          <w:rStyle w:val="BodyTextChar"/>
          <w:sz w:val="20"/>
          <w:szCs w:val="20"/>
        </w:rPr>
        <w:t xml:space="preserve">Order No. 17043, issued December 31, 1986, in Docket No. 860325-WS, </w:t>
      </w:r>
      <w:r w:rsidRPr="00324D1A">
        <w:rPr>
          <w:rStyle w:val="BodyTextChar"/>
          <w:sz w:val="20"/>
          <w:szCs w:val="20"/>
          <w:u w:val="single"/>
        </w:rPr>
        <w:t>In re: Request by Southern States Utilities, Inc. for approval of test year ended 12/31/85 for rate increase in Seminole County</w:t>
      </w:r>
      <w:r w:rsidRPr="00324D1A">
        <w:rPr>
          <w:rStyle w:val="BodyTextChar"/>
          <w:sz w:val="20"/>
          <w:szCs w:val="20"/>
        </w:rPr>
        <w:t xml:space="preserve">; Order No. PSC-01-0323-PAA-WU, issued February 5, 2001, in Docket No. 000580-WU, </w:t>
      </w:r>
      <w:r w:rsidRPr="00324D1A">
        <w:rPr>
          <w:rStyle w:val="BodyTextChar"/>
          <w:sz w:val="20"/>
          <w:szCs w:val="20"/>
          <w:u w:val="single"/>
        </w:rPr>
        <w:t>In re: Application for staff-assisted rate case in Polk County by Keen Sales, Rentals and Utilities, Inc. (Alturas Water Works)</w:t>
      </w:r>
      <w:r w:rsidRPr="00324D1A">
        <w:rPr>
          <w:rStyle w:val="BodyTextChar"/>
          <w:sz w:val="20"/>
          <w:szCs w:val="20"/>
        </w:rPr>
        <w:t>;</w:t>
      </w:r>
      <w:r w:rsidRPr="00324D1A">
        <w:t xml:space="preserve"> Order No. PSC-05-0442-PAA-WU, issued April 25, 2005, in Docket No. 040254-WU, </w:t>
      </w:r>
      <w:r w:rsidRPr="00324D1A">
        <w:rPr>
          <w:u w:val="single"/>
        </w:rPr>
        <w:t>In re: Application for staff-assisted rate increase in Polk County by Keen Sales, Rentals and Utilities, Inc.</w:t>
      </w:r>
      <w:r w:rsidRPr="00324D1A">
        <w:t xml:space="preserve">; Order No. PSC-09-0716-PAA-WU, issued October 28, 2009, in Docket No. 090072-WU, </w:t>
      </w:r>
      <w:r w:rsidRPr="00324D1A">
        <w:rPr>
          <w:u w:val="single"/>
        </w:rPr>
        <w:t>In re: Application for staff-assisted rate case in Polk County by Keen Sales, Rentals and Utilities, Inc.</w:t>
      </w:r>
      <w:r w:rsidRPr="00324D1A">
        <w:t xml:space="preserve">; Order No. PSC-13-0320-PAA-WU, issued July 12, 2013, in Docket No. 120269-WU, </w:t>
      </w:r>
      <w:r w:rsidRPr="00324D1A">
        <w:rPr>
          <w:u w:val="single"/>
        </w:rPr>
        <w:t xml:space="preserve">In re: Application for staff-assisted rate case in Polk County by </w:t>
      </w:r>
      <w:proofErr w:type="spellStart"/>
      <w:r w:rsidRPr="00324D1A">
        <w:rPr>
          <w:u w:val="single"/>
        </w:rPr>
        <w:t>Pinecrest</w:t>
      </w:r>
      <w:proofErr w:type="spellEnd"/>
      <w:r w:rsidRPr="00324D1A">
        <w:rPr>
          <w:u w:val="single"/>
        </w:rPr>
        <w:t xml:space="preserve"> Utilities, LLC</w:t>
      </w:r>
      <w:r w:rsidRPr="00324D1A">
        <w:t xml:space="preserve">; and Order No. PSC-13-0327-PAA-SU, issued July 16, 2013, in Docket No. 120270-SU, </w:t>
      </w:r>
      <w:r w:rsidRPr="00324D1A">
        <w:rPr>
          <w:u w:val="single"/>
        </w:rPr>
        <w:t>In re: Application for staff-assisted rate case in Polk County by West Lakeland Wastewater, LLC</w:t>
      </w:r>
      <w:r w:rsidRPr="00324D1A">
        <w:t>.</w:t>
      </w:r>
    </w:p>
  </w:footnote>
  <w:footnote w:id="9">
    <w:p w:rsidR="00373762" w:rsidRPr="00324D1A" w:rsidRDefault="00373762" w:rsidP="00387C1A">
      <w:pPr>
        <w:pStyle w:val="FootnoteText"/>
        <w:tabs>
          <w:tab w:val="left" w:pos="270"/>
        </w:tabs>
      </w:pPr>
      <w:r w:rsidRPr="00324D1A">
        <w:rPr>
          <w:rStyle w:val="FootnoteReference"/>
        </w:rPr>
        <w:footnoteRef/>
      </w:r>
      <w:r>
        <w:t xml:space="preserve"> </w:t>
      </w:r>
      <w:r>
        <w:tab/>
      </w:r>
      <w:r w:rsidRPr="00324D1A">
        <w:t xml:space="preserve">Order No. PSC-12-0533-PAA-WU, issued October 9, 2012, in </w:t>
      </w:r>
      <w:r w:rsidRPr="00324D1A">
        <w:rPr>
          <w:bCs/>
        </w:rPr>
        <w:t xml:space="preserve">Docket No. 110238-WU, </w:t>
      </w:r>
      <w:r w:rsidRPr="00324D1A">
        <w:rPr>
          <w:bCs/>
          <w:u w:val="single"/>
        </w:rPr>
        <w:t>In Re: Application for staff-assisted rate case in Polk County by Sunrise Utilities, LLC</w:t>
      </w:r>
      <w:r w:rsidRPr="00324D1A">
        <w:rPr>
          <w:bCs/>
        </w:rPr>
        <w:t>.</w:t>
      </w:r>
    </w:p>
  </w:footnote>
  <w:footnote w:id="10">
    <w:p w:rsidR="00373762" w:rsidRPr="00526BF4" w:rsidRDefault="00373762" w:rsidP="00B04AE5">
      <w:pPr>
        <w:pStyle w:val="FootnoteText"/>
        <w:tabs>
          <w:tab w:val="left" w:pos="270"/>
        </w:tabs>
      </w:pPr>
      <w:r w:rsidRPr="00526BF4">
        <w:rPr>
          <w:rStyle w:val="FootnoteReference"/>
        </w:rPr>
        <w:footnoteRef/>
      </w:r>
      <w:r>
        <w:t xml:space="preserve"> </w:t>
      </w:r>
      <w:r>
        <w:tab/>
      </w:r>
      <w:r w:rsidRPr="00526BF4">
        <w:t xml:space="preserve">Order No. PSC-05-0308-PAA-WU, issued March 21, 2005, in Docket No. 040159-WU, </w:t>
      </w:r>
      <w:r w:rsidRPr="00B04AE5">
        <w:rPr>
          <w:u w:val="single"/>
        </w:rPr>
        <w:t>In re: Application for transfer of portion of Certificate No. 582-W by Keen Sales, Rentals, and Utilities, Inc. to Sunrise Utilities, L.L.C., in Polk County</w:t>
      </w:r>
      <w:r w:rsidRPr="00526BF4">
        <w:t xml:space="preserve">. </w:t>
      </w:r>
    </w:p>
  </w:footnote>
  <w:footnote w:id="11">
    <w:p w:rsidR="00373762" w:rsidRPr="00526BF4" w:rsidRDefault="00373762" w:rsidP="00926E1C">
      <w:pPr>
        <w:pStyle w:val="FootnoteText"/>
        <w:tabs>
          <w:tab w:val="left" w:pos="270"/>
        </w:tabs>
      </w:pPr>
      <w:r w:rsidRPr="00526BF4">
        <w:rPr>
          <w:rStyle w:val="FootnoteReference"/>
        </w:rPr>
        <w:footnoteRef/>
      </w:r>
      <w:r>
        <w:t xml:space="preserve"> </w:t>
      </w:r>
      <w:r>
        <w:tab/>
      </w:r>
      <w:r w:rsidRPr="00526BF4">
        <w:t xml:space="preserve">Order No. PSC-15-0259-PAA-WS, issued July 2, 2015, in Docket No. 150006-WS, </w:t>
      </w:r>
      <w:r w:rsidRPr="00926E1C">
        <w:rPr>
          <w:u w:val="single"/>
        </w:rPr>
        <w:t>In re: Water and wastewater industry annual reestablishment of authorized range of return on common equity for water and wastewater utilities pursuant to Section 367.081(4)(f), F.S.</w:t>
      </w:r>
    </w:p>
  </w:footnote>
  <w:footnote w:id="12">
    <w:p w:rsidR="00373762" w:rsidRPr="00526BF4" w:rsidRDefault="00373762" w:rsidP="00566AD8">
      <w:pPr>
        <w:pStyle w:val="FootnoteText"/>
        <w:tabs>
          <w:tab w:val="left" w:pos="270"/>
        </w:tabs>
      </w:pPr>
      <w:r w:rsidRPr="00526BF4">
        <w:rPr>
          <w:rStyle w:val="FootnoteReference"/>
        </w:rPr>
        <w:footnoteRef/>
      </w:r>
      <w:r>
        <w:t xml:space="preserve"> </w:t>
      </w:r>
      <w:r>
        <w:tab/>
      </w:r>
      <w:r w:rsidRPr="00526BF4">
        <w:t xml:space="preserve">Order No. PSC-12-0533-PAA-WU, issued on October 9, 2012, in Docket No. 110238-WU, </w:t>
      </w:r>
      <w:r w:rsidRPr="00566AD8">
        <w:rPr>
          <w:u w:val="single"/>
        </w:rPr>
        <w:t>In re:  Application for staff-assisted rate case in Polk County by Sunrise Utilities, LLC</w:t>
      </w:r>
      <w:r w:rsidRPr="00526BF4">
        <w:t>.</w:t>
      </w:r>
    </w:p>
  </w:footnote>
  <w:footnote w:id="13">
    <w:p w:rsidR="00373762" w:rsidRPr="00526BF4" w:rsidRDefault="00373762" w:rsidP="003565DE">
      <w:pPr>
        <w:pStyle w:val="FootnoteText"/>
        <w:tabs>
          <w:tab w:val="left" w:pos="270"/>
        </w:tabs>
      </w:pPr>
      <w:r w:rsidRPr="00526BF4">
        <w:rPr>
          <w:rStyle w:val="FootnoteReference"/>
        </w:rPr>
        <w:footnoteRef/>
      </w:r>
      <w:r>
        <w:rPr>
          <w:rFonts w:cs="Courier New"/>
        </w:rPr>
        <w:t xml:space="preserve"> </w:t>
      </w:r>
      <w:r>
        <w:rPr>
          <w:rFonts w:cs="Courier New"/>
        </w:rPr>
        <w:tab/>
      </w:r>
      <w:r w:rsidRPr="00526BF4">
        <w:rPr>
          <w:rFonts w:cs="Courier New"/>
        </w:rPr>
        <w:t>Order Nos. PSC-96-0357-FOF-WU</w:t>
      </w:r>
      <w:r w:rsidRPr="00526BF4">
        <w:t xml:space="preserve">, issued March 13, 1996, in Docket No. 950641-WU, </w:t>
      </w:r>
      <w:r w:rsidRPr="003565DE">
        <w:rPr>
          <w:u w:val="single"/>
        </w:rPr>
        <w:t>In re: Application for staff-assisted rate case in Palm Beach County by Lake Osborne Utilities Company, Inc.</w:t>
      </w:r>
      <w:r w:rsidRPr="00526BF4">
        <w:t xml:space="preserve">; Order No. </w:t>
      </w:r>
      <w:r w:rsidRPr="00526BF4">
        <w:rPr>
          <w:rFonts w:cs="Courier New"/>
        </w:rPr>
        <w:t>PSC-97-0130-FOF-SU, i</w:t>
      </w:r>
      <w:r w:rsidRPr="00526BF4">
        <w:t xml:space="preserve">ssued February 10, 1997, in Docket No. 960561-SU, </w:t>
      </w:r>
      <w:r w:rsidRPr="003565DE">
        <w:rPr>
          <w:u w:val="single"/>
        </w:rPr>
        <w:t>In re: Application for staff-assisted rate case in Citrus County by Indian Springs Utilities, Inc.</w:t>
      </w:r>
      <w:r w:rsidRPr="00526BF4">
        <w:t xml:space="preserve">; and Order No. PSC-15-0535-PAA-WU, issued November 19, 2015, in Docket No. 140217-WU, </w:t>
      </w:r>
      <w:r w:rsidRPr="003565DE">
        <w:rPr>
          <w:u w:val="single"/>
        </w:rPr>
        <w:t>In re: Application for staff-assisted rate case in Sumter County by Cedar Acres, Inc.</w:t>
      </w:r>
    </w:p>
  </w:footnote>
  <w:footnote w:id="14">
    <w:p w:rsidR="00373762" w:rsidRPr="00526BF4" w:rsidRDefault="00373762" w:rsidP="00387869">
      <w:pPr>
        <w:pStyle w:val="FootnoteText"/>
        <w:tabs>
          <w:tab w:val="left" w:pos="270"/>
        </w:tabs>
      </w:pPr>
      <w:r w:rsidRPr="00526BF4">
        <w:rPr>
          <w:rStyle w:val="FootnoteReference"/>
        </w:rPr>
        <w:footnoteRef/>
      </w:r>
      <w:r>
        <w:t xml:space="preserve"> </w:t>
      </w:r>
      <w:r>
        <w:tab/>
      </w:r>
      <w:r w:rsidRPr="00526BF4">
        <w:t xml:space="preserve">Order No. PSC-96-0357-FOF-WU, issued on March 13, 1996, in Docket No. 950641-WU, </w:t>
      </w:r>
      <w:r w:rsidRPr="00387869">
        <w:rPr>
          <w:u w:val="single"/>
        </w:rPr>
        <w:t>In re:  Application for staff-assisted rate case in Palm Beach County by Lake Osborne Utilities Company, Inc.</w:t>
      </w:r>
      <w:r w:rsidRPr="00526BF4">
        <w:t>, p. 8.</w:t>
      </w:r>
    </w:p>
  </w:footnote>
  <w:footnote w:id="15">
    <w:p w:rsidR="00373762" w:rsidRPr="00526BF4" w:rsidRDefault="00373762" w:rsidP="00795C11">
      <w:pPr>
        <w:pStyle w:val="FootnoteText"/>
        <w:tabs>
          <w:tab w:val="left" w:pos="270"/>
        </w:tabs>
      </w:pPr>
      <w:r w:rsidRPr="00526BF4">
        <w:rPr>
          <w:rStyle w:val="FootnoteReference"/>
        </w:rPr>
        <w:footnoteRef/>
      </w:r>
      <w:r>
        <w:t xml:space="preserve"> </w:t>
      </w:r>
      <w:r>
        <w:tab/>
      </w:r>
      <w:r w:rsidRPr="00526BF4">
        <w:t xml:space="preserve">Order No. PSC-13-0611-PAA-WS, issued November 19, 2013, in Docket No. 130010-WS, </w:t>
      </w:r>
      <w:r w:rsidRPr="00795C11">
        <w:rPr>
          <w:u w:val="single"/>
        </w:rPr>
        <w:t xml:space="preserve">In re: Application for increase in water rates in Lee County and wastewater rates in Pasco County by Ni Florida, LLC </w:t>
      </w:r>
      <w:r w:rsidRPr="00526BF4">
        <w:t xml:space="preserve">and Order No. PSC-14-0016-TRF-WU, issued January 6, 2014, in Docket No. 130251-WU, </w:t>
      </w:r>
      <w:r w:rsidRPr="00795C11">
        <w:rPr>
          <w:u w:val="single"/>
        </w:rPr>
        <w:t xml:space="preserve">In re: Application for approval of miscellaneous service charges in Pasco County, by </w:t>
      </w:r>
      <w:proofErr w:type="spellStart"/>
      <w:r w:rsidRPr="00795C11">
        <w:rPr>
          <w:u w:val="single"/>
        </w:rPr>
        <w:t>Crestridge</w:t>
      </w:r>
      <w:proofErr w:type="spellEnd"/>
      <w:r w:rsidRPr="00795C11">
        <w:rPr>
          <w:u w:val="single"/>
        </w:rPr>
        <w:t xml:space="preserve"> Utility Corporation</w:t>
      </w:r>
      <w:r w:rsidRPr="00526BF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2" w:rsidRDefault="00373762">
    <w:pPr>
      <w:pStyle w:val="OrderHeader"/>
    </w:pPr>
    <w:r>
      <w:t xml:space="preserve">ORDER NO. </w:t>
    </w:r>
    <w:r w:rsidR="007423AE">
      <w:fldChar w:fldCharType="begin"/>
    </w:r>
    <w:r w:rsidR="007423AE">
      <w:instrText xml:space="preserve"> REF OrderNo</w:instrText>
    </w:r>
    <w:r w:rsidR="007423AE">
      <w:instrText xml:space="preserve">0126 </w:instrText>
    </w:r>
    <w:r w:rsidR="007423AE">
      <w:fldChar w:fldCharType="separate"/>
    </w:r>
    <w:r w:rsidR="007423AE">
      <w:t>PSC-16-0126-PAA-WU</w:t>
    </w:r>
    <w:r w:rsidR="007423AE">
      <w:fldChar w:fldCharType="end"/>
    </w:r>
  </w:p>
  <w:p w:rsidR="00373762" w:rsidRDefault="00373762">
    <w:pPr>
      <w:pStyle w:val="OrderHeader"/>
    </w:pPr>
    <w:bookmarkStart w:id="10" w:name="HeaderDocketNo"/>
    <w:bookmarkEnd w:id="10"/>
    <w:r>
      <w:t>DOCKET NO. 140220-WU</w:t>
    </w:r>
  </w:p>
  <w:p w:rsidR="00373762" w:rsidRDefault="0037376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23AE">
      <w:rPr>
        <w:rStyle w:val="PageNumber"/>
        <w:noProof/>
      </w:rPr>
      <w:t>39</w:t>
    </w:r>
    <w:r>
      <w:rPr>
        <w:rStyle w:val="PageNumber"/>
      </w:rPr>
      <w:fldChar w:fldCharType="end"/>
    </w:r>
  </w:p>
  <w:p w:rsidR="00373762" w:rsidRDefault="0037376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62" w:rsidRDefault="00373762" w:rsidP="00796932">
    <w:pPr>
      <w:pStyle w:val="OrderHeader"/>
    </w:pPr>
    <w:r>
      <w:t xml:space="preserve">ORDER NO. </w:t>
    </w:r>
    <w:fldSimple w:instr=" REF OrderNo0126 ">
      <w:r w:rsidR="007423AE">
        <w:t>PSC-16-0126-PAA-WU</w:t>
      </w:r>
    </w:fldSimple>
  </w:p>
  <w:p w:rsidR="00373762" w:rsidRDefault="00373762" w:rsidP="00796932">
    <w:pPr>
      <w:pStyle w:val="OrderHeader"/>
    </w:pPr>
    <w:r>
      <w:t>DOCKET NO. 140220-WU</w:t>
    </w:r>
  </w:p>
  <w:p w:rsidR="00373762" w:rsidRDefault="00373762" w:rsidP="007969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23AE">
      <w:rPr>
        <w:rStyle w:val="PageNumber"/>
        <w:noProof/>
      </w:rPr>
      <w:t>52</w:t>
    </w:r>
    <w:r>
      <w:rPr>
        <w:rStyle w:val="PageNumber"/>
      </w:rPr>
      <w:fldChar w:fldCharType="end"/>
    </w:r>
  </w:p>
  <w:p w:rsidR="00373762" w:rsidRDefault="003737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8E316BC"/>
    <w:multiLevelType w:val="hybridMultilevel"/>
    <w:tmpl w:val="5176B702"/>
    <w:lvl w:ilvl="0" w:tplc="2140F8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506F5B"/>
    <w:multiLevelType w:val="hybridMultilevel"/>
    <w:tmpl w:val="F7BEFC5A"/>
    <w:lvl w:ilvl="0" w:tplc="FEBE6B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18A0F1F"/>
    <w:multiLevelType w:val="hybridMultilevel"/>
    <w:tmpl w:val="5A249994"/>
    <w:lvl w:ilvl="0" w:tplc="2C3671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6767B5"/>
    <w:multiLevelType w:val="hybridMultilevel"/>
    <w:tmpl w:val="5D3C49FA"/>
    <w:lvl w:ilvl="0" w:tplc="4302FC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03048"/>
    <w:multiLevelType w:val="hybridMultilevel"/>
    <w:tmpl w:val="73724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71EB0"/>
    <w:multiLevelType w:val="hybridMultilevel"/>
    <w:tmpl w:val="2512A6BE"/>
    <w:lvl w:ilvl="0" w:tplc="5A608A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D5918"/>
    <w:multiLevelType w:val="hybridMultilevel"/>
    <w:tmpl w:val="0DBC41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071C4A"/>
    <w:multiLevelType w:val="hybridMultilevel"/>
    <w:tmpl w:val="DEB6A2CA"/>
    <w:lvl w:ilvl="0" w:tplc="06962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B2A3D"/>
    <w:multiLevelType w:val="hybridMultilevel"/>
    <w:tmpl w:val="FD7885A2"/>
    <w:lvl w:ilvl="0" w:tplc="01D82CE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A53B88"/>
    <w:multiLevelType w:val="hybridMultilevel"/>
    <w:tmpl w:val="FB86D586"/>
    <w:lvl w:ilvl="0" w:tplc="A8C06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850E6"/>
    <w:multiLevelType w:val="hybridMultilevel"/>
    <w:tmpl w:val="C6983A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F414AE"/>
    <w:multiLevelType w:val="hybridMultilevel"/>
    <w:tmpl w:val="BE28A2B8"/>
    <w:lvl w:ilvl="0" w:tplc="8222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6563F9"/>
    <w:multiLevelType w:val="hybridMultilevel"/>
    <w:tmpl w:val="A5543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8"/>
  </w:num>
  <w:num w:numId="14">
    <w:abstractNumId w:val="17"/>
  </w:num>
  <w:num w:numId="15">
    <w:abstractNumId w:val="10"/>
  </w:num>
  <w:num w:numId="16">
    <w:abstractNumId w:val="15"/>
  </w:num>
  <w:num w:numId="17">
    <w:abstractNumId w:val="12"/>
  </w:num>
  <w:num w:numId="18">
    <w:abstractNumId w:val="13"/>
  </w:num>
  <w:num w:numId="19">
    <w:abstractNumId w:val="20"/>
  </w:num>
  <w:num w:numId="20">
    <w:abstractNumId w:val="16"/>
  </w:num>
  <w:num w:numId="21">
    <w:abstractNumId w:val="23"/>
  </w:num>
  <w:num w:numId="22">
    <w:abstractNumId w:val="14"/>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20-WU"/>
  </w:docVars>
  <w:rsids>
    <w:rsidRoot w:val="00002494"/>
    <w:rsid w:val="000022B8"/>
    <w:rsid w:val="00002494"/>
    <w:rsid w:val="00006271"/>
    <w:rsid w:val="0002015A"/>
    <w:rsid w:val="00053AB9"/>
    <w:rsid w:val="00056229"/>
    <w:rsid w:val="00065FC2"/>
    <w:rsid w:val="00087B4F"/>
    <w:rsid w:val="00090AFC"/>
    <w:rsid w:val="00091892"/>
    <w:rsid w:val="000C1B40"/>
    <w:rsid w:val="000D06E8"/>
    <w:rsid w:val="000E344D"/>
    <w:rsid w:val="000F3B2C"/>
    <w:rsid w:val="000F7BE3"/>
    <w:rsid w:val="00111EEF"/>
    <w:rsid w:val="00116AD3"/>
    <w:rsid w:val="00122CF4"/>
    <w:rsid w:val="00126593"/>
    <w:rsid w:val="00142A96"/>
    <w:rsid w:val="0016419B"/>
    <w:rsid w:val="001815DD"/>
    <w:rsid w:val="00187E32"/>
    <w:rsid w:val="00194098"/>
    <w:rsid w:val="00194E81"/>
    <w:rsid w:val="001A33C9"/>
    <w:rsid w:val="001D008A"/>
    <w:rsid w:val="001D2507"/>
    <w:rsid w:val="001E3E18"/>
    <w:rsid w:val="001F260F"/>
    <w:rsid w:val="002002ED"/>
    <w:rsid w:val="0022721A"/>
    <w:rsid w:val="00230BB9"/>
    <w:rsid w:val="00241CEF"/>
    <w:rsid w:val="00252B30"/>
    <w:rsid w:val="002A11AC"/>
    <w:rsid w:val="002A6F30"/>
    <w:rsid w:val="002B42DA"/>
    <w:rsid w:val="002C69EE"/>
    <w:rsid w:val="002D1B8E"/>
    <w:rsid w:val="002D7D15"/>
    <w:rsid w:val="002E27EB"/>
    <w:rsid w:val="002E7164"/>
    <w:rsid w:val="00303FDE"/>
    <w:rsid w:val="0031031E"/>
    <w:rsid w:val="00312ADA"/>
    <w:rsid w:val="003140E8"/>
    <w:rsid w:val="003201BB"/>
    <w:rsid w:val="003231C7"/>
    <w:rsid w:val="00324D1A"/>
    <w:rsid w:val="003274E7"/>
    <w:rsid w:val="00331ED0"/>
    <w:rsid w:val="003422D4"/>
    <w:rsid w:val="0034396E"/>
    <w:rsid w:val="0035495B"/>
    <w:rsid w:val="003565DE"/>
    <w:rsid w:val="00373762"/>
    <w:rsid w:val="003744F5"/>
    <w:rsid w:val="00387869"/>
    <w:rsid w:val="00387C1A"/>
    <w:rsid w:val="00390DD8"/>
    <w:rsid w:val="00394DC6"/>
    <w:rsid w:val="00397B2D"/>
    <w:rsid w:val="00397C3E"/>
    <w:rsid w:val="003A5457"/>
    <w:rsid w:val="003A5858"/>
    <w:rsid w:val="003D4CCA"/>
    <w:rsid w:val="003D6416"/>
    <w:rsid w:val="003D6C61"/>
    <w:rsid w:val="003E1D48"/>
    <w:rsid w:val="0042527B"/>
    <w:rsid w:val="00425E7C"/>
    <w:rsid w:val="00427D76"/>
    <w:rsid w:val="0044727D"/>
    <w:rsid w:val="00451411"/>
    <w:rsid w:val="00457DC7"/>
    <w:rsid w:val="00472BCC"/>
    <w:rsid w:val="004A25CD"/>
    <w:rsid w:val="004A26CC"/>
    <w:rsid w:val="004B2108"/>
    <w:rsid w:val="004B3A2B"/>
    <w:rsid w:val="004D2D1B"/>
    <w:rsid w:val="004F2DDE"/>
    <w:rsid w:val="0050097F"/>
    <w:rsid w:val="00514B1F"/>
    <w:rsid w:val="005178C9"/>
    <w:rsid w:val="00523DCE"/>
    <w:rsid w:val="00526BF4"/>
    <w:rsid w:val="00556A10"/>
    <w:rsid w:val="00566AD8"/>
    <w:rsid w:val="005963C2"/>
    <w:rsid w:val="005B45F7"/>
    <w:rsid w:val="005B63EA"/>
    <w:rsid w:val="005D4E59"/>
    <w:rsid w:val="006276E6"/>
    <w:rsid w:val="006550A7"/>
    <w:rsid w:val="00660774"/>
    <w:rsid w:val="00665CC7"/>
    <w:rsid w:val="00677754"/>
    <w:rsid w:val="006A0BF3"/>
    <w:rsid w:val="006B0DA6"/>
    <w:rsid w:val="006C547E"/>
    <w:rsid w:val="00704C5D"/>
    <w:rsid w:val="00715275"/>
    <w:rsid w:val="00733B6B"/>
    <w:rsid w:val="007423AE"/>
    <w:rsid w:val="0076170F"/>
    <w:rsid w:val="007650B2"/>
    <w:rsid w:val="0076669C"/>
    <w:rsid w:val="00783DD5"/>
    <w:rsid w:val="007865E9"/>
    <w:rsid w:val="00792383"/>
    <w:rsid w:val="00795C11"/>
    <w:rsid w:val="00796932"/>
    <w:rsid w:val="007A060F"/>
    <w:rsid w:val="007D3D20"/>
    <w:rsid w:val="007E3AFD"/>
    <w:rsid w:val="00803189"/>
    <w:rsid w:val="00804E7A"/>
    <w:rsid w:val="00805FBB"/>
    <w:rsid w:val="008169A4"/>
    <w:rsid w:val="008278FE"/>
    <w:rsid w:val="00830403"/>
    <w:rsid w:val="00831E5D"/>
    <w:rsid w:val="00832598"/>
    <w:rsid w:val="0083397E"/>
    <w:rsid w:val="0083534B"/>
    <w:rsid w:val="00835BE5"/>
    <w:rsid w:val="00843544"/>
    <w:rsid w:val="00863A66"/>
    <w:rsid w:val="00874429"/>
    <w:rsid w:val="00883D9A"/>
    <w:rsid w:val="008919EF"/>
    <w:rsid w:val="008C6A5B"/>
    <w:rsid w:val="008E26A5"/>
    <w:rsid w:val="008E42D2"/>
    <w:rsid w:val="009040EE"/>
    <w:rsid w:val="009057FD"/>
    <w:rsid w:val="009213C6"/>
    <w:rsid w:val="00922A7F"/>
    <w:rsid w:val="00923A5E"/>
    <w:rsid w:val="00926E1C"/>
    <w:rsid w:val="00930125"/>
    <w:rsid w:val="00953FEE"/>
    <w:rsid w:val="00960781"/>
    <w:rsid w:val="0098186A"/>
    <w:rsid w:val="009924CF"/>
    <w:rsid w:val="00994100"/>
    <w:rsid w:val="00997F28"/>
    <w:rsid w:val="009D4C29"/>
    <w:rsid w:val="00A62DAB"/>
    <w:rsid w:val="00A726A6"/>
    <w:rsid w:val="00A97535"/>
    <w:rsid w:val="00AA73F1"/>
    <w:rsid w:val="00AB0E1A"/>
    <w:rsid w:val="00AB1A30"/>
    <w:rsid w:val="00AC3B23"/>
    <w:rsid w:val="00AC41CF"/>
    <w:rsid w:val="00AC43E3"/>
    <w:rsid w:val="00AD1ED3"/>
    <w:rsid w:val="00AD22B1"/>
    <w:rsid w:val="00B04AE5"/>
    <w:rsid w:val="00B0777D"/>
    <w:rsid w:val="00B2214B"/>
    <w:rsid w:val="00B4057A"/>
    <w:rsid w:val="00B40894"/>
    <w:rsid w:val="00B44ED0"/>
    <w:rsid w:val="00B45E75"/>
    <w:rsid w:val="00B46984"/>
    <w:rsid w:val="00B50876"/>
    <w:rsid w:val="00B55EE5"/>
    <w:rsid w:val="00B72A65"/>
    <w:rsid w:val="00B73DE6"/>
    <w:rsid w:val="00B86EF0"/>
    <w:rsid w:val="00B97900"/>
    <w:rsid w:val="00BA44A8"/>
    <w:rsid w:val="00BE2F50"/>
    <w:rsid w:val="00BF6691"/>
    <w:rsid w:val="00C028FC"/>
    <w:rsid w:val="00C341B5"/>
    <w:rsid w:val="00C41C1D"/>
    <w:rsid w:val="00C520FC"/>
    <w:rsid w:val="00C6233A"/>
    <w:rsid w:val="00C66692"/>
    <w:rsid w:val="00C91123"/>
    <w:rsid w:val="00CA3B01"/>
    <w:rsid w:val="00CA71FF"/>
    <w:rsid w:val="00CB5276"/>
    <w:rsid w:val="00CB68D7"/>
    <w:rsid w:val="00CC7858"/>
    <w:rsid w:val="00CC7B1C"/>
    <w:rsid w:val="00CC7E68"/>
    <w:rsid w:val="00CD7132"/>
    <w:rsid w:val="00CE0E6F"/>
    <w:rsid w:val="00CF2EF4"/>
    <w:rsid w:val="00D07FEB"/>
    <w:rsid w:val="00D12A3D"/>
    <w:rsid w:val="00D30B48"/>
    <w:rsid w:val="00D46FAA"/>
    <w:rsid w:val="00D57BB2"/>
    <w:rsid w:val="00D8560E"/>
    <w:rsid w:val="00D8758F"/>
    <w:rsid w:val="00DC1D94"/>
    <w:rsid w:val="00DE057F"/>
    <w:rsid w:val="00DE2082"/>
    <w:rsid w:val="00DE2289"/>
    <w:rsid w:val="00DF1F2F"/>
    <w:rsid w:val="00E01DB4"/>
    <w:rsid w:val="00E04410"/>
    <w:rsid w:val="00E11351"/>
    <w:rsid w:val="00E73CE2"/>
    <w:rsid w:val="00EA172C"/>
    <w:rsid w:val="00EA2100"/>
    <w:rsid w:val="00EA259B"/>
    <w:rsid w:val="00EA35A3"/>
    <w:rsid w:val="00EA3E6A"/>
    <w:rsid w:val="00EB18EF"/>
    <w:rsid w:val="00EB42CE"/>
    <w:rsid w:val="00EE17DF"/>
    <w:rsid w:val="00EF4621"/>
    <w:rsid w:val="00F277B6"/>
    <w:rsid w:val="00F27A4B"/>
    <w:rsid w:val="00F54380"/>
    <w:rsid w:val="00F54B47"/>
    <w:rsid w:val="00F578AC"/>
    <w:rsid w:val="00F65A94"/>
    <w:rsid w:val="00F70E84"/>
    <w:rsid w:val="00F95A3C"/>
    <w:rsid w:val="00FA6EFD"/>
    <w:rsid w:val="00FB23DB"/>
    <w:rsid w:val="00FB74EA"/>
    <w:rsid w:val="00FD238F"/>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envelope addres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002494"/>
    <w:rPr>
      <w:sz w:val="24"/>
      <w:szCs w:val="24"/>
    </w:rPr>
  </w:style>
  <w:style w:type="character" w:customStyle="1" w:styleId="FooterChar">
    <w:name w:val="Footer Char"/>
    <w:link w:val="Footer"/>
    <w:rsid w:val="00002494"/>
    <w:rPr>
      <w:sz w:val="24"/>
      <w:szCs w:val="24"/>
    </w:rPr>
  </w:style>
  <w:style w:type="paragraph" w:customStyle="1" w:styleId="MemoAddresses">
    <w:name w:val="Memo Addresses"/>
    <w:basedOn w:val="Normal"/>
    <w:next w:val="Normal"/>
    <w:rsid w:val="00002494"/>
    <w:pPr>
      <w:spacing w:before="120"/>
      <w:ind w:left="1008" w:hanging="1008"/>
      <w:jc w:val="both"/>
    </w:pPr>
  </w:style>
  <w:style w:type="paragraph" w:customStyle="1" w:styleId="MastHeadPSC">
    <w:name w:val="MastHead PSC"/>
    <w:basedOn w:val="Normal"/>
    <w:next w:val="Normal"/>
    <w:rsid w:val="00002494"/>
    <w:pPr>
      <w:jc w:val="center"/>
    </w:pPr>
    <w:rPr>
      <w:b/>
      <w:sz w:val="48"/>
      <w:szCs w:val="48"/>
    </w:rPr>
  </w:style>
  <w:style w:type="paragraph" w:customStyle="1" w:styleId="MastHeadMemorandum">
    <w:name w:val="MastHead Memorandum"/>
    <w:basedOn w:val="Normal"/>
    <w:next w:val="Normal"/>
    <w:rsid w:val="00002494"/>
    <w:pPr>
      <w:jc w:val="center"/>
    </w:pPr>
    <w:rPr>
      <w:b/>
      <w:sz w:val="28"/>
      <w:szCs w:val="28"/>
    </w:rPr>
  </w:style>
  <w:style w:type="paragraph" w:customStyle="1" w:styleId="MastHeadAddress">
    <w:name w:val="MastHead Address"/>
    <w:basedOn w:val="Normal"/>
    <w:next w:val="Normal"/>
    <w:rsid w:val="00002494"/>
    <w:pPr>
      <w:spacing w:after="200"/>
      <w:jc w:val="center"/>
    </w:pPr>
    <w:rPr>
      <w:b/>
      <w:smallCaps/>
      <w:sz w:val="20"/>
      <w:szCs w:val="20"/>
    </w:rPr>
  </w:style>
  <w:style w:type="paragraph" w:customStyle="1" w:styleId="MastHeadState">
    <w:name w:val="MastHead State"/>
    <w:basedOn w:val="Normal"/>
    <w:next w:val="Normal"/>
    <w:rsid w:val="00002494"/>
    <w:pPr>
      <w:jc w:val="center"/>
    </w:pPr>
    <w:rPr>
      <w:b/>
      <w:sz w:val="28"/>
      <w:szCs w:val="28"/>
    </w:rPr>
  </w:style>
  <w:style w:type="paragraph" w:customStyle="1" w:styleId="MemoHeading">
    <w:name w:val="Memo Heading"/>
    <w:basedOn w:val="Normal"/>
    <w:next w:val="Normal"/>
    <w:rsid w:val="00002494"/>
    <w:pPr>
      <w:jc w:val="both"/>
    </w:pPr>
  </w:style>
  <w:style w:type="paragraph" w:customStyle="1" w:styleId="BlockText5">
    <w:name w:val="Block Text .5&quot;"/>
    <w:basedOn w:val="Normal"/>
    <w:rsid w:val="00002494"/>
    <w:pPr>
      <w:spacing w:after="120"/>
      <w:ind w:left="720" w:right="720"/>
    </w:pPr>
  </w:style>
  <w:style w:type="paragraph" w:customStyle="1" w:styleId="BlockText1">
    <w:name w:val="Block Text 1&quot;"/>
    <w:basedOn w:val="Normal"/>
    <w:rsid w:val="00002494"/>
    <w:pPr>
      <w:spacing w:after="120"/>
      <w:ind w:left="1440" w:right="1440"/>
    </w:pPr>
  </w:style>
  <w:style w:type="paragraph" w:customStyle="1" w:styleId="BlockText15">
    <w:name w:val="Block Text 1.5&quot;"/>
    <w:basedOn w:val="Normal"/>
    <w:rsid w:val="00002494"/>
    <w:pPr>
      <w:spacing w:after="120"/>
      <w:ind w:left="2160" w:right="2160"/>
    </w:pPr>
  </w:style>
  <w:style w:type="paragraph" w:customStyle="1" w:styleId="IssueHeading">
    <w:name w:val="Issue Heading"/>
    <w:basedOn w:val="Heading1"/>
    <w:next w:val="BodyText"/>
    <w:link w:val="IssueHeadingChar"/>
    <w:qFormat/>
    <w:rsid w:val="00002494"/>
    <w:pPr>
      <w:keepNext w:val="0"/>
    </w:pPr>
    <w:rPr>
      <w:rFonts w:ascii="Arial" w:hAnsi="Arial"/>
      <w:b/>
      <w:i/>
    </w:rPr>
  </w:style>
  <w:style w:type="character" w:customStyle="1" w:styleId="IssueHeadingChar">
    <w:name w:val="Issue Heading Char"/>
    <w:link w:val="IssueHeading"/>
    <w:rsid w:val="00002494"/>
    <w:rPr>
      <w:rFonts w:ascii="Arial" w:hAnsi="Arial" w:cs="Arial"/>
      <w:b/>
      <w:bCs/>
      <w:i/>
      <w:kern w:val="32"/>
      <w:sz w:val="24"/>
      <w:szCs w:val="32"/>
    </w:rPr>
  </w:style>
  <w:style w:type="paragraph" w:customStyle="1" w:styleId="MemoHeadingRe">
    <w:name w:val="Memo Heading Re"/>
    <w:basedOn w:val="MemoHeading"/>
    <w:rsid w:val="00002494"/>
    <w:pPr>
      <w:tabs>
        <w:tab w:val="left" w:pos="2520"/>
        <w:tab w:val="left" w:pos="2736"/>
      </w:tabs>
    </w:pPr>
  </w:style>
  <w:style w:type="paragraph" w:styleId="TOC1">
    <w:name w:val="toc 1"/>
    <w:basedOn w:val="Normal"/>
    <w:next w:val="Normal"/>
    <w:uiPriority w:val="39"/>
    <w:rsid w:val="00002494"/>
    <w:pPr>
      <w:tabs>
        <w:tab w:val="left" w:pos="864"/>
        <w:tab w:val="right" w:leader="dot" w:pos="9360"/>
      </w:tabs>
      <w:spacing w:line="360" w:lineRule="auto"/>
      <w:ind w:left="864" w:right="360" w:hanging="864"/>
    </w:pPr>
  </w:style>
  <w:style w:type="character" w:styleId="Hyperlink">
    <w:name w:val="Hyperlink"/>
    <w:uiPriority w:val="99"/>
    <w:rsid w:val="00002494"/>
    <w:rPr>
      <w:color w:val="0000FF"/>
      <w:u w:val="single"/>
    </w:rPr>
  </w:style>
  <w:style w:type="paragraph" w:customStyle="1" w:styleId="RecommendationMajorSectionHeading">
    <w:name w:val="Recommendation Major Section Heading"/>
    <w:basedOn w:val="Heading1"/>
    <w:next w:val="BodyText"/>
    <w:rsid w:val="0000249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02494"/>
    <w:pPr>
      <w:keepNext w:val="0"/>
    </w:pPr>
    <w:rPr>
      <w:rFonts w:ascii="Arial" w:hAnsi="Arial"/>
      <w:b/>
      <w:i/>
    </w:rPr>
  </w:style>
  <w:style w:type="character" w:customStyle="1" w:styleId="IssueSubsectionHeadingChar">
    <w:name w:val="Issue Subsection Heading Char"/>
    <w:link w:val="IssueSubsectionHeading"/>
    <w:rsid w:val="00002494"/>
    <w:rPr>
      <w:rFonts w:ascii="Arial" w:hAnsi="Arial" w:cs="Arial"/>
      <w:b/>
      <w:bCs/>
      <w:i/>
      <w:iCs/>
      <w:sz w:val="24"/>
      <w:szCs w:val="28"/>
    </w:rPr>
  </w:style>
  <w:style w:type="paragraph" w:customStyle="1" w:styleId="RecommendationHeading">
    <w:name w:val="Recommendation Heading"/>
    <w:basedOn w:val="Heading1"/>
    <w:next w:val="BodyText"/>
    <w:rsid w:val="00002494"/>
    <w:pPr>
      <w:keepNext w:val="0"/>
      <w:jc w:val="center"/>
    </w:pPr>
    <w:rPr>
      <w:b/>
      <w:u w:val="single"/>
    </w:rPr>
  </w:style>
  <w:style w:type="paragraph" w:customStyle="1" w:styleId="DiscussionofIssues">
    <w:name w:val="Discussion of Issues"/>
    <w:basedOn w:val="RecommendationMajorSectionHeading"/>
    <w:next w:val="BodyText"/>
    <w:rsid w:val="00002494"/>
    <w:pPr>
      <w:spacing w:after="0"/>
    </w:pPr>
  </w:style>
  <w:style w:type="paragraph" w:customStyle="1" w:styleId="TOCColumnHeadings">
    <w:name w:val="TOC Column Headings"/>
    <w:basedOn w:val="Normal"/>
    <w:rsid w:val="00002494"/>
    <w:pPr>
      <w:tabs>
        <w:tab w:val="left" w:pos="864"/>
        <w:tab w:val="right" w:pos="9360"/>
      </w:tabs>
    </w:pPr>
    <w:rPr>
      <w:u w:val="words"/>
    </w:rPr>
  </w:style>
  <w:style w:type="table" w:customStyle="1" w:styleId="TableMasthead">
    <w:name w:val="Table Masthead"/>
    <w:basedOn w:val="TableGrid"/>
    <w:rsid w:val="00002494"/>
    <w:tblPr/>
  </w:style>
  <w:style w:type="paragraph" w:customStyle="1" w:styleId="StyleHeading1BoldUnderline">
    <w:name w:val="Style Heading 1 + Bold Underline"/>
    <w:basedOn w:val="Heading1"/>
    <w:link w:val="StyleHeading1BoldUnderlineChar"/>
    <w:rsid w:val="00002494"/>
    <w:pPr>
      <w:keepNext w:val="0"/>
      <w:spacing w:before="240"/>
    </w:pPr>
    <w:rPr>
      <w:b/>
      <w:u w:val="single"/>
    </w:rPr>
  </w:style>
  <w:style w:type="character" w:customStyle="1" w:styleId="StyleHeading1BoldUnderlineChar">
    <w:name w:val="Style Heading 1 + Bold Underline Char"/>
    <w:link w:val="StyleHeading1BoldUnderline"/>
    <w:rsid w:val="00002494"/>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002494"/>
    <w:pPr>
      <w:jc w:val="left"/>
    </w:pPr>
  </w:style>
  <w:style w:type="character" w:customStyle="1" w:styleId="FootnoteTextChar">
    <w:name w:val="Footnote Text Char"/>
    <w:link w:val="FootnoteText"/>
    <w:rsid w:val="00002494"/>
  </w:style>
  <w:style w:type="paragraph" w:styleId="TOC3">
    <w:name w:val="toc 3"/>
    <w:basedOn w:val="TOC2"/>
    <w:next w:val="Normal"/>
    <w:rsid w:val="00002494"/>
    <w:pPr>
      <w:tabs>
        <w:tab w:val="clear" w:pos="1152"/>
        <w:tab w:val="left" w:pos="1584"/>
      </w:tabs>
      <w:ind w:left="1584" w:hanging="432"/>
    </w:pPr>
  </w:style>
  <w:style w:type="paragraph" w:styleId="TOC2">
    <w:name w:val="toc 2"/>
    <w:basedOn w:val="TOC1"/>
    <w:next w:val="Normal"/>
    <w:rsid w:val="00002494"/>
    <w:pPr>
      <w:tabs>
        <w:tab w:val="clear" w:pos="864"/>
        <w:tab w:val="left" w:pos="1152"/>
      </w:tabs>
      <w:ind w:left="1152" w:hanging="288"/>
    </w:pPr>
  </w:style>
  <w:style w:type="paragraph" w:styleId="DocumentMap">
    <w:name w:val="Document Map"/>
    <w:basedOn w:val="Normal"/>
    <w:link w:val="DocumentMapChar"/>
    <w:rsid w:val="00002494"/>
    <w:pPr>
      <w:shd w:val="clear" w:color="auto" w:fill="000080"/>
    </w:pPr>
    <w:rPr>
      <w:rFonts w:ascii="Tahoma" w:hAnsi="Tahoma" w:cs="Tahoma"/>
    </w:rPr>
  </w:style>
  <w:style w:type="character" w:customStyle="1" w:styleId="DocumentMapChar">
    <w:name w:val="Document Map Char"/>
    <w:basedOn w:val="DefaultParagraphFont"/>
    <w:link w:val="DocumentMap"/>
    <w:rsid w:val="00002494"/>
    <w:rPr>
      <w:rFonts w:ascii="Tahoma" w:hAnsi="Tahoma" w:cs="Tahoma"/>
      <w:sz w:val="24"/>
      <w:szCs w:val="24"/>
      <w:shd w:val="clear" w:color="auto" w:fill="000080"/>
    </w:rPr>
  </w:style>
  <w:style w:type="paragraph" w:styleId="BalloonText">
    <w:name w:val="Balloon Text"/>
    <w:basedOn w:val="Normal"/>
    <w:link w:val="BalloonTextChar"/>
    <w:rsid w:val="00002494"/>
    <w:rPr>
      <w:rFonts w:ascii="Tahoma" w:hAnsi="Tahoma" w:cs="Tahoma"/>
      <w:sz w:val="16"/>
      <w:szCs w:val="16"/>
    </w:rPr>
  </w:style>
  <w:style w:type="character" w:customStyle="1" w:styleId="BalloonTextChar">
    <w:name w:val="Balloon Text Char"/>
    <w:basedOn w:val="DefaultParagraphFont"/>
    <w:link w:val="BalloonText"/>
    <w:rsid w:val="00002494"/>
    <w:rPr>
      <w:rFonts w:ascii="Tahoma" w:hAnsi="Tahoma" w:cs="Tahoma"/>
      <w:sz w:val="16"/>
      <w:szCs w:val="16"/>
    </w:rPr>
  </w:style>
  <w:style w:type="paragraph" w:styleId="BlockText">
    <w:name w:val="Block Text"/>
    <w:basedOn w:val="Normal"/>
    <w:rsid w:val="00002494"/>
    <w:pPr>
      <w:spacing w:after="120"/>
      <w:ind w:left="1440" w:right="1440"/>
    </w:pPr>
  </w:style>
  <w:style w:type="paragraph" w:styleId="BodyText2">
    <w:name w:val="Body Text 2"/>
    <w:basedOn w:val="Normal"/>
    <w:link w:val="BodyText2Char"/>
    <w:rsid w:val="00002494"/>
    <w:pPr>
      <w:spacing w:after="120" w:line="480" w:lineRule="auto"/>
    </w:pPr>
  </w:style>
  <w:style w:type="character" w:customStyle="1" w:styleId="BodyText2Char">
    <w:name w:val="Body Text 2 Char"/>
    <w:basedOn w:val="DefaultParagraphFont"/>
    <w:link w:val="BodyText2"/>
    <w:rsid w:val="00002494"/>
    <w:rPr>
      <w:sz w:val="24"/>
      <w:szCs w:val="24"/>
    </w:rPr>
  </w:style>
  <w:style w:type="paragraph" w:styleId="BodyText3">
    <w:name w:val="Body Text 3"/>
    <w:basedOn w:val="Normal"/>
    <w:link w:val="BodyText3Char"/>
    <w:rsid w:val="00002494"/>
    <w:pPr>
      <w:spacing w:after="120"/>
    </w:pPr>
    <w:rPr>
      <w:sz w:val="16"/>
      <w:szCs w:val="16"/>
    </w:rPr>
  </w:style>
  <w:style w:type="character" w:customStyle="1" w:styleId="BodyText3Char">
    <w:name w:val="Body Text 3 Char"/>
    <w:basedOn w:val="DefaultParagraphFont"/>
    <w:link w:val="BodyText3"/>
    <w:rsid w:val="00002494"/>
    <w:rPr>
      <w:sz w:val="16"/>
      <w:szCs w:val="16"/>
    </w:rPr>
  </w:style>
  <w:style w:type="paragraph" w:styleId="BodyTextFirstIndent">
    <w:name w:val="Body Text First Indent"/>
    <w:basedOn w:val="BodyText"/>
    <w:link w:val="BodyTextFirstIndentChar"/>
    <w:rsid w:val="00002494"/>
    <w:pPr>
      <w:ind w:firstLine="210"/>
    </w:pPr>
  </w:style>
  <w:style w:type="character" w:customStyle="1" w:styleId="BodyTextFirstIndentChar">
    <w:name w:val="Body Text First Indent Char"/>
    <w:basedOn w:val="BodyTextChar"/>
    <w:link w:val="BodyTextFirstIndent"/>
    <w:rsid w:val="00002494"/>
    <w:rPr>
      <w:sz w:val="24"/>
      <w:szCs w:val="24"/>
    </w:rPr>
  </w:style>
  <w:style w:type="paragraph" w:styleId="BodyTextIndent">
    <w:name w:val="Body Text Indent"/>
    <w:basedOn w:val="Normal"/>
    <w:link w:val="BodyTextIndentChar"/>
    <w:rsid w:val="00002494"/>
    <w:pPr>
      <w:spacing w:after="120"/>
      <w:ind w:left="360"/>
    </w:pPr>
  </w:style>
  <w:style w:type="character" w:customStyle="1" w:styleId="BodyTextIndentChar">
    <w:name w:val="Body Text Indent Char"/>
    <w:basedOn w:val="DefaultParagraphFont"/>
    <w:link w:val="BodyTextIndent"/>
    <w:rsid w:val="00002494"/>
    <w:rPr>
      <w:sz w:val="24"/>
      <w:szCs w:val="24"/>
    </w:rPr>
  </w:style>
  <w:style w:type="paragraph" w:styleId="BodyTextFirstIndent2">
    <w:name w:val="Body Text First Indent 2"/>
    <w:basedOn w:val="BodyTextIndent"/>
    <w:link w:val="BodyTextFirstIndent2Char"/>
    <w:rsid w:val="00002494"/>
    <w:pPr>
      <w:ind w:firstLine="210"/>
    </w:pPr>
  </w:style>
  <w:style w:type="character" w:customStyle="1" w:styleId="BodyTextFirstIndent2Char">
    <w:name w:val="Body Text First Indent 2 Char"/>
    <w:basedOn w:val="BodyTextIndentChar"/>
    <w:link w:val="BodyTextFirstIndent2"/>
    <w:rsid w:val="00002494"/>
    <w:rPr>
      <w:sz w:val="24"/>
      <w:szCs w:val="24"/>
    </w:rPr>
  </w:style>
  <w:style w:type="paragraph" w:styleId="BodyTextIndent2">
    <w:name w:val="Body Text Indent 2"/>
    <w:basedOn w:val="Normal"/>
    <w:link w:val="BodyTextIndent2Char"/>
    <w:rsid w:val="00002494"/>
    <w:pPr>
      <w:spacing w:after="120" w:line="480" w:lineRule="auto"/>
      <w:ind w:left="360"/>
    </w:pPr>
  </w:style>
  <w:style w:type="character" w:customStyle="1" w:styleId="BodyTextIndent2Char">
    <w:name w:val="Body Text Indent 2 Char"/>
    <w:basedOn w:val="DefaultParagraphFont"/>
    <w:link w:val="BodyTextIndent2"/>
    <w:rsid w:val="00002494"/>
    <w:rPr>
      <w:sz w:val="24"/>
      <w:szCs w:val="24"/>
    </w:rPr>
  </w:style>
  <w:style w:type="paragraph" w:styleId="BodyTextIndent3">
    <w:name w:val="Body Text Indent 3"/>
    <w:basedOn w:val="Normal"/>
    <w:link w:val="BodyTextIndent3Char"/>
    <w:rsid w:val="00002494"/>
    <w:pPr>
      <w:spacing w:after="120"/>
      <w:ind w:left="360"/>
    </w:pPr>
    <w:rPr>
      <w:sz w:val="16"/>
      <w:szCs w:val="16"/>
    </w:rPr>
  </w:style>
  <w:style w:type="character" w:customStyle="1" w:styleId="BodyTextIndent3Char">
    <w:name w:val="Body Text Indent 3 Char"/>
    <w:basedOn w:val="DefaultParagraphFont"/>
    <w:link w:val="BodyTextIndent3"/>
    <w:rsid w:val="00002494"/>
    <w:rPr>
      <w:sz w:val="16"/>
      <w:szCs w:val="16"/>
    </w:rPr>
  </w:style>
  <w:style w:type="paragraph" w:styleId="Caption">
    <w:name w:val="caption"/>
    <w:basedOn w:val="Normal"/>
    <w:next w:val="Normal"/>
    <w:qFormat/>
    <w:rsid w:val="00002494"/>
    <w:pPr>
      <w:spacing w:before="120" w:after="120"/>
    </w:pPr>
    <w:rPr>
      <w:b/>
      <w:bCs/>
      <w:sz w:val="20"/>
      <w:szCs w:val="20"/>
    </w:rPr>
  </w:style>
  <w:style w:type="paragraph" w:styleId="Closing">
    <w:name w:val="Closing"/>
    <w:basedOn w:val="Normal"/>
    <w:link w:val="ClosingChar"/>
    <w:rsid w:val="00002494"/>
    <w:pPr>
      <w:ind w:left="4320"/>
    </w:pPr>
  </w:style>
  <w:style w:type="character" w:customStyle="1" w:styleId="ClosingChar">
    <w:name w:val="Closing Char"/>
    <w:basedOn w:val="DefaultParagraphFont"/>
    <w:link w:val="Closing"/>
    <w:rsid w:val="00002494"/>
    <w:rPr>
      <w:sz w:val="24"/>
      <w:szCs w:val="24"/>
    </w:rPr>
  </w:style>
  <w:style w:type="paragraph" w:styleId="CommentText">
    <w:name w:val="annotation text"/>
    <w:basedOn w:val="Normal"/>
    <w:link w:val="CommentTextChar"/>
    <w:rsid w:val="00002494"/>
    <w:rPr>
      <w:sz w:val="20"/>
      <w:szCs w:val="20"/>
    </w:rPr>
  </w:style>
  <w:style w:type="character" w:customStyle="1" w:styleId="CommentTextChar">
    <w:name w:val="Comment Text Char"/>
    <w:basedOn w:val="DefaultParagraphFont"/>
    <w:link w:val="CommentText"/>
    <w:rsid w:val="00002494"/>
  </w:style>
  <w:style w:type="paragraph" w:styleId="CommentSubject">
    <w:name w:val="annotation subject"/>
    <w:basedOn w:val="CommentText"/>
    <w:next w:val="CommentText"/>
    <w:link w:val="CommentSubjectChar"/>
    <w:rsid w:val="00002494"/>
    <w:rPr>
      <w:b/>
      <w:bCs/>
    </w:rPr>
  </w:style>
  <w:style w:type="character" w:customStyle="1" w:styleId="CommentSubjectChar">
    <w:name w:val="Comment Subject Char"/>
    <w:basedOn w:val="CommentTextChar"/>
    <w:link w:val="CommentSubject"/>
    <w:rsid w:val="00002494"/>
    <w:rPr>
      <w:b/>
      <w:bCs/>
    </w:rPr>
  </w:style>
  <w:style w:type="paragraph" w:styleId="Date">
    <w:name w:val="Date"/>
    <w:basedOn w:val="Normal"/>
    <w:next w:val="Normal"/>
    <w:link w:val="DateChar"/>
    <w:rsid w:val="00002494"/>
  </w:style>
  <w:style w:type="character" w:customStyle="1" w:styleId="DateChar">
    <w:name w:val="Date Char"/>
    <w:basedOn w:val="DefaultParagraphFont"/>
    <w:link w:val="Date"/>
    <w:rsid w:val="00002494"/>
    <w:rPr>
      <w:sz w:val="24"/>
      <w:szCs w:val="24"/>
    </w:rPr>
  </w:style>
  <w:style w:type="paragraph" w:styleId="E-mailSignature">
    <w:name w:val="E-mail Signature"/>
    <w:basedOn w:val="Normal"/>
    <w:link w:val="E-mailSignatureChar"/>
    <w:rsid w:val="00002494"/>
  </w:style>
  <w:style w:type="character" w:customStyle="1" w:styleId="E-mailSignatureChar">
    <w:name w:val="E-mail Signature Char"/>
    <w:basedOn w:val="DefaultParagraphFont"/>
    <w:link w:val="E-mailSignature"/>
    <w:rsid w:val="00002494"/>
    <w:rPr>
      <w:sz w:val="24"/>
      <w:szCs w:val="24"/>
    </w:rPr>
  </w:style>
  <w:style w:type="paragraph" w:styleId="EndnoteText">
    <w:name w:val="endnote text"/>
    <w:basedOn w:val="Normal"/>
    <w:link w:val="EndnoteTextChar"/>
    <w:rsid w:val="00002494"/>
    <w:rPr>
      <w:sz w:val="20"/>
      <w:szCs w:val="20"/>
    </w:rPr>
  </w:style>
  <w:style w:type="character" w:customStyle="1" w:styleId="EndnoteTextChar">
    <w:name w:val="Endnote Text Char"/>
    <w:basedOn w:val="DefaultParagraphFont"/>
    <w:link w:val="EndnoteText"/>
    <w:rsid w:val="00002494"/>
  </w:style>
  <w:style w:type="paragraph" w:styleId="EnvelopeAddress">
    <w:name w:val="envelope address"/>
    <w:basedOn w:val="Normal"/>
    <w:uiPriority w:val="99"/>
    <w:rsid w:val="0000249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02494"/>
    <w:rPr>
      <w:rFonts w:ascii="Arial" w:hAnsi="Arial" w:cs="Arial"/>
      <w:sz w:val="20"/>
      <w:szCs w:val="20"/>
    </w:rPr>
  </w:style>
  <w:style w:type="paragraph" w:styleId="HTMLAddress">
    <w:name w:val="HTML Address"/>
    <w:basedOn w:val="Normal"/>
    <w:link w:val="HTMLAddressChar"/>
    <w:rsid w:val="00002494"/>
    <w:rPr>
      <w:i/>
      <w:iCs/>
    </w:rPr>
  </w:style>
  <w:style w:type="character" w:customStyle="1" w:styleId="HTMLAddressChar">
    <w:name w:val="HTML Address Char"/>
    <w:basedOn w:val="DefaultParagraphFont"/>
    <w:link w:val="HTMLAddress"/>
    <w:rsid w:val="00002494"/>
    <w:rPr>
      <w:i/>
      <w:iCs/>
      <w:sz w:val="24"/>
      <w:szCs w:val="24"/>
    </w:rPr>
  </w:style>
  <w:style w:type="paragraph" w:styleId="HTMLPreformatted">
    <w:name w:val="HTML Preformatted"/>
    <w:basedOn w:val="Normal"/>
    <w:link w:val="HTMLPreformattedChar"/>
    <w:rsid w:val="00002494"/>
    <w:rPr>
      <w:rFonts w:ascii="Courier New" w:hAnsi="Courier New" w:cs="Courier New"/>
      <w:sz w:val="20"/>
      <w:szCs w:val="20"/>
    </w:rPr>
  </w:style>
  <w:style w:type="character" w:customStyle="1" w:styleId="HTMLPreformattedChar">
    <w:name w:val="HTML Preformatted Char"/>
    <w:basedOn w:val="DefaultParagraphFont"/>
    <w:link w:val="HTMLPreformatted"/>
    <w:rsid w:val="00002494"/>
    <w:rPr>
      <w:rFonts w:ascii="Courier New" w:hAnsi="Courier New" w:cs="Courier New"/>
    </w:rPr>
  </w:style>
  <w:style w:type="paragraph" w:styleId="Index1">
    <w:name w:val="index 1"/>
    <w:basedOn w:val="Normal"/>
    <w:next w:val="Normal"/>
    <w:autoRedefine/>
    <w:rsid w:val="00002494"/>
    <w:pPr>
      <w:ind w:left="240" w:hanging="240"/>
    </w:pPr>
  </w:style>
  <w:style w:type="paragraph" w:styleId="Index2">
    <w:name w:val="index 2"/>
    <w:basedOn w:val="Normal"/>
    <w:next w:val="Normal"/>
    <w:autoRedefine/>
    <w:rsid w:val="00002494"/>
    <w:pPr>
      <w:ind w:left="480" w:hanging="240"/>
    </w:pPr>
  </w:style>
  <w:style w:type="paragraph" w:styleId="Index3">
    <w:name w:val="index 3"/>
    <w:basedOn w:val="Normal"/>
    <w:next w:val="Normal"/>
    <w:autoRedefine/>
    <w:rsid w:val="00002494"/>
    <w:pPr>
      <w:ind w:left="720" w:hanging="240"/>
    </w:pPr>
  </w:style>
  <w:style w:type="paragraph" w:styleId="Index4">
    <w:name w:val="index 4"/>
    <w:basedOn w:val="Normal"/>
    <w:next w:val="Normal"/>
    <w:autoRedefine/>
    <w:rsid w:val="00002494"/>
    <w:pPr>
      <w:ind w:left="960" w:hanging="240"/>
    </w:pPr>
  </w:style>
  <w:style w:type="paragraph" w:styleId="Index5">
    <w:name w:val="index 5"/>
    <w:basedOn w:val="Normal"/>
    <w:next w:val="Normal"/>
    <w:autoRedefine/>
    <w:rsid w:val="00002494"/>
    <w:pPr>
      <w:ind w:left="1200" w:hanging="240"/>
    </w:pPr>
  </w:style>
  <w:style w:type="paragraph" w:styleId="Index6">
    <w:name w:val="index 6"/>
    <w:basedOn w:val="Normal"/>
    <w:next w:val="Normal"/>
    <w:autoRedefine/>
    <w:rsid w:val="00002494"/>
    <w:pPr>
      <w:ind w:left="1440" w:hanging="240"/>
    </w:pPr>
  </w:style>
  <w:style w:type="paragraph" w:styleId="Index7">
    <w:name w:val="index 7"/>
    <w:basedOn w:val="Normal"/>
    <w:next w:val="Normal"/>
    <w:autoRedefine/>
    <w:rsid w:val="00002494"/>
    <w:pPr>
      <w:ind w:left="1680" w:hanging="240"/>
    </w:pPr>
  </w:style>
  <w:style w:type="paragraph" w:styleId="Index8">
    <w:name w:val="index 8"/>
    <w:basedOn w:val="Normal"/>
    <w:next w:val="Normal"/>
    <w:autoRedefine/>
    <w:rsid w:val="00002494"/>
    <w:pPr>
      <w:ind w:left="1920" w:hanging="240"/>
    </w:pPr>
  </w:style>
  <w:style w:type="paragraph" w:styleId="Index9">
    <w:name w:val="index 9"/>
    <w:basedOn w:val="Normal"/>
    <w:next w:val="Normal"/>
    <w:autoRedefine/>
    <w:rsid w:val="00002494"/>
    <w:pPr>
      <w:ind w:left="2160" w:hanging="240"/>
    </w:pPr>
  </w:style>
  <w:style w:type="paragraph" w:styleId="IndexHeading">
    <w:name w:val="index heading"/>
    <w:basedOn w:val="Normal"/>
    <w:next w:val="Index1"/>
    <w:rsid w:val="00002494"/>
    <w:rPr>
      <w:rFonts w:ascii="Arial" w:hAnsi="Arial" w:cs="Arial"/>
      <w:b/>
      <w:bCs/>
    </w:rPr>
  </w:style>
  <w:style w:type="paragraph" w:styleId="List">
    <w:name w:val="List"/>
    <w:basedOn w:val="Normal"/>
    <w:rsid w:val="00002494"/>
    <w:pPr>
      <w:ind w:left="360" w:hanging="360"/>
    </w:pPr>
  </w:style>
  <w:style w:type="paragraph" w:styleId="List2">
    <w:name w:val="List 2"/>
    <w:basedOn w:val="Normal"/>
    <w:rsid w:val="00002494"/>
    <w:pPr>
      <w:ind w:left="720" w:hanging="360"/>
    </w:pPr>
  </w:style>
  <w:style w:type="paragraph" w:styleId="List3">
    <w:name w:val="List 3"/>
    <w:basedOn w:val="Normal"/>
    <w:rsid w:val="00002494"/>
    <w:pPr>
      <w:ind w:left="1080" w:hanging="360"/>
    </w:pPr>
  </w:style>
  <w:style w:type="paragraph" w:styleId="List4">
    <w:name w:val="List 4"/>
    <w:basedOn w:val="Normal"/>
    <w:rsid w:val="00002494"/>
    <w:pPr>
      <w:ind w:left="1440" w:hanging="360"/>
    </w:pPr>
  </w:style>
  <w:style w:type="paragraph" w:styleId="List5">
    <w:name w:val="List 5"/>
    <w:basedOn w:val="Normal"/>
    <w:rsid w:val="00002494"/>
    <w:pPr>
      <w:ind w:left="1800" w:hanging="360"/>
    </w:pPr>
  </w:style>
  <w:style w:type="paragraph" w:styleId="ListBullet">
    <w:name w:val="List Bullet"/>
    <w:basedOn w:val="Normal"/>
    <w:autoRedefine/>
    <w:rsid w:val="00002494"/>
    <w:pPr>
      <w:tabs>
        <w:tab w:val="num" w:pos="360"/>
      </w:tabs>
      <w:ind w:left="360" w:hanging="360"/>
    </w:pPr>
  </w:style>
  <w:style w:type="paragraph" w:styleId="ListBullet2">
    <w:name w:val="List Bullet 2"/>
    <w:basedOn w:val="Normal"/>
    <w:autoRedefine/>
    <w:rsid w:val="00002494"/>
    <w:pPr>
      <w:tabs>
        <w:tab w:val="num" w:pos="720"/>
      </w:tabs>
      <w:ind w:left="720" w:hanging="360"/>
    </w:pPr>
  </w:style>
  <w:style w:type="paragraph" w:styleId="ListBullet3">
    <w:name w:val="List Bullet 3"/>
    <w:basedOn w:val="Normal"/>
    <w:autoRedefine/>
    <w:rsid w:val="00002494"/>
    <w:pPr>
      <w:tabs>
        <w:tab w:val="num" w:pos="1080"/>
      </w:tabs>
      <w:ind w:left="1080" w:hanging="360"/>
    </w:pPr>
  </w:style>
  <w:style w:type="paragraph" w:styleId="ListBullet4">
    <w:name w:val="List Bullet 4"/>
    <w:basedOn w:val="Normal"/>
    <w:autoRedefine/>
    <w:rsid w:val="00002494"/>
    <w:pPr>
      <w:tabs>
        <w:tab w:val="num" w:pos="1440"/>
      </w:tabs>
      <w:ind w:left="1440" w:hanging="360"/>
    </w:pPr>
  </w:style>
  <w:style w:type="paragraph" w:styleId="ListBullet5">
    <w:name w:val="List Bullet 5"/>
    <w:basedOn w:val="Normal"/>
    <w:autoRedefine/>
    <w:rsid w:val="00002494"/>
    <w:pPr>
      <w:tabs>
        <w:tab w:val="num" w:pos="1800"/>
      </w:tabs>
      <w:ind w:left="1800" w:hanging="360"/>
    </w:pPr>
  </w:style>
  <w:style w:type="paragraph" w:styleId="ListContinue">
    <w:name w:val="List Continue"/>
    <w:basedOn w:val="Normal"/>
    <w:rsid w:val="00002494"/>
    <w:pPr>
      <w:spacing w:after="120"/>
      <w:ind w:left="360"/>
    </w:pPr>
  </w:style>
  <w:style w:type="paragraph" w:styleId="ListContinue2">
    <w:name w:val="List Continue 2"/>
    <w:basedOn w:val="Normal"/>
    <w:rsid w:val="00002494"/>
    <w:pPr>
      <w:spacing w:after="120"/>
      <w:ind w:left="720"/>
    </w:pPr>
  </w:style>
  <w:style w:type="paragraph" w:styleId="ListContinue3">
    <w:name w:val="List Continue 3"/>
    <w:basedOn w:val="Normal"/>
    <w:rsid w:val="00002494"/>
    <w:pPr>
      <w:spacing w:after="120"/>
      <w:ind w:left="1080"/>
    </w:pPr>
  </w:style>
  <w:style w:type="paragraph" w:styleId="ListContinue4">
    <w:name w:val="List Continue 4"/>
    <w:basedOn w:val="Normal"/>
    <w:rsid w:val="00002494"/>
    <w:pPr>
      <w:spacing w:after="120"/>
      <w:ind w:left="1440"/>
    </w:pPr>
  </w:style>
  <w:style w:type="paragraph" w:styleId="ListContinue5">
    <w:name w:val="List Continue 5"/>
    <w:basedOn w:val="Normal"/>
    <w:rsid w:val="00002494"/>
    <w:pPr>
      <w:spacing w:after="120"/>
      <w:ind w:left="1800"/>
    </w:pPr>
  </w:style>
  <w:style w:type="paragraph" w:styleId="ListNumber">
    <w:name w:val="List Number"/>
    <w:basedOn w:val="Normal"/>
    <w:rsid w:val="00002494"/>
    <w:pPr>
      <w:tabs>
        <w:tab w:val="num" w:pos="360"/>
      </w:tabs>
      <w:ind w:left="360" w:hanging="360"/>
    </w:pPr>
  </w:style>
  <w:style w:type="paragraph" w:styleId="ListNumber2">
    <w:name w:val="List Number 2"/>
    <w:basedOn w:val="Normal"/>
    <w:rsid w:val="00002494"/>
    <w:pPr>
      <w:tabs>
        <w:tab w:val="num" w:pos="720"/>
      </w:tabs>
      <w:ind w:left="720" w:hanging="360"/>
    </w:pPr>
  </w:style>
  <w:style w:type="paragraph" w:styleId="ListNumber3">
    <w:name w:val="List Number 3"/>
    <w:basedOn w:val="Normal"/>
    <w:rsid w:val="00002494"/>
    <w:pPr>
      <w:tabs>
        <w:tab w:val="num" w:pos="1080"/>
      </w:tabs>
      <w:ind w:left="1080" w:hanging="360"/>
    </w:pPr>
  </w:style>
  <w:style w:type="paragraph" w:styleId="ListNumber4">
    <w:name w:val="List Number 4"/>
    <w:basedOn w:val="Normal"/>
    <w:rsid w:val="00002494"/>
    <w:pPr>
      <w:tabs>
        <w:tab w:val="num" w:pos="1440"/>
      </w:tabs>
      <w:ind w:left="1440" w:hanging="360"/>
    </w:pPr>
  </w:style>
  <w:style w:type="paragraph" w:styleId="ListNumber5">
    <w:name w:val="List Number 5"/>
    <w:basedOn w:val="Normal"/>
    <w:rsid w:val="00002494"/>
    <w:pPr>
      <w:tabs>
        <w:tab w:val="num" w:pos="1800"/>
      </w:tabs>
      <w:ind w:left="1800" w:hanging="360"/>
    </w:pPr>
  </w:style>
  <w:style w:type="paragraph" w:styleId="MacroText">
    <w:name w:val="macro"/>
    <w:link w:val="MacroTextChar"/>
    <w:rsid w:val="000024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02494"/>
    <w:rPr>
      <w:rFonts w:ascii="Courier New" w:hAnsi="Courier New" w:cs="Courier New"/>
    </w:rPr>
  </w:style>
  <w:style w:type="paragraph" w:styleId="MessageHeader">
    <w:name w:val="Message Header"/>
    <w:basedOn w:val="Normal"/>
    <w:link w:val="MessageHeaderChar"/>
    <w:rsid w:val="0000249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02494"/>
    <w:rPr>
      <w:rFonts w:ascii="Arial" w:hAnsi="Arial" w:cs="Arial"/>
      <w:sz w:val="24"/>
      <w:szCs w:val="24"/>
      <w:shd w:val="pct20" w:color="auto" w:fill="auto"/>
    </w:rPr>
  </w:style>
  <w:style w:type="paragraph" w:styleId="NormalWeb">
    <w:name w:val="Normal (Web)"/>
    <w:basedOn w:val="Normal"/>
    <w:rsid w:val="00002494"/>
  </w:style>
  <w:style w:type="paragraph" w:styleId="NormalIndent">
    <w:name w:val="Normal Indent"/>
    <w:basedOn w:val="Normal"/>
    <w:rsid w:val="00002494"/>
    <w:pPr>
      <w:ind w:left="720"/>
    </w:pPr>
  </w:style>
  <w:style w:type="paragraph" w:styleId="NoteHeading">
    <w:name w:val="Note Heading"/>
    <w:basedOn w:val="Normal"/>
    <w:next w:val="Normal"/>
    <w:link w:val="NoteHeadingChar"/>
    <w:rsid w:val="00002494"/>
  </w:style>
  <w:style w:type="character" w:customStyle="1" w:styleId="NoteHeadingChar">
    <w:name w:val="Note Heading Char"/>
    <w:basedOn w:val="DefaultParagraphFont"/>
    <w:link w:val="NoteHeading"/>
    <w:rsid w:val="00002494"/>
    <w:rPr>
      <w:sz w:val="24"/>
      <w:szCs w:val="24"/>
    </w:rPr>
  </w:style>
  <w:style w:type="paragraph" w:styleId="PlainText">
    <w:name w:val="Plain Text"/>
    <w:basedOn w:val="Normal"/>
    <w:link w:val="PlainTextChar"/>
    <w:rsid w:val="00002494"/>
    <w:rPr>
      <w:rFonts w:ascii="Courier New" w:hAnsi="Courier New" w:cs="Courier New"/>
      <w:sz w:val="20"/>
      <w:szCs w:val="20"/>
    </w:rPr>
  </w:style>
  <w:style w:type="character" w:customStyle="1" w:styleId="PlainTextChar">
    <w:name w:val="Plain Text Char"/>
    <w:basedOn w:val="DefaultParagraphFont"/>
    <w:link w:val="PlainText"/>
    <w:rsid w:val="00002494"/>
    <w:rPr>
      <w:rFonts w:ascii="Courier New" w:hAnsi="Courier New" w:cs="Courier New"/>
    </w:rPr>
  </w:style>
  <w:style w:type="paragraph" w:styleId="Salutation">
    <w:name w:val="Salutation"/>
    <w:basedOn w:val="Normal"/>
    <w:next w:val="Normal"/>
    <w:link w:val="SalutationChar"/>
    <w:rsid w:val="00002494"/>
  </w:style>
  <w:style w:type="character" w:customStyle="1" w:styleId="SalutationChar">
    <w:name w:val="Salutation Char"/>
    <w:basedOn w:val="DefaultParagraphFont"/>
    <w:link w:val="Salutation"/>
    <w:rsid w:val="00002494"/>
    <w:rPr>
      <w:sz w:val="24"/>
      <w:szCs w:val="24"/>
    </w:rPr>
  </w:style>
  <w:style w:type="paragraph" w:styleId="Signature">
    <w:name w:val="Signature"/>
    <w:basedOn w:val="Normal"/>
    <w:link w:val="SignatureChar"/>
    <w:rsid w:val="00002494"/>
    <w:pPr>
      <w:ind w:left="4320"/>
    </w:pPr>
  </w:style>
  <w:style w:type="character" w:customStyle="1" w:styleId="SignatureChar">
    <w:name w:val="Signature Char"/>
    <w:basedOn w:val="DefaultParagraphFont"/>
    <w:link w:val="Signature"/>
    <w:rsid w:val="00002494"/>
    <w:rPr>
      <w:sz w:val="24"/>
      <w:szCs w:val="24"/>
    </w:rPr>
  </w:style>
  <w:style w:type="paragraph" w:styleId="Subtitle">
    <w:name w:val="Subtitle"/>
    <w:basedOn w:val="Normal"/>
    <w:link w:val="SubtitleChar"/>
    <w:qFormat/>
    <w:rsid w:val="00002494"/>
    <w:pPr>
      <w:spacing w:after="60"/>
      <w:jc w:val="center"/>
      <w:outlineLvl w:val="1"/>
    </w:pPr>
    <w:rPr>
      <w:rFonts w:ascii="Arial" w:hAnsi="Arial" w:cs="Arial"/>
    </w:rPr>
  </w:style>
  <w:style w:type="character" w:customStyle="1" w:styleId="SubtitleChar">
    <w:name w:val="Subtitle Char"/>
    <w:basedOn w:val="DefaultParagraphFont"/>
    <w:link w:val="Subtitle"/>
    <w:rsid w:val="00002494"/>
    <w:rPr>
      <w:rFonts w:ascii="Arial" w:hAnsi="Arial" w:cs="Arial"/>
      <w:sz w:val="24"/>
      <w:szCs w:val="24"/>
    </w:rPr>
  </w:style>
  <w:style w:type="paragraph" w:styleId="TableofAuthorities">
    <w:name w:val="table of authorities"/>
    <w:basedOn w:val="Normal"/>
    <w:next w:val="Normal"/>
    <w:rsid w:val="00002494"/>
    <w:pPr>
      <w:ind w:left="240" w:hanging="240"/>
    </w:pPr>
  </w:style>
  <w:style w:type="paragraph" w:styleId="TableofFigures">
    <w:name w:val="table of figures"/>
    <w:basedOn w:val="Normal"/>
    <w:next w:val="Normal"/>
    <w:rsid w:val="00002494"/>
    <w:pPr>
      <w:ind w:left="480" w:hanging="480"/>
    </w:pPr>
  </w:style>
  <w:style w:type="paragraph" w:styleId="Title">
    <w:name w:val="Title"/>
    <w:basedOn w:val="Normal"/>
    <w:link w:val="TitleChar"/>
    <w:qFormat/>
    <w:rsid w:val="0000249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02494"/>
    <w:rPr>
      <w:rFonts w:ascii="Arial" w:hAnsi="Arial" w:cs="Arial"/>
      <w:b/>
      <w:bCs/>
      <w:kern w:val="28"/>
      <w:sz w:val="32"/>
      <w:szCs w:val="32"/>
    </w:rPr>
  </w:style>
  <w:style w:type="paragraph" w:styleId="TOAHeading">
    <w:name w:val="toa heading"/>
    <w:basedOn w:val="Normal"/>
    <w:next w:val="Normal"/>
    <w:rsid w:val="00002494"/>
    <w:pPr>
      <w:spacing w:before="120"/>
    </w:pPr>
    <w:rPr>
      <w:rFonts w:ascii="Arial" w:hAnsi="Arial" w:cs="Arial"/>
      <w:b/>
      <w:bCs/>
    </w:rPr>
  </w:style>
  <w:style w:type="paragraph" w:styleId="TOC4">
    <w:name w:val="toc 4"/>
    <w:basedOn w:val="Normal"/>
    <w:next w:val="Normal"/>
    <w:autoRedefine/>
    <w:rsid w:val="00002494"/>
    <w:pPr>
      <w:ind w:left="720"/>
    </w:pPr>
  </w:style>
  <w:style w:type="paragraph" w:styleId="TOC5">
    <w:name w:val="toc 5"/>
    <w:basedOn w:val="Normal"/>
    <w:next w:val="Normal"/>
    <w:autoRedefine/>
    <w:rsid w:val="00002494"/>
    <w:pPr>
      <w:ind w:left="960"/>
    </w:pPr>
  </w:style>
  <w:style w:type="paragraph" w:styleId="TOC6">
    <w:name w:val="toc 6"/>
    <w:basedOn w:val="Normal"/>
    <w:next w:val="Normal"/>
    <w:autoRedefine/>
    <w:rsid w:val="00002494"/>
    <w:pPr>
      <w:ind w:left="1200"/>
    </w:pPr>
  </w:style>
  <w:style w:type="paragraph" w:styleId="TOC9">
    <w:name w:val="toc 9"/>
    <w:basedOn w:val="TOC1"/>
    <w:next w:val="Normal"/>
    <w:autoRedefine/>
    <w:rsid w:val="00002494"/>
    <w:pPr>
      <w:ind w:left="1728"/>
    </w:pPr>
    <w:rPr>
      <w:u w:val="single"/>
    </w:rPr>
  </w:style>
  <w:style w:type="paragraph" w:customStyle="1" w:styleId="MemoHeadingLabel">
    <w:name w:val="Memo Heading Label"/>
    <w:basedOn w:val="MemoHeading"/>
    <w:qFormat/>
    <w:rsid w:val="00002494"/>
    <w:rPr>
      <w:rFonts w:ascii="Arial" w:hAnsi="Arial"/>
      <w:b/>
    </w:rPr>
  </w:style>
  <w:style w:type="paragraph" w:customStyle="1" w:styleId="First-LevelSubheading">
    <w:name w:val="First-Level Subheading"/>
    <w:basedOn w:val="IssueSubsectionHeading"/>
    <w:next w:val="BodyText"/>
    <w:qFormat/>
    <w:rsid w:val="00002494"/>
    <w:pPr>
      <w:spacing w:after="0"/>
      <w:outlineLvl w:val="2"/>
    </w:pPr>
    <w:rPr>
      <w:i w:val="0"/>
    </w:rPr>
  </w:style>
  <w:style w:type="paragraph" w:customStyle="1" w:styleId="Second-LevelSubheading">
    <w:name w:val="Second-Level Subheading"/>
    <w:basedOn w:val="First-LevelSubheading"/>
    <w:next w:val="BodyText"/>
    <w:qFormat/>
    <w:rsid w:val="00002494"/>
    <w:pPr>
      <w:ind w:left="720"/>
      <w:outlineLvl w:val="3"/>
    </w:pPr>
    <w:rPr>
      <w:i/>
    </w:rPr>
  </w:style>
  <w:style w:type="paragraph" w:customStyle="1" w:styleId="TableNumber">
    <w:name w:val="Table Number"/>
    <w:basedOn w:val="BodyText"/>
    <w:next w:val="BodyText"/>
    <w:qFormat/>
    <w:rsid w:val="00002494"/>
    <w:pPr>
      <w:spacing w:before="480" w:after="0"/>
      <w:jc w:val="center"/>
    </w:pPr>
    <w:rPr>
      <w:rFonts w:ascii="Arial" w:hAnsi="Arial"/>
      <w:b/>
    </w:rPr>
  </w:style>
  <w:style w:type="paragraph" w:customStyle="1" w:styleId="TableTitle">
    <w:name w:val="Table Title"/>
    <w:basedOn w:val="BodyText"/>
    <w:next w:val="BodyText"/>
    <w:qFormat/>
    <w:rsid w:val="00002494"/>
    <w:pPr>
      <w:spacing w:after="0"/>
      <w:jc w:val="center"/>
    </w:pPr>
    <w:rPr>
      <w:rFonts w:ascii="Arial" w:hAnsi="Arial"/>
      <w:b/>
    </w:rPr>
  </w:style>
  <w:style w:type="paragraph" w:customStyle="1" w:styleId="TableSource">
    <w:name w:val="Table Source"/>
    <w:basedOn w:val="BodyText"/>
    <w:next w:val="BodyText"/>
    <w:qFormat/>
    <w:rsid w:val="00002494"/>
    <w:pPr>
      <w:spacing w:after="480"/>
      <w:jc w:val="both"/>
    </w:pPr>
  </w:style>
  <w:style w:type="paragraph" w:customStyle="1" w:styleId="PartyName">
    <w:name w:val="Party Name"/>
    <w:basedOn w:val="IssueSubsectionHeading"/>
    <w:next w:val="BodyText"/>
    <w:qFormat/>
    <w:rsid w:val="00002494"/>
    <w:rPr>
      <w:i w:val="0"/>
    </w:rPr>
  </w:style>
  <w:style w:type="paragraph" w:customStyle="1" w:styleId="Third-LevelSubheading">
    <w:name w:val="Third-Level Subheading"/>
    <w:basedOn w:val="Second-LevelSubheading"/>
    <w:next w:val="BodyText"/>
    <w:qFormat/>
    <w:rsid w:val="00002494"/>
    <w:pPr>
      <w:ind w:left="1440"/>
      <w:outlineLvl w:val="4"/>
    </w:pPr>
  </w:style>
  <w:style w:type="numbering" w:styleId="111111">
    <w:name w:val="Outline List 2"/>
    <w:basedOn w:val="NoList"/>
    <w:rsid w:val="00002494"/>
    <w:pPr>
      <w:numPr>
        <w:numId w:val="21"/>
      </w:numPr>
    </w:pPr>
  </w:style>
  <w:style w:type="paragraph" w:styleId="ListParagraph">
    <w:name w:val="List Paragraph"/>
    <w:basedOn w:val="Normal"/>
    <w:uiPriority w:val="34"/>
    <w:qFormat/>
    <w:rsid w:val="00002494"/>
    <w:pPr>
      <w:ind w:left="720"/>
      <w:contextualSpacing/>
    </w:pPr>
  </w:style>
  <w:style w:type="character" w:styleId="FollowedHyperlink">
    <w:name w:val="FollowedHyperlink"/>
    <w:uiPriority w:val="99"/>
    <w:unhideWhenUsed/>
    <w:rsid w:val="000024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envelope addres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002494"/>
    <w:rPr>
      <w:sz w:val="24"/>
      <w:szCs w:val="24"/>
    </w:rPr>
  </w:style>
  <w:style w:type="character" w:customStyle="1" w:styleId="FooterChar">
    <w:name w:val="Footer Char"/>
    <w:link w:val="Footer"/>
    <w:rsid w:val="00002494"/>
    <w:rPr>
      <w:sz w:val="24"/>
      <w:szCs w:val="24"/>
    </w:rPr>
  </w:style>
  <w:style w:type="paragraph" w:customStyle="1" w:styleId="MemoAddresses">
    <w:name w:val="Memo Addresses"/>
    <w:basedOn w:val="Normal"/>
    <w:next w:val="Normal"/>
    <w:rsid w:val="00002494"/>
    <w:pPr>
      <w:spacing w:before="120"/>
      <w:ind w:left="1008" w:hanging="1008"/>
      <w:jc w:val="both"/>
    </w:pPr>
  </w:style>
  <w:style w:type="paragraph" w:customStyle="1" w:styleId="MastHeadPSC">
    <w:name w:val="MastHead PSC"/>
    <w:basedOn w:val="Normal"/>
    <w:next w:val="Normal"/>
    <w:rsid w:val="00002494"/>
    <w:pPr>
      <w:jc w:val="center"/>
    </w:pPr>
    <w:rPr>
      <w:b/>
      <w:sz w:val="48"/>
      <w:szCs w:val="48"/>
    </w:rPr>
  </w:style>
  <w:style w:type="paragraph" w:customStyle="1" w:styleId="MastHeadMemorandum">
    <w:name w:val="MastHead Memorandum"/>
    <w:basedOn w:val="Normal"/>
    <w:next w:val="Normal"/>
    <w:rsid w:val="00002494"/>
    <w:pPr>
      <w:jc w:val="center"/>
    </w:pPr>
    <w:rPr>
      <w:b/>
      <w:sz w:val="28"/>
      <w:szCs w:val="28"/>
    </w:rPr>
  </w:style>
  <w:style w:type="paragraph" w:customStyle="1" w:styleId="MastHeadAddress">
    <w:name w:val="MastHead Address"/>
    <w:basedOn w:val="Normal"/>
    <w:next w:val="Normal"/>
    <w:rsid w:val="00002494"/>
    <w:pPr>
      <w:spacing w:after="200"/>
      <w:jc w:val="center"/>
    </w:pPr>
    <w:rPr>
      <w:b/>
      <w:smallCaps/>
      <w:sz w:val="20"/>
      <w:szCs w:val="20"/>
    </w:rPr>
  </w:style>
  <w:style w:type="paragraph" w:customStyle="1" w:styleId="MastHeadState">
    <w:name w:val="MastHead State"/>
    <w:basedOn w:val="Normal"/>
    <w:next w:val="Normal"/>
    <w:rsid w:val="00002494"/>
    <w:pPr>
      <w:jc w:val="center"/>
    </w:pPr>
    <w:rPr>
      <w:b/>
      <w:sz w:val="28"/>
      <w:szCs w:val="28"/>
    </w:rPr>
  </w:style>
  <w:style w:type="paragraph" w:customStyle="1" w:styleId="MemoHeading">
    <w:name w:val="Memo Heading"/>
    <w:basedOn w:val="Normal"/>
    <w:next w:val="Normal"/>
    <w:rsid w:val="00002494"/>
    <w:pPr>
      <w:jc w:val="both"/>
    </w:pPr>
  </w:style>
  <w:style w:type="paragraph" w:customStyle="1" w:styleId="BlockText5">
    <w:name w:val="Block Text .5&quot;"/>
    <w:basedOn w:val="Normal"/>
    <w:rsid w:val="00002494"/>
    <w:pPr>
      <w:spacing w:after="120"/>
      <w:ind w:left="720" w:right="720"/>
    </w:pPr>
  </w:style>
  <w:style w:type="paragraph" w:customStyle="1" w:styleId="BlockText1">
    <w:name w:val="Block Text 1&quot;"/>
    <w:basedOn w:val="Normal"/>
    <w:rsid w:val="00002494"/>
    <w:pPr>
      <w:spacing w:after="120"/>
      <w:ind w:left="1440" w:right="1440"/>
    </w:pPr>
  </w:style>
  <w:style w:type="paragraph" w:customStyle="1" w:styleId="BlockText15">
    <w:name w:val="Block Text 1.5&quot;"/>
    <w:basedOn w:val="Normal"/>
    <w:rsid w:val="00002494"/>
    <w:pPr>
      <w:spacing w:after="120"/>
      <w:ind w:left="2160" w:right="2160"/>
    </w:pPr>
  </w:style>
  <w:style w:type="paragraph" w:customStyle="1" w:styleId="IssueHeading">
    <w:name w:val="Issue Heading"/>
    <w:basedOn w:val="Heading1"/>
    <w:next w:val="BodyText"/>
    <w:link w:val="IssueHeadingChar"/>
    <w:qFormat/>
    <w:rsid w:val="00002494"/>
    <w:pPr>
      <w:keepNext w:val="0"/>
    </w:pPr>
    <w:rPr>
      <w:rFonts w:ascii="Arial" w:hAnsi="Arial"/>
      <w:b/>
      <w:i/>
    </w:rPr>
  </w:style>
  <w:style w:type="character" w:customStyle="1" w:styleId="IssueHeadingChar">
    <w:name w:val="Issue Heading Char"/>
    <w:link w:val="IssueHeading"/>
    <w:rsid w:val="00002494"/>
    <w:rPr>
      <w:rFonts w:ascii="Arial" w:hAnsi="Arial" w:cs="Arial"/>
      <w:b/>
      <w:bCs/>
      <w:i/>
      <w:kern w:val="32"/>
      <w:sz w:val="24"/>
      <w:szCs w:val="32"/>
    </w:rPr>
  </w:style>
  <w:style w:type="paragraph" w:customStyle="1" w:styleId="MemoHeadingRe">
    <w:name w:val="Memo Heading Re"/>
    <w:basedOn w:val="MemoHeading"/>
    <w:rsid w:val="00002494"/>
    <w:pPr>
      <w:tabs>
        <w:tab w:val="left" w:pos="2520"/>
        <w:tab w:val="left" w:pos="2736"/>
      </w:tabs>
    </w:pPr>
  </w:style>
  <w:style w:type="paragraph" w:styleId="TOC1">
    <w:name w:val="toc 1"/>
    <w:basedOn w:val="Normal"/>
    <w:next w:val="Normal"/>
    <w:uiPriority w:val="39"/>
    <w:rsid w:val="00002494"/>
    <w:pPr>
      <w:tabs>
        <w:tab w:val="left" w:pos="864"/>
        <w:tab w:val="right" w:leader="dot" w:pos="9360"/>
      </w:tabs>
      <w:spacing w:line="360" w:lineRule="auto"/>
      <w:ind w:left="864" w:right="360" w:hanging="864"/>
    </w:pPr>
  </w:style>
  <w:style w:type="character" w:styleId="Hyperlink">
    <w:name w:val="Hyperlink"/>
    <w:uiPriority w:val="99"/>
    <w:rsid w:val="00002494"/>
    <w:rPr>
      <w:color w:val="0000FF"/>
      <w:u w:val="single"/>
    </w:rPr>
  </w:style>
  <w:style w:type="paragraph" w:customStyle="1" w:styleId="RecommendationMajorSectionHeading">
    <w:name w:val="Recommendation Major Section Heading"/>
    <w:basedOn w:val="Heading1"/>
    <w:next w:val="BodyText"/>
    <w:rsid w:val="00002494"/>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02494"/>
    <w:pPr>
      <w:keepNext w:val="0"/>
    </w:pPr>
    <w:rPr>
      <w:rFonts w:ascii="Arial" w:hAnsi="Arial"/>
      <w:b/>
      <w:i/>
    </w:rPr>
  </w:style>
  <w:style w:type="character" w:customStyle="1" w:styleId="IssueSubsectionHeadingChar">
    <w:name w:val="Issue Subsection Heading Char"/>
    <w:link w:val="IssueSubsectionHeading"/>
    <w:rsid w:val="00002494"/>
    <w:rPr>
      <w:rFonts w:ascii="Arial" w:hAnsi="Arial" w:cs="Arial"/>
      <w:b/>
      <w:bCs/>
      <w:i/>
      <w:iCs/>
      <w:sz w:val="24"/>
      <w:szCs w:val="28"/>
    </w:rPr>
  </w:style>
  <w:style w:type="paragraph" w:customStyle="1" w:styleId="RecommendationHeading">
    <w:name w:val="Recommendation Heading"/>
    <w:basedOn w:val="Heading1"/>
    <w:next w:val="BodyText"/>
    <w:rsid w:val="00002494"/>
    <w:pPr>
      <w:keepNext w:val="0"/>
      <w:jc w:val="center"/>
    </w:pPr>
    <w:rPr>
      <w:b/>
      <w:u w:val="single"/>
    </w:rPr>
  </w:style>
  <w:style w:type="paragraph" w:customStyle="1" w:styleId="DiscussionofIssues">
    <w:name w:val="Discussion of Issues"/>
    <w:basedOn w:val="RecommendationMajorSectionHeading"/>
    <w:next w:val="BodyText"/>
    <w:rsid w:val="00002494"/>
    <w:pPr>
      <w:spacing w:after="0"/>
    </w:pPr>
  </w:style>
  <w:style w:type="paragraph" w:customStyle="1" w:styleId="TOCColumnHeadings">
    <w:name w:val="TOC Column Headings"/>
    <w:basedOn w:val="Normal"/>
    <w:rsid w:val="00002494"/>
    <w:pPr>
      <w:tabs>
        <w:tab w:val="left" w:pos="864"/>
        <w:tab w:val="right" w:pos="9360"/>
      </w:tabs>
    </w:pPr>
    <w:rPr>
      <w:u w:val="words"/>
    </w:rPr>
  </w:style>
  <w:style w:type="table" w:customStyle="1" w:styleId="TableMasthead">
    <w:name w:val="Table Masthead"/>
    <w:basedOn w:val="TableGrid"/>
    <w:rsid w:val="00002494"/>
    <w:tblPr/>
  </w:style>
  <w:style w:type="paragraph" w:customStyle="1" w:styleId="StyleHeading1BoldUnderline">
    <w:name w:val="Style Heading 1 + Bold Underline"/>
    <w:basedOn w:val="Heading1"/>
    <w:link w:val="StyleHeading1BoldUnderlineChar"/>
    <w:rsid w:val="00002494"/>
    <w:pPr>
      <w:keepNext w:val="0"/>
      <w:spacing w:before="240"/>
    </w:pPr>
    <w:rPr>
      <w:b/>
      <w:u w:val="single"/>
    </w:rPr>
  </w:style>
  <w:style w:type="character" w:customStyle="1" w:styleId="StyleHeading1BoldUnderlineChar">
    <w:name w:val="Style Heading 1 + Bold Underline Char"/>
    <w:link w:val="StyleHeading1BoldUnderline"/>
    <w:rsid w:val="00002494"/>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002494"/>
    <w:pPr>
      <w:jc w:val="left"/>
    </w:pPr>
  </w:style>
  <w:style w:type="character" w:customStyle="1" w:styleId="FootnoteTextChar">
    <w:name w:val="Footnote Text Char"/>
    <w:link w:val="FootnoteText"/>
    <w:rsid w:val="00002494"/>
  </w:style>
  <w:style w:type="paragraph" w:styleId="TOC3">
    <w:name w:val="toc 3"/>
    <w:basedOn w:val="TOC2"/>
    <w:next w:val="Normal"/>
    <w:rsid w:val="00002494"/>
    <w:pPr>
      <w:tabs>
        <w:tab w:val="clear" w:pos="1152"/>
        <w:tab w:val="left" w:pos="1584"/>
      </w:tabs>
      <w:ind w:left="1584" w:hanging="432"/>
    </w:pPr>
  </w:style>
  <w:style w:type="paragraph" w:styleId="TOC2">
    <w:name w:val="toc 2"/>
    <w:basedOn w:val="TOC1"/>
    <w:next w:val="Normal"/>
    <w:rsid w:val="00002494"/>
    <w:pPr>
      <w:tabs>
        <w:tab w:val="clear" w:pos="864"/>
        <w:tab w:val="left" w:pos="1152"/>
      </w:tabs>
      <w:ind w:left="1152" w:hanging="288"/>
    </w:pPr>
  </w:style>
  <w:style w:type="paragraph" w:styleId="DocumentMap">
    <w:name w:val="Document Map"/>
    <w:basedOn w:val="Normal"/>
    <w:link w:val="DocumentMapChar"/>
    <w:rsid w:val="00002494"/>
    <w:pPr>
      <w:shd w:val="clear" w:color="auto" w:fill="000080"/>
    </w:pPr>
    <w:rPr>
      <w:rFonts w:ascii="Tahoma" w:hAnsi="Tahoma" w:cs="Tahoma"/>
    </w:rPr>
  </w:style>
  <w:style w:type="character" w:customStyle="1" w:styleId="DocumentMapChar">
    <w:name w:val="Document Map Char"/>
    <w:basedOn w:val="DefaultParagraphFont"/>
    <w:link w:val="DocumentMap"/>
    <w:rsid w:val="00002494"/>
    <w:rPr>
      <w:rFonts w:ascii="Tahoma" w:hAnsi="Tahoma" w:cs="Tahoma"/>
      <w:sz w:val="24"/>
      <w:szCs w:val="24"/>
      <w:shd w:val="clear" w:color="auto" w:fill="000080"/>
    </w:rPr>
  </w:style>
  <w:style w:type="paragraph" w:styleId="BalloonText">
    <w:name w:val="Balloon Text"/>
    <w:basedOn w:val="Normal"/>
    <w:link w:val="BalloonTextChar"/>
    <w:rsid w:val="00002494"/>
    <w:rPr>
      <w:rFonts w:ascii="Tahoma" w:hAnsi="Tahoma" w:cs="Tahoma"/>
      <w:sz w:val="16"/>
      <w:szCs w:val="16"/>
    </w:rPr>
  </w:style>
  <w:style w:type="character" w:customStyle="1" w:styleId="BalloonTextChar">
    <w:name w:val="Balloon Text Char"/>
    <w:basedOn w:val="DefaultParagraphFont"/>
    <w:link w:val="BalloonText"/>
    <w:rsid w:val="00002494"/>
    <w:rPr>
      <w:rFonts w:ascii="Tahoma" w:hAnsi="Tahoma" w:cs="Tahoma"/>
      <w:sz w:val="16"/>
      <w:szCs w:val="16"/>
    </w:rPr>
  </w:style>
  <w:style w:type="paragraph" w:styleId="BlockText">
    <w:name w:val="Block Text"/>
    <w:basedOn w:val="Normal"/>
    <w:rsid w:val="00002494"/>
    <w:pPr>
      <w:spacing w:after="120"/>
      <w:ind w:left="1440" w:right="1440"/>
    </w:pPr>
  </w:style>
  <w:style w:type="paragraph" w:styleId="BodyText2">
    <w:name w:val="Body Text 2"/>
    <w:basedOn w:val="Normal"/>
    <w:link w:val="BodyText2Char"/>
    <w:rsid w:val="00002494"/>
    <w:pPr>
      <w:spacing w:after="120" w:line="480" w:lineRule="auto"/>
    </w:pPr>
  </w:style>
  <w:style w:type="character" w:customStyle="1" w:styleId="BodyText2Char">
    <w:name w:val="Body Text 2 Char"/>
    <w:basedOn w:val="DefaultParagraphFont"/>
    <w:link w:val="BodyText2"/>
    <w:rsid w:val="00002494"/>
    <w:rPr>
      <w:sz w:val="24"/>
      <w:szCs w:val="24"/>
    </w:rPr>
  </w:style>
  <w:style w:type="paragraph" w:styleId="BodyText3">
    <w:name w:val="Body Text 3"/>
    <w:basedOn w:val="Normal"/>
    <w:link w:val="BodyText3Char"/>
    <w:rsid w:val="00002494"/>
    <w:pPr>
      <w:spacing w:after="120"/>
    </w:pPr>
    <w:rPr>
      <w:sz w:val="16"/>
      <w:szCs w:val="16"/>
    </w:rPr>
  </w:style>
  <w:style w:type="character" w:customStyle="1" w:styleId="BodyText3Char">
    <w:name w:val="Body Text 3 Char"/>
    <w:basedOn w:val="DefaultParagraphFont"/>
    <w:link w:val="BodyText3"/>
    <w:rsid w:val="00002494"/>
    <w:rPr>
      <w:sz w:val="16"/>
      <w:szCs w:val="16"/>
    </w:rPr>
  </w:style>
  <w:style w:type="paragraph" w:styleId="BodyTextFirstIndent">
    <w:name w:val="Body Text First Indent"/>
    <w:basedOn w:val="BodyText"/>
    <w:link w:val="BodyTextFirstIndentChar"/>
    <w:rsid w:val="00002494"/>
    <w:pPr>
      <w:ind w:firstLine="210"/>
    </w:pPr>
  </w:style>
  <w:style w:type="character" w:customStyle="1" w:styleId="BodyTextFirstIndentChar">
    <w:name w:val="Body Text First Indent Char"/>
    <w:basedOn w:val="BodyTextChar"/>
    <w:link w:val="BodyTextFirstIndent"/>
    <w:rsid w:val="00002494"/>
    <w:rPr>
      <w:sz w:val="24"/>
      <w:szCs w:val="24"/>
    </w:rPr>
  </w:style>
  <w:style w:type="paragraph" w:styleId="BodyTextIndent">
    <w:name w:val="Body Text Indent"/>
    <w:basedOn w:val="Normal"/>
    <w:link w:val="BodyTextIndentChar"/>
    <w:rsid w:val="00002494"/>
    <w:pPr>
      <w:spacing w:after="120"/>
      <w:ind w:left="360"/>
    </w:pPr>
  </w:style>
  <w:style w:type="character" w:customStyle="1" w:styleId="BodyTextIndentChar">
    <w:name w:val="Body Text Indent Char"/>
    <w:basedOn w:val="DefaultParagraphFont"/>
    <w:link w:val="BodyTextIndent"/>
    <w:rsid w:val="00002494"/>
    <w:rPr>
      <w:sz w:val="24"/>
      <w:szCs w:val="24"/>
    </w:rPr>
  </w:style>
  <w:style w:type="paragraph" w:styleId="BodyTextFirstIndent2">
    <w:name w:val="Body Text First Indent 2"/>
    <w:basedOn w:val="BodyTextIndent"/>
    <w:link w:val="BodyTextFirstIndent2Char"/>
    <w:rsid w:val="00002494"/>
    <w:pPr>
      <w:ind w:firstLine="210"/>
    </w:pPr>
  </w:style>
  <w:style w:type="character" w:customStyle="1" w:styleId="BodyTextFirstIndent2Char">
    <w:name w:val="Body Text First Indent 2 Char"/>
    <w:basedOn w:val="BodyTextIndentChar"/>
    <w:link w:val="BodyTextFirstIndent2"/>
    <w:rsid w:val="00002494"/>
    <w:rPr>
      <w:sz w:val="24"/>
      <w:szCs w:val="24"/>
    </w:rPr>
  </w:style>
  <w:style w:type="paragraph" w:styleId="BodyTextIndent2">
    <w:name w:val="Body Text Indent 2"/>
    <w:basedOn w:val="Normal"/>
    <w:link w:val="BodyTextIndent2Char"/>
    <w:rsid w:val="00002494"/>
    <w:pPr>
      <w:spacing w:after="120" w:line="480" w:lineRule="auto"/>
      <w:ind w:left="360"/>
    </w:pPr>
  </w:style>
  <w:style w:type="character" w:customStyle="1" w:styleId="BodyTextIndent2Char">
    <w:name w:val="Body Text Indent 2 Char"/>
    <w:basedOn w:val="DefaultParagraphFont"/>
    <w:link w:val="BodyTextIndent2"/>
    <w:rsid w:val="00002494"/>
    <w:rPr>
      <w:sz w:val="24"/>
      <w:szCs w:val="24"/>
    </w:rPr>
  </w:style>
  <w:style w:type="paragraph" w:styleId="BodyTextIndent3">
    <w:name w:val="Body Text Indent 3"/>
    <w:basedOn w:val="Normal"/>
    <w:link w:val="BodyTextIndent3Char"/>
    <w:rsid w:val="00002494"/>
    <w:pPr>
      <w:spacing w:after="120"/>
      <w:ind w:left="360"/>
    </w:pPr>
    <w:rPr>
      <w:sz w:val="16"/>
      <w:szCs w:val="16"/>
    </w:rPr>
  </w:style>
  <w:style w:type="character" w:customStyle="1" w:styleId="BodyTextIndent3Char">
    <w:name w:val="Body Text Indent 3 Char"/>
    <w:basedOn w:val="DefaultParagraphFont"/>
    <w:link w:val="BodyTextIndent3"/>
    <w:rsid w:val="00002494"/>
    <w:rPr>
      <w:sz w:val="16"/>
      <w:szCs w:val="16"/>
    </w:rPr>
  </w:style>
  <w:style w:type="paragraph" w:styleId="Caption">
    <w:name w:val="caption"/>
    <w:basedOn w:val="Normal"/>
    <w:next w:val="Normal"/>
    <w:qFormat/>
    <w:rsid w:val="00002494"/>
    <w:pPr>
      <w:spacing w:before="120" w:after="120"/>
    </w:pPr>
    <w:rPr>
      <w:b/>
      <w:bCs/>
      <w:sz w:val="20"/>
      <w:szCs w:val="20"/>
    </w:rPr>
  </w:style>
  <w:style w:type="paragraph" w:styleId="Closing">
    <w:name w:val="Closing"/>
    <w:basedOn w:val="Normal"/>
    <w:link w:val="ClosingChar"/>
    <w:rsid w:val="00002494"/>
    <w:pPr>
      <w:ind w:left="4320"/>
    </w:pPr>
  </w:style>
  <w:style w:type="character" w:customStyle="1" w:styleId="ClosingChar">
    <w:name w:val="Closing Char"/>
    <w:basedOn w:val="DefaultParagraphFont"/>
    <w:link w:val="Closing"/>
    <w:rsid w:val="00002494"/>
    <w:rPr>
      <w:sz w:val="24"/>
      <w:szCs w:val="24"/>
    </w:rPr>
  </w:style>
  <w:style w:type="paragraph" w:styleId="CommentText">
    <w:name w:val="annotation text"/>
    <w:basedOn w:val="Normal"/>
    <w:link w:val="CommentTextChar"/>
    <w:rsid w:val="00002494"/>
    <w:rPr>
      <w:sz w:val="20"/>
      <w:szCs w:val="20"/>
    </w:rPr>
  </w:style>
  <w:style w:type="character" w:customStyle="1" w:styleId="CommentTextChar">
    <w:name w:val="Comment Text Char"/>
    <w:basedOn w:val="DefaultParagraphFont"/>
    <w:link w:val="CommentText"/>
    <w:rsid w:val="00002494"/>
  </w:style>
  <w:style w:type="paragraph" w:styleId="CommentSubject">
    <w:name w:val="annotation subject"/>
    <w:basedOn w:val="CommentText"/>
    <w:next w:val="CommentText"/>
    <w:link w:val="CommentSubjectChar"/>
    <w:rsid w:val="00002494"/>
    <w:rPr>
      <w:b/>
      <w:bCs/>
    </w:rPr>
  </w:style>
  <w:style w:type="character" w:customStyle="1" w:styleId="CommentSubjectChar">
    <w:name w:val="Comment Subject Char"/>
    <w:basedOn w:val="CommentTextChar"/>
    <w:link w:val="CommentSubject"/>
    <w:rsid w:val="00002494"/>
    <w:rPr>
      <w:b/>
      <w:bCs/>
    </w:rPr>
  </w:style>
  <w:style w:type="paragraph" w:styleId="Date">
    <w:name w:val="Date"/>
    <w:basedOn w:val="Normal"/>
    <w:next w:val="Normal"/>
    <w:link w:val="DateChar"/>
    <w:rsid w:val="00002494"/>
  </w:style>
  <w:style w:type="character" w:customStyle="1" w:styleId="DateChar">
    <w:name w:val="Date Char"/>
    <w:basedOn w:val="DefaultParagraphFont"/>
    <w:link w:val="Date"/>
    <w:rsid w:val="00002494"/>
    <w:rPr>
      <w:sz w:val="24"/>
      <w:szCs w:val="24"/>
    </w:rPr>
  </w:style>
  <w:style w:type="paragraph" w:styleId="E-mailSignature">
    <w:name w:val="E-mail Signature"/>
    <w:basedOn w:val="Normal"/>
    <w:link w:val="E-mailSignatureChar"/>
    <w:rsid w:val="00002494"/>
  </w:style>
  <w:style w:type="character" w:customStyle="1" w:styleId="E-mailSignatureChar">
    <w:name w:val="E-mail Signature Char"/>
    <w:basedOn w:val="DefaultParagraphFont"/>
    <w:link w:val="E-mailSignature"/>
    <w:rsid w:val="00002494"/>
    <w:rPr>
      <w:sz w:val="24"/>
      <w:szCs w:val="24"/>
    </w:rPr>
  </w:style>
  <w:style w:type="paragraph" w:styleId="EndnoteText">
    <w:name w:val="endnote text"/>
    <w:basedOn w:val="Normal"/>
    <w:link w:val="EndnoteTextChar"/>
    <w:rsid w:val="00002494"/>
    <w:rPr>
      <w:sz w:val="20"/>
      <w:szCs w:val="20"/>
    </w:rPr>
  </w:style>
  <w:style w:type="character" w:customStyle="1" w:styleId="EndnoteTextChar">
    <w:name w:val="Endnote Text Char"/>
    <w:basedOn w:val="DefaultParagraphFont"/>
    <w:link w:val="EndnoteText"/>
    <w:rsid w:val="00002494"/>
  </w:style>
  <w:style w:type="paragraph" w:styleId="EnvelopeAddress">
    <w:name w:val="envelope address"/>
    <w:basedOn w:val="Normal"/>
    <w:uiPriority w:val="99"/>
    <w:rsid w:val="0000249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02494"/>
    <w:rPr>
      <w:rFonts w:ascii="Arial" w:hAnsi="Arial" w:cs="Arial"/>
      <w:sz w:val="20"/>
      <w:szCs w:val="20"/>
    </w:rPr>
  </w:style>
  <w:style w:type="paragraph" w:styleId="HTMLAddress">
    <w:name w:val="HTML Address"/>
    <w:basedOn w:val="Normal"/>
    <w:link w:val="HTMLAddressChar"/>
    <w:rsid w:val="00002494"/>
    <w:rPr>
      <w:i/>
      <w:iCs/>
    </w:rPr>
  </w:style>
  <w:style w:type="character" w:customStyle="1" w:styleId="HTMLAddressChar">
    <w:name w:val="HTML Address Char"/>
    <w:basedOn w:val="DefaultParagraphFont"/>
    <w:link w:val="HTMLAddress"/>
    <w:rsid w:val="00002494"/>
    <w:rPr>
      <w:i/>
      <w:iCs/>
      <w:sz w:val="24"/>
      <w:szCs w:val="24"/>
    </w:rPr>
  </w:style>
  <w:style w:type="paragraph" w:styleId="HTMLPreformatted">
    <w:name w:val="HTML Preformatted"/>
    <w:basedOn w:val="Normal"/>
    <w:link w:val="HTMLPreformattedChar"/>
    <w:rsid w:val="00002494"/>
    <w:rPr>
      <w:rFonts w:ascii="Courier New" w:hAnsi="Courier New" w:cs="Courier New"/>
      <w:sz w:val="20"/>
      <w:szCs w:val="20"/>
    </w:rPr>
  </w:style>
  <w:style w:type="character" w:customStyle="1" w:styleId="HTMLPreformattedChar">
    <w:name w:val="HTML Preformatted Char"/>
    <w:basedOn w:val="DefaultParagraphFont"/>
    <w:link w:val="HTMLPreformatted"/>
    <w:rsid w:val="00002494"/>
    <w:rPr>
      <w:rFonts w:ascii="Courier New" w:hAnsi="Courier New" w:cs="Courier New"/>
    </w:rPr>
  </w:style>
  <w:style w:type="paragraph" w:styleId="Index1">
    <w:name w:val="index 1"/>
    <w:basedOn w:val="Normal"/>
    <w:next w:val="Normal"/>
    <w:autoRedefine/>
    <w:rsid w:val="00002494"/>
    <w:pPr>
      <w:ind w:left="240" w:hanging="240"/>
    </w:pPr>
  </w:style>
  <w:style w:type="paragraph" w:styleId="Index2">
    <w:name w:val="index 2"/>
    <w:basedOn w:val="Normal"/>
    <w:next w:val="Normal"/>
    <w:autoRedefine/>
    <w:rsid w:val="00002494"/>
    <w:pPr>
      <w:ind w:left="480" w:hanging="240"/>
    </w:pPr>
  </w:style>
  <w:style w:type="paragraph" w:styleId="Index3">
    <w:name w:val="index 3"/>
    <w:basedOn w:val="Normal"/>
    <w:next w:val="Normal"/>
    <w:autoRedefine/>
    <w:rsid w:val="00002494"/>
    <w:pPr>
      <w:ind w:left="720" w:hanging="240"/>
    </w:pPr>
  </w:style>
  <w:style w:type="paragraph" w:styleId="Index4">
    <w:name w:val="index 4"/>
    <w:basedOn w:val="Normal"/>
    <w:next w:val="Normal"/>
    <w:autoRedefine/>
    <w:rsid w:val="00002494"/>
    <w:pPr>
      <w:ind w:left="960" w:hanging="240"/>
    </w:pPr>
  </w:style>
  <w:style w:type="paragraph" w:styleId="Index5">
    <w:name w:val="index 5"/>
    <w:basedOn w:val="Normal"/>
    <w:next w:val="Normal"/>
    <w:autoRedefine/>
    <w:rsid w:val="00002494"/>
    <w:pPr>
      <w:ind w:left="1200" w:hanging="240"/>
    </w:pPr>
  </w:style>
  <w:style w:type="paragraph" w:styleId="Index6">
    <w:name w:val="index 6"/>
    <w:basedOn w:val="Normal"/>
    <w:next w:val="Normal"/>
    <w:autoRedefine/>
    <w:rsid w:val="00002494"/>
    <w:pPr>
      <w:ind w:left="1440" w:hanging="240"/>
    </w:pPr>
  </w:style>
  <w:style w:type="paragraph" w:styleId="Index7">
    <w:name w:val="index 7"/>
    <w:basedOn w:val="Normal"/>
    <w:next w:val="Normal"/>
    <w:autoRedefine/>
    <w:rsid w:val="00002494"/>
    <w:pPr>
      <w:ind w:left="1680" w:hanging="240"/>
    </w:pPr>
  </w:style>
  <w:style w:type="paragraph" w:styleId="Index8">
    <w:name w:val="index 8"/>
    <w:basedOn w:val="Normal"/>
    <w:next w:val="Normal"/>
    <w:autoRedefine/>
    <w:rsid w:val="00002494"/>
    <w:pPr>
      <w:ind w:left="1920" w:hanging="240"/>
    </w:pPr>
  </w:style>
  <w:style w:type="paragraph" w:styleId="Index9">
    <w:name w:val="index 9"/>
    <w:basedOn w:val="Normal"/>
    <w:next w:val="Normal"/>
    <w:autoRedefine/>
    <w:rsid w:val="00002494"/>
    <w:pPr>
      <w:ind w:left="2160" w:hanging="240"/>
    </w:pPr>
  </w:style>
  <w:style w:type="paragraph" w:styleId="IndexHeading">
    <w:name w:val="index heading"/>
    <w:basedOn w:val="Normal"/>
    <w:next w:val="Index1"/>
    <w:rsid w:val="00002494"/>
    <w:rPr>
      <w:rFonts w:ascii="Arial" w:hAnsi="Arial" w:cs="Arial"/>
      <w:b/>
      <w:bCs/>
    </w:rPr>
  </w:style>
  <w:style w:type="paragraph" w:styleId="List">
    <w:name w:val="List"/>
    <w:basedOn w:val="Normal"/>
    <w:rsid w:val="00002494"/>
    <w:pPr>
      <w:ind w:left="360" w:hanging="360"/>
    </w:pPr>
  </w:style>
  <w:style w:type="paragraph" w:styleId="List2">
    <w:name w:val="List 2"/>
    <w:basedOn w:val="Normal"/>
    <w:rsid w:val="00002494"/>
    <w:pPr>
      <w:ind w:left="720" w:hanging="360"/>
    </w:pPr>
  </w:style>
  <w:style w:type="paragraph" w:styleId="List3">
    <w:name w:val="List 3"/>
    <w:basedOn w:val="Normal"/>
    <w:rsid w:val="00002494"/>
    <w:pPr>
      <w:ind w:left="1080" w:hanging="360"/>
    </w:pPr>
  </w:style>
  <w:style w:type="paragraph" w:styleId="List4">
    <w:name w:val="List 4"/>
    <w:basedOn w:val="Normal"/>
    <w:rsid w:val="00002494"/>
    <w:pPr>
      <w:ind w:left="1440" w:hanging="360"/>
    </w:pPr>
  </w:style>
  <w:style w:type="paragraph" w:styleId="List5">
    <w:name w:val="List 5"/>
    <w:basedOn w:val="Normal"/>
    <w:rsid w:val="00002494"/>
    <w:pPr>
      <w:ind w:left="1800" w:hanging="360"/>
    </w:pPr>
  </w:style>
  <w:style w:type="paragraph" w:styleId="ListBullet">
    <w:name w:val="List Bullet"/>
    <w:basedOn w:val="Normal"/>
    <w:autoRedefine/>
    <w:rsid w:val="00002494"/>
    <w:pPr>
      <w:tabs>
        <w:tab w:val="num" w:pos="360"/>
      </w:tabs>
      <w:ind w:left="360" w:hanging="360"/>
    </w:pPr>
  </w:style>
  <w:style w:type="paragraph" w:styleId="ListBullet2">
    <w:name w:val="List Bullet 2"/>
    <w:basedOn w:val="Normal"/>
    <w:autoRedefine/>
    <w:rsid w:val="00002494"/>
    <w:pPr>
      <w:tabs>
        <w:tab w:val="num" w:pos="720"/>
      </w:tabs>
      <w:ind w:left="720" w:hanging="360"/>
    </w:pPr>
  </w:style>
  <w:style w:type="paragraph" w:styleId="ListBullet3">
    <w:name w:val="List Bullet 3"/>
    <w:basedOn w:val="Normal"/>
    <w:autoRedefine/>
    <w:rsid w:val="00002494"/>
    <w:pPr>
      <w:tabs>
        <w:tab w:val="num" w:pos="1080"/>
      </w:tabs>
      <w:ind w:left="1080" w:hanging="360"/>
    </w:pPr>
  </w:style>
  <w:style w:type="paragraph" w:styleId="ListBullet4">
    <w:name w:val="List Bullet 4"/>
    <w:basedOn w:val="Normal"/>
    <w:autoRedefine/>
    <w:rsid w:val="00002494"/>
    <w:pPr>
      <w:tabs>
        <w:tab w:val="num" w:pos="1440"/>
      </w:tabs>
      <w:ind w:left="1440" w:hanging="360"/>
    </w:pPr>
  </w:style>
  <w:style w:type="paragraph" w:styleId="ListBullet5">
    <w:name w:val="List Bullet 5"/>
    <w:basedOn w:val="Normal"/>
    <w:autoRedefine/>
    <w:rsid w:val="00002494"/>
    <w:pPr>
      <w:tabs>
        <w:tab w:val="num" w:pos="1800"/>
      </w:tabs>
      <w:ind w:left="1800" w:hanging="360"/>
    </w:pPr>
  </w:style>
  <w:style w:type="paragraph" w:styleId="ListContinue">
    <w:name w:val="List Continue"/>
    <w:basedOn w:val="Normal"/>
    <w:rsid w:val="00002494"/>
    <w:pPr>
      <w:spacing w:after="120"/>
      <w:ind w:left="360"/>
    </w:pPr>
  </w:style>
  <w:style w:type="paragraph" w:styleId="ListContinue2">
    <w:name w:val="List Continue 2"/>
    <w:basedOn w:val="Normal"/>
    <w:rsid w:val="00002494"/>
    <w:pPr>
      <w:spacing w:after="120"/>
      <w:ind w:left="720"/>
    </w:pPr>
  </w:style>
  <w:style w:type="paragraph" w:styleId="ListContinue3">
    <w:name w:val="List Continue 3"/>
    <w:basedOn w:val="Normal"/>
    <w:rsid w:val="00002494"/>
    <w:pPr>
      <w:spacing w:after="120"/>
      <w:ind w:left="1080"/>
    </w:pPr>
  </w:style>
  <w:style w:type="paragraph" w:styleId="ListContinue4">
    <w:name w:val="List Continue 4"/>
    <w:basedOn w:val="Normal"/>
    <w:rsid w:val="00002494"/>
    <w:pPr>
      <w:spacing w:after="120"/>
      <w:ind w:left="1440"/>
    </w:pPr>
  </w:style>
  <w:style w:type="paragraph" w:styleId="ListContinue5">
    <w:name w:val="List Continue 5"/>
    <w:basedOn w:val="Normal"/>
    <w:rsid w:val="00002494"/>
    <w:pPr>
      <w:spacing w:after="120"/>
      <w:ind w:left="1800"/>
    </w:pPr>
  </w:style>
  <w:style w:type="paragraph" w:styleId="ListNumber">
    <w:name w:val="List Number"/>
    <w:basedOn w:val="Normal"/>
    <w:rsid w:val="00002494"/>
    <w:pPr>
      <w:tabs>
        <w:tab w:val="num" w:pos="360"/>
      </w:tabs>
      <w:ind w:left="360" w:hanging="360"/>
    </w:pPr>
  </w:style>
  <w:style w:type="paragraph" w:styleId="ListNumber2">
    <w:name w:val="List Number 2"/>
    <w:basedOn w:val="Normal"/>
    <w:rsid w:val="00002494"/>
    <w:pPr>
      <w:tabs>
        <w:tab w:val="num" w:pos="720"/>
      </w:tabs>
      <w:ind w:left="720" w:hanging="360"/>
    </w:pPr>
  </w:style>
  <w:style w:type="paragraph" w:styleId="ListNumber3">
    <w:name w:val="List Number 3"/>
    <w:basedOn w:val="Normal"/>
    <w:rsid w:val="00002494"/>
    <w:pPr>
      <w:tabs>
        <w:tab w:val="num" w:pos="1080"/>
      </w:tabs>
      <w:ind w:left="1080" w:hanging="360"/>
    </w:pPr>
  </w:style>
  <w:style w:type="paragraph" w:styleId="ListNumber4">
    <w:name w:val="List Number 4"/>
    <w:basedOn w:val="Normal"/>
    <w:rsid w:val="00002494"/>
    <w:pPr>
      <w:tabs>
        <w:tab w:val="num" w:pos="1440"/>
      </w:tabs>
      <w:ind w:left="1440" w:hanging="360"/>
    </w:pPr>
  </w:style>
  <w:style w:type="paragraph" w:styleId="ListNumber5">
    <w:name w:val="List Number 5"/>
    <w:basedOn w:val="Normal"/>
    <w:rsid w:val="00002494"/>
    <w:pPr>
      <w:tabs>
        <w:tab w:val="num" w:pos="1800"/>
      </w:tabs>
      <w:ind w:left="1800" w:hanging="360"/>
    </w:pPr>
  </w:style>
  <w:style w:type="paragraph" w:styleId="MacroText">
    <w:name w:val="macro"/>
    <w:link w:val="MacroTextChar"/>
    <w:rsid w:val="000024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02494"/>
    <w:rPr>
      <w:rFonts w:ascii="Courier New" w:hAnsi="Courier New" w:cs="Courier New"/>
    </w:rPr>
  </w:style>
  <w:style w:type="paragraph" w:styleId="MessageHeader">
    <w:name w:val="Message Header"/>
    <w:basedOn w:val="Normal"/>
    <w:link w:val="MessageHeaderChar"/>
    <w:rsid w:val="0000249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02494"/>
    <w:rPr>
      <w:rFonts w:ascii="Arial" w:hAnsi="Arial" w:cs="Arial"/>
      <w:sz w:val="24"/>
      <w:szCs w:val="24"/>
      <w:shd w:val="pct20" w:color="auto" w:fill="auto"/>
    </w:rPr>
  </w:style>
  <w:style w:type="paragraph" w:styleId="NormalWeb">
    <w:name w:val="Normal (Web)"/>
    <w:basedOn w:val="Normal"/>
    <w:rsid w:val="00002494"/>
  </w:style>
  <w:style w:type="paragraph" w:styleId="NormalIndent">
    <w:name w:val="Normal Indent"/>
    <w:basedOn w:val="Normal"/>
    <w:rsid w:val="00002494"/>
    <w:pPr>
      <w:ind w:left="720"/>
    </w:pPr>
  </w:style>
  <w:style w:type="paragraph" w:styleId="NoteHeading">
    <w:name w:val="Note Heading"/>
    <w:basedOn w:val="Normal"/>
    <w:next w:val="Normal"/>
    <w:link w:val="NoteHeadingChar"/>
    <w:rsid w:val="00002494"/>
  </w:style>
  <w:style w:type="character" w:customStyle="1" w:styleId="NoteHeadingChar">
    <w:name w:val="Note Heading Char"/>
    <w:basedOn w:val="DefaultParagraphFont"/>
    <w:link w:val="NoteHeading"/>
    <w:rsid w:val="00002494"/>
    <w:rPr>
      <w:sz w:val="24"/>
      <w:szCs w:val="24"/>
    </w:rPr>
  </w:style>
  <w:style w:type="paragraph" w:styleId="PlainText">
    <w:name w:val="Plain Text"/>
    <w:basedOn w:val="Normal"/>
    <w:link w:val="PlainTextChar"/>
    <w:rsid w:val="00002494"/>
    <w:rPr>
      <w:rFonts w:ascii="Courier New" w:hAnsi="Courier New" w:cs="Courier New"/>
      <w:sz w:val="20"/>
      <w:szCs w:val="20"/>
    </w:rPr>
  </w:style>
  <w:style w:type="character" w:customStyle="1" w:styleId="PlainTextChar">
    <w:name w:val="Plain Text Char"/>
    <w:basedOn w:val="DefaultParagraphFont"/>
    <w:link w:val="PlainText"/>
    <w:rsid w:val="00002494"/>
    <w:rPr>
      <w:rFonts w:ascii="Courier New" w:hAnsi="Courier New" w:cs="Courier New"/>
    </w:rPr>
  </w:style>
  <w:style w:type="paragraph" w:styleId="Salutation">
    <w:name w:val="Salutation"/>
    <w:basedOn w:val="Normal"/>
    <w:next w:val="Normal"/>
    <w:link w:val="SalutationChar"/>
    <w:rsid w:val="00002494"/>
  </w:style>
  <w:style w:type="character" w:customStyle="1" w:styleId="SalutationChar">
    <w:name w:val="Salutation Char"/>
    <w:basedOn w:val="DefaultParagraphFont"/>
    <w:link w:val="Salutation"/>
    <w:rsid w:val="00002494"/>
    <w:rPr>
      <w:sz w:val="24"/>
      <w:szCs w:val="24"/>
    </w:rPr>
  </w:style>
  <w:style w:type="paragraph" w:styleId="Signature">
    <w:name w:val="Signature"/>
    <w:basedOn w:val="Normal"/>
    <w:link w:val="SignatureChar"/>
    <w:rsid w:val="00002494"/>
    <w:pPr>
      <w:ind w:left="4320"/>
    </w:pPr>
  </w:style>
  <w:style w:type="character" w:customStyle="1" w:styleId="SignatureChar">
    <w:name w:val="Signature Char"/>
    <w:basedOn w:val="DefaultParagraphFont"/>
    <w:link w:val="Signature"/>
    <w:rsid w:val="00002494"/>
    <w:rPr>
      <w:sz w:val="24"/>
      <w:szCs w:val="24"/>
    </w:rPr>
  </w:style>
  <w:style w:type="paragraph" w:styleId="Subtitle">
    <w:name w:val="Subtitle"/>
    <w:basedOn w:val="Normal"/>
    <w:link w:val="SubtitleChar"/>
    <w:qFormat/>
    <w:rsid w:val="00002494"/>
    <w:pPr>
      <w:spacing w:after="60"/>
      <w:jc w:val="center"/>
      <w:outlineLvl w:val="1"/>
    </w:pPr>
    <w:rPr>
      <w:rFonts w:ascii="Arial" w:hAnsi="Arial" w:cs="Arial"/>
    </w:rPr>
  </w:style>
  <w:style w:type="character" w:customStyle="1" w:styleId="SubtitleChar">
    <w:name w:val="Subtitle Char"/>
    <w:basedOn w:val="DefaultParagraphFont"/>
    <w:link w:val="Subtitle"/>
    <w:rsid w:val="00002494"/>
    <w:rPr>
      <w:rFonts w:ascii="Arial" w:hAnsi="Arial" w:cs="Arial"/>
      <w:sz w:val="24"/>
      <w:szCs w:val="24"/>
    </w:rPr>
  </w:style>
  <w:style w:type="paragraph" w:styleId="TableofAuthorities">
    <w:name w:val="table of authorities"/>
    <w:basedOn w:val="Normal"/>
    <w:next w:val="Normal"/>
    <w:rsid w:val="00002494"/>
    <w:pPr>
      <w:ind w:left="240" w:hanging="240"/>
    </w:pPr>
  </w:style>
  <w:style w:type="paragraph" w:styleId="TableofFigures">
    <w:name w:val="table of figures"/>
    <w:basedOn w:val="Normal"/>
    <w:next w:val="Normal"/>
    <w:rsid w:val="00002494"/>
    <w:pPr>
      <w:ind w:left="480" w:hanging="480"/>
    </w:pPr>
  </w:style>
  <w:style w:type="paragraph" w:styleId="Title">
    <w:name w:val="Title"/>
    <w:basedOn w:val="Normal"/>
    <w:link w:val="TitleChar"/>
    <w:qFormat/>
    <w:rsid w:val="0000249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02494"/>
    <w:rPr>
      <w:rFonts w:ascii="Arial" w:hAnsi="Arial" w:cs="Arial"/>
      <w:b/>
      <w:bCs/>
      <w:kern w:val="28"/>
      <w:sz w:val="32"/>
      <w:szCs w:val="32"/>
    </w:rPr>
  </w:style>
  <w:style w:type="paragraph" w:styleId="TOAHeading">
    <w:name w:val="toa heading"/>
    <w:basedOn w:val="Normal"/>
    <w:next w:val="Normal"/>
    <w:rsid w:val="00002494"/>
    <w:pPr>
      <w:spacing w:before="120"/>
    </w:pPr>
    <w:rPr>
      <w:rFonts w:ascii="Arial" w:hAnsi="Arial" w:cs="Arial"/>
      <w:b/>
      <w:bCs/>
    </w:rPr>
  </w:style>
  <w:style w:type="paragraph" w:styleId="TOC4">
    <w:name w:val="toc 4"/>
    <w:basedOn w:val="Normal"/>
    <w:next w:val="Normal"/>
    <w:autoRedefine/>
    <w:rsid w:val="00002494"/>
    <w:pPr>
      <w:ind w:left="720"/>
    </w:pPr>
  </w:style>
  <w:style w:type="paragraph" w:styleId="TOC5">
    <w:name w:val="toc 5"/>
    <w:basedOn w:val="Normal"/>
    <w:next w:val="Normal"/>
    <w:autoRedefine/>
    <w:rsid w:val="00002494"/>
    <w:pPr>
      <w:ind w:left="960"/>
    </w:pPr>
  </w:style>
  <w:style w:type="paragraph" w:styleId="TOC6">
    <w:name w:val="toc 6"/>
    <w:basedOn w:val="Normal"/>
    <w:next w:val="Normal"/>
    <w:autoRedefine/>
    <w:rsid w:val="00002494"/>
    <w:pPr>
      <w:ind w:left="1200"/>
    </w:pPr>
  </w:style>
  <w:style w:type="paragraph" w:styleId="TOC9">
    <w:name w:val="toc 9"/>
    <w:basedOn w:val="TOC1"/>
    <w:next w:val="Normal"/>
    <w:autoRedefine/>
    <w:rsid w:val="00002494"/>
    <w:pPr>
      <w:ind w:left="1728"/>
    </w:pPr>
    <w:rPr>
      <w:u w:val="single"/>
    </w:rPr>
  </w:style>
  <w:style w:type="paragraph" w:customStyle="1" w:styleId="MemoHeadingLabel">
    <w:name w:val="Memo Heading Label"/>
    <w:basedOn w:val="MemoHeading"/>
    <w:qFormat/>
    <w:rsid w:val="00002494"/>
    <w:rPr>
      <w:rFonts w:ascii="Arial" w:hAnsi="Arial"/>
      <w:b/>
    </w:rPr>
  </w:style>
  <w:style w:type="paragraph" w:customStyle="1" w:styleId="First-LevelSubheading">
    <w:name w:val="First-Level Subheading"/>
    <w:basedOn w:val="IssueSubsectionHeading"/>
    <w:next w:val="BodyText"/>
    <w:qFormat/>
    <w:rsid w:val="00002494"/>
    <w:pPr>
      <w:spacing w:after="0"/>
      <w:outlineLvl w:val="2"/>
    </w:pPr>
    <w:rPr>
      <w:i w:val="0"/>
    </w:rPr>
  </w:style>
  <w:style w:type="paragraph" w:customStyle="1" w:styleId="Second-LevelSubheading">
    <w:name w:val="Second-Level Subheading"/>
    <w:basedOn w:val="First-LevelSubheading"/>
    <w:next w:val="BodyText"/>
    <w:qFormat/>
    <w:rsid w:val="00002494"/>
    <w:pPr>
      <w:ind w:left="720"/>
      <w:outlineLvl w:val="3"/>
    </w:pPr>
    <w:rPr>
      <w:i/>
    </w:rPr>
  </w:style>
  <w:style w:type="paragraph" w:customStyle="1" w:styleId="TableNumber">
    <w:name w:val="Table Number"/>
    <w:basedOn w:val="BodyText"/>
    <w:next w:val="BodyText"/>
    <w:qFormat/>
    <w:rsid w:val="00002494"/>
    <w:pPr>
      <w:spacing w:before="480" w:after="0"/>
      <w:jc w:val="center"/>
    </w:pPr>
    <w:rPr>
      <w:rFonts w:ascii="Arial" w:hAnsi="Arial"/>
      <w:b/>
    </w:rPr>
  </w:style>
  <w:style w:type="paragraph" w:customStyle="1" w:styleId="TableTitle">
    <w:name w:val="Table Title"/>
    <w:basedOn w:val="BodyText"/>
    <w:next w:val="BodyText"/>
    <w:qFormat/>
    <w:rsid w:val="00002494"/>
    <w:pPr>
      <w:spacing w:after="0"/>
      <w:jc w:val="center"/>
    </w:pPr>
    <w:rPr>
      <w:rFonts w:ascii="Arial" w:hAnsi="Arial"/>
      <w:b/>
    </w:rPr>
  </w:style>
  <w:style w:type="paragraph" w:customStyle="1" w:styleId="TableSource">
    <w:name w:val="Table Source"/>
    <w:basedOn w:val="BodyText"/>
    <w:next w:val="BodyText"/>
    <w:qFormat/>
    <w:rsid w:val="00002494"/>
    <w:pPr>
      <w:spacing w:after="480"/>
      <w:jc w:val="both"/>
    </w:pPr>
  </w:style>
  <w:style w:type="paragraph" w:customStyle="1" w:styleId="PartyName">
    <w:name w:val="Party Name"/>
    <w:basedOn w:val="IssueSubsectionHeading"/>
    <w:next w:val="BodyText"/>
    <w:qFormat/>
    <w:rsid w:val="00002494"/>
    <w:rPr>
      <w:i w:val="0"/>
    </w:rPr>
  </w:style>
  <w:style w:type="paragraph" w:customStyle="1" w:styleId="Third-LevelSubheading">
    <w:name w:val="Third-Level Subheading"/>
    <w:basedOn w:val="Second-LevelSubheading"/>
    <w:next w:val="BodyText"/>
    <w:qFormat/>
    <w:rsid w:val="00002494"/>
    <w:pPr>
      <w:ind w:left="1440"/>
      <w:outlineLvl w:val="4"/>
    </w:pPr>
  </w:style>
  <w:style w:type="numbering" w:styleId="111111">
    <w:name w:val="Outline List 2"/>
    <w:basedOn w:val="NoList"/>
    <w:rsid w:val="00002494"/>
    <w:pPr>
      <w:numPr>
        <w:numId w:val="21"/>
      </w:numPr>
    </w:pPr>
  </w:style>
  <w:style w:type="paragraph" w:styleId="ListParagraph">
    <w:name w:val="List Paragraph"/>
    <w:basedOn w:val="Normal"/>
    <w:uiPriority w:val="34"/>
    <w:qFormat/>
    <w:rsid w:val="00002494"/>
    <w:pPr>
      <w:ind w:left="720"/>
      <w:contextualSpacing/>
    </w:pPr>
  </w:style>
  <w:style w:type="character" w:styleId="FollowedHyperlink">
    <w:name w:val="FollowedHyperlink"/>
    <w:uiPriority w:val="99"/>
    <w:unhideWhenUsed/>
    <w:rsid w:val="000024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125C-A225-4ABA-8090-30541638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6</TotalTime>
  <Pages>52</Pages>
  <Words>21111</Words>
  <Characters>117241</Characters>
  <Application>Microsoft Office Word</Application>
  <DocSecurity>0</DocSecurity>
  <Lines>977</Lines>
  <Paragraphs>276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2016-03-28T19:05:00Z</cp:lastPrinted>
  <dcterms:created xsi:type="dcterms:W3CDTF">2016-03-28T16:54:00Z</dcterms:created>
  <dcterms:modified xsi:type="dcterms:W3CDTF">2016-03-28T19:05:00Z</dcterms:modified>
</cp:coreProperties>
</file>