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13498" w:rsidP="00E13498">
      <w:pPr>
        <w:pStyle w:val="OrderHeading"/>
      </w:pPr>
      <w:bookmarkStart w:id="0" w:name="_GoBack"/>
      <w:bookmarkEnd w:id="0"/>
      <w:r>
        <w:t>BEFORE THE FLORIDA PUBLIC SERVICE COMMISSION</w:t>
      </w:r>
    </w:p>
    <w:p w:rsidR="00E13498" w:rsidRDefault="00E13498" w:rsidP="00E13498">
      <w:pPr>
        <w:pStyle w:val="OrderHeading"/>
      </w:pPr>
    </w:p>
    <w:p w:rsidR="00E13498" w:rsidRDefault="00E13498" w:rsidP="00E134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3498" w:rsidRPr="00C63FCF" w:rsidTr="00C63FCF">
        <w:trPr>
          <w:trHeight w:val="828"/>
        </w:trPr>
        <w:tc>
          <w:tcPr>
            <w:tcW w:w="4788" w:type="dxa"/>
            <w:tcBorders>
              <w:bottom w:val="nil"/>
              <w:right w:val="double" w:sz="6" w:space="0" w:color="auto"/>
            </w:tcBorders>
            <w:shd w:val="clear" w:color="auto" w:fill="auto"/>
          </w:tcPr>
          <w:p w:rsidR="00E13498" w:rsidRDefault="00E13498" w:rsidP="00C63FCF">
            <w:pPr>
              <w:pStyle w:val="OrderBody"/>
              <w:tabs>
                <w:tab w:val="center" w:pos="4320"/>
                <w:tab w:val="right" w:pos="8640"/>
              </w:tabs>
              <w:jc w:val="left"/>
            </w:pPr>
            <w:r>
              <w:t xml:space="preserve">In re: </w:t>
            </w:r>
            <w:bookmarkStart w:id="1" w:name="SMInRe"/>
            <w:bookmarkEnd w:id="1"/>
            <w:r>
              <w:t>Fuel and purchased power cost recovery clause with generating performance incentive factor.</w:t>
            </w:r>
          </w:p>
          <w:p w:rsidR="00E13498" w:rsidRDefault="00E1349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13498" w:rsidRDefault="00E13498" w:rsidP="00C63FCF">
            <w:pPr>
              <w:pStyle w:val="OrderBody"/>
              <w:tabs>
                <w:tab w:val="center" w:pos="4320"/>
                <w:tab w:val="right" w:pos="8640"/>
              </w:tabs>
              <w:jc w:val="left"/>
            </w:pPr>
            <w:r>
              <w:t xml:space="preserve">DOCKET NO. </w:t>
            </w:r>
            <w:bookmarkStart w:id="2" w:name="SMDocketNo"/>
            <w:bookmarkEnd w:id="2"/>
            <w:r>
              <w:t>160001-EI</w:t>
            </w:r>
          </w:p>
        </w:tc>
      </w:tr>
      <w:tr w:rsidR="00E13498" w:rsidRPr="00C63FCF" w:rsidTr="00C63FCF">
        <w:trPr>
          <w:trHeight w:val="828"/>
        </w:trPr>
        <w:tc>
          <w:tcPr>
            <w:tcW w:w="4788" w:type="dxa"/>
            <w:tcBorders>
              <w:top w:val="nil"/>
              <w:bottom w:val="single" w:sz="8" w:space="0" w:color="auto"/>
              <w:right w:val="double" w:sz="6" w:space="0" w:color="auto"/>
            </w:tcBorders>
            <w:shd w:val="clear" w:color="auto" w:fill="auto"/>
          </w:tcPr>
          <w:p w:rsidR="00E13498" w:rsidRDefault="00E13498" w:rsidP="00C63FCF">
            <w:pPr>
              <w:pStyle w:val="OrderBody"/>
              <w:tabs>
                <w:tab w:val="center" w:pos="4320"/>
                <w:tab w:val="right" w:pos="8640"/>
              </w:tabs>
              <w:jc w:val="left"/>
            </w:pPr>
            <w:r>
              <w:t>In re: 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E13498" w:rsidRDefault="00E13498" w:rsidP="00E13498">
            <w:pPr>
              <w:pStyle w:val="OrderBody"/>
            </w:pPr>
            <w:r>
              <w:t xml:space="preserve">DOCKET NO. </w:t>
            </w:r>
            <w:bookmarkStart w:id="3" w:name="SMDocketNo2"/>
            <w:bookmarkEnd w:id="3"/>
            <w:r>
              <w:t>160096-EI</w:t>
            </w:r>
          </w:p>
          <w:p w:rsidR="00E13498" w:rsidRDefault="00E13498" w:rsidP="00C63FCF">
            <w:pPr>
              <w:pStyle w:val="OrderBody"/>
              <w:tabs>
                <w:tab w:val="center" w:pos="4320"/>
                <w:tab w:val="right" w:pos="8640"/>
              </w:tabs>
              <w:jc w:val="left"/>
            </w:pPr>
            <w:r>
              <w:t xml:space="preserve">ORDER NO. </w:t>
            </w:r>
            <w:bookmarkStart w:id="4" w:name="OrderNo0301"/>
            <w:r w:rsidR="0001772D">
              <w:t>PSC-16-0301-PCO-EI</w:t>
            </w:r>
            <w:bookmarkEnd w:id="4"/>
          </w:p>
          <w:p w:rsidR="00E13498" w:rsidRDefault="00E13498" w:rsidP="00C63FCF">
            <w:pPr>
              <w:pStyle w:val="OrderBody"/>
              <w:tabs>
                <w:tab w:val="center" w:pos="4320"/>
                <w:tab w:val="right" w:pos="8640"/>
              </w:tabs>
              <w:jc w:val="left"/>
            </w:pPr>
            <w:r>
              <w:t xml:space="preserve">ISSUED: </w:t>
            </w:r>
            <w:r w:rsidR="0001772D">
              <w:t>July 28, 2016</w:t>
            </w:r>
          </w:p>
          <w:p w:rsidR="00E13498" w:rsidRDefault="00E13498" w:rsidP="00C63FCF">
            <w:pPr>
              <w:pStyle w:val="OrderBody"/>
              <w:tabs>
                <w:tab w:val="center" w:pos="4320"/>
                <w:tab w:val="right" w:pos="8640"/>
              </w:tabs>
              <w:jc w:val="left"/>
            </w:pPr>
          </w:p>
        </w:tc>
      </w:tr>
    </w:tbl>
    <w:p w:rsidR="00E13498" w:rsidRDefault="00E13498" w:rsidP="00E13498"/>
    <w:p w:rsidR="00CB5276" w:rsidRDefault="00E13498" w:rsidP="00E13498">
      <w:pPr>
        <w:pStyle w:val="CenterUnderline"/>
      </w:pPr>
      <w:bookmarkStart w:id="5" w:name="Commissioners"/>
      <w:bookmarkEnd w:id="5"/>
      <w:r>
        <w:t>ORDER</w:t>
      </w:r>
      <w:bookmarkStart w:id="6" w:name="OrderTitle"/>
      <w:r>
        <w:t xml:space="preserve"> CONSOLIDATING DOCKETS </w:t>
      </w:r>
      <w:bookmarkEnd w:id="6"/>
    </w:p>
    <w:p w:rsidR="00E13498" w:rsidRDefault="00E13498" w:rsidP="00E13498">
      <w:pPr>
        <w:pStyle w:val="CenterUnderline"/>
      </w:pPr>
    </w:p>
    <w:p w:rsidR="00BA69C1" w:rsidRDefault="00E13498" w:rsidP="00E13498">
      <w:pPr>
        <w:pStyle w:val="CenterUnderline"/>
        <w:jc w:val="both"/>
        <w:rPr>
          <w:u w:val="none"/>
        </w:rPr>
      </w:pPr>
      <w:r>
        <w:rPr>
          <w:u w:val="none"/>
        </w:rPr>
        <w:tab/>
      </w:r>
      <w:r w:rsidR="006A240E">
        <w:rPr>
          <w:u w:val="none"/>
        </w:rPr>
        <w:t>On April 22, 2016, Duke Energy Florida</w:t>
      </w:r>
      <w:r w:rsidR="000C177B">
        <w:rPr>
          <w:u w:val="none"/>
        </w:rPr>
        <w:t>, LLC</w:t>
      </w:r>
      <w:r w:rsidR="006A240E">
        <w:rPr>
          <w:u w:val="none"/>
        </w:rPr>
        <w:t xml:space="preserve"> (DEF), Florida Power &amp; Light Company (FPL), Tampa Electric Company (TECO) and Gulf Power Company (Gulf Power) filed a Joint Petition by Investor-Owned Utilities for Approval of Modifications to Risk Management Plans (Joint Petition).  In the </w:t>
      </w:r>
      <w:r w:rsidR="00FF5DA9">
        <w:rPr>
          <w:u w:val="none"/>
        </w:rPr>
        <w:t xml:space="preserve">Joint </w:t>
      </w:r>
      <w:r w:rsidR="006A240E">
        <w:rPr>
          <w:u w:val="none"/>
        </w:rPr>
        <w:t>Petition, FPL, TECO and Gulf Power requested that the Commission approve modifications to their 2016 Risk Management Plans approved last year in the 2015 Fuel Docket.</w:t>
      </w:r>
      <w:r w:rsidR="006A240E">
        <w:rPr>
          <w:rStyle w:val="FootnoteReference"/>
          <w:u w:val="none"/>
        </w:rPr>
        <w:footnoteReference w:id="1"/>
      </w:r>
      <w:r w:rsidR="00C54B08">
        <w:rPr>
          <w:u w:val="none"/>
        </w:rPr>
        <w:t xml:space="preserve">  DEF joined in the petition but </w:t>
      </w:r>
      <w:r w:rsidR="00856465">
        <w:rPr>
          <w:u w:val="none"/>
        </w:rPr>
        <w:t>stated</w:t>
      </w:r>
      <w:r w:rsidR="00C54B08">
        <w:rPr>
          <w:u w:val="none"/>
        </w:rPr>
        <w:t xml:space="preserve"> that it had the latitude to make the changes agreed to by the</w:t>
      </w:r>
      <w:r w:rsidR="00856465">
        <w:rPr>
          <w:u w:val="none"/>
        </w:rPr>
        <w:t xml:space="preserve"> parties without modifying its current plan.  Order No. PSC-</w:t>
      </w:r>
      <w:r w:rsidR="00BA69C1">
        <w:rPr>
          <w:u w:val="none"/>
        </w:rPr>
        <w:t>16-0247-PAA-EI, issued on June 27, 2016, granted the Joint Petition.</w:t>
      </w:r>
      <w:r w:rsidR="00BA69C1">
        <w:rPr>
          <w:rStyle w:val="FootnoteReference"/>
          <w:u w:val="none"/>
        </w:rPr>
        <w:footnoteReference w:id="2"/>
      </w:r>
      <w:r w:rsidR="00BA69C1">
        <w:rPr>
          <w:u w:val="none"/>
        </w:rPr>
        <w:t xml:space="preserve">  The Office of Public Counsel (OPC) filed a timely </w:t>
      </w:r>
      <w:r w:rsidR="000C177B">
        <w:rPr>
          <w:u w:val="none"/>
        </w:rPr>
        <w:t xml:space="preserve">protest and </w:t>
      </w:r>
      <w:r w:rsidR="00BA69C1">
        <w:rPr>
          <w:u w:val="none"/>
        </w:rPr>
        <w:t>request for an evidentiary hearing on July 15, 2016.</w:t>
      </w:r>
    </w:p>
    <w:p w:rsidR="00BA69C1" w:rsidRDefault="00BA69C1" w:rsidP="00E13498">
      <w:pPr>
        <w:pStyle w:val="CenterUnderline"/>
        <w:jc w:val="both"/>
        <w:rPr>
          <w:u w:val="none"/>
        </w:rPr>
      </w:pPr>
    </w:p>
    <w:p w:rsidR="00FF5DA9" w:rsidRDefault="00BA69C1" w:rsidP="00E13498">
      <w:pPr>
        <w:pStyle w:val="CenterUnderline"/>
        <w:jc w:val="both"/>
        <w:rPr>
          <w:u w:val="none"/>
        </w:rPr>
      </w:pPr>
      <w:r>
        <w:rPr>
          <w:u w:val="none"/>
        </w:rPr>
        <w:tab/>
        <w:t>In light of the significance of hedging policy in today’s market, it is imperative that this issue be fully litigated as soon as our calendar will allow while still giving all parties adequate time to fully prepare their case.   The investor-owned utilities (FPL, Gulf Power, and TECO) seeking modifications to their risk management plan</w:t>
      </w:r>
      <w:r w:rsidR="00353F95">
        <w:rPr>
          <w:u w:val="none"/>
        </w:rPr>
        <w:t>s,</w:t>
      </w:r>
      <w:r>
        <w:rPr>
          <w:u w:val="none"/>
        </w:rPr>
        <w:t xml:space="preserve"> </w:t>
      </w:r>
      <w:r w:rsidR="00353F95">
        <w:rPr>
          <w:u w:val="none"/>
        </w:rPr>
        <w:t xml:space="preserve">as well as DEF, will be filing 2016 Risk Management Plans in the Fuel Docket, 160001-EI, on August 4, 2016.  The date for filing Intervenor testimony </w:t>
      </w:r>
      <w:r w:rsidR="00355341">
        <w:rPr>
          <w:u w:val="none"/>
        </w:rPr>
        <w:t xml:space="preserve">in the Fuel Docket </w:t>
      </w:r>
      <w:r w:rsidR="00353F95">
        <w:rPr>
          <w:u w:val="none"/>
        </w:rPr>
        <w:t>is September 23, 2016 and the date for filing Commission staff testimony is September 30, 2016.</w:t>
      </w:r>
      <w:r w:rsidR="00355341">
        <w:rPr>
          <w:rStyle w:val="FootnoteReference"/>
          <w:u w:val="none"/>
        </w:rPr>
        <w:footnoteReference w:id="3"/>
      </w:r>
      <w:r w:rsidR="00353F95">
        <w:rPr>
          <w:u w:val="none"/>
        </w:rPr>
        <w:t xml:space="preserve">  </w:t>
      </w:r>
      <w:r w:rsidR="00355341">
        <w:rPr>
          <w:u w:val="none"/>
        </w:rPr>
        <w:t xml:space="preserve">This schedule will give all parties an adequate opportunity to prepare their case as well as litigate the hedging issue in the docket where the Risk Management Plans have traditionally been </w:t>
      </w:r>
      <w:r w:rsidR="00FF5DA9">
        <w:rPr>
          <w:u w:val="none"/>
        </w:rPr>
        <w:t xml:space="preserve">filed and </w:t>
      </w:r>
      <w:r w:rsidR="00355341">
        <w:rPr>
          <w:u w:val="none"/>
        </w:rPr>
        <w:t>reviewed by the Commission.  Consolidation of this docket into the Fuel Docket, Docket No. 160001-EI, for all purposes comports with the requirements of Rule 28-106.211, Florida Administrative Code (F.A.C.), as it prevents delay and promotes the just, speedy, and inexpensive determination of all aspects of OPC’s request for evidentiary hearing.</w:t>
      </w:r>
    </w:p>
    <w:p w:rsidR="00FF5DA9" w:rsidRDefault="00FF5DA9" w:rsidP="00E13498">
      <w:pPr>
        <w:pStyle w:val="CenterUnderline"/>
        <w:jc w:val="both"/>
        <w:rPr>
          <w:u w:val="none"/>
        </w:rPr>
      </w:pPr>
    </w:p>
    <w:p w:rsidR="00FF5DA9" w:rsidRDefault="00FF5DA9" w:rsidP="00E13498">
      <w:pPr>
        <w:pStyle w:val="CenterUnderline"/>
        <w:jc w:val="both"/>
        <w:rPr>
          <w:u w:val="none"/>
        </w:rPr>
      </w:pPr>
      <w:r>
        <w:rPr>
          <w:u w:val="none"/>
        </w:rPr>
        <w:lastRenderedPageBreak/>
        <w:tab/>
        <w:t>Therefore, it is</w:t>
      </w:r>
    </w:p>
    <w:p w:rsidR="00FF5DA9" w:rsidRDefault="00FF5DA9" w:rsidP="00E13498">
      <w:pPr>
        <w:pStyle w:val="CenterUnderline"/>
        <w:jc w:val="both"/>
        <w:rPr>
          <w:u w:val="none"/>
        </w:rPr>
      </w:pPr>
    </w:p>
    <w:p w:rsidR="00FF5DA9" w:rsidRDefault="00FF5DA9" w:rsidP="00FF5DA9">
      <w:pPr>
        <w:pStyle w:val="CenterUnderline"/>
        <w:jc w:val="both"/>
        <w:rPr>
          <w:u w:val="none"/>
        </w:rPr>
      </w:pPr>
      <w:r>
        <w:rPr>
          <w:u w:val="none"/>
        </w:rPr>
        <w:tab/>
        <w:t>ORDERED by Art Graham, as Prehearing Officer, that Docket No. 160096-EI, shall be consolidated with Docket No. 160001-EI, for all purposes.  It is further</w:t>
      </w:r>
    </w:p>
    <w:p w:rsidR="00FF5DA9" w:rsidRDefault="00FF5DA9" w:rsidP="00FF5DA9">
      <w:pPr>
        <w:pStyle w:val="CenterUnderline"/>
        <w:jc w:val="both"/>
        <w:rPr>
          <w:u w:val="none"/>
        </w:rPr>
      </w:pPr>
    </w:p>
    <w:p w:rsidR="00E13498" w:rsidRDefault="00FF5DA9" w:rsidP="00FF5DA9">
      <w:pPr>
        <w:pStyle w:val="CenterUnderline"/>
        <w:jc w:val="both"/>
        <w:rPr>
          <w:u w:val="none"/>
        </w:rPr>
      </w:pPr>
      <w:r>
        <w:rPr>
          <w:u w:val="none"/>
        </w:rPr>
        <w:tab/>
        <w:t xml:space="preserve">ORDERED that all filings shall henceforth be made in Docket No. 160001-EI and that both docket numbers shall be listed on each pleading, notice or order issued in the consolidated dockets.  </w:t>
      </w:r>
    </w:p>
    <w:p w:rsidR="00FF5DA9" w:rsidRDefault="00FF5DA9" w:rsidP="00FF5DA9">
      <w:pPr>
        <w:pStyle w:val="CenterUnderline"/>
        <w:jc w:val="both"/>
        <w:rPr>
          <w:u w:val="none"/>
        </w:rPr>
      </w:pPr>
    </w:p>
    <w:p w:rsidR="00FF5DA9" w:rsidRDefault="00FF5DA9" w:rsidP="00FF5DA9">
      <w:pPr>
        <w:pStyle w:val="CenterUnderline"/>
        <w:keepNext/>
        <w:keepLines/>
        <w:jc w:val="both"/>
        <w:rPr>
          <w:u w:val="none"/>
        </w:rPr>
      </w:pPr>
      <w:r>
        <w:rPr>
          <w:u w:val="none"/>
        </w:rPr>
        <w:tab/>
        <w:t xml:space="preserve">By ORDER of Commissioner Art Graham, as Prehearing Officer, this </w:t>
      </w:r>
      <w:bookmarkStart w:id="7" w:name="replaceDate"/>
      <w:bookmarkEnd w:id="7"/>
      <w:r w:rsidR="0001772D">
        <w:t>28th</w:t>
      </w:r>
      <w:r w:rsidR="0001772D">
        <w:rPr>
          <w:u w:val="none"/>
        </w:rPr>
        <w:t xml:space="preserve"> day of </w:t>
      </w:r>
      <w:r w:rsidR="0001772D">
        <w:t>July</w:t>
      </w:r>
      <w:r w:rsidR="0001772D">
        <w:rPr>
          <w:u w:val="none"/>
        </w:rPr>
        <w:t xml:space="preserve">, </w:t>
      </w:r>
      <w:r w:rsidR="0001772D">
        <w:t>2016</w:t>
      </w:r>
      <w:r w:rsidR="0001772D">
        <w:rPr>
          <w:u w:val="none"/>
        </w:rPr>
        <w:t>.</w:t>
      </w:r>
    </w:p>
    <w:p w:rsidR="0001772D" w:rsidRPr="0001772D" w:rsidRDefault="0001772D" w:rsidP="00FF5DA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F5DA9" w:rsidTr="00FF5DA9">
        <w:tc>
          <w:tcPr>
            <w:tcW w:w="720" w:type="dxa"/>
            <w:shd w:val="clear" w:color="auto" w:fill="auto"/>
          </w:tcPr>
          <w:p w:rsidR="00FF5DA9" w:rsidRDefault="00FF5DA9" w:rsidP="00FF5DA9">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FF5DA9" w:rsidRDefault="0001772D" w:rsidP="00FF5DA9">
            <w:pPr>
              <w:pStyle w:val="CenterUnderline"/>
              <w:keepNext/>
              <w:keepLines/>
              <w:jc w:val="both"/>
              <w:rPr>
                <w:u w:val="none"/>
              </w:rPr>
            </w:pPr>
            <w:r>
              <w:rPr>
                <w:u w:val="none"/>
              </w:rPr>
              <w:t>/s/ Art Graham</w:t>
            </w:r>
          </w:p>
        </w:tc>
      </w:tr>
      <w:bookmarkEnd w:id="8"/>
      <w:tr w:rsidR="00FF5DA9" w:rsidTr="00FF5DA9">
        <w:tc>
          <w:tcPr>
            <w:tcW w:w="720" w:type="dxa"/>
            <w:shd w:val="clear" w:color="auto" w:fill="auto"/>
          </w:tcPr>
          <w:p w:rsidR="00FF5DA9" w:rsidRDefault="00FF5DA9" w:rsidP="00FF5DA9">
            <w:pPr>
              <w:pStyle w:val="CenterUnderline"/>
              <w:keepNext/>
              <w:keepLines/>
              <w:jc w:val="both"/>
              <w:rPr>
                <w:u w:val="none"/>
              </w:rPr>
            </w:pPr>
          </w:p>
        </w:tc>
        <w:tc>
          <w:tcPr>
            <w:tcW w:w="4320" w:type="dxa"/>
            <w:tcBorders>
              <w:top w:val="single" w:sz="4" w:space="0" w:color="auto"/>
            </w:tcBorders>
            <w:shd w:val="clear" w:color="auto" w:fill="auto"/>
          </w:tcPr>
          <w:p w:rsidR="00FF5DA9" w:rsidRDefault="00FF5DA9" w:rsidP="00FF5DA9">
            <w:pPr>
              <w:pStyle w:val="CenterUnderline"/>
              <w:keepNext/>
              <w:keepLines/>
              <w:jc w:val="both"/>
              <w:rPr>
                <w:u w:val="none"/>
              </w:rPr>
            </w:pPr>
            <w:r>
              <w:rPr>
                <w:u w:val="none"/>
              </w:rPr>
              <w:t>ART GRAHAM</w:t>
            </w:r>
          </w:p>
          <w:p w:rsidR="00FF5DA9" w:rsidRDefault="00FF5DA9" w:rsidP="00FF5DA9">
            <w:pPr>
              <w:pStyle w:val="CenterUnderline"/>
              <w:keepNext/>
              <w:keepLines/>
              <w:jc w:val="both"/>
              <w:rPr>
                <w:u w:val="none"/>
              </w:rPr>
            </w:pPr>
            <w:r>
              <w:rPr>
                <w:u w:val="none"/>
              </w:rPr>
              <w:t>Commissioner and Prehearing Officer</w:t>
            </w:r>
          </w:p>
        </w:tc>
      </w:tr>
    </w:tbl>
    <w:p w:rsidR="00FF5DA9" w:rsidRDefault="00FF5DA9" w:rsidP="00FF5DA9">
      <w:pPr>
        <w:pStyle w:val="OrderSigInfo"/>
        <w:keepNext/>
        <w:keepLines/>
      </w:pPr>
      <w:r>
        <w:t>Florida Public Service Commission</w:t>
      </w:r>
    </w:p>
    <w:p w:rsidR="00FF5DA9" w:rsidRDefault="00FF5DA9" w:rsidP="00FF5DA9">
      <w:pPr>
        <w:pStyle w:val="OrderSigInfo"/>
        <w:keepNext/>
        <w:keepLines/>
      </w:pPr>
      <w:r>
        <w:t>2540 Shumard Oak Boulevard</w:t>
      </w:r>
    </w:p>
    <w:p w:rsidR="00FF5DA9" w:rsidRDefault="00FF5DA9" w:rsidP="00FF5DA9">
      <w:pPr>
        <w:pStyle w:val="OrderSigInfo"/>
        <w:keepNext/>
        <w:keepLines/>
      </w:pPr>
      <w:r>
        <w:t>Tallahassee, Florida  32399</w:t>
      </w:r>
    </w:p>
    <w:p w:rsidR="00FF5DA9" w:rsidRDefault="00FF5DA9" w:rsidP="00FF5DA9">
      <w:pPr>
        <w:pStyle w:val="OrderSigInfo"/>
        <w:keepNext/>
        <w:keepLines/>
      </w:pPr>
      <w:r>
        <w:t>(850) 413</w:t>
      </w:r>
      <w:r>
        <w:noBreakHyphen/>
        <w:t>6770</w:t>
      </w:r>
    </w:p>
    <w:p w:rsidR="00FF5DA9" w:rsidRDefault="00FF5DA9" w:rsidP="00FF5DA9">
      <w:pPr>
        <w:pStyle w:val="OrderSigInfo"/>
        <w:keepNext/>
        <w:keepLines/>
      </w:pPr>
      <w:r>
        <w:t>www.floridapsc.com</w:t>
      </w:r>
    </w:p>
    <w:p w:rsidR="00FF5DA9" w:rsidRDefault="00FF5DA9" w:rsidP="00FF5DA9">
      <w:pPr>
        <w:pStyle w:val="OrderSigInfo"/>
        <w:keepNext/>
        <w:keepLines/>
      </w:pPr>
    </w:p>
    <w:p w:rsidR="00FF5DA9" w:rsidRDefault="00FF5DA9" w:rsidP="00FF5DA9">
      <w:pPr>
        <w:pStyle w:val="OrderSigInfo"/>
        <w:keepNext/>
        <w:keepLines/>
      </w:pPr>
      <w:r>
        <w:t>Copies furnished:  A copy of this document is provided to the parties of record at the time of issuance and, if applicable, interested persons.</w:t>
      </w:r>
    </w:p>
    <w:p w:rsidR="00FF5DA9" w:rsidRDefault="00FF5DA9" w:rsidP="00FF5DA9">
      <w:pPr>
        <w:pStyle w:val="OrderBody"/>
        <w:keepNext/>
        <w:keepLines/>
      </w:pPr>
    </w:p>
    <w:p w:rsidR="00FF5DA9" w:rsidRDefault="00FF5DA9" w:rsidP="00FF5DA9">
      <w:pPr>
        <w:pStyle w:val="CenterUnderline"/>
        <w:keepNext/>
        <w:keepLines/>
        <w:jc w:val="both"/>
        <w:rPr>
          <w:u w:val="none"/>
        </w:rPr>
      </w:pPr>
    </w:p>
    <w:p w:rsidR="00FF5DA9" w:rsidRDefault="00FF5DA9" w:rsidP="00FF5DA9">
      <w:pPr>
        <w:pStyle w:val="CenterUnderline"/>
        <w:keepNext/>
        <w:keepLines/>
        <w:jc w:val="both"/>
        <w:rPr>
          <w:u w:val="none"/>
        </w:rPr>
      </w:pPr>
      <w:r>
        <w:rPr>
          <w:u w:val="none"/>
        </w:rPr>
        <w:t>SBr</w:t>
      </w:r>
    </w:p>
    <w:p w:rsidR="00FF5DA9" w:rsidRDefault="00FF5DA9" w:rsidP="00FF5DA9">
      <w:pPr>
        <w:pStyle w:val="CenterUnderline"/>
        <w:jc w:val="both"/>
        <w:rPr>
          <w:u w:val="none"/>
        </w:rPr>
      </w:pPr>
    </w:p>
    <w:p w:rsidR="00FF5DA9" w:rsidRDefault="00FF5DA9" w:rsidP="00FF5DA9">
      <w:pPr>
        <w:pStyle w:val="CenterUnderline"/>
      </w:pPr>
      <w:r>
        <w:t>NOTICE OF FURTHER PROCEEDINGS OR JUDICIAL REVIEW</w:t>
      </w:r>
    </w:p>
    <w:p w:rsidR="00FF5DA9" w:rsidRDefault="00FF5DA9" w:rsidP="00FF5DA9">
      <w:pPr>
        <w:pStyle w:val="CenterUnderline"/>
      </w:pPr>
    </w:p>
    <w:p w:rsidR="00FF5DA9" w:rsidRDefault="00FF5DA9" w:rsidP="00FF5D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5DA9" w:rsidRDefault="00FF5DA9" w:rsidP="00FF5DA9">
      <w:pPr>
        <w:pStyle w:val="OrderBody"/>
      </w:pPr>
    </w:p>
    <w:p w:rsidR="00FF5DA9" w:rsidRDefault="00FF5DA9" w:rsidP="00FF5DA9">
      <w:pPr>
        <w:pStyle w:val="OrderBody"/>
      </w:pPr>
      <w:r>
        <w:tab/>
        <w:t>Mediation may be available on a case-by-case basis.  If mediation is conducted, it does not affect a substantially interested person's right to a hearing.</w:t>
      </w:r>
    </w:p>
    <w:p w:rsidR="00FF5DA9" w:rsidRDefault="00FF5DA9" w:rsidP="00FF5DA9">
      <w:pPr>
        <w:pStyle w:val="OrderBody"/>
      </w:pPr>
    </w:p>
    <w:p w:rsidR="00FF5DA9" w:rsidRDefault="00FF5DA9" w:rsidP="00FF5DA9">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F5DA9" w:rsidRDefault="00FF5DA9" w:rsidP="00FF5DA9">
      <w:pPr>
        <w:pStyle w:val="OrderBody"/>
      </w:pPr>
    </w:p>
    <w:p w:rsidR="00FF5DA9" w:rsidRDefault="00FF5DA9" w:rsidP="00FF5DA9">
      <w:pPr>
        <w:pStyle w:val="OrderBody"/>
      </w:pPr>
    </w:p>
    <w:p w:rsidR="00FF5DA9" w:rsidRDefault="00FF5DA9" w:rsidP="00FF5DA9">
      <w:pPr>
        <w:pStyle w:val="OrderBody"/>
      </w:pPr>
    </w:p>
    <w:sectPr w:rsidR="00FF5DA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98" w:rsidRDefault="00E13498">
      <w:r>
        <w:separator/>
      </w:r>
    </w:p>
  </w:endnote>
  <w:endnote w:type="continuationSeparator" w:id="0">
    <w:p w:rsidR="00E13498" w:rsidRDefault="00E1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98" w:rsidRDefault="00E13498">
      <w:r>
        <w:separator/>
      </w:r>
    </w:p>
  </w:footnote>
  <w:footnote w:type="continuationSeparator" w:id="0">
    <w:p w:rsidR="00E13498" w:rsidRDefault="00E13498">
      <w:r>
        <w:continuationSeparator/>
      </w:r>
    </w:p>
  </w:footnote>
  <w:footnote w:id="1">
    <w:p w:rsidR="006A240E" w:rsidRPr="00C54B08" w:rsidRDefault="006A240E" w:rsidP="00856465">
      <w:pPr>
        <w:autoSpaceDE w:val="0"/>
        <w:autoSpaceDN w:val="0"/>
        <w:adjustRightInd w:val="0"/>
        <w:jc w:val="both"/>
        <w:rPr>
          <w:i/>
        </w:rPr>
      </w:pPr>
      <w:r>
        <w:rPr>
          <w:rStyle w:val="FootnoteReference"/>
        </w:rPr>
        <w:footnoteRef/>
      </w:r>
      <w:r>
        <w:t xml:space="preserve"> </w:t>
      </w:r>
      <w:r w:rsidRPr="00C54B08">
        <w:rPr>
          <w:sz w:val="20"/>
          <w:szCs w:val="20"/>
        </w:rPr>
        <w:t>Order No. PSC-15-0586-FOF-EI, issued on December 23, 2015, in Docket No. 150001-EI</w:t>
      </w:r>
      <w:r w:rsidRPr="00856465">
        <w:rPr>
          <w:sz w:val="20"/>
          <w:szCs w:val="20"/>
        </w:rPr>
        <w:t>,</w:t>
      </w:r>
      <w:r w:rsidR="00856465">
        <w:rPr>
          <w:sz w:val="20"/>
          <w:szCs w:val="20"/>
        </w:rPr>
        <w:t xml:space="preserve"> </w:t>
      </w:r>
      <w:r w:rsidRPr="00C54B08">
        <w:rPr>
          <w:sz w:val="20"/>
          <w:szCs w:val="20"/>
          <w:u w:val="single"/>
        </w:rPr>
        <w:t>In re</w:t>
      </w:r>
      <w:r w:rsidR="00C54B08" w:rsidRPr="00C54B08">
        <w:rPr>
          <w:sz w:val="20"/>
          <w:szCs w:val="20"/>
          <w:u w:val="single"/>
        </w:rPr>
        <w:t>:</w:t>
      </w:r>
      <w:r w:rsidRPr="00C54B08">
        <w:rPr>
          <w:sz w:val="20"/>
          <w:szCs w:val="20"/>
          <w:u w:val="single"/>
        </w:rPr>
        <w:t xml:space="preserve"> </w:t>
      </w:r>
      <w:r w:rsidR="00C54B08" w:rsidRPr="00C54B08">
        <w:rPr>
          <w:sz w:val="20"/>
          <w:szCs w:val="20"/>
          <w:u w:val="single"/>
        </w:rPr>
        <w:t>Fuel and purchased power cost recovery clause with generating performance incentive</w:t>
      </w:r>
      <w:r w:rsidR="00856465">
        <w:rPr>
          <w:sz w:val="20"/>
          <w:szCs w:val="20"/>
          <w:u w:val="single"/>
        </w:rPr>
        <w:t xml:space="preserve"> </w:t>
      </w:r>
      <w:r w:rsidR="00C54B08" w:rsidRPr="00C54B08">
        <w:rPr>
          <w:u w:val="single"/>
        </w:rPr>
        <w:t>factor</w:t>
      </w:r>
      <w:r w:rsidRPr="00C54B08">
        <w:rPr>
          <w:i/>
          <w:u w:val="single"/>
        </w:rPr>
        <w:t>:</w:t>
      </w:r>
    </w:p>
  </w:footnote>
  <w:footnote w:id="2">
    <w:p w:rsidR="00BA69C1" w:rsidRPr="00BA69C1" w:rsidRDefault="00BA69C1">
      <w:pPr>
        <w:pStyle w:val="FootnoteText"/>
      </w:pPr>
      <w:r>
        <w:rPr>
          <w:rStyle w:val="FootnoteReference"/>
        </w:rPr>
        <w:footnoteRef/>
      </w:r>
      <w:r>
        <w:t xml:space="preserve"> Order No. PSC-16-0247-PAA-EI, issued on June 27, 2016, in Docket No. 160096-EI, </w:t>
      </w:r>
      <w:r>
        <w:rPr>
          <w:u w:val="single"/>
        </w:rPr>
        <w:t>In re: Joint petition for approval of modifications to risk management plans by Duke energy Florida, Florida power &amp; Light Company, Gulf Power Company and Tampa Electric Company</w:t>
      </w:r>
      <w:r>
        <w:t>.</w:t>
      </w:r>
    </w:p>
  </w:footnote>
  <w:footnote w:id="3">
    <w:p w:rsidR="00355341" w:rsidRPr="00355341" w:rsidRDefault="00355341">
      <w:pPr>
        <w:pStyle w:val="FootnoteText"/>
        <w:rPr>
          <w:u w:val="single"/>
        </w:rPr>
      </w:pPr>
      <w:r>
        <w:rPr>
          <w:rStyle w:val="FootnoteReference"/>
        </w:rPr>
        <w:footnoteRef/>
      </w:r>
      <w:r>
        <w:t xml:space="preserve"> Order No. PSC-16-0109-PCO-EI, issued on March 17, 2016, in Docket No. 160001-EI, </w:t>
      </w:r>
      <w:r>
        <w:rPr>
          <w:u w:val="single"/>
        </w:rPr>
        <w:t>In re: Fuel and purchased power cost recovery clause with generating performance incentive factor</w:t>
      </w:r>
      <w:r>
        <w:t xml:space="preserve">.  </w:t>
      </w:r>
      <w:r>
        <w:rPr>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8194F">
      <w:fldChar w:fldCharType="begin"/>
    </w:r>
    <w:r w:rsidR="00B8194F">
      <w:instrText xml:space="preserve"> REF OrderNo0301 </w:instrText>
    </w:r>
    <w:r w:rsidR="00B8194F">
      <w:fldChar w:fldCharType="separate"/>
    </w:r>
    <w:r w:rsidR="00B8194F">
      <w:t>PSC-16-0301-PCO-EI</w:t>
    </w:r>
    <w:r w:rsidR="00B8194F">
      <w:fldChar w:fldCharType="end"/>
    </w:r>
  </w:p>
  <w:p w:rsidR="00FA6EFD" w:rsidRDefault="00E13498">
    <w:pPr>
      <w:pStyle w:val="OrderHeader"/>
    </w:pPr>
    <w:bookmarkStart w:id="9" w:name="HeaderDocketNo"/>
    <w:bookmarkEnd w:id="9"/>
    <w:r>
      <w:t>DOCKET NOS. 160001-EI,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194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160096-EI"/>
  </w:docVars>
  <w:rsids>
    <w:rsidRoot w:val="00E13498"/>
    <w:rsid w:val="000022B8"/>
    <w:rsid w:val="0001772D"/>
    <w:rsid w:val="00053AB9"/>
    <w:rsid w:val="00056229"/>
    <w:rsid w:val="00065FC2"/>
    <w:rsid w:val="00090AFC"/>
    <w:rsid w:val="000C177B"/>
    <w:rsid w:val="000D06E8"/>
    <w:rsid w:val="000E344D"/>
    <w:rsid w:val="000F3B2C"/>
    <w:rsid w:val="000F7BE3"/>
    <w:rsid w:val="00116AD3"/>
    <w:rsid w:val="00126593"/>
    <w:rsid w:val="00142A96"/>
    <w:rsid w:val="00187E32"/>
    <w:rsid w:val="00194E81"/>
    <w:rsid w:val="001A33C9"/>
    <w:rsid w:val="001D008A"/>
    <w:rsid w:val="002002ED"/>
    <w:rsid w:val="00210B5E"/>
    <w:rsid w:val="0022721A"/>
    <w:rsid w:val="00230BB9"/>
    <w:rsid w:val="00241CEF"/>
    <w:rsid w:val="00252B30"/>
    <w:rsid w:val="002A11AC"/>
    <w:rsid w:val="002A6F30"/>
    <w:rsid w:val="002D7D15"/>
    <w:rsid w:val="002E27EB"/>
    <w:rsid w:val="00303FDE"/>
    <w:rsid w:val="003140E8"/>
    <w:rsid w:val="003231C7"/>
    <w:rsid w:val="00331ED0"/>
    <w:rsid w:val="00353F95"/>
    <w:rsid w:val="0035495B"/>
    <w:rsid w:val="00355341"/>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240E"/>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6465"/>
    <w:rsid w:val="00863A66"/>
    <w:rsid w:val="00874429"/>
    <w:rsid w:val="00874604"/>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194F"/>
    <w:rsid w:val="00B86EF0"/>
    <w:rsid w:val="00B97900"/>
    <w:rsid w:val="00BA44A8"/>
    <w:rsid w:val="00BA69C1"/>
    <w:rsid w:val="00BF6691"/>
    <w:rsid w:val="00C028FC"/>
    <w:rsid w:val="00C54B08"/>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3498"/>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 w:val="00FF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1772D"/>
    <w:rPr>
      <w:rFonts w:ascii="Tahoma" w:hAnsi="Tahoma" w:cs="Tahoma"/>
      <w:sz w:val="16"/>
      <w:szCs w:val="16"/>
    </w:rPr>
  </w:style>
  <w:style w:type="character" w:customStyle="1" w:styleId="BalloonTextChar">
    <w:name w:val="Balloon Text Char"/>
    <w:basedOn w:val="DefaultParagraphFont"/>
    <w:link w:val="BalloonText"/>
    <w:rsid w:val="00017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1772D"/>
    <w:rPr>
      <w:rFonts w:ascii="Tahoma" w:hAnsi="Tahoma" w:cs="Tahoma"/>
      <w:sz w:val="16"/>
      <w:szCs w:val="16"/>
    </w:rPr>
  </w:style>
  <w:style w:type="character" w:customStyle="1" w:styleId="BalloonTextChar">
    <w:name w:val="Balloon Text Char"/>
    <w:basedOn w:val="DefaultParagraphFont"/>
    <w:link w:val="BalloonText"/>
    <w:rsid w:val="00017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672D-A3EA-4F11-8463-86F8BFEA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732</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2016-07-28T13:09:00Z</dcterms:created>
  <dcterms:modified xsi:type="dcterms:W3CDTF">2016-07-28T13:34:00Z</dcterms:modified>
</cp:coreProperties>
</file>