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B52E6" w:rsidP="00FB52E6">
      <w:pPr>
        <w:pStyle w:val="OrderHeading"/>
      </w:pPr>
      <w:bookmarkStart w:id="0" w:name="_GoBack"/>
      <w:bookmarkEnd w:id="0"/>
      <w:r>
        <w:t>BEFORE THE FLORIDA PUBLIC SERVICE COMMISSION</w:t>
      </w:r>
    </w:p>
    <w:p w:rsidR="00FB52E6" w:rsidRDefault="00FB52E6" w:rsidP="00FB52E6">
      <w:pPr>
        <w:pStyle w:val="OrderHeading"/>
      </w:pPr>
    </w:p>
    <w:p w:rsidR="00FB52E6" w:rsidRDefault="00FB52E6" w:rsidP="00FB52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B52E6" w:rsidRPr="00C63FCF" w:rsidTr="001E1627">
        <w:trPr>
          <w:trHeight w:val="828"/>
        </w:trPr>
        <w:tc>
          <w:tcPr>
            <w:tcW w:w="4788" w:type="dxa"/>
            <w:tcBorders>
              <w:bottom w:val="single" w:sz="8" w:space="0" w:color="auto"/>
              <w:right w:val="double" w:sz="6" w:space="0" w:color="auto"/>
            </w:tcBorders>
            <w:shd w:val="clear" w:color="auto" w:fill="auto"/>
          </w:tcPr>
          <w:p w:rsidR="00FB52E6" w:rsidRDefault="00FB52E6" w:rsidP="001E1627">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FB52E6" w:rsidRDefault="00FB52E6" w:rsidP="00FB52E6">
            <w:pPr>
              <w:pStyle w:val="OrderBody"/>
            </w:pPr>
            <w:r>
              <w:t xml:space="preserve">DOCKET NO. </w:t>
            </w:r>
            <w:bookmarkStart w:id="2" w:name="SSDocketNo"/>
            <w:bookmarkEnd w:id="2"/>
            <w:r>
              <w:t>160009-EI</w:t>
            </w:r>
          </w:p>
          <w:p w:rsidR="00FB52E6" w:rsidRDefault="00FB52E6" w:rsidP="001E1627">
            <w:pPr>
              <w:pStyle w:val="OrderBody"/>
              <w:tabs>
                <w:tab w:val="center" w:pos="4320"/>
                <w:tab w:val="right" w:pos="8640"/>
              </w:tabs>
              <w:jc w:val="left"/>
            </w:pPr>
            <w:r>
              <w:t xml:space="preserve">ORDER NO. </w:t>
            </w:r>
            <w:bookmarkStart w:id="3" w:name="OrderNo0310"/>
            <w:r w:rsidR="001901C4">
              <w:t>PSC-16-0310-PHO-EI</w:t>
            </w:r>
            <w:bookmarkEnd w:id="3"/>
          </w:p>
          <w:p w:rsidR="00FB52E6" w:rsidRDefault="00FB52E6" w:rsidP="001E1627">
            <w:pPr>
              <w:pStyle w:val="OrderBody"/>
              <w:tabs>
                <w:tab w:val="center" w:pos="4320"/>
                <w:tab w:val="right" w:pos="8640"/>
              </w:tabs>
              <w:jc w:val="left"/>
            </w:pPr>
            <w:r>
              <w:t xml:space="preserve">ISSUED: </w:t>
            </w:r>
            <w:r w:rsidR="001901C4">
              <w:t>August 3, 2016</w:t>
            </w:r>
          </w:p>
        </w:tc>
      </w:tr>
    </w:tbl>
    <w:p w:rsidR="00FB52E6" w:rsidRDefault="00FB52E6" w:rsidP="00FB52E6"/>
    <w:p w:rsidR="00FB52E6" w:rsidRDefault="00FB52E6" w:rsidP="00FB52E6"/>
    <w:p w:rsidR="00CB5276" w:rsidRPr="00FB52E6" w:rsidRDefault="00FB52E6" w:rsidP="00FB52E6">
      <w:pPr>
        <w:pStyle w:val="CenterUnderline"/>
        <w:rPr>
          <w:b/>
        </w:rPr>
      </w:pPr>
      <w:bookmarkStart w:id="4" w:name="Commissioners"/>
      <w:bookmarkStart w:id="5" w:name="OrderTitle"/>
      <w:bookmarkEnd w:id="4"/>
      <w:r w:rsidRPr="00FB52E6">
        <w:rPr>
          <w:b/>
        </w:rPr>
        <w:t xml:space="preserve">PREHEARING ORDER </w:t>
      </w:r>
      <w:bookmarkEnd w:id="5"/>
    </w:p>
    <w:p w:rsidR="00FB52E6" w:rsidRDefault="00FB52E6" w:rsidP="00FB52E6">
      <w:pPr>
        <w:pStyle w:val="CenterUnderline"/>
      </w:pPr>
    </w:p>
    <w:p w:rsidR="00FB52E6" w:rsidRDefault="00FB52E6" w:rsidP="00FB52E6">
      <w:pPr>
        <w:pStyle w:val="OrderBody"/>
      </w:pPr>
      <w:r>
        <w:t>BY THE COMMISSION:</w:t>
      </w:r>
    </w:p>
    <w:p w:rsidR="00FB52E6" w:rsidRDefault="00FB52E6" w:rsidP="00FB52E6">
      <w:pPr>
        <w:pStyle w:val="OrderBody"/>
      </w:pPr>
    </w:p>
    <w:p w:rsidR="00FB52E6" w:rsidRPr="00701945" w:rsidRDefault="00FB52E6" w:rsidP="00FB52E6">
      <w:pPr>
        <w:ind w:firstLine="720"/>
        <w:jc w:val="both"/>
      </w:pPr>
      <w:bookmarkStart w:id="6" w:name="OrderText"/>
      <w:bookmarkEnd w:id="6"/>
      <w:r w:rsidRPr="00701945">
        <w:t xml:space="preserve">Pursuant to Notice and in accordance with Rule 28-106.209, </w:t>
      </w:r>
      <w:r>
        <w:t>Florida Administrative Code (F.A.C.)</w:t>
      </w:r>
      <w:r w:rsidRPr="00701945">
        <w:t xml:space="preserve">, a Prehearing Conference was held on </w:t>
      </w:r>
      <w:r w:rsidRPr="00CC3030">
        <w:t>July 19, 2016</w:t>
      </w:r>
      <w:r w:rsidRPr="00701945">
        <w:t xml:space="preserve">, in Tallahassee, Florida, before Commissioner </w:t>
      </w:r>
      <w:r>
        <w:t>Art Graham</w:t>
      </w:r>
      <w:r w:rsidRPr="00701945">
        <w:t>, as Prehearing Officer.</w:t>
      </w:r>
    </w:p>
    <w:p w:rsidR="00FB52E6" w:rsidRPr="00701945" w:rsidRDefault="00FB52E6" w:rsidP="00FB52E6">
      <w:pPr>
        <w:jc w:val="both"/>
      </w:pPr>
    </w:p>
    <w:p w:rsidR="00FB52E6" w:rsidRPr="00701945" w:rsidRDefault="00FB52E6" w:rsidP="00FB52E6">
      <w:pPr>
        <w:jc w:val="both"/>
      </w:pPr>
      <w:r w:rsidRPr="00701945">
        <w:t>APPEARANCES:</w:t>
      </w:r>
    </w:p>
    <w:p w:rsidR="00FB52E6" w:rsidRPr="00701945" w:rsidRDefault="00FB52E6" w:rsidP="00FB52E6">
      <w:pPr>
        <w:jc w:val="both"/>
      </w:pPr>
    </w:p>
    <w:p w:rsidR="00FB52E6" w:rsidRDefault="008044B3" w:rsidP="008044B3">
      <w:pPr>
        <w:ind w:left="1440"/>
        <w:jc w:val="both"/>
      </w:pPr>
      <w:r w:rsidRPr="008044B3">
        <w:rPr>
          <w:caps/>
        </w:rPr>
        <w:t>Matthew R. Bernier</w:t>
      </w:r>
      <w:r w:rsidR="00FB52E6" w:rsidRPr="008044B3">
        <w:rPr>
          <w:caps/>
        </w:rPr>
        <w:t xml:space="preserve">, </w:t>
      </w:r>
      <w:r w:rsidR="00FB52E6" w:rsidRPr="00701945">
        <w:t xml:space="preserve">ESQUIRE, </w:t>
      </w:r>
      <w:r w:rsidRPr="008044B3">
        <w:t>106 East College Avenue, Suite 800</w:t>
      </w:r>
      <w:r>
        <w:t xml:space="preserve">, </w:t>
      </w:r>
      <w:r w:rsidRPr="008044B3">
        <w:t>Tallahassee, Florida 32301</w:t>
      </w:r>
      <w:r>
        <w:t xml:space="preserve">, </w:t>
      </w:r>
      <w:r w:rsidRPr="008044B3">
        <w:rPr>
          <w:caps/>
        </w:rPr>
        <w:t>Dianne M. Triplett, Esquire</w:t>
      </w:r>
      <w:r>
        <w:t xml:space="preserve">, </w:t>
      </w:r>
      <w:r w:rsidRPr="008044B3">
        <w:t>299 First Avenue North</w:t>
      </w:r>
      <w:r>
        <w:t xml:space="preserve">, </w:t>
      </w:r>
      <w:r w:rsidRPr="008044B3">
        <w:t>St. Petersburg, Florida 33701</w:t>
      </w:r>
    </w:p>
    <w:p w:rsidR="00FB52E6" w:rsidRPr="00701945" w:rsidRDefault="00FB52E6" w:rsidP="00FB52E6">
      <w:pPr>
        <w:ind w:left="720" w:firstLine="720"/>
        <w:jc w:val="both"/>
      </w:pPr>
      <w:r w:rsidRPr="00701945">
        <w:rPr>
          <w:u w:val="single"/>
        </w:rPr>
        <w:t xml:space="preserve">On behalf of </w:t>
      </w:r>
      <w:r w:rsidR="008044B3">
        <w:rPr>
          <w:u w:val="single"/>
        </w:rPr>
        <w:t>Duke Energy Florida, LLC</w:t>
      </w:r>
      <w:r>
        <w:rPr>
          <w:u w:val="single"/>
        </w:rPr>
        <w:t xml:space="preserve"> (</w:t>
      </w:r>
      <w:r w:rsidR="008044B3">
        <w:rPr>
          <w:u w:val="single"/>
        </w:rPr>
        <w:t>DEF</w:t>
      </w:r>
      <w:r>
        <w:rPr>
          <w:u w:val="single"/>
        </w:rPr>
        <w:t>)</w:t>
      </w:r>
      <w:r w:rsidRPr="00701945">
        <w:t>.</w:t>
      </w:r>
    </w:p>
    <w:p w:rsidR="00FB52E6" w:rsidRPr="00701945" w:rsidRDefault="00FB52E6" w:rsidP="00FB52E6">
      <w:pPr>
        <w:jc w:val="both"/>
      </w:pPr>
    </w:p>
    <w:p w:rsidR="004D16E5" w:rsidRDefault="004D16E5" w:rsidP="004D16E5">
      <w:pPr>
        <w:ind w:left="1440"/>
        <w:jc w:val="both"/>
      </w:pPr>
      <w:r>
        <w:t>JESSICA CANO, and KEVIN I.C. DONALDSON,</w:t>
      </w:r>
      <w:r w:rsidRPr="00701945">
        <w:t xml:space="preserve"> ESQUIRE</w:t>
      </w:r>
      <w:r>
        <w:t>S</w:t>
      </w:r>
      <w:r w:rsidRPr="00701945">
        <w:t xml:space="preserve">, </w:t>
      </w:r>
      <w:r>
        <w:t>Florida Power &amp; Light Company, 700 Universe Boulevard, Juno Beach, Florida 33408</w:t>
      </w:r>
    </w:p>
    <w:p w:rsidR="004D16E5" w:rsidRPr="00701945" w:rsidRDefault="004D16E5" w:rsidP="004D16E5">
      <w:pPr>
        <w:ind w:left="720" w:firstLine="720"/>
        <w:jc w:val="both"/>
      </w:pPr>
      <w:r w:rsidRPr="00701945">
        <w:rPr>
          <w:u w:val="single"/>
        </w:rPr>
        <w:t xml:space="preserve">On behalf of </w:t>
      </w:r>
      <w:r>
        <w:rPr>
          <w:u w:val="single"/>
        </w:rPr>
        <w:t>Florida Power &amp; Light Company (FPL)</w:t>
      </w:r>
      <w:r w:rsidR="005608C1">
        <w:rPr>
          <w:u w:val="single"/>
        </w:rPr>
        <w:t xml:space="preserve"> (Excused)</w:t>
      </w:r>
    </w:p>
    <w:p w:rsidR="004D16E5" w:rsidRPr="00701945" w:rsidRDefault="004D16E5" w:rsidP="004D16E5">
      <w:pPr>
        <w:jc w:val="both"/>
      </w:pPr>
    </w:p>
    <w:p w:rsidR="004D16E5" w:rsidRDefault="004D16E5" w:rsidP="004D16E5">
      <w:pPr>
        <w:ind w:left="1440"/>
        <w:jc w:val="both"/>
      </w:pPr>
      <w:r>
        <w:rPr>
          <w:bCs/>
        </w:rPr>
        <w:t>J.R. KELLY, CHARLES J. REHWINKEL, PATRICIA A. CHRISTENSEN, and ERIK L. SAYLER, ESQUIRES</w:t>
      </w:r>
      <w:r>
        <w:t xml:space="preserve">, Office of Public Counsel, c/o The Florida Legislature, </w:t>
      </w:r>
      <w:smartTag w:uri="urn:schemas-microsoft-com:office:smarttags" w:element="Street">
        <w:smartTag w:uri="urn:schemas-microsoft-com:office:smarttags" w:element="address">
          <w:r>
            <w:rPr>
              <w:bCs/>
            </w:rPr>
            <w:t>111 W. Madison Street</w:t>
          </w:r>
        </w:smartTag>
      </w:smartTag>
      <w:r>
        <w:rPr>
          <w:bCs/>
        </w:rPr>
        <w:t xml:space="preserve">, Room 812, </w:t>
      </w:r>
      <w:smartTag w:uri="urn:schemas-microsoft-com:office:smarttags" w:element="PersonName">
        <w:smartTag w:uri="urn:schemas-microsoft-com:office:smarttags" w:element="City">
          <w:r>
            <w:rPr>
              <w:bCs/>
            </w:rPr>
            <w:t>Tallahassee</w:t>
          </w:r>
        </w:smartTag>
        <w:r>
          <w:rPr>
            <w:bCs/>
          </w:rPr>
          <w:t xml:space="preserve">, </w:t>
        </w:r>
        <w:smartTag w:uri="urn:schemas-microsoft-com:office:smarttags" w:element="place">
          <w:r>
            <w:rPr>
              <w:bCs/>
            </w:rPr>
            <w:t>Florida</w:t>
          </w:r>
        </w:smartTag>
        <w:r>
          <w:rPr>
            <w:bCs/>
          </w:rPr>
          <w:t xml:space="preserve"> </w:t>
        </w:r>
        <w:smartTag w:uri="urn:schemas-microsoft-com:office:smarttags" w:element="PlaceName">
          <w:r>
            <w:rPr>
              <w:bCs/>
            </w:rPr>
            <w:t>32399-1400</w:t>
          </w:r>
        </w:smartTag>
      </w:smartTag>
    </w:p>
    <w:p w:rsidR="004D16E5" w:rsidRDefault="004D16E5" w:rsidP="004D16E5">
      <w:pPr>
        <w:ind w:left="720" w:firstLine="720"/>
        <w:jc w:val="both"/>
      </w:pPr>
      <w:r>
        <w:rPr>
          <w:u w:val="single"/>
        </w:rPr>
        <w:t>On behalf of the Citizens of the State of Florida (OPC)</w:t>
      </w:r>
    </w:p>
    <w:p w:rsidR="004D16E5" w:rsidRDefault="004D16E5" w:rsidP="004D16E5">
      <w:pPr>
        <w:ind w:left="720" w:firstLine="720"/>
        <w:jc w:val="both"/>
        <w:rPr>
          <w:u w:val="single"/>
        </w:rPr>
      </w:pPr>
    </w:p>
    <w:p w:rsidR="004D16E5" w:rsidRDefault="004D16E5" w:rsidP="004D16E5">
      <w:pPr>
        <w:ind w:left="1440"/>
        <w:jc w:val="both"/>
      </w:pPr>
      <w:r>
        <w:rPr>
          <w:bCs/>
        </w:rPr>
        <w:t>JON MOYLE, JR.</w:t>
      </w:r>
      <w:r w:rsidR="009A6CFA">
        <w:rPr>
          <w:bCs/>
        </w:rPr>
        <w:t xml:space="preserve"> and KAREN A. PUTNAL</w:t>
      </w:r>
      <w:r>
        <w:rPr>
          <w:bCs/>
        </w:rPr>
        <w:t xml:space="preserve">, </w:t>
      </w:r>
      <w:r>
        <w:t>ESQUIRE</w:t>
      </w:r>
      <w:r w:rsidR="009A6CFA">
        <w:t>S</w:t>
      </w:r>
      <w:r>
        <w:t xml:space="preserve">, </w:t>
      </w:r>
      <w:r>
        <w:rPr>
          <w:bCs/>
        </w:rPr>
        <w:t>Moyle Law Firm, P.A., 118 North Gadsden Street, Tallahassee, Florida 32301</w:t>
      </w:r>
    </w:p>
    <w:p w:rsidR="004D16E5" w:rsidRDefault="004D16E5" w:rsidP="004D16E5">
      <w:pPr>
        <w:ind w:left="1440"/>
        <w:jc w:val="both"/>
      </w:pPr>
      <w:r>
        <w:rPr>
          <w:u w:val="single"/>
        </w:rPr>
        <w:t xml:space="preserve">On behalf of </w:t>
      </w:r>
      <w:r>
        <w:rPr>
          <w:bCs/>
          <w:spacing w:val="-2"/>
          <w:u w:val="single"/>
        </w:rPr>
        <w:t>the Florida Industrial Power Users Group</w:t>
      </w:r>
      <w:r>
        <w:rPr>
          <w:u w:val="single"/>
        </w:rPr>
        <w:t xml:space="preserve"> (FIPUG)</w:t>
      </w:r>
    </w:p>
    <w:p w:rsidR="004D16E5" w:rsidRDefault="004D16E5" w:rsidP="004D16E5">
      <w:pPr>
        <w:ind w:left="1440"/>
        <w:jc w:val="both"/>
      </w:pPr>
    </w:p>
    <w:p w:rsidR="004D16E5" w:rsidRDefault="004D16E5" w:rsidP="004D16E5">
      <w:pPr>
        <w:ind w:left="1440"/>
        <w:jc w:val="both"/>
      </w:pPr>
      <w:r>
        <w:t>JAMES W. BREW, and LAURA A. WYNN, ESQUIRES, Stone Mattheis Xenopoulos &amp; Brew, P.C., 1025 Thomas Jefferson St., NW, Eighth Floor, West Tower, Washington, DC 20007</w:t>
      </w:r>
    </w:p>
    <w:p w:rsidR="004D16E5" w:rsidRDefault="004D16E5" w:rsidP="004D16E5">
      <w:pPr>
        <w:ind w:left="1440"/>
        <w:jc w:val="both"/>
      </w:pPr>
      <w:r>
        <w:rPr>
          <w:u w:val="single"/>
        </w:rPr>
        <w:t>On behalf of White Springs Agricultural Chemicals, Inc. d/b/a PCS Phosphate – White Springs (PCS Phosphate)</w:t>
      </w:r>
    </w:p>
    <w:p w:rsidR="004D16E5" w:rsidRDefault="004D16E5" w:rsidP="004D16E5">
      <w:pPr>
        <w:ind w:left="1440"/>
        <w:jc w:val="both"/>
      </w:pPr>
    </w:p>
    <w:p w:rsidR="004D16E5" w:rsidRDefault="004D16E5" w:rsidP="004D16E5">
      <w:pPr>
        <w:ind w:left="1440"/>
        <w:jc w:val="both"/>
      </w:pPr>
      <w:r>
        <w:rPr>
          <w:caps/>
        </w:rPr>
        <w:t xml:space="preserve">GEORGE CAVROS, </w:t>
      </w:r>
      <w:r>
        <w:t>ESQUIRE, 120 E. Oakland Park Boulevard, Suite 105, Fort Lauderdale, Florida, 33334</w:t>
      </w:r>
    </w:p>
    <w:p w:rsidR="004D16E5" w:rsidRDefault="004D16E5" w:rsidP="004D16E5">
      <w:pPr>
        <w:ind w:left="720" w:firstLine="720"/>
        <w:jc w:val="both"/>
      </w:pPr>
      <w:r>
        <w:rPr>
          <w:u w:val="single"/>
        </w:rPr>
        <w:t>On behalf of the Southern Alliance for Clean Energy (SACE)</w:t>
      </w:r>
    </w:p>
    <w:p w:rsidR="004D16E5" w:rsidRDefault="004D16E5" w:rsidP="004D16E5">
      <w:pPr>
        <w:ind w:left="1440"/>
        <w:jc w:val="both"/>
      </w:pPr>
    </w:p>
    <w:p w:rsidR="004D16E5" w:rsidRDefault="004D16E5" w:rsidP="004D16E5">
      <w:pPr>
        <w:ind w:left="1440"/>
        <w:jc w:val="both"/>
      </w:pPr>
      <w:r>
        <w:lastRenderedPageBreak/>
        <w:t>ROBERT SCHEFFEL WRIGHT and JOHN T. LAVIA, III, ESQUIRES, Gardner, Bist, Bowden, Bush, Dee, LaVia &amp; Wright, P.A., 1300 Thomaswood Drive, Tallahassee, Florida 32308</w:t>
      </w:r>
    </w:p>
    <w:p w:rsidR="004D16E5" w:rsidRDefault="004D16E5" w:rsidP="004D16E5">
      <w:pPr>
        <w:ind w:left="720" w:firstLine="720"/>
        <w:jc w:val="both"/>
        <w:rPr>
          <w:u w:val="single"/>
        </w:rPr>
      </w:pPr>
      <w:r>
        <w:rPr>
          <w:u w:val="single"/>
        </w:rPr>
        <w:t xml:space="preserve">On behalf of the </w:t>
      </w:r>
      <w:smartTag w:uri="urn:schemas-microsoft-com:office:smarttags" w:element="place">
        <w:smartTag w:uri="urn:schemas-microsoft-com:office:smarttags" w:element="PersonName">
          <w:r>
            <w:rPr>
              <w:u w:val="single"/>
            </w:rPr>
            <w:t>Florida</w:t>
          </w:r>
        </w:smartTag>
      </w:smartTag>
      <w:r>
        <w:rPr>
          <w:u w:val="single"/>
        </w:rPr>
        <w:t xml:space="preserve"> Retail Federation (FRF)</w:t>
      </w:r>
    </w:p>
    <w:p w:rsidR="004D16E5" w:rsidRDefault="004D16E5" w:rsidP="004D16E5">
      <w:pPr>
        <w:ind w:left="1440"/>
        <w:jc w:val="both"/>
      </w:pPr>
    </w:p>
    <w:p w:rsidR="004D16E5" w:rsidRDefault="004D16E5" w:rsidP="004D16E5">
      <w:pPr>
        <w:ind w:left="1440"/>
        <w:jc w:val="both"/>
      </w:pPr>
      <w:r>
        <w:t xml:space="preserve">VICTORIA MÉNDEZ, </w:t>
      </w:r>
      <w:r w:rsidRPr="004D16E5">
        <w:rPr>
          <w:caps/>
        </w:rPr>
        <w:t>Christopher A. Green,</w:t>
      </w:r>
      <w:r w:rsidR="006A39A1">
        <w:rPr>
          <w:caps/>
        </w:rPr>
        <w:t xml:space="preserve"> KERRI L. MCNULTY </w:t>
      </w:r>
      <w:r w:rsidR="006A39A1" w:rsidRPr="006A39A1">
        <w:t>and</w:t>
      </w:r>
      <w:r w:rsidRPr="004D16E5">
        <w:rPr>
          <w:caps/>
        </w:rPr>
        <w:t xml:space="preserve"> Xavier Alb</w:t>
      </w:r>
      <w:r w:rsidRPr="004D16E5">
        <w:rPr>
          <w:rFonts w:cstheme="minorHAnsi"/>
          <w:caps/>
        </w:rPr>
        <w:t>á</w:t>
      </w:r>
      <w:r w:rsidRPr="004D16E5">
        <w:rPr>
          <w:caps/>
        </w:rPr>
        <w:t>n</w:t>
      </w:r>
      <w:r>
        <w:t>, ESQUIRES, City of Miami, 444 S.W. 2nd Avenue, Suite 945, Miami, Florida 33130-1910</w:t>
      </w:r>
    </w:p>
    <w:p w:rsidR="004D16E5" w:rsidRPr="002065C8" w:rsidRDefault="004D16E5" w:rsidP="004D16E5">
      <w:pPr>
        <w:ind w:left="1440"/>
        <w:jc w:val="both"/>
        <w:rPr>
          <w:u w:val="single"/>
        </w:rPr>
      </w:pPr>
      <w:r w:rsidRPr="002065C8">
        <w:rPr>
          <w:u w:val="single"/>
        </w:rPr>
        <w:t>On behalf of City of Miami (</w:t>
      </w:r>
      <w:r>
        <w:rPr>
          <w:u w:val="single"/>
        </w:rPr>
        <w:t>Miami</w:t>
      </w:r>
      <w:r w:rsidRPr="002065C8">
        <w:rPr>
          <w:u w:val="single"/>
        </w:rPr>
        <w:t>)</w:t>
      </w:r>
      <w:r w:rsidR="005608C1">
        <w:rPr>
          <w:u w:val="single"/>
        </w:rPr>
        <w:t xml:space="preserve"> (Excused)</w:t>
      </w:r>
    </w:p>
    <w:p w:rsidR="004D16E5" w:rsidRPr="002065C8" w:rsidRDefault="004D16E5" w:rsidP="004D16E5">
      <w:pPr>
        <w:ind w:left="1440"/>
        <w:jc w:val="both"/>
      </w:pPr>
    </w:p>
    <w:p w:rsidR="00FB52E6" w:rsidRPr="00701945" w:rsidRDefault="006B34F7" w:rsidP="00FB52E6">
      <w:pPr>
        <w:ind w:left="1440"/>
        <w:jc w:val="both"/>
      </w:pPr>
      <w:r>
        <w:t>KYESHA</w:t>
      </w:r>
      <w:r w:rsidR="004D16E5">
        <w:t xml:space="preserve"> MAPP and MARGO A. LEATHERS</w:t>
      </w:r>
      <w:r w:rsidR="00FB52E6" w:rsidRPr="00701945">
        <w:t>, ESQUIRE</w:t>
      </w:r>
      <w:r w:rsidR="004D16E5">
        <w:t>S</w:t>
      </w:r>
      <w:r w:rsidR="00FB52E6" w:rsidRPr="00701945">
        <w:t>, Florida Public Service Commission, 2540 Shumard Oak Boulevard, Tallahassee, Florida 32399-0850</w:t>
      </w:r>
    </w:p>
    <w:p w:rsidR="00FB52E6" w:rsidRPr="00701945" w:rsidRDefault="00FB52E6" w:rsidP="00FB52E6">
      <w:pPr>
        <w:ind w:left="720" w:firstLine="720"/>
        <w:jc w:val="both"/>
      </w:pPr>
      <w:r w:rsidRPr="00701945">
        <w:rPr>
          <w:u w:val="single"/>
        </w:rPr>
        <w:t>On behalf of the Florida Public Service Commission</w:t>
      </w:r>
      <w:r>
        <w:rPr>
          <w:u w:val="single"/>
        </w:rPr>
        <w:t xml:space="preserve"> (Staff)</w:t>
      </w:r>
      <w:r w:rsidRPr="00701945">
        <w:t>.</w:t>
      </w:r>
    </w:p>
    <w:p w:rsidR="00FB52E6" w:rsidRPr="00701945" w:rsidRDefault="00FB52E6" w:rsidP="00FB52E6">
      <w:pPr>
        <w:jc w:val="both"/>
      </w:pPr>
    </w:p>
    <w:p w:rsidR="00FB52E6" w:rsidRPr="00701945" w:rsidRDefault="00FB52E6" w:rsidP="00FB52E6">
      <w:pPr>
        <w:ind w:left="1440"/>
        <w:jc w:val="both"/>
      </w:pPr>
      <w:r w:rsidRPr="004D16E5">
        <w:rPr>
          <w:caps/>
        </w:rPr>
        <w:t>Mary Anne Helton,</w:t>
      </w:r>
      <w:r w:rsidR="004D16E5" w:rsidRPr="004D16E5">
        <w:rPr>
          <w:caps/>
        </w:rPr>
        <w:t xml:space="preserve"> E</w:t>
      </w:r>
      <w:r w:rsidR="004D16E5">
        <w:t>SQUIRE</w:t>
      </w:r>
      <w:r>
        <w:t xml:space="preserve"> Deputy General Counsel,</w:t>
      </w:r>
      <w:r w:rsidRPr="00701945">
        <w:t xml:space="preserve"> Florida Public Service Commission, 2540 Shumard Oak Boulevard, Tallahassee, Florida 32399-0850</w:t>
      </w:r>
    </w:p>
    <w:p w:rsidR="00FB52E6" w:rsidRPr="00701945" w:rsidRDefault="00FB52E6" w:rsidP="00FB52E6">
      <w:pPr>
        <w:ind w:left="720" w:firstLine="720"/>
        <w:jc w:val="both"/>
      </w:pPr>
      <w:r>
        <w:rPr>
          <w:u w:val="single"/>
        </w:rPr>
        <w:t>Advisor to the</w:t>
      </w:r>
      <w:r w:rsidRPr="00701945">
        <w:rPr>
          <w:u w:val="single"/>
        </w:rPr>
        <w:t xml:space="preserve"> Florida Public Service Commission</w:t>
      </w:r>
      <w:r w:rsidRPr="00701945">
        <w:t>.</w:t>
      </w:r>
    </w:p>
    <w:p w:rsidR="00FB52E6" w:rsidRPr="00701945" w:rsidRDefault="00FB52E6" w:rsidP="00FB52E6">
      <w:pPr>
        <w:jc w:val="center"/>
        <w:rPr>
          <w:b/>
          <w:bCs/>
          <w:u w:val="single"/>
        </w:rPr>
      </w:pPr>
    </w:p>
    <w:p w:rsidR="00FB52E6" w:rsidRPr="00701945" w:rsidRDefault="00FB52E6" w:rsidP="00FB52E6">
      <w:pPr>
        <w:jc w:val="center"/>
        <w:rPr>
          <w:b/>
          <w:bCs/>
          <w:u w:val="single"/>
        </w:rPr>
      </w:pPr>
    </w:p>
    <w:p w:rsidR="00FB52E6" w:rsidRPr="00701945" w:rsidRDefault="00FB52E6" w:rsidP="00FB52E6">
      <w:pPr>
        <w:jc w:val="center"/>
      </w:pPr>
      <w:r w:rsidRPr="00701945">
        <w:rPr>
          <w:b/>
          <w:bCs/>
          <w:u w:val="single"/>
        </w:rPr>
        <w:t>PREHEARING ORDER</w:t>
      </w:r>
    </w:p>
    <w:p w:rsidR="00FB52E6" w:rsidRPr="00701945" w:rsidRDefault="00FB52E6" w:rsidP="00FB52E6">
      <w:pPr>
        <w:jc w:val="both"/>
      </w:pPr>
    </w:p>
    <w:p w:rsidR="00FB52E6" w:rsidRPr="00D579AE" w:rsidRDefault="00FB52E6" w:rsidP="00FB52E6">
      <w:pPr>
        <w:jc w:val="both"/>
        <w:rPr>
          <w:b/>
        </w:rPr>
      </w:pPr>
      <w:r w:rsidRPr="00D579AE">
        <w:rPr>
          <w:b/>
        </w:rPr>
        <w:t>I.</w:t>
      </w:r>
      <w:r w:rsidRPr="00D579AE">
        <w:rPr>
          <w:b/>
        </w:rPr>
        <w:tab/>
      </w:r>
      <w:r w:rsidRPr="00D579AE">
        <w:rPr>
          <w:b/>
          <w:u w:val="single"/>
        </w:rPr>
        <w:t>CASE BACKGROUND</w:t>
      </w:r>
    </w:p>
    <w:p w:rsidR="00FB52E6" w:rsidRPr="00701945" w:rsidRDefault="00FB52E6" w:rsidP="00FB52E6">
      <w:pPr>
        <w:jc w:val="both"/>
      </w:pPr>
    </w:p>
    <w:p w:rsidR="00C27461" w:rsidRDefault="00C27461" w:rsidP="00C27461">
      <w:pPr>
        <w:ind w:firstLine="720"/>
        <w:jc w:val="both"/>
        <w:rPr>
          <w:color w:val="000000"/>
        </w:rPr>
      </w:pPr>
      <w:r w:rsidRPr="007F2D29">
        <w:rPr>
          <w:color w:val="000000"/>
        </w:rPr>
        <w:t xml:space="preserve">In 2006, the Florida Legislature adopted legislation encouraging the development of nuclear energy in the state.  Section 366.93, Florida Statutes (F.S.), directed the Commission to adopt rules providing for alternate cost recovery mechanisms that will encourage investor-owned electric utilities to invest in nuclear power plants.  The Commission adopted Rule 25-6.0423, Florida Administrative Code (F.A.C.), which provides for a clause recovery proceeding annually to consider investor-owned utilities’ requests for cost recovery for nuclear plants.  </w:t>
      </w:r>
    </w:p>
    <w:p w:rsidR="00C27461" w:rsidRDefault="00C27461" w:rsidP="00C27461">
      <w:pPr>
        <w:ind w:firstLine="720"/>
        <w:jc w:val="both"/>
        <w:rPr>
          <w:color w:val="000000"/>
        </w:rPr>
      </w:pPr>
    </w:p>
    <w:p w:rsidR="00C27461" w:rsidRDefault="00C27461" w:rsidP="00C27461">
      <w:pPr>
        <w:ind w:firstLine="720"/>
        <w:jc w:val="both"/>
        <w:rPr>
          <w:color w:val="000000"/>
        </w:rPr>
      </w:pPr>
      <w:r>
        <w:rPr>
          <w:color w:val="000000"/>
        </w:rPr>
        <w:t xml:space="preserve">Both FPL and DEF petitioned the Commission for recovery of costs through the Nuclear Cost Recovery Clause (NCRC) on </w:t>
      </w:r>
      <w:r w:rsidR="00A477C4">
        <w:rPr>
          <w:color w:val="000000"/>
        </w:rPr>
        <w:t>April 27</w:t>
      </w:r>
      <w:r>
        <w:rPr>
          <w:color w:val="000000"/>
        </w:rPr>
        <w:t xml:space="preserve">, 2016.  This is the eighth year of this roll-over docket, which is set for hearing on August </w:t>
      </w:r>
      <w:r w:rsidR="00CF3959">
        <w:rPr>
          <w:color w:val="000000"/>
        </w:rPr>
        <w:t>9</w:t>
      </w:r>
      <w:r>
        <w:rPr>
          <w:color w:val="000000"/>
        </w:rPr>
        <w:t>, 2016.  OPC, FIPUG, PCS Phosphate, SACE, FRF, and Miami have each been granted intervention in this docket.  On June 30, 2016, Prehearing Statements were filed by FPL, DEF, Staff, OPC, FIPUG, FRF, PCS Phosphate, SACE, and Miami.</w:t>
      </w:r>
    </w:p>
    <w:p w:rsidR="00C27461" w:rsidRDefault="00C27461" w:rsidP="00C27461">
      <w:pPr>
        <w:ind w:firstLine="720"/>
        <w:jc w:val="both"/>
        <w:rPr>
          <w:color w:val="000000"/>
        </w:rPr>
      </w:pPr>
    </w:p>
    <w:p w:rsidR="00C27461" w:rsidRDefault="00590F10" w:rsidP="00C27461">
      <w:pPr>
        <w:ind w:firstLine="720"/>
        <w:jc w:val="both"/>
        <w:rPr>
          <w:color w:val="000000"/>
        </w:rPr>
      </w:pPr>
      <w:r>
        <w:rPr>
          <w:color w:val="000000"/>
        </w:rPr>
        <w:t>In Order No. PSC-16-0266-PCO-EI, the Commission granted</w:t>
      </w:r>
      <w:r w:rsidR="00C27461">
        <w:rPr>
          <w:color w:val="000000"/>
        </w:rPr>
        <w:t xml:space="preserve"> FPL’s Motion to Defer Consideration of all Issues and Cost Recovery; therefore, there will not be a hearing on FPL issues this year.</w:t>
      </w:r>
    </w:p>
    <w:p w:rsidR="00C27461" w:rsidRDefault="00C27461" w:rsidP="00C27461">
      <w:pPr>
        <w:ind w:firstLine="720"/>
        <w:jc w:val="both"/>
        <w:rPr>
          <w:color w:val="000000"/>
        </w:rPr>
      </w:pPr>
    </w:p>
    <w:p w:rsidR="00C27461" w:rsidRDefault="00C27461" w:rsidP="00C27461">
      <w:pPr>
        <w:ind w:firstLine="720"/>
        <w:jc w:val="both"/>
        <w:rPr>
          <w:color w:val="000000"/>
        </w:rPr>
      </w:pPr>
    </w:p>
    <w:p w:rsidR="00C27461" w:rsidRPr="007F2D29" w:rsidRDefault="00C27461" w:rsidP="00C27461">
      <w:pPr>
        <w:ind w:firstLine="720"/>
        <w:jc w:val="both"/>
        <w:rPr>
          <w:color w:val="000000"/>
        </w:rPr>
      </w:pPr>
      <w:r>
        <w:rPr>
          <w:color w:val="000000"/>
        </w:rPr>
        <w:t xml:space="preserve"> </w:t>
      </w:r>
    </w:p>
    <w:p w:rsidR="00FB52E6" w:rsidRDefault="00FB52E6" w:rsidP="00FB52E6">
      <w:pPr>
        <w:jc w:val="both"/>
      </w:pPr>
    </w:p>
    <w:p w:rsidR="00FB52E6" w:rsidRPr="00D579AE" w:rsidRDefault="00FB52E6" w:rsidP="00FB52E6">
      <w:pPr>
        <w:jc w:val="both"/>
        <w:rPr>
          <w:b/>
        </w:rPr>
      </w:pPr>
      <w:r w:rsidRPr="00D579AE">
        <w:rPr>
          <w:b/>
        </w:rPr>
        <w:t>II.</w:t>
      </w:r>
      <w:r w:rsidRPr="00D579AE">
        <w:rPr>
          <w:b/>
        </w:rPr>
        <w:tab/>
      </w:r>
      <w:r w:rsidRPr="00D579AE">
        <w:rPr>
          <w:b/>
          <w:u w:val="single"/>
        </w:rPr>
        <w:t>CONDUCT OF PROCEEDINGS</w:t>
      </w:r>
    </w:p>
    <w:p w:rsidR="00FB52E6" w:rsidRPr="00701945" w:rsidRDefault="00FB52E6" w:rsidP="00FB52E6">
      <w:pPr>
        <w:jc w:val="both"/>
      </w:pPr>
    </w:p>
    <w:p w:rsidR="00FB52E6" w:rsidRPr="00701945" w:rsidRDefault="00FB52E6" w:rsidP="00FB52E6">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FB52E6" w:rsidRPr="00701945" w:rsidRDefault="00FB52E6" w:rsidP="00FB52E6">
      <w:pPr>
        <w:jc w:val="both"/>
      </w:pPr>
    </w:p>
    <w:p w:rsidR="00FB52E6" w:rsidRPr="00D579AE" w:rsidRDefault="00FB52E6" w:rsidP="00FB52E6">
      <w:pPr>
        <w:jc w:val="both"/>
        <w:rPr>
          <w:b/>
        </w:rPr>
      </w:pPr>
      <w:smartTag w:uri="urn:schemas-microsoft-com:office:smarttags" w:element="stockticker">
        <w:r w:rsidRPr="00D579AE">
          <w:rPr>
            <w:b/>
          </w:rPr>
          <w:t>III</w:t>
        </w:r>
      </w:smartTag>
      <w:r w:rsidRPr="00D579AE">
        <w:rPr>
          <w:b/>
        </w:rPr>
        <w:t>.</w:t>
      </w:r>
      <w:r w:rsidRPr="00D579AE">
        <w:rPr>
          <w:b/>
        </w:rPr>
        <w:tab/>
      </w:r>
      <w:r w:rsidRPr="00D579AE">
        <w:rPr>
          <w:b/>
          <w:u w:val="single"/>
        </w:rPr>
        <w:t>JURISDICTION</w:t>
      </w:r>
    </w:p>
    <w:p w:rsidR="00FB52E6" w:rsidRPr="00701945" w:rsidRDefault="00FB52E6" w:rsidP="00FB52E6">
      <w:pPr>
        <w:jc w:val="both"/>
      </w:pPr>
    </w:p>
    <w:p w:rsidR="00FB52E6" w:rsidRPr="00701945" w:rsidRDefault="00FB52E6" w:rsidP="00FB52E6">
      <w:pPr>
        <w:jc w:val="both"/>
      </w:pPr>
      <w:r w:rsidRPr="00701945">
        <w:tab/>
        <w:t>This Commission is vested with jurisdiction over the subject matter by the provisions of Chapter</w:t>
      </w:r>
      <w:r w:rsidR="00F30719">
        <w:t xml:space="preserve"> </w:t>
      </w:r>
      <w:r w:rsidR="00F30719" w:rsidRPr="00F30719">
        <w:t>366</w:t>
      </w:r>
      <w:r w:rsidRPr="00701945">
        <w:t xml:space="preserve">, </w:t>
      </w:r>
      <w:r>
        <w:t>Florida Statutes (F.S</w:t>
      </w:r>
      <w:r w:rsidRPr="00701945">
        <w:t>.</w:t>
      </w:r>
      <w:r>
        <w:t>).</w:t>
      </w:r>
      <w:r w:rsidRPr="00701945">
        <w:t xml:space="preserve">  This hearing will be governed by said Chapter and Chapters</w:t>
      </w:r>
      <w:r>
        <w:rPr>
          <w:color w:val="FF0000"/>
        </w:rPr>
        <w:t xml:space="preserve"> </w:t>
      </w:r>
      <w:r>
        <w:t>25-6</w:t>
      </w:r>
      <w:r w:rsidRPr="00701945">
        <w:t xml:space="preserve">, 25-22, and 28-106, </w:t>
      </w:r>
      <w:r>
        <w:t>F.A.C., as well as any other applicable provisions of law</w:t>
      </w:r>
      <w:r w:rsidRPr="00701945">
        <w:t>.</w:t>
      </w:r>
    </w:p>
    <w:p w:rsidR="00FB52E6" w:rsidRPr="00701945" w:rsidRDefault="00FB52E6" w:rsidP="00FB52E6">
      <w:pPr>
        <w:jc w:val="both"/>
      </w:pPr>
    </w:p>
    <w:p w:rsidR="00FB52E6" w:rsidRPr="00792A09" w:rsidRDefault="00FB52E6" w:rsidP="00FB52E6">
      <w:pPr>
        <w:jc w:val="both"/>
        <w:rPr>
          <w:b/>
        </w:rPr>
      </w:pPr>
      <w:r w:rsidRPr="00792A09">
        <w:rPr>
          <w:b/>
        </w:rPr>
        <w:t>IV.</w:t>
      </w:r>
      <w:r w:rsidRPr="00792A09">
        <w:rPr>
          <w:b/>
        </w:rPr>
        <w:tab/>
      </w:r>
      <w:r w:rsidRPr="00792A09">
        <w:rPr>
          <w:b/>
          <w:u w:val="single"/>
        </w:rPr>
        <w:t>PROCEDURE FOR HANDLING CONFIDENTIAL INFORMATION</w:t>
      </w:r>
    </w:p>
    <w:p w:rsidR="00FB52E6" w:rsidRPr="00701945" w:rsidRDefault="00FB52E6" w:rsidP="00FB52E6">
      <w:pPr>
        <w:jc w:val="both"/>
      </w:pPr>
    </w:p>
    <w:p w:rsidR="00FB52E6" w:rsidRPr="00C27461" w:rsidRDefault="00FB52E6" w:rsidP="00FB52E6">
      <w:pPr>
        <w:jc w:val="both"/>
      </w:pPr>
      <w:r w:rsidRPr="00C27461">
        <w:tab/>
        <w:t>Information for which proprietary confidential business information status is requested pursuant to Section</w:t>
      </w:r>
      <w:r w:rsidR="00C27461" w:rsidRPr="00C27461">
        <w:t xml:space="preserve"> 366.093</w:t>
      </w:r>
      <w:r w:rsidRPr="00C27461">
        <w:t xml:space="preserve">, F.S., and Rule 25-22.006, F.A.C., shall be treated by the Commission as confidential.  The information shall be exempt from Section 119.07(1), </w:t>
      </w:r>
      <w:smartTag w:uri="urn:schemas:contacts" w:element="GivenName">
        <w:r w:rsidRPr="00C27461">
          <w:t>F.S.</w:t>
        </w:r>
      </w:smartTag>
      <w:r w:rsidRPr="00C27461">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27461" w:rsidRPr="00C27461">
        <w:t>366.093</w:t>
      </w:r>
      <w:r w:rsidRPr="00C27461">
        <w:t>, F.S.  The Commission may determine that continued possession of the information is necessary for the Commission to conduct its business.</w:t>
      </w:r>
    </w:p>
    <w:p w:rsidR="00FB52E6" w:rsidRDefault="00FB52E6" w:rsidP="00FB52E6">
      <w:pPr>
        <w:jc w:val="both"/>
      </w:pPr>
    </w:p>
    <w:p w:rsidR="00FB52E6" w:rsidRPr="00C27461" w:rsidRDefault="00FB52E6" w:rsidP="00FB52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27461">
        <w:tab/>
        <w:t xml:space="preserve">It is the policy of this Commission that all Commission hearings be open to the public at all times.  The Commission also recognizes its obligation pursuant to Section </w:t>
      </w:r>
      <w:r w:rsidR="00C27461" w:rsidRPr="00C27461">
        <w:t>366.093</w:t>
      </w:r>
      <w:r w:rsidRPr="00C27461">
        <w:t xml:space="preserve">, F.S., to protect proprietary confidential business information from disclosure outside the proceeding.  Therefore, any party wishing to use any proprietary confidential business information, as that term is defined in Section </w:t>
      </w:r>
      <w:r w:rsidR="00C27461" w:rsidRPr="00C27461">
        <w:t>366.093</w:t>
      </w:r>
      <w:r w:rsidRPr="00C27461">
        <w:t>, F.S., at the hearing shall adhere to the following:</w:t>
      </w:r>
    </w:p>
    <w:p w:rsidR="00FB52E6" w:rsidRDefault="00FB52E6" w:rsidP="00FB52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52E6" w:rsidRDefault="00FB52E6" w:rsidP="00FB52E6">
      <w:pPr>
        <w:spacing w:line="2" w:lineRule="exact"/>
        <w:jc w:val="both"/>
      </w:pPr>
    </w:p>
    <w:p w:rsidR="00FB52E6" w:rsidRDefault="00FB52E6" w:rsidP="00FB52E6">
      <w:pPr>
        <w:pStyle w:val="Level2"/>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B52E6" w:rsidRDefault="00FB52E6" w:rsidP="00FB52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B52E6" w:rsidRDefault="00FB52E6" w:rsidP="00FB52E6">
      <w:pPr>
        <w:pStyle w:val="Level2"/>
        <w:numPr>
          <w:ilvl w:val="1"/>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B52E6" w:rsidRDefault="00FB52E6" w:rsidP="00FB52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B52E6" w:rsidRDefault="00FB52E6" w:rsidP="00FB52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FB52E6" w:rsidRDefault="00FB52E6" w:rsidP="00FB52E6">
      <w:pPr>
        <w:jc w:val="both"/>
      </w:pPr>
    </w:p>
    <w:p w:rsidR="00FB52E6" w:rsidRPr="00D579AE" w:rsidRDefault="00FB52E6" w:rsidP="00FB52E6">
      <w:pPr>
        <w:jc w:val="both"/>
        <w:rPr>
          <w:b/>
        </w:rPr>
      </w:pPr>
      <w:r w:rsidRPr="00D579AE">
        <w:rPr>
          <w:b/>
        </w:rPr>
        <w:t>V.</w:t>
      </w:r>
      <w:r w:rsidRPr="00D579AE">
        <w:rPr>
          <w:b/>
        </w:rPr>
        <w:tab/>
      </w:r>
      <w:r w:rsidRPr="00D579AE">
        <w:rPr>
          <w:b/>
          <w:u w:val="single"/>
        </w:rPr>
        <w:t xml:space="preserve">PREFILED TESTIMONY </w:t>
      </w:r>
      <w:smartTag w:uri="urn:schemas-microsoft-com:office:smarttags" w:element="stockticker">
        <w:r w:rsidRPr="00D579AE">
          <w:rPr>
            <w:b/>
            <w:u w:val="single"/>
          </w:rPr>
          <w:t>AND</w:t>
        </w:r>
      </w:smartTag>
      <w:r w:rsidRPr="00D579AE">
        <w:rPr>
          <w:b/>
          <w:u w:val="single"/>
        </w:rPr>
        <w:t xml:space="preserve"> EXHIBITS; WITNESSES</w:t>
      </w:r>
    </w:p>
    <w:p w:rsidR="00FB52E6" w:rsidRPr="00701945" w:rsidRDefault="00FB52E6" w:rsidP="00FB52E6">
      <w:pPr>
        <w:jc w:val="both"/>
      </w:pPr>
    </w:p>
    <w:p w:rsidR="00FB52E6" w:rsidRDefault="00FB52E6" w:rsidP="00FB52E6">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FB52E6" w:rsidRDefault="00FB52E6" w:rsidP="00FB52E6">
      <w:pPr>
        <w:jc w:val="both"/>
      </w:pPr>
    </w:p>
    <w:p w:rsidR="00FB52E6" w:rsidRPr="00701945" w:rsidRDefault="00FB52E6" w:rsidP="00FB52E6">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FB52E6" w:rsidRPr="00701945" w:rsidRDefault="00FB52E6" w:rsidP="00FB52E6">
      <w:pPr>
        <w:jc w:val="both"/>
      </w:pPr>
    </w:p>
    <w:p w:rsidR="00FB52E6" w:rsidRPr="00701945" w:rsidRDefault="00FB52E6" w:rsidP="00FB52E6">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FB52E6" w:rsidRPr="00B75F84" w:rsidRDefault="00FB52E6" w:rsidP="00FB52E6">
      <w:pPr>
        <w:jc w:val="both"/>
        <w:rPr>
          <w:color w:val="000000"/>
        </w:rPr>
      </w:pPr>
    </w:p>
    <w:p w:rsidR="00FB52E6" w:rsidRPr="00B75F84" w:rsidRDefault="00FB52E6" w:rsidP="00FB52E6">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B52E6" w:rsidRDefault="00FB52E6" w:rsidP="00FB52E6">
      <w:pPr>
        <w:jc w:val="both"/>
      </w:pPr>
    </w:p>
    <w:p w:rsidR="00FB52E6" w:rsidRPr="00D579AE" w:rsidRDefault="00FB52E6" w:rsidP="00FB52E6">
      <w:pPr>
        <w:jc w:val="both"/>
        <w:rPr>
          <w:b/>
        </w:rPr>
      </w:pPr>
      <w:r w:rsidRPr="00D579AE">
        <w:rPr>
          <w:b/>
        </w:rPr>
        <w:t>VI.</w:t>
      </w:r>
      <w:r w:rsidRPr="00D579AE">
        <w:rPr>
          <w:b/>
        </w:rPr>
        <w:tab/>
      </w:r>
      <w:r w:rsidRPr="00D579AE">
        <w:rPr>
          <w:b/>
          <w:u w:val="single"/>
        </w:rPr>
        <w:t>ORDER OF WITNESSES</w:t>
      </w:r>
    </w:p>
    <w:p w:rsidR="00FB52E6" w:rsidRDefault="00FB52E6" w:rsidP="00FB52E6">
      <w:pPr>
        <w:jc w:val="both"/>
      </w:pPr>
    </w:p>
    <w:p w:rsidR="00FB52E6" w:rsidRDefault="00FB52E6" w:rsidP="00FB52E6">
      <w:pPr>
        <w:jc w:val="both"/>
      </w:pPr>
      <w:r>
        <w:tab/>
        <w:t>Each witness whose name is preceded by a plus sign (+) will present direct and rebuttal testimony together.</w:t>
      </w:r>
    </w:p>
    <w:p w:rsidR="002640F9" w:rsidRDefault="002640F9">
      <w:r>
        <w:br w:type="page"/>
      </w:r>
    </w:p>
    <w:p w:rsidR="00FB52E6" w:rsidRPr="00701945" w:rsidRDefault="00FB52E6" w:rsidP="00FB52E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B4B44" w:rsidRPr="00701945" w:rsidTr="00396DD7">
        <w:trPr>
          <w:cantSplit/>
          <w:trHeight w:val="362"/>
          <w:tblHeader/>
        </w:trPr>
        <w:tc>
          <w:tcPr>
            <w:tcW w:w="3507" w:type="dxa"/>
            <w:tcBorders>
              <w:top w:val="nil"/>
              <w:left w:val="nil"/>
              <w:bottom w:val="nil"/>
              <w:right w:val="nil"/>
            </w:tcBorders>
          </w:tcPr>
          <w:p w:rsidR="00FB4B44" w:rsidRPr="00701945" w:rsidRDefault="00FB4B44" w:rsidP="00396DD7">
            <w:pPr>
              <w:jc w:val="both"/>
            </w:pPr>
            <w:r w:rsidRPr="00701945">
              <w:rPr>
                <w:u w:val="single"/>
              </w:rPr>
              <w:t>Witness</w:t>
            </w:r>
          </w:p>
        </w:tc>
        <w:tc>
          <w:tcPr>
            <w:tcW w:w="2511" w:type="dxa"/>
            <w:tcBorders>
              <w:top w:val="nil"/>
              <w:left w:val="nil"/>
              <w:bottom w:val="nil"/>
              <w:right w:val="nil"/>
            </w:tcBorders>
          </w:tcPr>
          <w:p w:rsidR="00FB4B44" w:rsidRPr="00701945" w:rsidRDefault="00FB4B44" w:rsidP="00396DD7">
            <w:pPr>
              <w:jc w:val="center"/>
            </w:pPr>
            <w:r w:rsidRPr="00701945">
              <w:rPr>
                <w:u w:val="single"/>
              </w:rPr>
              <w:t>Proffered By</w:t>
            </w:r>
          </w:p>
        </w:tc>
        <w:tc>
          <w:tcPr>
            <w:tcW w:w="3546" w:type="dxa"/>
            <w:tcBorders>
              <w:top w:val="nil"/>
              <w:left w:val="nil"/>
              <w:bottom w:val="nil"/>
              <w:right w:val="nil"/>
            </w:tcBorders>
          </w:tcPr>
          <w:p w:rsidR="00FB4B44" w:rsidRPr="00701945" w:rsidRDefault="00FB4B44" w:rsidP="00396DD7">
            <w:pPr>
              <w:jc w:val="both"/>
            </w:pPr>
            <w:r w:rsidRPr="00701945">
              <w:rPr>
                <w:u w:val="single"/>
              </w:rPr>
              <w:t>Issues #</w:t>
            </w:r>
          </w:p>
        </w:tc>
      </w:tr>
      <w:tr w:rsidR="00FB4B44" w:rsidRPr="00701945" w:rsidTr="00396DD7">
        <w:trPr>
          <w:cantSplit/>
          <w:trHeight w:val="362"/>
        </w:trPr>
        <w:tc>
          <w:tcPr>
            <w:tcW w:w="3507" w:type="dxa"/>
            <w:tcBorders>
              <w:top w:val="nil"/>
              <w:left w:val="nil"/>
              <w:bottom w:val="nil"/>
              <w:right w:val="nil"/>
            </w:tcBorders>
          </w:tcPr>
          <w:p w:rsidR="00FB4B44" w:rsidRPr="00AC105C" w:rsidRDefault="00FB4B44" w:rsidP="00396DD7">
            <w:pPr>
              <w:jc w:val="both"/>
              <w:rPr>
                <w:u w:val="single"/>
              </w:rPr>
            </w:pPr>
            <w:r w:rsidRPr="00AC105C">
              <w:tab/>
            </w:r>
            <w:r w:rsidRPr="00AC105C">
              <w:rPr>
                <w:u w:val="single"/>
              </w:rPr>
              <w:t>Direct</w:t>
            </w:r>
          </w:p>
        </w:tc>
        <w:tc>
          <w:tcPr>
            <w:tcW w:w="2511" w:type="dxa"/>
            <w:tcBorders>
              <w:top w:val="nil"/>
              <w:left w:val="nil"/>
              <w:bottom w:val="nil"/>
              <w:right w:val="nil"/>
            </w:tcBorders>
          </w:tcPr>
          <w:p w:rsidR="00FB4B44" w:rsidRPr="00701945" w:rsidRDefault="00FB4B44" w:rsidP="00396DD7">
            <w:pPr>
              <w:jc w:val="center"/>
            </w:pPr>
          </w:p>
        </w:tc>
        <w:tc>
          <w:tcPr>
            <w:tcW w:w="3546" w:type="dxa"/>
            <w:tcBorders>
              <w:top w:val="nil"/>
              <w:left w:val="nil"/>
              <w:bottom w:val="nil"/>
              <w:right w:val="nil"/>
            </w:tcBorders>
          </w:tcPr>
          <w:p w:rsidR="00FB4B44" w:rsidRPr="00701945" w:rsidRDefault="00FB4B44" w:rsidP="00396DD7"/>
        </w:tc>
      </w:tr>
      <w:tr w:rsidR="00FB4B44" w:rsidRPr="00701945" w:rsidTr="00396DD7">
        <w:trPr>
          <w:cantSplit/>
          <w:trHeight w:val="362"/>
        </w:trPr>
        <w:tc>
          <w:tcPr>
            <w:tcW w:w="3507" w:type="dxa"/>
            <w:tcBorders>
              <w:top w:val="nil"/>
              <w:left w:val="nil"/>
              <w:bottom w:val="nil"/>
              <w:right w:val="nil"/>
            </w:tcBorders>
          </w:tcPr>
          <w:p w:rsidR="00FB4B44" w:rsidRPr="00701945" w:rsidRDefault="00FB4B44" w:rsidP="00396DD7">
            <w:pPr>
              <w:jc w:val="both"/>
            </w:pPr>
            <w:r>
              <w:rPr>
                <w:rFonts w:cs="Tahoma"/>
              </w:rPr>
              <w:t>Thomas G. Foster</w:t>
            </w:r>
          </w:p>
        </w:tc>
        <w:tc>
          <w:tcPr>
            <w:tcW w:w="2511" w:type="dxa"/>
            <w:tcBorders>
              <w:top w:val="nil"/>
              <w:left w:val="nil"/>
              <w:bottom w:val="nil"/>
              <w:right w:val="nil"/>
            </w:tcBorders>
          </w:tcPr>
          <w:p w:rsidR="00FB4B44" w:rsidRPr="00701945" w:rsidRDefault="00FB4B44" w:rsidP="00396DD7">
            <w:pPr>
              <w:jc w:val="center"/>
            </w:pPr>
            <w:r>
              <w:t>DEF</w:t>
            </w:r>
          </w:p>
        </w:tc>
        <w:tc>
          <w:tcPr>
            <w:tcW w:w="3546" w:type="dxa"/>
            <w:tcBorders>
              <w:top w:val="nil"/>
              <w:left w:val="nil"/>
              <w:bottom w:val="nil"/>
              <w:right w:val="nil"/>
            </w:tcBorders>
          </w:tcPr>
          <w:p w:rsidR="00FB4B44" w:rsidRPr="00701945" w:rsidRDefault="00FB4B44" w:rsidP="00396DD7">
            <w:r>
              <w:rPr>
                <w:rFonts w:cs="Tahoma"/>
              </w:rPr>
              <w:t>1, 2, 3, 4, 5, 6</w:t>
            </w:r>
          </w:p>
        </w:tc>
      </w:tr>
      <w:tr w:rsidR="00FB4B44" w:rsidRPr="00701945" w:rsidTr="00396DD7">
        <w:trPr>
          <w:cantSplit/>
          <w:trHeight w:val="362"/>
        </w:trPr>
        <w:tc>
          <w:tcPr>
            <w:tcW w:w="3507" w:type="dxa"/>
            <w:tcBorders>
              <w:top w:val="nil"/>
              <w:left w:val="nil"/>
              <w:bottom w:val="nil"/>
              <w:right w:val="nil"/>
            </w:tcBorders>
          </w:tcPr>
          <w:p w:rsidR="00FB4B44" w:rsidRPr="00701945" w:rsidRDefault="00FB4B44" w:rsidP="00396DD7">
            <w:pPr>
              <w:jc w:val="both"/>
            </w:pPr>
            <w:r>
              <w:rPr>
                <w:rFonts w:cs="Tahoma"/>
              </w:rPr>
              <w:t>Mark R. Teague</w:t>
            </w:r>
          </w:p>
        </w:tc>
        <w:tc>
          <w:tcPr>
            <w:tcW w:w="2511" w:type="dxa"/>
            <w:tcBorders>
              <w:top w:val="nil"/>
              <w:left w:val="nil"/>
              <w:bottom w:val="nil"/>
              <w:right w:val="nil"/>
            </w:tcBorders>
          </w:tcPr>
          <w:p w:rsidR="00FB4B44" w:rsidRPr="00701945" w:rsidRDefault="00FB4B44" w:rsidP="00396DD7">
            <w:pPr>
              <w:jc w:val="center"/>
            </w:pPr>
            <w:r>
              <w:t>DEF</w:t>
            </w:r>
          </w:p>
        </w:tc>
        <w:tc>
          <w:tcPr>
            <w:tcW w:w="3546" w:type="dxa"/>
            <w:tcBorders>
              <w:top w:val="nil"/>
              <w:left w:val="nil"/>
              <w:bottom w:val="nil"/>
              <w:right w:val="nil"/>
            </w:tcBorders>
          </w:tcPr>
          <w:p w:rsidR="00FB4B44" w:rsidRPr="00701945" w:rsidRDefault="00FB4B44" w:rsidP="00396DD7">
            <w:r>
              <w:rPr>
                <w:rFonts w:cs="Tahoma"/>
              </w:rPr>
              <w:t>2, 3, 4, 5, 6</w:t>
            </w:r>
          </w:p>
        </w:tc>
      </w:tr>
      <w:tr w:rsidR="00FB4B44" w:rsidRPr="00701945" w:rsidTr="00396DD7">
        <w:trPr>
          <w:cantSplit/>
          <w:trHeight w:val="362"/>
        </w:trPr>
        <w:tc>
          <w:tcPr>
            <w:tcW w:w="3507" w:type="dxa"/>
            <w:tcBorders>
              <w:top w:val="nil"/>
              <w:left w:val="nil"/>
              <w:bottom w:val="nil"/>
              <w:right w:val="nil"/>
            </w:tcBorders>
          </w:tcPr>
          <w:p w:rsidR="00FB4B44" w:rsidRPr="00701945" w:rsidRDefault="00FB4B44" w:rsidP="00396DD7">
            <w:pPr>
              <w:jc w:val="both"/>
            </w:pPr>
            <w:r>
              <w:rPr>
                <w:rFonts w:cs="Tahoma"/>
              </w:rPr>
              <w:t>Christopher M. Fallon</w:t>
            </w:r>
          </w:p>
        </w:tc>
        <w:tc>
          <w:tcPr>
            <w:tcW w:w="2511" w:type="dxa"/>
            <w:tcBorders>
              <w:top w:val="nil"/>
              <w:left w:val="nil"/>
              <w:bottom w:val="nil"/>
              <w:right w:val="nil"/>
            </w:tcBorders>
          </w:tcPr>
          <w:p w:rsidR="00FB4B44" w:rsidRPr="00701945" w:rsidRDefault="00FB4B44" w:rsidP="00396DD7">
            <w:pPr>
              <w:jc w:val="center"/>
            </w:pPr>
            <w:r>
              <w:t>DEF</w:t>
            </w:r>
          </w:p>
        </w:tc>
        <w:tc>
          <w:tcPr>
            <w:tcW w:w="3546" w:type="dxa"/>
            <w:tcBorders>
              <w:top w:val="nil"/>
              <w:left w:val="nil"/>
              <w:bottom w:val="nil"/>
              <w:right w:val="nil"/>
            </w:tcBorders>
          </w:tcPr>
          <w:p w:rsidR="00FB4B44" w:rsidRPr="00701945" w:rsidRDefault="00FB4B44" w:rsidP="00396DD7">
            <w:r>
              <w:rPr>
                <w:rFonts w:cs="Tahoma"/>
              </w:rPr>
              <w:t>1, 6</w:t>
            </w:r>
          </w:p>
        </w:tc>
      </w:tr>
      <w:tr w:rsidR="007E7074" w:rsidRPr="00701945" w:rsidTr="00396DD7">
        <w:trPr>
          <w:cantSplit/>
          <w:trHeight w:val="362"/>
        </w:trPr>
        <w:tc>
          <w:tcPr>
            <w:tcW w:w="3507" w:type="dxa"/>
            <w:tcBorders>
              <w:top w:val="nil"/>
              <w:left w:val="nil"/>
              <w:bottom w:val="nil"/>
              <w:right w:val="nil"/>
            </w:tcBorders>
          </w:tcPr>
          <w:p w:rsidR="007E7074" w:rsidRDefault="007E7074" w:rsidP="00396DD7">
            <w:r w:rsidRPr="008F30BC">
              <w:rPr>
                <w:bCs/>
              </w:rPr>
              <w:t>Jerry Hallenstein and Lynn Fisher</w:t>
            </w:r>
          </w:p>
        </w:tc>
        <w:tc>
          <w:tcPr>
            <w:tcW w:w="2511" w:type="dxa"/>
            <w:tcBorders>
              <w:top w:val="nil"/>
              <w:left w:val="nil"/>
              <w:bottom w:val="nil"/>
              <w:right w:val="nil"/>
            </w:tcBorders>
          </w:tcPr>
          <w:p w:rsidR="007E7074" w:rsidRDefault="007E7074" w:rsidP="00396DD7">
            <w:pPr>
              <w:jc w:val="center"/>
            </w:pPr>
            <w:r w:rsidRPr="00A77707">
              <w:t>Staff</w:t>
            </w:r>
          </w:p>
        </w:tc>
        <w:tc>
          <w:tcPr>
            <w:tcW w:w="3546" w:type="dxa"/>
            <w:tcBorders>
              <w:top w:val="nil"/>
              <w:left w:val="nil"/>
              <w:bottom w:val="nil"/>
              <w:right w:val="nil"/>
            </w:tcBorders>
          </w:tcPr>
          <w:p w:rsidR="007E7074" w:rsidRDefault="007E7074" w:rsidP="00396DD7">
            <w:pPr>
              <w:keepNext/>
              <w:keepLines/>
            </w:pPr>
            <w:r>
              <w:t>1, 2</w:t>
            </w:r>
          </w:p>
        </w:tc>
      </w:tr>
      <w:tr w:rsidR="007E7074" w:rsidRPr="00701945" w:rsidTr="00FB4B44">
        <w:trPr>
          <w:cantSplit/>
          <w:trHeight w:val="360"/>
        </w:trPr>
        <w:tc>
          <w:tcPr>
            <w:tcW w:w="3507" w:type="dxa"/>
            <w:tcBorders>
              <w:top w:val="nil"/>
              <w:left w:val="nil"/>
              <w:bottom w:val="nil"/>
              <w:right w:val="nil"/>
            </w:tcBorders>
          </w:tcPr>
          <w:p w:rsidR="007E7074" w:rsidRPr="00DC23D1" w:rsidRDefault="007E7074" w:rsidP="00FB4B44">
            <w:pPr>
              <w:pStyle w:val="PrehearingBody"/>
              <w:spacing w:after="0"/>
              <w:ind w:firstLine="0"/>
              <w:rPr>
                <w:bCs/>
              </w:rPr>
            </w:pPr>
            <w:r>
              <w:t>Ronald Mavrides</w:t>
            </w:r>
          </w:p>
        </w:tc>
        <w:tc>
          <w:tcPr>
            <w:tcW w:w="2511" w:type="dxa"/>
            <w:tcBorders>
              <w:top w:val="nil"/>
              <w:left w:val="nil"/>
              <w:bottom w:val="nil"/>
              <w:right w:val="nil"/>
            </w:tcBorders>
          </w:tcPr>
          <w:p w:rsidR="007E7074" w:rsidRDefault="007E7074" w:rsidP="00FB4B44">
            <w:pPr>
              <w:jc w:val="center"/>
            </w:pPr>
            <w:r>
              <w:t>Staff</w:t>
            </w:r>
          </w:p>
        </w:tc>
        <w:tc>
          <w:tcPr>
            <w:tcW w:w="3546" w:type="dxa"/>
            <w:tcBorders>
              <w:top w:val="nil"/>
              <w:left w:val="nil"/>
              <w:bottom w:val="nil"/>
              <w:right w:val="nil"/>
            </w:tcBorders>
          </w:tcPr>
          <w:p w:rsidR="007E7074" w:rsidRPr="00701945" w:rsidRDefault="007E7074" w:rsidP="00FB4B44">
            <w:r>
              <w:t>1, 2</w:t>
            </w:r>
            <w:r w:rsidR="007B72B2">
              <w:t>, 3</w:t>
            </w:r>
          </w:p>
        </w:tc>
      </w:tr>
    </w:tbl>
    <w:p w:rsidR="00FB52E6" w:rsidRDefault="00FB52E6" w:rsidP="00FB52E6">
      <w:pPr>
        <w:jc w:val="both"/>
      </w:pPr>
    </w:p>
    <w:p w:rsidR="00FB52E6" w:rsidRPr="00D579AE" w:rsidRDefault="00FB52E6" w:rsidP="00FB52E6">
      <w:pPr>
        <w:jc w:val="both"/>
        <w:rPr>
          <w:b/>
          <w:u w:val="single"/>
        </w:rPr>
      </w:pPr>
      <w:r w:rsidRPr="00D579AE">
        <w:rPr>
          <w:b/>
        </w:rPr>
        <w:t>VII.</w:t>
      </w:r>
      <w:r w:rsidRPr="00D579AE">
        <w:rPr>
          <w:b/>
        </w:rPr>
        <w:tab/>
      </w:r>
      <w:r w:rsidRPr="00D579AE">
        <w:rPr>
          <w:b/>
          <w:u w:val="single"/>
        </w:rPr>
        <w:t>BASIC POSITIONS</w:t>
      </w:r>
    </w:p>
    <w:p w:rsidR="00D579AE" w:rsidRPr="00701945" w:rsidRDefault="00D579AE" w:rsidP="00FB52E6">
      <w:pPr>
        <w:jc w:val="both"/>
      </w:pPr>
    </w:p>
    <w:p w:rsidR="001E1627" w:rsidRPr="001E1627" w:rsidRDefault="00D579AE" w:rsidP="001E1627">
      <w:pPr>
        <w:spacing w:after="240"/>
        <w:ind w:left="1440" w:hanging="1440"/>
        <w:jc w:val="both"/>
        <w:rPr>
          <w:b/>
          <w:bCs/>
          <w:u w:val="single"/>
        </w:rPr>
      </w:pPr>
      <w:r>
        <w:rPr>
          <w:b/>
          <w:bCs/>
          <w:u w:val="single"/>
        </w:rPr>
        <w:t>DEF</w:t>
      </w:r>
      <w:r w:rsidRPr="00701945">
        <w:rPr>
          <w:b/>
          <w:bCs/>
        </w:rPr>
        <w:t>:</w:t>
      </w:r>
      <w:r>
        <w:rPr>
          <w:b/>
          <w:bCs/>
        </w:rPr>
        <w:tab/>
      </w:r>
      <w:r w:rsidR="001E1627" w:rsidRPr="001E1627">
        <w:rPr>
          <w:b/>
          <w:bCs/>
        </w:rPr>
        <w:t>1.</w:t>
      </w:r>
      <w:r w:rsidR="001E1627" w:rsidRPr="001E1627">
        <w:rPr>
          <w:b/>
          <w:bCs/>
        </w:rPr>
        <w:tab/>
      </w:r>
      <w:r w:rsidR="001E1627" w:rsidRPr="001E1627">
        <w:rPr>
          <w:b/>
          <w:bCs/>
          <w:u w:val="single"/>
        </w:rPr>
        <w:t>Levy Nuclear Project</w:t>
      </w:r>
    </w:p>
    <w:p w:rsidR="001E1627" w:rsidRPr="001E1627" w:rsidRDefault="001E1627" w:rsidP="001E1627">
      <w:pPr>
        <w:spacing w:after="240"/>
        <w:ind w:left="1440"/>
        <w:jc w:val="both"/>
        <w:rPr>
          <w:bCs/>
        </w:rPr>
      </w:pPr>
      <w:r w:rsidRPr="001E1627">
        <w:rPr>
          <w:bCs/>
        </w:rPr>
        <w:t>Pursuant to the stipulation approved by the Commission in Order No. PSC-15-0521-FOF-EI, DEF has agreed to</w:t>
      </w:r>
      <w:r w:rsidRPr="001E1627">
        <w:rPr>
          <w:bCs/>
        </w:rPr>
        <w:tab/>
        <w:t xml:space="preserve">include all known LNP costs and credits, including carrying costs, if any, in its 2017 True-up filing for consideration and review in the 2017 Nuclear Cost Recovery Clause (“NCRC”) docket for setting the 2018 NCRC recovery factor.  In this docket DEF has presented its 2015 actual, 2016 actual/estimated, and 2017 projected LNP costs for informational purposes only;  DEF is not seeking a prudence or reasonableness determination for these costs in this year’s docket.  </w:t>
      </w:r>
    </w:p>
    <w:p w:rsidR="001E1627" w:rsidRPr="001E1627" w:rsidRDefault="001E1627" w:rsidP="001E1627">
      <w:pPr>
        <w:spacing w:after="240"/>
        <w:ind w:left="1440"/>
        <w:jc w:val="both"/>
        <w:rPr>
          <w:bCs/>
        </w:rPr>
      </w:pPr>
      <w:r w:rsidRPr="001E1627">
        <w:rPr>
          <w:bCs/>
        </w:rPr>
        <w:t xml:space="preserve">Also, pursuant to the 2013 Revised and Restated Stipulation and Settlement Agreement (“2013 RRSSA”), DEF agreed to account for its remaining COLA, environmental permitting, wetlands mitigation, conditions of certification, and other costs related or connected to obtaining or maintaining the COL, incurred in 2014 and beyond, as construction work in progress removed from recovery through the NCRC.  Accordingly, there are no LNP cost recovery issues for Commission determination presented in this docket.  </w:t>
      </w:r>
    </w:p>
    <w:p w:rsidR="001E1627" w:rsidRPr="001E1627" w:rsidRDefault="001E1627" w:rsidP="001E1627">
      <w:pPr>
        <w:spacing w:after="240"/>
        <w:ind w:left="1440"/>
        <w:jc w:val="both"/>
        <w:rPr>
          <w:bCs/>
        </w:rPr>
      </w:pPr>
      <w:r w:rsidRPr="001E1627">
        <w:rPr>
          <w:bCs/>
        </w:rPr>
        <w:t>However, DEF is seeking a determination that its 2015 project management, contracting, accounting and cost oversight controls were reasonable and prudent for the LNP.  As demonstrated by the testimony of Messrs. Fallon and Foster, DEF has continued to follow controls, policies, and procedures that are substantially the same as the policies and procedures this Commission has previously reviewed and deemed prudent.</w:t>
      </w:r>
    </w:p>
    <w:p w:rsidR="002640F9" w:rsidRDefault="002640F9" w:rsidP="001E1627">
      <w:pPr>
        <w:spacing w:after="240"/>
        <w:ind w:left="1440"/>
        <w:jc w:val="both"/>
        <w:rPr>
          <w:b/>
          <w:bCs/>
        </w:rPr>
      </w:pPr>
    </w:p>
    <w:p w:rsidR="002640F9" w:rsidRDefault="002640F9">
      <w:pPr>
        <w:rPr>
          <w:b/>
          <w:bCs/>
        </w:rPr>
      </w:pPr>
      <w:r>
        <w:rPr>
          <w:b/>
          <w:bCs/>
        </w:rPr>
        <w:br w:type="page"/>
      </w:r>
    </w:p>
    <w:p w:rsidR="001E1627" w:rsidRPr="001E1627" w:rsidRDefault="001E1627" w:rsidP="001E1627">
      <w:pPr>
        <w:spacing w:after="240"/>
        <w:ind w:left="1440"/>
        <w:jc w:val="both"/>
        <w:rPr>
          <w:b/>
          <w:bCs/>
          <w:u w:val="single"/>
        </w:rPr>
      </w:pPr>
      <w:r w:rsidRPr="001E1627">
        <w:rPr>
          <w:b/>
          <w:bCs/>
        </w:rPr>
        <w:lastRenderedPageBreak/>
        <w:t>2.</w:t>
      </w:r>
      <w:r w:rsidRPr="001E1627">
        <w:rPr>
          <w:b/>
          <w:bCs/>
        </w:rPr>
        <w:tab/>
      </w:r>
      <w:r w:rsidRPr="001E1627">
        <w:rPr>
          <w:b/>
          <w:bCs/>
          <w:u w:val="single"/>
        </w:rPr>
        <w:t>CR3 EPU Project</w:t>
      </w:r>
    </w:p>
    <w:p w:rsidR="001E1627" w:rsidRPr="001E1627" w:rsidRDefault="001E1627" w:rsidP="001E1627">
      <w:pPr>
        <w:spacing w:after="240"/>
        <w:ind w:left="1440"/>
        <w:jc w:val="both"/>
        <w:rPr>
          <w:bCs/>
        </w:rPr>
      </w:pPr>
      <w:r w:rsidRPr="001E1627">
        <w:rPr>
          <w:bCs/>
        </w:rPr>
        <w:t xml:space="preserve">The disposition of EPU-related assets was completed in 2015, the last remaining EPU assets are those that DEF has determined should be abandoned in place.  If DEF is able to disposition any of the remaining assets, DEF will credit customers for the value received.  DEF is continuing to amortize the uncollected balance of project costs as authorized by the 2013 RRSSA, and will continue to do so through 2019.    </w:t>
      </w:r>
    </w:p>
    <w:p w:rsidR="00D579AE" w:rsidRPr="001E1627" w:rsidRDefault="001E1627" w:rsidP="001E1627">
      <w:pPr>
        <w:spacing w:after="240"/>
        <w:ind w:left="1440"/>
        <w:jc w:val="both"/>
      </w:pPr>
      <w:r w:rsidRPr="001E1627">
        <w:rPr>
          <w:bCs/>
        </w:rPr>
        <w:t>The Commission should approve DEF’s proposed 2017 NCRC recovery factors, and find that DEF’s 2015 LNP and CR3 EPU project management, contracting, accounting and cost oversight controls were reasonable and prudent.</w:t>
      </w:r>
    </w:p>
    <w:p w:rsidR="00DA559E" w:rsidRPr="00DA559E" w:rsidRDefault="00D579AE" w:rsidP="00DA559E">
      <w:pPr>
        <w:spacing w:after="240"/>
        <w:ind w:left="1440" w:hanging="1440"/>
        <w:jc w:val="both"/>
        <w:rPr>
          <w:bCs/>
          <w:u w:val="single"/>
        </w:rPr>
      </w:pPr>
      <w:r w:rsidRPr="008B7A69">
        <w:rPr>
          <w:b/>
          <w:bCs/>
          <w:u w:val="single"/>
        </w:rPr>
        <w:t>OPC</w:t>
      </w:r>
      <w:r w:rsidRPr="008B7A69">
        <w:rPr>
          <w:b/>
          <w:bCs/>
        </w:rPr>
        <w:t>:</w:t>
      </w:r>
      <w:r w:rsidRPr="008B7A69">
        <w:tab/>
      </w:r>
      <w:r w:rsidR="00DA559E" w:rsidRPr="00502EDE">
        <w:rPr>
          <w:b/>
          <w:bCs/>
          <w:u w:val="single"/>
        </w:rPr>
        <w:t>DEF</w:t>
      </w:r>
    </w:p>
    <w:p w:rsidR="00DA559E" w:rsidRPr="00DA559E" w:rsidRDefault="00DA559E" w:rsidP="00DA559E">
      <w:pPr>
        <w:spacing w:after="240"/>
        <w:ind w:left="1440" w:hanging="1440"/>
        <w:jc w:val="both"/>
      </w:pPr>
      <w:r w:rsidRPr="00DA559E">
        <w:rPr>
          <w:bCs/>
        </w:rPr>
        <w:tab/>
        <w:t xml:space="preserve">The OPC takes no position and does not object to DEF’s positions on the issues related to the recovery of the CR3 EPU project which costs are being recovered pursuant to the provisions of the Revises and Restated Stipulation and Settlement Agreement (RRSSA) approved in Order No. PSC-13-0598-FOF-EI.  For the Levy Nuclear Project (LNP) there are no costs being recovered from customers in this hearing cycle as all known costs have been recovered pursuant to the RRSSA.  The OPC has an agreement with DEF that the dollar figures presented in testimony are for information only and the Commission will not be taking any action on such costs.  The OPC further understands that pursuant to the Stipulation entered into among the parties in 2015 and approved in Order No. PSC-15-0521-FOF-EI (2015 Stipulation) any net costs, if any, that DEF seeks to recover related to LNP will be addressed in the 2017 NCRC hearing process pursuant to law, including the RRSSA and the 2015 Stipulation. </w:t>
      </w:r>
    </w:p>
    <w:p w:rsidR="00153324" w:rsidRPr="00153324" w:rsidRDefault="00D579AE" w:rsidP="00153324">
      <w:pPr>
        <w:spacing w:after="240"/>
        <w:ind w:left="1440" w:hanging="1440"/>
        <w:jc w:val="both"/>
        <w:rPr>
          <w:bCs/>
          <w:u w:val="single"/>
        </w:rPr>
      </w:pPr>
      <w:r w:rsidRPr="00EC1CDF">
        <w:rPr>
          <w:b/>
          <w:u w:val="single"/>
        </w:rPr>
        <w:t>FIPUG</w:t>
      </w:r>
      <w:r w:rsidRPr="00EC1CDF">
        <w:rPr>
          <w:b/>
        </w:rPr>
        <w:t>:</w:t>
      </w:r>
      <w:r w:rsidRPr="00EC1CDF">
        <w:rPr>
          <w:b/>
          <w:color w:val="FF0000"/>
        </w:rPr>
        <w:tab/>
      </w:r>
      <w:r w:rsidR="00153324" w:rsidRPr="00153324">
        <w:rPr>
          <w:b/>
          <w:bCs/>
          <w:u w:val="single"/>
        </w:rPr>
        <w:t>DEF</w:t>
      </w:r>
    </w:p>
    <w:p w:rsidR="00153324" w:rsidRPr="00153324" w:rsidRDefault="00153324" w:rsidP="00153324">
      <w:pPr>
        <w:spacing w:after="240"/>
        <w:ind w:left="1440" w:hanging="1440"/>
        <w:jc w:val="both"/>
      </w:pPr>
      <w:r w:rsidRPr="00153324">
        <w:rPr>
          <w:bCs/>
        </w:rPr>
        <w:tab/>
      </w:r>
      <w:r>
        <w:rPr>
          <w:bCs/>
        </w:rPr>
        <w:t>FIPU</w:t>
      </w:r>
      <w:r w:rsidRPr="00153324">
        <w:rPr>
          <w:bCs/>
        </w:rPr>
        <w:t xml:space="preserve">G takes no position and does not object to DEF’s positions on the issues related to the recovery of the CR3 EPU project which costs are being recovered pursuant to the provisions of the Revised and Restated Stipulation and Settlement Agreement (RRSSA) approved in Order No. PSC-13-0598-FOF-EI.  For the Levy Nuclear Project (LNP), there are no costs being recovered from customers in this hearing cycle as all known costs have been recovered pursuant to the RRSSA.   </w:t>
      </w:r>
    </w:p>
    <w:p w:rsidR="00D579AE" w:rsidRPr="00DC0C6C" w:rsidRDefault="00D579AE" w:rsidP="00B87AD1">
      <w:pPr>
        <w:keepNext/>
        <w:keepLines/>
        <w:jc w:val="both"/>
        <w:rPr>
          <w:b/>
          <w:sz w:val="21"/>
          <w:szCs w:val="21"/>
          <w:u w:val="single"/>
        </w:rPr>
      </w:pPr>
      <w:r w:rsidRPr="00DC0C6C">
        <w:rPr>
          <w:b/>
          <w:sz w:val="21"/>
          <w:szCs w:val="21"/>
          <w:u w:val="single"/>
        </w:rPr>
        <w:lastRenderedPageBreak/>
        <w:t>PCS</w:t>
      </w:r>
    </w:p>
    <w:p w:rsidR="00C17E52" w:rsidRPr="00C17E52" w:rsidRDefault="00D579AE" w:rsidP="00B87AD1">
      <w:pPr>
        <w:keepNext/>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C17E52" w:rsidRPr="00C17E52">
        <w:t xml:space="preserve">In Docket No. 150009 on November 3, 2015, the Commission issued Order No. PSC-15-0521-FOF-EI which approved a stipulation and settlement agreement among DEF, the Office of Public Counsel (“OPC”) and other consumer party intervenors, including PCS Phosphate.  That stipulation provided, among other issues, that costs and credits associated with the Levy Nuclear Project would be addressed in the 2017 NCRC proceeding. Consequently, the testimony and dollar amounts provided by DEF in the instant filing are for information only and should not be applied to the factors to be recovered from DEF ratepayers in 2017. DEF has not proposed to recover any of those costs in this docket.  </w:t>
      </w:r>
    </w:p>
    <w:p w:rsidR="00D579AE" w:rsidRPr="00C17E52" w:rsidRDefault="00C17E52" w:rsidP="00C17E52">
      <w:pPr>
        <w:keepLines/>
        <w:spacing w:after="240"/>
        <w:ind w:left="1440"/>
        <w:jc w:val="both"/>
      </w:pPr>
      <w:r w:rsidRPr="00C17E52">
        <w:t>Also, PCS takes no position regarding the costs related to the CR3 EPU project that were addressed by the Commission in the Revised and Restated Stipulation and Settlement Agreement (RRSSA) approved in Order No. PSC-13-0598-FOF-EI. In accordance with the prior stipulations, PCS expressly preserves its rights to make any assertions and claims in the 2017 hearing cycle that have not been finally decided by prior Commission orders.</w:t>
      </w:r>
    </w:p>
    <w:p w:rsidR="00D579AE" w:rsidRPr="00CE3061" w:rsidRDefault="00D579AE" w:rsidP="005608C1">
      <w:pPr>
        <w:spacing w:after="240"/>
        <w:ind w:left="1440" w:hanging="1440"/>
        <w:jc w:val="both"/>
      </w:pPr>
      <w:r>
        <w:rPr>
          <w:b/>
          <w:u w:val="single"/>
        </w:rPr>
        <w:t>SACE</w:t>
      </w:r>
      <w:r>
        <w:rPr>
          <w:b/>
        </w:rPr>
        <w:t>:</w:t>
      </w:r>
      <w:r>
        <w:rPr>
          <w:b/>
        </w:rPr>
        <w:tab/>
      </w:r>
      <w:r w:rsidR="00CE3061" w:rsidRPr="00CE3061">
        <w:t>SACE supported the cancellation of the Duke Energy Florida (“DEF”) Levy Nuclear Project (“LNP”) in the 130009 docket. SACE’s position continues to be that costs related to the wind down of both the LNP cancellation and the Crystal River Unit 3 (“CR3”) retirement be closely scrutinized to ensure that the recovery of costs protects the interests of DEF customers.</w:t>
      </w:r>
    </w:p>
    <w:p w:rsidR="00D40DC4" w:rsidRPr="00D40DC4" w:rsidRDefault="00D579AE" w:rsidP="00D40DC4">
      <w:pPr>
        <w:tabs>
          <w:tab w:val="left" w:pos="1440"/>
        </w:tabs>
        <w:spacing w:after="240"/>
        <w:ind w:left="1440" w:hanging="1440"/>
        <w:jc w:val="both"/>
        <w:rPr>
          <w:bCs/>
          <w:u w:val="single"/>
        </w:rPr>
      </w:pPr>
      <w:r w:rsidRPr="00C31D8A">
        <w:rPr>
          <w:b/>
          <w:u w:val="single"/>
        </w:rPr>
        <w:t>FRF</w:t>
      </w:r>
      <w:r w:rsidRPr="00C31D8A">
        <w:rPr>
          <w:b/>
        </w:rPr>
        <w:t>:</w:t>
      </w:r>
      <w:r w:rsidRPr="00C31D8A">
        <w:rPr>
          <w:b/>
        </w:rPr>
        <w:tab/>
      </w:r>
      <w:r w:rsidR="00D40DC4" w:rsidRPr="00421961">
        <w:rPr>
          <w:b/>
          <w:bCs/>
          <w:u w:val="single"/>
        </w:rPr>
        <w:t>Duke Energy Florida</w:t>
      </w:r>
    </w:p>
    <w:p w:rsidR="00D40DC4" w:rsidRPr="00D40DC4" w:rsidRDefault="00D40DC4" w:rsidP="00D40DC4">
      <w:pPr>
        <w:tabs>
          <w:tab w:val="left" w:pos="1440"/>
        </w:tabs>
        <w:spacing w:after="240"/>
        <w:ind w:left="1440" w:hanging="1440"/>
        <w:jc w:val="both"/>
      </w:pPr>
      <w:r w:rsidRPr="00D40DC4">
        <w:rPr>
          <w:bCs/>
        </w:rPr>
        <w:tab/>
        <w:t xml:space="preserve">The FRF takes no position and does not object to Duke Energy Florida’s (“DEF”) positions on the issues related to the recovery of the CR3 EPU project which costs are being recovered pursuant to the provisions of the Revised and Restated Stipulation and Settlement Agreement (“RRSSA”) approved in Order No. PSC-13-0598-FOF-EI.  For the Levy Nuclear Project (“LNP”) there are no costs being recovered from customers in this hearing cycle as all known costs have been recovered pursuant to the RRSSA.   Pursuant to an agreement between the Office of Public Counsel and DEF, the dollar values presented in testimony are for information only and the Commission will not be taking any action on such costs. The FRF further understands that pursuant to the Stipulation entered into among the parties in 2015 and approved in Order No. PSC-15-0521-FOF-EI (“2015 Stipulation”) any net costs, that DEF seeks to recover related to LNP will be addressed in the 2017 NCRC hearing process pursuant to law, including the RRSSA and the 2015 Stipulation. </w:t>
      </w:r>
    </w:p>
    <w:p w:rsidR="00FB52E6" w:rsidRDefault="00FB52E6" w:rsidP="00FB52E6">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FB52E6" w:rsidRPr="00701945" w:rsidRDefault="00FB52E6" w:rsidP="00FB52E6">
      <w:pPr>
        <w:ind w:left="1440" w:hanging="1440"/>
        <w:jc w:val="both"/>
      </w:pPr>
    </w:p>
    <w:p w:rsidR="00FB52E6" w:rsidRPr="00D579AE" w:rsidRDefault="00FB52E6" w:rsidP="00FB52E6">
      <w:pPr>
        <w:jc w:val="both"/>
        <w:rPr>
          <w:b/>
        </w:rPr>
      </w:pPr>
      <w:r w:rsidRPr="00D579AE">
        <w:rPr>
          <w:b/>
        </w:rPr>
        <w:lastRenderedPageBreak/>
        <w:t>VIII.</w:t>
      </w:r>
      <w:r w:rsidRPr="00D579AE">
        <w:rPr>
          <w:b/>
        </w:rPr>
        <w:tab/>
      </w:r>
      <w:r w:rsidRPr="00D579AE">
        <w:rPr>
          <w:b/>
          <w:u w:val="single"/>
        </w:rPr>
        <w:t xml:space="preserve">ISSUES </w:t>
      </w:r>
      <w:smartTag w:uri="urn:schemas-microsoft-com:office:smarttags" w:element="stockticker">
        <w:r w:rsidRPr="00D579AE">
          <w:rPr>
            <w:b/>
            <w:u w:val="single"/>
          </w:rPr>
          <w:t>AND</w:t>
        </w:r>
      </w:smartTag>
      <w:r w:rsidRPr="00D579AE">
        <w:rPr>
          <w:b/>
          <w:u w:val="single"/>
        </w:rPr>
        <w:t xml:space="preserve"> POSITIONS</w:t>
      </w:r>
    </w:p>
    <w:p w:rsidR="00FB52E6" w:rsidRDefault="00FB52E6" w:rsidP="00FB52E6">
      <w:pPr>
        <w:jc w:val="both"/>
      </w:pPr>
    </w:p>
    <w:p w:rsidR="005E4987" w:rsidRPr="0092200B" w:rsidRDefault="005E4987" w:rsidP="005E4987">
      <w:pPr>
        <w:pStyle w:val="PrehearingBody"/>
        <w:ind w:firstLine="0"/>
        <w:jc w:val="center"/>
        <w:rPr>
          <w:b/>
          <w:u w:val="single"/>
        </w:rPr>
      </w:pPr>
      <w:r w:rsidRPr="0092200B">
        <w:rPr>
          <w:b/>
          <w:u w:val="single"/>
        </w:rPr>
        <w:t>Duke Energy Florida, LLC</w:t>
      </w:r>
    </w:p>
    <w:p w:rsidR="00FB52E6" w:rsidRPr="00701945" w:rsidRDefault="00FB52E6" w:rsidP="005E4987">
      <w:pPr>
        <w:ind w:left="1440" w:hanging="1440"/>
        <w:jc w:val="both"/>
      </w:pPr>
      <w:r w:rsidRPr="00701945">
        <w:rPr>
          <w:b/>
          <w:bCs/>
          <w:u w:val="single"/>
        </w:rPr>
        <w:t>ISSUE 1</w:t>
      </w:r>
      <w:r w:rsidRPr="00701945">
        <w:rPr>
          <w:b/>
          <w:bCs/>
        </w:rPr>
        <w:t>:</w:t>
      </w:r>
      <w:r w:rsidRPr="00701945">
        <w:tab/>
      </w:r>
      <w:r w:rsidR="005E4987" w:rsidRPr="0014074C">
        <w:rPr>
          <w:b/>
        </w:rPr>
        <w:t>Should the Commission find that during 2015, DEF’s project management, contracting, accounting and cost oversight controls were reasonable and prudent for the Levy Units 1 &amp; 2 project?</w:t>
      </w:r>
    </w:p>
    <w:p w:rsidR="00FB52E6" w:rsidRPr="00701945" w:rsidRDefault="00FB52E6" w:rsidP="00FB52E6">
      <w:pPr>
        <w:jc w:val="both"/>
      </w:pPr>
    </w:p>
    <w:p w:rsidR="00FB52E6" w:rsidRPr="00701945" w:rsidRDefault="00FB52E6" w:rsidP="00FB52E6">
      <w:pPr>
        <w:jc w:val="both"/>
      </w:pPr>
      <w:r w:rsidRPr="00701945">
        <w:rPr>
          <w:b/>
          <w:bCs/>
          <w:u w:val="single"/>
        </w:rPr>
        <w:t>POSITIONS</w:t>
      </w:r>
    </w:p>
    <w:p w:rsidR="00FB52E6" w:rsidRPr="00701945" w:rsidRDefault="00FB52E6" w:rsidP="00FB52E6">
      <w:pPr>
        <w:jc w:val="both"/>
      </w:pPr>
    </w:p>
    <w:p w:rsidR="00D579AE" w:rsidRPr="00D579AE" w:rsidRDefault="00D579AE" w:rsidP="00D579AE">
      <w:pPr>
        <w:spacing w:after="240"/>
        <w:ind w:left="1440" w:hanging="1440"/>
        <w:jc w:val="both"/>
      </w:pPr>
      <w:r>
        <w:rPr>
          <w:b/>
          <w:bCs/>
          <w:u w:val="single"/>
        </w:rPr>
        <w:t>DEF</w:t>
      </w:r>
      <w:r w:rsidRPr="00701945">
        <w:rPr>
          <w:b/>
          <w:bCs/>
        </w:rPr>
        <w:t>:</w:t>
      </w:r>
      <w:r>
        <w:rPr>
          <w:b/>
          <w:bCs/>
        </w:rPr>
        <w:tab/>
      </w:r>
      <w:r w:rsidR="003C5B2D" w:rsidRPr="001E1627">
        <w:rPr>
          <w:bCs/>
        </w:rPr>
        <w:t>Yes, for the year 2015, DEF’s project management, contracting, accounting and cost oversight controls were reasonable and prudent for the Levy Units 1 &amp; 2 project (LNP) as discussed in Mr. Fallon’s March 1, 2016 direct testimony and in Mr. Foster’s March 1, 2016 direct testimony.    (Fallon, Foster)</w:t>
      </w:r>
    </w:p>
    <w:p w:rsidR="00D579AE" w:rsidRPr="00DB79CB" w:rsidRDefault="00D579AE" w:rsidP="00D579AE">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8876EA">
        <w:rPr>
          <w:rFonts w:cs="Arial"/>
          <w:kern w:val="32"/>
          <w:szCs w:val="32"/>
        </w:rPr>
        <w:t>p</w:t>
      </w:r>
      <w:r w:rsidR="00075F63">
        <w:rPr>
          <w:rFonts w:cs="Arial"/>
          <w:kern w:val="32"/>
          <w:szCs w:val="32"/>
        </w:rPr>
        <w:t>osition.</w:t>
      </w:r>
    </w:p>
    <w:p w:rsidR="00D579AE" w:rsidRPr="00D579AE" w:rsidRDefault="00D579AE" w:rsidP="00D579AE">
      <w:pPr>
        <w:spacing w:after="240"/>
        <w:ind w:left="1440" w:hanging="1440"/>
        <w:jc w:val="both"/>
      </w:pPr>
      <w:r w:rsidRPr="00EC1CDF">
        <w:rPr>
          <w:b/>
          <w:u w:val="single"/>
        </w:rPr>
        <w:t>FIPUG</w:t>
      </w:r>
      <w:r w:rsidRPr="00EC1CDF">
        <w:rPr>
          <w:b/>
        </w:rPr>
        <w:t>:</w:t>
      </w:r>
      <w:r w:rsidRPr="00EC1CDF">
        <w:rPr>
          <w:b/>
          <w:color w:val="FF0000"/>
        </w:rPr>
        <w:tab/>
      </w:r>
      <w:r w:rsidR="008876EA">
        <w:rPr>
          <w:kern w:val="32"/>
          <w:szCs w:val="32"/>
        </w:rPr>
        <w:t>No p</w:t>
      </w:r>
      <w:r w:rsidR="005A2FC0" w:rsidRPr="00415999">
        <w:rPr>
          <w:kern w:val="32"/>
          <w:szCs w:val="32"/>
        </w:rPr>
        <w:t>osition.</w:t>
      </w:r>
    </w:p>
    <w:p w:rsidR="00D579AE" w:rsidRPr="00DC0C6C" w:rsidRDefault="00D579AE" w:rsidP="003C5B2D">
      <w:pPr>
        <w:keepNext/>
        <w:keepLines/>
        <w:jc w:val="both"/>
        <w:rPr>
          <w:b/>
          <w:sz w:val="21"/>
          <w:szCs w:val="21"/>
          <w:u w:val="single"/>
        </w:rPr>
      </w:pPr>
      <w:r w:rsidRPr="00DC0C6C">
        <w:rPr>
          <w:b/>
          <w:sz w:val="21"/>
          <w:szCs w:val="21"/>
          <w:u w:val="single"/>
        </w:rPr>
        <w:t>PCS</w:t>
      </w:r>
    </w:p>
    <w:p w:rsidR="00D579AE" w:rsidRPr="00D579AE" w:rsidRDefault="00D579AE" w:rsidP="003C5B2D">
      <w:pPr>
        <w:keepNext/>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D579AE" w:rsidRPr="00D579AE" w:rsidRDefault="00D579AE" w:rsidP="00D579AE">
      <w:pPr>
        <w:autoSpaceDE w:val="0"/>
        <w:autoSpaceDN w:val="0"/>
        <w:adjustRightInd w:val="0"/>
        <w:spacing w:after="240"/>
        <w:ind w:left="1440" w:hanging="1440"/>
        <w:jc w:val="both"/>
      </w:pPr>
      <w:r>
        <w:rPr>
          <w:b/>
          <w:u w:val="single"/>
        </w:rPr>
        <w:t>SACE</w:t>
      </w:r>
      <w:r>
        <w:rPr>
          <w:b/>
        </w:rPr>
        <w:t>:</w:t>
      </w:r>
      <w:r>
        <w:rPr>
          <w:b/>
        </w:rPr>
        <w:tab/>
      </w:r>
      <w:r w:rsidR="0068325C">
        <w:rPr>
          <w:rFonts w:cs="Arial"/>
          <w:kern w:val="32"/>
          <w:szCs w:val="32"/>
        </w:rPr>
        <w:t>No position.</w:t>
      </w:r>
    </w:p>
    <w:p w:rsidR="00D579AE" w:rsidRPr="00D579AE" w:rsidRDefault="00D579AE" w:rsidP="00D579AE">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8876EA">
        <w:rPr>
          <w:rFonts w:cs="Arial"/>
          <w:kern w:val="32"/>
          <w:szCs w:val="32"/>
        </w:rPr>
        <w:t>p</w:t>
      </w:r>
      <w:r w:rsidR="00D40DC4">
        <w:rPr>
          <w:rFonts w:cs="Arial"/>
          <w:kern w:val="32"/>
          <w:szCs w:val="32"/>
        </w:rPr>
        <w:t>osition.</w:t>
      </w:r>
    </w:p>
    <w:p w:rsidR="00FB52E6" w:rsidRPr="00B91F69" w:rsidRDefault="00FB52E6" w:rsidP="00FB52E6">
      <w:pPr>
        <w:jc w:val="both"/>
        <w:rPr>
          <w:bCs/>
        </w:rPr>
      </w:pPr>
      <w:r w:rsidRPr="00701945">
        <w:rPr>
          <w:b/>
          <w:bCs/>
          <w:u w:val="single"/>
        </w:rPr>
        <w:t>STAFF</w:t>
      </w:r>
      <w:r w:rsidRPr="00701945">
        <w:rPr>
          <w:b/>
          <w:bCs/>
        </w:rPr>
        <w:t>:</w:t>
      </w:r>
      <w:r>
        <w:rPr>
          <w:b/>
          <w:bCs/>
        </w:rPr>
        <w:tab/>
      </w:r>
      <w:r w:rsidR="005E4987">
        <w:t>Staff has no position pending evidence adduced at the hearing.</w:t>
      </w:r>
    </w:p>
    <w:p w:rsidR="00FB52E6" w:rsidRDefault="00FB52E6" w:rsidP="00FB52E6">
      <w:pPr>
        <w:jc w:val="both"/>
      </w:pPr>
    </w:p>
    <w:p w:rsidR="005E4987" w:rsidRPr="005E4987" w:rsidRDefault="00B91F69" w:rsidP="005E4987">
      <w:pPr>
        <w:ind w:left="1440" w:hanging="1440"/>
        <w:jc w:val="both"/>
      </w:pPr>
      <w:r w:rsidRPr="00701945">
        <w:rPr>
          <w:b/>
          <w:bCs/>
          <w:u w:val="single"/>
        </w:rPr>
        <w:t xml:space="preserve">ISSUE </w:t>
      </w:r>
      <w:r>
        <w:rPr>
          <w:b/>
          <w:bCs/>
          <w:u w:val="single"/>
        </w:rPr>
        <w:t>2</w:t>
      </w:r>
      <w:r w:rsidRPr="00701945">
        <w:rPr>
          <w:b/>
          <w:bCs/>
        </w:rPr>
        <w:t>:</w:t>
      </w:r>
      <w:r w:rsidRPr="00701945">
        <w:tab/>
      </w:r>
      <w:r w:rsidR="005E4987" w:rsidRPr="0014074C">
        <w:rPr>
          <w:b/>
        </w:rPr>
        <w:t>Should the Commission find that during 2015, DEF’s project management, contracting, accounting and cost oversight controls were reasonable and prudent for the Crystal River Unit 3 Uprate project?</w:t>
      </w:r>
    </w:p>
    <w:p w:rsidR="00B91F69" w:rsidRPr="00701945" w:rsidRDefault="00B91F69" w:rsidP="00B91F69">
      <w:pPr>
        <w:jc w:val="both"/>
      </w:pPr>
    </w:p>
    <w:p w:rsidR="00B91F69" w:rsidRPr="00701945" w:rsidRDefault="00B91F69" w:rsidP="00B91F69">
      <w:pPr>
        <w:jc w:val="both"/>
      </w:pPr>
      <w:r w:rsidRPr="00701945">
        <w:rPr>
          <w:b/>
          <w:bCs/>
          <w:u w:val="single"/>
        </w:rPr>
        <w:t>POSITIONS</w:t>
      </w:r>
    </w:p>
    <w:p w:rsidR="00B91F69" w:rsidRPr="00701945" w:rsidRDefault="00B91F69" w:rsidP="00B91F69">
      <w:pPr>
        <w:jc w:val="both"/>
      </w:pPr>
    </w:p>
    <w:p w:rsidR="00B91F69" w:rsidRPr="00D579AE" w:rsidRDefault="00B91F69" w:rsidP="00B91F69">
      <w:pPr>
        <w:spacing w:after="240"/>
        <w:ind w:left="1440" w:hanging="1440"/>
        <w:jc w:val="both"/>
      </w:pPr>
      <w:r>
        <w:rPr>
          <w:b/>
          <w:bCs/>
          <w:u w:val="single"/>
        </w:rPr>
        <w:t>DEF</w:t>
      </w:r>
      <w:r w:rsidRPr="00701945">
        <w:rPr>
          <w:b/>
          <w:bCs/>
        </w:rPr>
        <w:t>:</w:t>
      </w:r>
      <w:r>
        <w:rPr>
          <w:b/>
          <w:bCs/>
        </w:rPr>
        <w:tab/>
      </w:r>
      <w:r w:rsidR="003C5B2D" w:rsidRPr="001E1627">
        <w:rPr>
          <w:bCs/>
        </w:rPr>
        <w:t>Yes, for 2015, DEF’s project management, contracting, accounting and cost oversight controls were reasonable and prudent for the Crystal River Unit 3 Uprate project (EPU) and close out of the EPU project as discussed in Mr. Teague’s March 1, 2016 direct testimony and in Mr. Foster’s March 1, 2016 direct testimony.  (Teague, Foster)</w:t>
      </w:r>
    </w:p>
    <w:p w:rsidR="00B91F69" w:rsidRPr="00DB79CB" w:rsidRDefault="00B91F69" w:rsidP="00B91F69">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8876EA">
        <w:rPr>
          <w:rFonts w:cs="Arial"/>
          <w:kern w:val="32"/>
          <w:szCs w:val="32"/>
        </w:rPr>
        <w:t>p</w:t>
      </w:r>
      <w:r w:rsidR="00075F63">
        <w:rPr>
          <w:rFonts w:cs="Arial"/>
          <w:kern w:val="32"/>
          <w:szCs w:val="32"/>
        </w:rPr>
        <w:t>osition.</w:t>
      </w:r>
    </w:p>
    <w:p w:rsidR="00B91F69" w:rsidRPr="00D579AE" w:rsidRDefault="00B91F69" w:rsidP="00B91F69">
      <w:pPr>
        <w:spacing w:after="240"/>
        <w:ind w:left="1440" w:hanging="1440"/>
        <w:jc w:val="both"/>
      </w:pPr>
      <w:r w:rsidRPr="00EC1CDF">
        <w:rPr>
          <w:b/>
          <w:u w:val="single"/>
        </w:rPr>
        <w:t>FIPUG</w:t>
      </w:r>
      <w:r w:rsidRPr="00EC1CDF">
        <w:rPr>
          <w:b/>
        </w:rPr>
        <w:t>:</w:t>
      </w:r>
      <w:r w:rsidRPr="00EC1CDF">
        <w:rPr>
          <w:b/>
          <w:color w:val="FF0000"/>
        </w:rPr>
        <w:tab/>
      </w:r>
      <w:r w:rsidR="005A2FC0" w:rsidRPr="00415999">
        <w:rPr>
          <w:kern w:val="32"/>
          <w:szCs w:val="32"/>
        </w:rPr>
        <w:t xml:space="preserve">No </w:t>
      </w:r>
      <w:r w:rsidR="008876EA">
        <w:rPr>
          <w:kern w:val="32"/>
          <w:szCs w:val="32"/>
        </w:rPr>
        <w:t>p</w:t>
      </w:r>
      <w:r w:rsidR="005A2FC0" w:rsidRPr="00415999">
        <w:rPr>
          <w:kern w:val="32"/>
          <w:szCs w:val="32"/>
        </w:rPr>
        <w:t>osition.</w:t>
      </w:r>
    </w:p>
    <w:p w:rsidR="00B91F69" w:rsidRPr="00DC0C6C" w:rsidRDefault="00B91F69" w:rsidP="00B91F69">
      <w:pPr>
        <w:keepLines/>
        <w:jc w:val="both"/>
        <w:rPr>
          <w:b/>
          <w:sz w:val="21"/>
          <w:szCs w:val="21"/>
          <w:u w:val="single"/>
        </w:rPr>
      </w:pPr>
      <w:r w:rsidRPr="00DC0C6C">
        <w:rPr>
          <w:b/>
          <w:sz w:val="21"/>
          <w:szCs w:val="21"/>
          <w:u w:val="single"/>
        </w:rPr>
        <w:t>PCS</w:t>
      </w:r>
    </w:p>
    <w:p w:rsidR="00B91F69" w:rsidRPr="00D579AE" w:rsidRDefault="00B91F69" w:rsidP="00B91F69">
      <w:pPr>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B91F69" w:rsidRPr="00D579AE" w:rsidRDefault="00B91F69" w:rsidP="00B91F69">
      <w:pPr>
        <w:autoSpaceDE w:val="0"/>
        <w:autoSpaceDN w:val="0"/>
        <w:adjustRightInd w:val="0"/>
        <w:spacing w:after="240"/>
        <w:ind w:left="1440" w:hanging="1440"/>
        <w:jc w:val="both"/>
      </w:pPr>
      <w:r>
        <w:rPr>
          <w:b/>
          <w:u w:val="single"/>
        </w:rPr>
        <w:lastRenderedPageBreak/>
        <w:t>SACE</w:t>
      </w:r>
      <w:r>
        <w:rPr>
          <w:b/>
        </w:rPr>
        <w:t>:</w:t>
      </w:r>
      <w:r>
        <w:rPr>
          <w:b/>
        </w:rPr>
        <w:tab/>
      </w:r>
      <w:r w:rsidR="0068325C">
        <w:rPr>
          <w:rFonts w:cs="Arial"/>
          <w:kern w:val="32"/>
          <w:szCs w:val="32"/>
        </w:rPr>
        <w:t>No position.</w:t>
      </w:r>
    </w:p>
    <w:p w:rsidR="00B91F69" w:rsidRPr="00D579AE" w:rsidRDefault="00B91F69" w:rsidP="00B91F69">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8876EA">
        <w:rPr>
          <w:rFonts w:cs="Arial"/>
          <w:kern w:val="32"/>
          <w:szCs w:val="32"/>
        </w:rPr>
        <w:t>p</w:t>
      </w:r>
      <w:r w:rsidR="00D40DC4">
        <w:rPr>
          <w:rFonts w:cs="Arial"/>
          <w:kern w:val="32"/>
          <w:szCs w:val="32"/>
        </w:rPr>
        <w:t>osition.</w:t>
      </w:r>
    </w:p>
    <w:p w:rsidR="00B91F69" w:rsidRPr="00B91F69" w:rsidRDefault="00B91F69" w:rsidP="00B91F69">
      <w:pPr>
        <w:jc w:val="both"/>
        <w:rPr>
          <w:bCs/>
        </w:rPr>
      </w:pPr>
      <w:r w:rsidRPr="00701945">
        <w:rPr>
          <w:b/>
          <w:bCs/>
          <w:u w:val="single"/>
        </w:rPr>
        <w:t>STAFF</w:t>
      </w:r>
      <w:r w:rsidRPr="00701945">
        <w:rPr>
          <w:b/>
          <w:bCs/>
        </w:rPr>
        <w:t>:</w:t>
      </w:r>
      <w:r>
        <w:rPr>
          <w:b/>
          <w:bCs/>
        </w:rPr>
        <w:tab/>
      </w:r>
      <w:r w:rsidR="005E4987">
        <w:t>Staff has no position pending evidence adduced at the hearing.</w:t>
      </w:r>
    </w:p>
    <w:p w:rsidR="00B91F69" w:rsidRDefault="00B91F69">
      <w:pPr>
        <w:jc w:val="both"/>
      </w:pPr>
    </w:p>
    <w:p w:rsidR="00B91F69" w:rsidRPr="00701945" w:rsidRDefault="00B91F69" w:rsidP="008F4F1A">
      <w:pPr>
        <w:ind w:left="1440" w:hanging="1440"/>
        <w:jc w:val="both"/>
      </w:pPr>
      <w:r w:rsidRPr="00701945">
        <w:rPr>
          <w:b/>
          <w:bCs/>
          <w:u w:val="single"/>
        </w:rPr>
        <w:t xml:space="preserve">ISSUE </w:t>
      </w:r>
      <w:r>
        <w:rPr>
          <w:b/>
          <w:bCs/>
          <w:u w:val="single"/>
        </w:rPr>
        <w:t>3</w:t>
      </w:r>
      <w:r w:rsidRPr="00701945">
        <w:rPr>
          <w:b/>
          <w:bCs/>
        </w:rPr>
        <w:t>:</w:t>
      </w:r>
      <w:r w:rsidRPr="00701945">
        <w:tab/>
      </w:r>
      <w:r w:rsidR="008F4F1A" w:rsidRPr="0014074C">
        <w:rPr>
          <w:b/>
        </w:rPr>
        <w:t>What jurisdictional amounts should the Commission approve as DEF’s actual 2015 prudently incurred costs for the Crystal River Unit 3 Uprate project?</w:t>
      </w:r>
    </w:p>
    <w:p w:rsidR="00B91F69" w:rsidRPr="00701945" w:rsidRDefault="00B91F69" w:rsidP="00B91F69">
      <w:pPr>
        <w:jc w:val="both"/>
      </w:pPr>
    </w:p>
    <w:p w:rsidR="00B91F69" w:rsidRPr="00701945" w:rsidRDefault="00B91F69" w:rsidP="00B91F69">
      <w:pPr>
        <w:jc w:val="both"/>
      </w:pPr>
      <w:r w:rsidRPr="00701945">
        <w:rPr>
          <w:b/>
          <w:bCs/>
          <w:u w:val="single"/>
        </w:rPr>
        <w:t>POSITIONS</w:t>
      </w:r>
    </w:p>
    <w:p w:rsidR="00B91F69" w:rsidRPr="00701945" w:rsidRDefault="00B91F69" w:rsidP="00B91F69">
      <w:pPr>
        <w:jc w:val="both"/>
      </w:pPr>
    </w:p>
    <w:p w:rsidR="003C5B2D" w:rsidRPr="003C5B2D" w:rsidRDefault="00B91F69" w:rsidP="003C5B2D">
      <w:pPr>
        <w:spacing w:after="240"/>
        <w:ind w:left="1440" w:hanging="1440"/>
        <w:jc w:val="both"/>
        <w:rPr>
          <w:bCs/>
        </w:rPr>
      </w:pPr>
      <w:r>
        <w:rPr>
          <w:b/>
          <w:bCs/>
          <w:u w:val="single"/>
        </w:rPr>
        <w:t>DEF</w:t>
      </w:r>
      <w:r w:rsidRPr="00701945">
        <w:rPr>
          <w:b/>
          <w:bCs/>
        </w:rPr>
        <w:t>:</w:t>
      </w:r>
      <w:r>
        <w:rPr>
          <w:b/>
          <w:bCs/>
        </w:rPr>
        <w:tab/>
      </w:r>
      <w:r w:rsidR="003C5B2D" w:rsidRPr="003C5B2D">
        <w:rPr>
          <w:bCs/>
        </w:rPr>
        <w:t>Wind-Down &amp; Exit Costs (Jurisdictional, net of joint owners)·· ($1,402,248)</w:t>
      </w:r>
    </w:p>
    <w:p w:rsidR="003C5B2D" w:rsidRPr="003C5B2D" w:rsidRDefault="003C5B2D" w:rsidP="003C5B2D">
      <w:pPr>
        <w:spacing w:after="240"/>
        <w:ind w:left="1440"/>
        <w:jc w:val="both"/>
        <w:rPr>
          <w:bCs/>
        </w:rPr>
      </w:pPr>
      <w:r w:rsidRPr="003C5B2D">
        <w:rPr>
          <w:bCs/>
        </w:rPr>
        <w:t>Carrying Costs-- $18,759,015</w:t>
      </w:r>
    </w:p>
    <w:p w:rsidR="003C5B2D" w:rsidRPr="003C5B2D" w:rsidRDefault="003C5B2D" w:rsidP="003C5B2D">
      <w:pPr>
        <w:spacing w:after="240"/>
        <w:ind w:left="1440"/>
        <w:jc w:val="both"/>
        <w:rPr>
          <w:bCs/>
        </w:rPr>
      </w:pPr>
      <w:r w:rsidRPr="003C5B2D">
        <w:rPr>
          <w:bCs/>
        </w:rPr>
        <w:t>The over-recovery of $2,535,876 should be included in setting the allowed 2017 NCRC recovery.</w:t>
      </w:r>
    </w:p>
    <w:p w:rsidR="003C5B2D" w:rsidRPr="003C5B2D" w:rsidRDefault="003C5B2D" w:rsidP="003C5B2D">
      <w:pPr>
        <w:spacing w:after="240"/>
        <w:ind w:left="1440"/>
        <w:jc w:val="both"/>
        <w:rPr>
          <w:bCs/>
        </w:rPr>
      </w:pPr>
      <w:r w:rsidRPr="003C5B2D">
        <w:rPr>
          <w:bCs/>
        </w:rPr>
        <w:t>The 2015 variance is the sum of over-projection of period-recoverable exit/wind-down costs of $1,745,699 plus an over-projection of carrying costs of $790,177.</w:t>
      </w:r>
    </w:p>
    <w:p w:rsidR="00B91F69" w:rsidRPr="001E1627" w:rsidRDefault="003C5B2D" w:rsidP="003C5B2D">
      <w:pPr>
        <w:spacing w:after="240"/>
        <w:ind w:left="1440"/>
        <w:jc w:val="both"/>
      </w:pPr>
      <w:r w:rsidRPr="003C5B2D">
        <w:rPr>
          <w:bCs/>
        </w:rPr>
        <w:t>(Foster, Teague)</w:t>
      </w:r>
    </w:p>
    <w:p w:rsidR="00B91F69" w:rsidRPr="00DB79CB" w:rsidRDefault="00B91F69" w:rsidP="00B91F69">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4568E5">
        <w:rPr>
          <w:rFonts w:cs="Arial"/>
          <w:kern w:val="32"/>
          <w:szCs w:val="32"/>
        </w:rPr>
        <w:t>p</w:t>
      </w:r>
      <w:r w:rsidR="00075F63">
        <w:rPr>
          <w:rFonts w:cs="Arial"/>
          <w:kern w:val="32"/>
          <w:szCs w:val="32"/>
        </w:rPr>
        <w:t>osition.</w:t>
      </w:r>
    </w:p>
    <w:p w:rsidR="00B91F69" w:rsidRPr="00D579AE" w:rsidRDefault="00B91F69" w:rsidP="00B91F69">
      <w:pPr>
        <w:spacing w:after="240"/>
        <w:ind w:left="1440" w:hanging="1440"/>
        <w:jc w:val="both"/>
      </w:pPr>
      <w:r w:rsidRPr="00EC1CDF">
        <w:rPr>
          <w:b/>
          <w:u w:val="single"/>
        </w:rPr>
        <w:t>FIPUG</w:t>
      </w:r>
      <w:r w:rsidRPr="00EC1CDF">
        <w:rPr>
          <w:b/>
        </w:rPr>
        <w:t>:</w:t>
      </w:r>
      <w:r w:rsidRPr="00EC1CDF">
        <w:rPr>
          <w:b/>
          <w:color w:val="FF0000"/>
        </w:rPr>
        <w:tab/>
      </w:r>
      <w:r w:rsidR="004568E5">
        <w:rPr>
          <w:kern w:val="32"/>
          <w:szCs w:val="32"/>
        </w:rPr>
        <w:t>No p</w:t>
      </w:r>
      <w:r w:rsidR="005A2FC0" w:rsidRPr="00415999">
        <w:rPr>
          <w:kern w:val="32"/>
          <w:szCs w:val="32"/>
        </w:rPr>
        <w:t>osition.</w:t>
      </w:r>
    </w:p>
    <w:p w:rsidR="00B91F69" w:rsidRPr="00DC0C6C" w:rsidRDefault="00B91F69" w:rsidP="00B91F69">
      <w:pPr>
        <w:keepLines/>
        <w:jc w:val="both"/>
        <w:rPr>
          <w:b/>
          <w:sz w:val="21"/>
          <w:szCs w:val="21"/>
          <w:u w:val="single"/>
        </w:rPr>
      </w:pPr>
      <w:r w:rsidRPr="00DC0C6C">
        <w:rPr>
          <w:b/>
          <w:sz w:val="21"/>
          <w:szCs w:val="21"/>
          <w:u w:val="single"/>
        </w:rPr>
        <w:t>PCS</w:t>
      </w:r>
    </w:p>
    <w:p w:rsidR="00B91F69" w:rsidRPr="00D579AE" w:rsidRDefault="00B91F69" w:rsidP="00B91F69">
      <w:pPr>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B91F69" w:rsidRPr="00D579AE" w:rsidRDefault="00B91F69" w:rsidP="00B91F69">
      <w:pPr>
        <w:autoSpaceDE w:val="0"/>
        <w:autoSpaceDN w:val="0"/>
        <w:adjustRightInd w:val="0"/>
        <w:spacing w:after="240"/>
        <w:ind w:left="1440" w:hanging="1440"/>
        <w:jc w:val="both"/>
      </w:pPr>
      <w:r>
        <w:rPr>
          <w:b/>
          <w:u w:val="single"/>
        </w:rPr>
        <w:t>SACE</w:t>
      </w:r>
      <w:r>
        <w:rPr>
          <w:b/>
        </w:rPr>
        <w:t>:</w:t>
      </w:r>
      <w:r>
        <w:rPr>
          <w:b/>
        </w:rPr>
        <w:tab/>
      </w:r>
      <w:r w:rsidR="0068325C">
        <w:rPr>
          <w:rFonts w:cs="Arial"/>
          <w:kern w:val="32"/>
          <w:szCs w:val="32"/>
        </w:rPr>
        <w:t>No position.</w:t>
      </w:r>
    </w:p>
    <w:p w:rsidR="00B91F69" w:rsidRPr="00D579AE" w:rsidRDefault="00B91F69" w:rsidP="00B91F69">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4568E5">
        <w:rPr>
          <w:rFonts w:cs="Arial"/>
          <w:kern w:val="32"/>
          <w:szCs w:val="32"/>
        </w:rPr>
        <w:t>p</w:t>
      </w:r>
      <w:r w:rsidR="00D40DC4">
        <w:rPr>
          <w:rFonts w:cs="Arial"/>
          <w:kern w:val="32"/>
          <w:szCs w:val="32"/>
        </w:rPr>
        <w:t>osition.</w:t>
      </w:r>
    </w:p>
    <w:p w:rsidR="00B91F69" w:rsidRPr="00B91F69" w:rsidRDefault="00B91F69" w:rsidP="00B91F69">
      <w:pPr>
        <w:jc w:val="both"/>
        <w:rPr>
          <w:bCs/>
        </w:rPr>
      </w:pPr>
      <w:r w:rsidRPr="00701945">
        <w:rPr>
          <w:b/>
          <w:bCs/>
          <w:u w:val="single"/>
        </w:rPr>
        <w:t>STAFF</w:t>
      </w:r>
      <w:r w:rsidRPr="00701945">
        <w:rPr>
          <w:b/>
          <w:bCs/>
        </w:rPr>
        <w:t>:</w:t>
      </w:r>
      <w:r>
        <w:rPr>
          <w:b/>
          <w:bCs/>
        </w:rPr>
        <w:tab/>
      </w:r>
      <w:r w:rsidR="003338EC">
        <w:t>Staff has no position pending evidence adduced at the hearing.</w:t>
      </w:r>
    </w:p>
    <w:p w:rsidR="00B91F69" w:rsidRDefault="00B91F69">
      <w:pPr>
        <w:jc w:val="both"/>
      </w:pPr>
    </w:p>
    <w:p w:rsidR="00B91F69" w:rsidRPr="00701945" w:rsidRDefault="00B91F69" w:rsidP="003338EC">
      <w:pPr>
        <w:ind w:left="1440" w:hanging="1440"/>
        <w:jc w:val="both"/>
      </w:pPr>
      <w:r w:rsidRPr="00701945">
        <w:rPr>
          <w:b/>
          <w:bCs/>
          <w:u w:val="single"/>
        </w:rPr>
        <w:t xml:space="preserve">ISSUE </w:t>
      </w:r>
      <w:r>
        <w:rPr>
          <w:b/>
          <w:bCs/>
          <w:u w:val="single"/>
        </w:rPr>
        <w:t>4</w:t>
      </w:r>
      <w:r w:rsidRPr="00701945">
        <w:rPr>
          <w:b/>
          <w:bCs/>
        </w:rPr>
        <w:t>:</w:t>
      </w:r>
      <w:r w:rsidRPr="00701945">
        <w:tab/>
      </w:r>
      <w:r w:rsidR="003338EC" w:rsidRPr="0014074C">
        <w:rPr>
          <w:b/>
        </w:rPr>
        <w:t>What jurisdictional amounts should the Commission approve as reasonably estimated 2016 exit and wind down costs and carrying costs for the Crystal River Unit 3 Uprate Project?</w:t>
      </w:r>
    </w:p>
    <w:p w:rsidR="00B91F69" w:rsidRPr="00701945" w:rsidRDefault="00B91F69" w:rsidP="00B91F69">
      <w:pPr>
        <w:jc w:val="both"/>
      </w:pPr>
    </w:p>
    <w:p w:rsidR="00B91F69" w:rsidRPr="00701945" w:rsidRDefault="00B91F69" w:rsidP="001834D5">
      <w:pPr>
        <w:keepNext/>
        <w:jc w:val="both"/>
      </w:pPr>
      <w:r w:rsidRPr="00701945">
        <w:rPr>
          <w:b/>
          <w:bCs/>
          <w:u w:val="single"/>
        </w:rPr>
        <w:t>POSITIONS</w:t>
      </w:r>
    </w:p>
    <w:p w:rsidR="00B91F69" w:rsidRPr="00701945" w:rsidRDefault="00B91F69" w:rsidP="001834D5">
      <w:pPr>
        <w:keepNext/>
        <w:jc w:val="both"/>
      </w:pPr>
    </w:p>
    <w:p w:rsidR="003C5B2D" w:rsidRPr="003C5B2D" w:rsidRDefault="00B91F69" w:rsidP="003C5B2D">
      <w:pPr>
        <w:spacing w:after="240"/>
        <w:ind w:left="1440" w:hanging="1440"/>
        <w:jc w:val="both"/>
        <w:rPr>
          <w:bCs/>
        </w:rPr>
      </w:pPr>
      <w:r>
        <w:rPr>
          <w:b/>
          <w:bCs/>
          <w:u w:val="single"/>
        </w:rPr>
        <w:t>DEF</w:t>
      </w:r>
      <w:r w:rsidRPr="00701945">
        <w:rPr>
          <w:b/>
          <w:bCs/>
        </w:rPr>
        <w:t>:</w:t>
      </w:r>
      <w:r>
        <w:rPr>
          <w:b/>
          <w:bCs/>
        </w:rPr>
        <w:tab/>
      </w:r>
      <w:r w:rsidR="003C5B2D" w:rsidRPr="003C5B2D">
        <w:rPr>
          <w:bCs/>
        </w:rPr>
        <w:t>Wind-Down &amp; Exit Costs (Jurisdictional, net of joint owners) -- $52,808</w:t>
      </w:r>
    </w:p>
    <w:p w:rsidR="003C5B2D" w:rsidRPr="003C5B2D" w:rsidRDefault="003C5B2D" w:rsidP="003C5B2D">
      <w:pPr>
        <w:spacing w:after="240"/>
        <w:ind w:left="1440"/>
        <w:jc w:val="both"/>
        <w:rPr>
          <w:bCs/>
        </w:rPr>
      </w:pPr>
      <w:r w:rsidRPr="003C5B2D">
        <w:rPr>
          <w:bCs/>
        </w:rPr>
        <w:t>Carrying Costs -- $14,219,463</w:t>
      </w:r>
    </w:p>
    <w:p w:rsidR="003C5B2D" w:rsidRPr="003C5B2D" w:rsidRDefault="003C5B2D" w:rsidP="003C5B2D">
      <w:pPr>
        <w:spacing w:after="240"/>
        <w:ind w:left="1440"/>
        <w:jc w:val="both"/>
        <w:rPr>
          <w:bCs/>
        </w:rPr>
      </w:pPr>
      <w:r w:rsidRPr="003C5B2D">
        <w:rPr>
          <w:bCs/>
        </w:rPr>
        <w:lastRenderedPageBreak/>
        <w:t>The over-recovery of $592,043 should be included in setting the allowed 2017 NCRC recovery.</w:t>
      </w:r>
    </w:p>
    <w:p w:rsidR="003C5B2D" w:rsidRPr="003C5B2D" w:rsidRDefault="003C5B2D" w:rsidP="003C5B2D">
      <w:pPr>
        <w:spacing w:after="240"/>
        <w:ind w:left="1440"/>
        <w:jc w:val="both"/>
        <w:rPr>
          <w:bCs/>
        </w:rPr>
      </w:pPr>
      <w:r w:rsidRPr="003C5B2D">
        <w:rPr>
          <w:bCs/>
        </w:rPr>
        <w:t>The 2016 variance is the sum of over-projection exit/wind-down costs of $20,955 plus an over-projection of carrying costs of $571,088.</w:t>
      </w:r>
    </w:p>
    <w:p w:rsidR="00B91F69" w:rsidRPr="001E1627" w:rsidRDefault="003C5B2D" w:rsidP="003C5B2D">
      <w:pPr>
        <w:spacing w:after="240"/>
        <w:ind w:left="1440"/>
        <w:jc w:val="both"/>
      </w:pPr>
      <w:r w:rsidRPr="003C5B2D">
        <w:rPr>
          <w:bCs/>
        </w:rPr>
        <w:t>(Foster, Teague)</w:t>
      </w:r>
    </w:p>
    <w:p w:rsidR="00B91F69" w:rsidRPr="00DB79CB" w:rsidRDefault="00B91F69" w:rsidP="00B91F69">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8876EA">
        <w:rPr>
          <w:rFonts w:cs="Arial"/>
          <w:kern w:val="32"/>
          <w:szCs w:val="32"/>
        </w:rPr>
        <w:t>p</w:t>
      </w:r>
      <w:r w:rsidR="00075F63">
        <w:rPr>
          <w:rFonts w:cs="Arial"/>
          <w:kern w:val="32"/>
          <w:szCs w:val="32"/>
        </w:rPr>
        <w:t>osition.</w:t>
      </w:r>
    </w:p>
    <w:p w:rsidR="00B91F69" w:rsidRPr="00D579AE" w:rsidRDefault="00B91F69" w:rsidP="00B91F69">
      <w:pPr>
        <w:spacing w:after="240"/>
        <w:ind w:left="1440" w:hanging="1440"/>
        <w:jc w:val="both"/>
      </w:pPr>
      <w:r w:rsidRPr="00EC1CDF">
        <w:rPr>
          <w:b/>
          <w:u w:val="single"/>
        </w:rPr>
        <w:t>FIPUG</w:t>
      </w:r>
      <w:r w:rsidRPr="00EC1CDF">
        <w:rPr>
          <w:b/>
        </w:rPr>
        <w:t>:</w:t>
      </w:r>
      <w:r w:rsidRPr="00EC1CDF">
        <w:rPr>
          <w:b/>
          <w:color w:val="FF0000"/>
        </w:rPr>
        <w:tab/>
      </w:r>
      <w:r w:rsidR="005A2FC0" w:rsidRPr="00415999">
        <w:rPr>
          <w:kern w:val="32"/>
          <w:szCs w:val="32"/>
        </w:rPr>
        <w:t xml:space="preserve">No </w:t>
      </w:r>
      <w:r w:rsidR="008876EA">
        <w:rPr>
          <w:kern w:val="32"/>
          <w:szCs w:val="32"/>
        </w:rPr>
        <w:t>p</w:t>
      </w:r>
      <w:r w:rsidR="005A2FC0" w:rsidRPr="00415999">
        <w:rPr>
          <w:kern w:val="32"/>
          <w:szCs w:val="32"/>
        </w:rPr>
        <w:t>osition.</w:t>
      </w:r>
    </w:p>
    <w:p w:rsidR="00B91F69" w:rsidRPr="00DC0C6C" w:rsidRDefault="00B91F69" w:rsidP="00B91F69">
      <w:pPr>
        <w:keepLines/>
        <w:jc w:val="both"/>
        <w:rPr>
          <w:b/>
          <w:sz w:val="21"/>
          <w:szCs w:val="21"/>
          <w:u w:val="single"/>
        </w:rPr>
      </w:pPr>
      <w:r w:rsidRPr="00DC0C6C">
        <w:rPr>
          <w:b/>
          <w:sz w:val="21"/>
          <w:szCs w:val="21"/>
          <w:u w:val="single"/>
        </w:rPr>
        <w:t>PCS</w:t>
      </w:r>
    </w:p>
    <w:p w:rsidR="00B91F69" w:rsidRPr="00D579AE" w:rsidRDefault="00B91F69" w:rsidP="00B91F69">
      <w:pPr>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B91F69" w:rsidRPr="00D579AE" w:rsidRDefault="00B91F69" w:rsidP="00B91F69">
      <w:pPr>
        <w:autoSpaceDE w:val="0"/>
        <w:autoSpaceDN w:val="0"/>
        <w:adjustRightInd w:val="0"/>
        <w:spacing w:after="240"/>
        <w:ind w:left="1440" w:hanging="1440"/>
        <w:jc w:val="both"/>
      </w:pPr>
      <w:r>
        <w:rPr>
          <w:b/>
          <w:u w:val="single"/>
        </w:rPr>
        <w:t>SACE</w:t>
      </w:r>
      <w:r>
        <w:rPr>
          <w:b/>
        </w:rPr>
        <w:t>:</w:t>
      </w:r>
      <w:r>
        <w:rPr>
          <w:b/>
        </w:rPr>
        <w:tab/>
      </w:r>
      <w:r w:rsidR="0068325C">
        <w:rPr>
          <w:rFonts w:cs="Arial"/>
          <w:kern w:val="32"/>
          <w:szCs w:val="32"/>
        </w:rPr>
        <w:t>No position.</w:t>
      </w:r>
    </w:p>
    <w:p w:rsidR="00B91F69" w:rsidRPr="00D579AE" w:rsidRDefault="00B91F69" w:rsidP="00B91F69">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8876EA">
        <w:rPr>
          <w:rFonts w:cs="Arial"/>
          <w:kern w:val="32"/>
          <w:szCs w:val="32"/>
        </w:rPr>
        <w:t>p</w:t>
      </w:r>
      <w:r w:rsidR="00D40DC4">
        <w:rPr>
          <w:rFonts w:cs="Arial"/>
          <w:kern w:val="32"/>
          <w:szCs w:val="32"/>
        </w:rPr>
        <w:t>osition.</w:t>
      </w:r>
    </w:p>
    <w:p w:rsidR="00B91F69" w:rsidRPr="00B91F69" w:rsidRDefault="00B91F69" w:rsidP="00B91F69">
      <w:pPr>
        <w:jc w:val="both"/>
        <w:rPr>
          <w:bCs/>
        </w:rPr>
      </w:pPr>
      <w:r w:rsidRPr="00701945">
        <w:rPr>
          <w:b/>
          <w:bCs/>
          <w:u w:val="single"/>
        </w:rPr>
        <w:t>STAFF</w:t>
      </w:r>
      <w:r w:rsidRPr="00701945">
        <w:rPr>
          <w:b/>
          <w:bCs/>
        </w:rPr>
        <w:t>:</w:t>
      </w:r>
      <w:r>
        <w:rPr>
          <w:b/>
          <w:bCs/>
        </w:rPr>
        <w:tab/>
      </w:r>
      <w:r w:rsidR="00765B6D">
        <w:t>Staff has no position pending evidence adduced at the hearing.</w:t>
      </w:r>
    </w:p>
    <w:p w:rsidR="00B91F69" w:rsidRDefault="00B91F69">
      <w:pPr>
        <w:jc w:val="both"/>
      </w:pPr>
    </w:p>
    <w:p w:rsidR="00B91F69" w:rsidRPr="0014074C" w:rsidRDefault="00B91F69" w:rsidP="00765B6D">
      <w:pPr>
        <w:ind w:left="1440" w:hanging="1440"/>
        <w:jc w:val="both"/>
        <w:rPr>
          <w:b/>
        </w:rPr>
      </w:pPr>
      <w:r w:rsidRPr="00701945">
        <w:rPr>
          <w:b/>
          <w:bCs/>
          <w:u w:val="single"/>
        </w:rPr>
        <w:t xml:space="preserve">ISSUE </w:t>
      </w:r>
      <w:r>
        <w:rPr>
          <w:b/>
          <w:bCs/>
          <w:u w:val="single"/>
        </w:rPr>
        <w:t>5</w:t>
      </w:r>
      <w:r w:rsidRPr="00701945">
        <w:rPr>
          <w:b/>
          <w:bCs/>
        </w:rPr>
        <w:t>:</w:t>
      </w:r>
      <w:r w:rsidRPr="00701945">
        <w:tab/>
      </w:r>
      <w:r w:rsidR="00765B6D" w:rsidRPr="0014074C">
        <w:rPr>
          <w:b/>
        </w:rPr>
        <w:t>What jurisdictional amounts should the Commission approve as reasonably projected 2017 exit and wind down costs and carrying costs for the Crystal River Unit 3 Uprate Project?</w:t>
      </w:r>
    </w:p>
    <w:p w:rsidR="00B91F69" w:rsidRPr="00701945" w:rsidRDefault="00B91F69" w:rsidP="00B91F69">
      <w:pPr>
        <w:jc w:val="both"/>
      </w:pPr>
    </w:p>
    <w:p w:rsidR="00B91F69" w:rsidRPr="00701945" w:rsidRDefault="00B91F69" w:rsidP="00B91F69">
      <w:pPr>
        <w:jc w:val="both"/>
      </w:pPr>
      <w:r w:rsidRPr="00701945">
        <w:rPr>
          <w:b/>
          <w:bCs/>
          <w:u w:val="single"/>
        </w:rPr>
        <w:t>POSITIONS</w:t>
      </w:r>
    </w:p>
    <w:p w:rsidR="00B91F69" w:rsidRPr="00701945" w:rsidRDefault="00B91F69" w:rsidP="00B91F69">
      <w:pPr>
        <w:jc w:val="both"/>
      </w:pPr>
    </w:p>
    <w:p w:rsidR="003C5B2D" w:rsidRPr="003C5B2D" w:rsidRDefault="00B91F69" w:rsidP="003C5B2D">
      <w:pPr>
        <w:spacing w:after="240"/>
        <w:ind w:left="1440" w:hanging="1440"/>
        <w:jc w:val="both"/>
        <w:rPr>
          <w:bCs/>
        </w:rPr>
      </w:pPr>
      <w:r>
        <w:rPr>
          <w:b/>
          <w:bCs/>
          <w:u w:val="single"/>
        </w:rPr>
        <w:t>DEF</w:t>
      </w:r>
      <w:r w:rsidRPr="00701945">
        <w:rPr>
          <w:b/>
          <w:bCs/>
        </w:rPr>
        <w:t>:</w:t>
      </w:r>
      <w:r>
        <w:rPr>
          <w:b/>
          <w:bCs/>
        </w:rPr>
        <w:tab/>
      </w:r>
      <w:r w:rsidR="003C5B2D" w:rsidRPr="003C5B2D">
        <w:rPr>
          <w:bCs/>
        </w:rPr>
        <w:t>Wind-Down &amp; Exit Costs (Jurisdictional, net of joint owners)-- $54,708</w:t>
      </w:r>
    </w:p>
    <w:p w:rsidR="003C5B2D" w:rsidRPr="003C5B2D" w:rsidRDefault="003C5B2D" w:rsidP="003C5B2D">
      <w:pPr>
        <w:spacing w:after="240"/>
        <w:ind w:left="1440"/>
        <w:jc w:val="both"/>
        <w:rPr>
          <w:bCs/>
        </w:rPr>
      </w:pPr>
      <w:r w:rsidRPr="003C5B2D">
        <w:rPr>
          <w:bCs/>
        </w:rPr>
        <w:t>Carrying Costs-- $10,234,917</w:t>
      </w:r>
    </w:p>
    <w:p w:rsidR="003C5B2D" w:rsidRPr="003C5B2D" w:rsidRDefault="003C5B2D" w:rsidP="003C5B2D">
      <w:pPr>
        <w:spacing w:after="240"/>
        <w:ind w:left="1440"/>
        <w:jc w:val="both"/>
        <w:rPr>
          <w:bCs/>
        </w:rPr>
      </w:pPr>
      <w:r w:rsidRPr="003C5B2D">
        <w:rPr>
          <w:bCs/>
        </w:rPr>
        <w:t>Amortization of 2013 Regulatory Asset -- $43,681,007</w:t>
      </w:r>
    </w:p>
    <w:p w:rsidR="003C5B2D" w:rsidRPr="003C5B2D" w:rsidRDefault="003C5B2D" w:rsidP="003C5B2D">
      <w:pPr>
        <w:spacing w:after="240"/>
        <w:ind w:left="1440"/>
        <w:jc w:val="both"/>
        <w:rPr>
          <w:bCs/>
        </w:rPr>
      </w:pPr>
      <w:r w:rsidRPr="003C5B2D">
        <w:rPr>
          <w:bCs/>
        </w:rPr>
        <w:t>(Foster, Teague)</w:t>
      </w:r>
    </w:p>
    <w:p w:rsidR="00B91F69" w:rsidRPr="00DB79CB" w:rsidRDefault="00B91F69" w:rsidP="00B91F69">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4E5FBB">
        <w:rPr>
          <w:rFonts w:cs="Arial"/>
          <w:kern w:val="32"/>
          <w:szCs w:val="32"/>
        </w:rPr>
        <w:t>p</w:t>
      </w:r>
      <w:r w:rsidR="00075F63">
        <w:rPr>
          <w:rFonts w:cs="Arial"/>
          <w:kern w:val="32"/>
          <w:szCs w:val="32"/>
        </w:rPr>
        <w:t>osition.</w:t>
      </w:r>
    </w:p>
    <w:p w:rsidR="00B91F69" w:rsidRPr="00D579AE" w:rsidRDefault="00B91F69" w:rsidP="00B91F69">
      <w:pPr>
        <w:spacing w:after="240"/>
        <w:ind w:left="1440" w:hanging="1440"/>
        <w:jc w:val="both"/>
      </w:pPr>
      <w:r w:rsidRPr="00EC1CDF">
        <w:rPr>
          <w:b/>
          <w:u w:val="single"/>
        </w:rPr>
        <w:t>FIPUG</w:t>
      </w:r>
      <w:r w:rsidRPr="00EC1CDF">
        <w:rPr>
          <w:b/>
        </w:rPr>
        <w:t>:</w:t>
      </w:r>
      <w:r w:rsidRPr="00EC1CDF">
        <w:rPr>
          <w:b/>
          <w:color w:val="FF0000"/>
        </w:rPr>
        <w:tab/>
      </w:r>
      <w:r w:rsidR="004E5FBB">
        <w:rPr>
          <w:kern w:val="32"/>
          <w:szCs w:val="32"/>
        </w:rPr>
        <w:t>No p</w:t>
      </w:r>
      <w:r w:rsidR="005A2FC0" w:rsidRPr="00415999">
        <w:rPr>
          <w:kern w:val="32"/>
          <w:szCs w:val="32"/>
        </w:rPr>
        <w:t>osition.</w:t>
      </w:r>
    </w:p>
    <w:p w:rsidR="00B91F69" w:rsidRPr="00DC0C6C" w:rsidRDefault="00B91F69" w:rsidP="00B91F69">
      <w:pPr>
        <w:keepLines/>
        <w:jc w:val="both"/>
        <w:rPr>
          <w:b/>
          <w:sz w:val="21"/>
          <w:szCs w:val="21"/>
          <w:u w:val="single"/>
        </w:rPr>
      </w:pPr>
      <w:r w:rsidRPr="00DC0C6C">
        <w:rPr>
          <w:b/>
          <w:sz w:val="21"/>
          <w:szCs w:val="21"/>
          <w:u w:val="single"/>
        </w:rPr>
        <w:t>PCS</w:t>
      </w:r>
    </w:p>
    <w:p w:rsidR="00B91F69" w:rsidRPr="00D579AE" w:rsidRDefault="00B91F69" w:rsidP="00B91F69">
      <w:pPr>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B91F69" w:rsidRPr="00D579AE" w:rsidRDefault="00B91F69" w:rsidP="00B91F69">
      <w:pPr>
        <w:autoSpaceDE w:val="0"/>
        <w:autoSpaceDN w:val="0"/>
        <w:adjustRightInd w:val="0"/>
        <w:spacing w:after="240"/>
        <w:ind w:left="1440" w:hanging="1440"/>
        <w:jc w:val="both"/>
      </w:pPr>
      <w:r>
        <w:rPr>
          <w:b/>
          <w:u w:val="single"/>
        </w:rPr>
        <w:t>SACE</w:t>
      </w:r>
      <w:r>
        <w:rPr>
          <w:b/>
        </w:rPr>
        <w:t>:</w:t>
      </w:r>
      <w:r>
        <w:rPr>
          <w:b/>
        </w:rPr>
        <w:tab/>
      </w:r>
      <w:r w:rsidR="0068325C">
        <w:rPr>
          <w:rFonts w:cs="Arial"/>
          <w:kern w:val="32"/>
          <w:szCs w:val="32"/>
        </w:rPr>
        <w:t>No position.</w:t>
      </w:r>
    </w:p>
    <w:p w:rsidR="00B91F69" w:rsidRPr="00D579AE" w:rsidRDefault="00B91F69" w:rsidP="00B91F69">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4E5FBB">
        <w:rPr>
          <w:rFonts w:cs="Arial"/>
          <w:kern w:val="32"/>
          <w:szCs w:val="32"/>
        </w:rPr>
        <w:t>p</w:t>
      </w:r>
      <w:r w:rsidR="00D40DC4">
        <w:rPr>
          <w:rFonts w:cs="Arial"/>
          <w:kern w:val="32"/>
          <w:szCs w:val="32"/>
        </w:rPr>
        <w:t>osition.</w:t>
      </w:r>
    </w:p>
    <w:p w:rsidR="00B91F69" w:rsidRPr="00B91F69" w:rsidRDefault="00B91F69" w:rsidP="00B91F69">
      <w:pPr>
        <w:jc w:val="both"/>
        <w:rPr>
          <w:bCs/>
        </w:rPr>
      </w:pPr>
      <w:r w:rsidRPr="00701945">
        <w:rPr>
          <w:b/>
          <w:bCs/>
          <w:u w:val="single"/>
        </w:rPr>
        <w:t>STAFF</w:t>
      </w:r>
      <w:r w:rsidRPr="00701945">
        <w:rPr>
          <w:b/>
          <w:bCs/>
        </w:rPr>
        <w:t>:</w:t>
      </w:r>
      <w:r>
        <w:rPr>
          <w:b/>
          <w:bCs/>
        </w:rPr>
        <w:tab/>
      </w:r>
      <w:r w:rsidR="00657F87">
        <w:t>Staff has no position pending evidence adduced at the hearing.</w:t>
      </w:r>
    </w:p>
    <w:p w:rsidR="00B91F69" w:rsidRDefault="00B91F69">
      <w:pPr>
        <w:jc w:val="both"/>
      </w:pPr>
    </w:p>
    <w:p w:rsidR="00B91F69" w:rsidRPr="0014074C" w:rsidRDefault="00B91F69" w:rsidP="00BB5B40">
      <w:pPr>
        <w:ind w:left="1440" w:hanging="1440"/>
        <w:jc w:val="both"/>
        <w:rPr>
          <w:b/>
        </w:rPr>
      </w:pPr>
      <w:r w:rsidRPr="00701945">
        <w:rPr>
          <w:b/>
          <w:bCs/>
          <w:u w:val="single"/>
        </w:rPr>
        <w:lastRenderedPageBreak/>
        <w:t xml:space="preserve">ISSUE </w:t>
      </w:r>
      <w:r>
        <w:rPr>
          <w:b/>
          <w:bCs/>
          <w:u w:val="single"/>
        </w:rPr>
        <w:t>6</w:t>
      </w:r>
      <w:r w:rsidRPr="00701945">
        <w:rPr>
          <w:b/>
          <w:bCs/>
        </w:rPr>
        <w:t>:</w:t>
      </w:r>
      <w:r w:rsidRPr="00701945">
        <w:tab/>
      </w:r>
      <w:r w:rsidR="00BB5B40" w:rsidRPr="0014074C">
        <w:rPr>
          <w:b/>
        </w:rPr>
        <w:t>What is the total jurisdictional amount to be included in establishing DEF’s 2017 Capacity Cost Recovery Clause Factor?</w:t>
      </w:r>
    </w:p>
    <w:p w:rsidR="001834D5" w:rsidRDefault="001834D5" w:rsidP="00B91F69">
      <w:pPr>
        <w:jc w:val="both"/>
        <w:rPr>
          <w:b/>
          <w:bCs/>
          <w:u w:val="single"/>
        </w:rPr>
      </w:pPr>
    </w:p>
    <w:p w:rsidR="00B91F69" w:rsidRPr="00701945" w:rsidRDefault="00B91F69" w:rsidP="00B91F69">
      <w:pPr>
        <w:jc w:val="both"/>
      </w:pPr>
      <w:r w:rsidRPr="00701945">
        <w:rPr>
          <w:b/>
          <w:bCs/>
          <w:u w:val="single"/>
        </w:rPr>
        <w:t>POSITIONS</w:t>
      </w:r>
    </w:p>
    <w:p w:rsidR="00B91F69" w:rsidRPr="00701945" w:rsidRDefault="00B91F69" w:rsidP="00B91F69">
      <w:pPr>
        <w:jc w:val="both"/>
      </w:pPr>
    </w:p>
    <w:p w:rsidR="003C5B2D" w:rsidRPr="001E1627" w:rsidRDefault="00B91F69" w:rsidP="003C5B2D">
      <w:pPr>
        <w:spacing w:after="240"/>
        <w:ind w:left="1440" w:hanging="1440"/>
        <w:jc w:val="both"/>
        <w:rPr>
          <w:bCs/>
        </w:rPr>
      </w:pPr>
      <w:r>
        <w:rPr>
          <w:b/>
          <w:bCs/>
          <w:u w:val="single"/>
        </w:rPr>
        <w:t>DEF</w:t>
      </w:r>
      <w:r w:rsidRPr="00701945">
        <w:rPr>
          <w:b/>
          <w:bCs/>
        </w:rPr>
        <w:t>:</w:t>
      </w:r>
      <w:r>
        <w:rPr>
          <w:b/>
          <w:bCs/>
        </w:rPr>
        <w:tab/>
      </w:r>
      <w:r w:rsidR="003C5B2D" w:rsidRPr="001E1627">
        <w:rPr>
          <w:bCs/>
        </w:rPr>
        <w:t>Per the 2015 Stipulation for Levy Issues, the total jurisdictional amount to be included in establishing DEF's 2017 Capacity Cost Recovery Clause factor should be $51,737,557, relating only to the CR3 EPU project.</w:t>
      </w:r>
    </w:p>
    <w:p w:rsidR="001E1627" w:rsidRPr="001E1627" w:rsidRDefault="003C5B2D" w:rsidP="003C5B2D">
      <w:pPr>
        <w:spacing w:after="240"/>
        <w:ind w:left="1440"/>
        <w:jc w:val="both"/>
        <w:rPr>
          <w:bCs/>
        </w:rPr>
      </w:pPr>
      <w:r w:rsidRPr="001E1627">
        <w:rPr>
          <w:bCs/>
        </w:rPr>
        <w:t xml:space="preserve"> (Foster, Teague, Fallon)</w:t>
      </w:r>
    </w:p>
    <w:p w:rsidR="00B91F69" w:rsidRPr="00DB79CB" w:rsidRDefault="00B91F69" w:rsidP="00B91F69">
      <w:pPr>
        <w:spacing w:after="240"/>
        <w:ind w:left="1440" w:hanging="1440"/>
        <w:jc w:val="both"/>
      </w:pPr>
      <w:r w:rsidRPr="008B7A69">
        <w:rPr>
          <w:b/>
          <w:bCs/>
          <w:u w:val="single"/>
        </w:rPr>
        <w:t>OPC</w:t>
      </w:r>
      <w:r w:rsidRPr="008B7A69">
        <w:rPr>
          <w:b/>
          <w:bCs/>
        </w:rPr>
        <w:t>:</w:t>
      </w:r>
      <w:r w:rsidRPr="008B7A69">
        <w:tab/>
      </w:r>
      <w:r w:rsidR="00075F63">
        <w:rPr>
          <w:rFonts w:cs="Arial"/>
          <w:kern w:val="32"/>
          <w:szCs w:val="32"/>
        </w:rPr>
        <w:t xml:space="preserve">No </w:t>
      </w:r>
      <w:r w:rsidR="008876EA">
        <w:rPr>
          <w:rFonts w:cs="Arial"/>
          <w:kern w:val="32"/>
          <w:szCs w:val="32"/>
        </w:rPr>
        <w:t>p</w:t>
      </w:r>
      <w:r w:rsidR="00075F63">
        <w:rPr>
          <w:rFonts w:cs="Arial"/>
          <w:kern w:val="32"/>
          <w:szCs w:val="32"/>
        </w:rPr>
        <w:t>osition.</w:t>
      </w:r>
    </w:p>
    <w:p w:rsidR="00B91F69" w:rsidRPr="00D579AE" w:rsidRDefault="00B91F69" w:rsidP="00B91F69">
      <w:pPr>
        <w:spacing w:after="240"/>
        <w:ind w:left="1440" w:hanging="1440"/>
        <w:jc w:val="both"/>
      </w:pPr>
      <w:r w:rsidRPr="00EC1CDF">
        <w:rPr>
          <w:b/>
          <w:u w:val="single"/>
        </w:rPr>
        <w:t>FIPUG</w:t>
      </w:r>
      <w:r w:rsidRPr="00EC1CDF">
        <w:rPr>
          <w:b/>
        </w:rPr>
        <w:t>:</w:t>
      </w:r>
      <w:r w:rsidRPr="00EC1CDF">
        <w:rPr>
          <w:b/>
          <w:color w:val="FF0000"/>
        </w:rPr>
        <w:tab/>
      </w:r>
      <w:r w:rsidR="005A2FC0" w:rsidRPr="00415999">
        <w:rPr>
          <w:kern w:val="32"/>
          <w:szCs w:val="32"/>
        </w:rPr>
        <w:t xml:space="preserve">No </w:t>
      </w:r>
      <w:r w:rsidR="008876EA">
        <w:rPr>
          <w:kern w:val="32"/>
          <w:szCs w:val="32"/>
        </w:rPr>
        <w:t>p</w:t>
      </w:r>
      <w:r w:rsidR="005A2FC0" w:rsidRPr="00415999">
        <w:rPr>
          <w:kern w:val="32"/>
          <w:szCs w:val="32"/>
        </w:rPr>
        <w:t>osition.</w:t>
      </w:r>
    </w:p>
    <w:p w:rsidR="00EA36DF" w:rsidRDefault="00EA36DF" w:rsidP="00B91F69">
      <w:pPr>
        <w:keepLines/>
        <w:jc w:val="both"/>
        <w:rPr>
          <w:b/>
          <w:sz w:val="21"/>
          <w:szCs w:val="21"/>
          <w:u w:val="single"/>
        </w:rPr>
      </w:pPr>
    </w:p>
    <w:p w:rsidR="00B91F69" w:rsidRPr="00DC0C6C" w:rsidRDefault="00B91F69" w:rsidP="00B91F69">
      <w:pPr>
        <w:keepLines/>
        <w:jc w:val="both"/>
        <w:rPr>
          <w:b/>
          <w:sz w:val="21"/>
          <w:szCs w:val="21"/>
          <w:u w:val="single"/>
        </w:rPr>
      </w:pPr>
      <w:r w:rsidRPr="00DC0C6C">
        <w:rPr>
          <w:b/>
          <w:sz w:val="21"/>
          <w:szCs w:val="21"/>
          <w:u w:val="single"/>
        </w:rPr>
        <w:t>PCS</w:t>
      </w:r>
    </w:p>
    <w:p w:rsidR="00B91F69" w:rsidRPr="00D579AE" w:rsidRDefault="00B91F69" w:rsidP="00B91F69">
      <w:pPr>
        <w:keepLines/>
        <w:spacing w:after="240"/>
        <w:ind w:left="1440" w:hanging="1440"/>
        <w:jc w:val="both"/>
      </w:pPr>
      <w:r w:rsidRPr="00DC0C6C">
        <w:rPr>
          <w:b/>
          <w:sz w:val="21"/>
          <w:szCs w:val="21"/>
          <w:u w:val="single"/>
        </w:rPr>
        <w:t>PHOSPHATE</w:t>
      </w:r>
      <w:r w:rsidRPr="00DC0C6C">
        <w:rPr>
          <w:b/>
          <w:sz w:val="21"/>
          <w:szCs w:val="21"/>
        </w:rPr>
        <w:t>:</w:t>
      </w:r>
      <w:r w:rsidRPr="00DC0C6C">
        <w:rPr>
          <w:b/>
        </w:rPr>
        <w:tab/>
      </w:r>
      <w:r w:rsidR="00B87AD1">
        <w:rPr>
          <w:rFonts w:cs="Arial"/>
          <w:kern w:val="32"/>
          <w:szCs w:val="32"/>
        </w:rPr>
        <w:t>No position.</w:t>
      </w:r>
    </w:p>
    <w:p w:rsidR="00B91F69" w:rsidRPr="00D579AE" w:rsidRDefault="00B91F69" w:rsidP="00B91F69">
      <w:pPr>
        <w:autoSpaceDE w:val="0"/>
        <w:autoSpaceDN w:val="0"/>
        <w:adjustRightInd w:val="0"/>
        <w:spacing w:after="240"/>
        <w:ind w:left="1440" w:hanging="1440"/>
        <w:jc w:val="both"/>
      </w:pPr>
      <w:r>
        <w:rPr>
          <w:b/>
          <w:u w:val="single"/>
        </w:rPr>
        <w:t>SACE</w:t>
      </w:r>
      <w:r>
        <w:rPr>
          <w:b/>
        </w:rPr>
        <w:t>:</w:t>
      </w:r>
      <w:r>
        <w:rPr>
          <w:b/>
        </w:rPr>
        <w:tab/>
      </w:r>
      <w:r w:rsidR="0068325C">
        <w:rPr>
          <w:rFonts w:cs="Arial"/>
          <w:kern w:val="32"/>
          <w:szCs w:val="32"/>
        </w:rPr>
        <w:t>No position.</w:t>
      </w:r>
    </w:p>
    <w:p w:rsidR="00B91F69" w:rsidRPr="00D579AE" w:rsidRDefault="00B91F69" w:rsidP="00B91F69">
      <w:pPr>
        <w:tabs>
          <w:tab w:val="left" w:pos="1440"/>
        </w:tabs>
        <w:spacing w:after="240"/>
        <w:ind w:left="1440" w:hanging="1440"/>
        <w:jc w:val="both"/>
      </w:pPr>
      <w:r w:rsidRPr="00C31D8A">
        <w:rPr>
          <w:b/>
          <w:u w:val="single"/>
        </w:rPr>
        <w:t>FRF</w:t>
      </w:r>
      <w:r w:rsidRPr="00C31D8A">
        <w:rPr>
          <w:b/>
        </w:rPr>
        <w:t>:</w:t>
      </w:r>
      <w:r w:rsidRPr="00C31D8A">
        <w:rPr>
          <w:b/>
        </w:rPr>
        <w:tab/>
      </w:r>
      <w:r w:rsidR="00D40DC4">
        <w:rPr>
          <w:rFonts w:cs="Arial"/>
          <w:kern w:val="32"/>
          <w:szCs w:val="32"/>
        </w:rPr>
        <w:t xml:space="preserve">No </w:t>
      </w:r>
      <w:r w:rsidR="008876EA">
        <w:rPr>
          <w:rFonts w:cs="Arial"/>
          <w:kern w:val="32"/>
          <w:szCs w:val="32"/>
        </w:rPr>
        <w:t>p</w:t>
      </w:r>
      <w:r w:rsidR="00D40DC4">
        <w:rPr>
          <w:rFonts w:cs="Arial"/>
          <w:kern w:val="32"/>
          <w:szCs w:val="32"/>
        </w:rPr>
        <w:t>osition.</w:t>
      </w:r>
    </w:p>
    <w:p w:rsidR="00B91F69" w:rsidRPr="00B91F69" w:rsidRDefault="00B91F69" w:rsidP="00B91F69">
      <w:pPr>
        <w:jc w:val="both"/>
        <w:rPr>
          <w:bCs/>
        </w:rPr>
      </w:pPr>
      <w:r w:rsidRPr="00701945">
        <w:rPr>
          <w:b/>
          <w:bCs/>
          <w:u w:val="single"/>
        </w:rPr>
        <w:t>STAFF</w:t>
      </w:r>
      <w:r w:rsidRPr="00701945">
        <w:rPr>
          <w:b/>
          <w:bCs/>
        </w:rPr>
        <w:t>:</w:t>
      </w:r>
      <w:r>
        <w:rPr>
          <w:b/>
          <w:bCs/>
        </w:rPr>
        <w:tab/>
      </w:r>
      <w:r w:rsidR="00BB5B40">
        <w:t>Staff has no position pending evidence adduced at the hearing.</w:t>
      </w:r>
    </w:p>
    <w:p w:rsidR="00B91F69" w:rsidRDefault="00B91F69">
      <w:pPr>
        <w:jc w:val="both"/>
      </w:pPr>
    </w:p>
    <w:p w:rsidR="00FB52E6" w:rsidRPr="00431CC2" w:rsidRDefault="00FB52E6" w:rsidP="00FB52E6">
      <w:pPr>
        <w:jc w:val="both"/>
        <w:rPr>
          <w:b/>
        </w:rPr>
      </w:pPr>
      <w:r w:rsidRPr="00431CC2">
        <w:rPr>
          <w:b/>
        </w:rPr>
        <w:t>IX.</w:t>
      </w:r>
      <w:r w:rsidRPr="00431CC2">
        <w:rPr>
          <w:b/>
        </w:rPr>
        <w:tab/>
      </w:r>
      <w:r w:rsidRPr="00431CC2">
        <w:rPr>
          <w:b/>
          <w:u w:val="single"/>
        </w:rPr>
        <w:t>EXHIBIT LIST</w:t>
      </w:r>
    </w:p>
    <w:p w:rsidR="00FB52E6" w:rsidRPr="00701945" w:rsidRDefault="00FB52E6" w:rsidP="00FB52E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430"/>
        <w:gridCol w:w="1530"/>
        <w:gridCol w:w="1170"/>
        <w:gridCol w:w="4435"/>
      </w:tblGrid>
      <w:tr w:rsidR="00FB52E6" w:rsidRPr="00701945" w:rsidTr="00EC4604">
        <w:trPr>
          <w:cantSplit/>
          <w:trHeight w:val="373"/>
          <w:tblHeader/>
        </w:trPr>
        <w:tc>
          <w:tcPr>
            <w:tcW w:w="2430" w:type="dxa"/>
            <w:tcBorders>
              <w:top w:val="nil"/>
              <w:left w:val="nil"/>
              <w:bottom w:val="nil"/>
              <w:right w:val="nil"/>
            </w:tcBorders>
          </w:tcPr>
          <w:p w:rsidR="00FB52E6" w:rsidRPr="00701945" w:rsidRDefault="00FB52E6" w:rsidP="001E1627">
            <w:pPr>
              <w:jc w:val="both"/>
            </w:pPr>
            <w:r w:rsidRPr="00701945">
              <w:rPr>
                <w:u w:val="single"/>
              </w:rPr>
              <w:t>Witness</w:t>
            </w:r>
          </w:p>
        </w:tc>
        <w:tc>
          <w:tcPr>
            <w:tcW w:w="1530" w:type="dxa"/>
            <w:tcBorders>
              <w:top w:val="nil"/>
              <w:left w:val="nil"/>
              <w:bottom w:val="nil"/>
              <w:right w:val="nil"/>
            </w:tcBorders>
          </w:tcPr>
          <w:p w:rsidR="00FB52E6" w:rsidRPr="00701945" w:rsidRDefault="00FB52E6" w:rsidP="001E1627">
            <w:pPr>
              <w:jc w:val="center"/>
            </w:pPr>
            <w:r w:rsidRPr="00701945">
              <w:rPr>
                <w:u w:val="single"/>
              </w:rPr>
              <w:t>Proffered By</w:t>
            </w:r>
          </w:p>
        </w:tc>
        <w:tc>
          <w:tcPr>
            <w:tcW w:w="1170" w:type="dxa"/>
            <w:tcBorders>
              <w:top w:val="nil"/>
              <w:left w:val="nil"/>
              <w:bottom w:val="nil"/>
              <w:right w:val="nil"/>
            </w:tcBorders>
          </w:tcPr>
          <w:p w:rsidR="00FB52E6" w:rsidRPr="00A87AD9" w:rsidRDefault="00A87AD9" w:rsidP="001E1627">
            <w:pPr>
              <w:jc w:val="center"/>
              <w:rPr>
                <w:u w:val="single"/>
              </w:rPr>
            </w:pPr>
            <w:r w:rsidRPr="00A87AD9">
              <w:rPr>
                <w:u w:val="single"/>
              </w:rPr>
              <w:t>ID</w:t>
            </w:r>
          </w:p>
        </w:tc>
        <w:tc>
          <w:tcPr>
            <w:tcW w:w="4435" w:type="dxa"/>
            <w:tcBorders>
              <w:top w:val="nil"/>
              <w:left w:val="nil"/>
              <w:bottom w:val="nil"/>
              <w:right w:val="nil"/>
            </w:tcBorders>
          </w:tcPr>
          <w:p w:rsidR="00FB52E6" w:rsidRPr="00701945" w:rsidRDefault="00FB52E6" w:rsidP="001E1627">
            <w:pPr>
              <w:jc w:val="both"/>
            </w:pPr>
            <w:r w:rsidRPr="00701945">
              <w:rPr>
                <w:u w:val="single"/>
              </w:rPr>
              <w:t>Description</w:t>
            </w:r>
          </w:p>
        </w:tc>
      </w:tr>
      <w:tr w:rsidR="00FB52E6" w:rsidRPr="00701945" w:rsidTr="00EC4604">
        <w:trPr>
          <w:cantSplit/>
          <w:trHeight w:val="353"/>
        </w:trPr>
        <w:tc>
          <w:tcPr>
            <w:tcW w:w="2430" w:type="dxa"/>
            <w:tcBorders>
              <w:top w:val="nil"/>
              <w:left w:val="nil"/>
              <w:bottom w:val="nil"/>
              <w:right w:val="nil"/>
            </w:tcBorders>
          </w:tcPr>
          <w:p w:rsidR="00FB52E6" w:rsidRPr="00701945" w:rsidRDefault="00FB52E6" w:rsidP="00F32C3F">
            <w:pPr>
              <w:keepNext/>
              <w:jc w:val="both"/>
            </w:pPr>
            <w:r w:rsidRPr="00701945">
              <w:tab/>
            </w:r>
            <w:r w:rsidRPr="00701945">
              <w:rPr>
                <w:u w:val="single"/>
              </w:rPr>
              <w:t>Direct</w:t>
            </w:r>
          </w:p>
        </w:tc>
        <w:tc>
          <w:tcPr>
            <w:tcW w:w="1530" w:type="dxa"/>
            <w:tcBorders>
              <w:top w:val="nil"/>
              <w:left w:val="nil"/>
              <w:bottom w:val="nil"/>
              <w:right w:val="nil"/>
            </w:tcBorders>
          </w:tcPr>
          <w:p w:rsidR="00FB52E6" w:rsidRPr="00701945" w:rsidRDefault="00FB52E6" w:rsidP="00F32C3F">
            <w:pPr>
              <w:keepNext/>
              <w:jc w:val="center"/>
            </w:pPr>
          </w:p>
        </w:tc>
        <w:tc>
          <w:tcPr>
            <w:tcW w:w="1170" w:type="dxa"/>
            <w:tcBorders>
              <w:top w:val="nil"/>
              <w:left w:val="nil"/>
              <w:bottom w:val="nil"/>
              <w:right w:val="nil"/>
            </w:tcBorders>
          </w:tcPr>
          <w:p w:rsidR="00FB52E6" w:rsidRPr="004515FB" w:rsidRDefault="00FB52E6" w:rsidP="00F32C3F">
            <w:pPr>
              <w:keepNext/>
              <w:jc w:val="center"/>
            </w:pPr>
          </w:p>
        </w:tc>
        <w:tc>
          <w:tcPr>
            <w:tcW w:w="4435" w:type="dxa"/>
            <w:tcBorders>
              <w:top w:val="nil"/>
              <w:left w:val="nil"/>
              <w:bottom w:val="nil"/>
              <w:right w:val="nil"/>
            </w:tcBorders>
          </w:tcPr>
          <w:p w:rsidR="00FB52E6" w:rsidRPr="00701945" w:rsidRDefault="00FB52E6" w:rsidP="00F32C3F">
            <w:pPr>
              <w:keepNext/>
            </w:pPr>
          </w:p>
        </w:tc>
      </w:tr>
      <w:tr w:rsidR="00C46B45" w:rsidRPr="00701945" w:rsidTr="00EC4604">
        <w:trPr>
          <w:cantSplit/>
          <w:trHeight w:val="373"/>
        </w:trPr>
        <w:tc>
          <w:tcPr>
            <w:tcW w:w="2430" w:type="dxa"/>
            <w:tcBorders>
              <w:top w:val="nil"/>
              <w:left w:val="nil"/>
              <w:bottom w:val="nil"/>
              <w:right w:val="nil"/>
            </w:tcBorders>
          </w:tcPr>
          <w:p w:rsidR="00C46B45" w:rsidRPr="00701945" w:rsidRDefault="001E1627" w:rsidP="001E1627">
            <w:pPr>
              <w:jc w:val="both"/>
            </w:pPr>
            <w:r>
              <w:t>Thomas G. Foster</w:t>
            </w:r>
          </w:p>
        </w:tc>
        <w:tc>
          <w:tcPr>
            <w:tcW w:w="1530" w:type="dxa"/>
            <w:tcBorders>
              <w:top w:val="nil"/>
              <w:left w:val="nil"/>
              <w:bottom w:val="nil"/>
              <w:right w:val="nil"/>
            </w:tcBorders>
          </w:tcPr>
          <w:p w:rsidR="00C46B45" w:rsidRPr="00701945" w:rsidRDefault="001E1627" w:rsidP="001E1627">
            <w:pPr>
              <w:jc w:val="center"/>
            </w:pPr>
            <w:r>
              <w:t>DEF</w:t>
            </w:r>
          </w:p>
        </w:tc>
        <w:tc>
          <w:tcPr>
            <w:tcW w:w="1170" w:type="dxa"/>
            <w:tcBorders>
              <w:top w:val="nil"/>
              <w:left w:val="nil"/>
              <w:bottom w:val="nil"/>
              <w:right w:val="nil"/>
            </w:tcBorders>
          </w:tcPr>
          <w:p w:rsidR="00C46B45" w:rsidRPr="004515FB" w:rsidRDefault="001E1627" w:rsidP="001E1627">
            <w:pPr>
              <w:jc w:val="center"/>
            </w:pPr>
            <w:r>
              <w:t>TGF-1</w:t>
            </w:r>
          </w:p>
        </w:tc>
        <w:tc>
          <w:tcPr>
            <w:tcW w:w="4435" w:type="dxa"/>
            <w:tcBorders>
              <w:top w:val="nil"/>
              <w:left w:val="nil"/>
              <w:bottom w:val="nil"/>
              <w:right w:val="nil"/>
            </w:tcBorders>
          </w:tcPr>
          <w:p w:rsidR="00C46B45" w:rsidRPr="00701945" w:rsidRDefault="001E1627" w:rsidP="00EC4604">
            <w:pPr>
              <w:jc w:val="both"/>
            </w:pPr>
            <w:r>
              <w:rPr>
                <w:rFonts w:cs="Tahoma"/>
              </w:rPr>
              <w:t>CONFIDENTIAL – reflects the actual costs associated with the LNP and consists of: 2015 True- Up Summary, 2015 Detail Schedule and Appendices A through E, which show DEF’s retail revenue requirements for the LNP from January 2015 through December 2015.  Mr. Fallon will be co-sponsoring portions of the 2015 Detail Schedule and sponsoring Appendices D and E.</w:t>
            </w:r>
          </w:p>
        </w:tc>
      </w:tr>
      <w:tr w:rsidR="001E1627" w:rsidRPr="00701945" w:rsidTr="00EC4604">
        <w:trPr>
          <w:cantSplit/>
          <w:trHeight w:val="353"/>
        </w:trPr>
        <w:tc>
          <w:tcPr>
            <w:tcW w:w="2430" w:type="dxa"/>
            <w:tcBorders>
              <w:top w:val="nil"/>
              <w:left w:val="nil"/>
              <w:bottom w:val="nil"/>
              <w:right w:val="nil"/>
            </w:tcBorders>
          </w:tcPr>
          <w:p w:rsidR="001E1627" w:rsidRPr="00701945" w:rsidRDefault="001E1627" w:rsidP="001E1627">
            <w:pPr>
              <w:jc w:val="both"/>
            </w:pPr>
            <w:r>
              <w:lastRenderedPageBreak/>
              <w:t>Thomas G. Foster</w:t>
            </w:r>
          </w:p>
        </w:tc>
        <w:tc>
          <w:tcPr>
            <w:tcW w:w="1530" w:type="dxa"/>
            <w:tcBorders>
              <w:top w:val="nil"/>
              <w:left w:val="nil"/>
              <w:bottom w:val="nil"/>
              <w:right w:val="nil"/>
            </w:tcBorders>
          </w:tcPr>
          <w:p w:rsidR="001E1627" w:rsidRPr="00701945" w:rsidRDefault="001E1627" w:rsidP="001E1627">
            <w:pPr>
              <w:jc w:val="center"/>
            </w:pPr>
            <w:r>
              <w:t>DEF</w:t>
            </w:r>
          </w:p>
        </w:tc>
        <w:tc>
          <w:tcPr>
            <w:tcW w:w="1170" w:type="dxa"/>
            <w:tcBorders>
              <w:top w:val="nil"/>
              <w:left w:val="nil"/>
              <w:bottom w:val="nil"/>
              <w:right w:val="nil"/>
            </w:tcBorders>
          </w:tcPr>
          <w:p w:rsidR="001E1627" w:rsidRPr="004515FB" w:rsidRDefault="001E1627" w:rsidP="001E1627">
            <w:pPr>
              <w:jc w:val="center"/>
            </w:pPr>
            <w:r>
              <w:t>TGF-2</w:t>
            </w:r>
          </w:p>
        </w:tc>
        <w:tc>
          <w:tcPr>
            <w:tcW w:w="4435" w:type="dxa"/>
            <w:tcBorders>
              <w:top w:val="nil"/>
              <w:left w:val="nil"/>
              <w:bottom w:val="nil"/>
              <w:right w:val="nil"/>
            </w:tcBorders>
          </w:tcPr>
          <w:p w:rsidR="001E1627" w:rsidRDefault="001E1627" w:rsidP="00EC4604">
            <w:pPr>
              <w:jc w:val="both"/>
            </w:pPr>
            <w:r>
              <w:rPr>
                <w:rFonts w:cs="Tahoma"/>
              </w:rPr>
              <w:t>Reflects the actual costs associated with the EPU project and consists of: 2015 True-Up Summary, 2015 Detail Schedule and Appendices A through E, which show DEF’s retail revenue requirements for the EPU project from January 2015 through December 2015.  Mr. Teague will be co-sponsoring portions of the 2015 Detail Schedule and sponsoring Appendices D and E.</w:t>
            </w:r>
          </w:p>
          <w:p w:rsidR="001E1627" w:rsidRPr="00701945" w:rsidRDefault="001E1627" w:rsidP="00EC4604">
            <w:pPr>
              <w:jc w:val="both"/>
            </w:pPr>
          </w:p>
        </w:tc>
      </w:tr>
      <w:tr w:rsidR="001E1627" w:rsidRPr="00701945" w:rsidTr="00EC4604">
        <w:trPr>
          <w:cantSplit/>
          <w:trHeight w:val="373"/>
        </w:trPr>
        <w:tc>
          <w:tcPr>
            <w:tcW w:w="2430" w:type="dxa"/>
            <w:tcBorders>
              <w:top w:val="nil"/>
              <w:left w:val="nil"/>
              <w:bottom w:val="nil"/>
              <w:right w:val="nil"/>
            </w:tcBorders>
          </w:tcPr>
          <w:p w:rsidR="001E1627" w:rsidRPr="00701945" w:rsidRDefault="001E1627" w:rsidP="001E1627">
            <w:pPr>
              <w:jc w:val="both"/>
            </w:pPr>
            <w:r>
              <w:t>Thomas G. Foster</w:t>
            </w:r>
          </w:p>
        </w:tc>
        <w:tc>
          <w:tcPr>
            <w:tcW w:w="1530" w:type="dxa"/>
            <w:tcBorders>
              <w:top w:val="nil"/>
              <w:left w:val="nil"/>
              <w:bottom w:val="nil"/>
              <w:right w:val="nil"/>
            </w:tcBorders>
          </w:tcPr>
          <w:p w:rsidR="001E1627" w:rsidRPr="00701945" w:rsidRDefault="001E1627" w:rsidP="001E1627">
            <w:pPr>
              <w:jc w:val="center"/>
            </w:pPr>
            <w:r>
              <w:t>DEF</w:t>
            </w:r>
          </w:p>
        </w:tc>
        <w:tc>
          <w:tcPr>
            <w:tcW w:w="1170" w:type="dxa"/>
            <w:tcBorders>
              <w:top w:val="nil"/>
              <w:left w:val="nil"/>
              <w:bottom w:val="nil"/>
              <w:right w:val="nil"/>
            </w:tcBorders>
          </w:tcPr>
          <w:p w:rsidR="001E1627" w:rsidRPr="004515FB" w:rsidRDefault="001E1627" w:rsidP="001E1627">
            <w:pPr>
              <w:jc w:val="center"/>
            </w:pPr>
            <w:r>
              <w:t>TGF-3</w:t>
            </w:r>
          </w:p>
        </w:tc>
        <w:tc>
          <w:tcPr>
            <w:tcW w:w="4435" w:type="dxa"/>
            <w:tcBorders>
              <w:top w:val="nil"/>
              <w:left w:val="nil"/>
              <w:bottom w:val="nil"/>
              <w:right w:val="nil"/>
            </w:tcBorders>
          </w:tcPr>
          <w:p w:rsidR="001E1627" w:rsidRPr="00701945" w:rsidRDefault="00FE7F93" w:rsidP="00EC4604">
            <w:pPr>
              <w:jc w:val="both"/>
            </w:pPr>
            <w:r>
              <w:rPr>
                <w:rFonts w:cs="Tahoma"/>
              </w:rPr>
              <w:t>CONFIDENTIAL – reflects the actual and estimated costs associated with the LNP and</w:t>
            </w:r>
            <w:r w:rsidR="00EC4604">
              <w:rPr>
                <w:rFonts w:cs="Tahoma"/>
              </w:rPr>
              <w:t xml:space="preserve"> </w:t>
            </w:r>
            <w:r>
              <w:rPr>
                <w:rFonts w:cs="Tahoma"/>
              </w:rPr>
              <w:t>consists of: 2017 Revenue Requirement Summary, 2016 Revenue Requirement Detail Schedule, 2017</w:t>
            </w:r>
            <w:r w:rsidR="00EC4604">
              <w:rPr>
                <w:rFonts w:cs="Tahoma"/>
              </w:rPr>
              <w:t xml:space="preserve"> </w:t>
            </w:r>
            <w:r>
              <w:rPr>
                <w:rFonts w:cs="Tahoma"/>
              </w:rPr>
              <w:t xml:space="preserve">Revenue Requirement Detail Schedule, 2016 LLE Deferred Balance Detail Schedule, 2017 LLE Deferred Balance Detail Schedule, and Appendices </w:t>
            </w:r>
            <w:r w:rsidR="00EC4604">
              <w:rPr>
                <w:rFonts w:cs="Tahoma"/>
              </w:rPr>
              <w:t>A through E. Mr. Fallon will be co-sponsoring portions of the 2016 Actual/Estimated Revenue Requirement Detail Schedule, 2017 Projection Revenue Requirement Detail Schedule, the 2016 and 2017 LLE Deferred Balance Detail Schedules and sponsoring Appendices D and E.</w:t>
            </w:r>
          </w:p>
        </w:tc>
      </w:tr>
      <w:tr w:rsidR="001E1627" w:rsidRPr="00701945" w:rsidTr="00EC4604">
        <w:trPr>
          <w:cantSplit/>
          <w:trHeight w:val="353"/>
        </w:trPr>
        <w:tc>
          <w:tcPr>
            <w:tcW w:w="2430" w:type="dxa"/>
            <w:tcBorders>
              <w:top w:val="nil"/>
              <w:left w:val="nil"/>
              <w:bottom w:val="nil"/>
              <w:right w:val="nil"/>
            </w:tcBorders>
          </w:tcPr>
          <w:p w:rsidR="001E1627" w:rsidRPr="00701945" w:rsidRDefault="001E1627" w:rsidP="001E1627">
            <w:pPr>
              <w:jc w:val="both"/>
            </w:pPr>
            <w:r>
              <w:t>Thomas G. Foster</w:t>
            </w:r>
          </w:p>
        </w:tc>
        <w:tc>
          <w:tcPr>
            <w:tcW w:w="1530" w:type="dxa"/>
            <w:tcBorders>
              <w:top w:val="nil"/>
              <w:left w:val="nil"/>
              <w:bottom w:val="nil"/>
              <w:right w:val="nil"/>
            </w:tcBorders>
          </w:tcPr>
          <w:p w:rsidR="001E1627" w:rsidRPr="00701945" w:rsidRDefault="001E1627" w:rsidP="001E1627">
            <w:pPr>
              <w:jc w:val="center"/>
            </w:pPr>
            <w:r>
              <w:t>DEF</w:t>
            </w:r>
          </w:p>
        </w:tc>
        <w:tc>
          <w:tcPr>
            <w:tcW w:w="1170" w:type="dxa"/>
            <w:tcBorders>
              <w:top w:val="nil"/>
              <w:left w:val="nil"/>
              <w:bottom w:val="nil"/>
              <w:right w:val="nil"/>
            </w:tcBorders>
          </w:tcPr>
          <w:p w:rsidR="001E1627" w:rsidRPr="004515FB" w:rsidRDefault="001E1627" w:rsidP="001E1627">
            <w:pPr>
              <w:jc w:val="center"/>
            </w:pPr>
            <w:r>
              <w:t>TGF-4</w:t>
            </w:r>
          </w:p>
        </w:tc>
        <w:tc>
          <w:tcPr>
            <w:tcW w:w="4435" w:type="dxa"/>
            <w:tcBorders>
              <w:top w:val="nil"/>
              <w:left w:val="nil"/>
              <w:bottom w:val="nil"/>
              <w:right w:val="nil"/>
            </w:tcBorders>
          </w:tcPr>
          <w:p w:rsidR="001E1627" w:rsidRPr="00701945" w:rsidRDefault="00BE228E" w:rsidP="00EC4604">
            <w:pPr>
              <w:jc w:val="both"/>
            </w:pPr>
            <w:r>
              <w:rPr>
                <w:rFonts w:cs="Tahoma"/>
              </w:rPr>
              <w:t>Reflects the actual costs associated with the EPU project and consists of: 2017 Revenue Requirement Summary, 2016 Revenue Requirement Detail Schedule, 2017 Revenue Requirement Detail Schedule, 2017 Estimated Rate Impact Schedule, and Appendixes A through F.  Mr. Teague will be co-sponsoring portions of 2016 and 2017 Actual/Estimated Revenue Requirement Detail Schedule, and sponsoring Appendices D and E.</w:t>
            </w:r>
          </w:p>
        </w:tc>
      </w:tr>
      <w:tr w:rsidR="0025291E" w:rsidRPr="00701945" w:rsidTr="00EC4604">
        <w:trPr>
          <w:cantSplit/>
          <w:trHeight w:val="353"/>
        </w:trPr>
        <w:tc>
          <w:tcPr>
            <w:tcW w:w="2430" w:type="dxa"/>
            <w:tcBorders>
              <w:top w:val="nil"/>
              <w:left w:val="nil"/>
              <w:bottom w:val="nil"/>
              <w:right w:val="nil"/>
            </w:tcBorders>
          </w:tcPr>
          <w:p w:rsidR="0025291E" w:rsidRDefault="0025291E">
            <w:r w:rsidRPr="00B06F3A">
              <w:rPr>
                <w:rFonts w:cs="Tahoma"/>
              </w:rPr>
              <w:lastRenderedPageBreak/>
              <w:t>Mark R. Teague</w:t>
            </w:r>
          </w:p>
        </w:tc>
        <w:tc>
          <w:tcPr>
            <w:tcW w:w="1530" w:type="dxa"/>
            <w:tcBorders>
              <w:top w:val="nil"/>
              <w:left w:val="nil"/>
              <w:bottom w:val="nil"/>
              <w:right w:val="nil"/>
            </w:tcBorders>
          </w:tcPr>
          <w:p w:rsidR="0025291E" w:rsidRDefault="0025291E" w:rsidP="0025291E">
            <w:pPr>
              <w:jc w:val="center"/>
            </w:pPr>
            <w:r w:rsidRPr="00490E97">
              <w:t>DEF</w:t>
            </w:r>
          </w:p>
        </w:tc>
        <w:tc>
          <w:tcPr>
            <w:tcW w:w="1170" w:type="dxa"/>
            <w:tcBorders>
              <w:top w:val="nil"/>
              <w:left w:val="nil"/>
              <w:bottom w:val="nil"/>
              <w:right w:val="nil"/>
            </w:tcBorders>
          </w:tcPr>
          <w:p w:rsidR="0025291E" w:rsidRDefault="0025291E" w:rsidP="001834D5">
            <w:pPr>
              <w:jc w:val="center"/>
            </w:pPr>
            <w:r>
              <w:t>MT-1</w:t>
            </w:r>
          </w:p>
        </w:tc>
        <w:tc>
          <w:tcPr>
            <w:tcW w:w="4435" w:type="dxa"/>
            <w:tcBorders>
              <w:top w:val="nil"/>
              <w:left w:val="nil"/>
              <w:bottom w:val="nil"/>
              <w:right w:val="nil"/>
            </w:tcBorders>
          </w:tcPr>
          <w:p w:rsidR="0025291E" w:rsidRDefault="0025291E" w:rsidP="00EC4604">
            <w:pPr>
              <w:jc w:val="both"/>
              <w:rPr>
                <w:rFonts w:cs="Tahoma"/>
              </w:rPr>
            </w:pPr>
            <w:r>
              <w:rPr>
                <w:rFonts w:cs="Tahoma"/>
              </w:rPr>
              <w:t>The CR3 Administrative Procedure, AI-9010, Conduct of CR3 Investment Recovery, Revision 1</w:t>
            </w:r>
          </w:p>
        </w:tc>
      </w:tr>
      <w:tr w:rsidR="0025291E" w:rsidRPr="00701945" w:rsidTr="00EC4604">
        <w:trPr>
          <w:cantSplit/>
          <w:trHeight w:val="353"/>
        </w:trPr>
        <w:tc>
          <w:tcPr>
            <w:tcW w:w="2430" w:type="dxa"/>
            <w:tcBorders>
              <w:top w:val="nil"/>
              <w:left w:val="nil"/>
              <w:bottom w:val="nil"/>
              <w:right w:val="nil"/>
            </w:tcBorders>
          </w:tcPr>
          <w:p w:rsidR="0025291E" w:rsidRDefault="0025291E">
            <w:r w:rsidRPr="00B06F3A">
              <w:rPr>
                <w:rFonts w:cs="Tahoma"/>
              </w:rPr>
              <w:t>Mark R. Teague</w:t>
            </w:r>
          </w:p>
        </w:tc>
        <w:tc>
          <w:tcPr>
            <w:tcW w:w="1530" w:type="dxa"/>
            <w:tcBorders>
              <w:top w:val="nil"/>
              <w:left w:val="nil"/>
              <w:bottom w:val="nil"/>
              <w:right w:val="nil"/>
            </w:tcBorders>
          </w:tcPr>
          <w:p w:rsidR="0025291E" w:rsidRDefault="0025291E" w:rsidP="0025291E">
            <w:pPr>
              <w:jc w:val="center"/>
            </w:pPr>
            <w:r w:rsidRPr="00490E97">
              <w:t>DEF</w:t>
            </w:r>
          </w:p>
        </w:tc>
        <w:tc>
          <w:tcPr>
            <w:tcW w:w="1170" w:type="dxa"/>
            <w:tcBorders>
              <w:top w:val="nil"/>
              <w:left w:val="nil"/>
              <w:bottom w:val="nil"/>
              <w:right w:val="nil"/>
            </w:tcBorders>
          </w:tcPr>
          <w:p w:rsidR="0025291E" w:rsidRDefault="0025291E" w:rsidP="001834D5">
            <w:pPr>
              <w:jc w:val="center"/>
            </w:pPr>
            <w:r>
              <w:t>MT-2</w:t>
            </w:r>
          </w:p>
        </w:tc>
        <w:tc>
          <w:tcPr>
            <w:tcW w:w="4435" w:type="dxa"/>
            <w:tcBorders>
              <w:top w:val="nil"/>
              <w:left w:val="nil"/>
              <w:bottom w:val="nil"/>
              <w:right w:val="nil"/>
            </w:tcBorders>
          </w:tcPr>
          <w:p w:rsidR="0025291E" w:rsidRDefault="0025291E" w:rsidP="00EC4604">
            <w:pPr>
              <w:jc w:val="both"/>
              <w:rPr>
                <w:rFonts w:cs="Tahoma"/>
              </w:rPr>
            </w:pPr>
            <w:r>
              <w:rPr>
                <w:rFonts w:cs="Tahoma"/>
              </w:rPr>
              <w:t>The CR3 Investment Recovery Project, Project Execution Plan, Revision 0</w:t>
            </w:r>
          </w:p>
        </w:tc>
      </w:tr>
      <w:tr w:rsidR="0025291E" w:rsidRPr="00701945" w:rsidTr="00EC4604">
        <w:trPr>
          <w:cantSplit/>
          <w:trHeight w:val="353"/>
        </w:trPr>
        <w:tc>
          <w:tcPr>
            <w:tcW w:w="2430" w:type="dxa"/>
            <w:tcBorders>
              <w:top w:val="nil"/>
              <w:left w:val="nil"/>
              <w:bottom w:val="nil"/>
              <w:right w:val="nil"/>
            </w:tcBorders>
          </w:tcPr>
          <w:p w:rsidR="0025291E" w:rsidRDefault="0025291E">
            <w:r w:rsidRPr="00B06F3A">
              <w:rPr>
                <w:rFonts w:cs="Tahoma"/>
              </w:rPr>
              <w:t>Mark R. Teague</w:t>
            </w:r>
          </w:p>
        </w:tc>
        <w:tc>
          <w:tcPr>
            <w:tcW w:w="1530" w:type="dxa"/>
            <w:tcBorders>
              <w:top w:val="nil"/>
              <w:left w:val="nil"/>
              <w:bottom w:val="nil"/>
              <w:right w:val="nil"/>
            </w:tcBorders>
          </w:tcPr>
          <w:p w:rsidR="0025291E" w:rsidRDefault="0025291E" w:rsidP="0025291E">
            <w:pPr>
              <w:jc w:val="center"/>
            </w:pPr>
            <w:r w:rsidRPr="00490E97">
              <w:t>DEF</w:t>
            </w:r>
          </w:p>
        </w:tc>
        <w:tc>
          <w:tcPr>
            <w:tcW w:w="1170" w:type="dxa"/>
            <w:tcBorders>
              <w:top w:val="nil"/>
              <w:left w:val="nil"/>
              <w:bottom w:val="nil"/>
              <w:right w:val="nil"/>
            </w:tcBorders>
          </w:tcPr>
          <w:p w:rsidR="0025291E" w:rsidRDefault="0025291E" w:rsidP="001834D5">
            <w:pPr>
              <w:jc w:val="center"/>
            </w:pPr>
            <w:r>
              <w:t>MT-3</w:t>
            </w:r>
          </w:p>
        </w:tc>
        <w:tc>
          <w:tcPr>
            <w:tcW w:w="4435" w:type="dxa"/>
            <w:tcBorders>
              <w:top w:val="nil"/>
              <w:left w:val="nil"/>
              <w:bottom w:val="nil"/>
              <w:right w:val="nil"/>
            </w:tcBorders>
          </w:tcPr>
          <w:p w:rsidR="0025291E" w:rsidRDefault="0025291E" w:rsidP="00EC4604">
            <w:pPr>
              <w:jc w:val="both"/>
              <w:rPr>
                <w:rFonts w:cs="Tahoma"/>
              </w:rPr>
            </w:pPr>
            <w:r>
              <w:rPr>
                <w:rFonts w:cs="Tahoma"/>
              </w:rPr>
              <w:t>The Investment Recovery Guidance Document IRGD-001, Sales Track Guidance and Documentation Package Development</w:t>
            </w:r>
          </w:p>
        </w:tc>
      </w:tr>
      <w:tr w:rsidR="0025291E" w:rsidRPr="00701945" w:rsidTr="00EC4604">
        <w:trPr>
          <w:cantSplit/>
          <w:trHeight w:val="353"/>
        </w:trPr>
        <w:tc>
          <w:tcPr>
            <w:tcW w:w="2430" w:type="dxa"/>
            <w:tcBorders>
              <w:top w:val="nil"/>
              <w:left w:val="nil"/>
              <w:bottom w:val="nil"/>
              <w:right w:val="nil"/>
            </w:tcBorders>
          </w:tcPr>
          <w:p w:rsidR="0025291E" w:rsidRDefault="0025291E">
            <w:r w:rsidRPr="00B06F3A">
              <w:rPr>
                <w:rFonts w:cs="Tahoma"/>
              </w:rPr>
              <w:t>Mark R. Teague</w:t>
            </w:r>
          </w:p>
        </w:tc>
        <w:tc>
          <w:tcPr>
            <w:tcW w:w="1530" w:type="dxa"/>
            <w:tcBorders>
              <w:top w:val="nil"/>
              <w:left w:val="nil"/>
              <w:bottom w:val="nil"/>
              <w:right w:val="nil"/>
            </w:tcBorders>
          </w:tcPr>
          <w:p w:rsidR="0025291E" w:rsidRDefault="0025291E" w:rsidP="0025291E">
            <w:pPr>
              <w:jc w:val="center"/>
            </w:pPr>
            <w:r w:rsidRPr="00490E97">
              <w:t>DEF</w:t>
            </w:r>
          </w:p>
        </w:tc>
        <w:tc>
          <w:tcPr>
            <w:tcW w:w="1170" w:type="dxa"/>
            <w:tcBorders>
              <w:top w:val="nil"/>
              <w:left w:val="nil"/>
              <w:bottom w:val="nil"/>
              <w:right w:val="nil"/>
            </w:tcBorders>
          </w:tcPr>
          <w:p w:rsidR="0025291E" w:rsidRDefault="0025291E" w:rsidP="001834D5">
            <w:pPr>
              <w:jc w:val="center"/>
            </w:pPr>
            <w:r>
              <w:t>MT-4</w:t>
            </w:r>
          </w:p>
        </w:tc>
        <w:tc>
          <w:tcPr>
            <w:tcW w:w="4435" w:type="dxa"/>
            <w:tcBorders>
              <w:top w:val="nil"/>
              <w:left w:val="nil"/>
              <w:bottom w:val="nil"/>
              <w:right w:val="nil"/>
            </w:tcBorders>
          </w:tcPr>
          <w:p w:rsidR="0025291E" w:rsidRDefault="0025291E" w:rsidP="00EC4604">
            <w:pPr>
              <w:jc w:val="both"/>
              <w:rPr>
                <w:rFonts w:cs="Tahoma"/>
              </w:rPr>
            </w:pPr>
            <w:r>
              <w:rPr>
                <w:rFonts w:cs="Tahoma"/>
              </w:rPr>
              <w:t>CONFIDENTIAL – reflects EPU-related assets disposed of through sales to third parties or affiliate transfers/sales in 2015.</w:t>
            </w:r>
          </w:p>
        </w:tc>
      </w:tr>
      <w:tr w:rsidR="0025291E" w:rsidRPr="00701945" w:rsidTr="00EC4604">
        <w:trPr>
          <w:cantSplit/>
          <w:trHeight w:val="353"/>
        </w:trPr>
        <w:tc>
          <w:tcPr>
            <w:tcW w:w="2430" w:type="dxa"/>
            <w:tcBorders>
              <w:top w:val="nil"/>
              <w:left w:val="nil"/>
              <w:bottom w:val="nil"/>
              <w:right w:val="nil"/>
            </w:tcBorders>
          </w:tcPr>
          <w:p w:rsidR="0025291E" w:rsidRDefault="0025291E">
            <w:r w:rsidRPr="00433E9F">
              <w:t>Christopher M. Fallon</w:t>
            </w:r>
          </w:p>
        </w:tc>
        <w:tc>
          <w:tcPr>
            <w:tcW w:w="1530" w:type="dxa"/>
            <w:tcBorders>
              <w:top w:val="nil"/>
              <w:left w:val="nil"/>
              <w:bottom w:val="nil"/>
              <w:right w:val="nil"/>
            </w:tcBorders>
          </w:tcPr>
          <w:p w:rsidR="0025291E" w:rsidRDefault="0025291E" w:rsidP="0025291E">
            <w:pPr>
              <w:jc w:val="center"/>
            </w:pPr>
            <w:r w:rsidRPr="00490E97">
              <w:t>DEF</w:t>
            </w:r>
          </w:p>
        </w:tc>
        <w:tc>
          <w:tcPr>
            <w:tcW w:w="1170" w:type="dxa"/>
            <w:tcBorders>
              <w:top w:val="nil"/>
              <w:left w:val="nil"/>
              <w:bottom w:val="nil"/>
              <w:right w:val="nil"/>
            </w:tcBorders>
          </w:tcPr>
          <w:p w:rsidR="0025291E" w:rsidRDefault="0025291E" w:rsidP="001834D5">
            <w:pPr>
              <w:jc w:val="center"/>
            </w:pPr>
            <w:r>
              <w:t>CMF-1</w:t>
            </w:r>
          </w:p>
        </w:tc>
        <w:tc>
          <w:tcPr>
            <w:tcW w:w="4435" w:type="dxa"/>
            <w:tcBorders>
              <w:top w:val="nil"/>
              <w:left w:val="nil"/>
              <w:bottom w:val="nil"/>
              <w:right w:val="nil"/>
            </w:tcBorders>
          </w:tcPr>
          <w:p w:rsidR="0025291E" w:rsidRDefault="0025291E" w:rsidP="00EC4604">
            <w:pPr>
              <w:jc w:val="both"/>
              <w:rPr>
                <w:rFonts w:cs="Tahoma"/>
              </w:rPr>
            </w:pPr>
            <w:r>
              <w:rPr>
                <w:rFonts w:cs="Tahoma"/>
              </w:rPr>
              <w:t>CONFIDENTIAL – August 4, 2015 Recommendation for disposition of the Levy Nuclear Plant Variable Frequency Drives.</w:t>
            </w:r>
          </w:p>
        </w:tc>
      </w:tr>
      <w:tr w:rsidR="007E7074" w:rsidRPr="00701945" w:rsidTr="00EC4604">
        <w:trPr>
          <w:cantSplit/>
          <w:trHeight w:val="353"/>
        </w:trPr>
        <w:tc>
          <w:tcPr>
            <w:tcW w:w="2430" w:type="dxa"/>
            <w:tcBorders>
              <w:top w:val="nil"/>
              <w:left w:val="nil"/>
              <w:bottom w:val="nil"/>
              <w:right w:val="nil"/>
            </w:tcBorders>
          </w:tcPr>
          <w:p w:rsidR="007E7074" w:rsidRDefault="007E7074" w:rsidP="0025291E">
            <w:pPr>
              <w:jc w:val="both"/>
            </w:pPr>
            <w:r w:rsidRPr="00691345">
              <w:rPr>
                <w:bCs/>
              </w:rPr>
              <w:t>Ronald A. Mavrides</w:t>
            </w:r>
          </w:p>
        </w:tc>
        <w:tc>
          <w:tcPr>
            <w:tcW w:w="1530" w:type="dxa"/>
            <w:tcBorders>
              <w:top w:val="nil"/>
              <w:left w:val="nil"/>
              <w:bottom w:val="nil"/>
              <w:right w:val="nil"/>
            </w:tcBorders>
          </w:tcPr>
          <w:p w:rsidR="007E7074" w:rsidRPr="0066450B" w:rsidRDefault="007E7074" w:rsidP="0025291E">
            <w:pPr>
              <w:jc w:val="center"/>
            </w:pPr>
            <w:r>
              <w:t>Staff</w:t>
            </w:r>
          </w:p>
        </w:tc>
        <w:tc>
          <w:tcPr>
            <w:tcW w:w="1170" w:type="dxa"/>
            <w:tcBorders>
              <w:top w:val="nil"/>
              <w:left w:val="nil"/>
              <w:bottom w:val="nil"/>
              <w:right w:val="nil"/>
            </w:tcBorders>
          </w:tcPr>
          <w:p w:rsidR="007E7074" w:rsidRPr="00417CC1" w:rsidRDefault="007E7074" w:rsidP="001834D5">
            <w:pPr>
              <w:jc w:val="center"/>
            </w:pPr>
            <w:r>
              <w:t>RAM-1</w:t>
            </w:r>
          </w:p>
        </w:tc>
        <w:tc>
          <w:tcPr>
            <w:tcW w:w="4435" w:type="dxa"/>
            <w:tcBorders>
              <w:top w:val="nil"/>
              <w:left w:val="nil"/>
              <w:bottom w:val="nil"/>
              <w:right w:val="nil"/>
            </w:tcBorders>
          </w:tcPr>
          <w:p w:rsidR="007E7074" w:rsidRDefault="007E7074" w:rsidP="001834D5">
            <w:r w:rsidRPr="008F30BC">
              <w:t>Auditor's Report - Crystal River Unit 3 Uprate</w:t>
            </w:r>
          </w:p>
        </w:tc>
      </w:tr>
      <w:tr w:rsidR="007E7074" w:rsidRPr="00701945" w:rsidTr="00EC4604">
        <w:trPr>
          <w:cantSplit/>
          <w:trHeight w:val="353"/>
        </w:trPr>
        <w:tc>
          <w:tcPr>
            <w:tcW w:w="2430" w:type="dxa"/>
            <w:tcBorders>
              <w:top w:val="nil"/>
              <w:left w:val="nil"/>
              <w:bottom w:val="nil"/>
              <w:right w:val="nil"/>
            </w:tcBorders>
          </w:tcPr>
          <w:p w:rsidR="007E7074" w:rsidRDefault="007E7074" w:rsidP="00851DCE">
            <w:pPr>
              <w:keepNext/>
            </w:pPr>
            <w:r w:rsidRPr="00691345">
              <w:rPr>
                <w:bCs/>
              </w:rPr>
              <w:t>Ronald A. Mavrides</w:t>
            </w:r>
          </w:p>
        </w:tc>
        <w:tc>
          <w:tcPr>
            <w:tcW w:w="1530" w:type="dxa"/>
            <w:tcBorders>
              <w:top w:val="nil"/>
              <w:left w:val="nil"/>
              <w:bottom w:val="nil"/>
              <w:right w:val="nil"/>
            </w:tcBorders>
          </w:tcPr>
          <w:p w:rsidR="007E7074" w:rsidRPr="00701945" w:rsidRDefault="007E7074" w:rsidP="00851DCE">
            <w:pPr>
              <w:keepNext/>
              <w:jc w:val="center"/>
            </w:pPr>
            <w:r w:rsidRPr="00FC5764">
              <w:t>Staff</w:t>
            </w:r>
          </w:p>
        </w:tc>
        <w:tc>
          <w:tcPr>
            <w:tcW w:w="1170" w:type="dxa"/>
            <w:tcBorders>
              <w:top w:val="nil"/>
              <w:left w:val="nil"/>
              <w:bottom w:val="nil"/>
              <w:right w:val="nil"/>
            </w:tcBorders>
          </w:tcPr>
          <w:p w:rsidR="007E7074" w:rsidRDefault="007E7074" w:rsidP="00851DCE">
            <w:pPr>
              <w:pStyle w:val="PrehearingBody"/>
              <w:keepNext/>
              <w:spacing w:after="480"/>
              <w:ind w:firstLine="0"/>
              <w:jc w:val="center"/>
            </w:pPr>
            <w:r>
              <w:t>RAM-2</w:t>
            </w:r>
          </w:p>
        </w:tc>
        <w:tc>
          <w:tcPr>
            <w:tcW w:w="4435" w:type="dxa"/>
            <w:tcBorders>
              <w:top w:val="nil"/>
              <w:left w:val="nil"/>
              <w:bottom w:val="nil"/>
              <w:right w:val="nil"/>
            </w:tcBorders>
          </w:tcPr>
          <w:p w:rsidR="007E7074" w:rsidRPr="008923FC" w:rsidRDefault="007E7074" w:rsidP="00851DCE">
            <w:pPr>
              <w:pStyle w:val="PrehearingBody"/>
              <w:keepNext/>
              <w:spacing w:after="480"/>
              <w:ind w:firstLine="0"/>
            </w:pPr>
            <w:r w:rsidRPr="008F30BC">
              <w:t>Auditor's Report - Levy Nuclear Plant Units 1 &amp; 2</w:t>
            </w:r>
          </w:p>
        </w:tc>
      </w:tr>
      <w:tr w:rsidR="007E7074" w:rsidRPr="00701945" w:rsidTr="00EC4604">
        <w:trPr>
          <w:cantSplit/>
          <w:trHeight w:val="353"/>
        </w:trPr>
        <w:tc>
          <w:tcPr>
            <w:tcW w:w="2430" w:type="dxa"/>
            <w:tcBorders>
              <w:top w:val="nil"/>
              <w:left w:val="nil"/>
              <w:bottom w:val="nil"/>
              <w:right w:val="nil"/>
            </w:tcBorders>
          </w:tcPr>
          <w:p w:rsidR="007E7074" w:rsidRDefault="007E7074" w:rsidP="00851DCE">
            <w:r w:rsidRPr="008F30BC">
              <w:rPr>
                <w:bCs/>
              </w:rPr>
              <w:t>Jerry Hallenstein and Lynn Fisher</w:t>
            </w:r>
          </w:p>
        </w:tc>
        <w:tc>
          <w:tcPr>
            <w:tcW w:w="1530" w:type="dxa"/>
            <w:tcBorders>
              <w:top w:val="nil"/>
              <w:left w:val="nil"/>
              <w:bottom w:val="nil"/>
              <w:right w:val="nil"/>
            </w:tcBorders>
          </w:tcPr>
          <w:p w:rsidR="007E7074" w:rsidRDefault="007E7074" w:rsidP="00851DCE">
            <w:pPr>
              <w:jc w:val="center"/>
            </w:pPr>
            <w:r w:rsidRPr="00FC5764">
              <w:t>Staff</w:t>
            </w:r>
          </w:p>
        </w:tc>
        <w:tc>
          <w:tcPr>
            <w:tcW w:w="1170" w:type="dxa"/>
            <w:tcBorders>
              <w:top w:val="nil"/>
              <w:left w:val="nil"/>
              <w:bottom w:val="nil"/>
              <w:right w:val="nil"/>
            </w:tcBorders>
          </w:tcPr>
          <w:p w:rsidR="007E7074" w:rsidRDefault="007E7074" w:rsidP="00851DCE">
            <w:pPr>
              <w:pStyle w:val="PrehearingBody"/>
              <w:spacing w:after="480"/>
              <w:ind w:firstLine="0"/>
              <w:jc w:val="center"/>
            </w:pPr>
            <w:r>
              <w:t>HF-1</w:t>
            </w:r>
          </w:p>
        </w:tc>
        <w:tc>
          <w:tcPr>
            <w:tcW w:w="4435" w:type="dxa"/>
            <w:tcBorders>
              <w:top w:val="nil"/>
              <w:left w:val="nil"/>
              <w:bottom w:val="nil"/>
              <w:right w:val="nil"/>
            </w:tcBorders>
          </w:tcPr>
          <w:p w:rsidR="007E7074" w:rsidRPr="008923FC" w:rsidRDefault="007E7074" w:rsidP="00851DCE">
            <w:pPr>
              <w:pStyle w:val="PrehearingBody"/>
              <w:spacing w:after="480"/>
              <w:ind w:firstLine="0"/>
            </w:pPr>
            <w:r>
              <w:t>Review of Project Management Internal Controls</w:t>
            </w:r>
          </w:p>
        </w:tc>
      </w:tr>
    </w:tbl>
    <w:p w:rsidR="00FB52E6" w:rsidRPr="00701945" w:rsidRDefault="00FB52E6" w:rsidP="00FB52E6">
      <w:pPr>
        <w:jc w:val="both"/>
      </w:pPr>
    </w:p>
    <w:p w:rsidR="00FB52E6" w:rsidRPr="00701945" w:rsidRDefault="00FB52E6" w:rsidP="00FB52E6">
      <w:pPr>
        <w:jc w:val="both"/>
      </w:pPr>
      <w:r w:rsidRPr="00701945">
        <w:tab/>
        <w:t>Parties and Staff reserve the right to identify additional exhibits for the purpose of cross-examination.</w:t>
      </w:r>
    </w:p>
    <w:p w:rsidR="00FB52E6" w:rsidRPr="00701945" w:rsidRDefault="00FB52E6" w:rsidP="00FB52E6">
      <w:pPr>
        <w:jc w:val="both"/>
      </w:pPr>
    </w:p>
    <w:p w:rsidR="00FB52E6" w:rsidRDefault="00FB52E6" w:rsidP="00FB52E6">
      <w:pPr>
        <w:jc w:val="both"/>
        <w:rPr>
          <w:b/>
          <w:u w:val="single"/>
        </w:rPr>
      </w:pPr>
      <w:r w:rsidRPr="00431CC2">
        <w:rPr>
          <w:b/>
        </w:rPr>
        <w:t>X.</w:t>
      </w:r>
      <w:r w:rsidRPr="00431CC2">
        <w:rPr>
          <w:b/>
        </w:rPr>
        <w:tab/>
      </w:r>
      <w:r w:rsidRPr="00431CC2">
        <w:rPr>
          <w:b/>
          <w:u w:val="single"/>
        </w:rPr>
        <w:t>PROPOSED STIPULATIONS</w:t>
      </w:r>
    </w:p>
    <w:p w:rsidR="009A33BA" w:rsidRPr="00431CC2" w:rsidRDefault="009A33BA" w:rsidP="00FB52E6">
      <w:pPr>
        <w:jc w:val="both"/>
        <w:rPr>
          <w:b/>
        </w:rPr>
      </w:pPr>
    </w:p>
    <w:p w:rsidR="009A33BA" w:rsidRPr="009A33BA" w:rsidRDefault="009A33BA" w:rsidP="009A33BA">
      <w:pPr>
        <w:jc w:val="both"/>
        <w:rPr>
          <w:bCs/>
        </w:rPr>
      </w:pPr>
      <w:r>
        <w:tab/>
        <w:t>There are proposed category 2 stipulations on all issues as shown below.</w:t>
      </w:r>
    </w:p>
    <w:p w:rsidR="009A33BA" w:rsidRDefault="009A33BA" w:rsidP="00C1479F">
      <w:pPr>
        <w:ind w:left="1440" w:hanging="1440"/>
        <w:jc w:val="both"/>
        <w:rPr>
          <w:b/>
          <w:bCs/>
          <w:u w:val="single"/>
        </w:rPr>
      </w:pPr>
    </w:p>
    <w:p w:rsidR="00C1479F" w:rsidRPr="00701945" w:rsidRDefault="00C1479F" w:rsidP="00C1479F">
      <w:pPr>
        <w:ind w:left="1440" w:hanging="1440"/>
        <w:jc w:val="both"/>
      </w:pPr>
      <w:r w:rsidRPr="00701945">
        <w:rPr>
          <w:b/>
          <w:bCs/>
          <w:u w:val="single"/>
        </w:rPr>
        <w:t>ISSUE 1</w:t>
      </w:r>
      <w:r w:rsidRPr="00701945">
        <w:rPr>
          <w:b/>
          <w:bCs/>
        </w:rPr>
        <w:t>:</w:t>
      </w:r>
      <w:r w:rsidRPr="00701945">
        <w:tab/>
      </w:r>
      <w:r w:rsidRPr="0014074C">
        <w:rPr>
          <w:b/>
        </w:rPr>
        <w:t>Should the Commission find that during 2015, DEF’s project management, contracting, accounting and cost oversight controls were reasonable and prudent for the Levy Units 1 &amp; 2 project?</w:t>
      </w:r>
    </w:p>
    <w:p w:rsidR="00C1479F" w:rsidRPr="00701945" w:rsidRDefault="00C1479F" w:rsidP="00C1479F">
      <w:pPr>
        <w:jc w:val="both"/>
      </w:pPr>
    </w:p>
    <w:p w:rsidR="002640F9" w:rsidRDefault="002640F9" w:rsidP="00C1479F">
      <w:pPr>
        <w:jc w:val="both"/>
        <w:rPr>
          <w:b/>
          <w:bCs/>
          <w:u w:val="single"/>
        </w:rPr>
      </w:pPr>
    </w:p>
    <w:p w:rsidR="00C1479F" w:rsidRPr="00701945" w:rsidRDefault="009A33BA" w:rsidP="00C1479F">
      <w:pPr>
        <w:jc w:val="both"/>
      </w:pPr>
      <w:r>
        <w:rPr>
          <w:b/>
          <w:bCs/>
          <w:u w:val="single"/>
        </w:rPr>
        <w:lastRenderedPageBreak/>
        <w:t xml:space="preserve">PROPOSED </w:t>
      </w:r>
      <w:r w:rsidR="00C1479F">
        <w:rPr>
          <w:b/>
          <w:bCs/>
          <w:u w:val="single"/>
        </w:rPr>
        <w:t>STIPULATION</w:t>
      </w:r>
    </w:p>
    <w:p w:rsidR="00C1479F" w:rsidRPr="00701945" w:rsidRDefault="00C1479F" w:rsidP="00C1479F">
      <w:pPr>
        <w:jc w:val="both"/>
      </w:pPr>
    </w:p>
    <w:p w:rsidR="00C1479F" w:rsidRPr="00D579AE" w:rsidRDefault="00C1479F" w:rsidP="00C1479F">
      <w:pPr>
        <w:spacing w:after="240"/>
        <w:ind w:left="1440" w:hanging="1440"/>
        <w:jc w:val="both"/>
      </w:pPr>
      <w:r>
        <w:rPr>
          <w:b/>
          <w:bCs/>
        </w:rPr>
        <w:tab/>
      </w:r>
      <w:r w:rsidRPr="001E1627">
        <w:rPr>
          <w:bCs/>
        </w:rPr>
        <w:t>Yes, for the year 2015, DEF’s project management, contracting, accounting and cost oversight controls were reasonable and prudent for the Levy Units 1 &amp; 2 project (LNP) as discussed in Mr. Fallon’s March 1, 2016 direct testimony and in Mr. Foster’s March 1, 2016 direc</w:t>
      </w:r>
      <w:r>
        <w:rPr>
          <w:bCs/>
        </w:rPr>
        <w:t>t testimony.</w:t>
      </w:r>
    </w:p>
    <w:p w:rsidR="00C1479F" w:rsidRPr="005E4987" w:rsidRDefault="00C1479F" w:rsidP="00C1479F">
      <w:pPr>
        <w:ind w:left="1440" w:hanging="1440"/>
        <w:jc w:val="both"/>
      </w:pPr>
      <w:r w:rsidRPr="00701945">
        <w:rPr>
          <w:b/>
          <w:bCs/>
          <w:u w:val="single"/>
        </w:rPr>
        <w:t xml:space="preserve">ISSUE </w:t>
      </w:r>
      <w:r>
        <w:rPr>
          <w:b/>
          <w:bCs/>
          <w:u w:val="single"/>
        </w:rPr>
        <w:t>2</w:t>
      </w:r>
      <w:r w:rsidRPr="00701945">
        <w:rPr>
          <w:b/>
          <w:bCs/>
        </w:rPr>
        <w:t>:</w:t>
      </w:r>
      <w:r w:rsidRPr="00701945">
        <w:tab/>
      </w:r>
      <w:r w:rsidRPr="0014074C">
        <w:rPr>
          <w:b/>
        </w:rPr>
        <w:t>Should the Commission find that during 2015, DEF’s project management, contracting, accounting and cost oversight controls were reasonable and prudent for the Crystal River Unit 3 Uprate project?</w:t>
      </w:r>
    </w:p>
    <w:p w:rsidR="00C1479F" w:rsidRPr="00701945" w:rsidRDefault="00C1479F" w:rsidP="00C1479F">
      <w:pPr>
        <w:jc w:val="both"/>
      </w:pPr>
    </w:p>
    <w:p w:rsidR="00C1479F" w:rsidRPr="00701945" w:rsidRDefault="009A33BA" w:rsidP="00C1479F">
      <w:pPr>
        <w:jc w:val="both"/>
      </w:pPr>
      <w:r>
        <w:rPr>
          <w:b/>
          <w:bCs/>
          <w:u w:val="single"/>
        </w:rPr>
        <w:t xml:space="preserve">PROPOSED </w:t>
      </w:r>
      <w:r w:rsidR="00C1479F">
        <w:rPr>
          <w:b/>
          <w:bCs/>
          <w:u w:val="single"/>
        </w:rPr>
        <w:t>STIPULATION</w:t>
      </w:r>
    </w:p>
    <w:p w:rsidR="00C1479F" w:rsidRPr="00701945" w:rsidRDefault="00C1479F" w:rsidP="00C1479F">
      <w:pPr>
        <w:jc w:val="both"/>
      </w:pPr>
    </w:p>
    <w:p w:rsidR="00C1479F" w:rsidRPr="00D579AE" w:rsidRDefault="00C1479F" w:rsidP="00C1479F">
      <w:pPr>
        <w:spacing w:after="240"/>
        <w:ind w:left="1440" w:hanging="1440"/>
        <w:jc w:val="both"/>
      </w:pPr>
      <w:r>
        <w:rPr>
          <w:b/>
          <w:bCs/>
        </w:rPr>
        <w:tab/>
      </w:r>
      <w:r w:rsidRPr="001E1627">
        <w:rPr>
          <w:bCs/>
        </w:rPr>
        <w:t>Yes, for 2015, DEF’s project management, contracting, accounting and cost oversight controls were reasonable and prudent for the Crystal River Unit 3 Uprate project (EPU) and close out of the EPU project as discussed in Mr. Teague’s March 1, 2016 direct testimony and in Mr. Foster’s March 1, 2016 dir</w:t>
      </w:r>
      <w:r>
        <w:rPr>
          <w:bCs/>
        </w:rPr>
        <w:t>ect testimony.</w:t>
      </w:r>
    </w:p>
    <w:p w:rsidR="00C1479F" w:rsidRPr="00701945" w:rsidRDefault="00C1479F" w:rsidP="00C1479F">
      <w:pPr>
        <w:ind w:left="1440" w:hanging="1440"/>
        <w:jc w:val="both"/>
      </w:pPr>
      <w:r w:rsidRPr="00701945">
        <w:rPr>
          <w:b/>
          <w:bCs/>
          <w:u w:val="single"/>
        </w:rPr>
        <w:t xml:space="preserve">ISSUE </w:t>
      </w:r>
      <w:r>
        <w:rPr>
          <w:b/>
          <w:bCs/>
          <w:u w:val="single"/>
        </w:rPr>
        <w:t>3</w:t>
      </w:r>
      <w:r w:rsidRPr="00701945">
        <w:rPr>
          <w:b/>
          <w:bCs/>
        </w:rPr>
        <w:t>:</w:t>
      </w:r>
      <w:r w:rsidRPr="00701945">
        <w:tab/>
      </w:r>
      <w:r w:rsidRPr="0014074C">
        <w:rPr>
          <w:b/>
        </w:rPr>
        <w:t>What jurisdictional amounts should the Commission approve as DEF’s actual 2015 prudently incurred costs for the Crystal River Unit 3 Uprate project?</w:t>
      </w:r>
    </w:p>
    <w:p w:rsidR="00C1479F" w:rsidRPr="00701945" w:rsidRDefault="00C1479F" w:rsidP="00C1479F">
      <w:pPr>
        <w:jc w:val="both"/>
      </w:pPr>
    </w:p>
    <w:p w:rsidR="00C1479F" w:rsidRPr="00701945" w:rsidRDefault="009A33BA" w:rsidP="00C1479F">
      <w:pPr>
        <w:jc w:val="both"/>
      </w:pPr>
      <w:r>
        <w:rPr>
          <w:b/>
          <w:bCs/>
          <w:u w:val="single"/>
        </w:rPr>
        <w:t xml:space="preserve">PROPOSED </w:t>
      </w:r>
      <w:r w:rsidR="00C1479F">
        <w:rPr>
          <w:b/>
          <w:bCs/>
          <w:u w:val="single"/>
        </w:rPr>
        <w:t>STIPULATION</w:t>
      </w:r>
    </w:p>
    <w:p w:rsidR="00C1479F" w:rsidRPr="00701945" w:rsidRDefault="00C1479F" w:rsidP="00C1479F">
      <w:pPr>
        <w:jc w:val="both"/>
      </w:pPr>
    </w:p>
    <w:p w:rsidR="00C1479F" w:rsidRPr="003C5B2D" w:rsidRDefault="00C1479F" w:rsidP="00D906B8">
      <w:pPr>
        <w:spacing w:after="120"/>
        <w:ind w:left="1440" w:hanging="1440"/>
        <w:jc w:val="both"/>
        <w:rPr>
          <w:bCs/>
        </w:rPr>
      </w:pPr>
      <w:r>
        <w:rPr>
          <w:b/>
          <w:bCs/>
        </w:rPr>
        <w:tab/>
      </w:r>
      <w:r w:rsidRPr="003C5B2D">
        <w:rPr>
          <w:bCs/>
        </w:rPr>
        <w:t>Wind-Down &amp; Exit Costs (Jurisdictional, net of joint owners)·· ($1,402,248)</w:t>
      </w:r>
    </w:p>
    <w:p w:rsidR="00C1479F" w:rsidRPr="003C5B2D" w:rsidRDefault="00C1479F" w:rsidP="00D906B8">
      <w:pPr>
        <w:spacing w:after="120"/>
        <w:ind w:left="1440"/>
        <w:jc w:val="both"/>
        <w:rPr>
          <w:bCs/>
        </w:rPr>
      </w:pPr>
      <w:r w:rsidRPr="003C5B2D">
        <w:rPr>
          <w:bCs/>
        </w:rPr>
        <w:t>Carrying Costs-- $18,759,015</w:t>
      </w:r>
    </w:p>
    <w:p w:rsidR="00C1479F" w:rsidRPr="003C5B2D" w:rsidRDefault="00C1479F" w:rsidP="00D906B8">
      <w:pPr>
        <w:spacing w:after="120"/>
        <w:ind w:left="1440"/>
        <w:jc w:val="both"/>
        <w:rPr>
          <w:bCs/>
        </w:rPr>
      </w:pPr>
      <w:r w:rsidRPr="003C5B2D">
        <w:rPr>
          <w:bCs/>
        </w:rPr>
        <w:t>The over-recovery of $2,535,876 should be included in setting the allowed 2017 NCRC recovery.</w:t>
      </w:r>
      <w:r>
        <w:rPr>
          <w:bCs/>
        </w:rPr>
        <w:t xml:space="preserve">  </w:t>
      </w:r>
      <w:r w:rsidRPr="003C5B2D">
        <w:rPr>
          <w:bCs/>
        </w:rPr>
        <w:t>The 2015 variance is the sum of over-projection of period-recoverable exit/wind-down costs of $1,745,699 plus an over-projection of carrying costs of $790,177.</w:t>
      </w:r>
    </w:p>
    <w:p w:rsidR="00C1479F" w:rsidRDefault="00C1479F" w:rsidP="00C1479F">
      <w:pPr>
        <w:jc w:val="both"/>
      </w:pPr>
    </w:p>
    <w:p w:rsidR="00C1479F" w:rsidRDefault="00C1479F" w:rsidP="00C1479F">
      <w:pPr>
        <w:ind w:left="1440" w:hanging="1440"/>
        <w:jc w:val="both"/>
        <w:rPr>
          <w:b/>
        </w:rPr>
      </w:pPr>
      <w:r w:rsidRPr="00701945">
        <w:rPr>
          <w:b/>
          <w:bCs/>
          <w:u w:val="single"/>
        </w:rPr>
        <w:t xml:space="preserve">ISSUE </w:t>
      </w:r>
      <w:r>
        <w:rPr>
          <w:b/>
          <w:bCs/>
          <w:u w:val="single"/>
        </w:rPr>
        <w:t>4</w:t>
      </w:r>
      <w:r w:rsidRPr="00701945">
        <w:rPr>
          <w:b/>
          <w:bCs/>
        </w:rPr>
        <w:t>:</w:t>
      </w:r>
      <w:r w:rsidRPr="00701945">
        <w:tab/>
      </w:r>
      <w:r w:rsidRPr="0014074C">
        <w:rPr>
          <w:b/>
        </w:rPr>
        <w:t>What jurisdictional amounts should the Commission approve as reasonably estimated 2016 exit and wind down costs and carrying costs for the Crystal River Unit 3 Uprate Project?</w:t>
      </w:r>
    </w:p>
    <w:p w:rsidR="00C1479F" w:rsidRPr="00701945" w:rsidRDefault="00C1479F" w:rsidP="00C1479F">
      <w:pPr>
        <w:ind w:left="1440" w:hanging="1440"/>
        <w:jc w:val="both"/>
      </w:pPr>
    </w:p>
    <w:p w:rsidR="00C1479F" w:rsidRPr="00701945" w:rsidRDefault="009A33BA" w:rsidP="00C1479F">
      <w:pPr>
        <w:jc w:val="both"/>
      </w:pPr>
      <w:r>
        <w:rPr>
          <w:b/>
          <w:bCs/>
          <w:u w:val="single"/>
        </w:rPr>
        <w:t xml:space="preserve">PROPOSED </w:t>
      </w:r>
      <w:r w:rsidR="00C1479F">
        <w:rPr>
          <w:b/>
          <w:bCs/>
          <w:u w:val="single"/>
        </w:rPr>
        <w:t>STIPULATION</w:t>
      </w:r>
    </w:p>
    <w:p w:rsidR="00C1479F" w:rsidRPr="00701945" w:rsidRDefault="00C1479F" w:rsidP="00C1479F">
      <w:pPr>
        <w:jc w:val="both"/>
      </w:pPr>
    </w:p>
    <w:p w:rsidR="00C1479F" w:rsidRPr="003C5B2D" w:rsidRDefault="00C1479F" w:rsidP="00D906B8">
      <w:pPr>
        <w:spacing w:after="120"/>
        <w:ind w:left="1440" w:hanging="1440"/>
        <w:jc w:val="both"/>
        <w:rPr>
          <w:bCs/>
        </w:rPr>
      </w:pPr>
      <w:r>
        <w:rPr>
          <w:b/>
          <w:bCs/>
        </w:rPr>
        <w:tab/>
      </w:r>
      <w:r w:rsidRPr="003C5B2D">
        <w:rPr>
          <w:bCs/>
        </w:rPr>
        <w:t>Wind-Down &amp; Exit Costs (Jurisdictional, net of joint owners) -- $52,808</w:t>
      </w:r>
    </w:p>
    <w:p w:rsidR="00C1479F" w:rsidRPr="003C5B2D" w:rsidRDefault="00C1479F" w:rsidP="00D906B8">
      <w:pPr>
        <w:spacing w:after="120"/>
        <w:ind w:left="1440"/>
        <w:jc w:val="both"/>
        <w:rPr>
          <w:bCs/>
        </w:rPr>
      </w:pPr>
      <w:r w:rsidRPr="003C5B2D">
        <w:rPr>
          <w:bCs/>
        </w:rPr>
        <w:t>Carrying Costs -- $14,219,463</w:t>
      </w:r>
    </w:p>
    <w:p w:rsidR="00C1479F" w:rsidRPr="001C6D07" w:rsidRDefault="00C1479F" w:rsidP="00D906B8">
      <w:pPr>
        <w:spacing w:after="120"/>
        <w:ind w:left="1440"/>
        <w:jc w:val="both"/>
        <w:rPr>
          <w:bCs/>
        </w:rPr>
      </w:pPr>
      <w:r w:rsidRPr="003C5B2D">
        <w:rPr>
          <w:bCs/>
        </w:rPr>
        <w:t>The over-recovery of $592,043 should be included in setting the allowed 2017 NCRC recovery.</w:t>
      </w:r>
      <w:r>
        <w:rPr>
          <w:bCs/>
        </w:rPr>
        <w:t xml:space="preserve">  </w:t>
      </w:r>
      <w:r w:rsidRPr="003C5B2D">
        <w:rPr>
          <w:bCs/>
        </w:rPr>
        <w:t>The 2016 variance is the sum of over-projection exit/wind-down costs of $20,955 plus an over-projection of carrying costs of $571,088.</w:t>
      </w:r>
    </w:p>
    <w:p w:rsidR="00C1479F" w:rsidRDefault="00C1479F" w:rsidP="00C1479F">
      <w:pPr>
        <w:jc w:val="both"/>
      </w:pPr>
    </w:p>
    <w:p w:rsidR="00C1479F" w:rsidRPr="0014074C" w:rsidRDefault="00C1479F" w:rsidP="00C1479F">
      <w:pPr>
        <w:ind w:left="1440" w:hanging="1440"/>
        <w:jc w:val="both"/>
        <w:rPr>
          <w:b/>
        </w:rPr>
      </w:pPr>
      <w:r w:rsidRPr="00701945">
        <w:rPr>
          <w:b/>
          <w:bCs/>
          <w:u w:val="single"/>
        </w:rPr>
        <w:t xml:space="preserve">ISSUE </w:t>
      </w:r>
      <w:r>
        <w:rPr>
          <w:b/>
          <w:bCs/>
          <w:u w:val="single"/>
        </w:rPr>
        <w:t>5</w:t>
      </w:r>
      <w:r w:rsidRPr="00701945">
        <w:rPr>
          <w:b/>
          <w:bCs/>
        </w:rPr>
        <w:t>:</w:t>
      </w:r>
      <w:r w:rsidRPr="00701945">
        <w:tab/>
      </w:r>
      <w:r w:rsidRPr="0014074C">
        <w:rPr>
          <w:b/>
        </w:rPr>
        <w:t>What jurisdictional amounts should the Commission approve as reasonably projected 2017 exit and wind down costs and carrying costs for the Crystal River Unit 3 Uprate Project?</w:t>
      </w:r>
    </w:p>
    <w:p w:rsidR="00C1479F" w:rsidRPr="00701945" w:rsidRDefault="00C1479F" w:rsidP="00C1479F">
      <w:pPr>
        <w:jc w:val="both"/>
      </w:pPr>
    </w:p>
    <w:p w:rsidR="00C1479F" w:rsidRPr="00701945" w:rsidRDefault="009A33BA" w:rsidP="00C1479F">
      <w:pPr>
        <w:jc w:val="both"/>
      </w:pPr>
      <w:r>
        <w:rPr>
          <w:b/>
          <w:bCs/>
          <w:u w:val="single"/>
        </w:rPr>
        <w:t xml:space="preserve">PROPOSED </w:t>
      </w:r>
      <w:r w:rsidR="00C1479F">
        <w:rPr>
          <w:b/>
          <w:bCs/>
          <w:u w:val="single"/>
        </w:rPr>
        <w:t>STIPULATION</w:t>
      </w:r>
    </w:p>
    <w:p w:rsidR="00C1479F" w:rsidRPr="00701945" w:rsidRDefault="00C1479F" w:rsidP="00C1479F">
      <w:pPr>
        <w:jc w:val="both"/>
      </w:pPr>
    </w:p>
    <w:p w:rsidR="00C1479F" w:rsidRPr="003C5B2D" w:rsidRDefault="00C1479F" w:rsidP="00D906B8">
      <w:pPr>
        <w:spacing w:after="120"/>
        <w:ind w:left="1440" w:hanging="1440"/>
        <w:jc w:val="both"/>
        <w:rPr>
          <w:bCs/>
        </w:rPr>
      </w:pPr>
      <w:r>
        <w:rPr>
          <w:b/>
          <w:bCs/>
        </w:rPr>
        <w:tab/>
      </w:r>
      <w:r w:rsidRPr="003C5B2D">
        <w:rPr>
          <w:bCs/>
        </w:rPr>
        <w:t>Wind-Down &amp; Exit Costs (Jurisdictional, net of joint owners)-- $54,708</w:t>
      </w:r>
    </w:p>
    <w:p w:rsidR="00C1479F" w:rsidRPr="003C5B2D" w:rsidRDefault="00C1479F" w:rsidP="00D906B8">
      <w:pPr>
        <w:spacing w:after="120"/>
        <w:ind w:left="1440"/>
        <w:jc w:val="both"/>
        <w:rPr>
          <w:bCs/>
        </w:rPr>
      </w:pPr>
      <w:r w:rsidRPr="003C5B2D">
        <w:rPr>
          <w:bCs/>
        </w:rPr>
        <w:t>Carrying Costs-- $10,234,917</w:t>
      </w:r>
    </w:p>
    <w:p w:rsidR="00C1479F" w:rsidRPr="003C5B2D" w:rsidRDefault="00C1479F" w:rsidP="00D906B8">
      <w:pPr>
        <w:spacing w:after="120"/>
        <w:ind w:left="1440"/>
        <w:jc w:val="both"/>
        <w:rPr>
          <w:bCs/>
        </w:rPr>
      </w:pPr>
      <w:r w:rsidRPr="003C5B2D">
        <w:rPr>
          <w:bCs/>
        </w:rPr>
        <w:t>Amortization of 2013 Regulatory Asset -- $43,681,007</w:t>
      </w:r>
    </w:p>
    <w:p w:rsidR="00C1479F" w:rsidRPr="00CF3959" w:rsidRDefault="00C1479F" w:rsidP="00CF3959">
      <w:pPr>
        <w:ind w:left="1440" w:hanging="1440"/>
        <w:rPr>
          <w:b/>
          <w:bCs/>
          <w:u w:val="single"/>
        </w:rPr>
      </w:pPr>
      <w:r w:rsidRPr="00701945">
        <w:rPr>
          <w:b/>
          <w:bCs/>
          <w:u w:val="single"/>
        </w:rPr>
        <w:t xml:space="preserve">ISSUE </w:t>
      </w:r>
      <w:r>
        <w:rPr>
          <w:b/>
          <w:bCs/>
          <w:u w:val="single"/>
        </w:rPr>
        <w:t>6</w:t>
      </w:r>
      <w:r w:rsidRPr="00701945">
        <w:rPr>
          <w:b/>
          <w:bCs/>
        </w:rPr>
        <w:t>:</w:t>
      </w:r>
      <w:r w:rsidRPr="00701945">
        <w:tab/>
      </w:r>
      <w:r w:rsidRPr="0014074C">
        <w:rPr>
          <w:b/>
        </w:rPr>
        <w:t>What is the total jurisdictional amount to be included in establishing DEF’s 2017 Capacity Cost Recovery Clause Factor?</w:t>
      </w:r>
    </w:p>
    <w:p w:rsidR="00C1479F" w:rsidRPr="00701945" w:rsidRDefault="00C1479F" w:rsidP="00C1479F">
      <w:pPr>
        <w:jc w:val="both"/>
      </w:pPr>
    </w:p>
    <w:p w:rsidR="00C1479F" w:rsidRPr="00701945" w:rsidRDefault="009A33BA" w:rsidP="00C1479F">
      <w:pPr>
        <w:jc w:val="both"/>
      </w:pPr>
      <w:r>
        <w:rPr>
          <w:b/>
          <w:bCs/>
          <w:u w:val="single"/>
        </w:rPr>
        <w:t xml:space="preserve">PROPOSED </w:t>
      </w:r>
      <w:r w:rsidR="00C1479F">
        <w:rPr>
          <w:b/>
          <w:bCs/>
          <w:u w:val="single"/>
        </w:rPr>
        <w:t>STIPULATION</w:t>
      </w:r>
    </w:p>
    <w:p w:rsidR="00C1479F" w:rsidRPr="00701945" w:rsidRDefault="00C1479F" w:rsidP="00C1479F">
      <w:pPr>
        <w:jc w:val="both"/>
      </w:pPr>
    </w:p>
    <w:p w:rsidR="00C1479F" w:rsidRPr="001E1627" w:rsidRDefault="00C1479F" w:rsidP="00C1479F">
      <w:pPr>
        <w:spacing w:after="240"/>
        <w:ind w:left="1440" w:hanging="1440"/>
        <w:jc w:val="both"/>
        <w:rPr>
          <w:bCs/>
        </w:rPr>
      </w:pPr>
      <w:r>
        <w:rPr>
          <w:b/>
          <w:bCs/>
        </w:rPr>
        <w:tab/>
      </w:r>
      <w:r w:rsidRPr="001E1627">
        <w:rPr>
          <w:bCs/>
        </w:rPr>
        <w:t>Per the 2015 Stipulation for Levy Issues, the total jurisdictional amount to be included in establishing DEF's 2017 Capacity Cost Recovery Clause factor should be $51,737,557, relating only to the CR3 EPU project.</w:t>
      </w:r>
    </w:p>
    <w:p w:rsidR="00FB52E6" w:rsidRPr="00431CC2" w:rsidRDefault="00FB52E6" w:rsidP="00FB52E6">
      <w:pPr>
        <w:jc w:val="both"/>
        <w:rPr>
          <w:b/>
        </w:rPr>
      </w:pPr>
      <w:r w:rsidRPr="00431CC2">
        <w:rPr>
          <w:b/>
        </w:rPr>
        <w:t>XI.</w:t>
      </w:r>
      <w:r w:rsidRPr="00431CC2">
        <w:rPr>
          <w:b/>
        </w:rPr>
        <w:tab/>
      </w:r>
      <w:r w:rsidRPr="00431CC2">
        <w:rPr>
          <w:b/>
          <w:u w:val="single"/>
        </w:rPr>
        <w:t>PENDING MOTIONS</w:t>
      </w:r>
    </w:p>
    <w:p w:rsidR="00FB52E6" w:rsidRDefault="00FB52E6" w:rsidP="00FB52E6">
      <w:pPr>
        <w:jc w:val="both"/>
      </w:pPr>
    </w:p>
    <w:p w:rsidR="00D833C8" w:rsidRDefault="00F30719" w:rsidP="00FB52E6">
      <w:pPr>
        <w:jc w:val="both"/>
      </w:pPr>
      <w:r>
        <w:tab/>
        <w:t>There are no pending motions at this time.</w:t>
      </w:r>
      <w:r>
        <w:tab/>
      </w:r>
    </w:p>
    <w:p w:rsidR="00F30719" w:rsidRPr="00701945" w:rsidRDefault="00F30719" w:rsidP="00FB52E6">
      <w:pPr>
        <w:jc w:val="both"/>
      </w:pPr>
    </w:p>
    <w:p w:rsidR="00FB52E6" w:rsidRPr="00431CC2" w:rsidRDefault="00FB52E6" w:rsidP="00FB52E6">
      <w:pPr>
        <w:jc w:val="both"/>
        <w:rPr>
          <w:b/>
        </w:rPr>
      </w:pPr>
      <w:r w:rsidRPr="00431CC2">
        <w:rPr>
          <w:b/>
        </w:rPr>
        <w:t>XII.</w:t>
      </w:r>
      <w:r w:rsidRPr="00431CC2">
        <w:rPr>
          <w:b/>
        </w:rPr>
        <w:tab/>
      </w:r>
      <w:r w:rsidRPr="00431CC2">
        <w:rPr>
          <w:b/>
          <w:u w:val="single"/>
        </w:rPr>
        <w:t>PENDING CONFIDENTIALITY MATTERS</w:t>
      </w:r>
    </w:p>
    <w:p w:rsidR="00DE7C42" w:rsidRDefault="00DE7C42" w:rsidP="00FB52E6">
      <w:pPr>
        <w:jc w:val="both"/>
        <w:rPr>
          <w:b/>
          <w:u w:val="single"/>
        </w:rPr>
      </w:pPr>
    </w:p>
    <w:p w:rsidR="00FB52E6" w:rsidRDefault="00826D53" w:rsidP="00FB52E6">
      <w:pPr>
        <w:jc w:val="both"/>
        <w:rPr>
          <w:b/>
          <w:u w:val="single"/>
        </w:rPr>
      </w:pPr>
      <w:r w:rsidRPr="00826D53">
        <w:rPr>
          <w:b/>
          <w:u w:val="single"/>
        </w:rPr>
        <w:t>DEF</w:t>
      </w:r>
      <w:r w:rsidRPr="00D906B8">
        <w:rPr>
          <w:b/>
        </w:rPr>
        <w:t>:</w:t>
      </w:r>
    </w:p>
    <w:p w:rsidR="00826D53" w:rsidRDefault="00826D53" w:rsidP="00FB52E6">
      <w:pPr>
        <w:jc w:val="both"/>
        <w:rPr>
          <w:b/>
          <w:u w:val="single"/>
        </w:rPr>
      </w:pPr>
    </w:p>
    <w:tbl>
      <w:tblPr>
        <w:tblStyle w:val="TableGrid"/>
        <w:tblW w:w="0" w:type="auto"/>
        <w:tblInd w:w="108" w:type="dxa"/>
        <w:tblLook w:val="04A0" w:firstRow="1" w:lastRow="0" w:firstColumn="1" w:lastColumn="0" w:noHBand="0" w:noVBand="1"/>
      </w:tblPr>
      <w:tblGrid>
        <w:gridCol w:w="1270"/>
        <w:gridCol w:w="6835"/>
        <w:gridCol w:w="1363"/>
      </w:tblGrid>
      <w:tr w:rsidR="00826D53" w:rsidTr="00F9005D">
        <w:trPr>
          <w:tblHeader/>
        </w:trPr>
        <w:tc>
          <w:tcPr>
            <w:tcW w:w="1170" w:type="dxa"/>
            <w:vAlign w:val="center"/>
          </w:tcPr>
          <w:p w:rsidR="00826D53" w:rsidRDefault="00826D53" w:rsidP="00081FF1">
            <w:pPr>
              <w:tabs>
                <w:tab w:val="left" w:pos="720"/>
                <w:tab w:val="left" w:pos="1425"/>
              </w:tabs>
              <w:jc w:val="center"/>
              <w:rPr>
                <w:rFonts w:cs="Tahoma"/>
                <w:b/>
              </w:rPr>
            </w:pPr>
            <w:r>
              <w:rPr>
                <w:rFonts w:cs="Tahoma"/>
                <w:b/>
              </w:rPr>
              <w:t>Document</w:t>
            </w:r>
          </w:p>
          <w:p w:rsidR="00826D53" w:rsidRDefault="00826D53" w:rsidP="00081FF1">
            <w:pPr>
              <w:tabs>
                <w:tab w:val="left" w:pos="720"/>
                <w:tab w:val="left" w:pos="1425"/>
              </w:tabs>
              <w:jc w:val="center"/>
              <w:rPr>
                <w:rFonts w:cs="Tahoma"/>
                <w:b/>
              </w:rPr>
            </w:pPr>
            <w:r>
              <w:rPr>
                <w:rFonts w:cs="Tahoma"/>
                <w:b/>
              </w:rPr>
              <w:t>No.</w:t>
            </w:r>
          </w:p>
        </w:tc>
        <w:tc>
          <w:tcPr>
            <w:tcW w:w="6930" w:type="dxa"/>
            <w:vAlign w:val="center"/>
          </w:tcPr>
          <w:p w:rsidR="00826D53" w:rsidRDefault="00826D53" w:rsidP="00081FF1">
            <w:pPr>
              <w:tabs>
                <w:tab w:val="left" w:pos="720"/>
                <w:tab w:val="left" w:pos="1425"/>
              </w:tabs>
              <w:jc w:val="center"/>
              <w:rPr>
                <w:rFonts w:cs="Tahoma"/>
                <w:b/>
              </w:rPr>
            </w:pPr>
            <w:r>
              <w:rPr>
                <w:rFonts w:cs="Tahoma"/>
                <w:b/>
              </w:rPr>
              <w:t>Request</w:t>
            </w:r>
          </w:p>
        </w:tc>
        <w:tc>
          <w:tcPr>
            <w:tcW w:w="1368" w:type="dxa"/>
            <w:vAlign w:val="center"/>
          </w:tcPr>
          <w:p w:rsidR="00826D53" w:rsidRDefault="00826D53" w:rsidP="00081FF1">
            <w:pPr>
              <w:tabs>
                <w:tab w:val="left" w:pos="720"/>
                <w:tab w:val="left" w:pos="1425"/>
              </w:tabs>
              <w:jc w:val="center"/>
              <w:rPr>
                <w:rFonts w:cs="Tahoma"/>
                <w:b/>
              </w:rPr>
            </w:pPr>
            <w:r>
              <w:rPr>
                <w:rFonts w:cs="Tahoma"/>
                <w:b/>
              </w:rPr>
              <w:t>Date</w:t>
            </w:r>
          </w:p>
          <w:p w:rsidR="00826D53" w:rsidRDefault="00826D53" w:rsidP="00081FF1">
            <w:pPr>
              <w:tabs>
                <w:tab w:val="left" w:pos="720"/>
                <w:tab w:val="left" w:pos="1425"/>
              </w:tabs>
              <w:jc w:val="center"/>
              <w:rPr>
                <w:rFonts w:cs="Tahoma"/>
                <w:b/>
              </w:rPr>
            </w:pPr>
            <w:r>
              <w:rPr>
                <w:rFonts w:cs="Tahoma"/>
                <w:b/>
              </w:rPr>
              <w:t>Filed</w:t>
            </w:r>
          </w:p>
        </w:tc>
      </w:tr>
      <w:tr w:rsidR="006148AA" w:rsidTr="001834D5">
        <w:tc>
          <w:tcPr>
            <w:tcW w:w="1170" w:type="dxa"/>
          </w:tcPr>
          <w:p w:rsidR="006148AA" w:rsidRPr="00697B2A" w:rsidRDefault="006148AA" w:rsidP="001834D5">
            <w:pPr>
              <w:tabs>
                <w:tab w:val="left" w:pos="720"/>
                <w:tab w:val="left" w:pos="1425"/>
              </w:tabs>
              <w:jc w:val="both"/>
              <w:rPr>
                <w:rFonts w:cs="Tahoma"/>
              </w:rPr>
            </w:pPr>
            <w:r>
              <w:rPr>
                <w:rFonts w:cs="Tahoma"/>
              </w:rPr>
              <w:t>00120-16</w:t>
            </w:r>
          </w:p>
        </w:tc>
        <w:tc>
          <w:tcPr>
            <w:tcW w:w="6930" w:type="dxa"/>
          </w:tcPr>
          <w:p w:rsidR="006148AA" w:rsidRDefault="006148AA" w:rsidP="001834D5">
            <w:pPr>
              <w:tabs>
                <w:tab w:val="left" w:pos="720"/>
                <w:tab w:val="left" w:pos="1425"/>
              </w:tabs>
              <w:jc w:val="both"/>
              <w:rPr>
                <w:rFonts w:cs="Tahoma"/>
              </w:rPr>
            </w:pPr>
            <w:r w:rsidRPr="006148AA">
              <w:rPr>
                <w:rFonts w:cs="Tahoma"/>
              </w:rPr>
              <w:t>Request for extension of confidential classification [concerning portions of Exh CH-1 to staff's direct testimony of William Coston and Jerry Hallenstein (Audit Control No. PA-13-01-001)</w:t>
            </w:r>
          </w:p>
        </w:tc>
        <w:tc>
          <w:tcPr>
            <w:tcW w:w="1368" w:type="dxa"/>
          </w:tcPr>
          <w:p w:rsidR="006148AA" w:rsidRPr="00697B2A" w:rsidRDefault="006148AA" w:rsidP="001834D5">
            <w:pPr>
              <w:tabs>
                <w:tab w:val="left" w:pos="720"/>
                <w:tab w:val="left" w:pos="1425"/>
              </w:tabs>
              <w:jc w:val="both"/>
              <w:rPr>
                <w:rFonts w:cs="Tahoma"/>
              </w:rPr>
            </w:pPr>
            <w:r>
              <w:rPr>
                <w:rFonts w:cs="Tahoma"/>
              </w:rPr>
              <w:t>1/07/16</w:t>
            </w:r>
          </w:p>
        </w:tc>
      </w:tr>
      <w:tr w:rsidR="00826D53" w:rsidTr="001834D5">
        <w:tc>
          <w:tcPr>
            <w:tcW w:w="1170" w:type="dxa"/>
          </w:tcPr>
          <w:p w:rsidR="00826D53" w:rsidRPr="00697B2A" w:rsidRDefault="00826D53" w:rsidP="001834D5">
            <w:pPr>
              <w:tabs>
                <w:tab w:val="left" w:pos="720"/>
                <w:tab w:val="left" w:pos="1425"/>
              </w:tabs>
              <w:jc w:val="both"/>
              <w:rPr>
                <w:rFonts w:cs="Tahoma"/>
              </w:rPr>
            </w:pPr>
            <w:r w:rsidRPr="00697B2A">
              <w:rPr>
                <w:rFonts w:cs="Tahoma"/>
              </w:rPr>
              <w:t>01112-16</w:t>
            </w:r>
          </w:p>
        </w:tc>
        <w:tc>
          <w:tcPr>
            <w:tcW w:w="6930" w:type="dxa"/>
          </w:tcPr>
          <w:p w:rsidR="00826D53" w:rsidRPr="00697B2A" w:rsidRDefault="00826D53" w:rsidP="001834D5">
            <w:pPr>
              <w:tabs>
                <w:tab w:val="left" w:pos="720"/>
                <w:tab w:val="left" w:pos="1425"/>
              </w:tabs>
              <w:jc w:val="both"/>
              <w:rPr>
                <w:rFonts w:cs="Tahoma"/>
              </w:rPr>
            </w:pPr>
            <w:r>
              <w:rPr>
                <w:rFonts w:cs="Tahoma"/>
              </w:rPr>
              <w:t>Duke Energy Florida’s First Request for Confidential Classification regarding portions of Direct Testimony and Exhibits of Thomas G. Foster, and Christopher M. Fallon and portions of Exhibit No. (MT-4) appended to the testimony of Mark R. Teague filed March 1, 2016</w:t>
            </w:r>
          </w:p>
        </w:tc>
        <w:tc>
          <w:tcPr>
            <w:tcW w:w="1368" w:type="dxa"/>
          </w:tcPr>
          <w:p w:rsidR="00826D53" w:rsidRPr="00697B2A" w:rsidRDefault="00826D53" w:rsidP="001834D5">
            <w:pPr>
              <w:tabs>
                <w:tab w:val="left" w:pos="720"/>
                <w:tab w:val="left" w:pos="1425"/>
              </w:tabs>
              <w:jc w:val="both"/>
              <w:rPr>
                <w:rFonts w:cs="Tahoma"/>
              </w:rPr>
            </w:pPr>
            <w:r w:rsidRPr="00697B2A">
              <w:rPr>
                <w:rFonts w:cs="Tahoma"/>
              </w:rPr>
              <w:t>3/1/16</w:t>
            </w:r>
          </w:p>
        </w:tc>
      </w:tr>
      <w:tr w:rsidR="006148AA" w:rsidTr="002C3E01">
        <w:trPr>
          <w:cantSplit/>
        </w:trPr>
        <w:tc>
          <w:tcPr>
            <w:tcW w:w="1170" w:type="dxa"/>
          </w:tcPr>
          <w:p w:rsidR="006148AA" w:rsidRPr="00697B2A" w:rsidRDefault="006148AA" w:rsidP="001834D5">
            <w:pPr>
              <w:tabs>
                <w:tab w:val="left" w:pos="720"/>
                <w:tab w:val="left" w:pos="1425"/>
              </w:tabs>
              <w:jc w:val="both"/>
              <w:rPr>
                <w:rFonts w:cs="Tahoma"/>
              </w:rPr>
            </w:pPr>
            <w:r>
              <w:rPr>
                <w:rFonts w:cs="Tahoma"/>
              </w:rPr>
              <w:t>01221-16</w:t>
            </w:r>
          </w:p>
        </w:tc>
        <w:tc>
          <w:tcPr>
            <w:tcW w:w="6930" w:type="dxa"/>
          </w:tcPr>
          <w:p w:rsidR="006148AA" w:rsidRDefault="006148AA" w:rsidP="001834D5">
            <w:pPr>
              <w:tabs>
                <w:tab w:val="left" w:pos="720"/>
                <w:tab w:val="left" w:pos="1425"/>
              </w:tabs>
              <w:jc w:val="both"/>
              <w:rPr>
                <w:rFonts w:cs="Tahoma"/>
              </w:rPr>
            </w:pPr>
            <w:r w:rsidRPr="006148AA">
              <w:rPr>
                <w:rFonts w:cs="Tahoma"/>
              </w:rPr>
              <w:t xml:space="preserve">Duke Energy (Bernier) - </w:t>
            </w:r>
            <w:r w:rsidR="002C3E01" w:rsidRPr="006148AA">
              <w:rPr>
                <w:rFonts w:cs="Tahoma"/>
              </w:rPr>
              <w:t>Amendment</w:t>
            </w:r>
            <w:r w:rsidRPr="006148AA">
              <w:rPr>
                <w:rFonts w:cs="Tahoma"/>
              </w:rPr>
              <w:t xml:space="preserve"> to first request for confidential classification filed on 3/1/16, DN 01112-16, confidential portions of Exh MT-4 with attached Exhs B and C.</w:t>
            </w:r>
          </w:p>
        </w:tc>
        <w:tc>
          <w:tcPr>
            <w:tcW w:w="1368" w:type="dxa"/>
          </w:tcPr>
          <w:p w:rsidR="006148AA" w:rsidRPr="00697B2A" w:rsidRDefault="006148AA" w:rsidP="001834D5">
            <w:pPr>
              <w:tabs>
                <w:tab w:val="left" w:pos="720"/>
                <w:tab w:val="left" w:pos="1425"/>
              </w:tabs>
              <w:jc w:val="both"/>
              <w:rPr>
                <w:rFonts w:cs="Tahoma"/>
              </w:rPr>
            </w:pPr>
            <w:r>
              <w:rPr>
                <w:rFonts w:cs="Tahoma"/>
              </w:rPr>
              <w:t>3/8/16</w:t>
            </w:r>
          </w:p>
        </w:tc>
      </w:tr>
      <w:tr w:rsidR="006148AA" w:rsidTr="001834D5">
        <w:tc>
          <w:tcPr>
            <w:tcW w:w="1170" w:type="dxa"/>
          </w:tcPr>
          <w:p w:rsidR="006148AA" w:rsidRDefault="006148AA" w:rsidP="001834D5">
            <w:pPr>
              <w:tabs>
                <w:tab w:val="left" w:pos="720"/>
                <w:tab w:val="left" w:pos="1425"/>
              </w:tabs>
              <w:jc w:val="both"/>
              <w:rPr>
                <w:rFonts w:cs="Tahoma"/>
              </w:rPr>
            </w:pPr>
            <w:r>
              <w:rPr>
                <w:rFonts w:cs="Tahoma"/>
              </w:rPr>
              <w:t>02236-16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[of DN 03660-14]. (Audit Control No. 12-010-2-2)</w:t>
            </w:r>
          </w:p>
        </w:tc>
        <w:tc>
          <w:tcPr>
            <w:tcW w:w="1368" w:type="dxa"/>
          </w:tcPr>
          <w:p w:rsidR="006148AA" w:rsidRDefault="006148AA" w:rsidP="001834D5">
            <w:pPr>
              <w:tabs>
                <w:tab w:val="left" w:pos="720"/>
                <w:tab w:val="left" w:pos="1425"/>
              </w:tabs>
              <w:jc w:val="both"/>
              <w:rPr>
                <w:rFonts w:cs="Tahoma"/>
              </w:rPr>
            </w:pPr>
            <w:r>
              <w:rPr>
                <w:rFonts w:cs="Tahoma"/>
              </w:rPr>
              <w:t>4/18/16</w:t>
            </w:r>
          </w:p>
        </w:tc>
      </w:tr>
      <w:tr w:rsidR="006148AA" w:rsidTr="001834D5">
        <w:tc>
          <w:tcPr>
            <w:tcW w:w="1170" w:type="dxa"/>
          </w:tcPr>
          <w:p w:rsidR="006148AA" w:rsidRDefault="006148AA" w:rsidP="001834D5">
            <w:pPr>
              <w:tabs>
                <w:tab w:val="left" w:pos="720"/>
                <w:tab w:val="left" w:pos="1425"/>
              </w:tabs>
              <w:jc w:val="both"/>
              <w:rPr>
                <w:rFonts w:cs="Tahoma"/>
              </w:rPr>
            </w:pPr>
            <w:r>
              <w:rPr>
                <w:rFonts w:cs="Tahoma"/>
              </w:rPr>
              <w:t>02270-16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[of DN 02280-16 Audit Control No. PA-11-01-001].</w:t>
            </w:r>
          </w:p>
        </w:tc>
        <w:tc>
          <w:tcPr>
            <w:tcW w:w="1368" w:type="dxa"/>
          </w:tcPr>
          <w:p w:rsidR="006148AA" w:rsidRDefault="006148AA" w:rsidP="001834D5">
            <w:pPr>
              <w:tabs>
                <w:tab w:val="left" w:pos="720"/>
                <w:tab w:val="left" w:pos="1425"/>
              </w:tabs>
              <w:jc w:val="both"/>
              <w:rPr>
                <w:rFonts w:cs="Tahoma"/>
              </w:rPr>
            </w:pPr>
            <w:r>
              <w:rPr>
                <w:rFonts w:cs="Tahoma"/>
              </w:rPr>
              <w:t>4/19/16</w:t>
            </w:r>
          </w:p>
        </w:tc>
      </w:tr>
      <w:tr w:rsidR="006148AA" w:rsidTr="001834D5">
        <w:tc>
          <w:tcPr>
            <w:tcW w:w="1170" w:type="dxa"/>
          </w:tcPr>
          <w:p w:rsidR="006148AA" w:rsidRDefault="006148AA" w:rsidP="001834D5">
            <w:pPr>
              <w:tabs>
                <w:tab w:val="left" w:pos="720"/>
                <w:tab w:val="left" w:pos="1425"/>
              </w:tabs>
              <w:jc w:val="both"/>
              <w:rPr>
                <w:rFonts w:cs="Tahoma"/>
              </w:rPr>
            </w:pPr>
            <w:r>
              <w:rPr>
                <w:rFonts w:cs="Tahoma"/>
              </w:rPr>
              <w:lastRenderedPageBreak/>
              <w:t>02301-16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[DN 02311-16] (Audit Control No. 11-024-2-2)</w:t>
            </w:r>
          </w:p>
        </w:tc>
        <w:tc>
          <w:tcPr>
            <w:tcW w:w="1368" w:type="dxa"/>
          </w:tcPr>
          <w:p w:rsidR="006148AA" w:rsidRDefault="006148AA" w:rsidP="001834D5">
            <w:pPr>
              <w:tabs>
                <w:tab w:val="left" w:pos="720"/>
                <w:tab w:val="left" w:pos="1425"/>
              </w:tabs>
              <w:jc w:val="both"/>
              <w:rPr>
                <w:rFonts w:cs="Tahoma"/>
              </w:rPr>
            </w:pPr>
            <w:r>
              <w:rPr>
                <w:rFonts w:cs="Tahoma"/>
              </w:rPr>
              <w:t>4/20/16</w:t>
            </w:r>
          </w:p>
        </w:tc>
      </w:tr>
      <w:tr w:rsidR="006148AA" w:rsidTr="001834D5">
        <w:tc>
          <w:tcPr>
            <w:tcW w:w="1170" w:type="dxa"/>
          </w:tcPr>
          <w:p w:rsidR="006148AA" w:rsidRDefault="006148AA" w:rsidP="001834D5">
            <w:pPr>
              <w:tabs>
                <w:tab w:val="left" w:pos="720"/>
                <w:tab w:val="left" w:pos="1425"/>
              </w:tabs>
              <w:jc w:val="both"/>
              <w:rPr>
                <w:rFonts w:cs="Tahoma"/>
              </w:rPr>
            </w:pPr>
            <w:r>
              <w:rPr>
                <w:rFonts w:cs="Tahoma"/>
              </w:rPr>
              <w:t>02355-16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[of DN 02350-16]. [Audit Control No. 12-010-2-1]</w:t>
            </w:r>
          </w:p>
        </w:tc>
        <w:tc>
          <w:tcPr>
            <w:tcW w:w="1368" w:type="dxa"/>
          </w:tcPr>
          <w:p w:rsidR="006148AA" w:rsidRDefault="006148AA" w:rsidP="001834D5">
            <w:pPr>
              <w:tabs>
                <w:tab w:val="left" w:pos="720"/>
                <w:tab w:val="left" w:pos="1425"/>
              </w:tabs>
              <w:jc w:val="both"/>
              <w:rPr>
                <w:rFonts w:cs="Tahoma"/>
              </w:rPr>
            </w:pPr>
            <w:r>
              <w:rPr>
                <w:rFonts w:cs="Tahoma"/>
              </w:rPr>
              <w:t>4/21/16</w:t>
            </w:r>
          </w:p>
        </w:tc>
      </w:tr>
      <w:tr w:rsidR="006148AA" w:rsidTr="00907776">
        <w:trPr>
          <w:cantSplit/>
        </w:trPr>
        <w:tc>
          <w:tcPr>
            <w:tcW w:w="1170" w:type="dxa"/>
          </w:tcPr>
          <w:p w:rsidR="006148AA" w:rsidRDefault="006148AA" w:rsidP="001834D5">
            <w:pPr>
              <w:tabs>
                <w:tab w:val="left" w:pos="720"/>
                <w:tab w:val="left" w:pos="1425"/>
              </w:tabs>
              <w:jc w:val="both"/>
              <w:rPr>
                <w:rFonts w:cs="Tahoma"/>
              </w:rPr>
            </w:pPr>
            <w:r>
              <w:rPr>
                <w:rFonts w:cs="Tahoma"/>
              </w:rPr>
              <w:t>02358-16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[of DN 04536-11, for certain information provided in response to staff's review of project management internal controls for nuclear plant uprate and construction projects]. (Audit Report No. PA-11-01-001).</w:t>
            </w:r>
          </w:p>
        </w:tc>
        <w:tc>
          <w:tcPr>
            <w:tcW w:w="1368" w:type="dxa"/>
          </w:tcPr>
          <w:p w:rsidR="006148AA" w:rsidRDefault="006148AA" w:rsidP="001834D5">
            <w:pPr>
              <w:tabs>
                <w:tab w:val="left" w:pos="720"/>
                <w:tab w:val="left" w:pos="1425"/>
              </w:tabs>
              <w:jc w:val="both"/>
              <w:rPr>
                <w:rFonts w:cs="Tahoma"/>
              </w:rPr>
            </w:pPr>
            <w:r>
              <w:rPr>
                <w:rFonts w:cs="Tahoma"/>
              </w:rPr>
              <w:t>4/21/16</w:t>
            </w:r>
          </w:p>
        </w:tc>
      </w:tr>
      <w:tr w:rsidR="006148AA" w:rsidTr="001834D5">
        <w:tc>
          <w:tcPr>
            <w:tcW w:w="1170" w:type="dxa"/>
          </w:tcPr>
          <w:p w:rsidR="006148AA" w:rsidRDefault="006148AA" w:rsidP="001834D5">
            <w:pPr>
              <w:tabs>
                <w:tab w:val="left" w:pos="720"/>
                <w:tab w:val="left" w:pos="1425"/>
              </w:tabs>
              <w:jc w:val="both"/>
              <w:rPr>
                <w:rFonts w:cs="Tahoma"/>
              </w:rPr>
            </w:pPr>
            <w:r>
              <w:rPr>
                <w:rFonts w:cs="Tahoma"/>
              </w:rPr>
              <w:t>02474-16</w:t>
            </w:r>
          </w:p>
        </w:tc>
        <w:tc>
          <w:tcPr>
            <w:tcW w:w="6930" w:type="dxa"/>
          </w:tcPr>
          <w:p w:rsidR="006148AA" w:rsidRPr="006148AA" w:rsidRDefault="006148AA" w:rsidP="001834D5">
            <w:pPr>
              <w:tabs>
                <w:tab w:val="left" w:pos="720"/>
                <w:tab w:val="left" w:pos="1425"/>
              </w:tabs>
              <w:jc w:val="both"/>
              <w:rPr>
                <w:rFonts w:cs="Tahoma"/>
              </w:rPr>
            </w:pPr>
            <w:r w:rsidRPr="006148AA">
              <w:rPr>
                <w:rFonts w:cs="Tahoma"/>
              </w:rPr>
              <w:t>Duke Energy (Bernier) - First request for extension of confidential classification [of DN 03912-12]. (Audit Report No. PA-11-11-004)</w:t>
            </w:r>
          </w:p>
        </w:tc>
        <w:tc>
          <w:tcPr>
            <w:tcW w:w="1368" w:type="dxa"/>
          </w:tcPr>
          <w:p w:rsidR="006148AA" w:rsidRDefault="006148AA" w:rsidP="001834D5">
            <w:pPr>
              <w:tabs>
                <w:tab w:val="left" w:pos="720"/>
                <w:tab w:val="left" w:pos="1425"/>
              </w:tabs>
              <w:jc w:val="both"/>
              <w:rPr>
                <w:rFonts w:cs="Tahoma"/>
              </w:rPr>
            </w:pPr>
            <w:r>
              <w:rPr>
                <w:rFonts w:cs="Tahoma"/>
              </w:rPr>
              <w:t>4/26/16</w:t>
            </w:r>
          </w:p>
        </w:tc>
      </w:tr>
      <w:tr w:rsidR="006148AA" w:rsidTr="001834D5">
        <w:tc>
          <w:tcPr>
            <w:tcW w:w="1170" w:type="dxa"/>
          </w:tcPr>
          <w:p w:rsidR="006148AA" w:rsidRDefault="00907776" w:rsidP="001834D5">
            <w:pPr>
              <w:tabs>
                <w:tab w:val="left" w:pos="720"/>
                <w:tab w:val="left" w:pos="1425"/>
              </w:tabs>
              <w:jc w:val="both"/>
              <w:rPr>
                <w:rFonts w:cs="Tahoma"/>
              </w:rPr>
            </w:pPr>
            <w:r>
              <w:rPr>
                <w:rFonts w:cs="Tahoma"/>
              </w:rPr>
              <w:t>02511-16</w:t>
            </w:r>
          </w:p>
        </w:tc>
        <w:tc>
          <w:tcPr>
            <w:tcW w:w="6930" w:type="dxa"/>
          </w:tcPr>
          <w:p w:rsidR="006148AA" w:rsidRPr="006148AA" w:rsidRDefault="00907776" w:rsidP="001834D5">
            <w:pPr>
              <w:tabs>
                <w:tab w:val="left" w:pos="720"/>
                <w:tab w:val="left" w:pos="1425"/>
              </w:tabs>
              <w:jc w:val="both"/>
              <w:rPr>
                <w:rFonts w:cs="Tahoma"/>
              </w:rPr>
            </w:pPr>
            <w:r w:rsidRPr="00907776">
              <w:rPr>
                <w:rFonts w:cs="Tahoma"/>
              </w:rPr>
              <w:t>Duke Energy (Bernier) - First request for extension of confidential classification [concerning portions of hearing Exhs 98, 99, 101 entered into evidence at the final hearing in Docket 140009, (DNs 04203-14, 04204-14, and 04205-14)].</w:t>
            </w:r>
          </w:p>
        </w:tc>
        <w:tc>
          <w:tcPr>
            <w:tcW w:w="1368" w:type="dxa"/>
          </w:tcPr>
          <w:p w:rsidR="006148AA" w:rsidRDefault="00907776" w:rsidP="001834D5">
            <w:pPr>
              <w:tabs>
                <w:tab w:val="left" w:pos="720"/>
                <w:tab w:val="left" w:pos="1425"/>
              </w:tabs>
              <w:jc w:val="both"/>
              <w:rPr>
                <w:rFonts w:cs="Tahoma"/>
              </w:rPr>
            </w:pPr>
            <w:r>
              <w:rPr>
                <w:rFonts w:cs="Tahoma"/>
              </w:rPr>
              <w:t>4/27/16</w:t>
            </w:r>
          </w:p>
        </w:tc>
      </w:tr>
      <w:tr w:rsidR="00826D53" w:rsidTr="001834D5">
        <w:tc>
          <w:tcPr>
            <w:tcW w:w="1170" w:type="dxa"/>
          </w:tcPr>
          <w:p w:rsidR="00826D53" w:rsidRPr="00697B2A" w:rsidRDefault="00826D53" w:rsidP="001834D5">
            <w:pPr>
              <w:tabs>
                <w:tab w:val="left" w:pos="720"/>
                <w:tab w:val="left" w:pos="1425"/>
              </w:tabs>
              <w:jc w:val="both"/>
              <w:rPr>
                <w:rFonts w:cs="Tahoma"/>
              </w:rPr>
            </w:pPr>
            <w:r>
              <w:rPr>
                <w:rFonts w:cs="Tahoma"/>
              </w:rPr>
              <w:t>02547-16</w:t>
            </w:r>
          </w:p>
        </w:tc>
        <w:tc>
          <w:tcPr>
            <w:tcW w:w="6930" w:type="dxa"/>
          </w:tcPr>
          <w:p w:rsidR="00826D53" w:rsidRDefault="00826D53" w:rsidP="001834D5">
            <w:pPr>
              <w:tabs>
                <w:tab w:val="left" w:pos="720"/>
                <w:tab w:val="left" w:pos="1425"/>
              </w:tabs>
              <w:jc w:val="both"/>
              <w:rPr>
                <w:rFonts w:cs="Tahoma"/>
                <w:b/>
              </w:rPr>
            </w:pPr>
            <w:r>
              <w:rPr>
                <w:rFonts w:cs="Tahoma"/>
              </w:rPr>
              <w:t>Duke Energy Florida’s Second Request for Confidential Classification regarding portions of Direct Testimony of Christopher M. Fallon, and portions of the testimony of Thomas G. Foster and Exhibit No. (TGF-3) filed April 27, 2016</w:t>
            </w:r>
          </w:p>
        </w:tc>
        <w:tc>
          <w:tcPr>
            <w:tcW w:w="1368" w:type="dxa"/>
          </w:tcPr>
          <w:p w:rsidR="00826D53" w:rsidRPr="00697B2A" w:rsidRDefault="00826D53" w:rsidP="001834D5">
            <w:pPr>
              <w:tabs>
                <w:tab w:val="left" w:pos="720"/>
                <w:tab w:val="left" w:pos="1425"/>
              </w:tabs>
              <w:jc w:val="both"/>
              <w:rPr>
                <w:rFonts w:cs="Tahoma"/>
              </w:rPr>
            </w:pPr>
            <w:r>
              <w:rPr>
                <w:rFonts w:cs="Tahoma"/>
              </w:rPr>
              <w:t>4/27/16</w:t>
            </w:r>
          </w:p>
        </w:tc>
      </w:tr>
      <w:tr w:rsidR="00907776" w:rsidTr="00F9005D">
        <w:trPr>
          <w:cantSplit/>
        </w:trPr>
        <w:tc>
          <w:tcPr>
            <w:tcW w:w="1170" w:type="dxa"/>
          </w:tcPr>
          <w:p w:rsidR="00907776" w:rsidRDefault="00907776" w:rsidP="001834D5">
            <w:pPr>
              <w:tabs>
                <w:tab w:val="left" w:pos="720"/>
                <w:tab w:val="left" w:pos="1425"/>
              </w:tabs>
              <w:jc w:val="both"/>
              <w:rPr>
                <w:rFonts w:cs="Tahoma"/>
              </w:rPr>
            </w:pPr>
            <w:r>
              <w:rPr>
                <w:rFonts w:cs="Tahoma"/>
              </w:rPr>
              <w:t>02578-16</w:t>
            </w:r>
          </w:p>
        </w:tc>
        <w:tc>
          <w:tcPr>
            <w:tcW w:w="6930" w:type="dxa"/>
          </w:tcPr>
          <w:p w:rsid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certain information contained in the revised exhibits of Thomas G. Foster, DN 06213-12].</w:t>
            </w:r>
          </w:p>
        </w:tc>
        <w:tc>
          <w:tcPr>
            <w:tcW w:w="1368" w:type="dxa"/>
          </w:tcPr>
          <w:p w:rsidR="00907776" w:rsidRDefault="00907776" w:rsidP="001834D5">
            <w:pPr>
              <w:tabs>
                <w:tab w:val="left" w:pos="720"/>
                <w:tab w:val="left" w:pos="1425"/>
              </w:tabs>
              <w:jc w:val="both"/>
              <w:rPr>
                <w:rFonts w:cs="Tahoma"/>
              </w:rPr>
            </w:pPr>
            <w:r>
              <w:rPr>
                <w:rFonts w:cs="Tahoma"/>
              </w:rPr>
              <w:t>4/28/16</w:t>
            </w:r>
          </w:p>
        </w:tc>
      </w:tr>
      <w:tr w:rsidR="00907776" w:rsidTr="001834D5">
        <w:tc>
          <w:tcPr>
            <w:tcW w:w="1170" w:type="dxa"/>
          </w:tcPr>
          <w:p w:rsidR="00907776" w:rsidRDefault="00907776" w:rsidP="001834D5">
            <w:pPr>
              <w:tabs>
                <w:tab w:val="left" w:pos="720"/>
                <w:tab w:val="left" w:pos="1425"/>
              </w:tabs>
              <w:jc w:val="both"/>
              <w:rPr>
                <w:rFonts w:cs="Tahoma"/>
              </w:rPr>
            </w:pPr>
            <w:r>
              <w:rPr>
                <w:rFonts w:cs="Tahoma"/>
              </w:rPr>
              <w:t>02599-16</w:t>
            </w:r>
          </w:p>
        </w:tc>
        <w:tc>
          <w:tcPr>
            <w:tcW w:w="6930" w:type="dxa"/>
          </w:tcPr>
          <w:p w:rsidR="00907776" w:rsidRP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DN 02697-13]. [Audit Control No. 13-010-2-2]</w:t>
            </w:r>
          </w:p>
        </w:tc>
        <w:tc>
          <w:tcPr>
            <w:tcW w:w="1368" w:type="dxa"/>
          </w:tcPr>
          <w:p w:rsidR="00907776" w:rsidRDefault="00907776" w:rsidP="001834D5">
            <w:pPr>
              <w:tabs>
                <w:tab w:val="left" w:pos="720"/>
                <w:tab w:val="left" w:pos="1425"/>
              </w:tabs>
              <w:jc w:val="both"/>
              <w:rPr>
                <w:rFonts w:cs="Tahoma"/>
              </w:rPr>
            </w:pPr>
            <w:r>
              <w:rPr>
                <w:rFonts w:cs="Tahoma"/>
              </w:rPr>
              <w:t>4/29/16</w:t>
            </w:r>
          </w:p>
        </w:tc>
      </w:tr>
      <w:tr w:rsidR="00907776" w:rsidTr="001834D5">
        <w:tc>
          <w:tcPr>
            <w:tcW w:w="1170" w:type="dxa"/>
          </w:tcPr>
          <w:p w:rsidR="00907776" w:rsidRDefault="00907776" w:rsidP="001834D5">
            <w:pPr>
              <w:tabs>
                <w:tab w:val="left" w:pos="720"/>
                <w:tab w:val="left" w:pos="1425"/>
              </w:tabs>
              <w:jc w:val="both"/>
              <w:rPr>
                <w:rFonts w:cs="Tahoma"/>
              </w:rPr>
            </w:pPr>
            <w:r>
              <w:rPr>
                <w:rFonts w:cs="Tahoma"/>
              </w:rPr>
              <w:t>02609-16</w:t>
            </w:r>
          </w:p>
        </w:tc>
        <w:tc>
          <w:tcPr>
            <w:tcW w:w="6930" w:type="dxa"/>
          </w:tcPr>
          <w:p w:rsidR="00907776" w:rsidRP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DN 02614-16]; includes redacted version.</w:t>
            </w:r>
          </w:p>
        </w:tc>
        <w:tc>
          <w:tcPr>
            <w:tcW w:w="1368" w:type="dxa"/>
          </w:tcPr>
          <w:p w:rsidR="00907776" w:rsidRDefault="00907776" w:rsidP="001834D5">
            <w:pPr>
              <w:tabs>
                <w:tab w:val="left" w:pos="720"/>
                <w:tab w:val="left" w:pos="1425"/>
              </w:tabs>
              <w:jc w:val="both"/>
              <w:rPr>
                <w:rFonts w:cs="Tahoma"/>
              </w:rPr>
            </w:pPr>
            <w:r>
              <w:rPr>
                <w:rFonts w:cs="Tahoma"/>
              </w:rPr>
              <w:t>4/29/16</w:t>
            </w:r>
          </w:p>
        </w:tc>
      </w:tr>
      <w:tr w:rsidR="00907776" w:rsidTr="001834D5">
        <w:tc>
          <w:tcPr>
            <w:tcW w:w="1170" w:type="dxa"/>
          </w:tcPr>
          <w:p w:rsidR="00907776" w:rsidRDefault="00907776" w:rsidP="001834D5">
            <w:pPr>
              <w:tabs>
                <w:tab w:val="left" w:pos="720"/>
                <w:tab w:val="left" w:pos="1425"/>
              </w:tabs>
              <w:jc w:val="both"/>
              <w:rPr>
                <w:rFonts w:cs="Tahoma"/>
              </w:rPr>
            </w:pPr>
            <w:r>
              <w:rPr>
                <w:rFonts w:cs="Tahoma"/>
              </w:rPr>
              <w:t>02612-16</w:t>
            </w:r>
          </w:p>
        </w:tc>
        <w:tc>
          <w:tcPr>
            <w:tcW w:w="6930" w:type="dxa"/>
          </w:tcPr>
          <w:p w:rsidR="00907776" w:rsidRP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DN 02611-16]; includes redacted version.</w:t>
            </w:r>
          </w:p>
        </w:tc>
        <w:tc>
          <w:tcPr>
            <w:tcW w:w="1368" w:type="dxa"/>
          </w:tcPr>
          <w:p w:rsidR="00907776" w:rsidRDefault="00907776" w:rsidP="001834D5">
            <w:pPr>
              <w:tabs>
                <w:tab w:val="left" w:pos="720"/>
                <w:tab w:val="left" w:pos="1425"/>
              </w:tabs>
              <w:jc w:val="both"/>
              <w:rPr>
                <w:rFonts w:cs="Tahoma"/>
              </w:rPr>
            </w:pPr>
            <w:r>
              <w:rPr>
                <w:rFonts w:cs="Tahoma"/>
              </w:rPr>
              <w:t>4/29/16</w:t>
            </w:r>
          </w:p>
        </w:tc>
      </w:tr>
      <w:tr w:rsidR="00907776" w:rsidTr="001834D5">
        <w:tc>
          <w:tcPr>
            <w:tcW w:w="1170" w:type="dxa"/>
          </w:tcPr>
          <w:p w:rsidR="00907776" w:rsidRDefault="00907776" w:rsidP="001834D5">
            <w:pPr>
              <w:tabs>
                <w:tab w:val="left" w:pos="720"/>
                <w:tab w:val="left" w:pos="1425"/>
              </w:tabs>
              <w:jc w:val="both"/>
              <w:rPr>
                <w:rFonts w:cs="Tahoma"/>
              </w:rPr>
            </w:pPr>
            <w:r>
              <w:rPr>
                <w:rFonts w:cs="Tahoma"/>
              </w:rPr>
              <w:t>02618-16</w:t>
            </w:r>
          </w:p>
        </w:tc>
        <w:tc>
          <w:tcPr>
            <w:tcW w:w="6930" w:type="dxa"/>
          </w:tcPr>
          <w:p w:rsidR="00907776" w:rsidRP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Audit Control No. PA-13-01-001, DN 03393-13].</w:t>
            </w:r>
          </w:p>
        </w:tc>
        <w:tc>
          <w:tcPr>
            <w:tcW w:w="1368" w:type="dxa"/>
          </w:tcPr>
          <w:p w:rsidR="00907776" w:rsidRDefault="00907776" w:rsidP="001834D5">
            <w:pPr>
              <w:tabs>
                <w:tab w:val="left" w:pos="720"/>
                <w:tab w:val="left" w:pos="1425"/>
              </w:tabs>
              <w:jc w:val="both"/>
              <w:rPr>
                <w:rFonts w:cs="Tahoma"/>
              </w:rPr>
            </w:pPr>
            <w:r>
              <w:rPr>
                <w:rFonts w:cs="Tahoma"/>
              </w:rPr>
              <w:t>4/29/16</w:t>
            </w:r>
          </w:p>
        </w:tc>
      </w:tr>
      <w:tr w:rsidR="00826D53" w:rsidTr="001834D5">
        <w:tc>
          <w:tcPr>
            <w:tcW w:w="1170" w:type="dxa"/>
          </w:tcPr>
          <w:p w:rsidR="00826D53" w:rsidRPr="0017787F" w:rsidRDefault="00826D53" w:rsidP="001834D5">
            <w:pPr>
              <w:tabs>
                <w:tab w:val="left" w:pos="720"/>
                <w:tab w:val="left" w:pos="1425"/>
              </w:tabs>
              <w:jc w:val="both"/>
              <w:rPr>
                <w:rFonts w:cs="Tahoma"/>
              </w:rPr>
            </w:pPr>
            <w:r w:rsidRPr="0017787F">
              <w:rPr>
                <w:rFonts w:cs="Tahoma"/>
              </w:rPr>
              <w:t>03752-16</w:t>
            </w:r>
          </w:p>
        </w:tc>
        <w:tc>
          <w:tcPr>
            <w:tcW w:w="6930" w:type="dxa"/>
          </w:tcPr>
          <w:p w:rsidR="00826D53" w:rsidRDefault="00826D53" w:rsidP="001834D5">
            <w:pPr>
              <w:tabs>
                <w:tab w:val="left" w:pos="720"/>
                <w:tab w:val="left" w:pos="1425"/>
              </w:tabs>
              <w:jc w:val="both"/>
              <w:rPr>
                <w:rFonts w:cs="Tahoma"/>
                <w:b/>
              </w:rPr>
            </w:pPr>
            <w:r>
              <w:rPr>
                <w:rFonts w:cs="Tahoma"/>
              </w:rPr>
              <w:t>Duke Energy Florida’s Third Request for Confidential Classification regarding portions of the Review of Duke Energy Florida, LLC’s Project Management Internal Controls for Nuclear Plant Uprate and Construction Projects Audit Report No. PA-16-01-001</w:t>
            </w:r>
          </w:p>
        </w:tc>
        <w:tc>
          <w:tcPr>
            <w:tcW w:w="1368" w:type="dxa"/>
          </w:tcPr>
          <w:p w:rsidR="00826D53" w:rsidRPr="00697B2A" w:rsidRDefault="00826D53" w:rsidP="001834D5">
            <w:pPr>
              <w:tabs>
                <w:tab w:val="left" w:pos="720"/>
                <w:tab w:val="left" w:pos="1425"/>
              </w:tabs>
              <w:jc w:val="both"/>
              <w:rPr>
                <w:rFonts w:cs="Tahoma"/>
              </w:rPr>
            </w:pPr>
            <w:r w:rsidRPr="00697B2A">
              <w:rPr>
                <w:rFonts w:cs="Tahoma"/>
              </w:rPr>
              <w:t>6/16/16</w:t>
            </w:r>
          </w:p>
        </w:tc>
      </w:tr>
      <w:tr w:rsidR="00826D53" w:rsidTr="002C3E01">
        <w:trPr>
          <w:cantSplit/>
        </w:trPr>
        <w:tc>
          <w:tcPr>
            <w:tcW w:w="1170" w:type="dxa"/>
          </w:tcPr>
          <w:p w:rsidR="00826D53" w:rsidRPr="0017787F" w:rsidRDefault="00826D53" w:rsidP="001834D5">
            <w:pPr>
              <w:tabs>
                <w:tab w:val="left" w:pos="720"/>
                <w:tab w:val="left" w:pos="1425"/>
              </w:tabs>
              <w:jc w:val="both"/>
              <w:rPr>
                <w:rFonts w:cs="Tahoma"/>
              </w:rPr>
            </w:pPr>
            <w:r w:rsidRPr="0017787F">
              <w:rPr>
                <w:rFonts w:cs="Tahoma"/>
              </w:rPr>
              <w:t>03819-16</w:t>
            </w:r>
          </w:p>
        </w:tc>
        <w:tc>
          <w:tcPr>
            <w:tcW w:w="6930" w:type="dxa"/>
          </w:tcPr>
          <w:p w:rsidR="00826D53" w:rsidRDefault="00826D53" w:rsidP="001834D5">
            <w:pPr>
              <w:tabs>
                <w:tab w:val="left" w:pos="720"/>
                <w:tab w:val="left" w:pos="1425"/>
              </w:tabs>
              <w:jc w:val="both"/>
              <w:rPr>
                <w:rFonts w:cs="Tahoma"/>
                <w:b/>
              </w:rPr>
            </w:pPr>
            <w:r>
              <w:rPr>
                <w:rFonts w:cs="Tahoma"/>
              </w:rPr>
              <w:t>Duke Energy Florida’s Fourth Request for Confidential Classification regarding portions of the Staff Generated Financial Auditor’s workpapers, Audit Control Nos. 16-005-2-1 and 16-005-2-2.</w:t>
            </w:r>
          </w:p>
        </w:tc>
        <w:tc>
          <w:tcPr>
            <w:tcW w:w="1368" w:type="dxa"/>
          </w:tcPr>
          <w:p w:rsidR="00826D53" w:rsidRPr="0017787F" w:rsidRDefault="00826D53" w:rsidP="001834D5">
            <w:pPr>
              <w:tabs>
                <w:tab w:val="left" w:pos="720"/>
                <w:tab w:val="left" w:pos="1425"/>
              </w:tabs>
              <w:jc w:val="both"/>
              <w:rPr>
                <w:rFonts w:cs="Tahoma"/>
              </w:rPr>
            </w:pPr>
            <w:r w:rsidRPr="0017787F">
              <w:rPr>
                <w:rFonts w:cs="Tahoma"/>
              </w:rPr>
              <w:t>6/17/16</w:t>
            </w:r>
          </w:p>
        </w:tc>
      </w:tr>
      <w:tr w:rsidR="00907776" w:rsidTr="001834D5">
        <w:tc>
          <w:tcPr>
            <w:tcW w:w="1170" w:type="dxa"/>
          </w:tcPr>
          <w:p w:rsidR="00907776" w:rsidRPr="0017787F" w:rsidRDefault="00907776" w:rsidP="00907776">
            <w:pPr>
              <w:tabs>
                <w:tab w:val="left" w:pos="720"/>
                <w:tab w:val="left" w:pos="1425"/>
              </w:tabs>
              <w:jc w:val="both"/>
              <w:rPr>
                <w:rFonts w:cs="Tahoma"/>
              </w:rPr>
            </w:pPr>
            <w:r>
              <w:rPr>
                <w:rFonts w:cs="Tahoma"/>
              </w:rPr>
              <w:t>04474-16</w:t>
            </w:r>
          </w:p>
        </w:tc>
        <w:tc>
          <w:tcPr>
            <w:tcW w:w="6930" w:type="dxa"/>
          </w:tcPr>
          <w:p w:rsidR="00907776" w:rsidRDefault="00907776" w:rsidP="001834D5">
            <w:pPr>
              <w:tabs>
                <w:tab w:val="left" w:pos="720"/>
                <w:tab w:val="left" w:pos="1425"/>
              </w:tabs>
              <w:jc w:val="both"/>
              <w:rPr>
                <w:rFonts w:cs="Tahoma"/>
              </w:rPr>
            </w:pPr>
            <w:r w:rsidRPr="00907776">
              <w:rPr>
                <w:rFonts w:cs="Tahoma"/>
              </w:rPr>
              <w:t>Duke Energy (Bernier) - First request for extension of confidential classification [of DN 05217-14].</w:t>
            </w:r>
          </w:p>
        </w:tc>
        <w:tc>
          <w:tcPr>
            <w:tcW w:w="1368" w:type="dxa"/>
          </w:tcPr>
          <w:p w:rsidR="00907776" w:rsidRPr="0017787F" w:rsidRDefault="00907776" w:rsidP="001834D5">
            <w:pPr>
              <w:tabs>
                <w:tab w:val="left" w:pos="720"/>
                <w:tab w:val="left" w:pos="1425"/>
              </w:tabs>
              <w:jc w:val="both"/>
              <w:rPr>
                <w:rFonts w:cs="Tahoma"/>
              </w:rPr>
            </w:pPr>
            <w:r>
              <w:rPr>
                <w:rFonts w:cs="Tahoma"/>
              </w:rPr>
              <w:t>07/12/16</w:t>
            </w:r>
          </w:p>
        </w:tc>
      </w:tr>
    </w:tbl>
    <w:p w:rsidR="00DC23D1" w:rsidRDefault="00DC23D1" w:rsidP="00FB52E6">
      <w:pPr>
        <w:jc w:val="both"/>
        <w:rPr>
          <w:b/>
        </w:rPr>
      </w:pPr>
    </w:p>
    <w:p w:rsidR="00CF3959" w:rsidRDefault="00CF3959" w:rsidP="00FB52E6">
      <w:pPr>
        <w:jc w:val="both"/>
        <w:rPr>
          <w:b/>
        </w:rPr>
      </w:pPr>
    </w:p>
    <w:p w:rsidR="00CF3959" w:rsidRDefault="00CF3959" w:rsidP="00FB52E6">
      <w:pPr>
        <w:jc w:val="both"/>
        <w:rPr>
          <w:b/>
        </w:rPr>
      </w:pPr>
    </w:p>
    <w:p w:rsidR="00FB52E6" w:rsidRPr="00431CC2" w:rsidRDefault="00FB52E6" w:rsidP="00FB52E6">
      <w:pPr>
        <w:jc w:val="both"/>
        <w:rPr>
          <w:b/>
        </w:rPr>
      </w:pPr>
      <w:r w:rsidRPr="00431CC2">
        <w:rPr>
          <w:b/>
        </w:rPr>
        <w:t>XIII.</w:t>
      </w:r>
      <w:r w:rsidRPr="00431CC2">
        <w:rPr>
          <w:b/>
        </w:rPr>
        <w:tab/>
      </w:r>
      <w:r w:rsidRPr="00431CC2">
        <w:rPr>
          <w:b/>
          <w:u w:val="single"/>
        </w:rPr>
        <w:t>POST-HEARING PROCEDURES</w:t>
      </w:r>
    </w:p>
    <w:p w:rsidR="00FB52E6" w:rsidRPr="00701945" w:rsidRDefault="00FB52E6" w:rsidP="00FB52E6">
      <w:pPr>
        <w:jc w:val="both"/>
      </w:pPr>
    </w:p>
    <w:p w:rsidR="00FB52E6" w:rsidRPr="00701945" w:rsidRDefault="00FB52E6" w:rsidP="00FB52E6">
      <w:pPr>
        <w:jc w:val="both"/>
      </w:pPr>
      <w:r w:rsidRPr="00701945">
        <w:tab/>
        <w:t xml:space="preserve">Pursuant to Rule 28-106.215, </w:t>
      </w:r>
      <w:r>
        <w:t>F.A.C.</w:t>
      </w:r>
      <w:r w:rsidRPr="00701945">
        <w:t xml:space="preserve">, </w:t>
      </w:r>
      <w:r w:rsidR="00BC53D6">
        <w:t>all parties are permitted to file</w:t>
      </w:r>
      <w:r w:rsidRPr="00701945">
        <w:t xml:space="preserve"> proposed findings of fact and conclusions of law, if any, statement of issues and positions, and brief</w:t>
      </w:r>
      <w:r w:rsidR="00BC53D6">
        <w:t>.  However, all parties have waived post-hearing filings.</w:t>
      </w:r>
    </w:p>
    <w:p w:rsidR="00FB52E6" w:rsidRDefault="00FB52E6" w:rsidP="00FB52E6">
      <w:pPr>
        <w:jc w:val="both"/>
      </w:pPr>
    </w:p>
    <w:p w:rsidR="00FB52E6" w:rsidRPr="0046791A" w:rsidRDefault="00FB52E6" w:rsidP="00FB52E6">
      <w:pPr>
        <w:jc w:val="both"/>
        <w:rPr>
          <w:b/>
        </w:rPr>
      </w:pPr>
      <w:r w:rsidRPr="0046791A">
        <w:rPr>
          <w:b/>
        </w:rPr>
        <w:t>XIV.</w:t>
      </w:r>
      <w:r w:rsidRPr="0046791A">
        <w:rPr>
          <w:b/>
        </w:rPr>
        <w:tab/>
      </w:r>
      <w:r w:rsidRPr="0046791A">
        <w:rPr>
          <w:b/>
          <w:u w:val="single"/>
        </w:rPr>
        <w:t>RULINGS</w:t>
      </w:r>
    </w:p>
    <w:p w:rsidR="00FB52E6" w:rsidRPr="00701945" w:rsidRDefault="00FB52E6" w:rsidP="00FB52E6">
      <w:pPr>
        <w:jc w:val="both"/>
      </w:pPr>
    </w:p>
    <w:p w:rsidR="002300AE" w:rsidRDefault="00FB52E6" w:rsidP="00FB52E6">
      <w:pPr>
        <w:ind w:firstLine="720"/>
        <w:jc w:val="both"/>
      </w:pPr>
      <w:r w:rsidRPr="00701945">
        <w:t>Opening statements</w:t>
      </w:r>
      <w:r w:rsidR="002300AE">
        <w:t xml:space="preserve"> have been waived by all parties</w:t>
      </w:r>
    </w:p>
    <w:p w:rsidR="002300AE" w:rsidRDefault="002300AE" w:rsidP="00FB52E6">
      <w:pPr>
        <w:ind w:firstLine="720"/>
        <w:jc w:val="both"/>
      </w:pPr>
    </w:p>
    <w:p w:rsidR="002300AE" w:rsidRDefault="002300AE" w:rsidP="00FB52E6">
      <w:pPr>
        <w:ind w:firstLine="720"/>
        <w:jc w:val="both"/>
      </w:pPr>
      <w:r>
        <w:t>FPL and the City of Miami’s requests to be excused from the Prehearing Conference and Hearing in this docket are hereby approved</w:t>
      </w:r>
      <w:r w:rsidR="00FB52E6" w:rsidRPr="00701945">
        <w:t>.</w:t>
      </w:r>
    </w:p>
    <w:p w:rsidR="002300AE" w:rsidRDefault="002300AE" w:rsidP="00FB52E6">
      <w:pPr>
        <w:ind w:firstLine="720"/>
        <w:jc w:val="both"/>
      </w:pPr>
    </w:p>
    <w:p w:rsidR="00FB52E6" w:rsidRPr="00701945" w:rsidRDefault="002300AE" w:rsidP="00FB52E6">
      <w:pPr>
        <w:ind w:firstLine="720"/>
        <w:jc w:val="both"/>
      </w:pPr>
      <w:r>
        <w:t>SACE and PCS Phosphate’s requests to be excused from the Prehearing Conference in this docket are hereby approved.</w:t>
      </w:r>
      <w:r w:rsidR="00F14E31">
        <w:t xml:space="preserve"> </w:t>
      </w:r>
    </w:p>
    <w:p w:rsidR="00FB52E6" w:rsidRDefault="00FB52E6" w:rsidP="00FB52E6">
      <w:pPr>
        <w:jc w:val="both"/>
      </w:pPr>
    </w:p>
    <w:p w:rsidR="00FB52E6" w:rsidRPr="00701945" w:rsidRDefault="00FB52E6" w:rsidP="00FB52E6">
      <w:pPr>
        <w:jc w:val="both"/>
      </w:pPr>
      <w:r w:rsidRPr="00701945">
        <w:tab/>
        <w:t>It is therefore,</w:t>
      </w:r>
    </w:p>
    <w:p w:rsidR="00FB52E6" w:rsidRPr="00701945" w:rsidRDefault="00FB52E6" w:rsidP="00FB52E6">
      <w:pPr>
        <w:jc w:val="both"/>
      </w:pPr>
    </w:p>
    <w:p w:rsidR="00FB52E6" w:rsidRPr="00701945" w:rsidRDefault="00FB52E6" w:rsidP="00FB52E6">
      <w:pPr>
        <w:jc w:val="both"/>
      </w:pPr>
      <w:r w:rsidRPr="00701945">
        <w:tab/>
        <w:t xml:space="preserve">ORDERED by Commissioner </w:t>
      </w:r>
      <w:r w:rsidR="00431CC2">
        <w:t>Art Graham</w:t>
      </w:r>
      <w:r w:rsidRPr="00701945">
        <w:t>, as Prehearing Officer, that this Prehearing Order shall govern the conduct of these proceedings as set forth above unless modified by the Commission.</w:t>
      </w:r>
    </w:p>
    <w:p w:rsidR="00CB5276" w:rsidRDefault="00CB5276">
      <w:pPr>
        <w:pStyle w:val="OrderBody"/>
      </w:pPr>
    </w:p>
    <w:p w:rsidR="00FB52E6" w:rsidRDefault="00FB52E6" w:rsidP="001901C4">
      <w:pPr>
        <w:keepNext/>
        <w:keepLines/>
        <w:jc w:val="both"/>
      </w:pPr>
      <w:r>
        <w:tab/>
        <w:t xml:space="preserve">By ORDER of Commissioner Art Graham, as Prehearing Officer, this </w:t>
      </w:r>
      <w:bookmarkStart w:id="7" w:name="replaceDate"/>
      <w:bookmarkEnd w:id="7"/>
      <w:r w:rsidR="001901C4">
        <w:rPr>
          <w:u w:val="single"/>
        </w:rPr>
        <w:t>3rd</w:t>
      </w:r>
      <w:r w:rsidR="001901C4">
        <w:t xml:space="preserve"> day of </w:t>
      </w:r>
      <w:r w:rsidR="001901C4">
        <w:rPr>
          <w:u w:val="single"/>
        </w:rPr>
        <w:t>August</w:t>
      </w:r>
      <w:r w:rsidR="001901C4">
        <w:t xml:space="preserve">, </w:t>
      </w:r>
      <w:r w:rsidR="001901C4">
        <w:rPr>
          <w:u w:val="single"/>
        </w:rPr>
        <w:t>2016</w:t>
      </w:r>
      <w:r w:rsidR="001901C4">
        <w:t>.</w:t>
      </w:r>
    </w:p>
    <w:p w:rsidR="001901C4" w:rsidRPr="001901C4" w:rsidRDefault="001901C4" w:rsidP="001901C4">
      <w:pPr>
        <w:keepNext/>
        <w:keepLines/>
        <w:jc w:val="both"/>
      </w:pPr>
    </w:p>
    <w:p w:rsidR="00FB52E6" w:rsidRDefault="00FB52E6" w:rsidP="00FB52E6">
      <w:pPr>
        <w:keepNext/>
        <w:keepLines/>
      </w:pPr>
    </w:p>
    <w:p w:rsidR="00FB52E6" w:rsidRDefault="00FB52E6" w:rsidP="00FB52E6">
      <w:pPr>
        <w:keepNext/>
        <w:keepLines/>
      </w:pPr>
    </w:p>
    <w:tbl>
      <w:tblPr>
        <w:tblW w:w="4720" w:type="dxa"/>
        <w:tblInd w:w="3800" w:type="dxa"/>
        <w:tblLayout w:type="fixed"/>
        <w:tblLook w:val="0000" w:firstRow="0" w:lastRow="0" w:firstColumn="0" w:lastColumn="0" w:noHBand="0" w:noVBand="0"/>
      </w:tblPr>
      <w:tblGrid>
        <w:gridCol w:w="686"/>
        <w:gridCol w:w="4034"/>
      </w:tblGrid>
      <w:tr w:rsidR="00FB52E6" w:rsidTr="00FB52E6">
        <w:tc>
          <w:tcPr>
            <w:tcW w:w="720" w:type="dxa"/>
            <w:shd w:val="clear" w:color="auto" w:fill="auto"/>
          </w:tcPr>
          <w:p w:rsidR="00FB52E6" w:rsidRDefault="00FB52E6" w:rsidP="00FB52E6">
            <w:pPr>
              <w:keepNext/>
              <w:keepLines/>
            </w:pPr>
            <w:bookmarkStart w:id="8" w:name="bkmrkSignature" w:colFirst="0" w:colLast="0"/>
          </w:p>
        </w:tc>
        <w:tc>
          <w:tcPr>
            <w:tcW w:w="4320" w:type="dxa"/>
            <w:tcBorders>
              <w:bottom w:val="single" w:sz="4" w:space="0" w:color="auto"/>
            </w:tcBorders>
            <w:shd w:val="clear" w:color="auto" w:fill="auto"/>
          </w:tcPr>
          <w:p w:rsidR="00FB52E6" w:rsidRDefault="001901C4" w:rsidP="00FB52E6">
            <w:pPr>
              <w:keepNext/>
              <w:keepLines/>
            </w:pPr>
            <w:r>
              <w:t>/s/ Art Graham</w:t>
            </w:r>
          </w:p>
        </w:tc>
      </w:tr>
      <w:bookmarkEnd w:id="8"/>
      <w:tr w:rsidR="00FB52E6" w:rsidTr="00FB52E6">
        <w:tc>
          <w:tcPr>
            <w:tcW w:w="720" w:type="dxa"/>
            <w:shd w:val="clear" w:color="auto" w:fill="auto"/>
          </w:tcPr>
          <w:p w:rsidR="00FB52E6" w:rsidRDefault="00FB52E6" w:rsidP="00FB52E6">
            <w:pPr>
              <w:keepNext/>
              <w:keepLines/>
            </w:pPr>
          </w:p>
        </w:tc>
        <w:tc>
          <w:tcPr>
            <w:tcW w:w="4320" w:type="dxa"/>
            <w:tcBorders>
              <w:top w:val="single" w:sz="4" w:space="0" w:color="auto"/>
            </w:tcBorders>
            <w:shd w:val="clear" w:color="auto" w:fill="auto"/>
          </w:tcPr>
          <w:p w:rsidR="00FB52E6" w:rsidRDefault="00FB52E6" w:rsidP="00FB52E6">
            <w:pPr>
              <w:keepNext/>
              <w:keepLines/>
            </w:pPr>
            <w:r>
              <w:t>ART GRAHAM</w:t>
            </w:r>
          </w:p>
          <w:p w:rsidR="00FB52E6" w:rsidRDefault="00FB52E6" w:rsidP="00FB52E6">
            <w:pPr>
              <w:keepNext/>
              <w:keepLines/>
            </w:pPr>
            <w:r>
              <w:t>Commissioner and Prehearing Officer</w:t>
            </w:r>
          </w:p>
        </w:tc>
      </w:tr>
    </w:tbl>
    <w:p w:rsidR="00FB52E6" w:rsidRDefault="00FB52E6" w:rsidP="00FB52E6">
      <w:pPr>
        <w:pStyle w:val="OrderSigInfo"/>
        <w:keepNext/>
        <w:keepLines/>
      </w:pPr>
      <w:r>
        <w:t>Florida Public Service Commission</w:t>
      </w:r>
    </w:p>
    <w:p w:rsidR="00FB52E6" w:rsidRDefault="00FB52E6" w:rsidP="00FB52E6">
      <w:pPr>
        <w:pStyle w:val="OrderSigInfo"/>
        <w:keepNext/>
        <w:keepLines/>
      </w:pPr>
      <w:r>
        <w:t>2540 Shumard Oak Boulevard</w:t>
      </w:r>
    </w:p>
    <w:p w:rsidR="00FB52E6" w:rsidRDefault="00FB52E6" w:rsidP="00FB52E6">
      <w:pPr>
        <w:pStyle w:val="OrderSigInfo"/>
        <w:keepNext/>
        <w:keepLines/>
      </w:pPr>
      <w:r>
        <w:t>Tallahassee, Florida  32399</w:t>
      </w:r>
    </w:p>
    <w:p w:rsidR="00FB52E6" w:rsidRDefault="00FB52E6" w:rsidP="00FB52E6">
      <w:pPr>
        <w:pStyle w:val="OrderSigInfo"/>
        <w:keepNext/>
        <w:keepLines/>
      </w:pPr>
      <w:r>
        <w:t>(850) 413</w:t>
      </w:r>
      <w:r>
        <w:noBreakHyphen/>
        <w:t>6770</w:t>
      </w:r>
    </w:p>
    <w:p w:rsidR="00FB52E6" w:rsidRDefault="00FB52E6" w:rsidP="00FB52E6">
      <w:pPr>
        <w:pStyle w:val="OrderSigInfo"/>
        <w:keepNext/>
        <w:keepLines/>
      </w:pPr>
      <w:r>
        <w:t>www.floridapsc.com</w:t>
      </w:r>
    </w:p>
    <w:p w:rsidR="00FB52E6" w:rsidRDefault="00FB52E6" w:rsidP="00FB52E6">
      <w:pPr>
        <w:pStyle w:val="OrderSigInfo"/>
        <w:keepNext/>
        <w:keepLines/>
      </w:pPr>
    </w:p>
    <w:p w:rsidR="00FB52E6" w:rsidRDefault="00FB52E6" w:rsidP="00FB52E6">
      <w:pPr>
        <w:pStyle w:val="OrderSigInfo"/>
        <w:keepNext/>
        <w:keepLines/>
      </w:pPr>
      <w:r>
        <w:t>Copies furnished:  A copy of this document is provided to the parties of record at the time of issuance and, if applicable, interested persons.</w:t>
      </w:r>
    </w:p>
    <w:p w:rsidR="00FB52E6" w:rsidRDefault="00FB52E6" w:rsidP="00FB52E6">
      <w:pPr>
        <w:pStyle w:val="OrderBody"/>
        <w:keepNext/>
        <w:keepLines/>
      </w:pPr>
    </w:p>
    <w:p w:rsidR="00FB52E6" w:rsidRDefault="00FB52E6" w:rsidP="00FB52E6">
      <w:pPr>
        <w:keepNext/>
        <w:keepLines/>
      </w:pPr>
      <w:r>
        <w:t>KRM</w:t>
      </w:r>
    </w:p>
    <w:p w:rsidR="00FB52E6" w:rsidRDefault="00FB52E6"/>
    <w:p w:rsidR="00CF3959" w:rsidRDefault="00CF3959" w:rsidP="00FB52E6">
      <w:pPr>
        <w:pStyle w:val="CenterUnderline"/>
      </w:pPr>
    </w:p>
    <w:p w:rsidR="00CF3959" w:rsidRDefault="00CF3959" w:rsidP="00FB52E6">
      <w:pPr>
        <w:pStyle w:val="CenterUnderline"/>
      </w:pPr>
    </w:p>
    <w:p w:rsidR="00CF3959" w:rsidRDefault="00CF3959" w:rsidP="00FB52E6">
      <w:pPr>
        <w:pStyle w:val="CenterUnderline"/>
      </w:pPr>
    </w:p>
    <w:p w:rsidR="00FB52E6" w:rsidRDefault="00FB52E6" w:rsidP="00FB52E6">
      <w:pPr>
        <w:pStyle w:val="CenterUnderline"/>
      </w:pPr>
      <w:r>
        <w:t>NOTICE OF FURTHER PROCEEDINGS OR JUDICIAL REVIEW</w:t>
      </w:r>
    </w:p>
    <w:p w:rsidR="00CB5276" w:rsidRDefault="00CB5276" w:rsidP="00FB52E6">
      <w:pPr>
        <w:pStyle w:val="CenterUnderline"/>
        <w:rPr>
          <w:u w:val="none"/>
        </w:rPr>
      </w:pPr>
    </w:p>
    <w:p w:rsidR="00FB52E6" w:rsidRDefault="00FB52E6" w:rsidP="00FB5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52E6" w:rsidRDefault="00FB52E6" w:rsidP="00FB52E6">
      <w:pPr>
        <w:pStyle w:val="OrderBody"/>
      </w:pPr>
    </w:p>
    <w:p w:rsidR="00FB52E6" w:rsidRDefault="00FB52E6" w:rsidP="00FB52E6">
      <w:pPr>
        <w:pStyle w:val="OrderBody"/>
      </w:pPr>
      <w:r>
        <w:tab/>
        <w:t>Mediation may be available on a case-by-case basis.  If mediation is conducted, it does not affect a substantially interested person's right to a hearing.</w:t>
      </w:r>
    </w:p>
    <w:p w:rsidR="00FB52E6" w:rsidRDefault="00FB52E6" w:rsidP="00FB52E6">
      <w:pPr>
        <w:pStyle w:val="OrderBody"/>
      </w:pPr>
    </w:p>
    <w:p w:rsidR="00FB52E6" w:rsidRDefault="00FB52E6" w:rsidP="00FB52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B52E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61" w:rsidRDefault="00C27461">
      <w:r>
        <w:separator/>
      </w:r>
    </w:p>
  </w:endnote>
  <w:endnote w:type="continuationSeparator" w:id="0">
    <w:p w:rsidR="00C27461" w:rsidRDefault="00C2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61" w:rsidRDefault="00C27461">
    <w:pPr>
      <w:pStyle w:val="Footer"/>
    </w:pPr>
  </w:p>
  <w:p w:rsidR="00C27461" w:rsidRDefault="00C27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61" w:rsidRDefault="00C27461">
      <w:r>
        <w:separator/>
      </w:r>
    </w:p>
  </w:footnote>
  <w:footnote w:type="continuationSeparator" w:id="0">
    <w:p w:rsidR="00C27461" w:rsidRDefault="00C2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461" w:rsidRDefault="00C27461">
    <w:pPr>
      <w:pStyle w:val="OrderHeader"/>
    </w:pPr>
    <w:r>
      <w:t xml:space="preserve">ORDER NO. </w:t>
    </w:r>
    <w:r w:rsidR="00AE3AC7">
      <w:fldChar w:fldCharType="begin"/>
    </w:r>
    <w:r w:rsidR="00AE3AC7">
      <w:instrText xml:space="preserve"> REF OrderNo0310 </w:instrText>
    </w:r>
    <w:r w:rsidR="00AE3AC7">
      <w:fldChar w:fldCharType="separate"/>
    </w:r>
    <w:r w:rsidR="00AE3AC7">
      <w:t>PSC-16-0310-PHO-EI</w:t>
    </w:r>
    <w:r w:rsidR="00AE3AC7">
      <w:fldChar w:fldCharType="end"/>
    </w:r>
  </w:p>
  <w:p w:rsidR="00C27461" w:rsidRDefault="00C27461">
    <w:pPr>
      <w:pStyle w:val="OrderHeader"/>
    </w:pPr>
    <w:bookmarkStart w:id="9" w:name="HeaderDocketNo"/>
    <w:bookmarkEnd w:id="9"/>
    <w:r>
      <w:t>DOCKET NO. 160009-EI</w:t>
    </w:r>
  </w:p>
  <w:p w:rsidR="00C27461" w:rsidRDefault="00C2746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AC7">
      <w:rPr>
        <w:rStyle w:val="PageNumber"/>
        <w:noProof/>
      </w:rPr>
      <w:t>18</w:t>
    </w:r>
    <w:r>
      <w:rPr>
        <w:rStyle w:val="PageNumber"/>
      </w:rPr>
      <w:fldChar w:fldCharType="end"/>
    </w:r>
  </w:p>
  <w:p w:rsidR="00C27461" w:rsidRDefault="00C2746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5B8828D2"/>
    <w:multiLevelType w:val="multilevel"/>
    <w:tmpl w:val="8D6A7D40"/>
    <w:lvl w:ilvl="0">
      <w:start w:val="1"/>
      <w:numFmt w:val="decimal"/>
      <w:lvlRestart w:val="0"/>
      <w:pStyle w:val="StandardL1"/>
      <w:lvlText w:val="%1."/>
      <w:lvlJc w:val="left"/>
      <w:pPr>
        <w:tabs>
          <w:tab w:val="num" w:pos="1680"/>
        </w:tabs>
        <w:ind w:left="240" w:firstLine="720"/>
      </w:pPr>
      <w:rPr>
        <w:b w:val="0"/>
        <w:i w:val="0"/>
        <w:caps w:val="0"/>
        <w:smallCaps w:val="0"/>
        <w:color w:val="auto"/>
        <w:u w:val="none"/>
      </w:rPr>
    </w:lvl>
    <w:lvl w:ilvl="1">
      <w:start w:val="1"/>
      <w:numFmt w:val="lowerLetter"/>
      <w:pStyle w:val="StandardL2"/>
      <w:lvlText w:val="(%2)"/>
      <w:lvlJc w:val="left"/>
      <w:pPr>
        <w:tabs>
          <w:tab w:val="num" w:pos="1440"/>
        </w:tabs>
        <w:ind w:left="0" w:firstLine="720"/>
      </w:pPr>
      <w:rPr>
        <w:b w:val="0"/>
        <w:i w:val="0"/>
        <w:caps w:val="0"/>
        <w:smallCaps w:val="0"/>
        <w:u w:val="none"/>
      </w:rPr>
    </w:lvl>
    <w:lvl w:ilvl="2">
      <w:start w:val="1"/>
      <w:numFmt w:val="lowerRoman"/>
      <w:pStyle w:val="StandardL3"/>
      <w:lvlText w:val="(%3)"/>
      <w:lvlJc w:val="left"/>
      <w:pPr>
        <w:tabs>
          <w:tab w:val="num" w:pos="2160"/>
        </w:tabs>
        <w:ind w:left="0" w:firstLine="1440"/>
      </w:pPr>
      <w:rPr>
        <w:b w:val="0"/>
        <w:i w:val="0"/>
        <w:caps w:val="0"/>
        <w:smallCaps w:val="0"/>
        <w:u w:val="none"/>
      </w:r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FB52E6"/>
    <w:rsid w:val="000022B8"/>
    <w:rsid w:val="00050D5F"/>
    <w:rsid w:val="00053AB9"/>
    <w:rsid w:val="00056229"/>
    <w:rsid w:val="00065FC2"/>
    <w:rsid w:val="00075F63"/>
    <w:rsid w:val="00081FF1"/>
    <w:rsid w:val="00090AFC"/>
    <w:rsid w:val="000B536A"/>
    <w:rsid w:val="000C76A9"/>
    <w:rsid w:val="000D06E8"/>
    <w:rsid w:val="000D4EDB"/>
    <w:rsid w:val="000E344D"/>
    <w:rsid w:val="000E6998"/>
    <w:rsid w:val="000F3B2C"/>
    <w:rsid w:val="000F7BE3"/>
    <w:rsid w:val="00116AD3"/>
    <w:rsid w:val="00126593"/>
    <w:rsid w:val="0014074C"/>
    <w:rsid w:val="00142A96"/>
    <w:rsid w:val="00153324"/>
    <w:rsid w:val="001834D5"/>
    <w:rsid w:val="00187E32"/>
    <w:rsid w:val="001901C4"/>
    <w:rsid w:val="00194E81"/>
    <w:rsid w:val="001A2DFE"/>
    <w:rsid w:val="001A33C9"/>
    <w:rsid w:val="001D008A"/>
    <w:rsid w:val="001E1627"/>
    <w:rsid w:val="001F3BFB"/>
    <w:rsid w:val="002002ED"/>
    <w:rsid w:val="0022721A"/>
    <w:rsid w:val="002300AE"/>
    <w:rsid w:val="00230BB9"/>
    <w:rsid w:val="00241CEF"/>
    <w:rsid w:val="0025291E"/>
    <w:rsid w:val="00252B30"/>
    <w:rsid w:val="002640F9"/>
    <w:rsid w:val="002A11AC"/>
    <w:rsid w:val="002A6F30"/>
    <w:rsid w:val="002C3E01"/>
    <w:rsid w:val="002D7D15"/>
    <w:rsid w:val="002E27EB"/>
    <w:rsid w:val="00303FDE"/>
    <w:rsid w:val="00306F0C"/>
    <w:rsid w:val="003140E8"/>
    <w:rsid w:val="003231C7"/>
    <w:rsid w:val="00331533"/>
    <w:rsid w:val="00331ED0"/>
    <w:rsid w:val="003331D8"/>
    <w:rsid w:val="003338EC"/>
    <w:rsid w:val="0035495B"/>
    <w:rsid w:val="003744F5"/>
    <w:rsid w:val="00376675"/>
    <w:rsid w:val="00390DD8"/>
    <w:rsid w:val="00394DC6"/>
    <w:rsid w:val="00397C3E"/>
    <w:rsid w:val="003B7120"/>
    <w:rsid w:val="003C5B2D"/>
    <w:rsid w:val="003D4CCA"/>
    <w:rsid w:val="003D6416"/>
    <w:rsid w:val="003E1D48"/>
    <w:rsid w:val="00421961"/>
    <w:rsid w:val="0042527B"/>
    <w:rsid w:val="00431CC2"/>
    <w:rsid w:val="004568E5"/>
    <w:rsid w:val="00457DC7"/>
    <w:rsid w:val="0046791A"/>
    <w:rsid w:val="00472BCC"/>
    <w:rsid w:val="004A25CD"/>
    <w:rsid w:val="004A26CC"/>
    <w:rsid w:val="004B2108"/>
    <w:rsid w:val="004B3A2B"/>
    <w:rsid w:val="004D16E5"/>
    <w:rsid w:val="004D2D1B"/>
    <w:rsid w:val="004E5FBB"/>
    <w:rsid w:val="004F2DDE"/>
    <w:rsid w:val="0050097F"/>
    <w:rsid w:val="00502EDE"/>
    <w:rsid w:val="005053F2"/>
    <w:rsid w:val="00514B1F"/>
    <w:rsid w:val="00556A10"/>
    <w:rsid w:val="005608C1"/>
    <w:rsid w:val="00590F10"/>
    <w:rsid w:val="005963C2"/>
    <w:rsid w:val="005A2FC0"/>
    <w:rsid w:val="005B45F7"/>
    <w:rsid w:val="005B63EA"/>
    <w:rsid w:val="005E4987"/>
    <w:rsid w:val="005F72BA"/>
    <w:rsid w:val="00601613"/>
    <w:rsid w:val="006148AA"/>
    <w:rsid w:val="0065447F"/>
    <w:rsid w:val="00655C6C"/>
    <w:rsid w:val="00657F87"/>
    <w:rsid w:val="00660774"/>
    <w:rsid w:val="00665CC7"/>
    <w:rsid w:val="0068325C"/>
    <w:rsid w:val="006A0BF3"/>
    <w:rsid w:val="006A39A1"/>
    <w:rsid w:val="006B0DA6"/>
    <w:rsid w:val="006B34F7"/>
    <w:rsid w:val="006C547E"/>
    <w:rsid w:val="00704C5D"/>
    <w:rsid w:val="00715275"/>
    <w:rsid w:val="00733B6B"/>
    <w:rsid w:val="0076170F"/>
    <w:rsid w:val="00765B6D"/>
    <w:rsid w:val="0076669C"/>
    <w:rsid w:val="00782CE7"/>
    <w:rsid w:val="007865E9"/>
    <w:rsid w:val="00792383"/>
    <w:rsid w:val="00792A09"/>
    <w:rsid w:val="007A060F"/>
    <w:rsid w:val="007A4CB5"/>
    <w:rsid w:val="007B72B2"/>
    <w:rsid w:val="007D3D20"/>
    <w:rsid w:val="007D4FA4"/>
    <w:rsid w:val="007E3AFD"/>
    <w:rsid w:val="007E7074"/>
    <w:rsid w:val="00803189"/>
    <w:rsid w:val="008044B3"/>
    <w:rsid w:val="00804E7A"/>
    <w:rsid w:val="00805FBB"/>
    <w:rsid w:val="008169A4"/>
    <w:rsid w:val="00820FA3"/>
    <w:rsid w:val="00826BC6"/>
    <w:rsid w:val="00826D53"/>
    <w:rsid w:val="008278FE"/>
    <w:rsid w:val="00832598"/>
    <w:rsid w:val="0083397E"/>
    <w:rsid w:val="0083534B"/>
    <w:rsid w:val="00863A66"/>
    <w:rsid w:val="00874429"/>
    <w:rsid w:val="00883D9A"/>
    <w:rsid w:val="008876EA"/>
    <w:rsid w:val="008919EF"/>
    <w:rsid w:val="008C6A5B"/>
    <w:rsid w:val="008E26A5"/>
    <w:rsid w:val="008E42D2"/>
    <w:rsid w:val="008F4F1A"/>
    <w:rsid w:val="009040EE"/>
    <w:rsid w:val="009057FD"/>
    <w:rsid w:val="00907776"/>
    <w:rsid w:val="00922A7F"/>
    <w:rsid w:val="00923A5E"/>
    <w:rsid w:val="00973FB4"/>
    <w:rsid w:val="00982AEC"/>
    <w:rsid w:val="009924CF"/>
    <w:rsid w:val="00994100"/>
    <w:rsid w:val="009A33BA"/>
    <w:rsid w:val="009A6CFA"/>
    <w:rsid w:val="009D4C29"/>
    <w:rsid w:val="00A477C4"/>
    <w:rsid w:val="00A62DAB"/>
    <w:rsid w:val="00A726A6"/>
    <w:rsid w:val="00A87AD9"/>
    <w:rsid w:val="00A97535"/>
    <w:rsid w:val="00AA5083"/>
    <w:rsid w:val="00AA73F1"/>
    <w:rsid w:val="00AB0E1A"/>
    <w:rsid w:val="00AB1A30"/>
    <w:rsid w:val="00AD1ED3"/>
    <w:rsid w:val="00AE3AC7"/>
    <w:rsid w:val="00B0777D"/>
    <w:rsid w:val="00B23500"/>
    <w:rsid w:val="00B4057A"/>
    <w:rsid w:val="00B40894"/>
    <w:rsid w:val="00B45E75"/>
    <w:rsid w:val="00B50876"/>
    <w:rsid w:val="00B55EE5"/>
    <w:rsid w:val="00B73DE6"/>
    <w:rsid w:val="00B86EF0"/>
    <w:rsid w:val="00B87AD1"/>
    <w:rsid w:val="00B91F69"/>
    <w:rsid w:val="00B97900"/>
    <w:rsid w:val="00BA44A8"/>
    <w:rsid w:val="00BB5B40"/>
    <w:rsid w:val="00BC53D6"/>
    <w:rsid w:val="00BE228E"/>
    <w:rsid w:val="00BF6691"/>
    <w:rsid w:val="00C028FC"/>
    <w:rsid w:val="00C1479F"/>
    <w:rsid w:val="00C17E52"/>
    <w:rsid w:val="00C27461"/>
    <w:rsid w:val="00C46B45"/>
    <w:rsid w:val="00C66692"/>
    <w:rsid w:val="00C76C3D"/>
    <w:rsid w:val="00C91123"/>
    <w:rsid w:val="00CA124E"/>
    <w:rsid w:val="00CA71FF"/>
    <w:rsid w:val="00CB5276"/>
    <w:rsid w:val="00CB68D7"/>
    <w:rsid w:val="00CC3030"/>
    <w:rsid w:val="00CC7E68"/>
    <w:rsid w:val="00CD7132"/>
    <w:rsid w:val="00CE0E6F"/>
    <w:rsid w:val="00CE3061"/>
    <w:rsid w:val="00CF3959"/>
    <w:rsid w:val="00D30B48"/>
    <w:rsid w:val="00D40DC4"/>
    <w:rsid w:val="00D46FAA"/>
    <w:rsid w:val="00D579AE"/>
    <w:rsid w:val="00D57BB2"/>
    <w:rsid w:val="00D60B0B"/>
    <w:rsid w:val="00D833C8"/>
    <w:rsid w:val="00D8560E"/>
    <w:rsid w:val="00D8758F"/>
    <w:rsid w:val="00D906B8"/>
    <w:rsid w:val="00DA559E"/>
    <w:rsid w:val="00DC1D94"/>
    <w:rsid w:val="00DC23D1"/>
    <w:rsid w:val="00DE057F"/>
    <w:rsid w:val="00DE2082"/>
    <w:rsid w:val="00DE2289"/>
    <w:rsid w:val="00DE7C42"/>
    <w:rsid w:val="00E02647"/>
    <w:rsid w:val="00E04410"/>
    <w:rsid w:val="00E11351"/>
    <w:rsid w:val="00E12FE9"/>
    <w:rsid w:val="00E240C2"/>
    <w:rsid w:val="00E34CBA"/>
    <w:rsid w:val="00E86888"/>
    <w:rsid w:val="00E922E3"/>
    <w:rsid w:val="00EA172C"/>
    <w:rsid w:val="00EA259B"/>
    <w:rsid w:val="00EA35A3"/>
    <w:rsid w:val="00EA36DF"/>
    <w:rsid w:val="00EA3E6A"/>
    <w:rsid w:val="00EB18EF"/>
    <w:rsid w:val="00EC4604"/>
    <w:rsid w:val="00EE17DF"/>
    <w:rsid w:val="00EE2500"/>
    <w:rsid w:val="00EF4621"/>
    <w:rsid w:val="00F14E31"/>
    <w:rsid w:val="00F277B6"/>
    <w:rsid w:val="00F30719"/>
    <w:rsid w:val="00F32C3F"/>
    <w:rsid w:val="00F54380"/>
    <w:rsid w:val="00F54B47"/>
    <w:rsid w:val="00F70E84"/>
    <w:rsid w:val="00F9005D"/>
    <w:rsid w:val="00F922A4"/>
    <w:rsid w:val="00FA6EFD"/>
    <w:rsid w:val="00FB4B44"/>
    <w:rsid w:val="00FB52E6"/>
    <w:rsid w:val="00FB74EA"/>
    <w:rsid w:val="00FD2C9E"/>
    <w:rsid w:val="00FD4786"/>
    <w:rsid w:val="00FD616C"/>
    <w:rsid w:val="00FE53F2"/>
    <w:rsid w:val="00FE7F93"/>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F87"/>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B52E6"/>
    <w:pPr>
      <w:autoSpaceDE w:val="0"/>
      <w:autoSpaceDN w:val="0"/>
      <w:adjustRightInd w:val="0"/>
      <w:ind w:left="1440"/>
    </w:pPr>
    <w:rPr>
      <w:sz w:val="24"/>
      <w:szCs w:val="24"/>
    </w:rPr>
  </w:style>
  <w:style w:type="character" w:customStyle="1" w:styleId="FootnoteTextChar">
    <w:name w:val="Footnote Text Char"/>
    <w:basedOn w:val="DefaultParagraphFont"/>
    <w:link w:val="FootnoteText"/>
    <w:rsid w:val="00D579AE"/>
  </w:style>
  <w:style w:type="paragraph" w:customStyle="1" w:styleId="StandardL1">
    <w:name w:val="Standard_L1"/>
    <w:basedOn w:val="Normal"/>
    <w:rsid w:val="00D579AE"/>
    <w:pPr>
      <w:numPr>
        <w:numId w:val="2"/>
      </w:numPr>
      <w:spacing w:line="480" w:lineRule="auto"/>
      <w:outlineLvl w:val="0"/>
    </w:pPr>
    <w:rPr>
      <w:szCs w:val="20"/>
    </w:rPr>
  </w:style>
  <w:style w:type="paragraph" w:customStyle="1" w:styleId="StandardL2">
    <w:name w:val="Standard_L2"/>
    <w:basedOn w:val="StandardL1"/>
    <w:next w:val="BodyText"/>
    <w:rsid w:val="00D579AE"/>
    <w:pPr>
      <w:numPr>
        <w:ilvl w:val="1"/>
      </w:numPr>
      <w:spacing w:after="240" w:line="240" w:lineRule="auto"/>
      <w:outlineLvl w:val="1"/>
    </w:pPr>
  </w:style>
  <w:style w:type="paragraph" w:customStyle="1" w:styleId="StandardL3">
    <w:name w:val="Standard_L3"/>
    <w:basedOn w:val="StandardL2"/>
    <w:next w:val="BodyText"/>
    <w:rsid w:val="00D579AE"/>
    <w:pPr>
      <w:numPr>
        <w:ilvl w:val="2"/>
      </w:numPr>
      <w:outlineLvl w:val="2"/>
    </w:pPr>
  </w:style>
  <w:style w:type="paragraph" w:customStyle="1" w:styleId="StandardL4">
    <w:name w:val="Standard_L4"/>
    <w:basedOn w:val="StandardL3"/>
    <w:next w:val="BodyText"/>
    <w:rsid w:val="00D579AE"/>
    <w:pPr>
      <w:numPr>
        <w:ilvl w:val="3"/>
      </w:numPr>
      <w:tabs>
        <w:tab w:val="clear" w:pos="2880"/>
        <w:tab w:val="num" w:pos="2160"/>
      </w:tabs>
      <w:ind w:firstLine="1440"/>
    </w:pPr>
  </w:style>
  <w:style w:type="paragraph" w:customStyle="1" w:styleId="StandardL5">
    <w:name w:val="Standard_L5"/>
    <w:basedOn w:val="StandardL4"/>
    <w:next w:val="BodyText"/>
    <w:rsid w:val="00D579AE"/>
    <w:pPr>
      <w:numPr>
        <w:ilvl w:val="4"/>
      </w:numPr>
      <w:outlineLvl w:val="4"/>
    </w:pPr>
  </w:style>
  <w:style w:type="paragraph" w:customStyle="1" w:styleId="StandardL6">
    <w:name w:val="Standard_L6"/>
    <w:basedOn w:val="StandardL5"/>
    <w:next w:val="BodyText"/>
    <w:rsid w:val="00D579AE"/>
    <w:pPr>
      <w:numPr>
        <w:ilvl w:val="5"/>
      </w:numPr>
      <w:outlineLvl w:val="5"/>
    </w:pPr>
  </w:style>
  <w:style w:type="paragraph" w:customStyle="1" w:styleId="StandardL7">
    <w:name w:val="Standard_L7"/>
    <w:basedOn w:val="StandardL6"/>
    <w:next w:val="BodyText"/>
    <w:rsid w:val="00D579AE"/>
    <w:pPr>
      <w:numPr>
        <w:ilvl w:val="6"/>
      </w:numPr>
      <w:outlineLvl w:val="6"/>
    </w:pPr>
  </w:style>
  <w:style w:type="paragraph" w:customStyle="1" w:styleId="StandardL8">
    <w:name w:val="Standard_L8"/>
    <w:basedOn w:val="StandardL7"/>
    <w:next w:val="BodyText"/>
    <w:rsid w:val="00D579AE"/>
    <w:pPr>
      <w:numPr>
        <w:ilvl w:val="7"/>
      </w:numPr>
      <w:outlineLvl w:val="7"/>
    </w:pPr>
  </w:style>
  <w:style w:type="paragraph" w:customStyle="1" w:styleId="StandardL9">
    <w:name w:val="Standard_L9"/>
    <w:basedOn w:val="StandardL8"/>
    <w:next w:val="BodyText"/>
    <w:rsid w:val="00D579AE"/>
    <w:pPr>
      <w:numPr>
        <w:ilvl w:val="8"/>
      </w:numPr>
      <w:outlineLvl w:val="8"/>
    </w:pPr>
  </w:style>
  <w:style w:type="paragraph" w:customStyle="1" w:styleId="PrehearingBody">
    <w:name w:val="Prehearing Body"/>
    <w:basedOn w:val="Normal"/>
    <w:link w:val="PrehearingBodyCharChar"/>
    <w:rsid w:val="005E4987"/>
    <w:pPr>
      <w:spacing w:after="240"/>
      <w:ind w:firstLine="720"/>
      <w:jc w:val="both"/>
    </w:pPr>
  </w:style>
  <w:style w:type="character" w:customStyle="1" w:styleId="PrehearingBodyCharChar">
    <w:name w:val="Prehearing Body Char Char"/>
    <w:link w:val="PrehearingBody"/>
    <w:rsid w:val="005E4987"/>
    <w:rPr>
      <w:sz w:val="24"/>
      <w:szCs w:val="24"/>
    </w:rPr>
  </w:style>
  <w:style w:type="paragraph" w:styleId="ListParagraph">
    <w:name w:val="List Paragraph"/>
    <w:basedOn w:val="Normal"/>
    <w:uiPriority w:val="34"/>
    <w:qFormat/>
    <w:rsid w:val="005E4987"/>
    <w:pPr>
      <w:ind w:left="720"/>
      <w:contextualSpacing/>
    </w:pPr>
  </w:style>
  <w:style w:type="character" w:customStyle="1" w:styleId="PrehearingSection">
    <w:name w:val="Prehearing Section"/>
    <w:rsid w:val="00BB5B40"/>
    <w:rPr>
      <w:u w:val="single"/>
    </w:rPr>
  </w:style>
  <w:style w:type="paragraph" w:customStyle="1" w:styleId="CompanyIssuesHeading">
    <w:name w:val="Company Issues Heading"/>
    <w:basedOn w:val="Normal"/>
    <w:next w:val="Normal"/>
    <w:rsid w:val="00BB5B40"/>
    <w:pPr>
      <w:keepNext/>
      <w:jc w:val="both"/>
    </w:pPr>
    <w:rPr>
      <w:b/>
      <w:i/>
    </w:rPr>
  </w:style>
  <w:style w:type="character" w:customStyle="1" w:styleId="bumpedfont15">
    <w:name w:val="bumpedfont15"/>
    <w:basedOn w:val="DefaultParagraphFont"/>
    <w:rsid w:val="005A2FC0"/>
  </w:style>
  <w:style w:type="paragraph" w:styleId="BalloonText">
    <w:name w:val="Balloon Text"/>
    <w:basedOn w:val="Normal"/>
    <w:link w:val="BalloonTextChar"/>
    <w:rsid w:val="000C76A9"/>
    <w:rPr>
      <w:rFonts w:ascii="Tahoma" w:hAnsi="Tahoma" w:cs="Tahoma"/>
      <w:sz w:val="16"/>
      <w:szCs w:val="16"/>
    </w:rPr>
  </w:style>
  <w:style w:type="character" w:customStyle="1" w:styleId="BalloonTextChar">
    <w:name w:val="Balloon Text Char"/>
    <w:basedOn w:val="DefaultParagraphFont"/>
    <w:link w:val="BalloonText"/>
    <w:rsid w:val="000C7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F87"/>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B52E6"/>
    <w:pPr>
      <w:autoSpaceDE w:val="0"/>
      <w:autoSpaceDN w:val="0"/>
      <w:adjustRightInd w:val="0"/>
      <w:ind w:left="1440"/>
    </w:pPr>
    <w:rPr>
      <w:sz w:val="24"/>
      <w:szCs w:val="24"/>
    </w:rPr>
  </w:style>
  <w:style w:type="character" w:customStyle="1" w:styleId="FootnoteTextChar">
    <w:name w:val="Footnote Text Char"/>
    <w:basedOn w:val="DefaultParagraphFont"/>
    <w:link w:val="FootnoteText"/>
    <w:rsid w:val="00D579AE"/>
  </w:style>
  <w:style w:type="paragraph" w:customStyle="1" w:styleId="StandardL1">
    <w:name w:val="Standard_L1"/>
    <w:basedOn w:val="Normal"/>
    <w:rsid w:val="00D579AE"/>
    <w:pPr>
      <w:numPr>
        <w:numId w:val="2"/>
      </w:numPr>
      <w:spacing w:line="480" w:lineRule="auto"/>
      <w:outlineLvl w:val="0"/>
    </w:pPr>
    <w:rPr>
      <w:szCs w:val="20"/>
    </w:rPr>
  </w:style>
  <w:style w:type="paragraph" w:customStyle="1" w:styleId="StandardL2">
    <w:name w:val="Standard_L2"/>
    <w:basedOn w:val="StandardL1"/>
    <w:next w:val="BodyText"/>
    <w:rsid w:val="00D579AE"/>
    <w:pPr>
      <w:numPr>
        <w:ilvl w:val="1"/>
      </w:numPr>
      <w:spacing w:after="240" w:line="240" w:lineRule="auto"/>
      <w:outlineLvl w:val="1"/>
    </w:pPr>
  </w:style>
  <w:style w:type="paragraph" w:customStyle="1" w:styleId="StandardL3">
    <w:name w:val="Standard_L3"/>
    <w:basedOn w:val="StandardL2"/>
    <w:next w:val="BodyText"/>
    <w:rsid w:val="00D579AE"/>
    <w:pPr>
      <w:numPr>
        <w:ilvl w:val="2"/>
      </w:numPr>
      <w:outlineLvl w:val="2"/>
    </w:pPr>
  </w:style>
  <w:style w:type="paragraph" w:customStyle="1" w:styleId="StandardL4">
    <w:name w:val="Standard_L4"/>
    <w:basedOn w:val="StandardL3"/>
    <w:next w:val="BodyText"/>
    <w:rsid w:val="00D579AE"/>
    <w:pPr>
      <w:numPr>
        <w:ilvl w:val="3"/>
      </w:numPr>
      <w:tabs>
        <w:tab w:val="clear" w:pos="2880"/>
        <w:tab w:val="num" w:pos="2160"/>
      </w:tabs>
      <w:ind w:firstLine="1440"/>
    </w:pPr>
  </w:style>
  <w:style w:type="paragraph" w:customStyle="1" w:styleId="StandardL5">
    <w:name w:val="Standard_L5"/>
    <w:basedOn w:val="StandardL4"/>
    <w:next w:val="BodyText"/>
    <w:rsid w:val="00D579AE"/>
    <w:pPr>
      <w:numPr>
        <w:ilvl w:val="4"/>
      </w:numPr>
      <w:outlineLvl w:val="4"/>
    </w:pPr>
  </w:style>
  <w:style w:type="paragraph" w:customStyle="1" w:styleId="StandardL6">
    <w:name w:val="Standard_L6"/>
    <w:basedOn w:val="StandardL5"/>
    <w:next w:val="BodyText"/>
    <w:rsid w:val="00D579AE"/>
    <w:pPr>
      <w:numPr>
        <w:ilvl w:val="5"/>
      </w:numPr>
      <w:outlineLvl w:val="5"/>
    </w:pPr>
  </w:style>
  <w:style w:type="paragraph" w:customStyle="1" w:styleId="StandardL7">
    <w:name w:val="Standard_L7"/>
    <w:basedOn w:val="StandardL6"/>
    <w:next w:val="BodyText"/>
    <w:rsid w:val="00D579AE"/>
    <w:pPr>
      <w:numPr>
        <w:ilvl w:val="6"/>
      </w:numPr>
      <w:outlineLvl w:val="6"/>
    </w:pPr>
  </w:style>
  <w:style w:type="paragraph" w:customStyle="1" w:styleId="StandardL8">
    <w:name w:val="Standard_L8"/>
    <w:basedOn w:val="StandardL7"/>
    <w:next w:val="BodyText"/>
    <w:rsid w:val="00D579AE"/>
    <w:pPr>
      <w:numPr>
        <w:ilvl w:val="7"/>
      </w:numPr>
      <w:outlineLvl w:val="7"/>
    </w:pPr>
  </w:style>
  <w:style w:type="paragraph" w:customStyle="1" w:styleId="StandardL9">
    <w:name w:val="Standard_L9"/>
    <w:basedOn w:val="StandardL8"/>
    <w:next w:val="BodyText"/>
    <w:rsid w:val="00D579AE"/>
    <w:pPr>
      <w:numPr>
        <w:ilvl w:val="8"/>
      </w:numPr>
      <w:outlineLvl w:val="8"/>
    </w:pPr>
  </w:style>
  <w:style w:type="paragraph" w:customStyle="1" w:styleId="PrehearingBody">
    <w:name w:val="Prehearing Body"/>
    <w:basedOn w:val="Normal"/>
    <w:link w:val="PrehearingBodyCharChar"/>
    <w:rsid w:val="005E4987"/>
    <w:pPr>
      <w:spacing w:after="240"/>
      <w:ind w:firstLine="720"/>
      <w:jc w:val="both"/>
    </w:pPr>
  </w:style>
  <w:style w:type="character" w:customStyle="1" w:styleId="PrehearingBodyCharChar">
    <w:name w:val="Prehearing Body Char Char"/>
    <w:link w:val="PrehearingBody"/>
    <w:rsid w:val="005E4987"/>
    <w:rPr>
      <w:sz w:val="24"/>
      <w:szCs w:val="24"/>
    </w:rPr>
  </w:style>
  <w:style w:type="paragraph" w:styleId="ListParagraph">
    <w:name w:val="List Paragraph"/>
    <w:basedOn w:val="Normal"/>
    <w:uiPriority w:val="34"/>
    <w:qFormat/>
    <w:rsid w:val="005E4987"/>
    <w:pPr>
      <w:ind w:left="720"/>
      <w:contextualSpacing/>
    </w:pPr>
  </w:style>
  <w:style w:type="character" w:customStyle="1" w:styleId="PrehearingSection">
    <w:name w:val="Prehearing Section"/>
    <w:rsid w:val="00BB5B40"/>
    <w:rPr>
      <w:u w:val="single"/>
    </w:rPr>
  </w:style>
  <w:style w:type="paragraph" w:customStyle="1" w:styleId="CompanyIssuesHeading">
    <w:name w:val="Company Issues Heading"/>
    <w:basedOn w:val="Normal"/>
    <w:next w:val="Normal"/>
    <w:rsid w:val="00BB5B40"/>
    <w:pPr>
      <w:keepNext/>
      <w:jc w:val="both"/>
    </w:pPr>
    <w:rPr>
      <w:b/>
      <w:i/>
    </w:rPr>
  </w:style>
  <w:style w:type="character" w:customStyle="1" w:styleId="bumpedfont15">
    <w:name w:val="bumpedfont15"/>
    <w:basedOn w:val="DefaultParagraphFont"/>
    <w:rsid w:val="005A2FC0"/>
  </w:style>
  <w:style w:type="paragraph" w:styleId="BalloonText">
    <w:name w:val="Balloon Text"/>
    <w:basedOn w:val="Normal"/>
    <w:link w:val="BalloonTextChar"/>
    <w:rsid w:val="000C76A9"/>
    <w:rPr>
      <w:rFonts w:ascii="Tahoma" w:hAnsi="Tahoma" w:cs="Tahoma"/>
      <w:sz w:val="16"/>
      <w:szCs w:val="16"/>
    </w:rPr>
  </w:style>
  <w:style w:type="character" w:customStyle="1" w:styleId="BalloonTextChar">
    <w:name w:val="Balloon Text Char"/>
    <w:basedOn w:val="DefaultParagraphFont"/>
    <w:link w:val="BalloonText"/>
    <w:rsid w:val="000C7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926">
      <w:bodyDiv w:val="1"/>
      <w:marLeft w:val="0"/>
      <w:marRight w:val="0"/>
      <w:marTop w:val="0"/>
      <w:marBottom w:val="0"/>
      <w:divBdr>
        <w:top w:val="none" w:sz="0" w:space="0" w:color="auto"/>
        <w:left w:val="none" w:sz="0" w:space="0" w:color="auto"/>
        <w:bottom w:val="none" w:sz="0" w:space="0" w:color="auto"/>
        <w:right w:val="none" w:sz="0" w:space="0" w:color="auto"/>
      </w:divBdr>
    </w:div>
    <w:div w:id="306129134">
      <w:bodyDiv w:val="1"/>
      <w:marLeft w:val="0"/>
      <w:marRight w:val="0"/>
      <w:marTop w:val="0"/>
      <w:marBottom w:val="0"/>
      <w:divBdr>
        <w:top w:val="none" w:sz="0" w:space="0" w:color="auto"/>
        <w:left w:val="none" w:sz="0" w:space="0" w:color="auto"/>
        <w:bottom w:val="none" w:sz="0" w:space="0" w:color="auto"/>
        <w:right w:val="none" w:sz="0" w:space="0" w:color="auto"/>
      </w:divBdr>
    </w:div>
    <w:div w:id="453641742">
      <w:bodyDiv w:val="1"/>
      <w:marLeft w:val="0"/>
      <w:marRight w:val="0"/>
      <w:marTop w:val="0"/>
      <w:marBottom w:val="0"/>
      <w:divBdr>
        <w:top w:val="none" w:sz="0" w:space="0" w:color="auto"/>
        <w:left w:val="none" w:sz="0" w:space="0" w:color="auto"/>
        <w:bottom w:val="none" w:sz="0" w:space="0" w:color="auto"/>
        <w:right w:val="none" w:sz="0" w:space="0" w:color="auto"/>
      </w:divBdr>
    </w:div>
    <w:div w:id="544029108">
      <w:bodyDiv w:val="1"/>
      <w:marLeft w:val="0"/>
      <w:marRight w:val="0"/>
      <w:marTop w:val="0"/>
      <w:marBottom w:val="0"/>
      <w:divBdr>
        <w:top w:val="none" w:sz="0" w:space="0" w:color="auto"/>
        <w:left w:val="none" w:sz="0" w:space="0" w:color="auto"/>
        <w:bottom w:val="none" w:sz="0" w:space="0" w:color="auto"/>
        <w:right w:val="none" w:sz="0" w:space="0" w:color="auto"/>
      </w:divBdr>
    </w:div>
    <w:div w:id="622805144">
      <w:bodyDiv w:val="1"/>
      <w:marLeft w:val="0"/>
      <w:marRight w:val="0"/>
      <w:marTop w:val="0"/>
      <w:marBottom w:val="0"/>
      <w:divBdr>
        <w:top w:val="none" w:sz="0" w:space="0" w:color="auto"/>
        <w:left w:val="none" w:sz="0" w:space="0" w:color="auto"/>
        <w:bottom w:val="none" w:sz="0" w:space="0" w:color="auto"/>
        <w:right w:val="none" w:sz="0" w:space="0" w:color="auto"/>
      </w:divBdr>
    </w:div>
    <w:div w:id="957688927">
      <w:bodyDiv w:val="1"/>
      <w:marLeft w:val="0"/>
      <w:marRight w:val="0"/>
      <w:marTop w:val="0"/>
      <w:marBottom w:val="0"/>
      <w:divBdr>
        <w:top w:val="none" w:sz="0" w:space="0" w:color="auto"/>
        <w:left w:val="none" w:sz="0" w:space="0" w:color="auto"/>
        <w:bottom w:val="none" w:sz="0" w:space="0" w:color="auto"/>
        <w:right w:val="none" w:sz="0" w:space="0" w:color="auto"/>
      </w:divBdr>
    </w:div>
    <w:div w:id="18289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05A1-22C6-46A3-A3FF-596847BC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18</Pages>
  <Words>4870</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2016-08-03T12:15:00Z</dcterms:created>
  <dcterms:modified xsi:type="dcterms:W3CDTF">2016-08-03T12:40:00Z</dcterms:modified>
</cp:coreProperties>
</file>