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92353" w:rsidP="00E92353">
      <w:pPr>
        <w:pStyle w:val="OrderHeading"/>
      </w:pPr>
      <w:r>
        <w:t>BEFORE THE FLORIDA PUBLIC SERVICE COMMISSION</w:t>
      </w:r>
    </w:p>
    <w:p w:rsidR="00235D41" w:rsidRDefault="00235D41" w:rsidP="00B96A34">
      <w:pPr>
        <w:pStyle w:val="OrderHeading"/>
      </w:pPr>
    </w:p>
    <w:p w:rsidR="00513057" w:rsidRDefault="00513057" w:rsidP="00B96A34">
      <w:pPr>
        <w:pStyle w:val="OrderHeading"/>
      </w:pPr>
    </w:p>
    <w:tbl>
      <w:tblPr>
        <w:tblW w:w="0" w:type="auto"/>
        <w:tblBorders>
          <w:insideV w:val="double" w:sz="4" w:space="0" w:color="auto"/>
        </w:tblBorders>
        <w:tblLook w:val="01E0" w:firstRow="1" w:lastRow="1" w:firstColumn="1" w:lastColumn="1" w:noHBand="0" w:noVBand="0"/>
      </w:tblPr>
      <w:tblGrid>
        <w:gridCol w:w="4788"/>
        <w:gridCol w:w="4788"/>
      </w:tblGrid>
      <w:tr w:rsidR="00E92353" w:rsidRPr="00C63FCF" w:rsidTr="00C63FCF">
        <w:trPr>
          <w:trHeight w:val="828"/>
        </w:trPr>
        <w:tc>
          <w:tcPr>
            <w:tcW w:w="4788" w:type="dxa"/>
            <w:tcBorders>
              <w:bottom w:val="nil"/>
              <w:right w:val="double" w:sz="6" w:space="0" w:color="auto"/>
            </w:tcBorders>
            <w:shd w:val="clear" w:color="auto" w:fill="auto"/>
          </w:tcPr>
          <w:p w:rsidR="00E92353" w:rsidRDefault="00E92353" w:rsidP="00C63FCF">
            <w:pPr>
              <w:pStyle w:val="OrderBody"/>
              <w:tabs>
                <w:tab w:val="center" w:pos="4320"/>
                <w:tab w:val="right" w:pos="8640"/>
              </w:tabs>
              <w:jc w:val="left"/>
            </w:pPr>
            <w:r>
              <w:t xml:space="preserve">In re: </w:t>
            </w:r>
            <w:bookmarkStart w:id="0" w:name="SMInRe"/>
            <w:bookmarkEnd w:id="0"/>
            <w:r>
              <w:t>Petition for rate increase by Florida Power &amp; Light Company.</w:t>
            </w:r>
          </w:p>
          <w:p w:rsidR="00E92353" w:rsidRDefault="00E92353"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E92353" w:rsidRDefault="00E92353" w:rsidP="00C63FCF">
            <w:pPr>
              <w:pStyle w:val="OrderBody"/>
              <w:tabs>
                <w:tab w:val="center" w:pos="4320"/>
                <w:tab w:val="right" w:pos="8640"/>
              </w:tabs>
              <w:jc w:val="left"/>
            </w:pPr>
            <w:r>
              <w:t xml:space="preserve">DOCKET NO. </w:t>
            </w:r>
            <w:bookmarkStart w:id="1" w:name="SMDocketNo"/>
            <w:bookmarkEnd w:id="1"/>
            <w:r>
              <w:t>160021-EI</w:t>
            </w:r>
          </w:p>
        </w:tc>
      </w:tr>
      <w:tr w:rsidR="00E92353" w:rsidRPr="00C63FCF" w:rsidTr="00C63FCF">
        <w:trPr>
          <w:trHeight w:val="828"/>
        </w:trPr>
        <w:tc>
          <w:tcPr>
            <w:tcW w:w="4788" w:type="dxa"/>
            <w:tcBorders>
              <w:bottom w:val="nil"/>
              <w:right w:val="double" w:sz="6" w:space="0" w:color="auto"/>
            </w:tcBorders>
            <w:shd w:val="clear" w:color="auto" w:fill="auto"/>
          </w:tcPr>
          <w:p w:rsidR="00E92353" w:rsidRDefault="00E92353" w:rsidP="00C63FCF">
            <w:pPr>
              <w:pStyle w:val="OrderBody"/>
              <w:tabs>
                <w:tab w:val="center" w:pos="4320"/>
                <w:tab w:val="right" w:pos="8640"/>
              </w:tabs>
              <w:jc w:val="left"/>
            </w:pPr>
            <w:r>
              <w:t>In re: Petition for approval of 2016-2018 storm hardening plan, by Florida Power &amp; Light Company.</w:t>
            </w:r>
          </w:p>
          <w:p w:rsidR="00E92353" w:rsidRDefault="00E92353"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E92353" w:rsidRDefault="00E92353" w:rsidP="00C63FCF">
            <w:pPr>
              <w:pStyle w:val="OrderBody"/>
              <w:tabs>
                <w:tab w:val="center" w:pos="4320"/>
                <w:tab w:val="right" w:pos="8640"/>
              </w:tabs>
              <w:jc w:val="left"/>
            </w:pPr>
            <w:r>
              <w:t>DOCKET NO. 160061-EI</w:t>
            </w:r>
          </w:p>
          <w:p w:rsidR="00E92353" w:rsidRDefault="00E92353" w:rsidP="00C63FCF">
            <w:pPr>
              <w:pStyle w:val="OrderBody"/>
              <w:tabs>
                <w:tab w:val="center" w:pos="4320"/>
                <w:tab w:val="right" w:pos="8640"/>
              </w:tabs>
              <w:jc w:val="left"/>
            </w:pPr>
          </w:p>
        </w:tc>
      </w:tr>
      <w:tr w:rsidR="00E92353" w:rsidRPr="00C63FCF" w:rsidTr="00C63FCF">
        <w:trPr>
          <w:trHeight w:val="828"/>
        </w:trPr>
        <w:tc>
          <w:tcPr>
            <w:tcW w:w="4788" w:type="dxa"/>
            <w:tcBorders>
              <w:bottom w:val="nil"/>
              <w:right w:val="double" w:sz="6" w:space="0" w:color="auto"/>
            </w:tcBorders>
            <w:shd w:val="clear" w:color="auto" w:fill="auto"/>
          </w:tcPr>
          <w:p w:rsidR="00E92353" w:rsidRDefault="00E92353" w:rsidP="00C63FCF">
            <w:pPr>
              <w:pStyle w:val="OrderBody"/>
              <w:tabs>
                <w:tab w:val="center" w:pos="4320"/>
                <w:tab w:val="right" w:pos="8640"/>
              </w:tabs>
              <w:jc w:val="left"/>
            </w:pPr>
            <w:r>
              <w:t>In re: 2016 depreciation and dismantlement study by Florida Power &amp; Light Company.</w:t>
            </w:r>
          </w:p>
          <w:p w:rsidR="00E92353" w:rsidRDefault="00E92353"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E92353" w:rsidRDefault="00E92353" w:rsidP="00C63FCF">
            <w:pPr>
              <w:pStyle w:val="OrderBody"/>
              <w:tabs>
                <w:tab w:val="center" w:pos="4320"/>
                <w:tab w:val="right" w:pos="8640"/>
              </w:tabs>
              <w:jc w:val="left"/>
            </w:pPr>
            <w:r>
              <w:t>DOCKET NO. 160062-EI</w:t>
            </w:r>
          </w:p>
          <w:p w:rsidR="00E92353" w:rsidRDefault="00E92353" w:rsidP="00C63FCF">
            <w:pPr>
              <w:pStyle w:val="OrderBody"/>
              <w:tabs>
                <w:tab w:val="center" w:pos="4320"/>
                <w:tab w:val="right" w:pos="8640"/>
              </w:tabs>
              <w:jc w:val="left"/>
            </w:pPr>
          </w:p>
        </w:tc>
      </w:tr>
      <w:tr w:rsidR="00E92353" w:rsidRPr="00C63FCF" w:rsidTr="00C63FCF">
        <w:trPr>
          <w:trHeight w:val="828"/>
        </w:trPr>
        <w:tc>
          <w:tcPr>
            <w:tcW w:w="4788" w:type="dxa"/>
            <w:tcBorders>
              <w:top w:val="nil"/>
              <w:bottom w:val="single" w:sz="8" w:space="0" w:color="auto"/>
              <w:right w:val="double" w:sz="6" w:space="0" w:color="auto"/>
            </w:tcBorders>
            <w:shd w:val="clear" w:color="auto" w:fill="auto"/>
          </w:tcPr>
          <w:p w:rsidR="00E92353" w:rsidRDefault="00E92353" w:rsidP="00C63FCF">
            <w:pPr>
              <w:pStyle w:val="OrderBody"/>
              <w:tabs>
                <w:tab w:val="center" w:pos="4320"/>
                <w:tab w:val="right" w:pos="8640"/>
              </w:tabs>
              <w:jc w:val="left"/>
            </w:pPr>
            <w:r>
              <w:t>In re: Petition for limited proceeding to modify and continue incentive mechanism, by Florida Power &amp; Light Company.</w:t>
            </w:r>
          </w:p>
        </w:tc>
        <w:tc>
          <w:tcPr>
            <w:tcW w:w="4788" w:type="dxa"/>
            <w:tcBorders>
              <w:left w:val="double" w:sz="6" w:space="0" w:color="auto"/>
            </w:tcBorders>
            <w:shd w:val="clear" w:color="auto" w:fill="auto"/>
          </w:tcPr>
          <w:p w:rsidR="00E92353" w:rsidRDefault="00E92353" w:rsidP="00E92353">
            <w:pPr>
              <w:pStyle w:val="OrderBody"/>
            </w:pPr>
            <w:r>
              <w:t xml:space="preserve">DOCKET NO. </w:t>
            </w:r>
            <w:bookmarkStart w:id="2" w:name="SMDocketNo2"/>
            <w:bookmarkEnd w:id="2"/>
            <w:r>
              <w:t>160088-EI</w:t>
            </w:r>
          </w:p>
          <w:p w:rsidR="00E92353" w:rsidRDefault="00E92353" w:rsidP="00C63FCF">
            <w:pPr>
              <w:pStyle w:val="OrderBody"/>
              <w:tabs>
                <w:tab w:val="center" w:pos="4320"/>
                <w:tab w:val="right" w:pos="8640"/>
              </w:tabs>
              <w:jc w:val="left"/>
            </w:pPr>
            <w:r>
              <w:t xml:space="preserve">ORDER NO. </w:t>
            </w:r>
            <w:bookmarkStart w:id="3" w:name="OrderNo0483"/>
            <w:r w:rsidR="005669E8">
              <w:t>PSC-16-0483-PHO-EI</w:t>
            </w:r>
            <w:bookmarkEnd w:id="3"/>
          </w:p>
          <w:p w:rsidR="00E92353" w:rsidRDefault="00E92353" w:rsidP="00C63FCF">
            <w:pPr>
              <w:pStyle w:val="OrderBody"/>
              <w:tabs>
                <w:tab w:val="center" w:pos="4320"/>
                <w:tab w:val="right" w:pos="8640"/>
              </w:tabs>
              <w:jc w:val="left"/>
            </w:pPr>
            <w:r>
              <w:t xml:space="preserve">ISSUED: </w:t>
            </w:r>
            <w:r w:rsidR="005669E8">
              <w:t>October 24, 2016</w:t>
            </w:r>
          </w:p>
          <w:p w:rsidR="00E92353" w:rsidRDefault="00E92353" w:rsidP="00C63FCF">
            <w:pPr>
              <w:pStyle w:val="OrderBody"/>
              <w:tabs>
                <w:tab w:val="center" w:pos="4320"/>
                <w:tab w:val="right" w:pos="8640"/>
              </w:tabs>
              <w:jc w:val="left"/>
            </w:pPr>
          </w:p>
        </w:tc>
      </w:tr>
    </w:tbl>
    <w:p w:rsidR="00E92353" w:rsidRDefault="00E92353" w:rsidP="00E92353"/>
    <w:p w:rsidR="00CB5276" w:rsidRDefault="004E3283" w:rsidP="00E92353">
      <w:pPr>
        <w:pStyle w:val="CenterUnderline"/>
      </w:pPr>
      <w:bookmarkStart w:id="4" w:name="Commissioners"/>
      <w:bookmarkStart w:id="5" w:name="OrderTitle"/>
      <w:bookmarkEnd w:id="4"/>
      <w:r>
        <w:t>SECOND PREHEARING ORDER</w:t>
      </w:r>
      <w:r w:rsidR="00E92353">
        <w:t xml:space="preserve"> </w:t>
      </w:r>
      <w:bookmarkEnd w:id="5"/>
    </w:p>
    <w:p w:rsidR="00E92353" w:rsidRDefault="00E92353" w:rsidP="00E92353">
      <w:pPr>
        <w:pStyle w:val="CenterUnderline"/>
      </w:pPr>
    </w:p>
    <w:p w:rsidR="004E3283" w:rsidRDefault="004E3283" w:rsidP="004E3283">
      <w:pPr>
        <w:pStyle w:val="CenterUnderline"/>
        <w:jc w:val="both"/>
        <w:rPr>
          <w:b/>
        </w:rPr>
      </w:pPr>
      <w:r>
        <w:rPr>
          <w:b/>
          <w:u w:val="none"/>
        </w:rPr>
        <w:t xml:space="preserve">I. </w:t>
      </w:r>
      <w:r>
        <w:rPr>
          <w:b/>
          <w:u w:val="none"/>
        </w:rPr>
        <w:tab/>
      </w:r>
      <w:r w:rsidRPr="004E3283">
        <w:rPr>
          <w:b/>
        </w:rPr>
        <w:t>Background</w:t>
      </w:r>
    </w:p>
    <w:p w:rsidR="004E3283" w:rsidRDefault="004E3283" w:rsidP="004E3283">
      <w:pPr>
        <w:pStyle w:val="CenterUnderline"/>
        <w:jc w:val="both"/>
        <w:rPr>
          <w:b/>
        </w:rPr>
      </w:pPr>
    </w:p>
    <w:p w:rsidR="004E3283" w:rsidRDefault="004E3283" w:rsidP="004E3283">
      <w:pPr>
        <w:pStyle w:val="CenterUnderline"/>
        <w:jc w:val="both"/>
        <w:rPr>
          <w:u w:val="none"/>
        </w:rPr>
      </w:pPr>
      <w:r>
        <w:rPr>
          <w:u w:val="none"/>
        </w:rPr>
        <w:tab/>
      </w:r>
      <w:r w:rsidR="00306CF2">
        <w:rPr>
          <w:u w:val="none"/>
        </w:rPr>
        <w:t>On January 15, 2016, Florida Power &amp; Light Company (FPL) filed a test year letter, as required by Rule 25-6.140, Florida Administrative Code (F.A.C.), notifying the Florida Public Service Commission (Commission) of its intent to file a petition for an increase in rates effective 2017.  Pursuant to the provisions of Chapter 366, Florida Statutes (F.S.), and Rules 25-6.0425 and 25-6.043, F.A.C., FPL filed its Minimum Filing Requirements and testimony on March 15, 2016.  Docket Nos. 160061-EI (2016</w:t>
      </w:r>
      <w:r w:rsidR="005C40BC">
        <w:rPr>
          <w:u w:val="none"/>
        </w:rPr>
        <w:t xml:space="preserve">-2018 </w:t>
      </w:r>
      <w:r w:rsidR="00306CF2">
        <w:rPr>
          <w:u w:val="none"/>
        </w:rPr>
        <w:t xml:space="preserve">Storm Hardening Plan), 160062-EI (2016 Depreciation and Dismantlement Study) and 160088-EI (Incentive Mechanism), were thereafter consolidated into the rate case docket, Docket No. 160021-EI.  </w:t>
      </w:r>
      <w:r w:rsidRPr="004E3283">
        <w:rPr>
          <w:u w:val="none"/>
        </w:rPr>
        <w:t>Nine parties were granted intervention in the docket.</w:t>
      </w:r>
      <w:r w:rsidRPr="004E3283">
        <w:rPr>
          <w:rStyle w:val="FootnoteReference"/>
          <w:u w:val="none"/>
        </w:rPr>
        <w:footnoteReference w:id="1"/>
      </w:r>
      <w:r w:rsidRPr="004E3283">
        <w:rPr>
          <w:u w:val="none"/>
        </w:rPr>
        <w:t xml:space="preserve">  An administrative hearing on FPL’s request for a rate increase </w:t>
      </w:r>
      <w:r w:rsidR="00306CF2">
        <w:rPr>
          <w:u w:val="none"/>
        </w:rPr>
        <w:t xml:space="preserve">was conducted on </w:t>
      </w:r>
      <w:r w:rsidRPr="004E3283">
        <w:rPr>
          <w:u w:val="none"/>
        </w:rPr>
        <w:t>August 22, 2016</w:t>
      </w:r>
      <w:r w:rsidR="00E90783">
        <w:rPr>
          <w:u w:val="none"/>
        </w:rPr>
        <w:t xml:space="preserve"> </w:t>
      </w:r>
      <w:r w:rsidR="00306CF2">
        <w:rPr>
          <w:u w:val="none"/>
        </w:rPr>
        <w:t>-</w:t>
      </w:r>
      <w:r w:rsidR="00E90783">
        <w:rPr>
          <w:u w:val="none"/>
        </w:rPr>
        <w:t xml:space="preserve"> </w:t>
      </w:r>
      <w:r w:rsidR="00306CF2">
        <w:rPr>
          <w:u w:val="none"/>
        </w:rPr>
        <w:t>August 26, 2016</w:t>
      </w:r>
      <w:r w:rsidRPr="004E3283">
        <w:rPr>
          <w:u w:val="none"/>
        </w:rPr>
        <w:t xml:space="preserve">, and </w:t>
      </w:r>
      <w:r w:rsidR="00306CF2">
        <w:rPr>
          <w:u w:val="none"/>
        </w:rPr>
        <w:t>August 29, 2016</w:t>
      </w:r>
      <w:r w:rsidR="00E90783">
        <w:rPr>
          <w:u w:val="none"/>
        </w:rPr>
        <w:t xml:space="preserve"> </w:t>
      </w:r>
      <w:r w:rsidR="00306CF2">
        <w:rPr>
          <w:u w:val="none"/>
        </w:rPr>
        <w:t>-</w:t>
      </w:r>
      <w:r w:rsidR="00E90783">
        <w:rPr>
          <w:u w:val="none"/>
        </w:rPr>
        <w:t xml:space="preserve"> </w:t>
      </w:r>
      <w:r w:rsidRPr="004E3283">
        <w:rPr>
          <w:u w:val="none"/>
        </w:rPr>
        <w:t>September 1, 2016.  On October 6, 2016, FPL and three of the nine intervening parties (signatories)</w:t>
      </w:r>
      <w:r w:rsidR="00306CF2" w:rsidRPr="004E3283">
        <w:rPr>
          <w:rStyle w:val="FootnoteReference"/>
          <w:u w:val="none"/>
        </w:rPr>
        <w:footnoteReference w:id="2"/>
      </w:r>
      <w:r w:rsidR="00306CF2">
        <w:rPr>
          <w:u w:val="none"/>
        </w:rPr>
        <w:t xml:space="preserve"> </w:t>
      </w:r>
      <w:r w:rsidRPr="004E3283">
        <w:rPr>
          <w:u w:val="none"/>
        </w:rPr>
        <w:t>filed a Joint Motion for Approval of Settlement Agreement (Settlement Agreement).</w:t>
      </w:r>
      <w:r w:rsidR="0085037F">
        <w:rPr>
          <w:u w:val="none"/>
        </w:rPr>
        <w:t xml:space="preserve">  Pursuant to </w:t>
      </w:r>
      <w:r>
        <w:rPr>
          <w:u w:val="none"/>
        </w:rPr>
        <w:t>Order No. PSC-16-0456-PCO-EI</w:t>
      </w:r>
      <w:r w:rsidR="009934DF">
        <w:rPr>
          <w:u w:val="none"/>
        </w:rPr>
        <w:t xml:space="preserve">, issued on October 12, 2016, </w:t>
      </w:r>
      <w:r>
        <w:rPr>
          <w:u w:val="none"/>
        </w:rPr>
        <w:t xml:space="preserve">an administrative hearing </w:t>
      </w:r>
      <w:r w:rsidR="0085037F">
        <w:rPr>
          <w:u w:val="none"/>
        </w:rPr>
        <w:t xml:space="preserve">is scheduled </w:t>
      </w:r>
      <w:r w:rsidR="009934DF">
        <w:rPr>
          <w:u w:val="none"/>
        </w:rPr>
        <w:t>for October 27, 2016, to reopen the record and take supplemental testimony regarding the terms and conditions of the Settlement Agreement not previously addressed in the prior hearing.</w:t>
      </w:r>
      <w:r w:rsidR="0085037F">
        <w:rPr>
          <w:u w:val="none"/>
        </w:rPr>
        <w:t xml:space="preserve">  </w:t>
      </w:r>
      <w:r w:rsidR="00721DA1">
        <w:rPr>
          <w:u w:val="none"/>
        </w:rPr>
        <w:t>On October 21, 2016,</w:t>
      </w:r>
      <w:r w:rsidR="0085037F">
        <w:rPr>
          <w:u w:val="none"/>
        </w:rPr>
        <w:t xml:space="preserve"> </w:t>
      </w:r>
      <w:r w:rsidR="00721DA1">
        <w:rPr>
          <w:u w:val="none"/>
        </w:rPr>
        <w:t xml:space="preserve">pursuant to Order No. PSC-16-0456-PCO-EI, AARP timely filed its Notice of Witness Appearance </w:t>
      </w:r>
      <w:r w:rsidR="00A72C90">
        <w:rPr>
          <w:u w:val="none"/>
        </w:rPr>
        <w:t xml:space="preserve">identifying </w:t>
      </w:r>
      <w:r w:rsidR="00721DA1">
        <w:rPr>
          <w:u w:val="none"/>
        </w:rPr>
        <w:t xml:space="preserve">Michael Brosch as </w:t>
      </w:r>
      <w:r w:rsidR="00A72C90">
        <w:rPr>
          <w:u w:val="none"/>
        </w:rPr>
        <w:t>its direct</w:t>
      </w:r>
      <w:r w:rsidR="00721DA1">
        <w:rPr>
          <w:u w:val="none"/>
        </w:rPr>
        <w:t xml:space="preserve"> witness </w:t>
      </w:r>
      <w:r w:rsidR="0085037F">
        <w:rPr>
          <w:u w:val="none"/>
        </w:rPr>
        <w:t xml:space="preserve">for the hearing scheduled for </w:t>
      </w:r>
      <w:r w:rsidR="00721DA1">
        <w:rPr>
          <w:u w:val="none"/>
        </w:rPr>
        <w:t xml:space="preserve">October 27, 2016.  </w:t>
      </w:r>
      <w:r w:rsidR="009934DF">
        <w:rPr>
          <w:u w:val="none"/>
        </w:rPr>
        <w:t xml:space="preserve">The sole issue </w:t>
      </w:r>
      <w:r w:rsidR="0085037F">
        <w:rPr>
          <w:u w:val="none"/>
        </w:rPr>
        <w:t xml:space="preserve">for consideration at the October 27, 2016 hearing </w:t>
      </w:r>
      <w:r w:rsidR="009934DF">
        <w:rPr>
          <w:u w:val="none"/>
        </w:rPr>
        <w:t xml:space="preserve">is: </w:t>
      </w:r>
      <w:r w:rsidR="009934DF" w:rsidRPr="0085037F">
        <w:rPr>
          <w:i/>
          <w:u w:val="none"/>
        </w:rPr>
        <w:t>Is it in the public interest for the Settlement Agreement to be approved?</w:t>
      </w:r>
    </w:p>
    <w:p w:rsidR="009934DF" w:rsidRDefault="009934DF" w:rsidP="004E3283">
      <w:pPr>
        <w:pStyle w:val="CenterUnderline"/>
        <w:jc w:val="both"/>
        <w:rPr>
          <w:b/>
        </w:rPr>
      </w:pPr>
      <w:r>
        <w:rPr>
          <w:b/>
          <w:u w:val="none"/>
        </w:rPr>
        <w:lastRenderedPageBreak/>
        <w:t>II.</w:t>
      </w:r>
      <w:r>
        <w:rPr>
          <w:b/>
          <w:u w:val="none"/>
        </w:rPr>
        <w:tab/>
      </w:r>
      <w:r w:rsidRPr="009934DF">
        <w:rPr>
          <w:b/>
        </w:rPr>
        <w:t>Jurisdiction</w:t>
      </w:r>
    </w:p>
    <w:p w:rsidR="009934DF" w:rsidRDefault="009934DF" w:rsidP="004E3283">
      <w:pPr>
        <w:pStyle w:val="CenterUnderline"/>
        <w:jc w:val="both"/>
        <w:rPr>
          <w:b/>
        </w:rPr>
      </w:pPr>
    </w:p>
    <w:p w:rsidR="00364CB1" w:rsidRPr="00701945" w:rsidRDefault="009934DF" w:rsidP="00364CB1">
      <w:pPr>
        <w:jc w:val="both"/>
      </w:pPr>
      <w:r>
        <w:tab/>
      </w:r>
      <w:r w:rsidR="00364CB1" w:rsidRPr="00701945">
        <w:t xml:space="preserve">This Commission is vested with jurisdiction over the subject matter by the provisions of Chapter </w:t>
      </w:r>
      <w:r w:rsidR="00364CB1">
        <w:t>366</w:t>
      </w:r>
      <w:r w:rsidR="00364CB1" w:rsidRPr="00701945">
        <w:t xml:space="preserve">, </w:t>
      </w:r>
      <w:r w:rsidR="00364CB1">
        <w:t>Florida Statutes (F.S</w:t>
      </w:r>
      <w:r w:rsidR="00364CB1" w:rsidRPr="00701945">
        <w:t>.</w:t>
      </w:r>
      <w:r w:rsidR="00364CB1">
        <w:t xml:space="preserve">).  </w:t>
      </w:r>
      <w:r w:rsidR="00364CB1" w:rsidRPr="00701945">
        <w:t>This hearing will be governed by said Chapter and Chapters</w:t>
      </w:r>
      <w:r w:rsidR="00364CB1">
        <w:t xml:space="preserve"> 25-6</w:t>
      </w:r>
      <w:r w:rsidR="00364CB1" w:rsidRPr="00701945">
        <w:t xml:space="preserve">, 25-22, and 28-106, </w:t>
      </w:r>
      <w:r w:rsidR="00364CB1">
        <w:t>F.A.C., as well as any other applicable provisions of law</w:t>
      </w:r>
      <w:r w:rsidR="00364CB1" w:rsidRPr="00701945">
        <w:t>.</w:t>
      </w:r>
    </w:p>
    <w:p w:rsidR="0085037F" w:rsidRDefault="0085037F" w:rsidP="004E3283">
      <w:pPr>
        <w:pStyle w:val="CenterUnderline"/>
        <w:jc w:val="both"/>
        <w:rPr>
          <w:b/>
          <w:u w:val="none"/>
        </w:rPr>
      </w:pPr>
    </w:p>
    <w:p w:rsidR="009934DF" w:rsidRDefault="00364CB1" w:rsidP="004E3283">
      <w:pPr>
        <w:pStyle w:val="CenterUnderline"/>
        <w:jc w:val="both"/>
        <w:rPr>
          <w:b/>
        </w:rPr>
      </w:pPr>
      <w:r>
        <w:rPr>
          <w:b/>
          <w:u w:val="none"/>
        </w:rPr>
        <w:t>III.</w:t>
      </w:r>
      <w:r>
        <w:rPr>
          <w:b/>
          <w:u w:val="none"/>
        </w:rPr>
        <w:tab/>
      </w:r>
      <w:r>
        <w:rPr>
          <w:b/>
        </w:rPr>
        <w:t>Order of Witnesses</w:t>
      </w:r>
    </w:p>
    <w:p w:rsidR="00364CB1" w:rsidRDefault="00364CB1" w:rsidP="004E3283">
      <w:pPr>
        <w:pStyle w:val="CenterUnderline"/>
        <w:jc w:val="both"/>
        <w:rPr>
          <w:b/>
        </w:rPr>
      </w:pPr>
    </w:p>
    <w:p w:rsidR="00364CB1" w:rsidRDefault="00364CB1" w:rsidP="00364CB1">
      <w:pPr>
        <w:jc w:val="both"/>
        <w:rPr>
          <w:u w:val="single"/>
        </w:rPr>
      </w:pPr>
      <w:r>
        <w:rPr>
          <w:u w:val="single"/>
        </w:rPr>
        <w:t>Witness</w:t>
      </w:r>
      <w:r>
        <w:tab/>
      </w:r>
      <w:r>
        <w:tab/>
      </w:r>
      <w:r>
        <w:tab/>
      </w:r>
      <w:r>
        <w:rPr>
          <w:u w:val="single"/>
        </w:rPr>
        <w:t>Proffered By</w:t>
      </w:r>
      <w:r>
        <w:tab/>
      </w:r>
      <w:r>
        <w:tab/>
      </w:r>
      <w:r>
        <w:rPr>
          <w:u w:val="single"/>
        </w:rPr>
        <w:t>Issues #</w:t>
      </w:r>
    </w:p>
    <w:p w:rsidR="00364CB1" w:rsidRDefault="00364CB1" w:rsidP="00364CB1">
      <w:pPr>
        <w:jc w:val="both"/>
        <w:rPr>
          <w:u w:val="single"/>
        </w:rPr>
      </w:pPr>
    </w:p>
    <w:p w:rsidR="00364CB1" w:rsidRDefault="00364CB1" w:rsidP="00364CB1">
      <w:pPr>
        <w:jc w:val="both"/>
        <w:rPr>
          <w:b/>
          <w:u w:val="single"/>
        </w:rPr>
      </w:pPr>
      <w:r>
        <w:tab/>
      </w:r>
      <w:r w:rsidRPr="00364CB1">
        <w:rPr>
          <w:b/>
          <w:u w:val="single"/>
        </w:rPr>
        <w:t>Direct</w:t>
      </w:r>
    </w:p>
    <w:p w:rsidR="00364CB1" w:rsidRDefault="00364CB1" w:rsidP="00364CB1">
      <w:pPr>
        <w:jc w:val="both"/>
        <w:rPr>
          <w:b/>
          <w:u w:val="single"/>
        </w:rPr>
      </w:pPr>
    </w:p>
    <w:p w:rsidR="00364CB1" w:rsidRDefault="00364CB1" w:rsidP="003F371B">
      <w:pPr>
        <w:jc w:val="both"/>
      </w:pPr>
      <w:r>
        <w:t>Tiffany Cohen</w:t>
      </w:r>
      <w:r>
        <w:tab/>
      </w:r>
      <w:r>
        <w:tab/>
      </w:r>
      <w:r>
        <w:tab/>
        <w:t>FPL</w:t>
      </w:r>
      <w:r>
        <w:tab/>
      </w:r>
      <w:r>
        <w:tab/>
      </w:r>
      <w:r>
        <w:tab/>
        <w:t>Rates</w:t>
      </w:r>
    </w:p>
    <w:p w:rsidR="00364CB1" w:rsidRDefault="00364CB1" w:rsidP="003F371B">
      <w:pPr>
        <w:jc w:val="both"/>
      </w:pPr>
    </w:p>
    <w:p w:rsidR="00364CB1" w:rsidRDefault="003663F1" w:rsidP="005C40BC">
      <w:r>
        <w:t>Keith Ferguson</w:t>
      </w:r>
      <w:r>
        <w:tab/>
      </w:r>
      <w:r>
        <w:tab/>
        <w:t>FPL</w:t>
      </w:r>
      <w:r>
        <w:tab/>
      </w:r>
      <w:r>
        <w:tab/>
      </w:r>
      <w:r>
        <w:tab/>
        <w:t xml:space="preserve">Paragraph 12 – theoretical depreciation </w:t>
      </w:r>
      <w:r>
        <w:tab/>
      </w:r>
      <w:r>
        <w:tab/>
      </w:r>
      <w:r>
        <w:tab/>
      </w:r>
      <w:r>
        <w:tab/>
      </w:r>
      <w:r>
        <w:tab/>
      </w:r>
      <w:r>
        <w:tab/>
      </w:r>
      <w:r>
        <w:tab/>
      </w:r>
      <w:r>
        <w:tab/>
        <w:t xml:space="preserve">reserve surplus, revised depreciation </w:t>
      </w:r>
      <w:r>
        <w:tab/>
      </w:r>
      <w:r>
        <w:tab/>
      </w:r>
      <w:r>
        <w:tab/>
      </w:r>
      <w:r>
        <w:tab/>
      </w:r>
      <w:r>
        <w:tab/>
      </w:r>
      <w:r>
        <w:tab/>
      </w:r>
      <w:r>
        <w:tab/>
      </w:r>
      <w:r>
        <w:tab/>
      </w:r>
      <w:r>
        <w:tab/>
        <w:t xml:space="preserve">parameters, new depreciation rates, deferral </w:t>
      </w:r>
      <w:r>
        <w:tab/>
      </w:r>
      <w:r>
        <w:tab/>
      </w:r>
      <w:r>
        <w:tab/>
      </w:r>
      <w:r>
        <w:tab/>
      </w:r>
      <w:r>
        <w:tab/>
      </w:r>
      <w:r>
        <w:tab/>
      </w:r>
      <w:r>
        <w:tab/>
      </w:r>
      <w:r>
        <w:tab/>
        <w:t>of depreciation and dismantlement studies.</w:t>
      </w:r>
    </w:p>
    <w:p w:rsidR="003663F1" w:rsidRDefault="003663F1" w:rsidP="005C40BC"/>
    <w:p w:rsidR="003663F1" w:rsidRDefault="003663F1" w:rsidP="005C40BC">
      <w:r>
        <w:t>Sam Forrest</w:t>
      </w:r>
      <w:r>
        <w:tab/>
      </w:r>
      <w:r>
        <w:tab/>
      </w:r>
      <w:r>
        <w:tab/>
        <w:t>FPL</w:t>
      </w:r>
      <w:r>
        <w:tab/>
      </w:r>
      <w:r>
        <w:tab/>
      </w:r>
      <w:r>
        <w:tab/>
        <w:t xml:space="preserve">Paragraph 16 – termination of financial </w:t>
      </w:r>
      <w:r>
        <w:tab/>
      </w:r>
      <w:r>
        <w:tab/>
      </w:r>
      <w:r>
        <w:tab/>
      </w:r>
      <w:r>
        <w:tab/>
      </w:r>
      <w:r>
        <w:tab/>
      </w:r>
      <w:r>
        <w:tab/>
      </w:r>
      <w:r>
        <w:tab/>
      </w:r>
      <w:r>
        <w:tab/>
        <w:t>hedging for natural gas requirements.</w:t>
      </w:r>
    </w:p>
    <w:p w:rsidR="003663F1" w:rsidRDefault="003663F1" w:rsidP="005C40BC"/>
    <w:p w:rsidR="003663F1" w:rsidRDefault="003663F1" w:rsidP="005C40BC">
      <w:r>
        <w:t>Robert E. Barrett, Jr.</w:t>
      </w:r>
      <w:r>
        <w:tab/>
      </w:r>
      <w:r>
        <w:tab/>
        <w:t>FPL</w:t>
      </w:r>
      <w:r>
        <w:tab/>
      </w:r>
      <w:r>
        <w:tab/>
      </w:r>
      <w:r>
        <w:tab/>
        <w:t xml:space="preserve">Paragraph </w:t>
      </w:r>
      <w:r w:rsidR="003F371B">
        <w:t>10 – Solar Base Rate Adjustment;</w:t>
      </w:r>
    </w:p>
    <w:p w:rsidR="003F371B" w:rsidRDefault="003F371B" w:rsidP="005C40BC">
      <w:r>
        <w:tab/>
      </w:r>
      <w:r>
        <w:tab/>
      </w:r>
      <w:r>
        <w:tab/>
      </w:r>
      <w:r>
        <w:tab/>
      </w:r>
      <w:r>
        <w:tab/>
      </w:r>
      <w:r>
        <w:tab/>
      </w:r>
      <w:r>
        <w:tab/>
        <w:t xml:space="preserve">Paragraph 18 – battery storage pilot </w:t>
      </w:r>
      <w:r>
        <w:tab/>
      </w:r>
      <w:r>
        <w:tab/>
      </w:r>
      <w:r>
        <w:tab/>
      </w:r>
      <w:r>
        <w:tab/>
      </w:r>
      <w:r>
        <w:tab/>
      </w:r>
      <w:r>
        <w:tab/>
      </w:r>
      <w:r>
        <w:tab/>
      </w:r>
      <w:r>
        <w:tab/>
      </w:r>
      <w:r>
        <w:tab/>
        <w:t>program;</w:t>
      </w:r>
    </w:p>
    <w:p w:rsidR="00235D41" w:rsidRDefault="003F371B" w:rsidP="005C40BC">
      <w:r>
        <w:tab/>
      </w:r>
      <w:r>
        <w:tab/>
      </w:r>
      <w:r>
        <w:tab/>
      </w:r>
      <w:r>
        <w:tab/>
      </w:r>
      <w:r>
        <w:tab/>
      </w:r>
      <w:r>
        <w:tab/>
      </w:r>
      <w:r>
        <w:tab/>
        <w:t>Paragraph</w:t>
      </w:r>
      <w:r w:rsidR="005C40BC">
        <w:t xml:space="preserve"> 1</w:t>
      </w:r>
      <w:r>
        <w:t>9</w:t>
      </w:r>
      <w:r w:rsidR="00CB172B">
        <w:t xml:space="preserve"> </w:t>
      </w:r>
      <w:r>
        <w:t xml:space="preserve">- pilot demand side </w:t>
      </w:r>
      <w:r>
        <w:tab/>
      </w:r>
      <w:r>
        <w:tab/>
      </w:r>
      <w:r>
        <w:tab/>
      </w:r>
      <w:r>
        <w:tab/>
      </w:r>
      <w:r>
        <w:tab/>
      </w:r>
      <w:r>
        <w:tab/>
      </w:r>
      <w:r>
        <w:tab/>
      </w:r>
      <w:r>
        <w:tab/>
      </w:r>
      <w:r>
        <w:tab/>
        <w:t>management opt-out program.</w:t>
      </w:r>
    </w:p>
    <w:p w:rsidR="00235D41" w:rsidRDefault="00235D41" w:rsidP="005C40BC"/>
    <w:p w:rsidR="00235D41" w:rsidRDefault="00551654" w:rsidP="003663F1">
      <w:pPr>
        <w:jc w:val="both"/>
      </w:pPr>
      <w:r>
        <w:t>*</w:t>
      </w:r>
      <w:r w:rsidR="00235D41">
        <w:t>Michael Brosch</w:t>
      </w:r>
      <w:r w:rsidR="00235D41">
        <w:tab/>
      </w:r>
      <w:r w:rsidR="00235D41">
        <w:tab/>
        <w:t>AARP</w:t>
      </w:r>
      <w:r w:rsidR="00235D41">
        <w:tab/>
      </w:r>
      <w:r w:rsidR="00235D41">
        <w:tab/>
      </w:r>
      <w:r w:rsidR="00235D41">
        <w:tab/>
        <w:t xml:space="preserve">Paragraph 1 – </w:t>
      </w:r>
      <w:r>
        <w:t>t</w:t>
      </w:r>
      <w:r w:rsidR="00235D41">
        <w:t>erm of the agreement</w:t>
      </w:r>
      <w:r w:rsidR="008159B4">
        <w:t>;</w:t>
      </w:r>
    </w:p>
    <w:p w:rsidR="008159B4" w:rsidRDefault="00235D41" w:rsidP="003663F1">
      <w:pPr>
        <w:jc w:val="both"/>
      </w:pPr>
      <w:r>
        <w:tab/>
      </w:r>
      <w:r>
        <w:tab/>
      </w:r>
      <w:r>
        <w:tab/>
      </w:r>
      <w:r>
        <w:tab/>
      </w:r>
      <w:r>
        <w:tab/>
      </w:r>
      <w:r>
        <w:tab/>
      </w:r>
      <w:r>
        <w:tab/>
        <w:t xml:space="preserve">Paragraph 2 – </w:t>
      </w:r>
      <w:r w:rsidR="00551654">
        <w:t>r</w:t>
      </w:r>
      <w:r>
        <w:t xml:space="preserve">evisions to </w:t>
      </w:r>
      <w:r w:rsidR="008159B4">
        <w:t xml:space="preserve">MFR Schedules </w:t>
      </w:r>
      <w:r w:rsidR="008159B4">
        <w:tab/>
      </w:r>
      <w:r w:rsidR="008159B4">
        <w:tab/>
      </w:r>
      <w:r w:rsidR="008159B4">
        <w:tab/>
      </w:r>
      <w:r w:rsidR="008159B4">
        <w:tab/>
      </w:r>
      <w:r w:rsidR="008159B4">
        <w:tab/>
      </w:r>
      <w:r w:rsidR="008159B4">
        <w:tab/>
      </w:r>
      <w:r w:rsidR="008159B4">
        <w:tab/>
      </w:r>
      <w:r w:rsidR="008159B4">
        <w:tab/>
        <w:t xml:space="preserve">B-2, C-1, C-3, and D1a and use in </w:t>
      </w:r>
      <w:r w:rsidR="008159B4">
        <w:tab/>
      </w:r>
      <w:r w:rsidR="008159B4">
        <w:tab/>
      </w:r>
      <w:r w:rsidR="008159B4">
        <w:tab/>
      </w:r>
      <w:r w:rsidR="008159B4">
        <w:tab/>
      </w:r>
      <w:r w:rsidR="008159B4">
        <w:tab/>
      </w:r>
      <w:r w:rsidR="008159B4">
        <w:tab/>
      </w:r>
      <w:r w:rsidR="008159B4">
        <w:tab/>
      </w:r>
      <w:r w:rsidR="008159B4">
        <w:tab/>
      </w:r>
      <w:r w:rsidR="008159B4">
        <w:tab/>
        <w:t>surveillance reports and clause filings;</w:t>
      </w:r>
    </w:p>
    <w:p w:rsidR="008159B4" w:rsidRDefault="008159B4" w:rsidP="003663F1">
      <w:pPr>
        <w:jc w:val="both"/>
      </w:pPr>
      <w:r>
        <w:tab/>
      </w:r>
      <w:r>
        <w:tab/>
      </w:r>
      <w:r>
        <w:tab/>
      </w:r>
      <w:r>
        <w:tab/>
      </w:r>
      <w:r>
        <w:tab/>
      </w:r>
      <w:r>
        <w:tab/>
      </w:r>
      <w:r>
        <w:tab/>
        <w:t>Paragraph 3 – ROE</w:t>
      </w:r>
      <w:r w:rsidR="005C40BC">
        <w:t>;</w:t>
      </w:r>
    </w:p>
    <w:p w:rsidR="008159B4" w:rsidRDefault="008159B4" w:rsidP="008159B4">
      <w:pPr>
        <w:ind w:left="5040" w:hanging="5040"/>
        <w:jc w:val="both"/>
      </w:pPr>
      <w:r>
        <w:tab/>
        <w:t xml:space="preserve">Paragraph 4 – </w:t>
      </w:r>
      <w:r w:rsidR="00551654">
        <w:t>b</w:t>
      </w:r>
      <w:r>
        <w:t>ase rate increases, CILC tariff, CDR rider, cost of service methodology;</w:t>
      </w:r>
    </w:p>
    <w:p w:rsidR="008159B4" w:rsidRDefault="008159B4" w:rsidP="008159B4">
      <w:pPr>
        <w:ind w:left="5040" w:hanging="5040"/>
        <w:jc w:val="both"/>
      </w:pPr>
      <w:r>
        <w:tab/>
        <w:t xml:space="preserve">Paragraph 6 </w:t>
      </w:r>
      <w:r w:rsidR="00551654">
        <w:t>–</w:t>
      </w:r>
      <w:r>
        <w:t xml:space="preserve"> storm recovery costs;</w:t>
      </w:r>
    </w:p>
    <w:p w:rsidR="008159B4" w:rsidRDefault="008159B4" w:rsidP="008159B4">
      <w:pPr>
        <w:ind w:left="5040" w:hanging="5040"/>
        <w:jc w:val="both"/>
      </w:pPr>
      <w:r>
        <w:tab/>
        <w:t>Paragraph 7 – cost recovery clause exclusion;</w:t>
      </w:r>
    </w:p>
    <w:p w:rsidR="00235D41" w:rsidRDefault="008159B4" w:rsidP="008159B4">
      <w:pPr>
        <w:ind w:left="5040" w:hanging="5040"/>
        <w:jc w:val="both"/>
      </w:pPr>
      <w:r>
        <w:tab/>
        <w:t>Paragraph 9 – Okeechobee Limited Scope Adjustment;</w:t>
      </w:r>
    </w:p>
    <w:p w:rsidR="008159B4" w:rsidRDefault="008159B4" w:rsidP="008159B4">
      <w:pPr>
        <w:ind w:left="5040" w:hanging="5040"/>
        <w:jc w:val="both"/>
      </w:pPr>
      <w:r>
        <w:tab/>
        <w:t xml:space="preserve">Paragraph 10 </w:t>
      </w:r>
      <w:r w:rsidR="00551654">
        <w:t>–</w:t>
      </w:r>
      <w:r>
        <w:t xml:space="preserve"> </w:t>
      </w:r>
      <w:r w:rsidR="00551654">
        <w:t>Solar Base Rate Adjustment;</w:t>
      </w:r>
    </w:p>
    <w:p w:rsidR="00551654" w:rsidRDefault="00551654" w:rsidP="008159B4">
      <w:pPr>
        <w:ind w:left="5040" w:hanging="5040"/>
        <w:jc w:val="both"/>
      </w:pPr>
      <w:r>
        <w:tab/>
        <w:t>Paragraph 11 – exceptions to 4 year minimum term;</w:t>
      </w:r>
    </w:p>
    <w:p w:rsidR="00551654" w:rsidRDefault="00551654" w:rsidP="00551654">
      <w:pPr>
        <w:ind w:left="5040" w:hanging="5040"/>
      </w:pPr>
      <w:r>
        <w:lastRenderedPageBreak/>
        <w:tab/>
        <w:t>Paragraph 12 – depreciation reserve surplus, revised depreciation parameters, new depreciation rates, deferral of depreciation and dismantlement studies.</w:t>
      </w:r>
    </w:p>
    <w:p w:rsidR="00551654" w:rsidRDefault="00721DA1" w:rsidP="00721DA1">
      <w:pPr>
        <w:jc w:val="both"/>
      </w:pPr>
      <w:r>
        <w:t>* Live testimony.</w:t>
      </w:r>
      <w:r w:rsidR="00551654">
        <w:tab/>
      </w:r>
    </w:p>
    <w:p w:rsidR="0085037F" w:rsidRDefault="0085037F" w:rsidP="0085037F">
      <w:pPr>
        <w:jc w:val="both"/>
        <w:rPr>
          <w:b/>
          <w:u w:val="single"/>
        </w:rPr>
      </w:pPr>
    </w:p>
    <w:p w:rsidR="00551654" w:rsidRDefault="002A1875" w:rsidP="0085037F">
      <w:pPr>
        <w:jc w:val="both"/>
        <w:rPr>
          <w:b/>
          <w:u w:val="single"/>
        </w:rPr>
      </w:pPr>
      <w:r>
        <w:rPr>
          <w:b/>
        </w:rPr>
        <w:tab/>
      </w:r>
      <w:r w:rsidR="00551654">
        <w:rPr>
          <w:b/>
          <w:u w:val="single"/>
        </w:rPr>
        <w:t>Rebuttal</w:t>
      </w:r>
    </w:p>
    <w:p w:rsidR="00721DA1" w:rsidRDefault="00721DA1" w:rsidP="00551654">
      <w:pPr>
        <w:tabs>
          <w:tab w:val="left" w:pos="720"/>
        </w:tabs>
        <w:ind w:left="720"/>
        <w:rPr>
          <w:b/>
          <w:u w:val="single"/>
        </w:rPr>
      </w:pPr>
    </w:p>
    <w:p w:rsidR="00551654" w:rsidRPr="00551654" w:rsidRDefault="00721DA1" w:rsidP="00551654">
      <w:pPr>
        <w:tabs>
          <w:tab w:val="left" w:pos="720"/>
        </w:tabs>
      </w:pPr>
      <w:r>
        <w:t>FPL may call any of its direct witnesses to rebut the live testimony of Michael Brosch.</w:t>
      </w:r>
    </w:p>
    <w:p w:rsidR="00721DA1" w:rsidRDefault="00721DA1" w:rsidP="00551654">
      <w:pPr>
        <w:ind w:left="5040" w:hanging="5040"/>
        <w:rPr>
          <w:b/>
        </w:rPr>
      </w:pPr>
    </w:p>
    <w:p w:rsidR="003F371B" w:rsidRDefault="003F371B" w:rsidP="002A1875">
      <w:pPr>
        <w:rPr>
          <w:b/>
          <w:u w:val="single"/>
        </w:rPr>
      </w:pPr>
      <w:r>
        <w:rPr>
          <w:b/>
        </w:rPr>
        <w:t>IV.</w:t>
      </w:r>
      <w:r w:rsidR="002A1875">
        <w:rPr>
          <w:b/>
        </w:rPr>
        <w:tab/>
      </w:r>
      <w:r w:rsidR="003411CF" w:rsidRPr="003411CF">
        <w:rPr>
          <w:b/>
          <w:u w:val="single"/>
        </w:rPr>
        <w:t>Exhibit List</w:t>
      </w:r>
    </w:p>
    <w:p w:rsidR="003411CF" w:rsidRDefault="003411CF" w:rsidP="003663F1">
      <w:pPr>
        <w:jc w:val="both"/>
        <w:rPr>
          <w:b/>
          <w:u w:val="single"/>
        </w:rPr>
      </w:pPr>
    </w:p>
    <w:p w:rsidR="003411CF" w:rsidRPr="003411CF" w:rsidRDefault="003411CF" w:rsidP="003663F1">
      <w:pPr>
        <w:jc w:val="both"/>
        <w:rPr>
          <w:u w:val="single"/>
        </w:rPr>
      </w:pPr>
      <w:r>
        <w:rPr>
          <w:u w:val="single"/>
        </w:rPr>
        <w:t>Witness</w:t>
      </w:r>
      <w:r>
        <w:tab/>
      </w:r>
      <w:r>
        <w:tab/>
      </w:r>
      <w:r>
        <w:rPr>
          <w:u w:val="single"/>
        </w:rPr>
        <w:t>Proffered</w:t>
      </w:r>
      <w:r>
        <w:tab/>
      </w:r>
      <w:r>
        <w:rPr>
          <w:u w:val="single"/>
        </w:rPr>
        <w:t>ID</w:t>
      </w:r>
      <w:r>
        <w:tab/>
      </w:r>
      <w:r>
        <w:tab/>
      </w:r>
      <w:r>
        <w:rPr>
          <w:u w:val="single"/>
        </w:rPr>
        <w:t>Description</w:t>
      </w:r>
    </w:p>
    <w:p w:rsidR="003411CF" w:rsidRDefault="003411CF" w:rsidP="003663F1">
      <w:pPr>
        <w:jc w:val="both"/>
        <w:rPr>
          <w:u w:val="single"/>
        </w:rPr>
      </w:pPr>
      <w:r>
        <w:tab/>
      </w:r>
      <w:r>
        <w:tab/>
      </w:r>
      <w:r>
        <w:tab/>
        <w:t xml:space="preserve">      </w:t>
      </w:r>
      <w:r>
        <w:rPr>
          <w:u w:val="single"/>
        </w:rPr>
        <w:t>By</w:t>
      </w:r>
    </w:p>
    <w:p w:rsidR="003411CF" w:rsidRDefault="003411CF" w:rsidP="003663F1">
      <w:pPr>
        <w:jc w:val="both"/>
        <w:rPr>
          <w:u w:val="single"/>
        </w:rPr>
      </w:pPr>
    </w:p>
    <w:p w:rsidR="003411CF" w:rsidRDefault="003411CF" w:rsidP="003663F1">
      <w:pPr>
        <w:jc w:val="both"/>
      </w:pPr>
      <w:r>
        <w:t>Tiffany Cohen</w:t>
      </w:r>
      <w:r>
        <w:tab/>
      </w:r>
      <w:r>
        <w:tab/>
        <w:t xml:space="preserve">    FPL</w:t>
      </w:r>
      <w:r>
        <w:tab/>
      </w:r>
      <w:r>
        <w:tab/>
        <w:t>TCC-10</w:t>
      </w:r>
      <w:r>
        <w:tab/>
        <w:t xml:space="preserve">1,000-kWh Typical Residential Bill </w:t>
      </w:r>
      <w:r>
        <w:tab/>
      </w:r>
      <w:r>
        <w:tab/>
      </w:r>
      <w:r>
        <w:tab/>
      </w:r>
      <w:r>
        <w:tab/>
      </w:r>
      <w:r>
        <w:tab/>
      </w:r>
      <w:r>
        <w:tab/>
      </w:r>
      <w:r>
        <w:tab/>
      </w:r>
      <w:r>
        <w:tab/>
      </w:r>
      <w:r>
        <w:tab/>
        <w:t>Comparison</w:t>
      </w:r>
    </w:p>
    <w:p w:rsidR="003411CF" w:rsidRDefault="003411CF" w:rsidP="003663F1">
      <w:pPr>
        <w:jc w:val="both"/>
      </w:pPr>
    </w:p>
    <w:p w:rsidR="003411CF" w:rsidRDefault="00786450" w:rsidP="003663F1">
      <w:pPr>
        <w:jc w:val="both"/>
      </w:pPr>
      <w:r>
        <w:t>Tiffany Cohen</w:t>
      </w:r>
      <w:r>
        <w:tab/>
      </w:r>
      <w:r>
        <w:tab/>
        <w:t xml:space="preserve">    FPL</w:t>
      </w:r>
      <w:r>
        <w:tab/>
      </w:r>
      <w:r w:rsidR="003411CF">
        <w:tab/>
        <w:t>TCC-11</w:t>
      </w:r>
      <w:r w:rsidR="003411CF">
        <w:tab/>
        <w:t>2017-2020 Typical Bills</w:t>
      </w:r>
    </w:p>
    <w:p w:rsidR="003411CF" w:rsidRDefault="003411CF" w:rsidP="003663F1">
      <w:pPr>
        <w:jc w:val="both"/>
      </w:pPr>
    </w:p>
    <w:p w:rsidR="003411CF" w:rsidRDefault="00786450" w:rsidP="003663F1">
      <w:pPr>
        <w:jc w:val="both"/>
      </w:pPr>
      <w:r>
        <w:t>Tiffany Cohen</w:t>
      </w:r>
      <w:r>
        <w:tab/>
      </w:r>
      <w:r>
        <w:tab/>
        <w:t xml:space="preserve">    FPL</w:t>
      </w:r>
      <w:r>
        <w:tab/>
      </w:r>
      <w:r>
        <w:tab/>
        <w:t>TCC-12</w:t>
      </w:r>
      <w:r>
        <w:tab/>
        <w:t>Parity of Major Rate Classes</w:t>
      </w:r>
    </w:p>
    <w:p w:rsidR="00786450" w:rsidRDefault="00786450" w:rsidP="003663F1">
      <w:pPr>
        <w:jc w:val="both"/>
      </w:pPr>
    </w:p>
    <w:p w:rsidR="00786450" w:rsidRDefault="00786450" w:rsidP="003663F1">
      <w:pPr>
        <w:jc w:val="both"/>
      </w:pPr>
      <w:r>
        <w:t>Keith Ferguson</w:t>
      </w:r>
      <w:r>
        <w:tab/>
        <w:t xml:space="preserve">    FPL</w:t>
      </w:r>
      <w:r>
        <w:tab/>
      </w:r>
      <w:r>
        <w:tab/>
        <w:t>KF-9</w:t>
      </w:r>
      <w:r>
        <w:tab/>
      </w:r>
      <w:r>
        <w:tab/>
        <w:t xml:space="preserve">Depreciation parameter changes in proposed </w:t>
      </w:r>
      <w:r>
        <w:tab/>
      </w:r>
      <w:r>
        <w:tab/>
      </w:r>
      <w:r>
        <w:tab/>
      </w:r>
      <w:r>
        <w:tab/>
      </w:r>
      <w:r>
        <w:tab/>
      </w:r>
      <w:r>
        <w:tab/>
      </w:r>
      <w:r>
        <w:tab/>
        <w:t xml:space="preserve">Settlement Agreement as of December 31, </w:t>
      </w:r>
      <w:r>
        <w:tab/>
      </w:r>
      <w:r>
        <w:tab/>
      </w:r>
      <w:r>
        <w:tab/>
      </w:r>
      <w:r>
        <w:tab/>
      </w:r>
      <w:r>
        <w:tab/>
      </w:r>
      <w:r>
        <w:tab/>
      </w:r>
      <w:r>
        <w:tab/>
      </w:r>
      <w:r>
        <w:tab/>
        <w:t>2016.</w:t>
      </w:r>
    </w:p>
    <w:p w:rsidR="00786450" w:rsidRPr="001F0C7F" w:rsidRDefault="00786450" w:rsidP="003663F1">
      <w:pPr>
        <w:jc w:val="both"/>
        <w:rPr>
          <w:b/>
          <w:u w:val="single"/>
        </w:rPr>
      </w:pPr>
      <w:r>
        <w:rPr>
          <w:b/>
        </w:rPr>
        <w:t>V.</w:t>
      </w:r>
      <w:r>
        <w:rPr>
          <w:b/>
        </w:rPr>
        <w:tab/>
      </w:r>
      <w:r w:rsidR="001F0C7F">
        <w:rPr>
          <w:b/>
          <w:u w:val="single"/>
        </w:rPr>
        <w:t>Rulings</w:t>
      </w:r>
    </w:p>
    <w:p w:rsidR="00786450" w:rsidRDefault="00786450" w:rsidP="003663F1">
      <w:pPr>
        <w:jc w:val="both"/>
        <w:rPr>
          <w:b/>
          <w:u w:val="single"/>
        </w:rPr>
      </w:pPr>
    </w:p>
    <w:p w:rsidR="00C04414" w:rsidRDefault="00786450" w:rsidP="003663F1">
      <w:pPr>
        <w:jc w:val="both"/>
      </w:pPr>
      <w:r>
        <w:tab/>
        <w:t xml:space="preserve">Opening statements, if any, shall be limited to </w:t>
      </w:r>
      <w:r w:rsidR="00721DA1">
        <w:t>10 minutes for all of the signatories to the Settlement Agreement</w:t>
      </w:r>
      <w:r w:rsidR="002A1875">
        <w:t>,</w:t>
      </w:r>
      <w:r w:rsidR="00721DA1">
        <w:t xml:space="preserve"> to be divided among them as they see fit</w:t>
      </w:r>
      <w:r w:rsidR="005C40BC">
        <w:t>,</w:t>
      </w:r>
      <w:r w:rsidR="00721DA1">
        <w:t xml:space="preserve"> and 5 minutes each for the non-signatories</w:t>
      </w:r>
      <w:r w:rsidR="00627461">
        <w:t xml:space="preserve">.  </w:t>
      </w:r>
      <w:r w:rsidR="00B96A34">
        <w:t xml:space="preserve">Summaries of witness testimony, if any, shall be limited to 3 minutes.  </w:t>
      </w:r>
      <w:r w:rsidR="002B33E3">
        <w:t>Cross examination on issues addressed in the prior</w:t>
      </w:r>
      <w:r w:rsidR="00EF39AF">
        <w:t xml:space="preserve"> </w:t>
      </w:r>
      <w:r w:rsidR="002B33E3">
        <w:t xml:space="preserve">hearing that are contained in the Settlement Agreement will be allowed to the extent the questions are </w:t>
      </w:r>
      <w:r w:rsidR="00513057">
        <w:t>regarding calculations and/or the rationale supporting th</w:t>
      </w:r>
      <w:r w:rsidR="0085037F">
        <w:t>at portion of the</w:t>
      </w:r>
      <w:r w:rsidR="00513057">
        <w:t xml:space="preserve"> </w:t>
      </w:r>
      <w:r w:rsidR="00E87173">
        <w:t>Settlement Agreement</w:t>
      </w:r>
      <w:r w:rsidR="00513057">
        <w:t>.</w:t>
      </w:r>
      <w:r w:rsidR="002B33E3">
        <w:t xml:space="preserve">  </w:t>
      </w:r>
      <w:r w:rsidR="00513057">
        <w:t xml:space="preserve">However, questions duplicative of those asked at the previous evidentiary hearing shall be deemed outside the scope of this proceeding and disallowed.  </w:t>
      </w:r>
      <w:r w:rsidR="00627461">
        <w:t xml:space="preserve">All parties shall bring 40 copies of all exhibits they wish to enter into evidence and abide by the rules for any confidential materials contained therein. </w:t>
      </w:r>
    </w:p>
    <w:p w:rsidR="00C04414" w:rsidRDefault="00C04414" w:rsidP="003663F1">
      <w:pPr>
        <w:jc w:val="both"/>
      </w:pPr>
    </w:p>
    <w:p w:rsidR="00C04414" w:rsidRDefault="001F0C7F" w:rsidP="003663F1">
      <w:pPr>
        <w:jc w:val="both"/>
      </w:pPr>
      <w:r>
        <w:tab/>
      </w:r>
      <w:r w:rsidR="00C04414">
        <w:t>Based on the foregoing, it is</w:t>
      </w:r>
    </w:p>
    <w:p w:rsidR="00C04414" w:rsidRDefault="00C04414" w:rsidP="003663F1">
      <w:pPr>
        <w:jc w:val="both"/>
      </w:pPr>
    </w:p>
    <w:p w:rsidR="00C04414" w:rsidRDefault="00C04414" w:rsidP="003663F1">
      <w:pPr>
        <w:jc w:val="both"/>
      </w:pPr>
      <w:r>
        <w:tab/>
        <w:t xml:space="preserve">ORDERED by Chairman Julie I. Brown that the provisions of this Order </w:t>
      </w:r>
      <w:r w:rsidR="00B44A95">
        <w:t xml:space="preserve">and Order No. PSC-16-0456-PCO-EI </w:t>
      </w:r>
      <w:r>
        <w:t>shall govern th</w:t>
      </w:r>
      <w:r w:rsidR="001F0C7F">
        <w:t>e</w:t>
      </w:r>
      <w:r>
        <w:t xml:space="preserve"> proceeding </w:t>
      </w:r>
      <w:r w:rsidR="001F0C7F">
        <w:t xml:space="preserve">to be held on October 27, 2016, </w:t>
      </w:r>
      <w:r>
        <w:t xml:space="preserve">to take supplemental testimony </w:t>
      </w:r>
      <w:r w:rsidR="001F0C7F">
        <w:t xml:space="preserve">on the Settlement Agreement, unless modified by the Commission. </w:t>
      </w:r>
    </w:p>
    <w:p w:rsidR="00C04414" w:rsidRDefault="00C04414" w:rsidP="003663F1">
      <w:pPr>
        <w:jc w:val="both"/>
      </w:pPr>
    </w:p>
    <w:p w:rsidR="00721DA1" w:rsidRDefault="00721DA1">
      <w:r>
        <w:br w:type="page"/>
      </w:r>
    </w:p>
    <w:p w:rsidR="00C04414" w:rsidRDefault="003D32C3" w:rsidP="005669E8">
      <w:pPr>
        <w:jc w:val="both"/>
      </w:pPr>
      <w:r>
        <w:lastRenderedPageBreak/>
        <w:tab/>
      </w:r>
      <w:r w:rsidR="00C04414">
        <w:t xml:space="preserve">By ORDER of Chairman Julie I. Brown, as Presiding Officer, this </w:t>
      </w:r>
      <w:bookmarkStart w:id="6" w:name="replaceDate"/>
      <w:bookmarkEnd w:id="6"/>
      <w:r w:rsidR="005669E8">
        <w:rPr>
          <w:u w:val="single"/>
        </w:rPr>
        <w:t>24th</w:t>
      </w:r>
      <w:r w:rsidR="005669E8">
        <w:t xml:space="preserve"> day of </w:t>
      </w:r>
      <w:r w:rsidR="005669E8">
        <w:rPr>
          <w:u w:val="single"/>
        </w:rPr>
        <w:t>October</w:t>
      </w:r>
      <w:r w:rsidR="005669E8">
        <w:t xml:space="preserve">, </w:t>
      </w:r>
      <w:r w:rsidR="005669E8">
        <w:rPr>
          <w:u w:val="single"/>
        </w:rPr>
        <w:t>2016</w:t>
      </w:r>
      <w:r w:rsidR="005669E8">
        <w:t>.</w:t>
      </w:r>
    </w:p>
    <w:p w:rsidR="005669E8" w:rsidRPr="005669E8" w:rsidRDefault="005669E8" w:rsidP="005669E8">
      <w:pPr>
        <w:jc w:val="both"/>
      </w:pPr>
    </w:p>
    <w:p w:rsidR="00C04414" w:rsidRDefault="00C04414" w:rsidP="00C0441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04414" w:rsidTr="00C04414">
        <w:tc>
          <w:tcPr>
            <w:tcW w:w="720" w:type="dxa"/>
            <w:shd w:val="clear" w:color="auto" w:fill="auto"/>
          </w:tcPr>
          <w:p w:rsidR="00C04414" w:rsidRDefault="00C04414" w:rsidP="00C04414">
            <w:pPr>
              <w:keepNext/>
              <w:keepLines/>
              <w:jc w:val="both"/>
            </w:pPr>
            <w:bookmarkStart w:id="7" w:name="bkmrkSignature" w:colFirst="0" w:colLast="0"/>
          </w:p>
        </w:tc>
        <w:tc>
          <w:tcPr>
            <w:tcW w:w="4320" w:type="dxa"/>
            <w:tcBorders>
              <w:bottom w:val="single" w:sz="4" w:space="0" w:color="auto"/>
            </w:tcBorders>
            <w:shd w:val="clear" w:color="auto" w:fill="auto"/>
          </w:tcPr>
          <w:p w:rsidR="00C04414" w:rsidRDefault="005669E8" w:rsidP="00C04414">
            <w:pPr>
              <w:keepNext/>
              <w:keepLines/>
              <w:jc w:val="both"/>
            </w:pPr>
            <w:r>
              <w:t>/s/ Julie I. Brown</w:t>
            </w:r>
            <w:bookmarkStart w:id="8" w:name="_GoBack"/>
            <w:bookmarkEnd w:id="8"/>
          </w:p>
        </w:tc>
      </w:tr>
      <w:bookmarkEnd w:id="7"/>
      <w:tr w:rsidR="00C04414" w:rsidTr="00C04414">
        <w:tc>
          <w:tcPr>
            <w:tcW w:w="720" w:type="dxa"/>
            <w:shd w:val="clear" w:color="auto" w:fill="auto"/>
          </w:tcPr>
          <w:p w:rsidR="00C04414" w:rsidRDefault="00C04414" w:rsidP="00C04414">
            <w:pPr>
              <w:keepNext/>
              <w:keepLines/>
              <w:jc w:val="both"/>
            </w:pPr>
          </w:p>
        </w:tc>
        <w:tc>
          <w:tcPr>
            <w:tcW w:w="4320" w:type="dxa"/>
            <w:tcBorders>
              <w:top w:val="single" w:sz="4" w:space="0" w:color="auto"/>
            </w:tcBorders>
            <w:shd w:val="clear" w:color="auto" w:fill="auto"/>
          </w:tcPr>
          <w:p w:rsidR="00C04414" w:rsidRDefault="00C04414" w:rsidP="00C04414">
            <w:pPr>
              <w:keepNext/>
              <w:keepLines/>
              <w:jc w:val="both"/>
            </w:pPr>
            <w:r>
              <w:t>JULIE I. BROWN</w:t>
            </w:r>
          </w:p>
          <w:p w:rsidR="00C04414" w:rsidRDefault="00C04414" w:rsidP="00C04414">
            <w:pPr>
              <w:keepNext/>
              <w:keepLines/>
              <w:jc w:val="both"/>
            </w:pPr>
            <w:r>
              <w:t>Chairman and Presiding Officer</w:t>
            </w:r>
          </w:p>
        </w:tc>
      </w:tr>
    </w:tbl>
    <w:p w:rsidR="00C04414" w:rsidRDefault="00C04414" w:rsidP="00C04414">
      <w:pPr>
        <w:pStyle w:val="OrderSigInfo"/>
        <w:keepNext/>
        <w:keepLines/>
      </w:pPr>
      <w:r>
        <w:t>Florida Public Service Commission</w:t>
      </w:r>
    </w:p>
    <w:p w:rsidR="00C04414" w:rsidRDefault="00C04414" w:rsidP="00C04414">
      <w:pPr>
        <w:pStyle w:val="OrderSigInfo"/>
        <w:keepNext/>
        <w:keepLines/>
      </w:pPr>
      <w:r>
        <w:t>2540 Shumard Oak Boulevard</w:t>
      </w:r>
    </w:p>
    <w:p w:rsidR="00C04414" w:rsidRDefault="00C04414" w:rsidP="00C04414">
      <w:pPr>
        <w:pStyle w:val="OrderSigInfo"/>
        <w:keepNext/>
        <w:keepLines/>
      </w:pPr>
      <w:r>
        <w:t>Tallahassee, Florida  32399</w:t>
      </w:r>
    </w:p>
    <w:p w:rsidR="00C04414" w:rsidRDefault="00C04414" w:rsidP="00C04414">
      <w:pPr>
        <w:pStyle w:val="OrderSigInfo"/>
        <w:keepNext/>
        <w:keepLines/>
      </w:pPr>
      <w:r>
        <w:t>(850) 413</w:t>
      </w:r>
      <w:r>
        <w:noBreakHyphen/>
        <w:t>6770</w:t>
      </w:r>
    </w:p>
    <w:p w:rsidR="00C04414" w:rsidRDefault="00C04414" w:rsidP="00C04414">
      <w:pPr>
        <w:pStyle w:val="OrderSigInfo"/>
        <w:keepNext/>
        <w:keepLines/>
      </w:pPr>
      <w:r>
        <w:t>www.floridapsc.com</w:t>
      </w:r>
    </w:p>
    <w:p w:rsidR="00C04414" w:rsidRDefault="00C04414" w:rsidP="00C04414">
      <w:pPr>
        <w:pStyle w:val="OrderSigInfo"/>
        <w:keepNext/>
        <w:keepLines/>
      </w:pPr>
    </w:p>
    <w:p w:rsidR="00C04414" w:rsidRDefault="00C04414" w:rsidP="00C04414">
      <w:pPr>
        <w:pStyle w:val="OrderSigInfo"/>
        <w:keepNext/>
        <w:keepLines/>
      </w:pPr>
      <w:r>
        <w:t>Copies furnished:  A copy of this document is provided to the parties of record at the time of issuance and, if applicable, interested persons.</w:t>
      </w:r>
    </w:p>
    <w:p w:rsidR="00C04414" w:rsidRDefault="00C04414" w:rsidP="00C04414">
      <w:pPr>
        <w:keepNext/>
        <w:keepLines/>
        <w:jc w:val="both"/>
      </w:pPr>
    </w:p>
    <w:p w:rsidR="00C04414" w:rsidRDefault="00C04414" w:rsidP="003663F1">
      <w:pPr>
        <w:jc w:val="both"/>
      </w:pPr>
      <w:r>
        <w:t>SBr</w:t>
      </w:r>
    </w:p>
    <w:p w:rsidR="00967A4A" w:rsidRDefault="00967A4A" w:rsidP="003663F1">
      <w:pPr>
        <w:jc w:val="both"/>
      </w:pPr>
    </w:p>
    <w:p w:rsidR="00967A4A" w:rsidRDefault="00967A4A" w:rsidP="00967A4A">
      <w:pPr>
        <w:pStyle w:val="CenterUnderline"/>
      </w:pPr>
      <w:r>
        <w:t>NOTICE OF FURTHER PROCEEDINGS OR JUDICIAL REVIEW</w:t>
      </w:r>
    </w:p>
    <w:p w:rsidR="00C04414" w:rsidRDefault="00C04414" w:rsidP="00967A4A">
      <w:pPr>
        <w:pStyle w:val="CenterUnderline"/>
      </w:pPr>
    </w:p>
    <w:p w:rsidR="00967A4A" w:rsidRDefault="00967A4A" w:rsidP="00967A4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67A4A" w:rsidRDefault="00967A4A" w:rsidP="00967A4A">
      <w:pPr>
        <w:pStyle w:val="OrderBody"/>
      </w:pPr>
    </w:p>
    <w:p w:rsidR="00967A4A" w:rsidRDefault="00967A4A" w:rsidP="00967A4A">
      <w:pPr>
        <w:pStyle w:val="OrderBody"/>
      </w:pPr>
      <w:r>
        <w:tab/>
        <w:t>Mediation may be available on a case-by-case basis.  If mediation is conducted, it does not affect a substantially interested person's right to a hearing.</w:t>
      </w:r>
    </w:p>
    <w:p w:rsidR="00967A4A" w:rsidRDefault="00967A4A" w:rsidP="00967A4A">
      <w:pPr>
        <w:pStyle w:val="OrderBody"/>
      </w:pPr>
    </w:p>
    <w:p w:rsidR="00967A4A" w:rsidRDefault="00967A4A" w:rsidP="00967A4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67A4A" w:rsidRDefault="00967A4A" w:rsidP="00967A4A">
      <w:pPr>
        <w:pStyle w:val="OrderBody"/>
      </w:pPr>
    </w:p>
    <w:p w:rsidR="00967A4A" w:rsidRDefault="00967A4A" w:rsidP="00967A4A">
      <w:pPr>
        <w:pStyle w:val="OrderBody"/>
      </w:pPr>
    </w:p>
    <w:p w:rsidR="00967A4A" w:rsidRPr="00786450" w:rsidRDefault="00967A4A" w:rsidP="00967A4A">
      <w:pPr>
        <w:pStyle w:val="OrderBody"/>
      </w:pPr>
    </w:p>
    <w:sectPr w:rsidR="00967A4A" w:rsidRPr="0078645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353" w:rsidRDefault="00E92353">
      <w:r>
        <w:separator/>
      </w:r>
    </w:p>
  </w:endnote>
  <w:endnote w:type="continuationSeparator" w:id="0">
    <w:p w:rsidR="00E92353" w:rsidRDefault="00E9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353" w:rsidRDefault="00E92353">
      <w:r>
        <w:separator/>
      </w:r>
    </w:p>
  </w:footnote>
  <w:footnote w:type="continuationSeparator" w:id="0">
    <w:p w:rsidR="00E92353" w:rsidRDefault="00E92353">
      <w:r>
        <w:continuationSeparator/>
      </w:r>
    </w:p>
  </w:footnote>
  <w:footnote w:id="1">
    <w:p w:rsidR="004E3283" w:rsidRDefault="004E3283" w:rsidP="004E3283">
      <w:pPr>
        <w:pStyle w:val="FootnoteText"/>
      </w:pPr>
      <w:r>
        <w:rPr>
          <w:rStyle w:val="FootnoteReference"/>
        </w:rPr>
        <w:footnoteRef/>
      </w:r>
      <w:r>
        <w:t xml:space="preserve"> Office of Public Counsel (OPC), Florida Industrial Power Users Group (FIPUG), Wal-Mart Stores East, LP and Sam’s East, Inc. (Walmart), Federal Executive Agencies (FEA), </w:t>
      </w:r>
      <w:smartTag w:uri="urn:schemas-microsoft-com:office:smarttags" w:element="place">
        <w:smartTag w:uri="urn:schemas-microsoft-com:office:smarttags" w:element="PlaceName">
          <w:r>
            <w:t>South</w:t>
          </w:r>
        </w:smartTag>
        <w:r>
          <w:t xml:space="preserve"> </w:t>
        </w:r>
        <w:smartTag w:uri="urn:schemas-microsoft-com:office:smarttags" w:element="PlaceName">
          <w:r>
            <w:t>Florida</w:t>
          </w:r>
        </w:smartTag>
        <w:r>
          <w:t xml:space="preserve"> </w:t>
        </w:r>
        <w:smartTag w:uri="urn:schemas-microsoft-com:office:smarttags" w:element="PlaceType">
          <w:r>
            <w:t>Hospital</w:t>
          </w:r>
        </w:smartTag>
      </w:smartTag>
      <w:r>
        <w:t xml:space="preserve"> and Healthcare Association (SFHHA), American Association of Retired Persons (AARP), Florida Retail Federation (FRF), Sierra Club, and Daniel R. Larson and Alexandria Larson (Larsons).</w:t>
      </w:r>
    </w:p>
  </w:footnote>
  <w:footnote w:id="2">
    <w:p w:rsidR="00306CF2" w:rsidRDefault="00306CF2" w:rsidP="00306CF2">
      <w:pPr>
        <w:pStyle w:val="FootnoteText"/>
      </w:pPr>
      <w:r>
        <w:rPr>
          <w:rStyle w:val="FootnoteReference"/>
        </w:rPr>
        <w:footnoteRef/>
      </w:r>
      <w:r>
        <w:t xml:space="preserve"> OPC, FRF, and SFHHA.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83 ">
      <w:r w:rsidR="005669E8">
        <w:t>PSC-16-0483-PHO-EI</w:t>
      </w:r>
    </w:fldSimple>
  </w:p>
  <w:p w:rsidR="00FA6EFD" w:rsidRDefault="00E92353">
    <w:pPr>
      <w:pStyle w:val="OrderHeader"/>
    </w:pPr>
    <w:bookmarkStart w:id="9" w:name="HeaderDocketNo"/>
    <w:bookmarkEnd w:id="9"/>
    <w:r>
      <w:t>DOCKET NOS. 160021-EI, 160061-EI, 160062-EI, 160088-EI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669E8">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1-EI, 160061-EI, 160062-EI, 160088-EI"/>
  </w:docVars>
  <w:rsids>
    <w:rsidRoot w:val="00E92353"/>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1F0C7F"/>
    <w:rsid w:val="002002ED"/>
    <w:rsid w:val="0022721A"/>
    <w:rsid w:val="00230BB9"/>
    <w:rsid w:val="00235D41"/>
    <w:rsid w:val="00241CEF"/>
    <w:rsid w:val="00252B30"/>
    <w:rsid w:val="002A11AC"/>
    <w:rsid w:val="002A1875"/>
    <w:rsid w:val="002A6F30"/>
    <w:rsid w:val="002B33E3"/>
    <w:rsid w:val="002D7D15"/>
    <w:rsid w:val="002E27EB"/>
    <w:rsid w:val="00303FDE"/>
    <w:rsid w:val="00306CF2"/>
    <w:rsid w:val="003140E8"/>
    <w:rsid w:val="003231C7"/>
    <w:rsid w:val="00331ED0"/>
    <w:rsid w:val="003411CF"/>
    <w:rsid w:val="0035495B"/>
    <w:rsid w:val="00364CB1"/>
    <w:rsid w:val="003663F1"/>
    <w:rsid w:val="003744F5"/>
    <w:rsid w:val="00390DD8"/>
    <w:rsid w:val="00394DC6"/>
    <w:rsid w:val="00395099"/>
    <w:rsid w:val="00397C3E"/>
    <w:rsid w:val="003D32C3"/>
    <w:rsid w:val="003D4CCA"/>
    <w:rsid w:val="003D6416"/>
    <w:rsid w:val="003E1D48"/>
    <w:rsid w:val="003F371B"/>
    <w:rsid w:val="0042527B"/>
    <w:rsid w:val="00457DC7"/>
    <w:rsid w:val="004666D9"/>
    <w:rsid w:val="00472BCC"/>
    <w:rsid w:val="004A25CD"/>
    <w:rsid w:val="004A26CC"/>
    <w:rsid w:val="004B2108"/>
    <w:rsid w:val="004B3A2B"/>
    <w:rsid w:val="004D2D1B"/>
    <w:rsid w:val="004E3283"/>
    <w:rsid w:val="004F2DDE"/>
    <w:rsid w:val="0050097F"/>
    <w:rsid w:val="00513057"/>
    <w:rsid w:val="00514B1F"/>
    <w:rsid w:val="00551654"/>
    <w:rsid w:val="00556A10"/>
    <w:rsid w:val="005669E8"/>
    <w:rsid w:val="005963C2"/>
    <w:rsid w:val="005B45F7"/>
    <w:rsid w:val="005B63EA"/>
    <w:rsid w:val="005C40BC"/>
    <w:rsid w:val="00627461"/>
    <w:rsid w:val="00660774"/>
    <w:rsid w:val="00665CC7"/>
    <w:rsid w:val="006A0BF3"/>
    <w:rsid w:val="006B0DA6"/>
    <w:rsid w:val="006C547E"/>
    <w:rsid w:val="00704C5D"/>
    <w:rsid w:val="00715275"/>
    <w:rsid w:val="00721DA1"/>
    <w:rsid w:val="00733B6B"/>
    <w:rsid w:val="0076170F"/>
    <w:rsid w:val="0076669C"/>
    <w:rsid w:val="00786450"/>
    <w:rsid w:val="007865E9"/>
    <w:rsid w:val="00792383"/>
    <w:rsid w:val="007A060F"/>
    <w:rsid w:val="007D3D20"/>
    <w:rsid w:val="007E3AFD"/>
    <w:rsid w:val="00803189"/>
    <w:rsid w:val="00804E7A"/>
    <w:rsid w:val="00805FBB"/>
    <w:rsid w:val="008159B4"/>
    <w:rsid w:val="008169A4"/>
    <w:rsid w:val="008278FE"/>
    <w:rsid w:val="00832598"/>
    <w:rsid w:val="0083397E"/>
    <w:rsid w:val="0083534B"/>
    <w:rsid w:val="0085037F"/>
    <w:rsid w:val="00863A66"/>
    <w:rsid w:val="00874429"/>
    <w:rsid w:val="00883D9A"/>
    <w:rsid w:val="008919EF"/>
    <w:rsid w:val="008C6A5B"/>
    <w:rsid w:val="008E26A5"/>
    <w:rsid w:val="008E42D2"/>
    <w:rsid w:val="009040EE"/>
    <w:rsid w:val="009057FD"/>
    <w:rsid w:val="00922A7F"/>
    <w:rsid w:val="00923A5E"/>
    <w:rsid w:val="00967A4A"/>
    <w:rsid w:val="009924CF"/>
    <w:rsid w:val="009934DF"/>
    <w:rsid w:val="00994100"/>
    <w:rsid w:val="009D4C29"/>
    <w:rsid w:val="00A31015"/>
    <w:rsid w:val="00A62DAB"/>
    <w:rsid w:val="00A726A6"/>
    <w:rsid w:val="00A72C90"/>
    <w:rsid w:val="00A97535"/>
    <w:rsid w:val="00AA73F1"/>
    <w:rsid w:val="00AB0E1A"/>
    <w:rsid w:val="00AB1A30"/>
    <w:rsid w:val="00AD1ED3"/>
    <w:rsid w:val="00B0777D"/>
    <w:rsid w:val="00B4057A"/>
    <w:rsid w:val="00B40894"/>
    <w:rsid w:val="00B44A95"/>
    <w:rsid w:val="00B45E75"/>
    <w:rsid w:val="00B50876"/>
    <w:rsid w:val="00B55EE5"/>
    <w:rsid w:val="00B73DE6"/>
    <w:rsid w:val="00B86BEB"/>
    <w:rsid w:val="00B86EF0"/>
    <w:rsid w:val="00B96A34"/>
    <w:rsid w:val="00B97900"/>
    <w:rsid w:val="00BA44A8"/>
    <w:rsid w:val="00BF6691"/>
    <w:rsid w:val="00C028FC"/>
    <w:rsid w:val="00C04414"/>
    <w:rsid w:val="00C66692"/>
    <w:rsid w:val="00C91123"/>
    <w:rsid w:val="00CA71FF"/>
    <w:rsid w:val="00CB172B"/>
    <w:rsid w:val="00CB5276"/>
    <w:rsid w:val="00CB68D7"/>
    <w:rsid w:val="00CC7E68"/>
    <w:rsid w:val="00CD7132"/>
    <w:rsid w:val="00CE0E6F"/>
    <w:rsid w:val="00D30B48"/>
    <w:rsid w:val="00D41952"/>
    <w:rsid w:val="00D46FAA"/>
    <w:rsid w:val="00D57BB2"/>
    <w:rsid w:val="00D8560E"/>
    <w:rsid w:val="00D8758F"/>
    <w:rsid w:val="00DC1D94"/>
    <w:rsid w:val="00DE057F"/>
    <w:rsid w:val="00DE2082"/>
    <w:rsid w:val="00DE2289"/>
    <w:rsid w:val="00E04410"/>
    <w:rsid w:val="00E11351"/>
    <w:rsid w:val="00E87173"/>
    <w:rsid w:val="00E90783"/>
    <w:rsid w:val="00E92353"/>
    <w:rsid w:val="00E93DD4"/>
    <w:rsid w:val="00EA172C"/>
    <w:rsid w:val="00EA259B"/>
    <w:rsid w:val="00EA35A3"/>
    <w:rsid w:val="00EA3E6A"/>
    <w:rsid w:val="00EB18EF"/>
    <w:rsid w:val="00EE17DF"/>
    <w:rsid w:val="00EF39A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4E3283"/>
  </w:style>
  <w:style w:type="paragraph" w:styleId="BalloonText">
    <w:name w:val="Balloon Text"/>
    <w:basedOn w:val="Normal"/>
    <w:link w:val="BalloonTextChar"/>
    <w:rsid w:val="00B86BEB"/>
    <w:rPr>
      <w:rFonts w:ascii="Tahoma" w:hAnsi="Tahoma" w:cs="Tahoma"/>
      <w:sz w:val="16"/>
      <w:szCs w:val="16"/>
    </w:rPr>
  </w:style>
  <w:style w:type="character" w:customStyle="1" w:styleId="BalloonTextChar">
    <w:name w:val="Balloon Text Char"/>
    <w:basedOn w:val="DefaultParagraphFont"/>
    <w:link w:val="BalloonText"/>
    <w:rsid w:val="00B86B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4E3283"/>
  </w:style>
  <w:style w:type="paragraph" w:styleId="BalloonText">
    <w:name w:val="Balloon Text"/>
    <w:basedOn w:val="Normal"/>
    <w:link w:val="BalloonTextChar"/>
    <w:rsid w:val="00B86BEB"/>
    <w:rPr>
      <w:rFonts w:ascii="Tahoma" w:hAnsi="Tahoma" w:cs="Tahoma"/>
      <w:sz w:val="16"/>
      <w:szCs w:val="16"/>
    </w:rPr>
  </w:style>
  <w:style w:type="character" w:customStyle="1" w:styleId="BalloonTextChar">
    <w:name w:val="Balloon Text Char"/>
    <w:basedOn w:val="DefaultParagraphFont"/>
    <w:link w:val="BalloonText"/>
    <w:rsid w:val="00B86B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1111</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2016-10-24T18:04:00Z</dcterms:created>
  <dcterms:modified xsi:type="dcterms:W3CDTF">2016-10-24T18:15:00Z</dcterms:modified>
</cp:coreProperties>
</file>