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120292" w:rsidRDefault="0045321C" w:rsidP="0045321C">
      <w:pPr>
        <w:pStyle w:val="OrderHeading"/>
      </w:pPr>
      <w:r w:rsidRPr="00120292">
        <w:t>BEFORE THE FLORIDA PUBLIC SERVICE COMMISSION</w:t>
      </w:r>
    </w:p>
    <w:p w:rsidR="0045321C" w:rsidRDefault="0045321C" w:rsidP="0045321C">
      <w:pPr>
        <w:pStyle w:val="OrderBody"/>
      </w:pPr>
    </w:p>
    <w:p w:rsidR="00120292" w:rsidRPr="00120292" w:rsidRDefault="00120292" w:rsidP="004532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321C" w:rsidRPr="00120292" w:rsidTr="00C143F4">
        <w:trPr>
          <w:trHeight w:val="828"/>
        </w:trPr>
        <w:tc>
          <w:tcPr>
            <w:tcW w:w="4788" w:type="dxa"/>
            <w:tcBorders>
              <w:right w:val="double" w:sz="6" w:space="0" w:color="auto"/>
            </w:tcBorders>
            <w:shd w:val="clear" w:color="auto" w:fill="auto"/>
          </w:tcPr>
          <w:p w:rsidR="0045321C" w:rsidRPr="00120292" w:rsidRDefault="0045321C" w:rsidP="00C63FCF">
            <w:pPr>
              <w:pStyle w:val="OrderBody"/>
              <w:tabs>
                <w:tab w:val="center" w:pos="4320"/>
                <w:tab w:val="right" w:pos="8640"/>
              </w:tabs>
              <w:jc w:val="left"/>
            </w:pPr>
            <w:r w:rsidRPr="00120292">
              <w:t xml:space="preserve">In re: </w:t>
            </w:r>
            <w:bookmarkStart w:id="0" w:name="SSInRe"/>
            <w:bookmarkEnd w:id="0"/>
            <w:r w:rsidRPr="00120292">
              <w:t>Petition for rate increase by Gulf Power Company.</w:t>
            </w:r>
          </w:p>
        </w:tc>
        <w:tc>
          <w:tcPr>
            <w:tcW w:w="4788" w:type="dxa"/>
            <w:tcBorders>
              <w:left w:val="double" w:sz="6" w:space="0" w:color="auto"/>
            </w:tcBorders>
            <w:shd w:val="clear" w:color="auto" w:fill="auto"/>
          </w:tcPr>
          <w:p w:rsidR="0045321C" w:rsidRPr="00120292" w:rsidRDefault="0045321C" w:rsidP="0045321C">
            <w:pPr>
              <w:pStyle w:val="OrderBody"/>
            </w:pPr>
            <w:r w:rsidRPr="00120292">
              <w:t xml:space="preserve">DOCKET NO. </w:t>
            </w:r>
            <w:bookmarkStart w:id="1" w:name="SSDocketNo"/>
            <w:bookmarkEnd w:id="1"/>
            <w:r w:rsidRPr="00120292">
              <w:t>160186-EI</w:t>
            </w:r>
          </w:p>
          <w:p w:rsidR="00C143F4" w:rsidRPr="00120292" w:rsidRDefault="00C143F4" w:rsidP="0045321C">
            <w:pPr>
              <w:pStyle w:val="OrderBody"/>
            </w:pPr>
          </w:p>
          <w:p w:rsidR="0045321C" w:rsidRPr="00120292" w:rsidRDefault="0045321C" w:rsidP="00C63FCF">
            <w:pPr>
              <w:pStyle w:val="OrderBody"/>
              <w:tabs>
                <w:tab w:val="center" w:pos="4320"/>
                <w:tab w:val="right" w:pos="8640"/>
              </w:tabs>
              <w:jc w:val="left"/>
            </w:pPr>
          </w:p>
        </w:tc>
      </w:tr>
      <w:tr w:rsidR="00C143F4" w:rsidRPr="00120292" w:rsidTr="00C63FCF">
        <w:trPr>
          <w:trHeight w:val="828"/>
        </w:trPr>
        <w:tc>
          <w:tcPr>
            <w:tcW w:w="4788" w:type="dxa"/>
            <w:tcBorders>
              <w:bottom w:val="single" w:sz="8" w:space="0" w:color="auto"/>
              <w:right w:val="double" w:sz="6" w:space="0" w:color="auto"/>
            </w:tcBorders>
            <w:shd w:val="clear" w:color="auto" w:fill="auto"/>
          </w:tcPr>
          <w:p w:rsidR="00C143F4" w:rsidRDefault="00C143F4" w:rsidP="00A64CBE">
            <w:pPr>
              <w:pStyle w:val="OrderBody"/>
              <w:tabs>
                <w:tab w:val="center" w:pos="4320"/>
                <w:tab w:val="right" w:pos="8640"/>
              </w:tabs>
              <w:jc w:val="left"/>
            </w:pPr>
            <w:r w:rsidRPr="00120292">
              <w:t>In re: Petition for approval of 2016 depreciation and dismantlement studies, approval of proposed depreciation rates and annual dismantlement accruals and Plant Smith Units 1 and 2 regulatory asset amortization, by Gulf Power Company.</w:t>
            </w:r>
          </w:p>
          <w:p w:rsidR="00C64318" w:rsidRPr="00120292" w:rsidRDefault="00C64318" w:rsidP="00A64CBE">
            <w:pPr>
              <w:pStyle w:val="OrderBody"/>
              <w:tabs>
                <w:tab w:val="center" w:pos="4320"/>
                <w:tab w:val="right" w:pos="8640"/>
              </w:tabs>
              <w:jc w:val="left"/>
            </w:pPr>
          </w:p>
        </w:tc>
        <w:tc>
          <w:tcPr>
            <w:tcW w:w="4788" w:type="dxa"/>
            <w:tcBorders>
              <w:left w:val="double" w:sz="6" w:space="0" w:color="auto"/>
            </w:tcBorders>
            <w:shd w:val="clear" w:color="auto" w:fill="auto"/>
          </w:tcPr>
          <w:p w:rsidR="00C143F4" w:rsidRPr="00120292" w:rsidRDefault="00C143F4" w:rsidP="00A64CBE">
            <w:pPr>
              <w:pStyle w:val="OrderBody"/>
            </w:pPr>
            <w:r w:rsidRPr="00120292">
              <w:t>DOCKET NO. 160170-EI</w:t>
            </w:r>
          </w:p>
          <w:p w:rsidR="00C143F4" w:rsidRPr="00120292" w:rsidRDefault="00C143F4" w:rsidP="00A64CBE">
            <w:pPr>
              <w:pStyle w:val="OrderBody"/>
              <w:tabs>
                <w:tab w:val="center" w:pos="4320"/>
                <w:tab w:val="right" w:pos="8640"/>
              </w:tabs>
              <w:jc w:val="left"/>
            </w:pPr>
          </w:p>
          <w:p w:rsidR="00C143F4" w:rsidRPr="00120292" w:rsidRDefault="00C143F4" w:rsidP="00A64CBE">
            <w:pPr>
              <w:pStyle w:val="OrderBody"/>
              <w:tabs>
                <w:tab w:val="center" w:pos="4320"/>
                <w:tab w:val="right" w:pos="8640"/>
              </w:tabs>
              <w:jc w:val="left"/>
            </w:pPr>
          </w:p>
          <w:p w:rsidR="00C143F4" w:rsidRPr="00120292" w:rsidRDefault="00C143F4" w:rsidP="00A64CBE">
            <w:pPr>
              <w:pStyle w:val="OrderBody"/>
              <w:tabs>
                <w:tab w:val="center" w:pos="4320"/>
                <w:tab w:val="right" w:pos="8640"/>
              </w:tabs>
              <w:jc w:val="left"/>
            </w:pPr>
          </w:p>
          <w:p w:rsidR="00C143F4" w:rsidRPr="00120292" w:rsidRDefault="00C143F4" w:rsidP="00C143F4">
            <w:pPr>
              <w:pStyle w:val="OrderBody"/>
              <w:tabs>
                <w:tab w:val="center" w:pos="4320"/>
                <w:tab w:val="right" w:pos="8640"/>
              </w:tabs>
              <w:jc w:val="left"/>
            </w:pPr>
            <w:r w:rsidRPr="00120292">
              <w:t xml:space="preserve">ORDER NO. </w:t>
            </w:r>
            <w:bookmarkStart w:id="2" w:name="OrderNo0511"/>
            <w:r w:rsidR="001C7818">
              <w:t>PSC-16-0511-PCO-EI</w:t>
            </w:r>
            <w:bookmarkEnd w:id="2"/>
          </w:p>
          <w:p w:rsidR="00C143F4" w:rsidRPr="00120292" w:rsidRDefault="00C143F4" w:rsidP="00A64CBE">
            <w:pPr>
              <w:pStyle w:val="OrderBody"/>
              <w:tabs>
                <w:tab w:val="center" w:pos="4320"/>
                <w:tab w:val="right" w:pos="8640"/>
              </w:tabs>
              <w:jc w:val="left"/>
            </w:pPr>
            <w:r w:rsidRPr="00120292">
              <w:t>ISSUED:</w:t>
            </w:r>
            <w:r w:rsidR="001C7818">
              <w:t xml:space="preserve"> </w:t>
            </w:r>
            <w:r w:rsidR="001C7818">
              <w:t>November 9, 2016</w:t>
            </w:r>
          </w:p>
        </w:tc>
      </w:tr>
    </w:tbl>
    <w:p w:rsidR="0045321C" w:rsidRDefault="0045321C" w:rsidP="0045321C">
      <w:pPr>
        <w:pStyle w:val="OrderBody"/>
      </w:pPr>
      <w:bookmarkStart w:id="3" w:name="Commissioners"/>
      <w:bookmarkEnd w:id="3"/>
    </w:p>
    <w:p w:rsidR="00C64318" w:rsidRDefault="00C64318" w:rsidP="0045321C">
      <w:pPr>
        <w:pStyle w:val="OrderBody"/>
      </w:pPr>
    </w:p>
    <w:p w:rsidR="00C143F4" w:rsidRPr="00120292" w:rsidRDefault="0045321C">
      <w:pPr>
        <w:pStyle w:val="OrderBody"/>
        <w:jc w:val="center"/>
        <w:rPr>
          <w:u w:val="single"/>
        </w:rPr>
      </w:pPr>
      <w:bookmarkStart w:id="4" w:name="OrderText"/>
      <w:bookmarkEnd w:id="4"/>
      <w:r w:rsidRPr="00120292">
        <w:rPr>
          <w:u w:val="single"/>
        </w:rPr>
        <w:t>ORDER</w:t>
      </w:r>
      <w:bookmarkStart w:id="5" w:name="OrderTitle"/>
      <w:r w:rsidR="00C143F4" w:rsidRPr="00120292">
        <w:rPr>
          <w:u w:val="single"/>
        </w:rPr>
        <w:t xml:space="preserve"> GRANTING GULF POWER COMPANY’S</w:t>
      </w:r>
    </w:p>
    <w:p w:rsidR="0045321C" w:rsidRPr="00120292" w:rsidRDefault="00C143F4">
      <w:pPr>
        <w:pStyle w:val="OrderBody"/>
        <w:jc w:val="center"/>
        <w:rPr>
          <w:u w:val="single"/>
        </w:rPr>
      </w:pPr>
      <w:r w:rsidRPr="00120292">
        <w:rPr>
          <w:u w:val="single"/>
        </w:rPr>
        <w:t xml:space="preserve">MOTION TO </w:t>
      </w:r>
      <w:r w:rsidR="0045321C" w:rsidRPr="00120292">
        <w:rPr>
          <w:u w:val="single"/>
        </w:rPr>
        <w:t>CONSOL</w:t>
      </w:r>
      <w:r w:rsidRPr="00120292">
        <w:rPr>
          <w:u w:val="single"/>
        </w:rPr>
        <w:t>ID</w:t>
      </w:r>
      <w:r w:rsidR="0045321C" w:rsidRPr="00120292">
        <w:rPr>
          <w:u w:val="single"/>
        </w:rPr>
        <w:t>AT</w:t>
      </w:r>
      <w:r w:rsidRPr="00120292">
        <w:rPr>
          <w:u w:val="single"/>
        </w:rPr>
        <w:t>E DOCKET NOS. 160186-EI AND 160170-EI</w:t>
      </w:r>
      <w:r w:rsidR="0045321C" w:rsidRPr="00120292">
        <w:rPr>
          <w:u w:val="single"/>
        </w:rPr>
        <w:t xml:space="preserve"> </w:t>
      </w:r>
      <w:bookmarkEnd w:id="5"/>
    </w:p>
    <w:p w:rsidR="0045321C" w:rsidRDefault="0045321C">
      <w:pPr>
        <w:pStyle w:val="OrderBody"/>
      </w:pPr>
    </w:p>
    <w:p w:rsidR="00C64318" w:rsidRDefault="00C64318">
      <w:pPr>
        <w:pStyle w:val="OrderBody"/>
      </w:pPr>
    </w:p>
    <w:p w:rsidR="00C143F4" w:rsidRPr="00120292" w:rsidRDefault="00C143F4" w:rsidP="00C143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20292">
        <w:tab/>
        <w:t xml:space="preserve">On October 12, 2016, Gulf Power Company (Gulf) filed a Petition for Base Rate Relief and Motion to Consolidate Dockets.  Gulf’s motion requests that its Petition for approval of its </w:t>
      </w:r>
      <w:r w:rsidR="00412F8D">
        <w:t xml:space="preserve">(1) </w:t>
      </w:r>
      <w:r w:rsidRPr="00120292">
        <w:t xml:space="preserve">2016 depreciation and dismantlement studies, </w:t>
      </w:r>
      <w:r w:rsidR="00412F8D">
        <w:t xml:space="preserve">(2) </w:t>
      </w:r>
      <w:r w:rsidRPr="00120292">
        <w:t>approval of proposed depreciation rates and annual dismantlement accruals</w:t>
      </w:r>
      <w:r w:rsidR="00412F8D">
        <w:t>,</w:t>
      </w:r>
      <w:r w:rsidRPr="00120292">
        <w:t xml:space="preserve"> and </w:t>
      </w:r>
      <w:r w:rsidR="00412F8D">
        <w:t xml:space="preserve">(3) </w:t>
      </w:r>
      <w:r w:rsidRPr="00120292">
        <w:t>Plant Smith Units 1 and 2 regulatory asset amortization (Docket No. 160170-EI), be consolidated with its Petition for approval for base rate relief (Docket No. 160186-EI).</w:t>
      </w:r>
    </w:p>
    <w:p w:rsidR="00C143F4" w:rsidRPr="00120292" w:rsidRDefault="00C143F4">
      <w:pPr>
        <w:pStyle w:val="OrderBody"/>
      </w:pPr>
    </w:p>
    <w:p w:rsidR="00CB5276" w:rsidRPr="00120292" w:rsidRDefault="00C143F4" w:rsidP="0045321C">
      <w:r w:rsidRPr="00120292">
        <w:rPr>
          <w:u w:val="single"/>
        </w:rPr>
        <w:t>Docket No. 160170-EI</w:t>
      </w:r>
      <w:r w:rsidR="002B4598" w:rsidRPr="00120292">
        <w:rPr>
          <w:u w:val="single"/>
        </w:rPr>
        <w:t xml:space="preserve">   (Depreciation Study Petition)</w:t>
      </w:r>
      <w:r w:rsidR="00F10464" w:rsidRPr="00F10464">
        <w:rPr>
          <w:rStyle w:val="FootnoteReference"/>
        </w:rPr>
        <w:footnoteReference w:id="1"/>
      </w:r>
    </w:p>
    <w:p w:rsidR="00C143F4" w:rsidRPr="00120292" w:rsidRDefault="00C143F4" w:rsidP="0045321C"/>
    <w:p w:rsidR="00DA0DB8" w:rsidRDefault="00DA0DB8" w:rsidP="00DA0DB8">
      <w:pPr>
        <w:autoSpaceDE w:val="0"/>
        <w:autoSpaceDN w:val="0"/>
        <w:adjustRightInd w:val="0"/>
        <w:ind w:firstLine="720"/>
        <w:jc w:val="both"/>
        <w:rPr>
          <w:rFonts w:eastAsiaTheme="minorHAnsi"/>
        </w:rPr>
      </w:pPr>
      <w:r w:rsidRPr="00120292">
        <w:rPr>
          <w:rFonts w:eastAsiaTheme="minorHAnsi"/>
        </w:rPr>
        <w:t>Gulf’s current depreciation rates and annual dismantlemen</w:t>
      </w:r>
      <w:r>
        <w:rPr>
          <w:rFonts w:eastAsiaTheme="minorHAnsi"/>
        </w:rPr>
        <w:t>t accruals were approved by the Commission in</w:t>
      </w:r>
      <w:r w:rsidRPr="00120292">
        <w:rPr>
          <w:rFonts w:eastAsiaTheme="minorHAnsi"/>
        </w:rPr>
        <w:t xml:space="preserve"> Order No. PSC-10-0458-PAA-EI, issued July 19, 2010 in Docket No. 090319-El, based on Gulf’s 2009 studies. As part of the </w:t>
      </w:r>
      <w:r w:rsidR="00C64318" w:rsidRPr="00120292">
        <w:rPr>
          <w:rFonts w:eastAsiaTheme="minorHAnsi"/>
        </w:rPr>
        <w:t>Stipulation and Settlement Agreement</w:t>
      </w:r>
      <w:r w:rsidR="00C64318">
        <w:rPr>
          <w:rFonts w:eastAsiaTheme="minorHAnsi"/>
        </w:rPr>
        <w:t xml:space="preserve"> approved by the</w:t>
      </w:r>
      <w:r w:rsidR="00C64318" w:rsidRPr="00120292">
        <w:rPr>
          <w:rFonts w:eastAsiaTheme="minorHAnsi"/>
        </w:rPr>
        <w:t xml:space="preserve"> Commission in </w:t>
      </w:r>
      <w:r w:rsidR="00C64318">
        <w:rPr>
          <w:rFonts w:eastAsiaTheme="minorHAnsi"/>
        </w:rPr>
        <w:t xml:space="preserve">Gulf’s 2013 rate case, in </w:t>
      </w:r>
      <w:r w:rsidR="00C64318" w:rsidRPr="00120292">
        <w:rPr>
          <w:rFonts w:eastAsiaTheme="minorHAnsi"/>
        </w:rPr>
        <w:t>Order No. PSC-13-0670-S-EI, issued December 19, 2013, in Docket No. 130140-EI</w:t>
      </w:r>
      <w:r w:rsidR="00C64318">
        <w:rPr>
          <w:rFonts w:eastAsiaTheme="minorHAnsi"/>
        </w:rPr>
        <w:t xml:space="preserve"> </w:t>
      </w:r>
      <w:r w:rsidR="00C64318" w:rsidRPr="00120292">
        <w:rPr>
          <w:rFonts w:eastAsiaTheme="minorHAnsi"/>
        </w:rPr>
        <w:t>(</w:t>
      </w:r>
      <w:r w:rsidR="00C64318">
        <w:rPr>
          <w:rFonts w:eastAsiaTheme="minorHAnsi"/>
        </w:rPr>
        <w:t xml:space="preserve">2013 </w:t>
      </w:r>
      <w:r w:rsidR="00C64318" w:rsidRPr="00120292">
        <w:rPr>
          <w:rFonts w:eastAsiaTheme="minorHAnsi"/>
        </w:rPr>
        <w:t>Settlement Agreement)</w:t>
      </w:r>
      <w:r w:rsidR="00412F8D">
        <w:rPr>
          <w:rFonts w:eastAsiaTheme="minorHAnsi"/>
        </w:rPr>
        <w:t>,</w:t>
      </w:r>
      <w:r w:rsidR="00C64318">
        <w:rPr>
          <w:rStyle w:val="FootnoteReference"/>
          <w:rFonts w:eastAsiaTheme="minorHAnsi"/>
        </w:rPr>
        <w:footnoteReference w:id="2"/>
      </w:r>
      <w:r w:rsidR="00C64318">
        <w:rPr>
          <w:rFonts w:eastAsiaTheme="minorHAnsi"/>
        </w:rPr>
        <w:t xml:space="preserve"> Gulf’s proceeding</w:t>
      </w:r>
      <w:r w:rsidRPr="00120292">
        <w:rPr>
          <w:rFonts w:eastAsiaTheme="minorHAnsi"/>
        </w:rPr>
        <w:t xml:space="preserve"> addressing its 2013 depreciation and dismantlement studies were closed,</w:t>
      </w:r>
      <w:r w:rsidRPr="00120292">
        <w:rPr>
          <w:rStyle w:val="FootnoteReference"/>
          <w:rFonts w:eastAsiaTheme="minorHAnsi"/>
        </w:rPr>
        <w:footnoteReference w:id="3"/>
      </w:r>
      <w:r w:rsidRPr="00120292">
        <w:rPr>
          <w:rFonts w:eastAsiaTheme="minorHAnsi"/>
        </w:rPr>
        <w:t xml:space="preserve"> without any change to the depreciation rates or annual dismantlement accrual established for Gulf</w:t>
      </w:r>
      <w:r>
        <w:rPr>
          <w:rFonts w:eastAsiaTheme="minorHAnsi"/>
        </w:rPr>
        <w:t>,</w:t>
      </w:r>
      <w:r w:rsidRPr="00120292">
        <w:rPr>
          <w:rFonts w:eastAsiaTheme="minorHAnsi"/>
        </w:rPr>
        <w:t xml:space="preserve"> pursuant to its 2009 studies. Under the terms of the </w:t>
      </w:r>
      <w:r w:rsidR="00C64318">
        <w:rPr>
          <w:rFonts w:eastAsiaTheme="minorHAnsi"/>
        </w:rPr>
        <w:t xml:space="preserve">2013 </w:t>
      </w:r>
      <w:r>
        <w:rPr>
          <w:rFonts w:eastAsiaTheme="minorHAnsi"/>
        </w:rPr>
        <w:t xml:space="preserve">Settlement </w:t>
      </w:r>
      <w:r w:rsidRPr="00120292">
        <w:rPr>
          <w:rFonts w:eastAsiaTheme="minorHAnsi"/>
        </w:rPr>
        <w:t xml:space="preserve">Agreement, the depreciation and amortization accrual rates in effect at the time of the </w:t>
      </w:r>
      <w:r w:rsidR="00C64318">
        <w:rPr>
          <w:rFonts w:eastAsiaTheme="minorHAnsi"/>
        </w:rPr>
        <w:t xml:space="preserve">2013 </w:t>
      </w:r>
      <w:r>
        <w:rPr>
          <w:rFonts w:eastAsiaTheme="minorHAnsi"/>
        </w:rPr>
        <w:t xml:space="preserve">Settlement </w:t>
      </w:r>
      <w:r w:rsidRPr="00120292">
        <w:rPr>
          <w:rFonts w:eastAsiaTheme="minorHAnsi"/>
        </w:rPr>
        <w:t xml:space="preserve">Agreement were to remain in effect </w:t>
      </w:r>
      <w:r w:rsidRPr="00120292">
        <w:rPr>
          <w:rFonts w:eastAsiaTheme="minorHAnsi"/>
        </w:rPr>
        <w:lastRenderedPageBreak/>
        <w:t xml:space="preserve">throughout the term </w:t>
      </w:r>
      <w:r>
        <w:rPr>
          <w:rFonts w:eastAsiaTheme="minorHAnsi"/>
        </w:rPr>
        <w:t xml:space="preserve">of the </w:t>
      </w:r>
      <w:r w:rsidR="00CD477B">
        <w:rPr>
          <w:rFonts w:eastAsiaTheme="minorHAnsi"/>
        </w:rPr>
        <w:t xml:space="preserve">2013 </w:t>
      </w:r>
      <w:r>
        <w:rPr>
          <w:rFonts w:eastAsiaTheme="minorHAnsi"/>
        </w:rPr>
        <w:t>Settlement Agreement</w:t>
      </w:r>
      <w:r w:rsidR="00CD477B">
        <w:rPr>
          <w:rFonts w:eastAsiaTheme="minorHAnsi"/>
        </w:rPr>
        <w:t xml:space="preserve">. </w:t>
      </w:r>
      <w:r w:rsidRPr="00120292">
        <w:rPr>
          <w:rFonts w:eastAsiaTheme="minorHAnsi"/>
        </w:rPr>
        <w:t xml:space="preserve">In addition, the </w:t>
      </w:r>
      <w:r w:rsidR="00C64318">
        <w:rPr>
          <w:rFonts w:eastAsiaTheme="minorHAnsi"/>
        </w:rPr>
        <w:t xml:space="preserve">2013 </w:t>
      </w:r>
      <w:r>
        <w:rPr>
          <w:rFonts w:eastAsiaTheme="minorHAnsi"/>
        </w:rPr>
        <w:t xml:space="preserve">Settlement </w:t>
      </w:r>
      <w:r w:rsidRPr="00120292">
        <w:rPr>
          <w:rFonts w:eastAsiaTheme="minorHAnsi"/>
        </w:rPr>
        <w:t>Agreement required Gulf to file depreciation and dismantlement studies on or before December 31, 2018</w:t>
      </w:r>
      <w:r w:rsidR="00412F8D">
        <w:rPr>
          <w:rFonts w:eastAsiaTheme="minorHAnsi"/>
        </w:rPr>
        <w:t>, or within</w:t>
      </w:r>
      <w:r w:rsidRPr="00120292">
        <w:rPr>
          <w:rFonts w:eastAsiaTheme="minorHAnsi"/>
        </w:rPr>
        <w:t xml:space="preserve"> a period defined as not more than one year nor less than 60 days, prior to Gulf filing its next general rate proceeding, whichever is sooner.</w:t>
      </w:r>
      <w:r>
        <w:rPr>
          <w:rStyle w:val="FootnoteReference"/>
          <w:rFonts w:eastAsiaTheme="minorHAnsi"/>
        </w:rPr>
        <w:footnoteReference w:id="4"/>
      </w:r>
      <w:r w:rsidRPr="00120292">
        <w:rPr>
          <w:rFonts w:eastAsiaTheme="minorHAnsi"/>
        </w:rPr>
        <w:t xml:space="preserve"> </w:t>
      </w:r>
    </w:p>
    <w:p w:rsidR="00DA0DB8" w:rsidRDefault="00DA0DB8" w:rsidP="00C143F4">
      <w:pPr>
        <w:autoSpaceDE w:val="0"/>
        <w:autoSpaceDN w:val="0"/>
        <w:adjustRightInd w:val="0"/>
        <w:ind w:firstLine="720"/>
        <w:jc w:val="both"/>
        <w:rPr>
          <w:rFonts w:eastAsiaTheme="minorHAnsi"/>
        </w:rPr>
      </w:pPr>
    </w:p>
    <w:p w:rsidR="00C143F4" w:rsidRDefault="00C143F4" w:rsidP="00C64318">
      <w:pPr>
        <w:autoSpaceDE w:val="0"/>
        <w:autoSpaceDN w:val="0"/>
        <w:adjustRightInd w:val="0"/>
        <w:ind w:firstLine="720"/>
        <w:jc w:val="both"/>
        <w:rPr>
          <w:rFonts w:eastAsiaTheme="minorHAnsi"/>
        </w:rPr>
      </w:pPr>
      <w:r w:rsidRPr="00120292">
        <w:rPr>
          <w:rFonts w:eastAsiaTheme="minorHAnsi"/>
        </w:rPr>
        <w:t xml:space="preserve">On July 14, 2016, </w:t>
      </w:r>
      <w:r w:rsidR="00936C0A">
        <w:rPr>
          <w:rFonts w:eastAsiaTheme="minorHAnsi"/>
        </w:rPr>
        <w:t>p</w:t>
      </w:r>
      <w:r w:rsidR="00C64318" w:rsidRPr="00120292">
        <w:rPr>
          <w:rFonts w:eastAsiaTheme="minorHAnsi"/>
        </w:rPr>
        <w:t xml:space="preserve">ursuant to the terms of the </w:t>
      </w:r>
      <w:r w:rsidR="00C64318">
        <w:rPr>
          <w:rFonts w:eastAsiaTheme="minorHAnsi"/>
        </w:rPr>
        <w:t xml:space="preserve">2013 Settlement </w:t>
      </w:r>
      <w:r w:rsidR="00C64318" w:rsidRPr="00120292">
        <w:rPr>
          <w:rFonts w:eastAsiaTheme="minorHAnsi"/>
        </w:rPr>
        <w:t xml:space="preserve">Agreement, </w:t>
      </w:r>
      <w:r w:rsidRPr="00120292">
        <w:t xml:space="preserve">Gulf filed a Petition </w:t>
      </w:r>
      <w:r w:rsidRPr="00120292">
        <w:rPr>
          <w:rFonts w:eastAsiaTheme="minorHAnsi"/>
        </w:rPr>
        <w:t>for approval of its 2016 Depreciation Study, 2016 Dismantlement Study, proposed depreciation rates and annual dismantlement accrual amounts</w:t>
      </w:r>
      <w:r w:rsidR="00412F8D">
        <w:rPr>
          <w:rFonts w:eastAsiaTheme="minorHAnsi"/>
        </w:rPr>
        <w:t>,</w:t>
      </w:r>
      <w:r w:rsidRPr="00120292">
        <w:rPr>
          <w:rFonts w:eastAsiaTheme="minorHAnsi"/>
        </w:rPr>
        <w:t xml:space="preserve"> and the Plant Smith Units </w:t>
      </w:r>
      <w:r w:rsidR="00F132BF">
        <w:rPr>
          <w:rFonts w:eastAsiaTheme="minorHAnsi"/>
        </w:rPr>
        <w:t>1</w:t>
      </w:r>
      <w:r w:rsidRPr="00120292">
        <w:rPr>
          <w:rFonts w:eastAsiaTheme="minorHAnsi"/>
        </w:rPr>
        <w:t xml:space="preserve"> and 2 regulatory asset amortization, pursuant to Rules 25-6.0436 and 25-6.04364, Florida Administrative Code (F.A.C).</w:t>
      </w:r>
      <w:r w:rsidR="002B4598" w:rsidRPr="00120292">
        <w:rPr>
          <w:rFonts w:eastAsiaTheme="minorHAnsi"/>
        </w:rPr>
        <w:t xml:space="preserve"> </w:t>
      </w:r>
      <w:r w:rsidR="00AC1A47">
        <w:rPr>
          <w:rFonts w:eastAsiaTheme="minorHAnsi"/>
        </w:rPr>
        <w:t>Gulf filed a corrected 2016 Depreciation Study on September 20, 2016.</w:t>
      </w:r>
      <w:r w:rsidR="00AC1A47">
        <w:rPr>
          <w:rStyle w:val="FootnoteReference"/>
          <w:rFonts w:eastAsiaTheme="minorHAnsi"/>
        </w:rPr>
        <w:footnoteReference w:id="5"/>
      </w:r>
    </w:p>
    <w:p w:rsidR="00852A22" w:rsidRDefault="00852A22" w:rsidP="00C143F4">
      <w:pPr>
        <w:autoSpaceDE w:val="0"/>
        <w:autoSpaceDN w:val="0"/>
        <w:adjustRightInd w:val="0"/>
        <w:ind w:firstLine="720"/>
        <w:jc w:val="both"/>
        <w:rPr>
          <w:rFonts w:eastAsiaTheme="minorHAnsi"/>
        </w:rPr>
      </w:pPr>
    </w:p>
    <w:p w:rsidR="00C143F4" w:rsidRPr="00F10464" w:rsidRDefault="00C143F4" w:rsidP="0045321C">
      <w:r w:rsidRPr="00120292">
        <w:rPr>
          <w:u w:val="single"/>
        </w:rPr>
        <w:t>Docket No. 160186-EI</w:t>
      </w:r>
      <w:r w:rsidR="002B4598" w:rsidRPr="00120292">
        <w:rPr>
          <w:u w:val="single"/>
        </w:rPr>
        <w:t xml:space="preserve">    (Rate Relief Petition)</w:t>
      </w:r>
      <w:r w:rsidR="00F10464" w:rsidRPr="00F10464">
        <w:rPr>
          <w:rStyle w:val="FootnoteReference"/>
        </w:rPr>
        <w:footnoteReference w:id="6"/>
      </w:r>
    </w:p>
    <w:p w:rsidR="00C143F4" w:rsidRPr="00120292" w:rsidRDefault="00C143F4" w:rsidP="0045321C"/>
    <w:p w:rsidR="002B4598" w:rsidRDefault="00120292" w:rsidP="002B4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1F61C3">
        <w:t>O</w:t>
      </w:r>
      <w:r w:rsidR="002B4598" w:rsidRPr="00120292">
        <w:t>n October 12, 2016, Gulf filed its Petition for permanent increase in its base rates and miscellaneous service charges, along with its Minimum Filing Requirements (MFRs)</w:t>
      </w:r>
      <w:r w:rsidR="00666397">
        <w:t xml:space="preserve">, </w:t>
      </w:r>
      <w:r w:rsidR="00666397" w:rsidRPr="00120292">
        <w:t>pursuant to Section 366.06, Florida Statutes (F.S.), and Rule</w:t>
      </w:r>
      <w:r w:rsidR="00666397">
        <w:t>s 25-6.0</w:t>
      </w:r>
      <w:r w:rsidR="0074427E">
        <w:t>4</w:t>
      </w:r>
      <w:r w:rsidR="00666397">
        <w:t>25 and 25-6.043, F.A.C</w:t>
      </w:r>
      <w:r>
        <w:t>.</w:t>
      </w:r>
      <w:r w:rsidR="002B4598" w:rsidRPr="00120292">
        <w:t xml:space="preserve"> </w:t>
      </w:r>
      <w:r>
        <w:t>A</w:t>
      </w:r>
      <w:r w:rsidR="002B4598" w:rsidRPr="00120292">
        <w:t xml:space="preserve">n administrative hearing </w:t>
      </w:r>
      <w:r w:rsidR="00412F8D">
        <w:t>is</w:t>
      </w:r>
      <w:r w:rsidR="002B4598" w:rsidRPr="00120292">
        <w:t xml:space="preserve"> scheduled </w:t>
      </w:r>
      <w:r>
        <w:t xml:space="preserve">in </w:t>
      </w:r>
      <w:r w:rsidR="00852A22">
        <w:t xml:space="preserve">this docket </w:t>
      </w:r>
      <w:r>
        <w:t xml:space="preserve">for </w:t>
      </w:r>
      <w:r w:rsidR="002B4598" w:rsidRPr="00120292">
        <w:t>March 20-24, 201</w:t>
      </w:r>
      <w:r w:rsidR="00F132BF">
        <w:t>7</w:t>
      </w:r>
      <w:r w:rsidR="00852A22">
        <w:t>, pursuant to Section 366.06(2), F.S</w:t>
      </w:r>
      <w:r w:rsidR="002B4598" w:rsidRPr="00120292">
        <w:t>.</w:t>
      </w:r>
      <w:r w:rsidR="00412F8D">
        <w:t>, to take evidence in the rate case.</w:t>
      </w:r>
    </w:p>
    <w:p w:rsidR="00F10464" w:rsidRPr="00AC1A47" w:rsidRDefault="00F10464" w:rsidP="00AC1A47">
      <w:pPr>
        <w:autoSpaceDE w:val="0"/>
        <w:autoSpaceDN w:val="0"/>
        <w:adjustRightInd w:val="0"/>
        <w:ind w:firstLine="720"/>
        <w:jc w:val="both"/>
        <w:rPr>
          <w:rFonts w:eastAsiaTheme="minorHAnsi"/>
        </w:rPr>
      </w:pPr>
    </w:p>
    <w:p w:rsidR="00F10464" w:rsidRPr="00416EFA" w:rsidRDefault="00F10464" w:rsidP="00F10464">
      <w:pPr>
        <w:rPr>
          <w:u w:val="single"/>
        </w:rPr>
      </w:pPr>
      <w:r w:rsidRPr="00416EFA">
        <w:rPr>
          <w:u w:val="single"/>
        </w:rPr>
        <w:t>Motion to Consolidate</w:t>
      </w:r>
    </w:p>
    <w:p w:rsidR="00F10464" w:rsidRPr="004F5C06" w:rsidRDefault="00F10464" w:rsidP="00F10464"/>
    <w:p w:rsidR="004F5C06" w:rsidRPr="004F5C06" w:rsidRDefault="00F10464" w:rsidP="004F5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F5C06">
        <w:tab/>
        <w:t>Rule 28-106.108, F.A.C., provides that “[i]</w:t>
      </w:r>
      <w:r w:rsidRPr="004F5C06">
        <w:rPr>
          <w:noProof/>
          <w:color w:val="000000"/>
        </w:rPr>
        <w:t>f there are separate matters which involve similar issues of law or fact, or identical parties, the matters may be consolidated if it appears that consolidation would promote the just, speedy, and inexpensive resolution of the proceedings, and would not unduly prejudice the rights of a party</w:t>
      </w:r>
      <w:r w:rsidRPr="004F5C06">
        <w:t>.”  Gulf asserts that Docket No. 160170-EI should be consolidated with Docket No. 160186-EI for administrative efficiency.</w:t>
      </w:r>
      <w:r w:rsidR="004F5C06" w:rsidRPr="004F5C06">
        <w:t xml:space="preserve"> Specifically, </w:t>
      </w:r>
      <w:r w:rsidRPr="004F5C06">
        <w:t xml:space="preserve">Gulf </w:t>
      </w:r>
      <w:r w:rsidR="004F5C06" w:rsidRPr="004F5C06">
        <w:t>states</w:t>
      </w:r>
      <w:r w:rsidRPr="004F5C06">
        <w:t xml:space="preserve"> that the </w:t>
      </w:r>
      <w:r w:rsidR="004F5C06" w:rsidRPr="004F5C06">
        <w:t>“</w:t>
      </w:r>
      <w:r w:rsidRPr="004F5C06">
        <w:t>depreciation and dismantlement studies filed in Docket No. 160170-EI provide the details for the corresponding amounts included in the MFRs filed in Docket No. 160186-EI,</w:t>
      </w:r>
      <w:r w:rsidR="004F5C06" w:rsidRPr="004F5C06">
        <w:t>”</w:t>
      </w:r>
      <w:r w:rsidRPr="004F5C06">
        <w:t xml:space="preserve"> and that the </w:t>
      </w:r>
      <w:r w:rsidR="004F5C06" w:rsidRPr="004F5C06">
        <w:t>“</w:t>
      </w:r>
      <w:r w:rsidRPr="004F5C06">
        <w:t>information in the studies is so embedded in the rate case MFR calculations that the requests to approve these studies are naturally and rationally included in the rate case.</w:t>
      </w:r>
      <w:r w:rsidR="004F5C06" w:rsidRPr="004F5C06">
        <w:t>”</w:t>
      </w:r>
      <w:r w:rsidRPr="004F5C06">
        <w:t xml:space="preserve"> Finally, Gulf </w:t>
      </w:r>
      <w:r w:rsidR="004F5C06" w:rsidRPr="004F5C06">
        <w:t>asserts</w:t>
      </w:r>
      <w:r w:rsidRPr="004F5C06">
        <w:t xml:space="preserve"> that “consolidation would</w:t>
      </w:r>
      <w:r w:rsidR="004F5C06" w:rsidRPr="004F5C06">
        <w:t xml:space="preserve"> </w:t>
      </w:r>
      <w:r w:rsidRPr="004F5C06">
        <w:t>place all of the studies and all of the testimony associated with the studies in the rate case docket resulting in a consolidated, coordinated, and unified final</w:t>
      </w:r>
      <w:r w:rsidR="004F5C06" w:rsidRPr="004F5C06">
        <w:t xml:space="preserve"> </w:t>
      </w:r>
      <w:r w:rsidRPr="004F5C06">
        <w:t xml:space="preserve">hearing record as was intended by the parties to the </w:t>
      </w:r>
      <w:r w:rsidR="001F61C3">
        <w:t xml:space="preserve">[2013] </w:t>
      </w:r>
      <w:r w:rsidRPr="004F5C06">
        <w:t>Settlement</w:t>
      </w:r>
      <w:r w:rsidR="004F5C06" w:rsidRPr="004F5C06">
        <w:t xml:space="preserve"> </w:t>
      </w:r>
      <w:r w:rsidRPr="004F5C06">
        <w:t>Agreement.</w:t>
      </w:r>
      <w:r w:rsidR="004F5C06" w:rsidRPr="004F5C06">
        <w:t xml:space="preserve">”  </w:t>
      </w:r>
    </w:p>
    <w:p w:rsidR="004F5C06" w:rsidRPr="004F5C06" w:rsidRDefault="004F5C06" w:rsidP="004F5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C3901" w:rsidRDefault="002C3901">
      <w:pPr>
        <w:rPr>
          <w:rFonts w:eastAsiaTheme="minorHAnsi"/>
        </w:rPr>
      </w:pPr>
      <w:r>
        <w:rPr>
          <w:rFonts w:eastAsiaTheme="minorHAnsi"/>
        </w:rPr>
        <w:br w:type="page"/>
      </w:r>
    </w:p>
    <w:p w:rsidR="00C64318" w:rsidRDefault="00C64318" w:rsidP="00C64318">
      <w:pPr>
        <w:autoSpaceDE w:val="0"/>
        <w:autoSpaceDN w:val="0"/>
        <w:adjustRightInd w:val="0"/>
        <w:ind w:firstLine="720"/>
        <w:jc w:val="both"/>
        <w:rPr>
          <w:rFonts w:eastAsiaTheme="minorHAnsi"/>
        </w:rPr>
      </w:pPr>
      <w:r>
        <w:rPr>
          <w:rFonts w:eastAsiaTheme="minorHAnsi"/>
        </w:rPr>
        <w:lastRenderedPageBreak/>
        <w:t>The</w:t>
      </w:r>
      <w:r w:rsidRPr="00C64318">
        <w:rPr>
          <w:rFonts w:eastAsiaTheme="minorHAnsi"/>
        </w:rPr>
        <w:t xml:space="preserve"> </w:t>
      </w:r>
      <w:r>
        <w:rPr>
          <w:rFonts w:eastAsiaTheme="minorHAnsi"/>
        </w:rPr>
        <w:t>Office of Public Counsel (OPC) intervened in both dockets</w:t>
      </w:r>
      <w:r w:rsidR="001F61C3">
        <w:rPr>
          <w:rFonts w:eastAsiaTheme="minorHAnsi"/>
        </w:rPr>
        <w:t>.</w:t>
      </w:r>
      <w:r>
        <w:rPr>
          <w:rStyle w:val="FootnoteReference"/>
          <w:rFonts w:eastAsiaTheme="minorHAnsi"/>
        </w:rPr>
        <w:footnoteReference w:id="7"/>
      </w:r>
      <w:r w:rsidR="001F61C3">
        <w:rPr>
          <w:rFonts w:eastAsiaTheme="minorHAnsi"/>
        </w:rPr>
        <w:t xml:space="preserve"> No party has objected to the motion to consolidate.</w:t>
      </w:r>
    </w:p>
    <w:p w:rsidR="00CD477B" w:rsidRDefault="00CD477B" w:rsidP="00C64318">
      <w:pPr>
        <w:autoSpaceDE w:val="0"/>
        <w:autoSpaceDN w:val="0"/>
        <w:adjustRightInd w:val="0"/>
        <w:ind w:firstLine="720"/>
        <w:jc w:val="both"/>
        <w:rPr>
          <w:rFonts w:eastAsiaTheme="minorHAnsi"/>
        </w:rPr>
      </w:pPr>
    </w:p>
    <w:p w:rsidR="004F5C06" w:rsidRPr="004F5C06" w:rsidRDefault="004F5C06">
      <w:pPr>
        <w:rPr>
          <w:u w:val="single"/>
        </w:rPr>
      </w:pPr>
      <w:r w:rsidRPr="004F5C06">
        <w:rPr>
          <w:u w:val="single"/>
        </w:rPr>
        <w:t>Ruling</w:t>
      </w:r>
    </w:p>
    <w:p w:rsidR="004F5C06" w:rsidRDefault="004F5C06"/>
    <w:p w:rsidR="00803A58" w:rsidRDefault="004F5C06" w:rsidP="00803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Rule 28-106.211, F.A.C., provides that “[t]he presiding officer before whom a case is pending may issue any orders necessary to effectuate discovery, to prevent delay, and to promote the just, speedy, and inexpensive determination of all aspects of the case. . . .”  Upon review, it appears that Docket Nos. 160170-EI and 160186-EI are interrelated and inextricably linked</w:t>
      </w:r>
      <w:r w:rsidR="002C3901">
        <w:t xml:space="preserve"> and thus, the standard for consolidation set out in Rule 28-106.108, F.A.C., has been met</w:t>
      </w:r>
      <w:r>
        <w:t xml:space="preserve">. </w:t>
      </w:r>
      <w:r w:rsidR="002C3901">
        <w:t>Therefore</w:t>
      </w:r>
      <w:r>
        <w:t xml:space="preserve">, Docket Nos. 160170-EI and 160186-EI shall be consolidated </w:t>
      </w:r>
      <w:r w:rsidR="001F61C3">
        <w:t>for all purposes</w:t>
      </w:r>
      <w:r w:rsidRPr="00C3110F">
        <w:t>.</w:t>
      </w:r>
      <w:r>
        <w:t xml:space="preserve">  </w:t>
      </w:r>
      <w:r w:rsidR="00FD6BB7">
        <w:t xml:space="preserve">All parties to Docket No. 160170-EI shall also be parties to Docket No. 160186-EI. </w:t>
      </w:r>
      <w:r>
        <w:t xml:space="preserve">Accordingly, </w:t>
      </w:r>
      <w:r w:rsidR="00FD6BB7">
        <w:t xml:space="preserve">all </w:t>
      </w:r>
      <w:r>
        <w:t xml:space="preserve">procedures established by </w:t>
      </w:r>
      <w:r w:rsidR="001F61C3">
        <w:t>the</w:t>
      </w:r>
      <w:r w:rsidR="00803A58">
        <w:t xml:space="preserve"> Order Establishing Procedure</w:t>
      </w:r>
      <w:r w:rsidR="001F61C3">
        <w:t xml:space="preserve"> (</w:t>
      </w:r>
      <w:r w:rsidR="001F61C3" w:rsidRPr="001F61C3">
        <w:t xml:space="preserve">Order </w:t>
      </w:r>
      <w:r w:rsidR="001F61C3">
        <w:t xml:space="preserve">No. </w:t>
      </w:r>
      <w:r w:rsidR="001F61C3" w:rsidRPr="001F61C3">
        <w:t>PSC-16-0473-PCO-EI</w:t>
      </w:r>
      <w:r w:rsidR="001F61C3">
        <w:t>),</w:t>
      </w:r>
      <w:r w:rsidR="00803A58">
        <w:t xml:space="preserve"> </w:t>
      </w:r>
      <w:r>
        <w:t>issued in Docket No. 1</w:t>
      </w:r>
      <w:r w:rsidR="00803A58">
        <w:t>60186</w:t>
      </w:r>
      <w:r>
        <w:t xml:space="preserve">-EI, shall govern this proceeding unless modified by the </w:t>
      </w:r>
      <w:r w:rsidR="00666397">
        <w:t xml:space="preserve">Prehearing Officer or the </w:t>
      </w:r>
      <w:r>
        <w:t>Commission.</w:t>
      </w:r>
      <w:r w:rsidRPr="00991753">
        <w:t xml:space="preserve"> </w:t>
      </w:r>
      <w:r>
        <w:t>All filings made in Docket No. 1</w:t>
      </w:r>
      <w:r w:rsidR="00803A58">
        <w:t>60170</w:t>
      </w:r>
      <w:r>
        <w:t>-EI shall be combined in</w:t>
      </w:r>
      <w:r w:rsidR="005A60D3">
        <w:t>to</w:t>
      </w:r>
      <w:r>
        <w:t xml:space="preserve"> Docket No. 1</w:t>
      </w:r>
      <w:r w:rsidR="00803A58">
        <w:t>60186</w:t>
      </w:r>
      <w:r>
        <w:t>-EI, and all future filings shall be filed in Docket No. 1</w:t>
      </w:r>
      <w:r w:rsidR="00803A58">
        <w:t>60186</w:t>
      </w:r>
      <w:r w:rsidR="005A60D3">
        <w:t>-EI</w:t>
      </w:r>
      <w:r>
        <w:t xml:space="preserve">. </w:t>
      </w:r>
      <w:r w:rsidR="00803A58">
        <w:t>To the extent that parties have provided responses to discovery or staff data requests in Docket N</w:t>
      </w:r>
      <w:r w:rsidR="001F61C3">
        <w:t>o</w:t>
      </w:r>
      <w:r w:rsidR="00803A58">
        <w:t>. 160170-EI</w:t>
      </w:r>
      <w:r w:rsidR="005A60D3">
        <w:t>,</w:t>
      </w:r>
      <w:r w:rsidR="00803A58">
        <w:t xml:space="preserve"> those requests and responses shall be incorporated into Docket</w:t>
      </w:r>
      <w:r w:rsidR="005A60D3">
        <w:t xml:space="preserve"> No.</w:t>
      </w:r>
      <w:r w:rsidR="00803A58">
        <w:t xml:space="preserve"> 160186-EI as if originally filed herein.  </w:t>
      </w:r>
    </w:p>
    <w:p w:rsidR="00803A58" w:rsidRDefault="00803A58" w:rsidP="004F5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5321C" w:rsidRPr="00120292" w:rsidRDefault="0045321C" w:rsidP="0045321C">
      <w:pPr>
        <w:pStyle w:val="OrderBody"/>
      </w:pPr>
      <w:r w:rsidRPr="00120292">
        <w:tab/>
        <w:t>Based on the foregoing, it is</w:t>
      </w:r>
    </w:p>
    <w:p w:rsidR="0045321C" w:rsidRPr="00120292" w:rsidRDefault="0045321C" w:rsidP="0045321C">
      <w:pPr>
        <w:pStyle w:val="OrderBody"/>
      </w:pPr>
    </w:p>
    <w:p w:rsidR="00803A58" w:rsidRDefault="0045321C" w:rsidP="00803A58">
      <w:pPr>
        <w:pStyle w:val="OrderBody"/>
      </w:pPr>
      <w:r w:rsidRPr="00120292">
        <w:tab/>
      </w:r>
      <w:r w:rsidR="00803A58">
        <w:t>ORDERED by Commissioner Jimmy Patronis, as Prehearing Officer, that Gulf Power Company’s Motion to Consolidate Docket Nos. 160170-EI and 160186-EI is hereby granted</w:t>
      </w:r>
      <w:r w:rsidR="00FD6BB7">
        <w:t xml:space="preserve">, </w:t>
      </w:r>
      <w:r w:rsidR="00FD6BB7" w:rsidRPr="005E1F16">
        <w:t xml:space="preserve">as set </w:t>
      </w:r>
      <w:r w:rsidR="00FD6BB7">
        <w:t>forth in the body of this Order</w:t>
      </w:r>
      <w:r w:rsidR="00803A58">
        <w:t>.  It is further</w:t>
      </w:r>
    </w:p>
    <w:p w:rsidR="002C3901" w:rsidRDefault="002C3901" w:rsidP="002C3901"/>
    <w:p w:rsidR="00803A58" w:rsidRDefault="00803A58" w:rsidP="002C3901">
      <w:r>
        <w:tab/>
      </w:r>
      <w:r w:rsidR="005A60D3">
        <w:t>ORDERED that Docket No</w:t>
      </w:r>
      <w:r w:rsidR="00FD6BB7">
        <w:t>s</w:t>
      </w:r>
      <w:r>
        <w:t xml:space="preserve">. </w:t>
      </w:r>
      <w:r w:rsidR="00FD6BB7">
        <w:t>160186-EI and 160170-EI</w:t>
      </w:r>
      <w:r w:rsidR="001F61C3">
        <w:t xml:space="preserve"> are</w:t>
      </w:r>
      <w:r w:rsidR="00095971">
        <w:t xml:space="preserve"> hereby</w:t>
      </w:r>
      <w:r w:rsidR="00FD6BB7">
        <w:t xml:space="preserve"> consolidated for all purposes, as set forth in the body of this Order.</w:t>
      </w:r>
      <w:r>
        <w:t xml:space="preserve">  It is further</w:t>
      </w:r>
    </w:p>
    <w:p w:rsidR="00803A58" w:rsidRDefault="00803A58" w:rsidP="00803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95971" w:rsidRDefault="00803A58" w:rsidP="00095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095971">
        <w:t>ORDERED that all parties to Docket No. 1</w:t>
      </w:r>
      <w:r w:rsidR="001F61C3">
        <w:t>60170</w:t>
      </w:r>
      <w:r w:rsidR="00095971">
        <w:t>-EI shall also be p</w:t>
      </w:r>
      <w:r w:rsidR="00CD477B">
        <w:t>arties to Docket No. 160186</w:t>
      </w:r>
      <w:r w:rsidR="00095971">
        <w:t>-EI.  It is further</w:t>
      </w:r>
    </w:p>
    <w:p w:rsidR="002C3901" w:rsidRDefault="002C3901" w:rsidP="00803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3A58" w:rsidRDefault="00095971" w:rsidP="00803A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803A58">
        <w:t>ORDERED that any procedures established</w:t>
      </w:r>
      <w:r w:rsidR="00FD6BB7">
        <w:t xml:space="preserve"> by Order No. PSC-16-</w:t>
      </w:r>
      <w:r w:rsidR="0074427E">
        <w:t>0473</w:t>
      </w:r>
      <w:r w:rsidR="00FD6BB7">
        <w:t>-PCO-EI</w:t>
      </w:r>
      <w:r w:rsidR="00803A58">
        <w:t xml:space="preserve"> </w:t>
      </w:r>
      <w:r w:rsidR="005A60D3">
        <w:t xml:space="preserve">issued in Docket No. 160186-EI </w:t>
      </w:r>
      <w:r w:rsidR="00803A58">
        <w:t>shall govern th</w:t>
      </w:r>
      <w:r w:rsidR="00412F8D">
        <w:t>e</w:t>
      </w:r>
      <w:r w:rsidR="00803A58">
        <w:t>s</w:t>
      </w:r>
      <w:r w:rsidR="00412F8D">
        <w:t>e consolidated</w:t>
      </w:r>
      <w:r w:rsidR="00803A58">
        <w:t xml:space="preserve"> proceeding</w:t>
      </w:r>
      <w:r w:rsidR="00412F8D">
        <w:t>s</w:t>
      </w:r>
      <w:r w:rsidR="00803A58">
        <w:t xml:space="preserve"> unless modified by the </w:t>
      </w:r>
      <w:r w:rsidR="00FD6BB7">
        <w:t xml:space="preserve">Prehearing Officer or </w:t>
      </w:r>
      <w:r w:rsidR="00803A58">
        <w:t>Commission.  It is further</w:t>
      </w:r>
    </w:p>
    <w:p w:rsidR="00FD6BB7" w:rsidRDefault="00FD6BB7" w:rsidP="00FD6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12F8D" w:rsidRDefault="00412F8D">
      <w:r>
        <w:br w:type="page"/>
      </w:r>
    </w:p>
    <w:p w:rsidR="00FD6BB7" w:rsidRDefault="00FD6BB7" w:rsidP="00FD6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ORDERED that all filings and discovery issued in Docket No. 160170-EI shall be combined in the file for Docket No. 160186-EI. </w:t>
      </w:r>
    </w:p>
    <w:p w:rsidR="00FD6BB7" w:rsidRDefault="00FD6BB7" w:rsidP="0045321C">
      <w:pPr>
        <w:pStyle w:val="OrderBody"/>
      </w:pPr>
    </w:p>
    <w:p w:rsidR="00F70034" w:rsidRDefault="00F70034" w:rsidP="00F70034">
      <w:pPr>
        <w:pStyle w:val="OrderBody"/>
        <w:keepNext/>
        <w:keepLines/>
      </w:pPr>
      <w:r>
        <w:tab/>
        <w:t xml:space="preserve">By ORDER of Commissioner Jimmy Patronis, as Prehearing Officer, this </w:t>
      </w:r>
      <w:bookmarkStart w:id="6" w:name="replaceDate"/>
      <w:bookmarkEnd w:id="6"/>
      <w:r w:rsidR="001C7818">
        <w:rPr>
          <w:u w:val="single"/>
        </w:rPr>
        <w:t>9th</w:t>
      </w:r>
      <w:r w:rsidR="001C7818">
        <w:t xml:space="preserve"> day of </w:t>
      </w:r>
      <w:r w:rsidR="001C7818">
        <w:rPr>
          <w:u w:val="single"/>
        </w:rPr>
        <w:t>November</w:t>
      </w:r>
      <w:r w:rsidR="001C7818">
        <w:t xml:space="preserve">, </w:t>
      </w:r>
      <w:r w:rsidR="001C7818">
        <w:rPr>
          <w:u w:val="single"/>
        </w:rPr>
        <w:t>2016</w:t>
      </w:r>
      <w:r w:rsidR="001C7818">
        <w:t>.</w:t>
      </w:r>
    </w:p>
    <w:p w:rsidR="001C7818" w:rsidRPr="001C7818" w:rsidRDefault="001C7818" w:rsidP="00F70034">
      <w:pPr>
        <w:pStyle w:val="OrderBody"/>
        <w:keepNext/>
        <w:keepLines/>
      </w:pPr>
    </w:p>
    <w:p w:rsidR="00F70034" w:rsidRDefault="00F70034" w:rsidP="00F70034">
      <w:pPr>
        <w:pStyle w:val="OrderBody"/>
        <w:keepNext/>
        <w:keepLines/>
      </w:pPr>
    </w:p>
    <w:p w:rsidR="00F70034" w:rsidRDefault="00F70034" w:rsidP="00F7003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70034" w:rsidTr="00F70034">
        <w:tc>
          <w:tcPr>
            <w:tcW w:w="720" w:type="dxa"/>
            <w:shd w:val="clear" w:color="auto" w:fill="auto"/>
          </w:tcPr>
          <w:p w:rsidR="00F70034" w:rsidRDefault="00F70034" w:rsidP="00F70034">
            <w:pPr>
              <w:pStyle w:val="OrderBody"/>
              <w:keepNext/>
              <w:keepLines/>
            </w:pPr>
            <w:bookmarkStart w:id="7" w:name="bkmrkSignature" w:colFirst="0" w:colLast="0"/>
          </w:p>
        </w:tc>
        <w:tc>
          <w:tcPr>
            <w:tcW w:w="4320" w:type="dxa"/>
            <w:tcBorders>
              <w:bottom w:val="single" w:sz="4" w:space="0" w:color="auto"/>
            </w:tcBorders>
            <w:shd w:val="clear" w:color="auto" w:fill="auto"/>
          </w:tcPr>
          <w:p w:rsidR="00F70034" w:rsidRDefault="001C7818" w:rsidP="00F70034">
            <w:pPr>
              <w:pStyle w:val="OrderBody"/>
              <w:keepNext/>
              <w:keepLines/>
            </w:pPr>
            <w:r>
              <w:t>/s/ Jimmy Patronis</w:t>
            </w:r>
            <w:bookmarkStart w:id="8" w:name="_GoBack"/>
            <w:bookmarkEnd w:id="8"/>
          </w:p>
        </w:tc>
      </w:tr>
      <w:bookmarkEnd w:id="7"/>
      <w:tr w:rsidR="00F70034" w:rsidTr="00F70034">
        <w:tc>
          <w:tcPr>
            <w:tcW w:w="720" w:type="dxa"/>
            <w:shd w:val="clear" w:color="auto" w:fill="auto"/>
          </w:tcPr>
          <w:p w:rsidR="00F70034" w:rsidRDefault="00F70034" w:rsidP="00F70034">
            <w:pPr>
              <w:pStyle w:val="OrderBody"/>
              <w:keepNext/>
              <w:keepLines/>
            </w:pPr>
          </w:p>
        </w:tc>
        <w:tc>
          <w:tcPr>
            <w:tcW w:w="4320" w:type="dxa"/>
            <w:tcBorders>
              <w:top w:val="single" w:sz="4" w:space="0" w:color="auto"/>
            </w:tcBorders>
            <w:shd w:val="clear" w:color="auto" w:fill="auto"/>
          </w:tcPr>
          <w:p w:rsidR="00F70034" w:rsidRDefault="00F70034" w:rsidP="00F70034">
            <w:pPr>
              <w:pStyle w:val="OrderBody"/>
              <w:keepNext/>
              <w:keepLines/>
            </w:pPr>
            <w:r>
              <w:t>JIMMY PATRONIS</w:t>
            </w:r>
          </w:p>
          <w:p w:rsidR="00F70034" w:rsidRDefault="00F70034" w:rsidP="00F70034">
            <w:pPr>
              <w:pStyle w:val="OrderBody"/>
              <w:keepNext/>
              <w:keepLines/>
            </w:pPr>
            <w:r>
              <w:t>Commissioner and Prehearing Officer</w:t>
            </w:r>
          </w:p>
        </w:tc>
      </w:tr>
    </w:tbl>
    <w:p w:rsidR="00F70034" w:rsidRDefault="00F70034" w:rsidP="00F70034">
      <w:pPr>
        <w:pStyle w:val="OrderSigInfo"/>
        <w:keepNext/>
        <w:keepLines/>
      </w:pPr>
      <w:r>
        <w:t>Florida Public Service Commission</w:t>
      </w:r>
    </w:p>
    <w:p w:rsidR="00F70034" w:rsidRDefault="00F70034" w:rsidP="00F70034">
      <w:pPr>
        <w:pStyle w:val="OrderSigInfo"/>
        <w:keepNext/>
        <w:keepLines/>
      </w:pPr>
      <w:r>
        <w:t>2540 Shumard Oak Boulevard</w:t>
      </w:r>
    </w:p>
    <w:p w:rsidR="00F70034" w:rsidRDefault="00F70034" w:rsidP="00F70034">
      <w:pPr>
        <w:pStyle w:val="OrderSigInfo"/>
        <w:keepNext/>
        <w:keepLines/>
      </w:pPr>
      <w:r>
        <w:t>Tallahassee, Florida  32399</w:t>
      </w:r>
    </w:p>
    <w:p w:rsidR="00F70034" w:rsidRDefault="00F70034" w:rsidP="00F70034">
      <w:pPr>
        <w:pStyle w:val="OrderSigInfo"/>
        <w:keepNext/>
        <w:keepLines/>
      </w:pPr>
      <w:r>
        <w:t>(850) 413</w:t>
      </w:r>
      <w:r>
        <w:noBreakHyphen/>
        <w:t>6770</w:t>
      </w:r>
    </w:p>
    <w:p w:rsidR="00F70034" w:rsidRDefault="00F70034" w:rsidP="00F70034">
      <w:pPr>
        <w:pStyle w:val="OrderSigInfo"/>
        <w:keepNext/>
        <w:keepLines/>
      </w:pPr>
      <w:r>
        <w:t>www.floridapsc.com</w:t>
      </w:r>
    </w:p>
    <w:p w:rsidR="00F70034" w:rsidRDefault="00F70034" w:rsidP="00F70034">
      <w:pPr>
        <w:pStyle w:val="OrderSigInfo"/>
        <w:keepNext/>
        <w:keepLines/>
      </w:pPr>
    </w:p>
    <w:p w:rsidR="00F70034" w:rsidRDefault="00F70034" w:rsidP="00F70034">
      <w:pPr>
        <w:pStyle w:val="OrderSigInfo"/>
        <w:keepNext/>
        <w:keepLines/>
      </w:pPr>
      <w:r>
        <w:t>Copies furnished:  A copy of this document is provided to the parties of record at the time of issuance and, if applicable, interested persons.</w:t>
      </w:r>
    </w:p>
    <w:p w:rsidR="00F70034" w:rsidRDefault="00F70034" w:rsidP="00F70034">
      <w:pPr>
        <w:pStyle w:val="OrderBody"/>
        <w:keepNext/>
        <w:keepLines/>
      </w:pPr>
    </w:p>
    <w:p w:rsidR="00F70034" w:rsidRDefault="00F70034" w:rsidP="00F70034">
      <w:pPr>
        <w:pStyle w:val="OrderBody"/>
        <w:keepNext/>
        <w:keepLines/>
      </w:pPr>
    </w:p>
    <w:p w:rsidR="005A60D3" w:rsidRDefault="005A60D3" w:rsidP="005A60D3">
      <w:pPr>
        <w:pStyle w:val="CenterUnderline"/>
      </w:pPr>
      <w:r>
        <w:t>NOTICE OF FURTHER PROCEEDINGS OR JUDICIAL REVIEW</w:t>
      </w:r>
    </w:p>
    <w:p w:rsidR="005A60D3" w:rsidRDefault="005A60D3" w:rsidP="005A60D3">
      <w:pPr>
        <w:pStyle w:val="CenterUnderline"/>
        <w:rPr>
          <w:u w:val="none"/>
        </w:rPr>
      </w:pPr>
    </w:p>
    <w:p w:rsidR="005A60D3" w:rsidRDefault="005A60D3" w:rsidP="005A60D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A60D3" w:rsidRDefault="005A60D3" w:rsidP="005A60D3">
      <w:pPr>
        <w:pStyle w:val="OrderBody"/>
      </w:pPr>
    </w:p>
    <w:p w:rsidR="005A60D3" w:rsidRDefault="005A60D3" w:rsidP="005A60D3">
      <w:pPr>
        <w:pStyle w:val="OrderBody"/>
      </w:pPr>
      <w:r>
        <w:tab/>
        <w:t>Mediation may be available on a case-by-case basis.  If mediation is conducted, it does not affect a substantially interested person's right to a hearing.</w:t>
      </w:r>
    </w:p>
    <w:p w:rsidR="005A60D3" w:rsidRDefault="005A60D3" w:rsidP="005A60D3">
      <w:pPr>
        <w:pStyle w:val="OrderBody"/>
      </w:pPr>
    </w:p>
    <w:p w:rsidR="005A60D3" w:rsidRDefault="005A60D3" w:rsidP="005A60D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A60D3" w:rsidSect="005A60D3">
      <w:headerReference w:type="default" r:id="rId8"/>
      <w:footerReference w:type="first" r:id="rId9"/>
      <w:pgSz w:w="12240" w:h="15840" w:code="1"/>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21C" w:rsidRDefault="0045321C">
      <w:r>
        <w:separator/>
      </w:r>
    </w:p>
  </w:endnote>
  <w:endnote w:type="continuationSeparator" w:id="0">
    <w:p w:rsidR="0045321C" w:rsidRDefault="0045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21C" w:rsidRDefault="0045321C">
      <w:r>
        <w:separator/>
      </w:r>
    </w:p>
  </w:footnote>
  <w:footnote w:type="continuationSeparator" w:id="0">
    <w:p w:rsidR="0045321C" w:rsidRDefault="0045321C">
      <w:r>
        <w:continuationSeparator/>
      </w:r>
    </w:p>
  </w:footnote>
  <w:footnote w:id="1">
    <w:p w:rsidR="00F10464" w:rsidRDefault="00F10464" w:rsidP="00F10464">
      <w:pPr>
        <w:pStyle w:val="FootnoteText"/>
        <w:tabs>
          <w:tab w:val="left" w:pos="180"/>
        </w:tabs>
      </w:pPr>
      <w:r>
        <w:rPr>
          <w:rStyle w:val="FootnoteReference"/>
        </w:rPr>
        <w:footnoteRef/>
      </w:r>
      <w:r>
        <w:t xml:space="preserve"> </w:t>
      </w:r>
      <w:r>
        <w:tab/>
        <w:t>Document No. 04963-16.</w:t>
      </w:r>
    </w:p>
  </w:footnote>
  <w:footnote w:id="2">
    <w:p w:rsidR="00C64318" w:rsidRPr="00120292" w:rsidRDefault="00C64318" w:rsidP="00C64318">
      <w:pPr>
        <w:pStyle w:val="FootnoteText"/>
        <w:tabs>
          <w:tab w:val="left" w:pos="180"/>
        </w:tabs>
      </w:pPr>
      <w:r>
        <w:rPr>
          <w:rStyle w:val="FootnoteReference"/>
        </w:rPr>
        <w:footnoteRef/>
      </w:r>
      <w:r>
        <w:t xml:space="preserve"> </w:t>
      </w:r>
      <w:r>
        <w:tab/>
        <w:t xml:space="preserve">Document No. 07112-13, Stipulation and Settlement Agreement, filed November 22, 2013, in Docket No. 130140-EI, </w:t>
      </w:r>
      <w:r w:rsidRPr="00120292">
        <w:rPr>
          <w:u w:val="single"/>
        </w:rPr>
        <w:t>In Re: Petition for rate increase by Gulf Power Company</w:t>
      </w:r>
      <w:r>
        <w:t>.</w:t>
      </w:r>
    </w:p>
  </w:footnote>
  <w:footnote w:id="3">
    <w:p w:rsidR="00DA0DB8" w:rsidRPr="002B4598" w:rsidRDefault="00DA0DB8" w:rsidP="00DA0DB8">
      <w:pPr>
        <w:pStyle w:val="FootnoteText"/>
        <w:tabs>
          <w:tab w:val="left" w:pos="180"/>
        </w:tabs>
        <w:rPr>
          <w:u w:val="single"/>
        </w:rPr>
      </w:pPr>
      <w:r>
        <w:rPr>
          <w:rStyle w:val="FootnoteReference"/>
        </w:rPr>
        <w:footnoteRef/>
      </w:r>
      <w:r>
        <w:t xml:space="preserve"> </w:t>
      </w:r>
      <w:r>
        <w:tab/>
        <w:t xml:space="preserve">Docket No. 130151-EI, </w:t>
      </w:r>
      <w:r w:rsidRPr="002B4598">
        <w:rPr>
          <w:u w:val="single"/>
        </w:rPr>
        <w:t>In Re: 2013 Depreciation and Dismantlement Study by Gulf Power Company</w:t>
      </w:r>
      <w:r>
        <w:t xml:space="preserve">, and Docket No. 130092-EI, </w:t>
      </w:r>
      <w:r w:rsidRPr="002B4598">
        <w:rPr>
          <w:u w:val="single"/>
        </w:rPr>
        <w:t>In Re: Petition of Gulf Power Company to include the Plant Daniel Bromine and ACI Project, the Plant Crist Transmission Upgrades Project, and the Plant Smith Transmission Upgrades Project in the Company's program, and approve the costs associated with these compliance strategies for recovery through the ECRC</w:t>
      </w:r>
      <w:r>
        <w:t xml:space="preserve">. Docket Nos. 130151-EI and 130092-EI were </w:t>
      </w:r>
      <w:r w:rsidRPr="00120292">
        <w:t>consolidated with</w:t>
      </w:r>
      <w:r>
        <w:rPr>
          <w:i/>
        </w:rPr>
        <w:t xml:space="preserve"> </w:t>
      </w:r>
      <w:r>
        <w:t>Docket No. 130140-EI, by Order No. PSC-13-0454A-PCO-EI, issued October 24, 2013.</w:t>
      </w:r>
    </w:p>
  </w:footnote>
  <w:footnote w:id="4">
    <w:p w:rsidR="00DA0DB8" w:rsidRDefault="00DA0DB8" w:rsidP="00DA0DB8">
      <w:pPr>
        <w:pStyle w:val="FootnoteText"/>
        <w:tabs>
          <w:tab w:val="left" w:pos="180"/>
        </w:tabs>
      </w:pPr>
      <w:r>
        <w:rPr>
          <w:rStyle w:val="FootnoteReference"/>
        </w:rPr>
        <w:footnoteRef/>
      </w:r>
      <w:r>
        <w:t xml:space="preserve"> </w:t>
      </w:r>
      <w:r>
        <w:tab/>
        <w:t>Document No. 07112-13, Stipulation and Settlement Agreement, Paragraph 7, p. 13.</w:t>
      </w:r>
    </w:p>
  </w:footnote>
  <w:footnote w:id="5">
    <w:p w:rsidR="00AC1A47" w:rsidRDefault="00AC1A47" w:rsidP="00AC1A47">
      <w:pPr>
        <w:pStyle w:val="FootnoteText"/>
        <w:tabs>
          <w:tab w:val="left" w:pos="180"/>
        </w:tabs>
      </w:pPr>
      <w:r>
        <w:rPr>
          <w:rStyle w:val="FootnoteReference"/>
        </w:rPr>
        <w:footnoteRef/>
      </w:r>
      <w:r>
        <w:t xml:space="preserve"> </w:t>
      </w:r>
      <w:r>
        <w:tab/>
        <w:t>Document No. 07693-16, Gulf Corrected 2016 Depreciation Study.</w:t>
      </w:r>
    </w:p>
  </w:footnote>
  <w:footnote w:id="6">
    <w:p w:rsidR="00F10464" w:rsidRDefault="00F10464" w:rsidP="00F10464">
      <w:pPr>
        <w:pStyle w:val="FootnoteText"/>
        <w:tabs>
          <w:tab w:val="left" w:pos="180"/>
        </w:tabs>
      </w:pPr>
      <w:r>
        <w:rPr>
          <w:rStyle w:val="FootnoteReference"/>
        </w:rPr>
        <w:footnoteRef/>
      </w:r>
      <w:r>
        <w:t xml:space="preserve"> </w:t>
      </w:r>
      <w:r>
        <w:tab/>
        <w:t>Document No. 08135-16.</w:t>
      </w:r>
    </w:p>
  </w:footnote>
  <w:footnote w:id="7">
    <w:p w:rsidR="00C64318" w:rsidRDefault="00C64318" w:rsidP="00C64318">
      <w:pPr>
        <w:pStyle w:val="FootnoteText"/>
        <w:tabs>
          <w:tab w:val="left" w:pos="180"/>
        </w:tabs>
      </w:pPr>
      <w:r>
        <w:rPr>
          <w:rStyle w:val="FootnoteReference"/>
        </w:rPr>
        <w:footnoteRef/>
      </w:r>
      <w:r>
        <w:t xml:space="preserve"> </w:t>
      </w:r>
      <w:r>
        <w:tab/>
      </w:r>
      <w:r w:rsidR="001F61C3" w:rsidRPr="001F61C3">
        <w:rPr>
          <w:u w:val="single"/>
        </w:rPr>
        <w:t>See</w:t>
      </w:r>
      <w:r w:rsidR="001F61C3">
        <w:t xml:space="preserve">, </w:t>
      </w:r>
      <w:r w:rsidR="001F61C3">
        <w:rPr>
          <w:rFonts w:eastAsiaTheme="minorHAnsi"/>
        </w:rPr>
        <w:t>Order No. PSC-16-0367-PCO-EI</w:t>
      </w:r>
      <w:r>
        <w:rPr>
          <w:rFonts w:eastAsiaTheme="minorHAnsi"/>
        </w:rPr>
        <w:t xml:space="preserve">, issued on </w:t>
      </w:r>
      <w:r w:rsidR="001F61C3">
        <w:rPr>
          <w:rFonts w:eastAsiaTheme="minorHAnsi"/>
        </w:rPr>
        <w:t>September 8, 2016</w:t>
      </w:r>
      <w:r>
        <w:rPr>
          <w:rFonts w:eastAsiaTheme="minorHAnsi"/>
        </w:rPr>
        <w:t xml:space="preserve">, in Docket No. </w:t>
      </w:r>
      <w:r w:rsidR="001F61C3">
        <w:rPr>
          <w:rFonts w:eastAsiaTheme="minorHAnsi"/>
        </w:rPr>
        <w:t xml:space="preserve">160170-EI, </w:t>
      </w:r>
      <w:r w:rsidR="001F61C3">
        <w:rPr>
          <w:u w:val="single"/>
        </w:rPr>
        <w:t>In R</w:t>
      </w:r>
      <w:r w:rsidR="001F61C3" w:rsidRPr="001F61C3">
        <w:rPr>
          <w:u w:val="single"/>
        </w:rPr>
        <w:t>e: Petition for approval of 2016 depreciation and dismantlement studies, approval of proposed depreciation rates and annual dismantlement accruals and Plant Smith Units 1 and 2 regulatory asset amortization, by Gulf Power Company</w:t>
      </w:r>
      <w:r w:rsidR="001F61C3">
        <w:t>; and</w:t>
      </w:r>
      <w:r w:rsidR="001F61C3">
        <w:rPr>
          <w:rFonts w:eastAsiaTheme="minorHAnsi"/>
        </w:rPr>
        <w:t xml:space="preserve"> Order No. PSC-16-0466-PCO-EI, issued on October 14, 2016, in Docket No. 160186-EI, </w:t>
      </w:r>
      <w:r w:rsidR="001F61C3" w:rsidRPr="001F61C3">
        <w:rPr>
          <w:rFonts w:eastAsiaTheme="minorHAnsi"/>
          <w:u w:val="single"/>
        </w:rPr>
        <w:t xml:space="preserve">In Re: </w:t>
      </w:r>
      <w:r w:rsidR="001F61C3" w:rsidRPr="001F61C3">
        <w:rPr>
          <w:u w:val="single"/>
        </w:rPr>
        <w:t>Petition for rate increase by Gulf Power Company</w:t>
      </w:r>
      <w:r w:rsidR="001F61C3" w:rsidRPr="0012029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1 ">
      <w:r w:rsidR="001C7818">
        <w:t>PSC-16-0511-PCO-EI</w:t>
      </w:r>
    </w:fldSimple>
  </w:p>
  <w:p w:rsidR="00FA6EFD" w:rsidRDefault="0045321C">
    <w:pPr>
      <w:pStyle w:val="OrderHeader"/>
    </w:pPr>
    <w:bookmarkStart w:id="9" w:name="HeaderDocketNo"/>
    <w:bookmarkEnd w:id="9"/>
    <w:r>
      <w:t>DOCKET NO</w:t>
    </w:r>
    <w:r w:rsidR="005A60D3">
      <w:t>S</w:t>
    </w:r>
    <w:r>
      <w:t>. 160186-EI</w:t>
    </w:r>
    <w:r w:rsidR="005A60D3">
      <w:t>,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781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w:docVars>
  <w:rsids>
    <w:rsidRoot w:val="0045321C"/>
    <w:rsid w:val="000022B8"/>
    <w:rsid w:val="00053AB9"/>
    <w:rsid w:val="00056229"/>
    <w:rsid w:val="00065FC2"/>
    <w:rsid w:val="00090AFC"/>
    <w:rsid w:val="00095971"/>
    <w:rsid w:val="000D06E8"/>
    <w:rsid w:val="000E344D"/>
    <w:rsid w:val="000F3B2C"/>
    <w:rsid w:val="000F7BE3"/>
    <w:rsid w:val="00116AD3"/>
    <w:rsid w:val="00120292"/>
    <w:rsid w:val="00126593"/>
    <w:rsid w:val="00142A96"/>
    <w:rsid w:val="00187E32"/>
    <w:rsid w:val="00194E81"/>
    <w:rsid w:val="001A33C9"/>
    <w:rsid w:val="001C7818"/>
    <w:rsid w:val="001D008A"/>
    <w:rsid w:val="001F61C3"/>
    <w:rsid w:val="002002ED"/>
    <w:rsid w:val="0022721A"/>
    <w:rsid w:val="00230BB9"/>
    <w:rsid w:val="00241CEF"/>
    <w:rsid w:val="00252B30"/>
    <w:rsid w:val="002573E1"/>
    <w:rsid w:val="002A11AC"/>
    <w:rsid w:val="002A6F30"/>
    <w:rsid w:val="002B4598"/>
    <w:rsid w:val="002C3901"/>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12F8D"/>
    <w:rsid w:val="0042527B"/>
    <w:rsid w:val="0045321C"/>
    <w:rsid w:val="00457DC7"/>
    <w:rsid w:val="00472BCC"/>
    <w:rsid w:val="004A25CD"/>
    <w:rsid w:val="004A26CC"/>
    <w:rsid w:val="004B2108"/>
    <w:rsid w:val="004B3A2B"/>
    <w:rsid w:val="004D2D1B"/>
    <w:rsid w:val="004F2DDE"/>
    <w:rsid w:val="004F5C06"/>
    <w:rsid w:val="0050097F"/>
    <w:rsid w:val="00514B1F"/>
    <w:rsid w:val="00556A10"/>
    <w:rsid w:val="005963C2"/>
    <w:rsid w:val="005A60D3"/>
    <w:rsid w:val="005B45F7"/>
    <w:rsid w:val="005B63EA"/>
    <w:rsid w:val="006362A2"/>
    <w:rsid w:val="00660774"/>
    <w:rsid w:val="00665CC7"/>
    <w:rsid w:val="00666397"/>
    <w:rsid w:val="006A0BF3"/>
    <w:rsid w:val="006B0DA6"/>
    <w:rsid w:val="006C547E"/>
    <w:rsid w:val="006F4A91"/>
    <w:rsid w:val="00704C5D"/>
    <w:rsid w:val="00715275"/>
    <w:rsid w:val="00733B6B"/>
    <w:rsid w:val="0074427E"/>
    <w:rsid w:val="0076170F"/>
    <w:rsid w:val="0076669C"/>
    <w:rsid w:val="007865E9"/>
    <w:rsid w:val="00792383"/>
    <w:rsid w:val="007A060F"/>
    <w:rsid w:val="007D3D20"/>
    <w:rsid w:val="007E3AFD"/>
    <w:rsid w:val="00803189"/>
    <w:rsid w:val="00803A58"/>
    <w:rsid w:val="00804E7A"/>
    <w:rsid w:val="00805FBB"/>
    <w:rsid w:val="008169A4"/>
    <w:rsid w:val="008278FE"/>
    <w:rsid w:val="00832598"/>
    <w:rsid w:val="0083397E"/>
    <w:rsid w:val="0083534B"/>
    <w:rsid w:val="00852A22"/>
    <w:rsid w:val="00863A66"/>
    <w:rsid w:val="00874429"/>
    <w:rsid w:val="00882F83"/>
    <w:rsid w:val="00883D9A"/>
    <w:rsid w:val="008919EF"/>
    <w:rsid w:val="008C6A5B"/>
    <w:rsid w:val="008E26A5"/>
    <w:rsid w:val="008E42D2"/>
    <w:rsid w:val="009040EE"/>
    <w:rsid w:val="009057FD"/>
    <w:rsid w:val="00922A7F"/>
    <w:rsid w:val="00923A5E"/>
    <w:rsid w:val="00936C0A"/>
    <w:rsid w:val="009924CF"/>
    <w:rsid w:val="00994100"/>
    <w:rsid w:val="009D4C29"/>
    <w:rsid w:val="00A62DAB"/>
    <w:rsid w:val="00A726A6"/>
    <w:rsid w:val="00A97535"/>
    <w:rsid w:val="00AA73F1"/>
    <w:rsid w:val="00AB0E1A"/>
    <w:rsid w:val="00AB1A30"/>
    <w:rsid w:val="00AC1A47"/>
    <w:rsid w:val="00AD1ED3"/>
    <w:rsid w:val="00B0777D"/>
    <w:rsid w:val="00B4057A"/>
    <w:rsid w:val="00B40894"/>
    <w:rsid w:val="00B45E75"/>
    <w:rsid w:val="00B50876"/>
    <w:rsid w:val="00B55EE5"/>
    <w:rsid w:val="00B73DE6"/>
    <w:rsid w:val="00B86EF0"/>
    <w:rsid w:val="00B97900"/>
    <w:rsid w:val="00BA44A8"/>
    <w:rsid w:val="00BF6691"/>
    <w:rsid w:val="00C028FC"/>
    <w:rsid w:val="00C143F4"/>
    <w:rsid w:val="00C64318"/>
    <w:rsid w:val="00C66692"/>
    <w:rsid w:val="00C91123"/>
    <w:rsid w:val="00CA71FF"/>
    <w:rsid w:val="00CB5276"/>
    <w:rsid w:val="00CB68D7"/>
    <w:rsid w:val="00CC7E68"/>
    <w:rsid w:val="00CD477B"/>
    <w:rsid w:val="00CD7132"/>
    <w:rsid w:val="00CE0E6F"/>
    <w:rsid w:val="00D30B48"/>
    <w:rsid w:val="00D46FAA"/>
    <w:rsid w:val="00D57BB2"/>
    <w:rsid w:val="00D8560E"/>
    <w:rsid w:val="00D8758F"/>
    <w:rsid w:val="00DA0DB8"/>
    <w:rsid w:val="00DC1D94"/>
    <w:rsid w:val="00DE057F"/>
    <w:rsid w:val="00DE2082"/>
    <w:rsid w:val="00DE2289"/>
    <w:rsid w:val="00E04410"/>
    <w:rsid w:val="00E11351"/>
    <w:rsid w:val="00EA172C"/>
    <w:rsid w:val="00EA259B"/>
    <w:rsid w:val="00EA35A3"/>
    <w:rsid w:val="00EA3E6A"/>
    <w:rsid w:val="00EB18EF"/>
    <w:rsid w:val="00EE17DF"/>
    <w:rsid w:val="00EF4621"/>
    <w:rsid w:val="00F10464"/>
    <w:rsid w:val="00F132BF"/>
    <w:rsid w:val="00F277B6"/>
    <w:rsid w:val="00F54380"/>
    <w:rsid w:val="00F54B47"/>
    <w:rsid w:val="00F70034"/>
    <w:rsid w:val="00F70E84"/>
    <w:rsid w:val="00FA6EFD"/>
    <w:rsid w:val="00FB74EA"/>
    <w:rsid w:val="00FD2C9E"/>
    <w:rsid w:val="00FD4786"/>
    <w:rsid w:val="00FD616C"/>
    <w:rsid w:val="00FD6BB7"/>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4F5C06"/>
    <w:pPr>
      <w:autoSpaceDE w:val="0"/>
      <w:autoSpaceDN w:val="0"/>
      <w:adjustRightInd w:val="0"/>
    </w:pPr>
    <w:rPr>
      <w:color w:val="000000"/>
      <w:sz w:val="24"/>
      <w:szCs w:val="24"/>
    </w:rPr>
  </w:style>
  <w:style w:type="paragraph" w:styleId="BalloonText">
    <w:name w:val="Balloon Text"/>
    <w:basedOn w:val="Normal"/>
    <w:link w:val="BalloonTextChar"/>
    <w:rsid w:val="005A60D3"/>
    <w:rPr>
      <w:rFonts w:ascii="Tahoma" w:hAnsi="Tahoma" w:cs="Tahoma"/>
      <w:sz w:val="16"/>
      <w:szCs w:val="16"/>
    </w:rPr>
  </w:style>
  <w:style w:type="character" w:customStyle="1" w:styleId="BalloonTextChar">
    <w:name w:val="Balloon Text Char"/>
    <w:basedOn w:val="DefaultParagraphFont"/>
    <w:link w:val="BalloonText"/>
    <w:rsid w:val="005A60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4F5C06"/>
    <w:pPr>
      <w:autoSpaceDE w:val="0"/>
      <w:autoSpaceDN w:val="0"/>
      <w:adjustRightInd w:val="0"/>
    </w:pPr>
    <w:rPr>
      <w:color w:val="000000"/>
      <w:sz w:val="24"/>
      <w:szCs w:val="24"/>
    </w:rPr>
  </w:style>
  <w:style w:type="paragraph" w:styleId="BalloonText">
    <w:name w:val="Balloon Text"/>
    <w:basedOn w:val="Normal"/>
    <w:link w:val="BalloonTextChar"/>
    <w:rsid w:val="005A60D3"/>
    <w:rPr>
      <w:rFonts w:ascii="Tahoma" w:hAnsi="Tahoma" w:cs="Tahoma"/>
      <w:sz w:val="16"/>
      <w:szCs w:val="16"/>
    </w:rPr>
  </w:style>
  <w:style w:type="character" w:customStyle="1" w:styleId="BalloonTextChar">
    <w:name w:val="Balloon Text Char"/>
    <w:basedOn w:val="DefaultParagraphFont"/>
    <w:link w:val="BalloonText"/>
    <w:rsid w:val="005A6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239C6-F69E-4764-B5F5-A90D5C06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1289</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2016-11-09T19:37:00Z</dcterms:created>
  <dcterms:modified xsi:type="dcterms:W3CDTF">2016-11-09T19:47:00Z</dcterms:modified>
</cp:coreProperties>
</file>