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51E8" w:rsidP="006751E8">
      <w:pPr>
        <w:pStyle w:val="OrderHeading"/>
      </w:pPr>
      <w:bookmarkStart w:id="0" w:name="_GoBack"/>
      <w:bookmarkEnd w:id="0"/>
      <w:r>
        <w:t>BEFORE THE FLORIDA PUBLIC SERVICE COMMISSION</w:t>
      </w:r>
    </w:p>
    <w:p w:rsidR="006751E8" w:rsidRDefault="006751E8" w:rsidP="006751E8">
      <w:pPr>
        <w:pStyle w:val="OrderHeading"/>
      </w:pPr>
    </w:p>
    <w:p w:rsidR="006751E8" w:rsidRDefault="006751E8" w:rsidP="006751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51E8" w:rsidRPr="00C63FCF" w:rsidTr="00C63FCF">
        <w:trPr>
          <w:trHeight w:val="828"/>
        </w:trPr>
        <w:tc>
          <w:tcPr>
            <w:tcW w:w="4788" w:type="dxa"/>
            <w:tcBorders>
              <w:bottom w:val="single" w:sz="8" w:space="0" w:color="auto"/>
              <w:right w:val="double" w:sz="6" w:space="0" w:color="auto"/>
            </w:tcBorders>
            <w:shd w:val="clear" w:color="auto" w:fill="auto"/>
          </w:tcPr>
          <w:p w:rsidR="006751E8" w:rsidRDefault="006751E8" w:rsidP="00C63FCF">
            <w:pPr>
              <w:pStyle w:val="OrderBody"/>
              <w:tabs>
                <w:tab w:val="center" w:pos="4320"/>
                <w:tab w:val="right" w:pos="8640"/>
              </w:tabs>
              <w:jc w:val="left"/>
            </w:pPr>
            <w:r>
              <w:t xml:space="preserve">In re: </w:t>
            </w:r>
            <w:bookmarkStart w:id="1" w:name="SSInRe"/>
            <w:bookmarkEnd w:id="1"/>
            <w:r>
              <w:t>Natural gas conservation cost recovery.</w:t>
            </w:r>
          </w:p>
        </w:tc>
        <w:tc>
          <w:tcPr>
            <w:tcW w:w="4788" w:type="dxa"/>
            <w:tcBorders>
              <w:left w:val="double" w:sz="6" w:space="0" w:color="auto"/>
            </w:tcBorders>
            <w:shd w:val="clear" w:color="auto" w:fill="auto"/>
          </w:tcPr>
          <w:p w:rsidR="006751E8" w:rsidRDefault="006751E8" w:rsidP="006751E8">
            <w:pPr>
              <w:pStyle w:val="OrderBody"/>
            </w:pPr>
            <w:r>
              <w:t xml:space="preserve">DOCKET NO. </w:t>
            </w:r>
            <w:bookmarkStart w:id="2" w:name="SSDocketNo"/>
            <w:bookmarkEnd w:id="2"/>
            <w:r>
              <w:t>160004-GU</w:t>
            </w:r>
          </w:p>
          <w:p w:rsidR="006751E8" w:rsidRDefault="006751E8" w:rsidP="00C63FCF">
            <w:pPr>
              <w:pStyle w:val="OrderBody"/>
              <w:tabs>
                <w:tab w:val="center" w:pos="4320"/>
                <w:tab w:val="right" w:pos="8640"/>
              </w:tabs>
              <w:jc w:val="left"/>
            </w:pPr>
            <w:r>
              <w:t xml:space="preserve">ORDER NO. </w:t>
            </w:r>
            <w:bookmarkStart w:id="3" w:name="OrderNo0533"/>
            <w:r w:rsidR="000B771A">
              <w:t>PSC-16-0533-FOF-GU</w:t>
            </w:r>
            <w:bookmarkEnd w:id="3"/>
          </w:p>
          <w:p w:rsidR="006751E8" w:rsidRDefault="006751E8" w:rsidP="00C63FCF">
            <w:pPr>
              <w:pStyle w:val="OrderBody"/>
              <w:tabs>
                <w:tab w:val="center" w:pos="4320"/>
                <w:tab w:val="right" w:pos="8640"/>
              </w:tabs>
              <w:jc w:val="left"/>
            </w:pPr>
            <w:r>
              <w:t xml:space="preserve">ISSUED: </w:t>
            </w:r>
            <w:r w:rsidR="000B771A">
              <w:t>November 22, 2016</w:t>
            </w:r>
          </w:p>
        </w:tc>
      </w:tr>
    </w:tbl>
    <w:p w:rsidR="006751E8" w:rsidRDefault="006751E8" w:rsidP="006751E8"/>
    <w:p w:rsidR="006751E8" w:rsidRDefault="006751E8" w:rsidP="006751E8"/>
    <w:p w:rsidR="006751E8" w:rsidRPr="00E46E1F" w:rsidRDefault="006751E8">
      <w:pPr>
        <w:ind w:firstLine="720"/>
        <w:jc w:val="both"/>
      </w:pPr>
      <w:bookmarkStart w:id="4" w:name="Commissioners"/>
      <w:bookmarkEnd w:id="4"/>
      <w:r w:rsidRPr="00E46E1F">
        <w:t>The following Commissioners participated in the disposition of this matter:</w:t>
      </w:r>
    </w:p>
    <w:p w:rsidR="006751E8" w:rsidRPr="00E46E1F" w:rsidRDefault="006751E8"/>
    <w:p w:rsidR="006751E8" w:rsidRDefault="006751E8">
      <w:pPr>
        <w:jc w:val="center"/>
      </w:pPr>
      <w:r>
        <w:t>JULIE I. BROWN</w:t>
      </w:r>
      <w:r w:rsidRPr="00E46E1F">
        <w:t>, Chairman</w:t>
      </w:r>
    </w:p>
    <w:p w:rsidR="006751E8" w:rsidRPr="00E46E1F" w:rsidRDefault="006751E8">
      <w:pPr>
        <w:jc w:val="center"/>
      </w:pPr>
      <w:r w:rsidRPr="00E46E1F">
        <w:t>LISA POLAK EDGAR</w:t>
      </w:r>
    </w:p>
    <w:p w:rsidR="006751E8" w:rsidRDefault="006751E8">
      <w:pPr>
        <w:jc w:val="center"/>
      </w:pPr>
      <w:r>
        <w:t>ART GRAHAM</w:t>
      </w:r>
    </w:p>
    <w:p w:rsidR="006751E8" w:rsidRDefault="006751E8">
      <w:pPr>
        <w:jc w:val="center"/>
      </w:pPr>
      <w:r>
        <w:t>RONALD A. BRISÉ</w:t>
      </w:r>
    </w:p>
    <w:p w:rsidR="006751E8" w:rsidRDefault="006751E8">
      <w:pPr>
        <w:jc w:val="center"/>
      </w:pPr>
      <w:r>
        <w:t>JIMMY PATRONIS</w:t>
      </w:r>
    </w:p>
    <w:p w:rsidR="00CB5276" w:rsidRDefault="00CB5276">
      <w:pPr>
        <w:pStyle w:val="OrderBody"/>
      </w:pPr>
    </w:p>
    <w:p w:rsidR="00324506" w:rsidRDefault="00324506">
      <w:pPr>
        <w:pStyle w:val="OrderBody"/>
      </w:pPr>
    </w:p>
    <w:p w:rsidR="00324506" w:rsidRPr="000954BB" w:rsidRDefault="006751E8" w:rsidP="00324506">
      <w:pPr>
        <w:pStyle w:val="CenterUnderline"/>
      </w:pPr>
      <w:bookmarkStart w:id="5" w:name="OrderTitle"/>
      <w:r>
        <w:t xml:space="preserve"> </w:t>
      </w:r>
      <w:r w:rsidR="00324506" w:rsidRPr="000954BB">
        <w:t>FINAL ORDER APPROVING NATURAL GAS CONSERVATION COST RECOVERY AMOUNTS AND ESTABLISHING NATURAL GAS CONSERVATION COST R</w:t>
      </w:r>
      <w:r w:rsidR="00324506">
        <w:t>ECOVERY FACTORS FOR JANUARY 2017</w:t>
      </w:r>
      <w:r w:rsidR="00324506" w:rsidRPr="000954BB">
        <w:t xml:space="preserve"> THROUGH DECEMBER 201</w:t>
      </w:r>
      <w:r w:rsidR="00324506">
        <w:t>7</w:t>
      </w:r>
      <w:r w:rsidR="00324506" w:rsidRPr="000954BB">
        <w:t xml:space="preserve"> </w:t>
      </w:r>
    </w:p>
    <w:p w:rsidR="006751E8" w:rsidRDefault="006751E8" w:rsidP="00324506">
      <w:pPr>
        <w:pStyle w:val="CenterUnderline"/>
      </w:pPr>
      <w:r>
        <w:t xml:space="preserve"> </w:t>
      </w:r>
      <w:bookmarkEnd w:id="5"/>
    </w:p>
    <w:p w:rsidR="006751E8" w:rsidRDefault="006751E8" w:rsidP="00324506">
      <w:pPr>
        <w:pStyle w:val="CenterUnderline"/>
      </w:pPr>
    </w:p>
    <w:p w:rsidR="006751E8" w:rsidRDefault="006751E8" w:rsidP="00324506">
      <w:pPr>
        <w:pStyle w:val="OrderBody"/>
      </w:pPr>
      <w:r>
        <w:t>APPEARANCES:</w:t>
      </w:r>
    </w:p>
    <w:p w:rsidR="00CB5276" w:rsidRDefault="00CB5276" w:rsidP="00324506">
      <w:pPr>
        <w:pStyle w:val="OrderBody"/>
      </w:pPr>
      <w:bookmarkStart w:id="6" w:name="OrderText"/>
      <w:bookmarkEnd w:id="6"/>
    </w:p>
    <w:p w:rsidR="00324506" w:rsidRDefault="00324506" w:rsidP="00324506">
      <w:pPr>
        <w:ind w:left="1440" w:right="-432"/>
        <w:jc w:val="both"/>
      </w:pPr>
      <w:r>
        <w:t xml:space="preserve">GREGORY M. MUNSON and BETH KEATING, ESQUIRES, </w:t>
      </w:r>
    </w:p>
    <w:p w:rsidR="00324506" w:rsidRDefault="00324506" w:rsidP="00324506">
      <w:pPr>
        <w:ind w:left="1440" w:right="-432"/>
        <w:jc w:val="both"/>
      </w:pPr>
      <w:r>
        <w:t xml:space="preserve">Gunster, Yoakley &amp; Stewart, P.A., </w:t>
      </w:r>
    </w:p>
    <w:p w:rsidR="00324506" w:rsidRDefault="00324506" w:rsidP="00324506">
      <w:pPr>
        <w:ind w:left="1440" w:right="-432"/>
        <w:jc w:val="both"/>
      </w:pPr>
      <w:r>
        <w:t>215 South Monroe Street, Suite 601, Tallahassee, Florida 32301</w:t>
      </w:r>
    </w:p>
    <w:p w:rsidR="00324506" w:rsidRDefault="00324506" w:rsidP="00324506">
      <w:pPr>
        <w:ind w:left="1440" w:right="-432"/>
        <w:jc w:val="both"/>
        <w:rPr>
          <w:b/>
        </w:rPr>
      </w:pPr>
      <w:r w:rsidRPr="0004513D">
        <w:rPr>
          <w:u w:val="single"/>
        </w:rPr>
        <w:t>On behalf of the Florida Public Utilities Company (FPUC), the Florida Division of Chesapeake Utilities Corporation (CUC), Florida Public Utilities Company-Indiantown Division (Indiantown), and Florida Public Utilities – Fort Meade (Fort Meade)  (jointly referred to as the Consolidated Companies)</w:t>
      </w:r>
      <w:r>
        <w:rPr>
          <w:u w:val="single"/>
        </w:rPr>
        <w:t xml:space="preserve"> and Florida City Gas (FCG)</w:t>
      </w:r>
      <w:r w:rsidRPr="001E1EB6">
        <w:t>.</w:t>
      </w:r>
    </w:p>
    <w:p w:rsidR="00324506" w:rsidRDefault="00324506" w:rsidP="00324506">
      <w:pPr>
        <w:ind w:left="1440" w:right="-432"/>
        <w:jc w:val="both"/>
        <w:rPr>
          <w:u w:val="single"/>
        </w:rPr>
      </w:pPr>
    </w:p>
    <w:p w:rsidR="00324506" w:rsidRDefault="00324506" w:rsidP="00324506">
      <w:pPr>
        <w:ind w:left="1440" w:right="-432"/>
        <w:jc w:val="both"/>
      </w:pPr>
      <w:r>
        <w:t xml:space="preserve">ANSLEY WATSON, JR., ESQUIRE, Macfarlane Ferguson &amp; McMullen, </w:t>
      </w:r>
    </w:p>
    <w:p w:rsidR="00324506" w:rsidRDefault="00324506" w:rsidP="00324506">
      <w:pPr>
        <w:ind w:left="1440" w:right="-432"/>
        <w:jc w:val="both"/>
      </w:pPr>
      <w:r>
        <w:t>Post Office Box 1531, Tampa, Florida 3360</w:t>
      </w:r>
    </w:p>
    <w:p w:rsidR="00324506" w:rsidRDefault="00324506" w:rsidP="00324506">
      <w:pPr>
        <w:ind w:left="1440" w:right="-432"/>
        <w:jc w:val="both"/>
      </w:pPr>
      <w:r>
        <w:rPr>
          <w:u w:val="single"/>
        </w:rPr>
        <w:t>On behalf of Peoples Gas System (PGS)</w:t>
      </w:r>
    </w:p>
    <w:p w:rsidR="00324506" w:rsidRDefault="00324506" w:rsidP="00324506">
      <w:pPr>
        <w:ind w:left="1440" w:right="-432"/>
        <w:jc w:val="both"/>
        <w:rPr>
          <w:b/>
        </w:rPr>
      </w:pPr>
    </w:p>
    <w:p w:rsidR="00324506" w:rsidRDefault="00324506" w:rsidP="00324506">
      <w:pPr>
        <w:ind w:left="1440" w:right="-432"/>
        <w:jc w:val="both"/>
      </w:pPr>
      <w:r>
        <w:t xml:space="preserve"> PAULA M. SPARKMAN</w:t>
      </w:r>
      <w:r w:rsidRPr="00701945">
        <w:t>, ESQUIRE,</w:t>
      </w:r>
      <w:r>
        <w:t xml:space="preserve"> Messer Caparello, P.A.,</w:t>
      </w:r>
    </w:p>
    <w:p w:rsidR="00324506" w:rsidRPr="00701945" w:rsidRDefault="00324506" w:rsidP="00324506">
      <w:pPr>
        <w:ind w:left="1440" w:right="-432"/>
        <w:jc w:val="both"/>
      </w:pPr>
      <w:r>
        <w:t>Post Office Box 15579, Tallahassee, Florida 32317</w:t>
      </w:r>
    </w:p>
    <w:p w:rsidR="00324506" w:rsidRDefault="00324506" w:rsidP="00324506">
      <w:pPr>
        <w:ind w:left="720" w:right="-432" w:firstLine="720"/>
        <w:jc w:val="both"/>
      </w:pPr>
      <w:r w:rsidRPr="00701945">
        <w:rPr>
          <w:u w:val="single"/>
        </w:rPr>
        <w:t xml:space="preserve">On behalf of </w:t>
      </w:r>
      <w:r>
        <w:rPr>
          <w:u w:val="single"/>
        </w:rPr>
        <w:t>Sebring Gas System Inc. (SGS)</w:t>
      </w:r>
      <w:r w:rsidRPr="00701945">
        <w:t xml:space="preserve">. </w:t>
      </w:r>
    </w:p>
    <w:p w:rsidR="00324506" w:rsidRDefault="00324506" w:rsidP="00324506">
      <w:pPr>
        <w:ind w:left="720" w:right="-432" w:firstLine="720"/>
        <w:jc w:val="both"/>
      </w:pPr>
    </w:p>
    <w:p w:rsidR="00324506" w:rsidRPr="00831534" w:rsidRDefault="00324506" w:rsidP="00324506">
      <w:pPr>
        <w:ind w:left="1440" w:right="-432"/>
        <w:jc w:val="both"/>
      </w:pPr>
      <w:r>
        <w:t xml:space="preserve">CHARLES </w:t>
      </w:r>
      <w:r w:rsidRPr="00831534">
        <w:t>A</w:t>
      </w:r>
      <w:r>
        <w:t>.</w:t>
      </w:r>
      <w:r w:rsidRPr="00831534">
        <w:t xml:space="preserve"> SHOAF, </w:t>
      </w:r>
      <w:r w:rsidRPr="0004513D">
        <w:rPr>
          <w:caps/>
        </w:rPr>
        <w:t xml:space="preserve">Vice President </w:t>
      </w:r>
    </w:p>
    <w:p w:rsidR="00324506" w:rsidRDefault="00324506" w:rsidP="00324506">
      <w:pPr>
        <w:ind w:left="1440" w:right="-432"/>
        <w:jc w:val="both"/>
      </w:pPr>
      <w:r>
        <w:t>Post Office Box 549, Port St. Joe, Florida 32457</w:t>
      </w:r>
    </w:p>
    <w:p w:rsidR="00324506" w:rsidRDefault="00324506" w:rsidP="00324506">
      <w:pPr>
        <w:ind w:left="1440" w:right="-432"/>
        <w:jc w:val="both"/>
      </w:pPr>
      <w:r>
        <w:rPr>
          <w:u w:val="single"/>
        </w:rPr>
        <w:t>On behalf of St. Joe Natural Gas Company (SJNG)</w:t>
      </w:r>
    </w:p>
    <w:p w:rsidR="00324506" w:rsidRDefault="00324506" w:rsidP="00324506">
      <w:pPr>
        <w:ind w:left="1440" w:right="-432"/>
        <w:jc w:val="both"/>
      </w:pPr>
    </w:p>
    <w:p w:rsidR="00F71C36" w:rsidRDefault="00F71C36" w:rsidP="00324506">
      <w:pPr>
        <w:ind w:left="1440" w:right="-432"/>
        <w:jc w:val="both"/>
      </w:pPr>
    </w:p>
    <w:p w:rsidR="00F71C36" w:rsidRDefault="00F71C36" w:rsidP="00324506">
      <w:pPr>
        <w:ind w:left="1440" w:right="-432"/>
        <w:jc w:val="both"/>
      </w:pPr>
    </w:p>
    <w:p w:rsidR="003064EB" w:rsidRDefault="003064EB">
      <w:r>
        <w:br w:type="page"/>
      </w:r>
    </w:p>
    <w:p w:rsidR="003064EB" w:rsidRDefault="003064EB" w:rsidP="00324506">
      <w:pPr>
        <w:ind w:left="1440" w:right="-432"/>
        <w:jc w:val="both"/>
      </w:pPr>
    </w:p>
    <w:p w:rsidR="003064EB" w:rsidRDefault="00324506" w:rsidP="00324506">
      <w:pPr>
        <w:ind w:left="1440" w:right="-432"/>
        <w:jc w:val="both"/>
      </w:pPr>
      <w:r>
        <w:t xml:space="preserve">J.R. KELLY, CHARLES J. REHWINKEL, PATRICIA CHRISTENSEN, </w:t>
      </w:r>
    </w:p>
    <w:p w:rsidR="00324506" w:rsidRDefault="00324506" w:rsidP="00324506">
      <w:pPr>
        <w:ind w:left="1440" w:right="-432"/>
        <w:jc w:val="both"/>
      </w:pPr>
      <w:r>
        <w:t xml:space="preserve">ERIK SAYLER and STEPHANIE MORSE, ESQUIRES, </w:t>
      </w:r>
      <w:r w:rsidRPr="00332BE2">
        <w:t xml:space="preserve">Office of Public Counsel </w:t>
      </w:r>
    </w:p>
    <w:p w:rsidR="00324506" w:rsidRDefault="00324506" w:rsidP="00324506">
      <w:pPr>
        <w:ind w:left="1440" w:right="-432"/>
        <w:jc w:val="both"/>
      </w:pPr>
      <w:r w:rsidRPr="00332BE2">
        <w:t>c/o The Florida</w:t>
      </w:r>
      <w:r>
        <w:t xml:space="preserve"> Legislature, </w:t>
      </w:r>
      <w:r w:rsidRPr="00332BE2">
        <w:t>11</w:t>
      </w:r>
      <w:r>
        <w:t xml:space="preserve">1 West Madison Street, Room 812, </w:t>
      </w:r>
    </w:p>
    <w:p w:rsidR="00324506" w:rsidRPr="00332BE2" w:rsidRDefault="00324506" w:rsidP="00324506">
      <w:pPr>
        <w:ind w:left="1440" w:right="-432"/>
        <w:jc w:val="both"/>
      </w:pPr>
      <w:r>
        <w:t>Tallahassee, Florida 32399</w:t>
      </w:r>
    </w:p>
    <w:p w:rsidR="00324506" w:rsidRDefault="00324506" w:rsidP="00324506">
      <w:pPr>
        <w:ind w:left="1440" w:right="-432"/>
        <w:jc w:val="both"/>
      </w:pPr>
      <w:r w:rsidRPr="00FC7414">
        <w:rPr>
          <w:u w:val="single"/>
        </w:rPr>
        <w:t>On behalf of the Citizens of the State of Florida</w:t>
      </w:r>
      <w:r>
        <w:rPr>
          <w:u w:val="single"/>
        </w:rPr>
        <w:t xml:space="preserve"> (OPC)</w:t>
      </w:r>
    </w:p>
    <w:p w:rsidR="00324506" w:rsidRDefault="00324506" w:rsidP="00324506">
      <w:pPr>
        <w:ind w:left="720" w:right="-432" w:firstLine="720"/>
        <w:jc w:val="both"/>
      </w:pPr>
    </w:p>
    <w:p w:rsidR="00324506" w:rsidRDefault="00324506" w:rsidP="00324506">
      <w:pPr>
        <w:ind w:left="720" w:right="-432" w:firstLine="720"/>
      </w:pPr>
      <w:r>
        <w:t>KELLEY F. CORBARI</w:t>
      </w:r>
      <w:r w:rsidRPr="00701945">
        <w:t>, ESQUIRE</w:t>
      </w:r>
      <w:r>
        <w:t xml:space="preserve"> and STEPHANIE CUELLO</w:t>
      </w:r>
      <w:r w:rsidRPr="00701945">
        <w:t xml:space="preserve">, </w:t>
      </w:r>
    </w:p>
    <w:p w:rsidR="00324506" w:rsidRDefault="00324506" w:rsidP="00324506">
      <w:pPr>
        <w:ind w:left="1440" w:right="-432"/>
        <w:jc w:val="both"/>
      </w:pPr>
      <w:r w:rsidRPr="00701945">
        <w:t xml:space="preserve">Florida Public Service Commission, 2540 Shumard Oak Boulevard, </w:t>
      </w:r>
    </w:p>
    <w:p w:rsidR="00324506" w:rsidRPr="00701945" w:rsidRDefault="00324506" w:rsidP="00324506">
      <w:pPr>
        <w:ind w:left="1440" w:right="-432"/>
        <w:jc w:val="both"/>
      </w:pPr>
      <w:r w:rsidRPr="00701945">
        <w:t>Tallahassee, Florida 32399-0850</w:t>
      </w:r>
    </w:p>
    <w:p w:rsidR="00324506" w:rsidRPr="00701945" w:rsidRDefault="00324506" w:rsidP="00324506">
      <w:pPr>
        <w:ind w:left="720" w:right="-432" w:firstLine="720"/>
        <w:jc w:val="both"/>
      </w:pPr>
      <w:r w:rsidRPr="00701945">
        <w:rPr>
          <w:u w:val="single"/>
        </w:rPr>
        <w:t>On behalf of the Florida Public Service Commission</w:t>
      </w:r>
      <w:r>
        <w:rPr>
          <w:u w:val="single"/>
        </w:rPr>
        <w:t xml:space="preserve"> (Staff)</w:t>
      </w:r>
      <w:r w:rsidRPr="00701945">
        <w:t>.</w:t>
      </w:r>
    </w:p>
    <w:p w:rsidR="00324506" w:rsidRPr="00701945" w:rsidRDefault="00324506" w:rsidP="00324506">
      <w:pPr>
        <w:ind w:right="-432"/>
        <w:jc w:val="both"/>
      </w:pPr>
    </w:p>
    <w:p w:rsidR="00324506" w:rsidRDefault="00324506" w:rsidP="00324506">
      <w:pPr>
        <w:ind w:left="1440" w:right="-432"/>
        <w:jc w:val="both"/>
      </w:pPr>
      <w:r w:rsidRPr="0004513D">
        <w:rPr>
          <w:caps/>
        </w:rPr>
        <w:t>Mary Anne Helton, Deputy General Counse</w:t>
      </w:r>
      <w:r>
        <w:t>L, and</w:t>
      </w:r>
    </w:p>
    <w:p w:rsidR="00324506" w:rsidRDefault="00324506" w:rsidP="00324506">
      <w:pPr>
        <w:ind w:left="1440" w:right="-432"/>
        <w:jc w:val="both"/>
      </w:pPr>
      <w:r>
        <w:t>KEITH HETRICK, GENERAL COUNSEL</w:t>
      </w:r>
      <w:r w:rsidRPr="00701945">
        <w:t xml:space="preserve"> </w:t>
      </w:r>
    </w:p>
    <w:p w:rsidR="00324506" w:rsidRDefault="00324506" w:rsidP="00324506">
      <w:pPr>
        <w:ind w:left="1440" w:right="-432"/>
        <w:jc w:val="both"/>
      </w:pPr>
      <w:r w:rsidRPr="00701945">
        <w:t xml:space="preserve">Florida Public Service Commission, 2540 Shumard Oak Boulevard, </w:t>
      </w:r>
    </w:p>
    <w:p w:rsidR="00324506" w:rsidRPr="00701945" w:rsidRDefault="00324506" w:rsidP="00324506">
      <w:pPr>
        <w:ind w:left="1440" w:right="-432"/>
        <w:jc w:val="both"/>
      </w:pPr>
      <w:r w:rsidRPr="00701945">
        <w:t>Tallahassee, Florida 32399-0850</w:t>
      </w:r>
    </w:p>
    <w:p w:rsidR="00324506" w:rsidRPr="00701945" w:rsidRDefault="00324506" w:rsidP="00324506">
      <w:pPr>
        <w:ind w:left="720" w:right="-432" w:firstLine="720"/>
        <w:jc w:val="both"/>
      </w:pPr>
      <w:r>
        <w:rPr>
          <w:u w:val="single"/>
        </w:rPr>
        <w:t>Advisor to the</w:t>
      </w:r>
      <w:r w:rsidRPr="00701945">
        <w:rPr>
          <w:u w:val="single"/>
        </w:rPr>
        <w:t xml:space="preserve"> Florida Public Service Commission</w:t>
      </w:r>
      <w:r w:rsidRPr="00701945">
        <w:t>.</w:t>
      </w:r>
    </w:p>
    <w:p w:rsidR="006751E8" w:rsidRDefault="006751E8" w:rsidP="00324506">
      <w:pPr>
        <w:pStyle w:val="OrderBody"/>
      </w:pPr>
    </w:p>
    <w:p w:rsidR="00F71C36" w:rsidRDefault="00F71C36" w:rsidP="00324506">
      <w:pPr>
        <w:jc w:val="center"/>
        <w:rPr>
          <w:u w:val="single"/>
        </w:rPr>
      </w:pPr>
    </w:p>
    <w:p w:rsidR="00F71C36" w:rsidRDefault="00F71C36" w:rsidP="00324506">
      <w:pPr>
        <w:jc w:val="center"/>
        <w:rPr>
          <w:u w:val="single"/>
        </w:rPr>
      </w:pPr>
    </w:p>
    <w:p w:rsidR="006751E8" w:rsidRPr="006342BD" w:rsidRDefault="006751E8" w:rsidP="00324506">
      <w:pPr>
        <w:jc w:val="center"/>
        <w:rPr>
          <w:u w:val="single"/>
        </w:rPr>
      </w:pPr>
      <w:r w:rsidRPr="006342BD">
        <w:rPr>
          <w:u w:val="single"/>
        </w:rPr>
        <w:t>BACKGROUND</w:t>
      </w:r>
    </w:p>
    <w:p w:rsidR="006751E8" w:rsidRPr="00B85CE8" w:rsidRDefault="006751E8" w:rsidP="00324506">
      <w:pPr>
        <w:jc w:val="center"/>
        <w:rPr>
          <w:b/>
          <w:u w:val="single"/>
        </w:rPr>
      </w:pPr>
    </w:p>
    <w:p w:rsidR="006751E8" w:rsidRDefault="006751E8" w:rsidP="00324506">
      <w:pPr>
        <w:ind w:firstLine="720"/>
        <w:jc w:val="both"/>
      </w:pPr>
      <w:r>
        <w:t>As part of the Florida Public Service Commission’s continuing natural gas conservation cost recovery clause proceedings, an administrative hearing was held on November 2, 201</w:t>
      </w:r>
      <w:r w:rsidR="00324506">
        <w:t>6</w:t>
      </w:r>
      <w:r>
        <w:t>.  Florida Division of Chesapeake Utilities Corporation (CUC), Florida Public Utilities Company (FPUC), Florida Public Utilities Company – Indiantown (Indiantown), Florida Public Utilities Company – Fort Meade (Fort Meade)</w:t>
      </w:r>
      <w:r>
        <w:rPr>
          <w:rStyle w:val="FootnoteReference"/>
        </w:rPr>
        <w:footnoteReference w:id="1"/>
      </w:r>
      <w:r>
        <w:t xml:space="preserve">, Florida City Gas (FCG), Sebring Gas System, Inc. (Sebring), Peoples Gas System (PGS), and St. Joe Natural Gas Company (SJNG) submitted testimony and exhibits in support of their proposed final and estimated true-up amounts and their conservation cost recovery factors.  Prior to the hearing, the parties reached an agreement concerning all issues identified for resolution at the hearing.  The Office of Public Counsel took no position.  These issues were presented to us as stipulations.  We have jurisdiction over the subject matter by </w:t>
      </w:r>
      <w:r w:rsidRPr="00526DDD">
        <w:t xml:space="preserve">the provisions of Chapter </w:t>
      </w:r>
      <w:r>
        <w:t>366</w:t>
      </w:r>
      <w:r w:rsidRPr="00526DDD">
        <w:t>, Florida Statutes (F.S.)</w:t>
      </w:r>
      <w:r>
        <w:t>, including Sections 366.04, 366.05, and 366.06, F.S.</w:t>
      </w:r>
    </w:p>
    <w:p w:rsidR="006751E8" w:rsidRDefault="006751E8" w:rsidP="00324506">
      <w:pPr>
        <w:jc w:val="both"/>
      </w:pPr>
    </w:p>
    <w:p w:rsidR="006751E8" w:rsidRPr="00526DDD" w:rsidRDefault="006751E8" w:rsidP="00324506">
      <w:pPr>
        <w:jc w:val="both"/>
      </w:pPr>
      <w:r>
        <w:tab/>
        <w:t xml:space="preserve">The parties stipulated to the final and estimated true-up amounts and purchased gas cost recovery factors appropriate for each utility.  We accept and approve the stipulations as reasonable and </w:t>
      </w:r>
      <w:r w:rsidR="003064EB">
        <w:t xml:space="preserve">find they are </w:t>
      </w:r>
      <w:r>
        <w:t xml:space="preserve">supported by competent, substantial evidence of record, as set forth below. </w:t>
      </w:r>
    </w:p>
    <w:p w:rsidR="006751E8" w:rsidRDefault="006751E8" w:rsidP="00324506">
      <w:pPr>
        <w:jc w:val="both"/>
      </w:pPr>
    </w:p>
    <w:p w:rsidR="00324506" w:rsidRDefault="00324506">
      <w:pPr>
        <w:rPr>
          <w:u w:val="single"/>
        </w:rPr>
      </w:pPr>
      <w:r>
        <w:rPr>
          <w:u w:val="single"/>
        </w:rPr>
        <w:br w:type="page"/>
      </w:r>
    </w:p>
    <w:p w:rsidR="006751E8" w:rsidRPr="006342BD" w:rsidRDefault="006751E8" w:rsidP="00324506">
      <w:pPr>
        <w:jc w:val="center"/>
        <w:rPr>
          <w:u w:val="single"/>
        </w:rPr>
      </w:pPr>
      <w:r w:rsidRPr="006342BD">
        <w:rPr>
          <w:u w:val="single"/>
        </w:rPr>
        <w:lastRenderedPageBreak/>
        <w:t>DECISION</w:t>
      </w:r>
    </w:p>
    <w:p w:rsidR="00CB5276" w:rsidRDefault="00CB5276" w:rsidP="00324506"/>
    <w:p w:rsidR="00324506" w:rsidRPr="00F71C36" w:rsidRDefault="00324506" w:rsidP="00324506">
      <w:pPr>
        <w:jc w:val="both"/>
        <w:rPr>
          <w:bCs/>
          <w:u w:val="single"/>
        </w:rPr>
      </w:pPr>
      <w:r w:rsidRPr="00F71C36">
        <w:rPr>
          <w:bCs/>
          <w:u w:val="single"/>
        </w:rPr>
        <w:t>C</w:t>
      </w:r>
      <w:r w:rsidR="00F71C36">
        <w:rPr>
          <w:bCs/>
          <w:u w:val="single"/>
        </w:rPr>
        <w:t>onservation Cost Recovery Factors</w:t>
      </w:r>
    </w:p>
    <w:p w:rsidR="00324506" w:rsidRDefault="00324506" w:rsidP="00324506">
      <w:pPr>
        <w:ind w:firstLine="360"/>
        <w:jc w:val="both"/>
      </w:pPr>
    </w:p>
    <w:p w:rsidR="00324506" w:rsidRPr="004A19C5" w:rsidRDefault="00324506" w:rsidP="00324506">
      <w:pPr>
        <w:tabs>
          <w:tab w:val="left" w:pos="720"/>
        </w:tabs>
        <w:ind w:right="-432"/>
        <w:jc w:val="both"/>
      </w:pPr>
      <w:r>
        <w:rPr>
          <w:bCs/>
        </w:rPr>
        <w:tab/>
        <w:t xml:space="preserve">We find that the appropriate final conservation cost recovery true-up amounts for the January 2015 through December 2015 are as follows: </w:t>
      </w:r>
    </w:p>
    <w:p w:rsidR="00324506" w:rsidRDefault="00324506" w:rsidP="00324506">
      <w:pPr>
        <w:jc w:val="both"/>
      </w:pPr>
    </w:p>
    <w:tbl>
      <w:tblPr>
        <w:tblW w:w="7158" w:type="dxa"/>
        <w:jc w:val="center"/>
        <w:tblInd w:w="1110" w:type="dxa"/>
        <w:tblLook w:val="01E0" w:firstRow="1" w:lastRow="1" w:firstColumn="1" w:lastColumn="1" w:noHBand="0" w:noVBand="0"/>
      </w:tblPr>
      <w:tblGrid>
        <w:gridCol w:w="3918"/>
        <w:gridCol w:w="3240"/>
      </w:tblGrid>
      <w:tr w:rsidR="00324506" w:rsidRPr="005F21F8" w:rsidTr="00324506">
        <w:trPr>
          <w:jc w:val="center"/>
        </w:trPr>
        <w:tc>
          <w:tcPr>
            <w:tcW w:w="3918" w:type="dxa"/>
            <w:shd w:val="clear" w:color="auto" w:fill="auto"/>
          </w:tcPr>
          <w:p w:rsidR="00324506" w:rsidRPr="005F21F8" w:rsidRDefault="00324506" w:rsidP="00933253">
            <w:pPr>
              <w:jc w:val="both"/>
            </w:pPr>
            <w:r w:rsidRPr="005F21F8">
              <w:t>FPUC</w:t>
            </w:r>
            <w:r>
              <w:t xml:space="preserve"> Consolidated Companies</w:t>
            </w:r>
          </w:p>
        </w:tc>
        <w:tc>
          <w:tcPr>
            <w:tcW w:w="3240" w:type="dxa"/>
            <w:shd w:val="clear" w:color="auto" w:fill="auto"/>
          </w:tcPr>
          <w:p w:rsidR="00324506" w:rsidRPr="005F21F8" w:rsidRDefault="00324506" w:rsidP="00933253">
            <w:pPr>
              <w:jc w:val="right"/>
            </w:pPr>
            <w:r w:rsidRPr="000C723D">
              <w:t>$</w:t>
            </w:r>
            <w:r>
              <w:t xml:space="preserve">   1,403,735  </w:t>
            </w:r>
            <w:r w:rsidRPr="005F21F8">
              <w:t xml:space="preserve"> </w:t>
            </w:r>
            <w:r>
              <w:t>Under</w:t>
            </w:r>
            <w:r w:rsidRPr="005F21F8">
              <w:t>-recovery</w:t>
            </w:r>
          </w:p>
        </w:tc>
      </w:tr>
      <w:tr w:rsidR="00324506" w:rsidRPr="005F21F8" w:rsidTr="00324506">
        <w:trPr>
          <w:jc w:val="center"/>
        </w:trPr>
        <w:tc>
          <w:tcPr>
            <w:tcW w:w="3918" w:type="dxa"/>
            <w:shd w:val="clear" w:color="auto" w:fill="auto"/>
          </w:tcPr>
          <w:p w:rsidR="00324506" w:rsidRPr="005F21F8" w:rsidRDefault="00324506" w:rsidP="00933253">
            <w:pPr>
              <w:jc w:val="both"/>
            </w:pPr>
            <w:r w:rsidRPr="005F21F8">
              <w:t>FCG</w:t>
            </w:r>
          </w:p>
        </w:tc>
        <w:tc>
          <w:tcPr>
            <w:tcW w:w="3240" w:type="dxa"/>
            <w:shd w:val="clear" w:color="auto" w:fill="auto"/>
          </w:tcPr>
          <w:p w:rsidR="00324506" w:rsidRPr="005F21F8" w:rsidRDefault="00324506" w:rsidP="00933253">
            <w:pPr>
              <w:jc w:val="right"/>
            </w:pPr>
            <w:r w:rsidRPr="000C723D">
              <w:t>$</w:t>
            </w:r>
            <w:r>
              <w:t xml:space="preserve">      129,132    </w:t>
            </w:r>
            <w:r w:rsidRPr="005F21F8">
              <w:t xml:space="preserve"> Over-recovery</w:t>
            </w:r>
          </w:p>
        </w:tc>
      </w:tr>
      <w:tr w:rsidR="00324506" w:rsidRPr="005F21F8" w:rsidTr="00324506">
        <w:trPr>
          <w:jc w:val="center"/>
        </w:trPr>
        <w:tc>
          <w:tcPr>
            <w:tcW w:w="3918" w:type="dxa"/>
            <w:shd w:val="clear" w:color="auto" w:fill="auto"/>
          </w:tcPr>
          <w:p w:rsidR="00324506" w:rsidRPr="005F21F8" w:rsidRDefault="00324506" w:rsidP="00933253">
            <w:pPr>
              <w:jc w:val="both"/>
            </w:pPr>
            <w:r w:rsidRPr="005F21F8">
              <w:t>PGS</w:t>
            </w:r>
          </w:p>
        </w:tc>
        <w:tc>
          <w:tcPr>
            <w:tcW w:w="3240" w:type="dxa"/>
            <w:shd w:val="clear" w:color="auto" w:fill="auto"/>
          </w:tcPr>
          <w:p w:rsidR="00324506" w:rsidRPr="005F21F8" w:rsidRDefault="00324506" w:rsidP="00933253">
            <w:pPr>
              <w:jc w:val="right"/>
            </w:pPr>
            <w:r w:rsidRPr="000C723D">
              <w:t>$</w:t>
            </w:r>
            <w:r>
              <w:t xml:space="preserve">   2,136,462  </w:t>
            </w:r>
            <w:r w:rsidRPr="005F21F8">
              <w:t xml:space="preserve"> </w:t>
            </w:r>
            <w:r>
              <w:t xml:space="preserve"> </w:t>
            </w:r>
            <w:r w:rsidRPr="005F21F8">
              <w:t xml:space="preserve"> </w:t>
            </w:r>
            <w:r>
              <w:t>Over</w:t>
            </w:r>
            <w:r w:rsidRPr="005F21F8">
              <w:t>-recovery</w:t>
            </w:r>
          </w:p>
        </w:tc>
      </w:tr>
      <w:tr w:rsidR="00324506" w:rsidRPr="005F21F8" w:rsidTr="00324506">
        <w:trPr>
          <w:jc w:val="center"/>
        </w:trPr>
        <w:tc>
          <w:tcPr>
            <w:tcW w:w="3918" w:type="dxa"/>
            <w:shd w:val="clear" w:color="auto" w:fill="auto"/>
          </w:tcPr>
          <w:p w:rsidR="00324506" w:rsidRPr="005F21F8" w:rsidRDefault="00324506" w:rsidP="00933253">
            <w:pPr>
              <w:jc w:val="both"/>
            </w:pPr>
            <w:r w:rsidRPr="005F21F8">
              <w:t>S</w:t>
            </w:r>
            <w:r>
              <w:t>GS</w:t>
            </w:r>
          </w:p>
        </w:tc>
        <w:tc>
          <w:tcPr>
            <w:tcW w:w="3240" w:type="dxa"/>
            <w:shd w:val="clear" w:color="auto" w:fill="auto"/>
          </w:tcPr>
          <w:p w:rsidR="00324506" w:rsidRPr="005F21F8" w:rsidRDefault="00324506" w:rsidP="00933253">
            <w:pPr>
              <w:jc w:val="right"/>
            </w:pPr>
            <w:r w:rsidRPr="000C723D">
              <w:t>$</w:t>
            </w:r>
            <w:r>
              <w:t xml:space="preserve">          3,047  </w:t>
            </w:r>
            <w:r w:rsidRPr="005F21F8">
              <w:t xml:space="preserve"> Under-recovery</w:t>
            </w:r>
          </w:p>
        </w:tc>
      </w:tr>
      <w:tr w:rsidR="00324506" w:rsidRPr="005F21F8" w:rsidTr="00324506">
        <w:trPr>
          <w:jc w:val="center"/>
        </w:trPr>
        <w:tc>
          <w:tcPr>
            <w:tcW w:w="3918" w:type="dxa"/>
            <w:shd w:val="clear" w:color="auto" w:fill="auto"/>
          </w:tcPr>
          <w:p w:rsidR="00324506" w:rsidRPr="005F21F8" w:rsidRDefault="00324506" w:rsidP="00933253">
            <w:pPr>
              <w:jc w:val="both"/>
            </w:pPr>
            <w:r>
              <w:t>SJNG</w:t>
            </w:r>
          </w:p>
        </w:tc>
        <w:tc>
          <w:tcPr>
            <w:tcW w:w="3240" w:type="dxa"/>
            <w:shd w:val="clear" w:color="auto" w:fill="auto"/>
          </w:tcPr>
          <w:p w:rsidR="00324506" w:rsidRPr="005F21F8" w:rsidRDefault="00324506" w:rsidP="00933253">
            <w:pPr>
              <w:jc w:val="right"/>
            </w:pPr>
            <w:r w:rsidRPr="000C723D">
              <w:t>$</w:t>
            </w:r>
            <w:r>
              <w:t xml:space="preserve">          5,525  </w:t>
            </w:r>
            <w:r w:rsidRPr="005F21F8">
              <w:t xml:space="preserve"> </w:t>
            </w:r>
            <w:r>
              <w:t>Under</w:t>
            </w:r>
            <w:r w:rsidRPr="005F21F8">
              <w:t>-recovery</w:t>
            </w:r>
          </w:p>
        </w:tc>
      </w:tr>
    </w:tbl>
    <w:p w:rsidR="00324506" w:rsidRPr="00F71C36" w:rsidRDefault="00324506" w:rsidP="00324506">
      <w:pPr>
        <w:rPr>
          <w:sz w:val="16"/>
          <w:szCs w:val="16"/>
        </w:rPr>
      </w:pPr>
    </w:p>
    <w:p w:rsidR="00324506" w:rsidRPr="00F71C36" w:rsidRDefault="00324506" w:rsidP="00324506">
      <w:pPr>
        <w:rPr>
          <w:sz w:val="16"/>
          <w:szCs w:val="16"/>
        </w:rPr>
      </w:pPr>
    </w:p>
    <w:p w:rsidR="00324506" w:rsidRPr="004A19C5" w:rsidRDefault="00324506" w:rsidP="00324506">
      <w:pPr>
        <w:tabs>
          <w:tab w:val="left" w:pos="0"/>
        </w:tabs>
        <w:ind w:right="-432"/>
        <w:jc w:val="both"/>
      </w:pPr>
      <w:r>
        <w:rPr>
          <w:bCs/>
        </w:rPr>
        <w:tab/>
        <w:t>We find that the appropriate total conservation cost recover amounts to be collected during the period January 2017 through December 2017 are as follows:</w:t>
      </w:r>
    </w:p>
    <w:p w:rsidR="00324506" w:rsidRDefault="00324506" w:rsidP="00324506">
      <w:pPr>
        <w:ind w:left="2160" w:right="-432"/>
        <w:jc w:val="both"/>
        <w:rPr>
          <w:bCs/>
        </w:rPr>
      </w:pPr>
    </w:p>
    <w:tbl>
      <w:tblPr>
        <w:tblW w:w="7158" w:type="dxa"/>
        <w:jc w:val="center"/>
        <w:tblInd w:w="2310" w:type="dxa"/>
        <w:tblLook w:val="01E0" w:firstRow="1" w:lastRow="1" w:firstColumn="1" w:lastColumn="1" w:noHBand="0" w:noVBand="0"/>
      </w:tblPr>
      <w:tblGrid>
        <w:gridCol w:w="4536"/>
        <w:gridCol w:w="2622"/>
      </w:tblGrid>
      <w:tr w:rsidR="00324506" w:rsidRPr="005F21F8" w:rsidTr="00F71C36">
        <w:trPr>
          <w:jc w:val="center"/>
        </w:trPr>
        <w:tc>
          <w:tcPr>
            <w:tcW w:w="4536" w:type="dxa"/>
            <w:shd w:val="clear" w:color="auto" w:fill="auto"/>
          </w:tcPr>
          <w:p w:rsidR="00324506" w:rsidRPr="00A50B49" w:rsidRDefault="00324506" w:rsidP="00933253">
            <w:pPr>
              <w:tabs>
                <w:tab w:val="center" w:pos="4320"/>
                <w:tab w:val="right" w:pos="8640"/>
              </w:tabs>
              <w:spacing w:before="40"/>
              <w:jc w:val="both"/>
              <w:rPr>
                <w:bCs/>
              </w:rPr>
            </w:pPr>
            <w:r>
              <w:t xml:space="preserve">FPUC </w:t>
            </w:r>
            <w:r w:rsidRPr="005F21F8">
              <w:t>C</w:t>
            </w:r>
            <w:r>
              <w:t>onsolidated Companies</w:t>
            </w:r>
            <w:r w:rsidRPr="005F21F8">
              <w:t xml:space="preserve"> </w:t>
            </w:r>
          </w:p>
          <w:p w:rsidR="00324506" w:rsidRDefault="00324506" w:rsidP="00933253">
            <w:pPr>
              <w:tabs>
                <w:tab w:val="center" w:pos="4320"/>
                <w:tab w:val="right" w:pos="8640"/>
              </w:tabs>
              <w:spacing w:before="40"/>
              <w:jc w:val="both"/>
              <w:rPr>
                <w:i/>
                <w:sz w:val="22"/>
                <w:szCs w:val="22"/>
              </w:rPr>
            </w:pPr>
            <w:r w:rsidRPr="00454792">
              <w:rPr>
                <w:i/>
                <w:sz w:val="22"/>
                <w:szCs w:val="22"/>
              </w:rPr>
              <w:t xml:space="preserve">(FPUC, </w:t>
            </w:r>
            <w:r>
              <w:rPr>
                <w:i/>
                <w:sz w:val="22"/>
                <w:szCs w:val="22"/>
              </w:rPr>
              <w:t xml:space="preserve">CUC, </w:t>
            </w:r>
            <w:r w:rsidRPr="00454792">
              <w:rPr>
                <w:i/>
                <w:sz w:val="22"/>
                <w:szCs w:val="22"/>
              </w:rPr>
              <w:t>Indiantown, Ft. Meade)</w:t>
            </w:r>
          </w:p>
          <w:p w:rsidR="00324506" w:rsidRPr="00AC26FA" w:rsidRDefault="00324506" w:rsidP="00933253">
            <w:pPr>
              <w:tabs>
                <w:tab w:val="center" w:pos="4320"/>
                <w:tab w:val="right" w:pos="8640"/>
              </w:tabs>
              <w:spacing w:before="40"/>
              <w:jc w:val="both"/>
              <w:rPr>
                <w:i/>
                <w:sz w:val="10"/>
                <w:szCs w:val="10"/>
              </w:rPr>
            </w:pPr>
          </w:p>
        </w:tc>
        <w:tc>
          <w:tcPr>
            <w:tcW w:w="2622" w:type="dxa"/>
            <w:shd w:val="clear" w:color="auto" w:fill="auto"/>
            <w:vAlign w:val="bottom"/>
          </w:tcPr>
          <w:p w:rsidR="00324506" w:rsidRPr="005F21F8" w:rsidRDefault="00324506" w:rsidP="00933253">
            <w:pPr>
              <w:spacing w:before="120"/>
              <w:jc w:val="right"/>
            </w:pPr>
            <w:r w:rsidRPr="007D1D1E">
              <w:t>$</w:t>
            </w:r>
            <w:r>
              <w:t xml:space="preserve"> 6,562,854</w:t>
            </w:r>
          </w:p>
        </w:tc>
      </w:tr>
      <w:tr w:rsidR="00324506" w:rsidRPr="005F21F8" w:rsidTr="00F71C36">
        <w:trPr>
          <w:jc w:val="center"/>
        </w:trPr>
        <w:tc>
          <w:tcPr>
            <w:tcW w:w="4536" w:type="dxa"/>
            <w:shd w:val="clear" w:color="auto" w:fill="auto"/>
          </w:tcPr>
          <w:p w:rsidR="00324506" w:rsidRPr="005F21F8" w:rsidRDefault="00324506" w:rsidP="00933253">
            <w:pPr>
              <w:tabs>
                <w:tab w:val="center" w:pos="4320"/>
                <w:tab w:val="right" w:pos="8640"/>
              </w:tabs>
              <w:spacing w:before="40"/>
              <w:jc w:val="both"/>
            </w:pPr>
            <w:r w:rsidRPr="005F21F8">
              <w:t>FCG</w:t>
            </w:r>
          </w:p>
        </w:tc>
        <w:tc>
          <w:tcPr>
            <w:tcW w:w="2622" w:type="dxa"/>
            <w:shd w:val="clear" w:color="auto" w:fill="auto"/>
            <w:vAlign w:val="bottom"/>
          </w:tcPr>
          <w:p w:rsidR="00324506" w:rsidRPr="005F21F8" w:rsidRDefault="00324506" w:rsidP="00933253">
            <w:pPr>
              <w:spacing w:before="120"/>
              <w:jc w:val="right"/>
            </w:pPr>
            <w:r w:rsidRPr="005754B4">
              <w:t>$</w:t>
            </w:r>
            <w:r>
              <w:t xml:space="preserve"> 5,082,136</w:t>
            </w:r>
          </w:p>
        </w:tc>
      </w:tr>
      <w:tr w:rsidR="00324506" w:rsidRPr="005F21F8" w:rsidTr="00F71C36">
        <w:trPr>
          <w:jc w:val="center"/>
        </w:trPr>
        <w:tc>
          <w:tcPr>
            <w:tcW w:w="4536" w:type="dxa"/>
            <w:shd w:val="clear" w:color="auto" w:fill="auto"/>
          </w:tcPr>
          <w:p w:rsidR="00324506" w:rsidRPr="005F21F8" w:rsidRDefault="00324506" w:rsidP="00933253">
            <w:pPr>
              <w:tabs>
                <w:tab w:val="center" w:pos="4320"/>
                <w:tab w:val="right" w:pos="8640"/>
              </w:tabs>
              <w:spacing w:before="40"/>
              <w:jc w:val="both"/>
            </w:pPr>
            <w:r w:rsidRPr="005F21F8">
              <w:t>PGS</w:t>
            </w:r>
          </w:p>
        </w:tc>
        <w:tc>
          <w:tcPr>
            <w:tcW w:w="2622" w:type="dxa"/>
            <w:shd w:val="clear" w:color="auto" w:fill="auto"/>
          </w:tcPr>
          <w:p w:rsidR="00324506" w:rsidRPr="001E35D7" w:rsidRDefault="00324506" w:rsidP="00933253">
            <w:pPr>
              <w:spacing w:before="120"/>
              <w:jc w:val="right"/>
            </w:pPr>
            <w:r w:rsidRPr="00803DDE">
              <w:t>$</w:t>
            </w:r>
            <w:r>
              <w:t xml:space="preserve"> </w:t>
            </w:r>
            <w:r w:rsidRPr="00803DDE">
              <w:t>1</w:t>
            </w:r>
            <w:r>
              <w:t>3,102,649</w:t>
            </w:r>
          </w:p>
        </w:tc>
      </w:tr>
      <w:tr w:rsidR="00324506" w:rsidRPr="005F21F8" w:rsidTr="00F71C36">
        <w:trPr>
          <w:jc w:val="center"/>
        </w:trPr>
        <w:tc>
          <w:tcPr>
            <w:tcW w:w="4536" w:type="dxa"/>
            <w:shd w:val="clear" w:color="auto" w:fill="auto"/>
          </w:tcPr>
          <w:p w:rsidR="00324506" w:rsidRPr="005F21F8" w:rsidRDefault="00324506" w:rsidP="00933253">
            <w:pPr>
              <w:tabs>
                <w:tab w:val="center" w:pos="4320"/>
                <w:tab w:val="right" w:pos="8640"/>
              </w:tabs>
              <w:spacing w:before="40"/>
              <w:jc w:val="both"/>
            </w:pPr>
            <w:r w:rsidRPr="005F21F8">
              <w:t>S</w:t>
            </w:r>
            <w:r>
              <w:t>GS</w:t>
            </w:r>
          </w:p>
        </w:tc>
        <w:tc>
          <w:tcPr>
            <w:tcW w:w="2622" w:type="dxa"/>
            <w:shd w:val="clear" w:color="auto" w:fill="auto"/>
          </w:tcPr>
          <w:p w:rsidR="00324506" w:rsidRPr="005F21F8" w:rsidRDefault="00324506" w:rsidP="00933253">
            <w:pPr>
              <w:spacing w:before="120"/>
              <w:jc w:val="right"/>
            </w:pPr>
            <w:r w:rsidRPr="005F2E23">
              <w:rPr>
                <w:rFonts w:eastAsia="Courier New"/>
                <w:w w:val="104"/>
              </w:rPr>
              <w:t>$</w:t>
            </w:r>
            <w:r>
              <w:rPr>
                <w:rFonts w:eastAsia="Courier New"/>
                <w:w w:val="104"/>
              </w:rPr>
              <w:t xml:space="preserve"> 48</w:t>
            </w:r>
            <w:r w:rsidRPr="005F2E23">
              <w:rPr>
                <w:rFonts w:eastAsia="Courier New"/>
                <w:w w:val="104"/>
              </w:rPr>
              <w:t>,</w:t>
            </w:r>
            <w:r>
              <w:rPr>
                <w:rFonts w:eastAsia="Courier New"/>
                <w:w w:val="104"/>
              </w:rPr>
              <w:t>315</w:t>
            </w:r>
          </w:p>
        </w:tc>
      </w:tr>
      <w:tr w:rsidR="00324506" w:rsidRPr="005F21F8" w:rsidTr="00F71C36">
        <w:trPr>
          <w:jc w:val="center"/>
        </w:trPr>
        <w:tc>
          <w:tcPr>
            <w:tcW w:w="4536" w:type="dxa"/>
            <w:shd w:val="clear" w:color="auto" w:fill="auto"/>
          </w:tcPr>
          <w:p w:rsidR="00324506" w:rsidRPr="005F21F8" w:rsidRDefault="00324506" w:rsidP="00933253">
            <w:pPr>
              <w:tabs>
                <w:tab w:val="center" w:pos="4320"/>
                <w:tab w:val="right" w:pos="8640"/>
              </w:tabs>
              <w:spacing w:before="40"/>
              <w:jc w:val="both"/>
            </w:pPr>
            <w:r w:rsidRPr="005F21F8">
              <w:t>S</w:t>
            </w:r>
            <w:r>
              <w:t>JNG</w:t>
            </w:r>
          </w:p>
        </w:tc>
        <w:tc>
          <w:tcPr>
            <w:tcW w:w="2622" w:type="dxa"/>
            <w:shd w:val="clear" w:color="auto" w:fill="auto"/>
          </w:tcPr>
          <w:p w:rsidR="00324506" w:rsidRPr="005F21F8" w:rsidRDefault="00324506" w:rsidP="00933253">
            <w:pPr>
              <w:spacing w:before="120"/>
              <w:jc w:val="right"/>
            </w:pPr>
            <w:r>
              <w:t xml:space="preserve">   </w:t>
            </w:r>
            <w:r w:rsidRPr="00142CF1">
              <w:t>$</w:t>
            </w:r>
            <w:r>
              <w:t xml:space="preserve"> 180,522</w:t>
            </w:r>
          </w:p>
        </w:tc>
      </w:tr>
    </w:tbl>
    <w:p w:rsidR="00324506" w:rsidRPr="00F71C36" w:rsidRDefault="00324506" w:rsidP="00324506">
      <w:pPr>
        <w:rPr>
          <w:sz w:val="16"/>
          <w:szCs w:val="16"/>
        </w:rPr>
      </w:pPr>
    </w:p>
    <w:p w:rsidR="00F71C36" w:rsidRPr="00F71C36" w:rsidRDefault="00F71C36" w:rsidP="00324506">
      <w:pPr>
        <w:rPr>
          <w:sz w:val="16"/>
          <w:szCs w:val="16"/>
        </w:rPr>
      </w:pPr>
    </w:p>
    <w:p w:rsidR="00F71C36" w:rsidRPr="004A19C5" w:rsidRDefault="00F71C36" w:rsidP="00F71C36">
      <w:pPr>
        <w:tabs>
          <w:tab w:val="left" w:pos="0"/>
          <w:tab w:val="left" w:pos="720"/>
        </w:tabs>
        <w:ind w:right="-432"/>
        <w:jc w:val="both"/>
      </w:pPr>
      <w:r>
        <w:rPr>
          <w:bCs/>
        </w:rPr>
        <w:tab/>
        <w:t>We find that the appropriate conservation cost recovery factors for the period January 2017 through December 2017 are as follows:</w:t>
      </w:r>
    </w:p>
    <w:p w:rsidR="00F71C36" w:rsidRDefault="00F71C36" w:rsidP="00F71C36">
      <w:pPr>
        <w:jc w:val="both"/>
      </w:pPr>
    </w:p>
    <w:tbl>
      <w:tblPr>
        <w:tblW w:w="7461" w:type="dxa"/>
        <w:jc w:val="center"/>
        <w:tblInd w:w="2268" w:type="dxa"/>
        <w:tblLook w:val="01E0" w:firstRow="1" w:lastRow="1" w:firstColumn="1" w:lastColumn="1" w:noHBand="0" w:noVBand="0"/>
      </w:tblPr>
      <w:tblGrid>
        <w:gridCol w:w="1521"/>
        <w:gridCol w:w="3600"/>
        <w:gridCol w:w="2340"/>
      </w:tblGrid>
      <w:tr w:rsidR="00F71C36" w:rsidRPr="005F21F8" w:rsidTr="003064EB">
        <w:trPr>
          <w:jc w:val="center"/>
        </w:trPr>
        <w:tc>
          <w:tcPr>
            <w:tcW w:w="1521" w:type="dxa"/>
            <w:shd w:val="clear" w:color="auto" w:fill="auto"/>
          </w:tcPr>
          <w:p w:rsidR="00F71C36" w:rsidRPr="00B96792" w:rsidRDefault="00F71C36" w:rsidP="003064EB">
            <w:pPr>
              <w:jc w:val="center"/>
              <w:rPr>
                <w:b/>
                <w:smallCaps/>
              </w:rPr>
            </w:pPr>
            <w:r w:rsidRPr="00B96792">
              <w:rPr>
                <w:b/>
                <w:smallCaps/>
              </w:rPr>
              <w:t>FPUC</w:t>
            </w:r>
          </w:p>
          <w:p w:rsidR="00F71C36" w:rsidRPr="00B96792" w:rsidRDefault="00F71C36" w:rsidP="003064EB">
            <w:pPr>
              <w:jc w:val="center"/>
              <w:rPr>
                <w:b/>
                <w:smallCaps/>
              </w:rPr>
            </w:pPr>
            <w:r w:rsidRPr="00B96792">
              <w:rPr>
                <w:b/>
                <w:smallCaps/>
              </w:rPr>
              <w:t>and</w:t>
            </w:r>
          </w:p>
          <w:p w:rsidR="00F71C36" w:rsidRPr="005F21F8" w:rsidRDefault="00F71C36" w:rsidP="003064EB">
            <w:pPr>
              <w:jc w:val="center"/>
              <w:rPr>
                <w:b/>
              </w:rPr>
            </w:pPr>
            <w:r w:rsidRPr="00B96792">
              <w:rPr>
                <w:b/>
                <w:smallCaps/>
              </w:rPr>
              <w:t>Fort Meade</w:t>
            </w:r>
          </w:p>
        </w:tc>
        <w:tc>
          <w:tcPr>
            <w:tcW w:w="3600" w:type="dxa"/>
            <w:shd w:val="clear" w:color="auto" w:fill="auto"/>
          </w:tcPr>
          <w:p w:rsidR="00F71C36" w:rsidRDefault="00F71C36" w:rsidP="003064EB">
            <w:pPr>
              <w:tabs>
                <w:tab w:val="left" w:pos="765"/>
                <w:tab w:val="center" w:pos="1332"/>
              </w:tabs>
              <w:rPr>
                <w:b/>
              </w:rPr>
            </w:pPr>
          </w:p>
          <w:p w:rsidR="00F71C36" w:rsidRPr="005F21F8" w:rsidRDefault="00F71C36" w:rsidP="003064EB">
            <w:pPr>
              <w:tabs>
                <w:tab w:val="left" w:pos="765"/>
                <w:tab w:val="center" w:pos="1332"/>
              </w:tabs>
              <w:ind w:left="72"/>
              <w:rPr>
                <w:b/>
              </w:rPr>
            </w:pPr>
            <w:r w:rsidRPr="005F21F8">
              <w:rPr>
                <w:b/>
              </w:rPr>
              <w:t>Rate Class</w:t>
            </w:r>
          </w:p>
        </w:tc>
        <w:tc>
          <w:tcPr>
            <w:tcW w:w="2340" w:type="dxa"/>
            <w:shd w:val="clear" w:color="auto" w:fill="auto"/>
          </w:tcPr>
          <w:p w:rsidR="00F71C36" w:rsidRDefault="00F71C36" w:rsidP="003064EB">
            <w:pPr>
              <w:jc w:val="right"/>
              <w:rPr>
                <w:b/>
              </w:rPr>
            </w:pPr>
          </w:p>
          <w:p w:rsidR="00F71C36" w:rsidRPr="005F21F8" w:rsidRDefault="00F71C36" w:rsidP="003064EB">
            <w:pPr>
              <w:jc w:val="right"/>
              <w:rPr>
                <w:b/>
              </w:rPr>
            </w:pPr>
            <w:r w:rsidRPr="005F21F8">
              <w:rPr>
                <w:b/>
              </w:rPr>
              <w:t>ECCR Factor</w:t>
            </w:r>
          </w:p>
        </w:tc>
      </w:tr>
      <w:tr w:rsidR="00F71C36" w:rsidRPr="005F21F8" w:rsidTr="003064EB">
        <w:trPr>
          <w:jc w:val="center"/>
        </w:trPr>
        <w:tc>
          <w:tcPr>
            <w:tcW w:w="1521" w:type="dxa"/>
            <w:shd w:val="clear" w:color="auto" w:fill="auto"/>
          </w:tcPr>
          <w:p w:rsidR="00F71C36" w:rsidRPr="005F21F8" w:rsidRDefault="00F71C36" w:rsidP="003064EB">
            <w:pPr>
              <w:jc w:val="center"/>
            </w:pPr>
          </w:p>
        </w:tc>
        <w:tc>
          <w:tcPr>
            <w:tcW w:w="3600" w:type="dxa"/>
            <w:shd w:val="clear" w:color="auto" w:fill="auto"/>
          </w:tcPr>
          <w:p w:rsidR="00F71C36" w:rsidRPr="00AC26FA" w:rsidRDefault="00F71C36" w:rsidP="00933253">
            <w:pPr>
              <w:ind w:left="72"/>
            </w:pPr>
            <w:r w:rsidRPr="00AC26FA">
              <w:t xml:space="preserve">Residential </w:t>
            </w:r>
          </w:p>
        </w:tc>
        <w:tc>
          <w:tcPr>
            <w:tcW w:w="2340" w:type="dxa"/>
            <w:shd w:val="clear" w:color="auto" w:fill="auto"/>
          </w:tcPr>
          <w:p w:rsidR="00F71C36" w:rsidRPr="005F21F8" w:rsidRDefault="00F71C36" w:rsidP="00933253">
            <w:pPr>
              <w:tabs>
                <w:tab w:val="left" w:pos="2772"/>
              </w:tabs>
              <w:spacing w:before="120"/>
              <w:jc w:val="right"/>
            </w:pPr>
            <w:r>
              <w:t xml:space="preserve">   $ 0.13261 </w:t>
            </w:r>
            <w:r w:rsidRPr="005F21F8">
              <w:t>/</w:t>
            </w:r>
            <w:r>
              <w:t xml:space="preserve"> </w:t>
            </w:r>
            <w:r w:rsidRPr="005F21F8">
              <w:t>therm</w:t>
            </w:r>
          </w:p>
        </w:tc>
      </w:tr>
      <w:tr w:rsidR="00F71C36" w:rsidRPr="005F21F8" w:rsidTr="003064EB">
        <w:trPr>
          <w:jc w:val="center"/>
        </w:trPr>
        <w:tc>
          <w:tcPr>
            <w:tcW w:w="1521" w:type="dxa"/>
            <w:shd w:val="clear" w:color="auto" w:fill="auto"/>
          </w:tcPr>
          <w:p w:rsidR="00F71C36" w:rsidRPr="005F21F8" w:rsidRDefault="00F71C36" w:rsidP="003064EB">
            <w:pPr>
              <w:jc w:val="center"/>
            </w:pPr>
          </w:p>
        </w:tc>
        <w:tc>
          <w:tcPr>
            <w:tcW w:w="3600" w:type="dxa"/>
            <w:shd w:val="clear" w:color="auto" w:fill="auto"/>
          </w:tcPr>
          <w:p w:rsidR="00F71C36" w:rsidRPr="00AC26FA" w:rsidRDefault="00F71C36" w:rsidP="00933253">
            <w:pPr>
              <w:ind w:left="72"/>
            </w:pPr>
            <w:r w:rsidRPr="00AC26FA">
              <w:t>Commercial Small</w:t>
            </w:r>
          </w:p>
          <w:p w:rsidR="00F71C36" w:rsidRPr="00AC26FA" w:rsidRDefault="00F71C36" w:rsidP="00933253">
            <w:pPr>
              <w:ind w:left="72"/>
            </w:pPr>
            <w:r w:rsidRPr="00AC26FA">
              <w:t>CVPD</w:t>
            </w:r>
          </w:p>
        </w:tc>
        <w:tc>
          <w:tcPr>
            <w:tcW w:w="2340" w:type="dxa"/>
            <w:shd w:val="clear" w:color="auto" w:fill="auto"/>
          </w:tcPr>
          <w:p w:rsidR="00F71C36" w:rsidRPr="005F21F8" w:rsidRDefault="00F71C36" w:rsidP="00933253">
            <w:pPr>
              <w:spacing w:before="120"/>
              <w:jc w:val="right"/>
            </w:pPr>
            <w:r>
              <w:t xml:space="preserve">$ </w:t>
            </w:r>
            <w:r w:rsidRPr="00E073F4">
              <w:t>0.08</w:t>
            </w:r>
            <w:r>
              <w:t xml:space="preserve">015 </w:t>
            </w:r>
            <w:r w:rsidRPr="005F21F8">
              <w:t>/</w:t>
            </w:r>
            <w:r>
              <w:t xml:space="preserve"> </w:t>
            </w:r>
            <w:r w:rsidRPr="005F21F8">
              <w:t>therm</w:t>
            </w:r>
          </w:p>
        </w:tc>
      </w:tr>
      <w:tr w:rsidR="00F71C36" w:rsidRPr="005F21F8" w:rsidTr="003064EB">
        <w:trPr>
          <w:jc w:val="center"/>
        </w:trPr>
        <w:tc>
          <w:tcPr>
            <w:tcW w:w="1521" w:type="dxa"/>
            <w:shd w:val="clear" w:color="auto" w:fill="auto"/>
          </w:tcPr>
          <w:p w:rsidR="00F71C36" w:rsidRDefault="00F71C36" w:rsidP="003064EB">
            <w:pPr>
              <w:jc w:val="center"/>
            </w:pPr>
            <w:r>
              <w:t>FPUC</w:t>
            </w:r>
          </w:p>
          <w:p w:rsidR="00F71C36" w:rsidRPr="005F21F8" w:rsidRDefault="00F71C36" w:rsidP="003064EB">
            <w:pPr>
              <w:jc w:val="center"/>
            </w:pPr>
            <w:r>
              <w:t>only</w:t>
            </w:r>
          </w:p>
        </w:tc>
        <w:tc>
          <w:tcPr>
            <w:tcW w:w="3600" w:type="dxa"/>
            <w:shd w:val="clear" w:color="auto" w:fill="auto"/>
          </w:tcPr>
          <w:p w:rsidR="00F71C36" w:rsidRPr="00AC26FA" w:rsidRDefault="00F71C36" w:rsidP="00933253">
            <w:pPr>
              <w:ind w:left="72"/>
            </w:pPr>
            <w:r w:rsidRPr="00AC26FA">
              <w:t xml:space="preserve">Commercial Small </w:t>
            </w:r>
          </w:p>
          <w:p w:rsidR="00F71C36" w:rsidRPr="00AC26FA" w:rsidRDefault="00F71C36" w:rsidP="00933253">
            <w:pPr>
              <w:ind w:left="72"/>
              <w:rPr>
                <w:sz w:val="20"/>
                <w:szCs w:val="20"/>
              </w:rPr>
            </w:pPr>
            <w:r w:rsidRPr="00AC26FA">
              <w:rPr>
                <w:sz w:val="20"/>
                <w:szCs w:val="20"/>
              </w:rPr>
              <w:t xml:space="preserve">(Gen Srv GS2 &amp; GS </w:t>
            </w:r>
          </w:p>
          <w:p w:rsidR="00F71C36" w:rsidRPr="00AC26FA" w:rsidRDefault="00F71C36" w:rsidP="00933253">
            <w:pPr>
              <w:ind w:left="72"/>
              <w:rPr>
                <w:sz w:val="20"/>
                <w:szCs w:val="20"/>
              </w:rPr>
            </w:pPr>
            <w:r w:rsidRPr="00AC26FA">
              <w:rPr>
                <w:sz w:val="20"/>
                <w:szCs w:val="20"/>
              </w:rPr>
              <w:t>Transportation &gt;600)</w:t>
            </w:r>
          </w:p>
        </w:tc>
        <w:tc>
          <w:tcPr>
            <w:tcW w:w="2340" w:type="dxa"/>
            <w:shd w:val="clear" w:color="auto" w:fill="auto"/>
          </w:tcPr>
          <w:p w:rsidR="00F71C36" w:rsidRPr="005F21F8" w:rsidRDefault="00F71C36" w:rsidP="00933253">
            <w:pPr>
              <w:tabs>
                <w:tab w:val="left" w:pos="247"/>
              </w:tabs>
              <w:spacing w:before="120"/>
              <w:jc w:val="right"/>
            </w:pPr>
            <w:r w:rsidRPr="005F21F8">
              <w:t xml:space="preserve"> </w:t>
            </w:r>
            <w:r>
              <w:t xml:space="preserve">$ 0.06255 / </w:t>
            </w:r>
            <w:r w:rsidRPr="005F21F8">
              <w:t>therm</w:t>
            </w:r>
          </w:p>
        </w:tc>
      </w:tr>
      <w:tr w:rsidR="00F71C36" w:rsidRPr="005F21F8" w:rsidTr="003064EB">
        <w:trPr>
          <w:jc w:val="center"/>
        </w:trPr>
        <w:tc>
          <w:tcPr>
            <w:tcW w:w="1521" w:type="dxa"/>
            <w:shd w:val="clear" w:color="auto" w:fill="auto"/>
          </w:tcPr>
          <w:p w:rsidR="00F71C36" w:rsidRPr="005F21F8" w:rsidRDefault="00F71C36" w:rsidP="003064EB">
            <w:pPr>
              <w:jc w:val="center"/>
            </w:pPr>
          </w:p>
        </w:tc>
        <w:tc>
          <w:tcPr>
            <w:tcW w:w="3600" w:type="dxa"/>
            <w:shd w:val="clear" w:color="auto" w:fill="auto"/>
          </w:tcPr>
          <w:p w:rsidR="00F71C36" w:rsidRPr="00AC26FA" w:rsidRDefault="00F71C36" w:rsidP="00933253">
            <w:pPr>
              <w:ind w:left="72"/>
            </w:pPr>
            <w:r w:rsidRPr="00AC26FA">
              <w:t xml:space="preserve">Commercial Large </w:t>
            </w:r>
          </w:p>
          <w:p w:rsidR="00F71C36" w:rsidRPr="00AC26FA" w:rsidRDefault="00F71C36" w:rsidP="00933253">
            <w:pPr>
              <w:tabs>
                <w:tab w:val="left" w:pos="7200"/>
              </w:tabs>
              <w:ind w:left="72"/>
            </w:pPr>
            <w:r w:rsidRPr="006320A4">
              <w:rPr>
                <w:sz w:val="20"/>
                <w:szCs w:val="20"/>
              </w:rPr>
              <w:t>(Large Vol &amp; LV Transportation &lt;,&gt; 50,000 units)</w:t>
            </w:r>
          </w:p>
        </w:tc>
        <w:tc>
          <w:tcPr>
            <w:tcW w:w="2340" w:type="dxa"/>
            <w:shd w:val="clear" w:color="auto" w:fill="auto"/>
          </w:tcPr>
          <w:p w:rsidR="00F71C36" w:rsidRPr="005F21F8" w:rsidRDefault="00F71C36" w:rsidP="00933253">
            <w:pPr>
              <w:tabs>
                <w:tab w:val="left" w:pos="307"/>
              </w:tabs>
              <w:spacing w:before="120"/>
              <w:jc w:val="right"/>
            </w:pPr>
            <w:r>
              <w:t xml:space="preserve">$ </w:t>
            </w:r>
            <w:r w:rsidRPr="00E073F4">
              <w:t>0.05</w:t>
            </w:r>
            <w:r>
              <w:t xml:space="preserve">098 </w:t>
            </w:r>
            <w:r w:rsidRPr="005F21F8">
              <w:t>/</w:t>
            </w:r>
            <w:r>
              <w:t xml:space="preserve"> </w:t>
            </w:r>
            <w:r w:rsidRPr="005F21F8">
              <w:t>therm</w:t>
            </w:r>
          </w:p>
        </w:tc>
      </w:tr>
      <w:tr w:rsidR="00F71C36" w:rsidRPr="005F21F8" w:rsidTr="003064EB">
        <w:trPr>
          <w:jc w:val="center"/>
        </w:trPr>
        <w:tc>
          <w:tcPr>
            <w:tcW w:w="1521" w:type="dxa"/>
            <w:shd w:val="clear" w:color="auto" w:fill="auto"/>
          </w:tcPr>
          <w:p w:rsidR="00F71C36" w:rsidRDefault="00F71C36" w:rsidP="003064EB">
            <w:pPr>
              <w:jc w:val="center"/>
            </w:pPr>
            <w:r>
              <w:t>FPUC</w:t>
            </w:r>
          </w:p>
          <w:p w:rsidR="00F71C36" w:rsidRPr="005F21F8" w:rsidRDefault="00F71C36" w:rsidP="003064EB">
            <w:pPr>
              <w:jc w:val="center"/>
            </w:pPr>
            <w:r>
              <w:t>only</w:t>
            </w:r>
          </w:p>
        </w:tc>
        <w:tc>
          <w:tcPr>
            <w:tcW w:w="3600" w:type="dxa"/>
            <w:shd w:val="clear" w:color="auto" w:fill="auto"/>
          </w:tcPr>
          <w:p w:rsidR="00F71C36" w:rsidRPr="00AC26FA" w:rsidRDefault="00F71C36" w:rsidP="00933253">
            <w:pPr>
              <w:ind w:left="72"/>
            </w:pPr>
            <w:r>
              <w:t>Natural Gas Vehicles</w:t>
            </w:r>
          </w:p>
        </w:tc>
        <w:tc>
          <w:tcPr>
            <w:tcW w:w="2340" w:type="dxa"/>
            <w:shd w:val="clear" w:color="auto" w:fill="auto"/>
          </w:tcPr>
          <w:p w:rsidR="00F71C36" w:rsidRDefault="00F71C36" w:rsidP="00933253">
            <w:pPr>
              <w:tabs>
                <w:tab w:val="left" w:pos="307"/>
              </w:tabs>
              <w:spacing w:before="120"/>
              <w:jc w:val="right"/>
            </w:pPr>
            <w:r>
              <w:t>$ 0.02456 / therm</w:t>
            </w:r>
          </w:p>
        </w:tc>
      </w:tr>
    </w:tbl>
    <w:p w:rsidR="00F71C36" w:rsidRDefault="00F71C36" w:rsidP="00F71C36"/>
    <w:p w:rsidR="00F71C36" w:rsidRDefault="00F71C36" w:rsidP="00F71C36"/>
    <w:tbl>
      <w:tblPr>
        <w:tblW w:w="7519" w:type="dxa"/>
        <w:jc w:val="center"/>
        <w:tblInd w:w="2300" w:type="dxa"/>
        <w:tblLook w:val="01E0" w:firstRow="1" w:lastRow="1" w:firstColumn="1" w:lastColumn="1" w:noHBand="0" w:noVBand="0"/>
      </w:tblPr>
      <w:tblGrid>
        <w:gridCol w:w="1456"/>
        <w:gridCol w:w="33"/>
        <w:gridCol w:w="3600"/>
        <w:gridCol w:w="2430"/>
      </w:tblGrid>
      <w:tr w:rsidR="00F71C36" w:rsidRPr="005F21F8" w:rsidTr="003064EB">
        <w:trPr>
          <w:tblHeader/>
          <w:jc w:val="center"/>
        </w:trPr>
        <w:tc>
          <w:tcPr>
            <w:tcW w:w="1456" w:type="dxa"/>
            <w:shd w:val="clear" w:color="auto" w:fill="auto"/>
          </w:tcPr>
          <w:p w:rsidR="00F71C36" w:rsidRPr="005F21F8" w:rsidRDefault="00F71C36" w:rsidP="00933253">
            <w:pPr>
              <w:tabs>
                <w:tab w:val="center" w:pos="792"/>
                <w:tab w:val="left" w:pos="1560"/>
              </w:tabs>
              <w:spacing w:before="60" w:after="60"/>
              <w:jc w:val="center"/>
              <w:rPr>
                <w:b/>
              </w:rPr>
            </w:pPr>
            <w:r w:rsidRPr="005F21F8">
              <w:rPr>
                <w:b/>
              </w:rPr>
              <w:lastRenderedPageBreak/>
              <w:t>CUC</w:t>
            </w:r>
          </w:p>
        </w:tc>
        <w:tc>
          <w:tcPr>
            <w:tcW w:w="3633" w:type="dxa"/>
            <w:gridSpan w:val="2"/>
            <w:shd w:val="clear" w:color="auto" w:fill="auto"/>
          </w:tcPr>
          <w:p w:rsidR="00F71C36" w:rsidRPr="005F21F8" w:rsidRDefault="00F71C36" w:rsidP="003064EB">
            <w:pPr>
              <w:spacing w:before="60" w:after="60"/>
              <w:ind w:left="162"/>
              <w:rPr>
                <w:b/>
              </w:rPr>
            </w:pPr>
            <w:r w:rsidRPr="005F21F8">
              <w:rPr>
                <w:b/>
              </w:rPr>
              <w:t>Rate Class</w:t>
            </w:r>
          </w:p>
        </w:tc>
        <w:tc>
          <w:tcPr>
            <w:tcW w:w="2430" w:type="dxa"/>
            <w:shd w:val="clear" w:color="auto" w:fill="auto"/>
          </w:tcPr>
          <w:p w:rsidR="00F71C36" w:rsidRPr="005F21F8" w:rsidRDefault="00F71C36" w:rsidP="003064EB">
            <w:pPr>
              <w:spacing w:before="60" w:after="60"/>
              <w:jc w:val="right"/>
              <w:rPr>
                <w:b/>
              </w:rPr>
            </w:pPr>
            <w:r w:rsidRPr="005F21F8">
              <w:rPr>
                <w:b/>
              </w:rPr>
              <w:t>ECCR Factor</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pPr>
            <w:r w:rsidRPr="005F21F8">
              <w:t>FTS-A</w:t>
            </w:r>
          </w:p>
        </w:tc>
        <w:tc>
          <w:tcPr>
            <w:tcW w:w="2430" w:type="dxa"/>
            <w:shd w:val="clear" w:color="auto" w:fill="auto"/>
          </w:tcPr>
          <w:p w:rsidR="00F71C36" w:rsidRPr="003952A0" w:rsidRDefault="00F71C36" w:rsidP="00933253">
            <w:pPr>
              <w:spacing w:before="120"/>
              <w:ind w:left="259"/>
              <w:jc w:val="right"/>
            </w:pPr>
            <w:r>
              <w:t xml:space="preserve">$ </w:t>
            </w:r>
            <w:r w:rsidRPr="00D5767E">
              <w:t>0.3</w:t>
            </w:r>
            <w:r>
              <w:t>1789</w:t>
            </w:r>
            <w:r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FTS-B</w:t>
            </w:r>
          </w:p>
        </w:tc>
        <w:tc>
          <w:tcPr>
            <w:tcW w:w="2430" w:type="dxa"/>
            <w:shd w:val="clear" w:color="auto" w:fill="auto"/>
          </w:tcPr>
          <w:p w:rsidR="00F71C36" w:rsidRPr="003952A0" w:rsidRDefault="00F71C36" w:rsidP="00933253">
            <w:pPr>
              <w:spacing w:before="120"/>
              <w:ind w:left="259"/>
              <w:jc w:val="right"/>
            </w:pPr>
            <w:r>
              <w:t>$ 0.24033</w:t>
            </w:r>
            <w:r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FTS-1</w:t>
            </w:r>
          </w:p>
        </w:tc>
        <w:tc>
          <w:tcPr>
            <w:tcW w:w="2430" w:type="dxa"/>
            <w:shd w:val="clear" w:color="auto" w:fill="auto"/>
          </w:tcPr>
          <w:p w:rsidR="00F71C36" w:rsidRPr="003952A0" w:rsidRDefault="00F71C36" w:rsidP="00933253">
            <w:pPr>
              <w:spacing w:before="120"/>
              <w:ind w:left="259"/>
              <w:jc w:val="right"/>
            </w:pPr>
            <w:r>
              <w:t>$</w:t>
            </w:r>
            <w:r w:rsidRPr="003952A0">
              <w:t xml:space="preserve"> </w:t>
            </w:r>
            <w:r>
              <w:t>0.20824</w:t>
            </w:r>
            <w:r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FTS-2</w:t>
            </w:r>
          </w:p>
        </w:tc>
        <w:tc>
          <w:tcPr>
            <w:tcW w:w="2430" w:type="dxa"/>
            <w:shd w:val="clear" w:color="auto" w:fill="auto"/>
          </w:tcPr>
          <w:p w:rsidR="00F71C36" w:rsidRPr="003952A0" w:rsidRDefault="00F71C36" w:rsidP="00933253">
            <w:pPr>
              <w:spacing w:before="120"/>
              <w:ind w:left="259"/>
              <w:jc w:val="right"/>
            </w:pPr>
            <w:r>
              <w:t>$ 0.11396</w:t>
            </w:r>
            <w:r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FTS-2.1</w:t>
            </w:r>
          </w:p>
        </w:tc>
        <w:tc>
          <w:tcPr>
            <w:tcW w:w="2430" w:type="dxa"/>
            <w:shd w:val="clear" w:color="auto" w:fill="auto"/>
          </w:tcPr>
          <w:p w:rsidR="00F71C36" w:rsidRPr="003952A0" w:rsidRDefault="00F71C36" w:rsidP="00933253">
            <w:pPr>
              <w:spacing w:before="120"/>
              <w:ind w:left="259"/>
              <w:jc w:val="right"/>
            </w:pPr>
            <w:r>
              <w:t>$ 0.08428</w:t>
            </w:r>
            <w:r w:rsidRPr="00D5767E"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FTS-3</w:t>
            </w:r>
          </w:p>
        </w:tc>
        <w:tc>
          <w:tcPr>
            <w:tcW w:w="2430" w:type="dxa"/>
            <w:shd w:val="clear" w:color="auto" w:fill="auto"/>
          </w:tcPr>
          <w:p w:rsidR="00F71C36" w:rsidRPr="003952A0" w:rsidRDefault="00F71C36" w:rsidP="00933253">
            <w:pPr>
              <w:spacing w:before="120"/>
              <w:ind w:left="259"/>
              <w:jc w:val="right"/>
            </w:pPr>
            <w:r>
              <w:t>$ 0.07097</w:t>
            </w:r>
            <w:r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FTS-3.1</w:t>
            </w:r>
          </w:p>
        </w:tc>
        <w:tc>
          <w:tcPr>
            <w:tcW w:w="2430" w:type="dxa"/>
            <w:shd w:val="clear" w:color="auto" w:fill="auto"/>
          </w:tcPr>
          <w:p w:rsidR="00F71C36" w:rsidRPr="003952A0" w:rsidRDefault="00F71C36" w:rsidP="00933253">
            <w:pPr>
              <w:spacing w:before="120"/>
              <w:ind w:left="259"/>
              <w:jc w:val="right"/>
            </w:pPr>
            <w:r>
              <w:t xml:space="preserve"> $ 0.05494</w:t>
            </w:r>
            <w:r w:rsidRPr="00D5767E"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FTS-4</w:t>
            </w:r>
          </w:p>
        </w:tc>
        <w:tc>
          <w:tcPr>
            <w:tcW w:w="2430" w:type="dxa"/>
            <w:shd w:val="clear" w:color="auto" w:fill="auto"/>
          </w:tcPr>
          <w:p w:rsidR="00F71C36" w:rsidRPr="003952A0" w:rsidRDefault="00F71C36" w:rsidP="00933253">
            <w:pPr>
              <w:spacing w:before="120"/>
              <w:ind w:left="259"/>
              <w:jc w:val="right"/>
            </w:pPr>
            <w:r>
              <w:t>$ 0.04647</w:t>
            </w:r>
            <w:r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FTS-5</w:t>
            </w:r>
          </w:p>
        </w:tc>
        <w:tc>
          <w:tcPr>
            <w:tcW w:w="2430" w:type="dxa"/>
            <w:shd w:val="clear" w:color="auto" w:fill="auto"/>
          </w:tcPr>
          <w:p w:rsidR="00F71C36" w:rsidRPr="003952A0" w:rsidRDefault="00F71C36" w:rsidP="00933253">
            <w:pPr>
              <w:spacing w:before="120"/>
              <w:ind w:left="259"/>
              <w:jc w:val="right"/>
            </w:pPr>
            <w:r>
              <w:t>$ 0.04069 /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FTS-6</w:t>
            </w:r>
          </w:p>
        </w:tc>
        <w:tc>
          <w:tcPr>
            <w:tcW w:w="2430" w:type="dxa"/>
            <w:shd w:val="clear" w:color="auto" w:fill="auto"/>
          </w:tcPr>
          <w:p w:rsidR="00F71C36" w:rsidRPr="003952A0" w:rsidRDefault="00F71C36" w:rsidP="00933253">
            <w:pPr>
              <w:spacing w:before="120"/>
              <w:ind w:left="259"/>
              <w:jc w:val="right"/>
            </w:pPr>
            <w:r>
              <w:t>$ 0.03327 /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FTS-7</w:t>
            </w:r>
          </w:p>
        </w:tc>
        <w:tc>
          <w:tcPr>
            <w:tcW w:w="2430" w:type="dxa"/>
            <w:shd w:val="clear" w:color="auto" w:fill="auto"/>
          </w:tcPr>
          <w:p w:rsidR="00F71C36" w:rsidRPr="003952A0" w:rsidRDefault="00F71C36" w:rsidP="00933253">
            <w:pPr>
              <w:spacing w:before="120"/>
              <w:ind w:left="259"/>
              <w:jc w:val="right"/>
            </w:pPr>
            <w:r>
              <w:t>$ 0.02370</w:t>
            </w:r>
            <w:r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FTS-8</w:t>
            </w:r>
          </w:p>
        </w:tc>
        <w:tc>
          <w:tcPr>
            <w:tcW w:w="2430" w:type="dxa"/>
            <w:shd w:val="clear" w:color="auto" w:fill="auto"/>
          </w:tcPr>
          <w:p w:rsidR="00F71C36" w:rsidRPr="003952A0" w:rsidRDefault="00F71C36" w:rsidP="00933253">
            <w:pPr>
              <w:spacing w:before="120"/>
              <w:ind w:left="259"/>
              <w:jc w:val="right"/>
            </w:pPr>
            <w:r>
              <w:t>$ 0.02174</w:t>
            </w:r>
            <w:r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FTS-9</w:t>
            </w:r>
          </w:p>
        </w:tc>
        <w:tc>
          <w:tcPr>
            <w:tcW w:w="2430" w:type="dxa"/>
            <w:shd w:val="clear" w:color="auto" w:fill="auto"/>
          </w:tcPr>
          <w:p w:rsidR="00F71C36" w:rsidRPr="003952A0" w:rsidRDefault="00F71C36" w:rsidP="00933253">
            <w:pPr>
              <w:spacing w:before="120"/>
              <w:ind w:left="259"/>
              <w:jc w:val="right"/>
            </w:pPr>
            <w:r>
              <w:t>$ 0.01747</w:t>
            </w:r>
            <w:r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FTS-10</w:t>
            </w:r>
          </w:p>
        </w:tc>
        <w:tc>
          <w:tcPr>
            <w:tcW w:w="2430" w:type="dxa"/>
            <w:shd w:val="clear" w:color="auto" w:fill="auto"/>
          </w:tcPr>
          <w:p w:rsidR="00F71C36" w:rsidRPr="003952A0" w:rsidRDefault="00F71C36" w:rsidP="00933253">
            <w:pPr>
              <w:spacing w:before="120"/>
              <w:ind w:left="259"/>
              <w:jc w:val="right"/>
            </w:pPr>
            <w:r>
              <w:t>$ 0.01707</w:t>
            </w:r>
            <w:r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FTS-11</w:t>
            </w:r>
          </w:p>
        </w:tc>
        <w:tc>
          <w:tcPr>
            <w:tcW w:w="2430" w:type="dxa"/>
            <w:shd w:val="clear" w:color="auto" w:fill="auto"/>
          </w:tcPr>
          <w:p w:rsidR="00F71C36" w:rsidRPr="003952A0" w:rsidRDefault="00F71C36" w:rsidP="00933253">
            <w:pPr>
              <w:spacing w:before="120"/>
              <w:ind w:left="259"/>
              <w:jc w:val="right"/>
            </w:pPr>
            <w:r>
              <w:t>$ 0.01450</w:t>
            </w:r>
            <w:r w:rsidDel="00A8064D">
              <w:t xml:space="preserve"> </w:t>
            </w:r>
            <w:r>
              <w:t>/ therm</w:t>
            </w:r>
          </w:p>
        </w:tc>
      </w:tr>
      <w:tr w:rsidR="00F71C36" w:rsidRPr="005F21F8" w:rsidTr="003064EB">
        <w:trPr>
          <w:jc w:val="center"/>
        </w:trPr>
        <w:tc>
          <w:tcPr>
            <w:tcW w:w="1489" w:type="dxa"/>
            <w:gridSpan w:val="2"/>
            <w:shd w:val="clear" w:color="auto" w:fill="auto"/>
          </w:tcPr>
          <w:p w:rsidR="00F71C36" w:rsidRPr="005F21F8" w:rsidRDefault="00F71C36" w:rsidP="00933253">
            <w:pPr>
              <w:spacing w:before="40"/>
              <w:jc w:val="both"/>
            </w:pPr>
          </w:p>
        </w:tc>
        <w:tc>
          <w:tcPr>
            <w:tcW w:w="3600" w:type="dxa"/>
            <w:shd w:val="clear" w:color="auto" w:fill="auto"/>
          </w:tcPr>
          <w:p w:rsidR="00F71C36" w:rsidRPr="005F21F8" w:rsidRDefault="00F71C36" w:rsidP="003064EB">
            <w:pPr>
              <w:spacing w:before="40"/>
              <w:ind w:left="129"/>
              <w:jc w:val="both"/>
            </w:pPr>
            <w:r w:rsidRPr="005F21F8">
              <w:t>FTS-12</w:t>
            </w:r>
          </w:p>
        </w:tc>
        <w:tc>
          <w:tcPr>
            <w:tcW w:w="2430" w:type="dxa"/>
            <w:shd w:val="clear" w:color="auto" w:fill="auto"/>
          </w:tcPr>
          <w:p w:rsidR="00F71C36" w:rsidRPr="003952A0" w:rsidRDefault="00F71C36" w:rsidP="00933253">
            <w:pPr>
              <w:spacing w:before="120"/>
              <w:ind w:left="259"/>
              <w:jc w:val="right"/>
            </w:pPr>
            <w:r>
              <w:t>$ 0.01095</w:t>
            </w:r>
            <w:r w:rsidDel="00A8064D">
              <w:t xml:space="preserve"> </w:t>
            </w:r>
            <w:r>
              <w:t>/ therm</w:t>
            </w:r>
          </w:p>
        </w:tc>
      </w:tr>
    </w:tbl>
    <w:p w:rsidR="00F71C36" w:rsidRDefault="00F71C36" w:rsidP="00F71C36"/>
    <w:p w:rsidR="00F71C36" w:rsidRDefault="00F71C36" w:rsidP="00F71C36"/>
    <w:p w:rsidR="00F71C36" w:rsidRDefault="00F71C36" w:rsidP="00F71C36">
      <w:pPr>
        <w:ind w:firstLine="720"/>
        <w:jc w:val="both"/>
      </w:pPr>
      <w:r>
        <w:t>In accordance with Order No. PSC-07-0427-TRF-GU, issued May 15, 2007, in Docket No. 060675-GU, CUC also seeks approval of the following experimental per bill Conservation Cost Recovery Adjustment (Experimental) factors:</w:t>
      </w:r>
    </w:p>
    <w:p w:rsidR="00F71C36" w:rsidRDefault="00F71C36" w:rsidP="00324506"/>
    <w:tbl>
      <w:tblPr>
        <w:tblW w:w="7421" w:type="dxa"/>
        <w:jc w:val="center"/>
        <w:tblInd w:w="2169" w:type="dxa"/>
        <w:tblLook w:val="01E0" w:firstRow="1" w:lastRow="1" w:firstColumn="1" w:lastColumn="1" w:noHBand="0" w:noVBand="0"/>
      </w:tblPr>
      <w:tblGrid>
        <w:gridCol w:w="1451"/>
        <w:gridCol w:w="3654"/>
        <w:gridCol w:w="2316"/>
      </w:tblGrid>
      <w:tr w:rsidR="00F71C36" w:rsidRPr="001E6E1C" w:rsidTr="003064EB">
        <w:trPr>
          <w:jc w:val="center"/>
        </w:trPr>
        <w:tc>
          <w:tcPr>
            <w:tcW w:w="1451" w:type="dxa"/>
            <w:shd w:val="clear" w:color="auto" w:fill="auto"/>
          </w:tcPr>
          <w:p w:rsidR="00F71C36" w:rsidRDefault="00F71C36" w:rsidP="003064EB">
            <w:pPr>
              <w:spacing w:before="60"/>
              <w:jc w:val="center"/>
              <w:rPr>
                <w:b/>
                <w:bCs/>
              </w:rPr>
            </w:pPr>
            <w:r w:rsidRPr="001E6E1C">
              <w:rPr>
                <w:b/>
                <w:bCs/>
              </w:rPr>
              <w:t>CUC</w:t>
            </w:r>
          </w:p>
          <w:p w:rsidR="00F71C36" w:rsidRPr="001E6E1C" w:rsidRDefault="00F71C36" w:rsidP="003064EB">
            <w:pPr>
              <w:spacing w:after="60"/>
              <w:jc w:val="center"/>
              <w:rPr>
                <w:b/>
                <w:bCs/>
              </w:rPr>
            </w:pPr>
            <w:r w:rsidRPr="00EE7984">
              <w:rPr>
                <w:b/>
                <w:bCs/>
                <w:i/>
                <w:sz w:val="22"/>
                <w:szCs w:val="22"/>
              </w:rPr>
              <w:t>Experimental</w:t>
            </w:r>
          </w:p>
        </w:tc>
        <w:tc>
          <w:tcPr>
            <w:tcW w:w="3654" w:type="dxa"/>
            <w:shd w:val="clear" w:color="auto" w:fill="auto"/>
          </w:tcPr>
          <w:p w:rsidR="00F71C36" w:rsidRPr="001E6E1C" w:rsidRDefault="00F71C36" w:rsidP="003064EB">
            <w:pPr>
              <w:spacing w:beforeLines="60" w:before="144" w:after="60"/>
              <w:ind w:left="118"/>
              <w:rPr>
                <w:b/>
                <w:bCs/>
              </w:rPr>
            </w:pPr>
            <w:r w:rsidRPr="001E6E1C">
              <w:rPr>
                <w:b/>
                <w:bCs/>
              </w:rPr>
              <w:t>Rate Class</w:t>
            </w:r>
          </w:p>
        </w:tc>
        <w:tc>
          <w:tcPr>
            <w:tcW w:w="2316" w:type="dxa"/>
            <w:shd w:val="clear" w:color="auto" w:fill="auto"/>
          </w:tcPr>
          <w:p w:rsidR="00F71C36" w:rsidRPr="005F21F8" w:rsidRDefault="00F71C36" w:rsidP="003064EB">
            <w:pPr>
              <w:spacing w:beforeLines="60" w:before="144" w:after="60"/>
              <w:jc w:val="right"/>
              <w:rPr>
                <w:b/>
              </w:rPr>
            </w:pPr>
            <w:r w:rsidRPr="005F21F8">
              <w:rPr>
                <w:b/>
              </w:rPr>
              <w:t>ECCR Factor</w:t>
            </w:r>
            <w:r>
              <w:rPr>
                <w:b/>
              </w:rPr>
              <w:t xml:space="preserve"> ($/bill)</w:t>
            </w:r>
          </w:p>
        </w:tc>
      </w:tr>
      <w:tr w:rsidR="00F71C36" w:rsidRPr="001E6E1C" w:rsidTr="003064EB">
        <w:trPr>
          <w:jc w:val="center"/>
        </w:trPr>
        <w:tc>
          <w:tcPr>
            <w:tcW w:w="1451" w:type="dxa"/>
            <w:shd w:val="clear" w:color="auto" w:fill="auto"/>
          </w:tcPr>
          <w:p w:rsidR="00F71C36" w:rsidRPr="001E6E1C" w:rsidRDefault="00F71C36" w:rsidP="00933253">
            <w:pPr>
              <w:jc w:val="both"/>
              <w:rPr>
                <w:bCs/>
              </w:rPr>
            </w:pPr>
          </w:p>
        </w:tc>
        <w:tc>
          <w:tcPr>
            <w:tcW w:w="3654" w:type="dxa"/>
            <w:shd w:val="clear" w:color="auto" w:fill="auto"/>
          </w:tcPr>
          <w:p w:rsidR="00F71C36" w:rsidRPr="007206F4" w:rsidRDefault="00F71C36" w:rsidP="003064EB">
            <w:pPr>
              <w:ind w:left="118"/>
            </w:pPr>
            <w:r w:rsidRPr="007206F4">
              <w:t>FTS-A</w:t>
            </w:r>
          </w:p>
        </w:tc>
        <w:tc>
          <w:tcPr>
            <w:tcW w:w="2316" w:type="dxa"/>
            <w:shd w:val="clear" w:color="auto" w:fill="auto"/>
            <w:vAlign w:val="bottom"/>
          </w:tcPr>
          <w:p w:rsidR="00F71C36" w:rsidRPr="007206F4" w:rsidRDefault="00F71C36" w:rsidP="00933253">
            <w:pPr>
              <w:spacing w:before="120"/>
              <w:jc w:val="right"/>
            </w:pPr>
            <w:r w:rsidRPr="007206F4">
              <w:t>$2.</w:t>
            </w:r>
            <w:r>
              <w:t>05</w:t>
            </w:r>
          </w:p>
        </w:tc>
      </w:tr>
      <w:tr w:rsidR="00F71C36" w:rsidRPr="001E6E1C" w:rsidTr="003064EB">
        <w:trPr>
          <w:jc w:val="center"/>
        </w:trPr>
        <w:tc>
          <w:tcPr>
            <w:tcW w:w="1451" w:type="dxa"/>
            <w:shd w:val="clear" w:color="auto" w:fill="auto"/>
          </w:tcPr>
          <w:p w:rsidR="00F71C36" w:rsidRPr="001E6E1C" w:rsidRDefault="00F71C36" w:rsidP="00933253">
            <w:pPr>
              <w:jc w:val="both"/>
              <w:rPr>
                <w:bCs/>
              </w:rPr>
            </w:pPr>
          </w:p>
        </w:tc>
        <w:tc>
          <w:tcPr>
            <w:tcW w:w="3654" w:type="dxa"/>
            <w:shd w:val="clear" w:color="auto" w:fill="auto"/>
          </w:tcPr>
          <w:p w:rsidR="00F71C36" w:rsidRPr="007206F4" w:rsidRDefault="00F71C36" w:rsidP="003064EB">
            <w:pPr>
              <w:ind w:left="118"/>
            </w:pPr>
            <w:r w:rsidRPr="007206F4">
              <w:t>FTS-B</w:t>
            </w:r>
          </w:p>
        </w:tc>
        <w:tc>
          <w:tcPr>
            <w:tcW w:w="2316" w:type="dxa"/>
            <w:shd w:val="clear" w:color="auto" w:fill="auto"/>
            <w:vAlign w:val="bottom"/>
          </w:tcPr>
          <w:p w:rsidR="00F71C36" w:rsidRPr="007206F4" w:rsidRDefault="00F71C36" w:rsidP="00933253">
            <w:pPr>
              <w:spacing w:before="120"/>
              <w:jc w:val="right"/>
            </w:pPr>
            <w:r w:rsidRPr="007206F4">
              <w:t>$</w:t>
            </w:r>
            <w:r>
              <w:t>2.70</w:t>
            </w:r>
          </w:p>
        </w:tc>
      </w:tr>
      <w:tr w:rsidR="00F71C36" w:rsidRPr="001E6E1C" w:rsidTr="003064EB">
        <w:trPr>
          <w:jc w:val="center"/>
        </w:trPr>
        <w:tc>
          <w:tcPr>
            <w:tcW w:w="1451" w:type="dxa"/>
            <w:shd w:val="clear" w:color="auto" w:fill="auto"/>
          </w:tcPr>
          <w:p w:rsidR="00F71C36" w:rsidRPr="001E6E1C" w:rsidRDefault="00F71C36" w:rsidP="00933253">
            <w:pPr>
              <w:jc w:val="both"/>
              <w:rPr>
                <w:bCs/>
              </w:rPr>
            </w:pPr>
          </w:p>
        </w:tc>
        <w:tc>
          <w:tcPr>
            <w:tcW w:w="3654" w:type="dxa"/>
            <w:shd w:val="clear" w:color="auto" w:fill="auto"/>
          </w:tcPr>
          <w:p w:rsidR="00F71C36" w:rsidRPr="007206F4" w:rsidRDefault="00F71C36" w:rsidP="003064EB">
            <w:pPr>
              <w:ind w:left="118"/>
            </w:pPr>
            <w:r w:rsidRPr="007206F4">
              <w:t>FTS-1</w:t>
            </w:r>
          </w:p>
        </w:tc>
        <w:tc>
          <w:tcPr>
            <w:tcW w:w="2316" w:type="dxa"/>
            <w:shd w:val="clear" w:color="auto" w:fill="auto"/>
            <w:vAlign w:val="bottom"/>
          </w:tcPr>
          <w:p w:rsidR="00F71C36" w:rsidRPr="007206F4" w:rsidRDefault="00F71C36" w:rsidP="00933253">
            <w:pPr>
              <w:spacing w:before="120"/>
              <w:jc w:val="right"/>
            </w:pPr>
            <w:r w:rsidRPr="007206F4">
              <w:t>$3.</w:t>
            </w:r>
            <w:r>
              <w:t>41</w:t>
            </w:r>
          </w:p>
        </w:tc>
      </w:tr>
      <w:tr w:rsidR="00F71C36" w:rsidRPr="001E6E1C" w:rsidTr="003064EB">
        <w:trPr>
          <w:jc w:val="center"/>
        </w:trPr>
        <w:tc>
          <w:tcPr>
            <w:tcW w:w="1451" w:type="dxa"/>
            <w:shd w:val="clear" w:color="auto" w:fill="auto"/>
          </w:tcPr>
          <w:p w:rsidR="00F71C36" w:rsidRPr="001E6E1C" w:rsidRDefault="00F71C36" w:rsidP="00933253">
            <w:pPr>
              <w:jc w:val="both"/>
              <w:rPr>
                <w:bCs/>
              </w:rPr>
            </w:pPr>
          </w:p>
        </w:tc>
        <w:tc>
          <w:tcPr>
            <w:tcW w:w="3654" w:type="dxa"/>
            <w:shd w:val="clear" w:color="auto" w:fill="auto"/>
          </w:tcPr>
          <w:p w:rsidR="00F71C36" w:rsidRPr="007206F4" w:rsidRDefault="00F71C36" w:rsidP="003064EB">
            <w:pPr>
              <w:ind w:left="118"/>
            </w:pPr>
            <w:r w:rsidRPr="007206F4">
              <w:t>FTS-2</w:t>
            </w:r>
          </w:p>
        </w:tc>
        <w:tc>
          <w:tcPr>
            <w:tcW w:w="2316" w:type="dxa"/>
            <w:shd w:val="clear" w:color="auto" w:fill="auto"/>
            <w:vAlign w:val="bottom"/>
          </w:tcPr>
          <w:p w:rsidR="00F71C36" w:rsidRPr="007206F4" w:rsidRDefault="00F71C36" w:rsidP="00933253">
            <w:pPr>
              <w:spacing w:before="120"/>
              <w:jc w:val="right"/>
            </w:pPr>
            <w:r w:rsidRPr="007206F4">
              <w:t>$</w:t>
            </w:r>
            <w:r>
              <w:t>6.81</w:t>
            </w:r>
          </w:p>
        </w:tc>
      </w:tr>
      <w:tr w:rsidR="00F71C36" w:rsidRPr="001E6E1C" w:rsidTr="003064EB">
        <w:trPr>
          <w:jc w:val="center"/>
        </w:trPr>
        <w:tc>
          <w:tcPr>
            <w:tcW w:w="1451" w:type="dxa"/>
            <w:shd w:val="clear" w:color="auto" w:fill="auto"/>
          </w:tcPr>
          <w:p w:rsidR="00F71C36" w:rsidRPr="001E6E1C" w:rsidRDefault="00F71C36" w:rsidP="00933253">
            <w:pPr>
              <w:jc w:val="both"/>
              <w:rPr>
                <w:bCs/>
              </w:rPr>
            </w:pPr>
          </w:p>
        </w:tc>
        <w:tc>
          <w:tcPr>
            <w:tcW w:w="3654" w:type="dxa"/>
            <w:shd w:val="clear" w:color="auto" w:fill="auto"/>
          </w:tcPr>
          <w:p w:rsidR="00F71C36" w:rsidRPr="007206F4" w:rsidRDefault="00F71C36" w:rsidP="003064EB">
            <w:pPr>
              <w:ind w:left="118"/>
            </w:pPr>
            <w:r w:rsidRPr="007206F4">
              <w:t>FTS-2.1</w:t>
            </w:r>
          </w:p>
        </w:tc>
        <w:tc>
          <w:tcPr>
            <w:tcW w:w="2316" w:type="dxa"/>
            <w:shd w:val="clear" w:color="auto" w:fill="auto"/>
            <w:vAlign w:val="bottom"/>
          </w:tcPr>
          <w:p w:rsidR="00F71C36" w:rsidRPr="007206F4" w:rsidRDefault="00F71C36" w:rsidP="00933253">
            <w:pPr>
              <w:spacing w:before="120"/>
              <w:jc w:val="right"/>
            </w:pPr>
            <w:r w:rsidRPr="007206F4">
              <w:t>$</w:t>
            </w:r>
            <w:r>
              <w:t>9.67</w:t>
            </w:r>
          </w:p>
        </w:tc>
      </w:tr>
      <w:tr w:rsidR="00F71C36" w:rsidRPr="001E6E1C" w:rsidTr="003064EB">
        <w:trPr>
          <w:jc w:val="center"/>
        </w:trPr>
        <w:tc>
          <w:tcPr>
            <w:tcW w:w="1451" w:type="dxa"/>
            <w:shd w:val="clear" w:color="auto" w:fill="auto"/>
          </w:tcPr>
          <w:p w:rsidR="00F71C36" w:rsidRPr="001E6E1C" w:rsidRDefault="00F71C36" w:rsidP="00933253">
            <w:pPr>
              <w:jc w:val="both"/>
              <w:rPr>
                <w:bCs/>
              </w:rPr>
            </w:pPr>
          </w:p>
        </w:tc>
        <w:tc>
          <w:tcPr>
            <w:tcW w:w="3654" w:type="dxa"/>
            <w:shd w:val="clear" w:color="auto" w:fill="auto"/>
          </w:tcPr>
          <w:p w:rsidR="00F71C36" w:rsidRPr="007206F4" w:rsidRDefault="00F71C36" w:rsidP="003064EB">
            <w:pPr>
              <w:ind w:left="118"/>
            </w:pPr>
            <w:r w:rsidRPr="007206F4">
              <w:t>FTS-3</w:t>
            </w:r>
          </w:p>
        </w:tc>
        <w:tc>
          <w:tcPr>
            <w:tcW w:w="2316" w:type="dxa"/>
            <w:shd w:val="clear" w:color="auto" w:fill="auto"/>
            <w:vAlign w:val="bottom"/>
          </w:tcPr>
          <w:p w:rsidR="00F71C36" w:rsidRPr="007206F4" w:rsidRDefault="00F71C36" w:rsidP="00933253">
            <w:pPr>
              <w:spacing w:before="120"/>
              <w:jc w:val="right"/>
            </w:pPr>
            <w:r w:rsidRPr="007206F4">
              <w:t>$2</w:t>
            </w:r>
            <w:r>
              <w:t>4.56</w:t>
            </w:r>
          </w:p>
        </w:tc>
      </w:tr>
      <w:tr w:rsidR="00F71C36" w:rsidRPr="001E6E1C" w:rsidTr="003064EB">
        <w:trPr>
          <w:trHeight w:val="315"/>
          <w:jc w:val="center"/>
        </w:trPr>
        <w:tc>
          <w:tcPr>
            <w:tcW w:w="1451" w:type="dxa"/>
            <w:shd w:val="clear" w:color="auto" w:fill="auto"/>
          </w:tcPr>
          <w:p w:rsidR="00F71C36" w:rsidRPr="001E6E1C" w:rsidRDefault="00F71C36" w:rsidP="00933253">
            <w:pPr>
              <w:jc w:val="both"/>
              <w:rPr>
                <w:bCs/>
              </w:rPr>
            </w:pPr>
          </w:p>
        </w:tc>
        <w:tc>
          <w:tcPr>
            <w:tcW w:w="3654" w:type="dxa"/>
            <w:shd w:val="clear" w:color="auto" w:fill="auto"/>
          </w:tcPr>
          <w:p w:rsidR="00F71C36" w:rsidRPr="007206F4" w:rsidRDefault="00F71C36" w:rsidP="003064EB">
            <w:pPr>
              <w:ind w:left="118"/>
            </w:pPr>
            <w:r w:rsidRPr="007206F4">
              <w:t>FTS-3.1</w:t>
            </w:r>
          </w:p>
        </w:tc>
        <w:tc>
          <w:tcPr>
            <w:tcW w:w="2316" w:type="dxa"/>
            <w:shd w:val="clear" w:color="auto" w:fill="auto"/>
            <w:vAlign w:val="bottom"/>
          </w:tcPr>
          <w:p w:rsidR="00F71C36" w:rsidRPr="007206F4" w:rsidRDefault="00F71C36" w:rsidP="00933253">
            <w:pPr>
              <w:spacing w:before="120"/>
              <w:jc w:val="right"/>
            </w:pPr>
            <w:r w:rsidRPr="007206F4">
              <w:t>$3</w:t>
            </w:r>
            <w:r>
              <w:t>2.81</w:t>
            </w:r>
          </w:p>
        </w:tc>
      </w:tr>
    </w:tbl>
    <w:p w:rsidR="00F71C36" w:rsidRDefault="00F71C36" w:rsidP="00F71C36">
      <w:pPr>
        <w:rPr>
          <w:sz w:val="16"/>
          <w:szCs w:val="16"/>
        </w:rPr>
      </w:pPr>
    </w:p>
    <w:p w:rsidR="00F71C36" w:rsidRDefault="00F71C36">
      <w:pPr>
        <w:rPr>
          <w:sz w:val="16"/>
          <w:szCs w:val="16"/>
        </w:rPr>
      </w:pPr>
      <w:r>
        <w:rPr>
          <w:sz w:val="16"/>
          <w:szCs w:val="16"/>
        </w:rPr>
        <w:br w:type="page"/>
      </w:r>
    </w:p>
    <w:tbl>
      <w:tblPr>
        <w:tblW w:w="7371" w:type="dxa"/>
        <w:jc w:val="center"/>
        <w:tblInd w:w="2268" w:type="dxa"/>
        <w:tblLook w:val="01E0" w:firstRow="1" w:lastRow="1" w:firstColumn="1" w:lastColumn="1" w:noHBand="0" w:noVBand="0"/>
      </w:tblPr>
      <w:tblGrid>
        <w:gridCol w:w="1534"/>
        <w:gridCol w:w="3538"/>
        <w:gridCol w:w="2299"/>
      </w:tblGrid>
      <w:tr w:rsidR="00F71C36" w:rsidRPr="005F21F8" w:rsidTr="003064EB">
        <w:trPr>
          <w:jc w:val="center"/>
        </w:trPr>
        <w:tc>
          <w:tcPr>
            <w:tcW w:w="1534" w:type="dxa"/>
            <w:shd w:val="clear" w:color="auto" w:fill="auto"/>
          </w:tcPr>
          <w:p w:rsidR="00F71C36" w:rsidRPr="00D17ABE" w:rsidRDefault="00F71C36" w:rsidP="00933253">
            <w:pPr>
              <w:spacing w:before="60" w:after="60"/>
              <w:jc w:val="center"/>
              <w:rPr>
                <w:b/>
                <w:smallCaps/>
              </w:rPr>
            </w:pPr>
            <w:r>
              <w:rPr>
                <w:b/>
                <w:smallCaps/>
              </w:rPr>
              <w:lastRenderedPageBreak/>
              <w:t xml:space="preserve">FPUC </w:t>
            </w:r>
            <w:r w:rsidRPr="00D17ABE">
              <w:rPr>
                <w:b/>
                <w:smallCaps/>
              </w:rPr>
              <w:t>Indiantown</w:t>
            </w:r>
          </w:p>
        </w:tc>
        <w:tc>
          <w:tcPr>
            <w:tcW w:w="3538" w:type="dxa"/>
            <w:shd w:val="clear" w:color="auto" w:fill="auto"/>
          </w:tcPr>
          <w:p w:rsidR="00F71C36" w:rsidRPr="005F21F8" w:rsidRDefault="00F71C36" w:rsidP="003064EB">
            <w:pPr>
              <w:spacing w:before="60" w:after="60"/>
              <w:ind w:left="100"/>
              <w:rPr>
                <w:b/>
              </w:rPr>
            </w:pPr>
            <w:r w:rsidRPr="005F21F8">
              <w:rPr>
                <w:b/>
              </w:rPr>
              <w:t>Rate Class</w:t>
            </w:r>
          </w:p>
        </w:tc>
        <w:tc>
          <w:tcPr>
            <w:tcW w:w="2299" w:type="dxa"/>
            <w:shd w:val="clear" w:color="auto" w:fill="auto"/>
          </w:tcPr>
          <w:p w:rsidR="00F71C36" w:rsidRPr="005F21F8" w:rsidRDefault="00F71C36" w:rsidP="003064EB">
            <w:pPr>
              <w:spacing w:before="60" w:after="60"/>
              <w:jc w:val="right"/>
              <w:rPr>
                <w:b/>
              </w:rPr>
            </w:pPr>
            <w:r w:rsidRPr="005F21F8">
              <w:rPr>
                <w:b/>
              </w:rPr>
              <w:t>ECCR Factor</w:t>
            </w:r>
          </w:p>
        </w:tc>
      </w:tr>
      <w:tr w:rsidR="00F71C36" w:rsidRPr="00CE3DD7" w:rsidTr="003064EB">
        <w:trPr>
          <w:jc w:val="center"/>
        </w:trPr>
        <w:tc>
          <w:tcPr>
            <w:tcW w:w="1534" w:type="dxa"/>
            <w:shd w:val="clear" w:color="auto" w:fill="auto"/>
          </w:tcPr>
          <w:p w:rsidR="00F71C36" w:rsidRPr="00CE3DD7" w:rsidRDefault="00F71C36" w:rsidP="00933253">
            <w:pPr>
              <w:spacing w:before="60"/>
              <w:jc w:val="both"/>
            </w:pPr>
          </w:p>
        </w:tc>
        <w:tc>
          <w:tcPr>
            <w:tcW w:w="3538" w:type="dxa"/>
            <w:shd w:val="clear" w:color="auto" w:fill="auto"/>
          </w:tcPr>
          <w:p w:rsidR="00F71C36" w:rsidRPr="00CE3DD7" w:rsidRDefault="00F71C36" w:rsidP="003064EB">
            <w:pPr>
              <w:spacing w:before="60"/>
              <w:ind w:left="100"/>
            </w:pPr>
            <w:r w:rsidRPr="00CE3DD7">
              <w:t>TS-1</w:t>
            </w:r>
          </w:p>
        </w:tc>
        <w:tc>
          <w:tcPr>
            <w:tcW w:w="2299" w:type="dxa"/>
            <w:shd w:val="clear" w:color="auto" w:fill="auto"/>
          </w:tcPr>
          <w:p w:rsidR="00F71C36" w:rsidRPr="00CE3DD7" w:rsidRDefault="00F71C36" w:rsidP="00933253">
            <w:pPr>
              <w:spacing w:before="120"/>
              <w:jc w:val="right"/>
            </w:pPr>
            <w:r>
              <w:t xml:space="preserve"> $ 0.12751</w:t>
            </w:r>
            <w:r w:rsidDel="00A8064D">
              <w:t xml:space="preserve"> </w:t>
            </w:r>
            <w:r w:rsidRPr="00CE3DD7">
              <w:t>/</w:t>
            </w:r>
            <w:r>
              <w:t xml:space="preserve"> </w:t>
            </w:r>
            <w:r w:rsidRPr="00CE3DD7">
              <w:t>therm</w:t>
            </w:r>
          </w:p>
        </w:tc>
      </w:tr>
      <w:tr w:rsidR="00F71C36" w:rsidRPr="00CE3DD7" w:rsidTr="003064EB">
        <w:trPr>
          <w:jc w:val="center"/>
        </w:trPr>
        <w:tc>
          <w:tcPr>
            <w:tcW w:w="1534" w:type="dxa"/>
            <w:shd w:val="clear" w:color="auto" w:fill="auto"/>
          </w:tcPr>
          <w:p w:rsidR="00F71C36" w:rsidRPr="00CE3DD7" w:rsidRDefault="00F71C36" w:rsidP="00933253">
            <w:pPr>
              <w:spacing w:before="60"/>
              <w:jc w:val="both"/>
            </w:pPr>
          </w:p>
        </w:tc>
        <w:tc>
          <w:tcPr>
            <w:tcW w:w="3538" w:type="dxa"/>
            <w:shd w:val="clear" w:color="auto" w:fill="auto"/>
          </w:tcPr>
          <w:p w:rsidR="00F71C36" w:rsidRPr="00CE3DD7" w:rsidRDefault="00F71C36" w:rsidP="003064EB">
            <w:pPr>
              <w:spacing w:before="60"/>
              <w:ind w:left="100"/>
              <w:jc w:val="both"/>
            </w:pPr>
            <w:r w:rsidRPr="00CE3DD7">
              <w:t>TS-2</w:t>
            </w:r>
          </w:p>
        </w:tc>
        <w:tc>
          <w:tcPr>
            <w:tcW w:w="2299" w:type="dxa"/>
            <w:shd w:val="clear" w:color="auto" w:fill="auto"/>
          </w:tcPr>
          <w:p w:rsidR="00F71C36" w:rsidRPr="00CE3DD7" w:rsidRDefault="00F71C36" w:rsidP="00933253">
            <w:pPr>
              <w:spacing w:before="120"/>
              <w:jc w:val="right"/>
            </w:pPr>
            <w:r>
              <w:t>$ 0.01977</w:t>
            </w:r>
            <w:r w:rsidRPr="00CE3DD7" w:rsidDel="00A8064D">
              <w:t xml:space="preserve"> </w:t>
            </w:r>
            <w:r w:rsidRPr="00CE3DD7">
              <w:t>/</w:t>
            </w:r>
            <w:r>
              <w:t xml:space="preserve"> </w:t>
            </w:r>
            <w:r w:rsidRPr="00CE3DD7">
              <w:t>therm</w:t>
            </w:r>
          </w:p>
        </w:tc>
      </w:tr>
      <w:tr w:rsidR="00F71C36" w:rsidRPr="00CE3DD7" w:rsidTr="003064EB">
        <w:trPr>
          <w:jc w:val="center"/>
        </w:trPr>
        <w:tc>
          <w:tcPr>
            <w:tcW w:w="1534" w:type="dxa"/>
            <w:shd w:val="clear" w:color="auto" w:fill="auto"/>
          </w:tcPr>
          <w:p w:rsidR="00F71C36" w:rsidRPr="00CE3DD7" w:rsidRDefault="00F71C36" w:rsidP="00933253">
            <w:pPr>
              <w:spacing w:before="60"/>
              <w:jc w:val="both"/>
            </w:pPr>
          </w:p>
        </w:tc>
        <w:tc>
          <w:tcPr>
            <w:tcW w:w="3538" w:type="dxa"/>
            <w:shd w:val="clear" w:color="auto" w:fill="auto"/>
          </w:tcPr>
          <w:p w:rsidR="00F71C36" w:rsidRPr="00CE3DD7" w:rsidRDefault="00F71C36" w:rsidP="003064EB">
            <w:pPr>
              <w:spacing w:before="60"/>
              <w:ind w:left="100"/>
              <w:jc w:val="both"/>
            </w:pPr>
            <w:r w:rsidRPr="00CE3DD7">
              <w:t>TS-3</w:t>
            </w:r>
          </w:p>
        </w:tc>
        <w:tc>
          <w:tcPr>
            <w:tcW w:w="2299" w:type="dxa"/>
            <w:shd w:val="clear" w:color="auto" w:fill="auto"/>
          </w:tcPr>
          <w:p w:rsidR="00F71C36" w:rsidRPr="00CE3DD7" w:rsidRDefault="00F71C36" w:rsidP="00933253">
            <w:pPr>
              <w:spacing w:before="120"/>
              <w:jc w:val="right"/>
            </w:pPr>
            <w:r>
              <w:t>$ 0.05049</w:t>
            </w:r>
            <w:r w:rsidRPr="00CE3DD7" w:rsidDel="00A8064D">
              <w:t xml:space="preserve"> </w:t>
            </w:r>
            <w:r w:rsidRPr="00CE3DD7">
              <w:t>/</w:t>
            </w:r>
            <w:r>
              <w:t xml:space="preserve"> </w:t>
            </w:r>
            <w:r w:rsidRPr="00CE3DD7">
              <w:t>therm</w:t>
            </w:r>
          </w:p>
        </w:tc>
      </w:tr>
      <w:tr w:rsidR="00F71C36" w:rsidRPr="00CE3DD7" w:rsidTr="003064EB">
        <w:trPr>
          <w:jc w:val="center"/>
        </w:trPr>
        <w:tc>
          <w:tcPr>
            <w:tcW w:w="1534" w:type="dxa"/>
            <w:shd w:val="clear" w:color="auto" w:fill="auto"/>
          </w:tcPr>
          <w:p w:rsidR="00F71C36" w:rsidRPr="00CE3DD7" w:rsidRDefault="00F71C36" w:rsidP="00933253">
            <w:pPr>
              <w:spacing w:before="60"/>
              <w:jc w:val="both"/>
            </w:pPr>
          </w:p>
        </w:tc>
        <w:tc>
          <w:tcPr>
            <w:tcW w:w="3538" w:type="dxa"/>
            <w:shd w:val="clear" w:color="auto" w:fill="auto"/>
          </w:tcPr>
          <w:p w:rsidR="00F71C36" w:rsidRPr="00CE3DD7" w:rsidRDefault="00F71C36" w:rsidP="003064EB">
            <w:pPr>
              <w:spacing w:before="60"/>
              <w:ind w:left="100"/>
              <w:jc w:val="both"/>
            </w:pPr>
            <w:r w:rsidRPr="00CE3DD7">
              <w:t>TS-4</w:t>
            </w:r>
          </w:p>
        </w:tc>
        <w:tc>
          <w:tcPr>
            <w:tcW w:w="2299" w:type="dxa"/>
            <w:shd w:val="clear" w:color="auto" w:fill="auto"/>
          </w:tcPr>
          <w:p w:rsidR="00F71C36" w:rsidRPr="00CE3DD7" w:rsidRDefault="00F71C36" w:rsidP="00933253">
            <w:pPr>
              <w:spacing w:before="120"/>
              <w:jc w:val="right"/>
            </w:pPr>
            <w:r>
              <w:t>$ 0.06300</w:t>
            </w:r>
            <w:r w:rsidRPr="00CE3DD7" w:rsidDel="00A8064D">
              <w:t xml:space="preserve"> </w:t>
            </w:r>
            <w:r w:rsidRPr="00CE3DD7">
              <w:t>/</w:t>
            </w:r>
            <w:r>
              <w:t xml:space="preserve"> </w:t>
            </w:r>
            <w:r w:rsidRPr="00CE3DD7">
              <w:t>therm</w:t>
            </w:r>
          </w:p>
        </w:tc>
      </w:tr>
    </w:tbl>
    <w:p w:rsidR="00F71C36" w:rsidRDefault="00F71C36" w:rsidP="00F71C36">
      <w:pPr>
        <w:jc w:val="both"/>
      </w:pPr>
    </w:p>
    <w:p w:rsidR="00F71C36" w:rsidRDefault="00F71C36" w:rsidP="00F71C36">
      <w:pPr>
        <w:ind w:left="2880"/>
        <w:jc w:val="both"/>
      </w:pPr>
    </w:p>
    <w:tbl>
      <w:tblPr>
        <w:tblW w:w="7371" w:type="dxa"/>
        <w:jc w:val="center"/>
        <w:tblInd w:w="2268" w:type="dxa"/>
        <w:tblLook w:val="01E0" w:firstRow="1" w:lastRow="1" w:firstColumn="1" w:lastColumn="1" w:noHBand="0" w:noVBand="0"/>
      </w:tblPr>
      <w:tblGrid>
        <w:gridCol w:w="1521"/>
        <w:gridCol w:w="3551"/>
        <w:gridCol w:w="2299"/>
      </w:tblGrid>
      <w:tr w:rsidR="00F71C36" w:rsidRPr="005F21F8" w:rsidTr="003064EB">
        <w:trPr>
          <w:jc w:val="center"/>
        </w:trPr>
        <w:tc>
          <w:tcPr>
            <w:tcW w:w="1521" w:type="dxa"/>
            <w:shd w:val="clear" w:color="auto" w:fill="auto"/>
          </w:tcPr>
          <w:p w:rsidR="00F71C36" w:rsidRPr="005F21F8" w:rsidRDefault="00F71C36" w:rsidP="00933253">
            <w:pPr>
              <w:spacing w:before="60" w:after="60"/>
              <w:jc w:val="center"/>
              <w:rPr>
                <w:b/>
              </w:rPr>
            </w:pPr>
            <w:r w:rsidRPr="005F21F8">
              <w:rPr>
                <w:b/>
              </w:rPr>
              <w:t>FCG</w:t>
            </w:r>
          </w:p>
        </w:tc>
        <w:tc>
          <w:tcPr>
            <w:tcW w:w="3551" w:type="dxa"/>
            <w:shd w:val="clear" w:color="auto" w:fill="auto"/>
          </w:tcPr>
          <w:p w:rsidR="00F71C36" w:rsidRPr="005F21F8" w:rsidRDefault="00F71C36" w:rsidP="003064EB">
            <w:pPr>
              <w:spacing w:before="60" w:after="60"/>
              <w:ind w:left="113"/>
              <w:rPr>
                <w:b/>
              </w:rPr>
            </w:pPr>
            <w:r w:rsidRPr="005F21F8">
              <w:rPr>
                <w:b/>
              </w:rPr>
              <w:t>Rate Class</w:t>
            </w:r>
          </w:p>
        </w:tc>
        <w:tc>
          <w:tcPr>
            <w:tcW w:w="2299" w:type="dxa"/>
            <w:shd w:val="clear" w:color="auto" w:fill="auto"/>
          </w:tcPr>
          <w:p w:rsidR="00F71C36" w:rsidRPr="005F21F8" w:rsidRDefault="00F71C36" w:rsidP="003064EB">
            <w:pPr>
              <w:spacing w:before="60" w:after="60"/>
              <w:jc w:val="right"/>
              <w:rPr>
                <w:b/>
              </w:rPr>
            </w:pPr>
            <w:r w:rsidRPr="005F21F8">
              <w:rPr>
                <w:b/>
              </w:rPr>
              <w:t>ECCR Factor</w:t>
            </w:r>
          </w:p>
        </w:tc>
      </w:tr>
      <w:tr w:rsidR="00F71C36" w:rsidRPr="005F21F8" w:rsidTr="003064EB">
        <w:trPr>
          <w:jc w:val="center"/>
        </w:trPr>
        <w:tc>
          <w:tcPr>
            <w:tcW w:w="1521" w:type="dxa"/>
            <w:shd w:val="clear" w:color="auto" w:fill="auto"/>
          </w:tcPr>
          <w:p w:rsidR="00F71C36" w:rsidRPr="005F21F8" w:rsidRDefault="00F71C36" w:rsidP="00933253">
            <w:pPr>
              <w:jc w:val="both"/>
            </w:pPr>
          </w:p>
        </w:tc>
        <w:tc>
          <w:tcPr>
            <w:tcW w:w="3551" w:type="dxa"/>
            <w:shd w:val="clear" w:color="auto" w:fill="auto"/>
          </w:tcPr>
          <w:p w:rsidR="00F71C36" w:rsidRDefault="00F71C36" w:rsidP="00933253">
            <w:pPr>
              <w:ind w:left="158"/>
              <w:rPr>
                <w:sz w:val="20"/>
                <w:szCs w:val="20"/>
              </w:rPr>
            </w:pPr>
            <w:r w:rsidRPr="005F21F8">
              <w:t>GS-1, GS-100, GS-220</w:t>
            </w:r>
            <w:r>
              <w:t xml:space="preserve">, RSG, CSG </w:t>
            </w:r>
            <w:r w:rsidRPr="00EE4069">
              <w:rPr>
                <w:sz w:val="20"/>
                <w:szCs w:val="20"/>
              </w:rPr>
              <w:t>(Sales &amp; Transportation)</w:t>
            </w:r>
          </w:p>
          <w:p w:rsidR="00F71C36" w:rsidRPr="00EE4069" w:rsidRDefault="00F71C36" w:rsidP="00933253">
            <w:pPr>
              <w:ind w:left="158"/>
              <w:rPr>
                <w:sz w:val="12"/>
                <w:szCs w:val="12"/>
              </w:rPr>
            </w:pPr>
          </w:p>
        </w:tc>
        <w:tc>
          <w:tcPr>
            <w:tcW w:w="2299" w:type="dxa"/>
            <w:shd w:val="clear" w:color="auto" w:fill="auto"/>
          </w:tcPr>
          <w:p w:rsidR="00F71C36" w:rsidRPr="005F21F8" w:rsidRDefault="00F71C36" w:rsidP="00933253">
            <w:pPr>
              <w:spacing w:before="120"/>
              <w:jc w:val="right"/>
            </w:pPr>
            <w:r w:rsidRPr="001577D2">
              <w:rPr>
                <w:szCs w:val="20"/>
              </w:rPr>
              <w:t>$</w:t>
            </w:r>
            <w:r>
              <w:rPr>
                <w:szCs w:val="20"/>
              </w:rPr>
              <w:t xml:space="preserve"> 0.15168</w:t>
            </w:r>
            <w:r w:rsidRPr="005F21F8" w:rsidDel="00A8064D">
              <w:t xml:space="preserve"> </w:t>
            </w:r>
            <w:r w:rsidRPr="005F21F8">
              <w:t>/therm</w:t>
            </w:r>
          </w:p>
        </w:tc>
      </w:tr>
      <w:tr w:rsidR="00F71C36" w:rsidRPr="005F21F8" w:rsidTr="003064EB">
        <w:trPr>
          <w:jc w:val="center"/>
        </w:trPr>
        <w:tc>
          <w:tcPr>
            <w:tcW w:w="1521" w:type="dxa"/>
            <w:shd w:val="clear" w:color="auto" w:fill="auto"/>
          </w:tcPr>
          <w:p w:rsidR="00F71C36" w:rsidRPr="005F21F8" w:rsidRDefault="00F71C36" w:rsidP="00933253">
            <w:pPr>
              <w:jc w:val="both"/>
            </w:pPr>
          </w:p>
        </w:tc>
        <w:tc>
          <w:tcPr>
            <w:tcW w:w="3551" w:type="dxa"/>
            <w:shd w:val="clear" w:color="auto" w:fill="auto"/>
          </w:tcPr>
          <w:p w:rsidR="00F71C36" w:rsidRDefault="00F71C36" w:rsidP="00933253">
            <w:pPr>
              <w:ind w:left="158"/>
              <w:rPr>
                <w:sz w:val="20"/>
                <w:szCs w:val="20"/>
              </w:rPr>
            </w:pPr>
            <w:r w:rsidRPr="005F21F8">
              <w:t>GS-600</w:t>
            </w:r>
            <w:r>
              <w:t xml:space="preserve">  </w:t>
            </w:r>
            <w:r w:rsidRPr="00EE4069">
              <w:rPr>
                <w:sz w:val="20"/>
                <w:szCs w:val="20"/>
              </w:rPr>
              <w:t>(Sales &amp; Transportation)</w:t>
            </w:r>
          </w:p>
          <w:p w:rsidR="00F71C36" w:rsidRPr="00EE4069" w:rsidRDefault="00F71C36" w:rsidP="00933253">
            <w:pPr>
              <w:ind w:left="158"/>
              <w:rPr>
                <w:sz w:val="12"/>
                <w:szCs w:val="12"/>
              </w:rPr>
            </w:pPr>
          </w:p>
        </w:tc>
        <w:tc>
          <w:tcPr>
            <w:tcW w:w="2299" w:type="dxa"/>
            <w:shd w:val="clear" w:color="auto" w:fill="auto"/>
          </w:tcPr>
          <w:p w:rsidR="00F71C36" w:rsidRPr="005F21F8" w:rsidRDefault="00F71C36" w:rsidP="00933253">
            <w:pPr>
              <w:spacing w:before="120"/>
              <w:jc w:val="right"/>
            </w:pPr>
            <w:r>
              <w:t>$ 0.07245</w:t>
            </w:r>
            <w:r w:rsidDel="00A8064D">
              <w:t xml:space="preserve"> </w:t>
            </w:r>
            <w:r>
              <w:t xml:space="preserve">/ </w:t>
            </w:r>
            <w:r w:rsidRPr="005F21F8">
              <w:t>therm</w:t>
            </w:r>
          </w:p>
        </w:tc>
      </w:tr>
      <w:tr w:rsidR="00F71C36" w:rsidRPr="005F21F8" w:rsidTr="003064EB">
        <w:trPr>
          <w:jc w:val="center"/>
        </w:trPr>
        <w:tc>
          <w:tcPr>
            <w:tcW w:w="1521" w:type="dxa"/>
            <w:shd w:val="clear" w:color="auto" w:fill="auto"/>
          </w:tcPr>
          <w:p w:rsidR="00F71C36" w:rsidRPr="005F21F8" w:rsidRDefault="00F71C36" w:rsidP="00933253">
            <w:pPr>
              <w:jc w:val="both"/>
            </w:pPr>
          </w:p>
        </w:tc>
        <w:tc>
          <w:tcPr>
            <w:tcW w:w="3551" w:type="dxa"/>
            <w:shd w:val="clear" w:color="auto" w:fill="auto"/>
          </w:tcPr>
          <w:p w:rsidR="00F71C36" w:rsidRDefault="00F71C36" w:rsidP="00933253">
            <w:pPr>
              <w:ind w:left="158"/>
              <w:rPr>
                <w:sz w:val="20"/>
                <w:szCs w:val="20"/>
              </w:rPr>
            </w:pPr>
            <w:r w:rsidRPr="005F21F8">
              <w:t>GS-1200</w:t>
            </w:r>
            <w:r>
              <w:t xml:space="preserve">  </w:t>
            </w:r>
            <w:r w:rsidRPr="00EE4069">
              <w:rPr>
                <w:sz w:val="20"/>
                <w:szCs w:val="20"/>
              </w:rPr>
              <w:t>(Sales &amp; Transportation)</w:t>
            </w:r>
          </w:p>
          <w:p w:rsidR="00F71C36" w:rsidRPr="00EE4069" w:rsidRDefault="00F71C36" w:rsidP="00933253">
            <w:pPr>
              <w:ind w:left="158"/>
              <w:rPr>
                <w:sz w:val="12"/>
                <w:szCs w:val="12"/>
              </w:rPr>
            </w:pPr>
          </w:p>
        </w:tc>
        <w:tc>
          <w:tcPr>
            <w:tcW w:w="2299" w:type="dxa"/>
            <w:shd w:val="clear" w:color="auto" w:fill="auto"/>
          </w:tcPr>
          <w:p w:rsidR="00F71C36" w:rsidRPr="005F21F8" w:rsidRDefault="00F71C36" w:rsidP="00933253">
            <w:pPr>
              <w:spacing w:before="120"/>
              <w:jc w:val="right"/>
            </w:pPr>
            <w:r w:rsidRPr="001577D2">
              <w:rPr>
                <w:szCs w:val="20"/>
              </w:rPr>
              <w:t>$</w:t>
            </w:r>
            <w:r>
              <w:rPr>
                <w:szCs w:val="20"/>
              </w:rPr>
              <w:t xml:space="preserve"> 0.04464</w:t>
            </w:r>
            <w:r w:rsidDel="00A8064D">
              <w:rPr>
                <w:szCs w:val="20"/>
              </w:rPr>
              <w:t xml:space="preserve"> </w:t>
            </w:r>
            <w:r w:rsidRPr="005F21F8">
              <w:t>/</w:t>
            </w:r>
            <w:r>
              <w:t xml:space="preserve"> </w:t>
            </w:r>
            <w:r w:rsidRPr="005F21F8">
              <w:t>therm</w:t>
            </w:r>
          </w:p>
        </w:tc>
      </w:tr>
      <w:tr w:rsidR="00F71C36" w:rsidRPr="005F21F8" w:rsidTr="003064EB">
        <w:trPr>
          <w:jc w:val="center"/>
        </w:trPr>
        <w:tc>
          <w:tcPr>
            <w:tcW w:w="1521" w:type="dxa"/>
            <w:shd w:val="clear" w:color="auto" w:fill="auto"/>
          </w:tcPr>
          <w:p w:rsidR="00F71C36" w:rsidRPr="005F21F8" w:rsidRDefault="00F71C36" w:rsidP="00933253">
            <w:pPr>
              <w:jc w:val="both"/>
            </w:pPr>
          </w:p>
        </w:tc>
        <w:tc>
          <w:tcPr>
            <w:tcW w:w="3551" w:type="dxa"/>
            <w:shd w:val="clear" w:color="auto" w:fill="auto"/>
          </w:tcPr>
          <w:p w:rsidR="00F71C36" w:rsidRDefault="00F71C36" w:rsidP="00933253">
            <w:pPr>
              <w:ind w:left="158"/>
              <w:rPr>
                <w:sz w:val="20"/>
                <w:szCs w:val="20"/>
              </w:rPr>
            </w:pPr>
            <w:r w:rsidRPr="005F21F8">
              <w:t>GS-6000</w:t>
            </w:r>
            <w:r>
              <w:t xml:space="preserve"> </w:t>
            </w:r>
            <w:r w:rsidRPr="00EE4069">
              <w:rPr>
                <w:sz w:val="20"/>
                <w:szCs w:val="20"/>
              </w:rPr>
              <w:t>(Sales &amp; Transportation)</w:t>
            </w:r>
          </w:p>
          <w:p w:rsidR="00F71C36" w:rsidRPr="00EE4069" w:rsidRDefault="00F71C36" w:rsidP="00933253">
            <w:pPr>
              <w:ind w:left="158"/>
              <w:rPr>
                <w:sz w:val="12"/>
                <w:szCs w:val="12"/>
              </w:rPr>
            </w:pPr>
          </w:p>
        </w:tc>
        <w:tc>
          <w:tcPr>
            <w:tcW w:w="2299" w:type="dxa"/>
            <w:shd w:val="clear" w:color="auto" w:fill="auto"/>
          </w:tcPr>
          <w:p w:rsidR="00F71C36" w:rsidRPr="005F21F8" w:rsidRDefault="00F71C36" w:rsidP="00933253">
            <w:pPr>
              <w:spacing w:before="120"/>
              <w:jc w:val="right"/>
            </w:pPr>
            <w:r w:rsidRPr="001577D2">
              <w:rPr>
                <w:szCs w:val="20"/>
              </w:rPr>
              <w:t>$</w:t>
            </w:r>
            <w:r>
              <w:rPr>
                <w:szCs w:val="20"/>
              </w:rPr>
              <w:t xml:space="preserve"> </w:t>
            </w:r>
            <w:r w:rsidRPr="001577D2">
              <w:rPr>
                <w:szCs w:val="20"/>
              </w:rPr>
              <w:t>0.03</w:t>
            </w:r>
            <w:r>
              <w:rPr>
                <w:szCs w:val="20"/>
              </w:rPr>
              <w:t>712</w:t>
            </w:r>
            <w:r w:rsidDel="00A8064D">
              <w:rPr>
                <w:szCs w:val="20"/>
              </w:rPr>
              <w:t xml:space="preserve"> </w:t>
            </w:r>
            <w:r w:rsidRPr="005F21F8">
              <w:t>/</w:t>
            </w:r>
            <w:r>
              <w:t xml:space="preserve"> </w:t>
            </w:r>
            <w:r w:rsidRPr="005F21F8">
              <w:t>therm</w:t>
            </w:r>
          </w:p>
        </w:tc>
      </w:tr>
      <w:tr w:rsidR="00F71C36" w:rsidRPr="005F21F8" w:rsidTr="003064EB">
        <w:trPr>
          <w:jc w:val="center"/>
        </w:trPr>
        <w:tc>
          <w:tcPr>
            <w:tcW w:w="1521" w:type="dxa"/>
            <w:shd w:val="clear" w:color="auto" w:fill="auto"/>
          </w:tcPr>
          <w:p w:rsidR="00F71C36" w:rsidRPr="005F21F8" w:rsidRDefault="00F71C36" w:rsidP="00933253">
            <w:pPr>
              <w:jc w:val="both"/>
            </w:pPr>
          </w:p>
        </w:tc>
        <w:tc>
          <w:tcPr>
            <w:tcW w:w="3551" w:type="dxa"/>
            <w:shd w:val="clear" w:color="auto" w:fill="auto"/>
          </w:tcPr>
          <w:p w:rsidR="00F71C36" w:rsidRDefault="00F71C36" w:rsidP="00933253">
            <w:pPr>
              <w:ind w:left="158"/>
              <w:rPr>
                <w:sz w:val="20"/>
                <w:szCs w:val="20"/>
              </w:rPr>
            </w:pPr>
            <w:r w:rsidRPr="005F21F8">
              <w:t>GS-25000</w:t>
            </w:r>
            <w:r w:rsidRPr="001577D2">
              <w:rPr>
                <w:szCs w:val="20"/>
              </w:rPr>
              <w:t xml:space="preserve"> </w:t>
            </w:r>
            <w:r w:rsidRPr="00EE4069">
              <w:rPr>
                <w:sz w:val="20"/>
                <w:szCs w:val="20"/>
              </w:rPr>
              <w:t>(Sales &amp; Transportation)</w:t>
            </w:r>
          </w:p>
          <w:p w:rsidR="00F71C36" w:rsidRPr="00EE4069" w:rsidRDefault="00F71C36" w:rsidP="00933253">
            <w:pPr>
              <w:ind w:left="158"/>
              <w:rPr>
                <w:sz w:val="12"/>
                <w:szCs w:val="12"/>
              </w:rPr>
            </w:pPr>
          </w:p>
        </w:tc>
        <w:tc>
          <w:tcPr>
            <w:tcW w:w="2299" w:type="dxa"/>
            <w:shd w:val="clear" w:color="auto" w:fill="auto"/>
          </w:tcPr>
          <w:p w:rsidR="00F71C36" w:rsidRPr="005F21F8" w:rsidRDefault="00F71C36" w:rsidP="00933253">
            <w:pPr>
              <w:spacing w:before="120"/>
              <w:jc w:val="right"/>
            </w:pPr>
            <w:r w:rsidRPr="001577D2">
              <w:rPr>
                <w:szCs w:val="20"/>
              </w:rPr>
              <w:t>$</w:t>
            </w:r>
            <w:r>
              <w:rPr>
                <w:szCs w:val="20"/>
              </w:rPr>
              <w:t xml:space="preserve"> </w:t>
            </w:r>
            <w:r w:rsidRPr="001577D2">
              <w:rPr>
                <w:szCs w:val="20"/>
              </w:rPr>
              <w:t>0.03</w:t>
            </w:r>
            <w:r>
              <w:rPr>
                <w:szCs w:val="20"/>
              </w:rPr>
              <w:t>673</w:t>
            </w:r>
            <w:r w:rsidDel="00A8064D">
              <w:rPr>
                <w:szCs w:val="20"/>
              </w:rPr>
              <w:t xml:space="preserve"> </w:t>
            </w:r>
            <w:r w:rsidRPr="005F21F8">
              <w:t>/</w:t>
            </w:r>
            <w:r>
              <w:t xml:space="preserve"> </w:t>
            </w:r>
            <w:r w:rsidRPr="005F21F8">
              <w:t>therm</w:t>
            </w:r>
          </w:p>
        </w:tc>
      </w:tr>
      <w:tr w:rsidR="00F71C36" w:rsidRPr="005F21F8" w:rsidTr="003064EB">
        <w:trPr>
          <w:jc w:val="center"/>
        </w:trPr>
        <w:tc>
          <w:tcPr>
            <w:tcW w:w="1521" w:type="dxa"/>
            <w:shd w:val="clear" w:color="auto" w:fill="auto"/>
          </w:tcPr>
          <w:p w:rsidR="00F71C36" w:rsidRPr="005F21F8" w:rsidRDefault="00F71C36" w:rsidP="00933253">
            <w:pPr>
              <w:jc w:val="both"/>
            </w:pPr>
          </w:p>
        </w:tc>
        <w:tc>
          <w:tcPr>
            <w:tcW w:w="3551" w:type="dxa"/>
            <w:shd w:val="clear" w:color="auto" w:fill="auto"/>
          </w:tcPr>
          <w:p w:rsidR="00F71C36" w:rsidRDefault="00F71C36" w:rsidP="00933253">
            <w:pPr>
              <w:ind w:left="158"/>
              <w:rPr>
                <w:sz w:val="20"/>
                <w:szCs w:val="20"/>
              </w:rPr>
            </w:pPr>
            <w:r w:rsidRPr="005F21F8">
              <w:t>GS-60000</w:t>
            </w:r>
            <w:r>
              <w:t xml:space="preserve"> </w:t>
            </w:r>
            <w:r w:rsidRPr="00EE4069">
              <w:rPr>
                <w:sz w:val="20"/>
                <w:szCs w:val="20"/>
              </w:rPr>
              <w:t>(Sales &amp; Transportation)</w:t>
            </w:r>
          </w:p>
          <w:p w:rsidR="00F71C36" w:rsidRPr="00EE4069" w:rsidRDefault="00F71C36" w:rsidP="00933253">
            <w:pPr>
              <w:ind w:left="158"/>
              <w:rPr>
                <w:sz w:val="12"/>
                <w:szCs w:val="12"/>
              </w:rPr>
            </w:pPr>
          </w:p>
        </w:tc>
        <w:tc>
          <w:tcPr>
            <w:tcW w:w="2299" w:type="dxa"/>
            <w:shd w:val="clear" w:color="auto" w:fill="auto"/>
          </w:tcPr>
          <w:p w:rsidR="00F71C36" w:rsidRPr="005F21F8" w:rsidRDefault="00F71C36" w:rsidP="00933253">
            <w:pPr>
              <w:spacing w:before="120"/>
              <w:jc w:val="right"/>
            </w:pPr>
            <w:r w:rsidRPr="001577D2">
              <w:rPr>
                <w:szCs w:val="20"/>
              </w:rPr>
              <w:t>$</w:t>
            </w:r>
            <w:r>
              <w:rPr>
                <w:szCs w:val="20"/>
              </w:rPr>
              <w:t xml:space="preserve"> 0.03515</w:t>
            </w:r>
            <w:r w:rsidDel="00A8064D">
              <w:rPr>
                <w:szCs w:val="20"/>
              </w:rPr>
              <w:t xml:space="preserve"> </w:t>
            </w:r>
            <w:r w:rsidRPr="005F21F8">
              <w:t>/</w:t>
            </w:r>
            <w:r>
              <w:t xml:space="preserve"> </w:t>
            </w:r>
            <w:r w:rsidRPr="005F21F8">
              <w:t>therm</w:t>
            </w:r>
          </w:p>
        </w:tc>
      </w:tr>
      <w:tr w:rsidR="00F71C36" w:rsidRPr="005F21F8" w:rsidTr="003064EB">
        <w:trPr>
          <w:jc w:val="center"/>
        </w:trPr>
        <w:tc>
          <w:tcPr>
            <w:tcW w:w="1521" w:type="dxa"/>
            <w:shd w:val="clear" w:color="auto" w:fill="auto"/>
          </w:tcPr>
          <w:p w:rsidR="00F71C36" w:rsidRPr="005F21F8" w:rsidRDefault="00F71C36" w:rsidP="00933253">
            <w:pPr>
              <w:jc w:val="both"/>
            </w:pPr>
          </w:p>
        </w:tc>
        <w:tc>
          <w:tcPr>
            <w:tcW w:w="3551" w:type="dxa"/>
            <w:shd w:val="clear" w:color="auto" w:fill="auto"/>
          </w:tcPr>
          <w:p w:rsidR="00F71C36" w:rsidRDefault="00F71C36" w:rsidP="00933253">
            <w:pPr>
              <w:ind w:left="158"/>
            </w:pPr>
            <w:r w:rsidRPr="005F21F8">
              <w:t xml:space="preserve">Gas Lights </w:t>
            </w:r>
          </w:p>
          <w:p w:rsidR="00F71C36" w:rsidRPr="00EE4069" w:rsidRDefault="00F71C36" w:rsidP="00933253">
            <w:pPr>
              <w:ind w:left="158"/>
              <w:rPr>
                <w:sz w:val="12"/>
                <w:szCs w:val="12"/>
              </w:rPr>
            </w:pPr>
          </w:p>
        </w:tc>
        <w:tc>
          <w:tcPr>
            <w:tcW w:w="2299" w:type="dxa"/>
            <w:shd w:val="clear" w:color="auto" w:fill="auto"/>
          </w:tcPr>
          <w:p w:rsidR="00F71C36" w:rsidRPr="00EE4069" w:rsidRDefault="00F71C36" w:rsidP="00933253">
            <w:pPr>
              <w:spacing w:before="120"/>
              <w:jc w:val="right"/>
              <w:rPr>
                <w:szCs w:val="20"/>
              </w:rPr>
            </w:pPr>
            <w:r w:rsidRPr="001577D2">
              <w:rPr>
                <w:szCs w:val="20"/>
              </w:rPr>
              <w:t>$</w:t>
            </w:r>
            <w:r>
              <w:rPr>
                <w:szCs w:val="20"/>
              </w:rPr>
              <w:t xml:space="preserve"> 0.07147</w:t>
            </w:r>
            <w:r w:rsidDel="00A8064D">
              <w:rPr>
                <w:szCs w:val="20"/>
              </w:rPr>
              <w:t xml:space="preserve"> </w:t>
            </w:r>
            <w:r>
              <w:rPr>
                <w:szCs w:val="20"/>
              </w:rPr>
              <w:t>/ therm</w:t>
            </w:r>
          </w:p>
        </w:tc>
      </w:tr>
      <w:tr w:rsidR="00F71C36" w:rsidRPr="005F21F8" w:rsidTr="003064EB">
        <w:trPr>
          <w:jc w:val="center"/>
        </w:trPr>
        <w:tc>
          <w:tcPr>
            <w:tcW w:w="1521" w:type="dxa"/>
            <w:shd w:val="clear" w:color="auto" w:fill="auto"/>
          </w:tcPr>
          <w:p w:rsidR="00F71C36" w:rsidRPr="005F21F8" w:rsidRDefault="00F71C36" w:rsidP="00933253">
            <w:pPr>
              <w:jc w:val="both"/>
            </w:pPr>
          </w:p>
        </w:tc>
        <w:tc>
          <w:tcPr>
            <w:tcW w:w="3551" w:type="dxa"/>
            <w:shd w:val="clear" w:color="auto" w:fill="auto"/>
          </w:tcPr>
          <w:p w:rsidR="00F71C36" w:rsidRDefault="00F71C36" w:rsidP="00933253">
            <w:pPr>
              <w:ind w:left="158"/>
              <w:rPr>
                <w:sz w:val="20"/>
                <w:szCs w:val="20"/>
              </w:rPr>
            </w:pPr>
            <w:r w:rsidRPr="005F21F8">
              <w:t>GS-120000</w:t>
            </w:r>
            <w:r w:rsidRPr="001577D2">
              <w:rPr>
                <w:szCs w:val="20"/>
              </w:rPr>
              <w:t xml:space="preserve"> </w:t>
            </w:r>
            <w:r w:rsidRPr="00EE4069">
              <w:rPr>
                <w:sz w:val="20"/>
                <w:szCs w:val="20"/>
              </w:rPr>
              <w:t xml:space="preserve">(Sales &amp; </w:t>
            </w:r>
            <w:r>
              <w:rPr>
                <w:sz w:val="20"/>
                <w:szCs w:val="20"/>
              </w:rPr>
              <w:t>T</w:t>
            </w:r>
            <w:r w:rsidRPr="00EE4069">
              <w:rPr>
                <w:sz w:val="20"/>
                <w:szCs w:val="20"/>
              </w:rPr>
              <w:t>ransportation)</w:t>
            </w:r>
          </w:p>
          <w:p w:rsidR="00F71C36" w:rsidRPr="00EE4069" w:rsidRDefault="00F71C36" w:rsidP="00933253">
            <w:pPr>
              <w:ind w:left="158"/>
              <w:rPr>
                <w:sz w:val="12"/>
                <w:szCs w:val="12"/>
              </w:rPr>
            </w:pPr>
          </w:p>
        </w:tc>
        <w:tc>
          <w:tcPr>
            <w:tcW w:w="2299" w:type="dxa"/>
            <w:shd w:val="clear" w:color="auto" w:fill="auto"/>
          </w:tcPr>
          <w:p w:rsidR="00F71C36" w:rsidRPr="009E15D1" w:rsidRDefault="00F71C36" w:rsidP="00933253">
            <w:pPr>
              <w:spacing w:before="120"/>
              <w:jc w:val="right"/>
              <w:rPr>
                <w:sz w:val="16"/>
                <w:szCs w:val="16"/>
              </w:rPr>
            </w:pPr>
            <w:r w:rsidRPr="001577D2">
              <w:rPr>
                <w:szCs w:val="20"/>
              </w:rPr>
              <w:t>$</w:t>
            </w:r>
            <w:r>
              <w:rPr>
                <w:szCs w:val="20"/>
              </w:rPr>
              <w:t xml:space="preserve"> 0.02549</w:t>
            </w:r>
            <w:r w:rsidRPr="005F21F8" w:rsidDel="00A8064D">
              <w:t xml:space="preserve"> </w:t>
            </w:r>
            <w:r w:rsidRPr="005F21F8">
              <w:t>/</w:t>
            </w:r>
            <w:r>
              <w:t xml:space="preserve"> </w:t>
            </w:r>
            <w:r w:rsidRPr="005F21F8">
              <w:t>therm</w:t>
            </w:r>
          </w:p>
        </w:tc>
      </w:tr>
      <w:tr w:rsidR="00F71C36" w:rsidRPr="005F21F8" w:rsidTr="003064EB">
        <w:trPr>
          <w:jc w:val="center"/>
        </w:trPr>
        <w:tc>
          <w:tcPr>
            <w:tcW w:w="1521" w:type="dxa"/>
            <w:shd w:val="clear" w:color="auto" w:fill="auto"/>
          </w:tcPr>
          <w:p w:rsidR="00F71C36" w:rsidRPr="005F21F8" w:rsidRDefault="00F71C36" w:rsidP="00933253">
            <w:pPr>
              <w:jc w:val="both"/>
            </w:pPr>
          </w:p>
        </w:tc>
        <w:tc>
          <w:tcPr>
            <w:tcW w:w="3551" w:type="dxa"/>
            <w:shd w:val="clear" w:color="auto" w:fill="auto"/>
          </w:tcPr>
          <w:p w:rsidR="00F71C36" w:rsidRPr="005F21F8" w:rsidRDefault="00F71C36" w:rsidP="00933253">
            <w:pPr>
              <w:ind w:left="158"/>
            </w:pPr>
            <w:r w:rsidRPr="005F21F8">
              <w:t>GS-250000</w:t>
            </w:r>
            <w:r w:rsidRPr="001577D2">
              <w:rPr>
                <w:szCs w:val="20"/>
              </w:rPr>
              <w:t xml:space="preserve"> </w:t>
            </w:r>
            <w:r w:rsidRPr="00EE4069">
              <w:rPr>
                <w:sz w:val="20"/>
                <w:szCs w:val="20"/>
              </w:rPr>
              <w:t>(Sales &amp; Transportation)</w:t>
            </w:r>
            <w:r w:rsidRPr="001577D2">
              <w:rPr>
                <w:szCs w:val="20"/>
              </w:rPr>
              <w:tab/>
            </w:r>
          </w:p>
        </w:tc>
        <w:tc>
          <w:tcPr>
            <w:tcW w:w="2299" w:type="dxa"/>
            <w:shd w:val="clear" w:color="auto" w:fill="auto"/>
          </w:tcPr>
          <w:p w:rsidR="00F71C36" w:rsidRPr="005F21F8" w:rsidRDefault="00F71C36" w:rsidP="00933253">
            <w:pPr>
              <w:spacing w:before="120"/>
              <w:jc w:val="right"/>
            </w:pPr>
            <w:r w:rsidRPr="001577D2">
              <w:rPr>
                <w:szCs w:val="20"/>
              </w:rPr>
              <w:t>$</w:t>
            </w:r>
            <w:r>
              <w:rPr>
                <w:szCs w:val="20"/>
              </w:rPr>
              <w:t xml:space="preserve"> 0.02374</w:t>
            </w:r>
            <w:r w:rsidDel="00A8064D">
              <w:t xml:space="preserve"> </w:t>
            </w:r>
            <w:r w:rsidRPr="005F21F8">
              <w:t>/</w:t>
            </w:r>
            <w:r>
              <w:t xml:space="preserve"> </w:t>
            </w:r>
            <w:r w:rsidRPr="005F21F8">
              <w:t>therm</w:t>
            </w:r>
          </w:p>
        </w:tc>
      </w:tr>
    </w:tbl>
    <w:p w:rsidR="00F71C36" w:rsidRDefault="00F71C36" w:rsidP="00F71C36"/>
    <w:p w:rsidR="00F71C36" w:rsidRDefault="00F71C36" w:rsidP="00F71C36"/>
    <w:tbl>
      <w:tblPr>
        <w:tblW w:w="7299" w:type="dxa"/>
        <w:jc w:val="center"/>
        <w:tblInd w:w="2259" w:type="dxa"/>
        <w:tblLook w:val="01E0" w:firstRow="1" w:lastRow="1" w:firstColumn="1" w:lastColumn="1" w:noHBand="0" w:noVBand="0"/>
      </w:tblPr>
      <w:tblGrid>
        <w:gridCol w:w="1526"/>
        <w:gridCol w:w="3523"/>
        <w:gridCol w:w="2250"/>
      </w:tblGrid>
      <w:tr w:rsidR="00F71C36" w:rsidRPr="005F21F8" w:rsidTr="00CA6DFE">
        <w:trPr>
          <w:tblHeader/>
          <w:jc w:val="center"/>
        </w:trPr>
        <w:tc>
          <w:tcPr>
            <w:tcW w:w="1526" w:type="dxa"/>
            <w:shd w:val="clear" w:color="auto" w:fill="auto"/>
          </w:tcPr>
          <w:p w:rsidR="00F71C36" w:rsidRPr="005F21F8" w:rsidRDefault="00F71C36" w:rsidP="00933253">
            <w:pPr>
              <w:spacing w:before="60" w:after="60"/>
              <w:jc w:val="center"/>
              <w:rPr>
                <w:b/>
              </w:rPr>
            </w:pPr>
            <w:r>
              <w:br w:type="page"/>
            </w:r>
            <w:r w:rsidRPr="005F21F8">
              <w:rPr>
                <w:b/>
              </w:rPr>
              <w:t>PGS</w:t>
            </w:r>
          </w:p>
        </w:tc>
        <w:tc>
          <w:tcPr>
            <w:tcW w:w="3523" w:type="dxa"/>
            <w:shd w:val="clear" w:color="auto" w:fill="auto"/>
          </w:tcPr>
          <w:p w:rsidR="00F71C36" w:rsidRPr="005F21F8" w:rsidRDefault="00F71C36" w:rsidP="00CA6DFE">
            <w:pPr>
              <w:spacing w:before="60" w:after="60"/>
              <w:ind w:left="162"/>
              <w:rPr>
                <w:b/>
              </w:rPr>
            </w:pPr>
            <w:r w:rsidRPr="005F21F8">
              <w:rPr>
                <w:b/>
              </w:rPr>
              <w:t>Rate Class</w:t>
            </w:r>
          </w:p>
        </w:tc>
        <w:tc>
          <w:tcPr>
            <w:tcW w:w="2250" w:type="dxa"/>
            <w:shd w:val="clear" w:color="auto" w:fill="auto"/>
          </w:tcPr>
          <w:p w:rsidR="00F71C36" w:rsidRPr="005F21F8" w:rsidRDefault="00F71C36" w:rsidP="003064EB">
            <w:pPr>
              <w:spacing w:before="60" w:after="60"/>
              <w:jc w:val="right"/>
              <w:rPr>
                <w:b/>
              </w:rPr>
            </w:pPr>
            <w:r w:rsidRPr="005F21F8">
              <w:rPr>
                <w:b/>
              </w:rPr>
              <w:t>ECCR Factor</w:t>
            </w:r>
          </w:p>
        </w:tc>
      </w:tr>
      <w:tr w:rsidR="00F71C36" w:rsidRPr="005F21F8" w:rsidTr="00CA6DFE">
        <w:trPr>
          <w:jc w:val="center"/>
        </w:trPr>
        <w:tc>
          <w:tcPr>
            <w:tcW w:w="1526" w:type="dxa"/>
            <w:shd w:val="clear" w:color="auto" w:fill="auto"/>
          </w:tcPr>
          <w:p w:rsidR="00F71C36" w:rsidRPr="005F21F8" w:rsidRDefault="00F71C36" w:rsidP="00933253">
            <w:pPr>
              <w:jc w:val="both"/>
            </w:pPr>
          </w:p>
        </w:tc>
        <w:tc>
          <w:tcPr>
            <w:tcW w:w="3523" w:type="dxa"/>
            <w:shd w:val="clear" w:color="auto" w:fill="auto"/>
          </w:tcPr>
          <w:p w:rsidR="00F71C36" w:rsidRPr="005F21F8" w:rsidRDefault="00F71C36" w:rsidP="00933253">
            <w:pPr>
              <w:ind w:left="162"/>
              <w:jc w:val="both"/>
            </w:pPr>
            <w:r w:rsidRPr="005F21F8">
              <w:t>R</w:t>
            </w:r>
            <w:r>
              <w:t>esidential</w:t>
            </w:r>
          </w:p>
        </w:tc>
        <w:tc>
          <w:tcPr>
            <w:tcW w:w="2250" w:type="dxa"/>
            <w:shd w:val="clear" w:color="auto" w:fill="auto"/>
          </w:tcPr>
          <w:p w:rsidR="00F71C36" w:rsidRPr="005F21F8" w:rsidRDefault="00F71C36" w:rsidP="00933253">
            <w:pPr>
              <w:spacing w:before="120"/>
              <w:jc w:val="right"/>
            </w:pPr>
            <w:r w:rsidRPr="008329D0">
              <w:t>$</w:t>
            </w:r>
            <w:r>
              <w:t xml:space="preserve"> </w:t>
            </w:r>
            <w:r w:rsidRPr="008329D0">
              <w:t>0.0</w:t>
            </w:r>
            <w:r>
              <w:t xml:space="preserve">7853 </w:t>
            </w:r>
            <w:r w:rsidRPr="005F21F8">
              <w:t>/</w:t>
            </w:r>
            <w:r>
              <w:t xml:space="preserve"> </w:t>
            </w:r>
            <w:r w:rsidRPr="005F21F8">
              <w:t>therm</w:t>
            </w:r>
          </w:p>
        </w:tc>
      </w:tr>
      <w:tr w:rsidR="00F71C36" w:rsidRPr="005F21F8" w:rsidTr="00CA6DFE">
        <w:trPr>
          <w:jc w:val="center"/>
        </w:trPr>
        <w:tc>
          <w:tcPr>
            <w:tcW w:w="1526" w:type="dxa"/>
            <w:shd w:val="clear" w:color="auto" w:fill="auto"/>
          </w:tcPr>
          <w:p w:rsidR="00F71C36" w:rsidRPr="005F21F8" w:rsidRDefault="00F71C36" w:rsidP="00933253">
            <w:pPr>
              <w:jc w:val="both"/>
            </w:pPr>
          </w:p>
        </w:tc>
        <w:tc>
          <w:tcPr>
            <w:tcW w:w="3523" w:type="dxa"/>
            <w:shd w:val="clear" w:color="auto" w:fill="auto"/>
          </w:tcPr>
          <w:p w:rsidR="00F71C36" w:rsidRPr="005F21F8" w:rsidRDefault="00F71C36" w:rsidP="00933253">
            <w:pPr>
              <w:ind w:left="162"/>
            </w:pPr>
            <w:r w:rsidRPr="005F21F8">
              <w:t>R</w:t>
            </w:r>
            <w:r>
              <w:t>esidential</w:t>
            </w:r>
            <w:r w:rsidRPr="005F21F8">
              <w:t>-S</w:t>
            </w:r>
            <w:r>
              <w:t xml:space="preserve">tandby </w:t>
            </w:r>
            <w:r w:rsidRPr="005F21F8">
              <w:t>G</w:t>
            </w:r>
            <w:r>
              <w:t>enerator</w:t>
            </w:r>
          </w:p>
        </w:tc>
        <w:tc>
          <w:tcPr>
            <w:tcW w:w="2250" w:type="dxa"/>
            <w:shd w:val="clear" w:color="auto" w:fill="auto"/>
          </w:tcPr>
          <w:p w:rsidR="00F71C36" w:rsidRPr="005F21F8" w:rsidRDefault="00F71C36" w:rsidP="00933253">
            <w:pPr>
              <w:spacing w:before="120"/>
              <w:jc w:val="right"/>
            </w:pPr>
            <w:r w:rsidRPr="008329D0">
              <w:t>$</w:t>
            </w:r>
            <w:r>
              <w:t xml:space="preserve"> 0.07853</w:t>
            </w:r>
            <w:r w:rsidDel="00A8064D">
              <w:t xml:space="preserve"> </w:t>
            </w:r>
            <w:r w:rsidRPr="005F21F8">
              <w:t>/</w:t>
            </w:r>
            <w:r>
              <w:t xml:space="preserve"> </w:t>
            </w:r>
            <w:r w:rsidRPr="005F21F8">
              <w:t>therm</w:t>
            </w:r>
          </w:p>
        </w:tc>
      </w:tr>
      <w:tr w:rsidR="00F71C36" w:rsidRPr="005F21F8" w:rsidTr="00CA6DFE">
        <w:trPr>
          <w:jc w:val="center"/>
        </w:trPr>
        <w:tc>
          <w:tcPr>
            <w:tcW w:w="1526" w:type="dxa"/>
            <w:shd w:val="clear" w:color="auto" w:fill="auto"/>
          </w:tcPr>
          <w:p w:rsidR="00F71C36" w:rsidRPr="005F21F8" w:rsidRDefault="00F71C36" w:rsidP="00933253">
            <w:pPr>
              <w:jc w:val="both"/>
            </w:pPr>
          </w:p>
        </w:tc>
        <w:tc>
          <w:tcPr>
            <w:tcW w:w="3523" w:type="dxa"/>
            <w:shd w:val="clear" w:color="auto" w:fill="auto"/>
          </w:tcPr>
          <w:p w:rsidR="00F71C36" w:rsidRPr="005F21F8" w:rsidRDefault="00F71C36" w:rsidP="00933253">
            <w:pPr>
              <w:ind w:left="162"/>
            </w:pPr>
            <w:r w:rsidRPr="008329D0">
              <w:t>Small General Service</w:t>
            </w:r>
            <w:r w:rsidRPr="005F21F8">
              <w:t xml:space="preserve"> </w:t>
            </w:r>
          </w:p>
        </w:tc>
        <w:tc>
          <w:tcPr>
            <w:tcW w:w="2250" w:type="dxa"/>
            <w:shd w:val="clear" w:color="auto" w:fill="auto"/>
          </w:tcPr>
          <w:p w:rsidR="00F71C36" w:rsidRPr="005F21F8" w:rsidRDefault="00F71C36" w:rsidP="00933253">
            <w:pPr>
              <w:spacing w:before="120"/>
              <w:jc w:val="right"/>
            </w:pPr>
            <w:r w:rsidRPr="008329D0">
              <w:t>$</w:t>
            </w:r>
            <w:r>
              <w:t xml:space="preserve"> 0.04763</w:t>
            </w:r>
            <w:r w:rsidDel="00A8064D">
              <w:t xml:space="preserve"> </w:t>
            </w:r>
            <w:r w:rsidRPr="005F21F8">
              <w:t>/</w:t>
            </w:r>
            <w:r>
              <w:t xml:space="preserve"> </w:t>
            </w:r>
            <w:r w:rsidRPr="005F21F8">
              <w:t>therm</w:t>
            </w:r>
          </w:p>
        </w:tc>
      </w:tr>
      <w:tr w:rsidR="00F71C36" w:rsidRPr="00C9604E" w:rsidTr="00CA6DFE">
        <w:trPr>
          <w:jc w:val="center"/>
        </w:trPr>
        <w:tc>
          <w:tcPr>
            <w:tcW w:w="1526" w:type="dxa"/>
            <w:shd w:val="clear" w:color="auto" w:fill="auto"/>
          </w:tcPr>
          <w:p w:rsidR="00F71C36" w:rsidRPr="005F21F8" w:rsidRDefault="00F71C36" w:rsidP="00933253">
            <w:pPr>
              <w:jc w:val="both"/>
            </w:pPr>
          </w:p>
        </w:tc>
        <w:tc>
          <w:tcPr>
            <w:tcW w:w="3523" w:type="dxa"/>
            <w:shd w:val="clear" w:color="auto" w:fill="auto"/>
          </w:tcPr>
          <w:p w:rsidR="00F71C36" w:rsidRPr="005F21F8" w:rsidRDefault="00F71C36" w:rsidP="00933253">
            <w:pPr>
              <w:ind w:left="162"/>
            </w:pPr>
            <w:r w:rsidRPr="008329D0">
              <w:t>Commercial Standby Generator</w:t>
            </w:r>
            <w:r w:rsidRPr="005F21F8">
              <w:t xml:space="preserve"> </w:t>
            </w:r>
          </w:p>
        </w:tc>
        <w:tc>
          <w:tcPr>
            <w:tcW w:w="2250" w:type="dxa"/>
            <w:shd w:val="clear" w:color="auto" w:fill="auto"/>
          </w:tcPr>
          <w:p w:rsidR="00F71C36" w:rsidRPr="005F21F8" w:rsidRDefault="00F71C36" w:rsidP="00933253">
            <w:pPr>
              <w:spacing w:before="120"/>
              <w:jc w:val="right"/>
            </w:pPr>
            <w:r w:rsidRPr="008329D0">
              <w:t>$</w:t>
            </w:r>
            <w:r>
              <w:t xml:space="preserve"> 0.02353</w:t>
            </w:r>
            <w:r w:rsidDel="00A8064D">
              <w:t xml:space="preserve"> </w:t>
            </w:r>
            <w:r w:rsidRPr="005F21F8">
              <w:t>/</w:t>
            </w:r>
            <w:r>
              <w:t xml:space="preserve"> </w:t>
            </w:r>
            <w:r w:rsidRPr="005F21F8">
              <w:t>therm</w:t>
            </w:r>
            <w:r>
              <w:t xml:space="preserve"> </w:t>
            </w:r>
          </w:p>
        </w:tc>
      </w:tr>
      <w:tr w:rsidR="00F71C36" w:rsidRPr="005F21F8" w:rsidTr="00CA6DFE">
        <w:trPr>
          <w:jc w:val="center"/>
        </w:trPr>
        <w:tc>
          <w:tcPr>
            <w:tcW w:w="1526" w:type="dxa"/>
            <w:shd w:val="clear" w:color="auto" w:fill="auto"/>
          </w:tcPr>
          <w:p w:rsidR="00F71C36" w:rsidRPr="005F21F8" w:rsidRDefault="00F71C36" w:rsidP="00933253">
            <w:pPr>
              <w:jc w:val="both"/>
            </w:pPr>
          </w:p>
        </w:tc>
        <w:tc>
          <w:tcPr>
            <w:tcW w:w="3523" w:type="dxa"/>
            <w:shd w:val="clear" w:color="auto" w:fill="auto"/>
          </w:tcPr>
          <w:p w:rsidR="00F71C36" w:rsidRPr="00687954" w:rsidRDefault="00F71C36" w:rsidP="00933253">
            <w:pPr>
              <w:ind w:left="162"/>
            </w:pPr>
            <w:r>
              <w:t xml:space="preserve">General </w:t>
            </w:r>
            <w:r w:rsidRPr="005F21F8">
              <w:t>S</w:t>
            </w:r>
            <w:r>
              <w:t>ervice</w:t>
            </w:r>
            <w:r w:rsidRPr="005F21F8">
              <w:t>-1</w:t>
            </w:r>
          </w:p>
        </w:tc>
        <w:tc>
          <w:tcPr>
            <w:tcW w:w="2250" w:type="dxa"/>
            <w:shd w:val="clear" w:color="auto" w:fill="auto"/>
          </w:tcPr>
          <w:p w:rsidR="00F71C36" w:rsidRPr="008329D0" w:rsidRDefault="00F71C36" w:rsidP="00933253">
            <w:pPr>
              <w:spacing w:before="120"/>
              <w:jc w:val="right"/>
            </w:pPr>
            <w:r w:rsidRPr="008329D0">
              <w:t>$</w:t>
            </w:r>
            <w:r>
              <w:t xml:space="preserve"> 0.02353</w:t>
            </w:r>
            <w:r w:rsidDel="00A8064D">
              <w:t xml:space="preserve"> </w:t>
            </w:r>
            <w:r w:rsidRPr="005F21F8">
              <w:t>/</w:t>
            </w:r>
            <w:r>
              <w:t xml:space="preserve"> </w:t>
            </w:r>
            <w:r w:rsidRPr="005F21F8">
              <w:t>therm</w:t>
            </w:r>
          </w:p>
        </w:tc>
      </w:tr>
      <w:tr w:rsidR="00F71C36" w:rsidRPr="005F21F8" w:rsidTr="00CA6DFE">
        <w:trPr>
          <w:jc w:val="center"/>
        </w:trPr>
        <w:tc>
          <w:tcPr>
            <w:tcW w:w="1526" w:type="dxa"/>
            <w:shd w:val="clear" w:color="auto" w:fill="auto"/>
          </w:tcPr>
          <w:p w:rsidR="00F71C36" w:rsidRPr="005F21F8" w:rsidRDefault="00F71C36" w:rsidP="00933253">
            <w:pPr>
              <w:jc w:val="both"/>
            </w:pPr>
          </w:p>
        </w:tc>
        <w:tc>
          <w:tcPr>
            <w:tcW w:w="3523" w:type="dxa"/>
            <w:shd w:val="clear" w:color="auto" w:fill="auto"/>
          </w:tcPr>
          <w:p w:rsidR="00F71C36" w:rsidRPr="005F21F8" w:rsidRDefault="00F71C36" w:rsidP="00933253">
            <w:pPr>
              <w:ind w:left="162"/>
            </w:pPr>
            <w:r w:rsidRPr="005F21F8">
              <w:t>G</w:t>
            </w:r>
            <w:r>
              <w:t xml:space="preserve">eneral </w:t>
            </w:r>
            <w:r w:rsidRPr="005F21F8">
              <w:t>S</w:t>
            </w:r>
            <w:r>
              <w:t>ervice</w:t>
            </w:r>
            <w:r w:rsidRPr="005F21F8">
              <w:t>-2</w:t>
            </w:r>
          </w:p>
        </w:tc>
        <w:tc>
          <w:tcPr>
            <w:tcW w:w="2250" w:type="dxa"/>
            <w:shd w:val="clear" w:color="auto" w:fill="auto"/>
          </w:tcPr>
          <w:p w:rsidR="00F71C36" w:rsidRPr="005F21F8" w:rsidRDefault="00F71C36" w:rsidP="00933253">
            <w:pPr>
              <w:spacing w:before="120"/>
              <w:jc w:val="right"/>
            </w:pPr>
            <w:r w:rsidRPr="008329D0">
              <w:t>$</w:t>
            </w:r>
            <w:r>
              <w:t xml:space="preserve"> 0</w:t>
            </w:r>
            <w:r w:rsidRPr="008329D0">
              <w:t>.01</w:t>
            </w:r>
            <w:r>
              <w:t>715</w:t>
            </w:r>
            <w:r w:rsidDel="00A8064D">
              <w:t xml:space="preserve"> </w:t>
            </w:r>
            <w:r w:rsidRPr="005F21F8">
              <w:t>/</w:t>
            </w:r>
            <w:r>
              <w:t xml:space="preserve"> </w:t>
            </w:r>
            <w:r w:rsidRPr="005F21F8">
              <w:t>therm</w:t>
            </w:r>
          </w:p>
        </w:tc>
      </w:tr>
      <w:tr w:rsidR="00F71C36" w:rsidRPr="005F21F8" w:rsidTr="00CA6DFE">
        <w:trPr>
          <w:jc w:val="center"/>
        </w:trPr>
        <w:tc>
          <w:tcPr>
            <w:tcW w:w="1526" w:type="dxa"/>
            <w:shd w:val="clear" w:color="auto" w:fill="auto"/>
          </w:tcPr>
          <w:p w:rsidR="00F71C36" w:rsidRPr="005F21F8" w:rsidRDefault="00F71C36" w:rsidP="00933253">
            <w:pPr>
              <w:jc w:val="both"/>
            </w:pPr>
          </w:p>
        </w:tc>
        <w:tc>
          <w:tcPr>
            <w:tcW w:w="3523" w:type="dxa"/>
            <w:shd w:val="clear" w:color="auto" w:fill="auto"/>
          </w:tcPr>
          <w:p w:rsidR="00F71C36" w:rsidRPr="005F21F8" w:rsidRDefault="00F71C36" w:rsidP="00933253">
            <w:pPr>
              <w:ind w:left="162"/>
            </w:pPr>
            <w:r w:rsidRPr="005F21F8">
              <w:t>G</w:t>
            </w:r>
            <w:r>
              <w:t xml:space="preserve">eneral </w:t>
            </w:r>
            <w:r w:rsidRPr="005F21F8">
              <w:t>S</w:t>
            </w:r>
            <w:r>
              <w:t>ervice</w:t>
            </w:r>
            <w:r w:rsidRPr="005F21F8">
              <w:t>-3</w:t>
            </w:r>
          </w:p>
        </w:tc>
        <w:tc>
          <w:tcPr>
            <w:tcW w:w="2250" w:type="dxa"/>
            <w:shd w:val="clear" w:color="auto" w:fill="auto"/>
          </w:tcPr>
          <w:p w:rsidR="00F71C36" w:rsidRPr="005F21F8" w:rsidRDefault="00F71C36" w:rsidP="00933253">
            <w:pPr>
              <w:spacing w:before="120"/>
              <w:jc w:val="right"/>
            </w:pPr>
            <w:r w:rsidRPr="008329D0">
              <w:t>$</w:t>
            </w:r>
            <w:r>
              <w:t xml:space="preserve"> 0.01414</w:t>
            </w:r>
            <w:r w:rsidDel="00A8064D">
              <w:t xml:space="preserve"> </w:t>
            </w:r>
            <w:r w:rsidRPr="005F21F8">
              <w:t>/</w:t>
            </w:r>
            <w:r>
              <w:t xml:space="preserve"> </w:t>
            </w:r>
            <w:r w:rsidRPr="005F21F8">
              <w:t xml:space="preserve">therm       </w:t>
            </w:r>
          </w:p>
        </w:tc>
      </w:tr>
      <w:tr w:rsidR="00F71C36" w:rsidRPr="005F21F8" w:rsidTr="00CA6DFE">
        <w:trPr>
          <w:trHeight w:val="68"/>
          <w:jc w:val="center"/>
        </w:trPr>
        <w:tc>
          <w:tcPr>
            <w:tcW w:w="1526" w:type="dxa"/>
            <w:shd w:val="clear" w:color="auto" w:fill="auto"/>
          </w:tcPr>
          <w:p w:rsidR="00F71C36" w:rsidRPr="005F21F8" w:rsidRDefault="00F71C36" w:rsidP="00933253">
            <w:pPr>
              <w:jc w:val="both"/>
            </w:pPr>
          </w:p>
        </w:tc>
        <w:tc>
          <w:tcPr>
            <w:tcW w:w="3523" w:type="dxa"/>
            <w:shd w:val="clear" w:color="auto" w:fill="auto"/>
          </w:tcPr>
          <w:p w:rsidR="00F71C36" w:rsidRPr="00C9604E" w:rsidRDefault="00F71C36" w:rsidP="00933253">
            <w:pPr>
              <w:ind w:left="162"/>
            </w:pPr>
            <w:r w:rsidRPr="00C9604E">
              <w:t>General Service-4</w:t>
            </w:r>
          </w:p>
        </w:tc>
        <w:tc>
          <w:tcPr>
            <w:tcW w:w="2250" w:type="dxa"/>
            <w:shd w:val="clear" w:color="auto" w:fill="auto"/>
          </w:tcPr>
          <w:p w:rsidR="00F71C36" w:rsidRPr="005F21F8" w:rsidRDefault="00F71C36" w:rsidP="00933253">
            <w:pPr>
              <w:spacing w:before="120"/>
              <w:jc w:val="right"/>
            </w:pPr>
            <w:r w:rsidRPr="008329D0">
              <w:t>$</w:t>
            </w:r>
            <w:r>
              <w:t xml:space="preserve"> 0.01056</w:t>
            </w:r>
            <w:r w:rsidDel="00A8064D">
              <w:t xml:space="preserve"> </w:t>
            </w:r>
            <w:r w:rsidRPr="005F21F8">
              <w:t>/</w:t>
            </w:r>
            <w:r>
              <w:t xml:space="preserve"> </w:t>
            </w:r>
            <w:r w:rsidRPr="005F21F8">
              <w:t xml:space="preserve">therm       </w:t>
            </w:r>
          </w:p>
        </w:tc>
      </w:tr>
      <w:tr w:rsidR="00F71C36" w:rsidRPr="005F21F8" w:rsidTr="00CA6DFE">
        <w:trPr>
          <w:jc w:val="center"/>
        </w:trPr>
        <w:tc>
          <w:tcPr>
            <w:tcW w:w="1526" w:type="dxa"/>
            <w:shd w:val="clear" w:color="auto" w:fill="auto"/>
          </w:tcPr>
          <w:p w:rsidR="00F71C36" w:rsidRPr="005F21F8" w:rsidRDefault="00F71C36" w:rsidP="00933253">
            <w:pPr>
              <w:jc w:val="both"/>
            </w:pPr>
          </w:p>
        </w:tc>
        <w:tc>
          <w:tcPr>
            <w:tcW w:w="3523" w:type="dxa"/>
            <w:shd w:val="clear" w:color="auto" w:fill="auto"/>
          </w:tcPr>
          <w:p w:rsidR="00F71C36" w:rsidRPr="005F21F8" w:rsidRDefault="00F71C36" w:rsidP="00933253">
            <w:pPr>
              <w:ind w:left="162"/>
            </w:pPr>
            <w:r w:rsidRPr="005F21F8">
              <w:t>G</w:t>
            </w:r>
            <w:r>
              <w:t xml:space="preserve">eneral </w:t>
            </w:r>
            <w:r w:rsidRPr="005F21F8">
              <w:t>S</w:t>
            </w:r>
            <w:r>
              <w:t>ervice</w:t>
            </w:r>
            <w:r w:rsidRPr="005F21F8">
              <w:t>-5</w:t>
            </w:r>
          </w:p>
        </w:tc>
        <w:tc>
          <w:tcPr>
            <w:tcW w:w="2250" w:type="dxa"/>
            <w:shd w:val="clear" w:color="auto" w:fill="auto"/>
          </w:tcPr>
          <w:p w:rsidR="00F71C36" w:rsidRPr="005F21F8" w:rsidRDefault="00F71C36" w:rsidP="00933253">
            <w:pPr>
              <w:spacing w:before="120"/>
              <w:jc w:val="right"/>
            </w:pPr>
            <w:r w:rsidRPr="008329D0">
              <w:t>$</w:t>
            </w:r>
            <w:r>
              <w:t xml:space="preserve"> 0.00776</w:t>
            </w:r>
            <w:r w:rsidDel="00A8064D">
              <w:t xml:space="preserve"> </w:t>
            </w:r>
            <w:r w:rsidRPr="005F21F8">
              <w:t>/</w:t>
            </w:r>
            <w:r>
              <w:t xml:space="preserve"> </w:t>
            </w:r>
            <w:r w:rsidRPr="005F21F8">
              <w:t xml:space="preserve">therm       </w:t>
            </w:r>
          </w:p>
        </w:tc>
      </w:tr>
      <w:tr w:rsidR="00F71C36" w:rsidRPr="005F21F8" w:rsidTr="00CA6DFE">
        <w:trPr>
          <w:jc w:val="center"/>
        </w:trPr>
        <w:tc>
          <w:tcPr>
            <w:tcW w:w="1526" w:type="dxa"/>
            <w:shd w:val="clear" w:color="auto" w:fill="auto"/>
          </w:tcPr>
          <w:p w:rsidR="00F71C36" w:rsidRPr="005F21F8" w:rsidRDefault="00F71C36" w:rsidP="00933253">
            <w:pPr>
              <w:jc w:val="both"/>
            </w:pPr>
          </w:p>
        </w:tc>
        <w:tc>
          <w:tcPr>
            <w:tcW w:w="3523" w:type="dxa"/>
            <w:shd w:val="clear" w:color="auto" w:fill="auto"/>
          </w:tcPr>
          <w:p w:rsidR="00F71C36" w:rsidRPr="005F21F8" w:rsidRDefault="00F71C36" w:rsidP="00933253">
            <w:pPr>
              <w:ind w:left="162" w:hanging="18"/>
            </w:pPr>
            <w:r w:rsidRPr="005F21F8">
              <w:t>N</w:t>
            </w:r>
            <w:r>
              <w:t xml:space="preserve">atural </w:t>
            </w:r>
            <w:r w:rsidRPr="005F21F8">
              <w:t>G</w:t>
            </w:r>
            <w:r>
              <w:t xml:space="preserve">as </w:t>
            </w:r>
            <w:r w:rsidRPr="005F21F8">
              <w:t>V</w:t>
            </w:r>
            <w:r>
              <w:t xml:space="preserve">ehicle </w:t>
            </w:r>
            <w:r w:rsidRPr="005F21F8">
              <w:t>S</w:t>
            </w:r>
            <w:r>
              <w:t>ervice</w:t>
            </w:r>
          </w:p>
        </w:tc>
        <w:tc>
          <w:tcPr>
            <w:tcW w:w="2250" w:type="dxa"/>
            <w:shd w:val="clear" w:color="auto" w:fill="auto"/>
          </w:tcPr>
          <w:p w:rsidR="00F71C36" w:rsidRPr="005F21F8" w:rsidRDefault="00F71C36" w:rsidP="00933253">
            <w:pPr>
              <w:spacing w:before="120"/>
              <w:jc w:val="right"/>
            </w:pPr>
            <w:r w:rsidRPr="008329D0">
              <w:t>$</w:t>
            </w:r>
            <w:r>
              <w:t xml:space="preserve"> 0.01455</w:t>
            </w:r>
            <w:r w:rsidDel="00A8064D">
              <w:t xml:space="preserve"> </w:t>
            </w:r>
            <w:r w:rsidRPr="005F21F8">
              <w:t>/</w:t>
            </w:r>
            <w:r>
              <w:t xml:space="preserve"> </w:t>
            </w:r>
            <w:r w:rsidRPr="005F21F8">
              <w:t xml:space="preserve">therm       </w:t>
            </w:r>
          </w:p>
        </w:tc>
      </w:tr>
      <w:tr w:rsidR="00F71C36" w:rsidRPr="005F21F8" w:rsidTr="00CA6DFE">
        <w:trPr>
          <w:jc w:val="center"/>
        </w:trPr>
        <w:tc>
          <w:tcPr>
            <w:tcW w:w="1526" w:type="dxa"/>
            <w:shd w:val="clear" w:color="auto" w:fill="auto"/>
          </w:tcPr>
          <w:p w:rsidR="00F71C36" w:rsidRPr="005F21F8" w:rsidRDefault="00F71C36" w:rsidP="00933253">
            <w:pPr>
              <w:jc w:val="both"/>
            </w:pPr>
          </w:p>
        </w:tc>
        <w:tc>
          <w:tcPr>
            <w:tcW w:w="3523" w:type="dxa"/>
            <w:shd w:val="clear" w:color="auto" w:fill="auto"/>
          </w:tcPr>
          <w:p w:rsidR="00F71C36" w:rsidRPr="005F21F8" w:rsidRDefault="00F71C36" w:rsidP="00933253">
            <w:pPr>
              <w:ind w:left="162" w:hanging="18"/>
            </w:pPr>
            <w:r w:rsidRPr="005F21F8">
              <w:t>C</w:t>
            </w:r>
            <w:r>
              <w:t xml:space="preserve">ommercial </w:t>
            </w:r>
            <w:r w:rsidRPr="005F21F8">
              <w:t>S</w:t>
            </w:r>
            <w:r>
              <w:t xml:space="preserve">treet </w:t>
            </w:r>
            <w:r w:rsidRPr="005F21F8">
              <w:t>L</w:t>
            </w:r>
            <w:r>
              <w:t>ighting</w:t>
            </w:r>
          </w:p>
        </w:tc>
        <w:tc>
          <w:tcPr>
            <w:tcW w:w="2250" w:type="dxa"/>
            <w:shd w:val="clear" w:color="auto" w:fill="auto"/>
          </w:tcPr>
          <w:p w:rsidR="00F71C36" w:rsidRPr="005F21F8" w:rsidRDefault="00F71C36" w:rsidP="00933253">
            <w:pPr>
              <w:spacing w:before="120"/>
              <w:jc w:val="right"/>
            </w:pPr>
            <w:r w:rsidRPr="008329D0">
              <w:t>$</w:t>
            </w:r>
            <w:r>
              <w:t xml:space="preserve"> 0.01244</w:t>
            </w:r>
            <w:r w:rsidDel="00A8064D">
              <w:t xml:space="preserve"> </w:t>
            </w:r>
            <w:r>
              <w:t xml:space="preserve">/ therm      </w:t>
            </w:r>
          </w:p>
        </w:tc>
      </w:tr>
    </w:tbl>
    <w:p w:rsidR="00F71C36" w:rsidRDefault="00F71C36" w:rsidP="00F71C36">
      <w:pPr>
        <w:jc w:val="both"/>
        <w:rPr>
          <w:b/>
          <w:bCs/>
        </w:rPr>
      </w:pPr>
    </w:p>
    <w:p w:rsidR="00DB4980" w:rsidRDefault="00DB4980" w:rsidP="00F71C36">
      <w:pPr>
        <w:jc w:val="both"/>
        <w:rPr>
          <w:b/>
          <w:bCs/>
        </w:rPr>
      </w:pPr>
    </w:p>
    <w:tbl>
      <w:tblPr>
        <w:tblW w:w="7290" w:type="dxa"/>
        <w:jc w:val="center"/>
        <w:tblInd w:w="2268" w:type="dxa"/>
        <w:tblLook w:val="01E0" w:firstRow="1" w:lastRow="1" w:firstColumn="1" w:lastColumn="1" w:noHBand="0" w:noVBand="0"/>
      </w:tblPr>
      <w:tblGrid>
        <w:gridCol w:w="1530"/>
        <w:gridCol w:w="3510"/>
        <w:gridCol w:w="2250"/>
      </w:tblGrid>
      <w:tr w:rsidR="00F71C36" w:rsidRPr="00174470" w:rsidTr="00F71C36">
        <w:trPr>
          <w:jc w:val="center"/>
        </w:trPr>
        <w:tc>
          <w:tcPr>
            <w:tcW w:w="1530" w:type="dxa"/>
            <w:shd w:val="clear" w:color="auto" w:fill="auto"/>
          </w:tcPr>
          <w:p w:rsidR="00F71C36" w:rsidRPr="00174470" w:rsidRDefault="00F71C36" w:rsidP="00CA6DFE">
            <w:pPr>
              <w:spacing w:before="60" w:after="60"/>
              <w:jc w:val="center"/>
              <w:rPr>
                <w:b/>
              </w:rPr>
            </w:pPr>
            <w:r w:rsidRPr="00174470">
              <w:rPr>
                <w:b/>
              </w:rPr>
              <w:t>S</w:t>
            </w:r>
            <w:r w:rsidR="00CA6DFE">
              <w:rPr>
                <w:b/>
                <w:smallCaps/>
              </w:rPr>
              <w:t>ebring</w:t>
            </w:r>
          </w:p>
        </w:tc>
        <w:tc>
          <w:tcPr>
            <w:tcW w:w="3510" w:type="dxa"/>
            <w:shd w:val="clear" w:color="auto" w:fill="auto"/>
          </w:tcPr>
          <w:p w:rsidR="00F71C36" w:rsidRPr="00174470" w:rsidRDefault="00F71C36" w:rsidP="00CA6DFE">
            <w:pPr>
              <w:spacing w:before="60" w:after="60"/>
              <w:ind w:left="153"/>
              <w:rPr>
                <w:b/>
              </w:rPr>
            </w:pPr>
            <w:r w:rsidRPr="00174470">
              <w:rPr>
                <w:b/>
              </w:rPr>
              <w:t>Rate Class</w:t>
            </w:r>
          </w:p>
        </w:tc>
        <w:tc>
          <w:tcPr>
            <w:tcW w:w="2250" w:type="dxa"/>
            <w:shd w:val="clear" w:color="auto" w:fill="auto"/>
          </w:tcPr>
          <w:p w:rsidR="00F71C36" w:rsidRPr="00174470" w:rsidRDefault="00F71C36" w:rsidP="00CA6DFE">
            <w:pPr>
              <w:spacing w:before="60" w:after="60"/>
              <w:jc w:val="right"/>
              <w:rPr>
                <w:rFonts w:eastAsia="Courier New"/>
                <w:b/>
              </w:rPr>
            </w:pPr>
            <w:r w:rsidRPr="00174470">
              <w:rPr>
                <w:rFonts w:eastAsia="Courier New"/>
                <w:b/>
              </w:rPr>
              <w:t>ECCR Factor</w:t>
            </w:r>
          </w:p>
        </w:tc>
      </w:tr>
      <w:tr w:rsidR="00F71C36" w:rsidRPr="00174470" w:rsidTr="00F71C36">
        <w:trPr>
          <w:jc w:val="center"/>
        </w:trPr>
        <w:tc>
          <w:tcPr>
            <w:tcW w:w="1530" w:type="dxa"/>
            <w:shd w:val="clear" w:color="auto" w:fill="auto"/>
          </w:tcPr>
          <w:p w:rsidR="00F71C36" w:rsidRPr="005F21F8" w:rsidRDefault="00F71C36" w:rsidP="00933253">
            <w:pPr>
              <w:spacing w:before="60"/>
              <w:jc w:val="center"/>
            </w:pPr>
          </w:p>
        </w:tc>
        <w:tc>
          <w:tcPr>
            <w:tcW w:w="3510" w:type="dxa"/>
            <w:shd w:val="clear" w:color="auto" w:fill="auto"/>
          </w:tcPr>
          <w:p w:rsidR="00F71C36" w:rsidRPr="005F21F8" w:rsidRDefault="00F71C36" w:rsidP="00933253">
            <w:pPr>
              <w:ind w:left="158"/>
              <w:jc w:val="both"/>
            </w:pPr>
            <w:r w:rsidRPr="005F21F8">
              <w:t>TS-1</w:t>
            </w:r>
          </w:p>
        </w:tc>
        <w:tc>
          <w:tcPr>
            <w:tcW w:w="2250" w:type="dxa"/>
            <w:shd w:val="clear" w:color="auto" w:fill="auto"/>
          </w:tcPr>
          <w:p w:rsidR="00F71C36" w:rsidRPr="00174470" w:rsidRDefault="00F71C36" w:rsidP="00933253">
            <w:pPr>
              <w:spacing w:before="120"/>
              <w:jc w:val="right"/>
              <w:rPr>
                <w:rFonts w:eastAsia="Courier New"/>
              </w:rPr>
            </w:pPr>
            <w:r w:rsidRPr="0069119A">
              <w:t>$</w:t>
            </w:r>
            <w:r>
              <w:t xml:space="preserve"> </w:t>
            </w:r>
            <w:r w:rsidRPr="0069119A">
              <w:t>0.1</w:t>
            </w:r>
            <w:r>
              <w:t>9897</w:t>
            </w:r>
            <w:r w:rsidRPr="0069119A" w:rsidDel="00A8064D">
              <w:t xml:space="preserve"> </w:t>
            </w:r>
            <w:r w:rsidRPr="0069119A">
              <w:t>/</w:t>
            </w:r>
            <w:r>
              <w:t xml:space="preserve"> </w:t>
            </w:r>
            <w:r w:rsidRPr="0069119A">
              <w:t>therm</w:t>
            </w:r>
          </w:p>
        </w:tc>
      </w:tr>
      <w:tr w:rsidR="00F71C36" w:rsidRPr="00174470" w:rsidTr="00F71C36">
        <w:trPr>
          <w:jc w:val="center"/>
        </w:trPr>
        <w:tc>
          <w:tcPr>
            <w:tcW w:w="1530" w:type="dxa"/>
            <w:shd w:val="clear" w:color="auto" w:fill="auto"/>
          </w:tcPr>
          <w:p w:rsidR="00F71C36" w:rsidRPr="005F21F8" w:rsidRDefault="00F71C36" w:rsidP="00933253">
            <w:pPr>
              <w:spacing w:before="60"/>
              <w:jc w:val="center"/>
            </w:pPr>
          </w:p>
        </w:tc>
        <w:tc>
          <w:tcPr>
            <w:tcW w:w="3510" w:type="dxa"/>
            <w:shd w:val="clear" w:color="auto" w:fill="auto"/>
          </w:tcPr>
          <w:p w:rsidR="00F71C36" w:rsidRPr="005F21F8" w:rsidRDefault="00F71C36" w:rsidP="00933253">
            <w:pPr>
              <w:ind w:left="158"/>
            </w:pPr>
            <w:r w:rsidRPr="005F21F8">
              <w:t>TS-2</w:t>
            </w:r>
          </w:p>
        </w:tc>
        <w:tc>
          <w:tcPr>
            <w:tcW w:w="2250" w:type="dxa"/>
            <w:shd w:val="clear" w:color="auto" w:fill="auto"/>
          </w:tcPr>
          <w:p w:rsidR="00F71C36" w:rsidRPr="00174470" w:rsidRDefault="00F71C36" w:rsidP="00933253">
            <w:pPr>
              <w:spacing w:before="120"/>
              <w:jc w:val="right"/>
              <w:rPr>
                <w:rFonts w:eastAsia="Courier New"/>
              </w:rPr>
            </w:pPr>
            <w:r w:rsidRPr="0069119A">
              <w:t>$</w:t>
            </w:r>
            <w:r>
              <w:t xml:space="preserve"> 0.08761</w:t>
            </w:r>
            <w:r w:rsidDel="00A8064D">
              <w:t xml:space="preserve"> </w:t>
            </w:r>
            <w:r w:rsidRPr="0069119A">
              <w:t>/</w:t>
            </w:r>
            <w:r>
              <w:t xml:space="preserve"> </w:t>
            </w:r>
            <w:r w:rsidRPr="0069119A">
              <w:t>therm</w:t>
            </w:r>
            <w:r w:rsidRPr="00174470">
              <w:rPr>
                <w:rFonts w:eastAsia="Courier New"/>
              </w:rPr>
              <w:t xml:space="preserve">    </w:t>
            </w:r>
          </w:p>
        </w:tc>
      </w:tr>
      <w:tr w:rsidR="00F71C36" w:rsidRPr="00174470" w:rsidTr="00F71C36">
        <w:trPr>
          <w:jc w:val="center"/>
        </w:trPr>
        <w:tc>
          <w:tcPr>
            <w:tcW w:w="1530" w:type="dxa"/>
            <w:shd w:val="clear" w:color="auto" w:fill="auto"/>
          </w:tcPr>
          <w:p w:rsidR="00F71C36" w:rsidRPr="005F21F8" w:rsidRDefault="00F71C36" w:rsidP="00933253">
            <w:pPr>
              <w:spacing w:before="60"/>
              <w:jc w:val="center"/>
            </w:pPr>
          </w:p>
        </w:tc>
        <w:tc>
          <w:tcPr>
            <w:tcW w:w="3510" w:type="dxa"/>
            <w:shd w:val="clear" w:color="auto" w:fill="auto"/>
          </w:tcPr>
          <w:p w:rsidR="00F71C36" w:rsidRPr="005F21F8" w:rsidRDefault="00F71C36" w:rsidP="00933253">
            <w:pPr>
              <w:ind w:left="158"/>
            </w:pPr>
            <w:r w:rsidRPr="005F21F8">
              <w:t>TS-3</w:t>
            </w:r>
          </w:p>
        </w:tc>
        <w:tc>
          <w:tcPr>
            <w:tcW w:w="2250" w:type="dxa"/>
            <w:shd w:val="clear" w:color="auto" w:fill="auto"/>
          </w:tcPr>
          <w:p w:rsidR="00F71C36" w:rsidRPr="00174470" w:rsidRDefault="00F71C36" w:rsidP="00933253">
            <w:pPr>
              <w:spacing w:before="120"/>
              <w:jc w:val="right"/>
              <w:rPr>
                <w:rFonts w:eastAsia="Courier New"/>
              </w:rPr>
            </w:pPr>
            <w:r w:rsidRPr="0069119A">
              <w:t>$</w:t>
            </w:r>
            <w:r>
              <w:t xml:space="preserve"> 0.05151</w:t>
            </w:r>
            <w:r w:rsidDel="00A8064D">
              <w:t xml:space="preserve"> </w:t>
            </w:r>
            <w:r w:rsidRPr="0069119A">
              <w:t>/</w:t>
            </w:r>
            <w:r>
              <w:t xml:space="preserve"> </w:t>
            </w:r>
            <w:r w:rsidRPr="0069119A">
              <w:t>therm</w:t>
            </w:r>
          </w:p>
        </w:tc>
      </w:tr>
      <w:tr w:rsidR="00F71C36" w:rsidRPr="00174470" w:rsidTr="00F71C36">
        <w:trPr>
          <w:jc w:val="center"/>
        </w:trPr>
        <w:tc>
          <w:tcPr>
            <w:tcW w:w="1530" w:type="dxa"/>
            <w:shd w:val="clear" w:color="auto" w:fill="auto"/>
          </w:tcPr>
          <w:p w:rsidR="00F71C36" w:rsidRPr="005F21F8" w:rsidRDefault="00F71C36" w:rsidP="00933253">
            <w:pPr>
              <w:spacing w:before="60"/>
              <w:jc w:val="center"/>
            </w:pPr>
          </w:p>
        </w:tc>
        <w:tc>
          <w:tcPr>
            <w:tcW w:w="3510" w:type="dxa"/>
            <w:shd w:val="clear" w:color="auto" w:fill="auto"/>
          </w:tcPr>
          <w:p w:rsidR="00F71C36" w:rsidRPr="005F21F8" w:rsidRDefault="00F71C36" w:rsidP="00933253">
            <w:pPr>
              <w:ind w:left="158"/>
            </w:pPr>
            <w:r w:rsidRPr="005F21F8">
              <w:t>TS-4</w:t>
            </w:r>
          </w:p>
        </w:tc>
        <w:tc>
          <w:tcPr>
            <w:tcW w:w="2250" w:type="dxa"/>
            <w:shd w:val="clear" w:color="auto" w:fill="auto"/>
          </w:tcPr>
          <w:p w:rsidR="00F71C36" w:rsidRPr="00174470" w:rsidRDefault="00F71C36" w:rsidP="00933253">
            <w:pPr>
              <w:spacing w:before="120"/>
              <w:jc w:val="right"/>
              <w:rPr>
                <w:rFonts w:eastAsia="Courier New"/>
              </w:rPr>
            </w:pPr>
            <w:r w:rsidRPr="0069119A">
              <w:t>$</w:t>
            </w:r>
            <w:r>
              <w:t xml:space="preserve"> 0.04456</w:t>
            </w:r>
            <w:r w:rsidDel="00A8064D">
              <w:t xml:space="preserve"> </w:t>
            </w:r>
            <w:r w:rsidRPr="0069119A">
              <w:t>/</w:t>
            </w:r>
            <w:r>
              <w:t xml:space="preserve"> </w:t>
            </w:r>
            <w:r w:rsidRPr="0069119A">
              <w:t>therm</w:t>
            </w:r>
          </w:p>
        </w:tc>
      </w:tr>
    </w:tbl>
    <w:p w:rsidR="00F71C36" w:rsidRDefault="00F71C36" w:rsidP="00F71C36">
      <w:pPr>
        <w:ind w:left="2880" w:right="-540" w:hanging="2880"/>
        <w:jc w:val="both"/>
        <w:rPr>
          <w:b/>
          <w:bCs/>
          <w:u w:val="single"/>
        </w:rPr>
      </w:pPr>
    </w:p>
    <w:p w:rsidR="00F71C36" w:rsidRDefault="00F71C36" w:rsidP="00F71C36">
      <w:pPr>
        <w:ind w:left="2880" w:right="-540" w:hanging="2880"/>
        <w:jc w:val="both"/>
        <w:rPr>
          <w:b/>
          <w:bCs/>
          <w:u w:val="single"/>
        </w:rPr>
      </w:pPr>
    </w:p>
    <w:tbl>
      <w:tblPr>
        <w:tblW w:w="7290" w:type="dxa"/>
        <w:jc w:val="center"/>
        <w:tblInd w:w="2268" w:type="dxa"/>
        <w:tblLook w:val="01E0" w:firstRow="1" w:lastRow="1" w:firstColumn="1" w:lastColumn="1" w:noHBand="0" w:noVBand="0"/>
      </w:tblPr>
      <w:tblGrid>
        <w:gridCol w:w="1530"/>
        <w:gridCol w:w="3510"/>
        <w:gridCol w:w="2250"/>
      </w:tblGrid>
      <w:tr w:rsidR="00F71C36" w:rsidRPr="005F21F8" w:rsidTr="00F71C36">
        <w:trPr>
          <w:jc w:val="center"/>
        </w:trPr>
        <w:tc>
          <w:tcPr>
            <w:tcW w:w="1530" w:type="dxa"/>
            <w:shd w:val="clear" w:color="auto" w:fill="auto"/>
          </w:tcPr>
          <w:p w:rsidR="00F71C36" w:rsidRPr="005F21F8" w:rsidRDefault="00F71C36" w:rsidP="00933253">
            <w:pPr>
              <w:tabs>
                <w:tab w:val="left" w:pos="-378"/>
                <w:tab w:val="left" w:pos="702"/>
              </w:tabs>
              <w:spacing w:before="60" w:after="60"/>
              <w:jc w:val="center"/>
              <w:rPr>
                <w:b/>
              </w:rPr>
            </w:pPr>
            <w:r w:rsidRPr="005F21F8">
              <w:rPr>
                <w:b/>
              </w:rPr>
              <w:t>SJNG</w:t>
            </w:r>
          </w:p>
        </w:tc>
        <w:tc>
          <w:tcPr>
            <w:tcW w:w="3510" w:type="dxa"/>
            <w:shd w:val="clear" w:color="auto" w:fill="auto"/>
          </w:tcPr>
          <w:p w:rsidR="00F71C36" w:rsidRPr="005F21F8" w:rsidRDefault="00F71C36" w:rsidP="00CA6DFE">
            <w:pPr>
              <w:spacing w:before="60" w:after="60"/>
              <w:ind w:left="153"/>
              <w:rPr>
                <w:b/>
              </w:rPr>
            </w:pPr>
            <w:r w:rsidRPr="005F21F8">
              <w:rPr>
                <w:b/>
              </w:rPr>
              <w:t>Rate Class</w:t>
            </w:r>
          </w:p>
        </w:tc>
        <w:tc>
          <w:tcPr>
            <w:tcW w:w="2250" w:type="dxa"/>
            <w:shd w:val="clear" w:color="auto" w:fill="auto"/>
          </w:tcPr>
          <w:p w:rsidR="00F71C36" w:rsidRPr="005F21F8" w:rsidRDefault="00F71C36" w:rsidP="00CA6DFE">
            <w:pPr>
              <w:spacing w:before="60" w:after="60"/>
              <w:jc w:val="right"/>
              <w:rPr>
                <w:b/>
              </w:rPr>
            </w:pPr>
            <w:r w:rsidRPr="005F21F8">
              <w:rPr>
                <w:b/>
              </w:rPr>
              <w:t>ECCR Factor</w:t>
            </w:r>
          </w:p>
        </w:tc>
      </w:tr>
      <w:tr w:rsidR="00F71C36" w:rsidRPr="005F21F8" w:rsidTr="00F71C36">
        <w:trPr>
          <w:jc w:val="center"/>
        </w:trPr>
        <w:tc>
          <w:tcPr>
            <w:tcW w:w="1530" w:type="dxa"/>
            <w:shd w:val="clear" w:color="auto" w:fill="auto"/>
          </w:tcPr>
          <w:p w:rsidR="00F71C36" w:rsidRPr="005F21F8" w:rsidRDefault="00F71C36" w:rsidP="00933253">
            <w:pPr>
              <w:spacing w:before="60"/>
              <w:ind w:right="674"/>
              <w:jc w:val="center"/>
            </w:pPr>
          </w:p>
        </w:tc>
        <w:tc>
          <w:tcPr>
            <w:tcW w:w="3510" w:type="dxa"/>
            <w:shd w:val="clear" w:color="auto" w:fill="auto"/>
          </w:tcPr>
          <w:p w:rsidR="00F71C36" w:rsidRPr="005F21F8" w:rsidRDefault="00F71C36" w:rsidP="00CA6DFE">
            <w:pPr>
              <w:ind w:left="153"/>
            </w:pPr>
            <w:r w:rsidRPr="005F21F8">
              <w:t>RS-1</w:t>
            </w:r>
          </w:p>
        </w:tc>
        <w:tc>
          <w:tcPr>
            <w:tcW w:w="2250" w:type="dxa"/>
            <w:shd w:val="clear" w:color="auto" w:fill="auto"/>
          </w:tcPr>
          <w:p w:rsidR="00F71C36" w:rsidRPr="005F21F8" w:rsidRDefault="00F71C36" w:rsidP="00933253">
            <w:pPr>
              <w:spacing w:before="120"/>
              <w:jc w:val="right"/>
            </w:pPr>
            <w:r w:rsidRPr="005F2E23">
              <w:rPr>
                <w:rFonts w:eastAsia="Courier New"/>
              </w:rPr>
              <w:t>$</w:t>
            </w:r>
            <w:r>
              <w:rPr>
                <w:rFonts w:eastAsia="Courier New"/>
              </w:rPr>
              <w:t xml:space="preserve"> </w:t>
            </w:r>
            <w:r w:rsidRPr="005F2E23">
              <w:rPr>
                <w:rFonts w:eastAsia="Courier New"/>
              </w:rPr>
              <w:t>0.</w:t>
            </w:r>
            <w:r>
              <w:rPr>
                <w:rFonts w:eastAsia="Courier New"/>
              </w:rPr>
              <w:t>40001</w:t>
            </w:r>
            <w:r w:rsidDel="00A8064D">
              <w:rPr>
                <w:rFonts w:eastAsia="Courier New"/>
              </w:rPr>
              <w:t xml:space="preserve"> </w:t>
            </w:r>
            <w:r w:rsidRPr="005F21F8">
              <w:t>/</w:t>
            </w:r>
            <w:r>
              <w:t xml:space="preserve"> </w:t>
            </w:r>
            <w:r w:rsidRPr="005F21F8">
              <w:t>therm</w:t>
            </w:r>
          </w:p>
        </w:tc>
      </w:tr>
      <w:tr w:rsidR="00F71C36" w:rsidRPr="005F21F8" w:rsidTr="00F71C36">
        <w:trPr>
          <w:jc w:val="center"/>
        </w:trPr>
        <w:tc>
          <w:tcPr>
            <w:tcW w:w="1530" w:type="dxa"/>
            <w:shd w:val="clear" w:color="auto" w:fill="auto"/>
          </w:tcPr>
          <w:p w:rsidR="00F71C36" w:rsidRPr="005F21F8" w:rsidRDefault="00F71C36" w:rsidP="00933253">
            <w:pPr>
              <w:spacing w:before="60"/>
              <w:jc w:val="center"/>
            </w:pPr>
          </w:p>
        </w:tc>
        <w:tc>
          <w:tcPr>
            <w:tcW w:w="3510" w:type="dxa"/>
            <w:shd w:val="clear" w:color="auto" w:fill="auto"/>
          </w:tcPr>
          <w:p w:rsidR="00F71C36" w:rsidRPr="005F21F8" w:rsidRDefault="00F71C36" w:rsidP="00CA6DFE">
            <w:pPr>
              <w:ind w:left="153"/>
            </w:pPr>
            <w:r w:rsidRPr="005F21F8">
              <w:t>RS-2</w:t>
            </w:r>
          </w:p>
        </w:tc>
        <w:tc>
          <w:tcPr>
            <w:tcW w:w="2250" w:type="dxa"/>
            <w:shd w:val="clear" w:color="auto" w:fill="auto"/>
          </w:tcPr>
          <w:p w:rsidR="00F71C36" w:rsidRPr="005F21F8" w:rsidRDefault="00F71C36" w:rsidP="00933253">
            <w:pPr>
              <w:spacing w:before="120"/>
              <w:jc w:val="right"/>
            </w:pPr>
            <w:r w:rsidRPr="005F2E23">
              <w:rPr>
                <w:rFonts w:eastAsia="Courier New"/>
              </w:rPr>
              <w:t>$</w:t>
            </w:r>
            <w:r>
              <w:rPr>
                <w:rFonts w:eastAsia="Courier New"/>
              </w:rPr>
              <w:t xml:space="preserve"> 0.24504</w:t>
            </w:r>
            <w:r w:rsidRPr="005F21F8" w:rsidDel="00A8064D">
              <w:t xml:space="preserve"> </w:t>
            </w:r>
            <w:r w:rsidRPr="005F21F8">
              <w:t>/</w:t>
            </w:r>
            <w:r>
              <w:t xml:space="preserve"> </w:t>
            </w:r>
            <w:r w:rsidRPr="005F21F8">
              <w:t>therm</w:t>
            </w:r>
          </w:p>
        </w:tc>
      </w:tr>
      <w:tr w:rsidR="00F71C36" w:rsidRPr="005F21F8" w:rsidTr="00F71C36">
        <w:trPr>
          <w:jc w:val="center"/>
        </w:trPr>
        <w:tc>
          <w:tcPr>
            <w:tcW w:w="1530" w:type="dxa"/>
            <w:shd w:val="clear" w:color="auto" w:fill="auto"/>
          </w:tcPr>
          <w:p w:rsidR="00F71C36" w:rsidRPr="005F21F8" w:rsidRDefault="00F71C36" w:rsidP="00933253">
            <w:pPr>
              <w:spacing w:before="60"/>
              <w:jc w:val="center"/>
            </w:pPr>
          </w:p>
        </w:tc>
        <w:tc>
          <w:tcPr>
            <w:tcW w:w="3510" w:type="dxa"/>
            <w:shd w:val="clear" w:color="auto" w:fill="auto"/>
          </w:tcPr>
          <w:p w:rsidR="00F71C36" w:rsidRPr="005F21F8" w:rsidRDefault="00F71C36" w:rsidP="00CA6DFE">
            <w:pPr>
              <w:ind w:left="153"/>
            </w:pPr>
            <w:r w:rsidRPr="005F21F8">
              <w:t>RS-3</w:t>
            </w:r>
          </w:p>
        </w:tc>
        <w:tc>
          <w:tcPr>
            <w:tcW w:w="2250" w:type="dxa"/>
            <w:shd w:val="clear" w:color="auto" w:fill="auto"/>
          </w:tcPr>
          <w:p w:rsidR="00F71C36" w:rsidRPr="005F21F8" w:rsidRDefault="00F71C36" w:rsidP="00933253">
            <w:pPr>
              <w:spacing w:before="120"/>
              <w:jc w:val="right"/>
            </w:pPr>
            <w:r w:rsidRPr="005F2E23">
              <w:rPr>
                <w:rFonts w:eastAsia="Courier New"/>
              </w:rPr>
              <w:t>$</w:t>
            </w:r>
            <w:r>
              <w:rPr>
                <w:rFonts w:eastAsia="Courier New"/>
              </w:rPr>
              <w:t xml:space="preserve"> 0.18566</w:t>
            </w:r>
            <w:r w:rsidRPr="005F21F8" w:rsidDel="00A8064D">
              <w:t xml:space="preserve"> </w:t>
            </w:r>
            <w:r w:rsidRPr="005F21F8">
              <w:t>/</w:t>
            </w:r>
            <w:r>
              <w:t xml:space="preserve"> </w:t>
            </w:r>
            <w:r w:rsidRPr="005F21F8">
              <w:t>therm</w:t>
            </w:r>
          </w:p>
        </w:tc>
      </w:tr>
      <w:tr w:rsidR="00F71C36" w:rsidRPr="005F21F8" w:rsidTr="00F71C36">
        <w:trPr>
          <w:jc w:val="center"/>
        </w:trPr>
        <w:tc>
          <w:tcPr>
            <w:tcW w:w="1530" w:type="dxa"/>
            <w:shd w:val="clear" w:color="auto" w:fill="auto"/>
          </w:tcPr>
          <w:p w:rsidR="00F71C36" w:rsidRPr="005F21F8" w:rsidRDefault="00F71C36" w:rsidP="00933253">
            <w:pPr>
              <w:spacing w:before="60"/>
              <w:jc w:val="center"/>
            </w:pPr>
          </w:p>
        </w:tc>
        <w:tc>
          <w:tcPr>
            <w:tcW w:w="3510" w:type="dxa"/>
            <w:shd w:val="clear" w:color="auto" w:fill="auto"/>
          </w:tcPr>
          <w:p w:rsidR="00F71C36" w:rsidRPr="005F21F8" w:rsidRDefault="00F71C36" w:rsidP="00CA6DFE">
            <w:pPr>
              <w:ind w:left="153"/>
            </w:pPr>
            <w:r w:rsidRPr="005F21F8">
              <w:t>GS-1</w:t>
            </w:r>
          </w:p>
        </w:tc>
        <w:tc>
          <w:tcPr>
            <w:tcW w:w="2250" w:type="dxa"/>
            <w:shd w:val="clear" w:color="auto" w:fill="auto"/>
          </w:tcPr>
          <w:p w:rsidR="00F71C36" w:rsidRPr="005F21F8" w:rsidRDefault="00F71C36" w:rsidP="00933253">
            <w:pPr>
              <w:spacing w:before="120"/>
              <w:jc w:val="right"/>
            </w:pPr>
            <w:r w:rsidRPr="005F2E23">
              <w:rPr>
                <w:rFonts w:eastAsia="Courier New"/>
              </w:rPr>
              <w:t>$</w:t>
            </w:r>
            <w:r>
              <w:rPr>
                <w:rFonts w:eastAsia="Courier New"/>
              </w:rPr>
              <w:t xml:space="preserve"> 0.16949</w:t>
            </w:r>
            <w:r w:rsidRPr="005F21F8" w:rsidDel="00A8064D">
              <w:t xml:space="preserve"> </w:t>
            </w:r>
            <w:r w:rsidRPr="005F21F8">
              <w:t>/</w:t>
            </w:r>
            <w:r>
              <w:t xml:space="preserve"> </w:t>
            </w:r>
            <w:r w:rsidRPr="005F21F8">
              <w:t>therm</w:t>
            </w:r>
          </w:p>
        </w:tc>
      </w:tr>
      <w:tr w:rsidR="00F71C36" w:rsidRPr="005F21F8" w:rsidTr="00F71C36">
        <w:trPr>
          <w:jc w:val="center"/>
        </w:trPr>
        <w:tc>
          <w:tcPr>
            <w:tcW w:w="1530" w:type="dxa"/>
            <w:shd w:val="clear" w:color="auto" w:fill="auto"/>
          </w:tcPr>
          <w:p w:rsidR="00F71C36" w:rsidRPr="005F21F8" w:rsidRDefault="00F71C36" w:rsidP="00933253">
            <w:pPr>
              <w:spacing w:before="60"/>
              <w:jc w:val="center"/>
            </w:pPr>
          </w:p>
        </w:tc>
        <w:tc>
          <w:tcPr>
            <w:tcW w:w="3510" w:type="dxa"/>
            <w:shd w:val="clear" w:color="auto" w:fill="auto"/>
          </w:tcPr>
          <w:p w:rsidR="00F71C36" w:rsidRPr="005F21F8" w:rsidRDefault="00F71C36" w:rsidP="00CA6DFE">
            <w:pPr>
              <w:ind w:left="153"/>
            </w:pPr>
            <w:r w:rsidRPr="005F21F8">
              <w:t>GS-2</w:t>
            </w:r>
          </w:p>
        </w:tc>
        <w:tc>
          <w:tcPr>
            <w:tcW w:w="2250" w:type="dxa"/>
            <w:shd w:val="clear" w:color="auto" w:fill="auto"/>
          </w:tcPr>
          <w:p w:rsidR="00F71C36" w:rsidRPr="005F21F8" w:rsidRDefault="00F71C36" w:rsidP="00933253">
            <w:pPr>
              <w:spacing w:before="120"/>
              <w:jc w:val="right"/>
            </w:pPr>
            <w:r w:rsidRPr="005F2E23">
              <w:rPr>
                <w:rFonts w:eastAsia="Courier New"/>
              </w:rPr>
              <w:t>$</w:t>
            </w:r>
            <w:r>
              <w:rPr>
                <w:rFonts w:eastAsia="Courier New"/>
              </w:rPr>
              <w:t xml:space="preserve"> 0</w:t>
            </w:r>
            <w:r w:rsidRPr="005F2E23">
              <w:rPr>
                <w:rFonts w:eastAsia="Courier New"/>
              </w:rPr>
              <w:t>.07</w:t>
            </w:r>
            <w:r>
              <w:rPr>
                <w:rFonts w:eastAsia="Courier New"/>
              </w:rPr>
              <w:t>674</w:t>
            </w:r>
            <w:r w:rsidRPr="005F21F8" w:rsidDel="00A8064D">
              <w:t xml:space="preserve"> </w:t>
            </w:r>
            <w:r w:rsidRPr="005F21F8">
              <w:t>/</w:t>
            </w:r>
            <w:r>
              <w:t xml:space="preserve"> </w:t>
            </w:r>
            <w:r w:rsidRPr="005F21F8">
              <w:t>therm</w:t>
            </w:r>
          </w:p>
        </w:tc>
      </w:tr>
      <w:tr w:rsidR="00F71C36" w:rsidRPr="005F21F8" w:rsidTr="00F71C36">
        <w:trPr>
          <w:jc w:val="center"/>
        </w:trPr>
        <w:tc>
          <w:tcPr>
            <w:tcW w:w="1530" w:type="dxa"/>
            <w:shd w:val="clear" w:color="auto" w:fill="auto"/>
          </w:tcPr>
          <w:p w:rsidR="00F71C36" w:rsidRPr="005F21F8" w:rsidRDefault="00F71C36" w:rsidP="00933253">
            <w:pPr>
              <w:spacing w:before="60"/>
              <w:jc w:val="center"/>
            </w:pPr>
          </w:p>
        </w:tc>
        <w:tc>
          <w:tcPr>
            <w:tcW w:w="3510" w:type="dxa"/>
            <w:shd w:val="clear" w:color="auto" w:fill="auto"/>
          </w:tcPr>
          <w:p w:rsidR="00F71C36" w:rsidRPr="005F21F8" w:rsidRDefault="00F71C36" w:rsidP="00CA6DFE">
            <w:pPr>
              <w:ind w:left="153"/>
            </w:pPr>
            <w:r w:rsidRPr="005F21F8">
              <w:t>FTS-4</w:t>
            </w:r>
          </w:p>
        </w:tc>
        <w:tc>
          <w:tcPr>
            <w:tcW w:w="2250" w:type="dxa"/>
            <w:shd w:val="clear" w:color="auto" w:fill="auto"/>
          </w:tcPr>
          <w:p w:rsidR="00F71C36" w:rsidRPr="005F21F8" w:rsidRDefault="00F71C36" w:rsidP="00933253">
            <w:pPr>
              <w:spacing w:before="120"/>
              <w:jc w:val="right"/>
            </w:pPr>
            <w:r w:rsidRPr="005F2E23">
              <w:rPr>
                <w:rFonts w:eastAsia="Courier New"/>
              </w:rPr>
              <w:t>$</w:t>
            </w:r>
            <w:r>
              <w:rPr>
                <w:rFonts w:eastAsia="Courier New"/>
              </w:rPr>
              <w:t xml:space="preserve"> 0.03555</w:t>
            </w:r>
            <w:r w:rsidRPr="005F21F8" w:rsidDel="00A8064D">
              <w:t xml:space="preserve"> </w:t>
            </w:r>
            <w:r w:rsidRPr="005F21F8">
              <w:t>/</w:t>
            </w:r>
            <w:r>
              <w:t xml:space="preserve"> </w:t>
            </w:r>
            <w:r w:rsidRPr="005F21F8">
              <w:t>therm</w:t>
            </w:r>
          </w:p>
        </w:tc>
      </w:tr>
    </w:tbl>
    <w:p w:rsidR="00F71C36" w:rsidRDefault="00F71C36" w:rsidP="00324506"/>
    <w:p w:rsidR="00F71C36" w:rsidRDefault="00F71C36" w:rsidP="00324506"/>
    <w:p w:rsidR="00CA6DFE" w:rsidRDefault="00F71C36" w:rsidP="00F71C36">
      <w:pPr>
        <w:jc w:val="both"/>
        <w:rPr>
          <w:u w:val="single"/>
        </w:rPr>
      </w:pPr>
      <w:r w:rsidRPr="006342BD">
        <w:rPr>
          <w:u w:val="single"/>
        </w:rPr>
        <w:t xml:space="preserve">Tariff Revisions Reflecting Natural Gas Conservation Cost Recovery Amounts </w:t>
      </w:r>
      <w:r>
        <w:rPr>
          <w:u w:val="single"/>
        </w:rPr>
        <w:t>a</w:t>
      </w:r>
      <w:r w:rsidRPr="006342BD">
        <w:rPr>
          <w:u w:val="single"/>
        </w:rPr>
        <w:t xml:space="preserve">nd </w:t>
      </w:r>
    </w:p>
    <w:p w:rsidR="00F71C36" w:rsidRDefault="00F71C36" w:rsidP="00F71C36">
      <w:pPr>
        <w:jc w:val="both"/>
        <w:rPr>
          <w:u w:val="single"/>
        </w:rPr>
      </w:pPr>
      <w:r w:rsidRPr="006342BD">
        <w:rPr>
          <w:u w:val="single"/>
        </w:rPr>
        <w:t>Establishing Natural Gas Conservation Cost Recovery Factors</w:t>
      </w:r>
    </w:p>
    <w:p w:rsidR="00F71C36" w:rsidRPr="00701945" w:rsidRDefault="00F71C36" w:rsidP="00F71C36">
      <w:pPr>
        <w:jc w:val="both"/>
      </w:pPr>
    </w:p>
    <w:p w:rsidR="00F71C36" w:rsidRPr="00701945" w:rsidRDefault="00F71C36" w:rsidP="00F71C36">
      <w:pPr>
        <w:ind w:firstLine="720"/>
        <w:jc w:val="both"/>
      </w:pPr>
      <w:r>
        <w:rPr>
          <w:bCs/>
        </w:rPr>
        <w:t>We find the</w:t>
      </w:r>
      <w:r w:rsidRPr="00803DDE">
        <w:t xml:space="preserve"> revised tariffs reflecting the natural gas </w:t>
      </w:r>
      <w:r>
        <w:t xml:space="preserve">conservation </w:t>
      </w:r>
      <w:r w:rsidRPr="00803DDE">
        <w:t>cost re</w:t>
      </w:r>
      <w:r>
        <w:t xml:space="preserve">covery amounts and establishing </w:t>
      </w:r>
      <w:r w:rsidRPr="00803DDE">
        <w:t>natural gas conservation cost recovery factors determined to be appropriate in this proceeding</w:t>
      </w:r>
      <w:r>
        <w:t>, are approved.</w:t>
      </w:r>
      <w:r w:rsidRPr="00803DDE">
        <w:t xml:space="preserve"> </w:t>
      </w:r>
      <w:r>
        <w:t xml:space="preserve">We </w:t>
      </w:r>
      <w:r w:rsidRPr="00803DDE">
        <w:t xml:space="preserve">direct </w:t>
      </w:r>
      <w:r>
        <w:t xml:space="preserve">our </w:t>
      </w:r>
      <w:r w:rsidRPr="00803DDE">
        <w:t>staff to verify that the revised tariffs are consistent with th</w:t>
      </w:r>
      <w:r>
        <w:t>is Order.</w:t>
      </w:r>
    </w:p>
    <w:p w:rsidR="00F71C36" w:rsidRDefault="00F71C36" w:rsidP="00324506"/>
    <w:p w:rsidR="00F71C36" w:rsidRDefault="00F71C36" w:rsidP="00324506"/>
    <w:p w:rsidR="00F71C36" w:rsidRPr="006342BD" w:rsidRDefault="00F71C36" w:rsidP="00F71C36">
      <w:pPr>
        <w:ind w:right="77"/>
        <w:jc w:val="both"/>
        <w:rPr>
          <w:bCs/>
          <w:u w:val="single"/>
        </w:rPr>
      </w:pPr>
      <w:r w:rsidRPr="006342BD">
        <w:rPr>
          <w:bCs/>
          <w:u w:val="single"/>
        </w:rPr>
        <w:t>Conservatio</w:t>
      </w:r>
      <w:r>
        <w:rPr>
          <w:bCs/>
          <w:u w:val="single"/>
        </w:rPr>
        <w:t>n Cost Recovery Effective Date f</w:t>
      </w:r>
      <w:r w:rsidRPr="006342BD">
        <w:rPr>
          <w:bCs/>
          <w:u w:val="single"/>
        </w:rPr>
        <w:t>or 201</w:t>
      </w:r>
      <w:r>
        <w:rPr>
          <w:bCs/>
          <w:u w:val="single"/>
        </w:rPr>
        <w:t>7</w:t>
      </w:r>
      <w:r w:rsidRPr="006342BD">
        <w:rPr>
          <w:bCs/>
          <w:u w:val="single"/>
        </w:rPr>
        <w:t xml:space="preserve"> Billing Cycle</w:t>
      </w:r>
    </w:p>
    <w:p w:rsidR="00F71C36" w:rsidRDefault="00F71C36" w:rsidP="00F71C36">
      <w:pPr>
        <w:ind w:right="77"/>
        <w:jc w:val="both"/>
        <w:rPr>
          <w:b/>
          <w:bCs/>
          <w:u w:val="single"/>
        </w:rPr>
      </w:pPr>
    </w:p>
    <w:p w:rsidR="00F71C36" w:rsidRPr="00701945" w:rsidRDefault="00F71C36" w:rsidP="00F71C36">
      <w:pPr>
        <w:tabs>
          <w:tab w:val="left" w:pos="0"/>
        </w:tabs>
        <w:jc w:val="both"/>
      </w:pPr>
      <w:r>
        <w:tab/>
      </w:r>
      <w:r w:rsidRPr="00352019">
        <w:t>The factors sh</w:t>
      </w:r>
      <w:r>
        <w:t>all</w:t>
      </w:r>
      <w:r w:rsidRPr="00352019">
        <w:t xml:space="preserve"> be effective beginning with the specified conservation cost recovery cycle and thereafter for the period January 201</w:t>
      </w:r>
      <w:r>
        <w:t>7</w:t>
      </w:r>
      <w:r w:rsidRPr="00352019">
        <w:t xml:space="preserve"> through December 201</w:t>
      </w:r>
      <w:r>
        <w:t>7</w:t>
      </w:r>
      <w:r w:rsidRPr="00352019">
        <w:t>.  Billing cycles may start before January 1, 201</w:t>
      </w:r>
      <w:r>
        <w:t>7</w:t>
      </w:r>
      <w:r w:rsidRPr="00352019">
        <w:t xml:space="preserve"> and the last cycle may be read after December 31, 201</w:t>
      </w:r>
      <w:r>
        <w:t>7</w:t>
      </w:r>
      <w:r w:rsidRPr="00352019">
        <w:t>, so that each customer is billed for twelve months regardless of when the adjustment factor became effective.</w:t>
      </w:r>
    </w:p>
    <w:p w:rsidR="00F71C36" w:rsidRDefault="00F71C36" w:rsidP="00F71C36">
      <w:pPr>
        <w:ind w:firstLine="720"/>
        <w:jc w:val="both"/>
      </w:pPr>
    </w:p>
    <w:p w:rsidR="00F71C36" w:rsidRDefault="00F71C36" w:rsidP="00F71C36">
      <w:pPr>
        <w:ind w:firstLine="720"/>
        <w:jc w:val="both"/>
      </w:pPr>
    </w:p>
    <w:p w:rsidR="00DB4980" w:rsidRDefault="00DB4980">
      <w:r>
        <w:br w:type="page"/>
      </w:r>
    </w:p>
    <w:p w:rsidR="00DB4980" w:rsidRDefault="00DB4980" w:rsidP="00F71C36">
      <w:pPr>
        <w:pStyle w:val="OrderBody"/>
        <w:ind w:firstLine="720"/>
      </w:pPr>
    </w:p>
    <w:p w:rsidR="00F71C36" w:rsidRDefault="00F71C36" w:rsidP="00F71C36">
      <w:pPr>
        <w:pStyle w:val="OrderBody"/>
        <w:ind w:firstLine="720"/>
      </w:pPr>
      <w:r>
        <w:t>Based on the foregoing, it is</w:t>
      </w:r>
    </w:p>
    <w:p w:rsidR="00F71C36" w:rsidRDefault="00F71C36" w:rsidP="00F71C36">
      <w:pPr>
        <w:pStyle w:val="OrderBody"/>
      </w:pPr>
    </w:p>
    <w:p w:rsidR="00F71C36" w:rsidRDefault="00F71C36" w:rsidP="00F71C36">
      <w:pPr>
        <w:pStyle w:val="OrderBody"/>
      </w:pPr>
      <w:r>
        <w:tab/>
        <w:t xml:space="preserve">ORDERED by the Florida Public Service Commission that the stipulations, findings, and rulings set forth in the body of this Order are hereby approved.  It is further </w:t>
      </w:r>
    </w:p>
    <w:p w:rsidR="00DB4980" w:rsidRDefault="00DB4980" w:rsidP="00DB4980"/>
    <w:p w:rsidR="00F71C36" w:rsidRDefault="00F71C36" w:rsidP="00DB4980">
      <w:r>
        <w:tab/>
        <w:t xml:space="preserve">ORDERED that each utility that was a party to this docket shall abide by the stipulations, findings, and rulings herein which are applicable to it.  It is further </w:t>
      </w:r>
    </w:p>
    <w:p w:rsidR="00F71C36" w:rsidRDefault="00F71C36" w:rsidP="00F71C36">
      <w:pPr>
        <w:pStyle w:val="OrderBody"/>
      </w:pPr>
    </w:p>
    <w:p w:rsidR="00F71C36" w:rsidRDefault="00F71C36" w:rsidP="00F71C36">
      <w:pPr>
        <w:pStyle w:val="OrderBody"/>
      </w:pPr>
      <w:r>
        <w:tab/>
        <w:t xml:space="preserve">ORDERED that the utilities named herein are authorized to collect the natural gas conservation cost recovery amounts and utilize the factors approved herein for the period beginning with the specified conservation cost recovery cycle and thereafter for the period January 2017 through December 2017.  Billing cycles may start before January 1, 2017, and the last cycle may be read after December 31, 2017, so that each customer is billed for twelve months regardless of when the adjustment factor became effective.  It is further </w:t>
      </w:r>
    </w:p>
    <w:p w:rsidR="00F71C36" w:rsidRDefault="00F71C36" w:rsidP="00F71C36">
      <w:pPr>
        <w:pStyle w:val="OrderBody"/>
      </w:pPr>
    </w:p>
    <w:p w:rsidR="00F71C36" w:rsidRDefault="00F71C36" w:rsidP="00F71C36">
      <w:pPr>
        <w:pStyle w:val="OrderBody"/>
      </w:pPr>
      <w:r>
        <w:tab/>
        <w:t>ORDERED that the utilities’ revised tariffs, reflecting the natural gas conservation cost recovery amounts and establishing natural gas conservation cost recovery factors determined to be appropriate herein, are approved.  Our staff shall verify that the revised tariffs are consistent with this Order.  It is further</w:t>
      </w:r>
    </w:p>
    <w:p w:rsidR="00F71C36" w:rsidRDefault="00F71C36" w:rsidP="00F71C36">
      <w:pPr>
        <w:pStyle w:val="OrderBody"/>
      </w:pPr>
    </w:p>
    <w:p w:rsidR="00F71C36" w:rsidRDefault="00F71C36" w:rsidP="00F71C36">
      <w:pPr>
        <w:pStyle w:val="OrderBody"/>
      </w:pPr>
      <w:r>
        <w:tab/>
        <w:t xml:space="preserve">ORDERED that the Natural Gas Conservation Cost Recovery Clause docket is ongoing and the docket shall remain open. </w:t>
      </w:r>
    </w:p>
    <w:p w:rsidR="00F71C36" w:rsidRDefault="00F71C36" w:rsidP="00324506"/>
    <w:p w:rsidR="00DB4980" w:rsidRDefault="00DB4980" w:rsidP="000B771A">
      <w:pPr>
        <w:pStyle w:val="OrderBody"/>
        <w:keepNext/>
        <w:keepLines/>
        <w:ind w:firstLine="720"/>
      </w:pPr>
      <w:r>
        <w:t xml:space="preserve">By ORDER of the Florida Public Service Commission this </w:t>
      </w:r>
      <w:bookmarkStart w:id="7" w:name="replaceDate"/>
      <w:bookmarkEnd w:id="7"/>
      <w:r w:rsidR="000B771A">
        <w:rPr>
          <w:u w:val="single"/>
        </w:rPr>
        <w:t>22nd</w:t>
      </w:r>
      <w:r w:rsidR="000B771A">
        <w:t xml:space="preserve"> day of </w:t>
      </w:r>
      <w:r w:rsidR="000B771A">
        <w:rPr>
          <w:u w:val="single"/>
        </w:rPr>
        <w:t>November</w:t>
      </w:r>
      <w:r w:rsidR="000B771A">
        <w:t xml:space="preserve">, </w:t>
      </w:r>
      <w:r w:rsidR="000B771A">
        <w:rPr>
          <w:u w:val="single"/>
        </w:rPr>
        <w:t>2016</w:t>
      </w:r>
      <w:r w:rsidR="000B771A">
        <w:t>.</w:t>
      </w:r>
    </w:p>
    <w:p w:rsidR="000B771A" w:rsidRPr="000B771A" w:rsidRDefault="000B771A" w:rsidP="000B771A">
      <w:pPr>
        <w:pStyle w:val="OrderBody"/>
        <w:keepNext/>
        <w:keepLines/>
        <w:ind w:firstLine="720"/>
      </w:pPr>
    </w:p>
    <w:p w:rsidR="00DB4980" w:rsidRDefault="00DB4980" w:rsidP="00DB4980">
      <w:pPr>
        <w:pStyle w:val="OrderBody"/>
        <w:keepNext/>
        <w:keepLines/>
      </w:pPr>
    </w:p>
    <w:p w:rsidR="00DB4980" w:rsidRDefault="00DB4980" w:rsidP="00DB498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B4980" w:rsidTr="00933253">
        <w:tc>
          <w:tcPr>
            <w:tcW w:w="720" w:type="dxa"/>
            <w:shd w:val="clear" w:color="auto" w:fill="auto"/>
          </w:tcPr>
          <w:p w:rsidR="00DB4980" w:rsidRDefault="00DB4980" w:rsidP="00933253">
            <w:pPr>
              <w:pStyle w:val="OrderBody"/>
              <w:keepNext/>
              <w:keepLines/>
            </w:pPr>
            <w:bookmarkStart w:id="8" w:name="bkmrkSignature" w:colFirst="0" w:colLast="0"/>
          </w:p>
        </w:tc>
        <w:tc>
          <w:tcPr>
            <w:tcW w:w="4320" w:type="dxa"/>
            <w:tcBorders>
              <w:bottom w:val="single" w:sz="4" w:space="0" w:color="auto"/>
            </w:tcBorders>
            <w:shd w:val="clear" w:color="auto" w:fill="auto"/>
          </w:tcPr>
          <w:p w:rsidR="00DB4980" w:rsidRDefault="00DB4980" w:rsidP="00933253">
            <w:pPr>
              <w:pStyle w:val="OrderBody"/>
              <w:keepNext/>
              <w:keepLines/>
            </w:pPr>
          </w:p>
        </w:tc>
      </w:tr>
      <w:bookmarkEnd w:id="8"/>
      <w:tr w:rsidR="00DB4980" w:rsidTr="00933253">
        <w:tc>
          <w:tcPr>
            <w:tcW w:w="720" w:type="dxa"/>
            <w:shd w:val="clear" w:color="auto" w:fill="auto"/>
          </w:tcPr>
          <w:p w:rsidR="00DB4980" w:rsidRDefault="00DB4980" w:rsidP="00933253">
            <w:pPr>
              <w:pStyle w:val="OrderBody"/>
              <w:keepNext/>
              <w:keepLines/>
            </w:pPr>
          </w:p>
        </w:tc>
        <w:tc>
          <w:tcPr>
            <w:tcW w:w="4320" w:type="dxa"/>
            <w:tcBorders>
              <w:top w:val="single" w:sz="4" w:space="0" w:color="auto"/>
            </w:tcBorders>
            <w:shd w:val="clear" w:color="auto" w:fill="auto"/>
          </w:tcPr>
          <w:p w:rsidR="00DB4980" w:rsidRDefault="00DB4980" w:rsidP="00933253">
            <w:pPr>
              <w:pStyle w:val="OrderBody"/>
              <w:keepNext/>
              <w:keepLines/>
            </w:pPr>
            <w:r>
              <w:t>CARLOTTA S. STAUFFER</w:t>
            </w:r>
          </w:p>
          <w:p w:rsidR="00DB4980" w:rsidRDefault="00DB4980" w:rsidP="00933253">
            <w:pPr>
              <w:pStyle w:val="OrderBody"/>
              <w:keepNext/>
              <w:keepLines/>
            </w:pPr>
            <w:r>
              <w:t>Commission Clerk</w:t>
            </w:r>
          </w:p>
        </w:tc>
      </w:tr>
    </w:tbl>
    <w:p w:rsidR="00DB4980" w:rsidRDefault="00DB4980" w:rsidP="00DB4980">
      <w:pPr>
        <w:pStyle w:val="OrderSigInfo"/>
        <w:keepNext/>
        <w:keepLines/>
      </w:pPr>
      <w:r>
        <w:t>Florida Public Service Commission</w:t>
      </w:r>
    </w:p>
    <w:p w:rsidR="00DB4980" w:rsidRDefault="00DB4980" w:rsidP="00DB4980">
      <w:pPr>
        <w:pStyle w:val="OrderSigInfo"/>
        <w:keepNext/>
        <w:keepLines/>
      </w:pPr>
      <w:r>
        <w:t>2540 Shumard Oak Boulevard</w:t>
      </w:r>
    </w:p>
    <w:p w:rsidR="00DB4980" w:rsidRDefault="00DB4980" w:rsidP="00DB4980">
      <w:pPr>
        <w:pStyle w:val="OrderSigInfo"/>
        <w:keepNext/>
        <w:keepLines/>
      </w:pPr>
      <w:r>
        <w:t>Tallahassee, Florida  32399</w:t>
      </w:r>
    </w:p>
    <w:p w:rsidR="00DB4980" w:rsidRDefault="00DB4980" w:rsidP="00DB4980">
      <w:pPr>
        <w:pStyle w:val="OrderSigInfo"/>
        <w:keepNext/>
        <w:keepLines/>
      </w:pPr>
      <w:r>
        <w:t>(850) 413</w:t>
      </w:r>
      <w:r>
        <w:noBreakHyphen/>
        <w:t>6770</w:t>
      </w:r>
    </w:p>
    <w:p w:rsidR="00DB4980" w:rsidRDefault="00DB4980" w:rsidP="00DB4980">
      <w:pPr>
        <w:pStyle w:val="OrderSigInfo"/>
        <w:keepNext/>
        <w:keepLines/>
      </w:pPr>
      <w:r>
        <w:t>www.floridapsc.com</w:t>
      </w:r>
    </w:p>
    <w:p w:rsidR="00DB4980" w:rsidRDefault="00DB4980" w:rsidP="00DB4980">
      <w:pPr>
        <w:pStyle w:val="OrderSigInfo"/>
        <w:keepNext/>
        <w:keepLines/>
      </w:pPr>
    </w:p>
    <w:p w:rsidR="00DB4980" w:rsidRDefault="00DB4980" w:rsidP="00DB4980">
      <w:pPr>
        <w:pStyle w:val="OrderSigInfo"/>
        <w:keepNext/>
        <w:keepLines/>
      </w:pPr>
      <w:r>
        <w:t>Copies furnished:  A copy of this document is provided to the parties of record at the time of issuance and, if applicable, interested persons.</w:t>
      </w:r>
    </w:p>
    <w:p w:rsidR="00DB4980" w:rsidRDefault="00DB4980" w:rsidP="00DB4980">
      <w:pPr>
        <w:pStyle w:val="OrderBody"/>
        <w:keepNext/>
        <w:keepLines/>
      </w:pPr>
    </w:p>
    <w:p w:rsidR="00DB4980" w:rsidRDefault="00DB4980" w:rsidP="00DB4980">
      <w:pPr>
        <w:pStyle w:val="OrderBody"/>
        <w:keepNext/>
        <w:keepLines/>
      </w:pPr>
      <w:r>
        <w:t>KFC</w:t>
      </w:r>
    </w:p>
    <w:p w:rsidR="00DB4980" w:rsidRDefault="00DB4980">
      <w:r>
        <w:br w:type="page"/>
      </w:r>
    </w:p>
    <w:p w:rsidR="00DB4980" w:rsidRDefault="00DB4980" w:rsidP="00DB4980"/>
    <w:p w:rsidR="00DB4980" w:rsidRDefault="00DB4980" w:rsidP="00DB4980">
      <w:pPr>
        <w:pStyle w:val="OrderBody"/>
      </w:pPr>
    </w:p>
    <w:p w:rsidR="00DB4980" w:rsidRDefault="00DB4980" w:rsidP="00DB4980">
      <w:pPr>
        <w:pStyle w:val="CenterUnderline"/>
      </w:pPr>
      <w:r>
        <w:t>NOTICE OF FURTHER PROCEEDINGS OR JUDICIAL REVIEW</w:t>
      </w:r>
    </w:p>
    <w:p w:rsidR="00DB4980" w:rsidRDefault="00DB4980" w:rsidP="00DB4980">
      <w:pPr>
        <w:pStyle w:val="CenterUnderline"/>
        <w:rPr>
          <w:u w:val="none"/>
        </w:rPr>
      </w:pPr>
    </w:p>
    <w:p w:rsidR="00DB4980" w:rsidRDefault="00DB4980" w:rsidP="00DB4980">
      <w:pPr>
        <w:pStyle w:val="OrderBody"/>
      </w:pPr>
    </w:p>
    <w:p w:rsidR="00DB4980" w:rsidRDefault="00DB4980" w:rsidP="00DB498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B4980" w:rsidRDefault="00DB4980" w:rsidP="00DB4980">
      <w:pPr>
        <w:pStyle w:val="OrderBody"/>
      </w:pPr>
    </w:p>
    <w:p w:rsidR="00DB4980" w:rsidRDefault="00DB4980" w:rsidP="00DB498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B4980" w:rsidRDefault="00DB4980" w:rsidP="00324506"/>
    <w:sectPr w:rsidR="00DB4980" w:rsidSect="00D31043">
      <w:headerReference w:type="default" r:id="rId7"/>
      <w:footerReference w:type="first" r:id="rId8"/>
      <w:pgSz w:w="12240" w:h="15840" w:code="1"/>
      <w:pgMar w:top="1440" w:right="1296" w:bottom="1296" w:left="1296"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E8" w:rsidRDefault="006751E8">
      <w:r>
        <w:separator/>
      </w:r>
    </w:p>
  </w:endnote>
  <w:endnote w:type="continuationSeparator" w:id="0">
    <w:p w:rsidR="006751E8" w:rsidRDefault="0067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E8" w:rsidRDefault="006751E8">
      <w:r>
        <w:separator/>
      </w:r>
    </w:p>
  </w:footnote>
  <w:footnote w:type="continuationSeparator" w:id="0">
    <w:p w:rsidR="006751E8" w:rsidRDefault="006751E8">
      <w:r>
        <w:continuationSeparator/>
      </w:r>
    </w:p>
  </w:footnote>
  <w:footnote w:id="1">
    <w:p w:rsidR="006751E8" w:rsidRDefault="006751E8" w:rsidP="006751E8">
      <w:pPr>
        <w:pStyle w:val="FootnoteText"/>
      </w:pPr>
      <w:r>
        <w:rPr>
          <w:rStyle w:val="FootnoteReference"/>
        </w:rPr>
        <w:footnoteRef/>
      </w:r>
      <w:r>
        <w:t xml:space="preserve"> Florida Division of Chesapeake Utilities Corporation (CUC), Florida Public Utilities Company (FPUC), Florida Public Utilities Company – Indiantown (Indiantown), and Florida Public Utilities Company – Fort Meade (Fort Meade), are collectively referred to as the “Consolidated Companies”.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33 ">
      <w:r w:rsidR="000B771A">
        <w:t>PSC-16-0533-FOF-GU</w:t>
      </w:r>
    </w:fldSimple>
  </w:p>
  <w:p w:rsidR="00FA6EFD" w:rsidRDefault="006751E8">
    <w:pPr>
      <w:pStyle w:val="OrderHeader"/>
    </w:pPr>
    <w:bookmarkStart w:id="9" w:name="HeaderDocketNo"/>
    <w:bookmarkEnd w:id="9"/>
    <w:r>
      <w:t>DOCKET NO. 160004-GU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771A">
      <w:rPr>
        <w:rStyle w:val="PageNumber"/>
        <w:noProof/>
      </w:rPr>
      <w:t>8</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4-GU"/>
  </w:docVars>
  <w:rsids>
    <w:rsidRoot w:val="006751E8"/>
    <w:rsid w:val="000022B8"/>
    <w:rsid w:val="00053AB9"/>
    <w:rsid w:val="00056229"/>
    <w:rsid w:val="00065FC2"/>
    <w:rsid w:val="00090AFC"/>
    <w:rsid w:val="000B771A"/>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064EB"/>
    <w:rsid w:val="003140E8"/>
    <w:rsid w:val="003231C7"/>
    <w:rsid w:val="00324506"/>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751E8"/>
    <w:rsid w:val="006A0BF3"/>
    <w:rsid w:val="006B0DA6"/>
    <w:rsid w:val="006C547E"/>
    <w:rsid w:val="00704C5D"/>
    <w:rsid w:val="00715275"/>
    <w:rsid w:val="00733B6B"/>
    <w:rsid w:val="0076170F"/>
    <w:rsid w:val="007660FE"/>
    <w:rsid w:val="0076669C"/>
    <w:rsid w:val="00775D3D"/>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6DFE"/>
    <w:rsid w:val="00CA71FF"/>
    <w:rsid w:val="00CB5276"/>
    <w:rsid w:val="00CB68D7"/>
    <w:rsid w:val="00CC7E68"/>
    <w:rsid w:val="00CD7132"/>
    <w:rsid w:val="00CE0E6F"/>
    <w:rsid w:val="00D30B48"/>
    <w:rsid w:val="00D31043"/>
    <w:rsid w:val="00D46FAA"/>
    <w:rsid w:val="00D57BB2"/>
    <w:rsid w:val="00D8560E"/>
    <w:rsid w:val="00D8758F"/>
    <w:rsid w:val="00DB4980"/>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71C36"/>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31043"/>
    <w:rPr>
      <w:rFonts w:ascii="Tahoma" w:hAnsi="Tahoma" w:cs="Tahoma"/>
      <w:sz w:val="16"/>
      <w:szCs w:val="16"/>
    </w:rPr>
  </w:style>
  <w:style w:type="character" w:customStyle="1" w:styleId="BalloonTextChar">
    <w:name w:val="Balloon Text Char"/>
    <w:basedOn w:val="DefaultParagraphFont"/>
    <w:link w:val="BalloonText"/>
    <w:rsid w:val="00D31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31043"/>
    <w:rPr>
      <w:rFonts w:ascii="Tahoma" w:hAnsi="Tahoma" w:cs="Tahoma"/>
      <w:sz w:val="16"/>
      <w:szCs w:val="16"/>
    </w:rPr>
  </w:style>
  <w:style w:type="character" w:customStyle="1" w:styleId="BalloonTextChar">
    <w:name w:val="Balloon Text Char"/>
    <w:basedOn w:val="DefaultParagraphFont"/>
    <w:link w:val="BalloonText"/>
    <w:rsid w:val="00D31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8</Pages>
  <Words>1676</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2016-11-22T21:36:00Z</dcterms:created>
  <dcterms:modified xsi:type="dcterms:W3CDTF">2016-11-22T21:43:00Z</dcterms:modified>
</cp:coreProperties>
</file>