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033382" w:rsidRDefault="00807401" w:rsidP="00807401">
      <w:pPr>
        <w:pStyle w:val="OrderHeading"/>
      </w:pPr>
      <w:r w:rsidRPr="00033382">
        <w:t>BEFORE THE FLORIDA PUBLIC SERVICE COMMISSION</w:t>
      </w:r>
    </w:p>
    <w:p w:rsidR="00807401" w:rsidRPr="00033382" w:rsidRDefault="00807401" w:rsidP="00807401">
      <w:pPr>
        <w:pStyle w:val="OrderHeading"/>
      </w:pPr>
    </w:p>
    <w:p w:rsidR="00807401" w:rsidRPr="00033382" w:rsidRDefault="00807401" w:rsidP="008074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7401" w:rsidRPr="00033382" w:rsidTr="009C6A66">
        <w:trPr>
          <w:trHeight w:val="828"/>
        </w:trPr>
        <w:tc>
          <w:tcPr>
            <w:tcW w:w="4788" w:type="dxa"/>
            <w:tcBorders>
              <w:bottom w:val="single" w:sz="8" w:space="0" w:color="auto"/>
              <w:right w:val="double" w:sz="6" w:space="0" w:color="auto"/>
            </w:tcBorders>
            <w:shd w:val="clear" w:color="auto" w:fill="auto"/>
          </w:tcPr>
          <w:p w:rsidR="00807401" w:rsidRPr="00033382" w:rsidRDefault="00807401" w:rsidP="009C6A66">
            <w:pPr>
              <w:pStyle w:val="OrderBody"/>
              <w:tabs>
                <w:tab w:val="center" w:pos="4320"/>
                <w:tab w:val="right" w:pos="8640"/>
              </w:tabs>
              <w:jc w:val="left"/>
            </w:pPr>
            <w:r w:rsidRPr="00033382">
              <w:t xml:space="preserve">In re: </w:t>
            </w:r>
            <w:bookmarkStart w:id="0" w:name="SSInRe"/>
            <w:bookmarkEnd w:id="0"/>
            <w:r w:rsidRPr="00033382">
              <w:t>Environmental cost recovery clause.</w:t>
            </w:r>
          </w:p>
        </w:tc>
        <w:tc>
          <w:tcPr>
            <w:tcW w:w="4788" w:type="dxa"/>
            <w:tcBorders>
              <w:left w:val="double" w:sz="6" w:space="0" w:color="auto"/>
            </w:tcBorders>
            <w:shd w:val="clear" w:color="auto" w:fill="auto"/>
          </w:tcPr>
          <w:p w:rsidR="00807401" w:rsidRPr="00033382" w:rsidRDefault="00807401" w:rsidP="00807401">
            <w:pPr>
              <w:pStyle w:val="OrderBody"/>
            </w:pPr>
            <w:r w:rsidRPr="00033382">
              <w:t xml:space="preserve">DOCKET NO. </w:t>
            </w:r>
            <w:bookmarkStart w:id="1" w:name="SSDocketNo"/>
            <w:bookmarkEnd w:id="1"/>
            <w:r w:rsidRPr="00033382">
              <w:t>160007-EI</w:t>
            </w:r>
          </w:p>
          <w:p w:rsidR="00807401" w:rsidRPr="00033382" w:rsidRDefault="00807401" w:rsidP="009C6A66">
            <w:pPr>
              <w:pStyle w:val="OrderBody"/>
              <w:tabs>
                <w:tab w:val="center" w:pos="4320"/>
                <w:tab w:val="right" w:pos="8640"/>
              </w:tabs>
              <w:jc w:val="left"/>
            </w:pPr>
            <w:r w:rsidRPr="00033382">
              <w:t xml:space="preserve">ORDER NO. </w:t>
            </w:r>
            <w:bookmarkStart w:id="2" w:name="OrderNo0535"/>
            <w:r w:rsidR="009F3773">
              <w:t>PSC-16-0535-FOF-EI</w:t>
            </w:r>
            <w:bookmarkEnd w:id="2"/>
          </w:p>
          <w:p w:rsidR="00807401" w:rsidRPr="00033382" w:rsidRDefault="00807401" w:rsidP="009C6A66">
            <w:pPr>
              <w:pStyle w:val="OrderBody"/>
              <w:tabs>
                <w:tab w:val="center" w:pos="4320"/>
                <w:tab w:val="right" w:pos="8640"/>
              </w:tabs>
              <w:jc w:val="left"/>
            </w:pPr>
            <w:r w:rsidRPr="00033382">
              <w:t xml:space="preserve">ISSUED: </w:t>
            </w:r>
            <w:r w:rsidR="009F3773">
              <w:t>November 22, 2016</w:t>
            </w:r>
          </w:p>
        </w:tc>
      </w:tr>
    </w:tbl>
    <w:p w:rsidR="00807401" w:rsidRPr="00033382" w:rsidRDefault="00807401" w:rsidP="00807401"/>
    <w:p w:rsidR="00807401" w:rsidRPr="00033382" w:rsidRDefault="00807401" w:rsidP="00807401"/>
    <w:p w:rsidR="00807401" w:rsidRPr="00033382" w:rsidRDefault="00807401">
      <w:pPr>
        <w:ind w:firstLine="720"/>
        <w:jc w:val="both"/>
      </w:pPr>
      <w:bookmarkStart w:id="3" w:name="Commissioners"/>
      <w:bookmarkEnd w:id="3"/>
      <w:r w:rsidRPr="00033382">
        <w:t>The following Commissioners participated in the disposition of this matter:</w:t>
      </w:r>
    </w:p>
    <w:p w:rsidR="00807401" w:rsidRPr="00033382" w:rsidRDefault="00807401"/>
    <w:p w:rsidR="00807401" w:rsidRPr="00033382" w:rsidRDefault="00807401">
      <w:pPr>
        <w:jc w:val="center"/>
      </w:pPr>
      <w:r w:rsidRPr="00033382">
        <w:t>JULIE I. BROWN, Chairman</w:t>
      </w:r>
    </w:p>
    <w:p w:rsidR="00807401" w:rsidRPr="00033382" w:rsidRDefault="00807401">
      <w:pPr>
        <w:jc w:val="center"/>
      </w:pPr>
      <w:r w:rsidRPr="00033382">
        <w:t>LISA POLAK EDGAR</w:t>
      </w:r>
    </w:p>
    <w:p w:rsidR="00807401" w:rsidRPr="00033382" w:rsidRDefault="00807401">
      <w:pPr>
        <w:jc w:val="center"/>
      </w:pPr>
      <w:r w:rsidRPr="00033382">
        <w:t>ART GRAHAM</w:t>
      </w:r>
    </w:p>
    <w:p w:rsidR="00807401" w:rsidRPr="00033382" w:rsidRDefault="00807401">
      <w:pPr>
        <w:jc w:val="center"/>
      </w:pPr>
      <w:r w:rsidRPr="00033382">
        <w:t>RONALD A. BRISÉ</w:t>
      </w:r>
    </w:p>
    <w:p w:rsidR="00807401" w:rsidRPr="00033382" w:rsidRDefault="00807401">
      <w:pPr>
        <w:jc w:val="center"/>
      </w:pPr>
      <w:r w:rsidRPr="00033382">
        <w:t>JIMMY PATRONIS</w:t>
      </w:r>
    </w:p>
    <w:p w:rsidR="00650AAC" w:rsidRPr="00033382" w:rsidRDefault="00650AAC" w:rsidP="00650AAC">
      <w:pPr>
        <w:jc w:val="both"/>
      </w:pPr>
    </w:p>
    <w:p w:rsidR="00650AAC" w:rsidRPr="00033382" w:rsidRDefault="00650AAC" w:rsidP="00650AAC">
      <w:pPr>
        <w:jc w:val="both"/>
      </w:pPr>
      <w:r w:rsidRPr="00033382">
        <w:t>APPEARANCES:</w:t>
      </w:r>
    </w:p>
    <w:p w:rsidR="00650AAC" w:rsidRPr="00033382" w:rsidRDefault="00650AAC" w:rsidP="00650AAC">
      <w:pPr>
        <w:jc w:val="both"/>
      </w:pPr>
    </w:p>
    <w:p w:rsidR="00650AAC" w:rsidRPr="00033382" w:rsidRDefault="00650AAC" w:rsidP="00650AAC">
      <w:pPr>
        <w:jc w:val="both"/>
      </w:pPr>
      <w:r w:rsidRPr="00033382">
        <w:tab/>
      </w:r>
      <w:r w:rsidRPr="00033382">
        <w:tab/>
        <w:t xml:space="preserve">R. WADE LITCHFIELD, ESQUIRE, Vice President and General Counsel, JOHN </w:t>
      </w:r>
      <w:r w:rsidRPr="00033382">
        <w:tab/>
      </w:r>
      <w:r w:rsidRPr="00033382">
        <w:tab/>
        <w:t xml:space="preserve">T. BUTLER, ESQUIRE, Assistant General Counsel – Regulatory, and MARIA J. </w:t>
      </w:r>
      <w:r w:rsidRPr="00033382">
        <w:tab/>
      </w:r>
      <w:r w:rsidRPr="00033382">
        <w:tab/>
      </w:r>
      <w:r w:rsidRPr="00033382">
        <w:tab/>
        <w:t xml:space="preserve">MONCADA, ESQUIRE, Senior Attorney, 700 Universe Boulevard, Juno Beach, </w:t>
      </w:r>
      <w:r w:rsidRPr="00033382">
        <w:tab/>
      </w:r>
      <w:r w:rsidRPr="00033382">
        <w:tab/>
      </w:r>
      <w:r w:rsidRPr="00033382">
        <w:tab/>
        <w:t>Florida 33408-0420</w:t>
      </w:r>
    </w:p>
    <w:p w:rsidR="00650AAC" w:rsidRPr="00033382" w:rsidRDefault="00650AAC" w:rsidP="00650AAC">
      <w:pPr>
        <w:jc w:val="both"/>
        <w:rPr>
          <w:u w:val="single"/>
        </w:rPr>
      </w:pPr>
      <w:r w:rsidRPr="00033382">
        <w:tab/>
      </w:r>
      <w:r w:rsidRPr="00033382">
        <w:tab/>
      </w:r>
      <w:r w:rsidRPr="00033382">
        <w:rPr>
          <w:u w:val="single"/>
        </w:rPr>
        <w:t>On behalf of Florida Power &amp; Light Company (FPL)</w:t>
      </w:r>
    </w:p>
    <w:p w:rsidR="00650AAC" w:rsidRPr="00033382" w:rsidRDefault="00650AAC" w:rsidP="00650AAC">
      <w:pPr>
        <w:jc w:val="both"/>
      </w:pPr>
      <w:r w:rsidRPr="00033382">
        <w:tab/>
      </w:r>
    </w:p>
    <w:p w:rsidR="00650AAC" w:rsidRPr="00033382" w:rsidRDefault="00650AAC" w:rsidP="00650AAC">
      <w:pPr>
        <w:jc w:val="both"/>
      </w:pPr>
      <w:r w:rsidRPr="00033382">
        <w:tab/>
      </w:r>
      <w:r w:rsidRPr="00033382">
        <w:tab/>
        <w:t xml:space="preserve">DIANNE M. TRIPLETT,  ESQUIRE, Associate General Counsel, 299 First </w:t>
      </w:r>
      <w:r w:rsidRPr="00033382">
        <w:tab/>
      </w:r>
      <w:r w:rsidRPr="00033382">
        <w:tab/>
      </w:r>
      <w:r w:rsidRPr="00033382">
        <w:tab/>
        <w:t xml:space="preserve">Avenue North, St. Petersburg, Florida 33701, and MATTHEW R. BERNIER, </w:t>
      </w:r>
      <w:r w:rsidRPr="00033382">
        <w:tab/>
      </w:r>
      <w:r w:rsidRPr="00033382">
        <w:tab/>
      </w:r>
      <w:r w:rsidRPr="00033382">
        <w:tab/>
        <w:t xml:space="preserve">ESQUIRE, Senior Counsel, 106 East College Avenue, Suite 800, Tallahassee, </w:t>
      </w:r>
      <w:r w:rsidRPr="00033382">
        <w:tab/>
      </w:r>
      <w:r w:rsidRPr="00033382">
        <w:tab/>
      </w:r>
      <w:r w:rsidRPr="00033382">
        <w:tab/>
        <w:t>Florida 32301</w:t>
      </w:r>
    </w:p>
    <w:p w:rsidR="00650AAC" w:rsidRPr="00033382" w:rsidRDefault="00650AAC" w:rsidP="00650AAC">
      <w:pPr>
        <w:jc w:val="both"/>
        <w:rPr>
          <w:u w:val="single"/>
        </w:rPr>
      </w:pPr>
      <w:r w:rsidRPr="00033382">
        <w:tab/>
      </w:r>
      <w:r w:rsidRPr="00033382">
        <w:tab/>
      </w:r>
      <w:r w:rsidRPr="00033382">
        <w:rPr>
          <w:u w:val="single"/>
        </w:rPr>
        <w:t>On behalf of Duke Energy Florida, LLC. (DEF)</w:t>
      </w:r>
    </w:p>
    <w:p w:rsidR="00650AAC" w:rsidRPr="00033382" w:rsidRDefault="00650AAC" w:rsidP="00650AAC">
      <w:pPr>
        <w:jc w:val="both"/>
      </w:pPr>
    </w:p>
    <w:p w:rsidR="00650AAC" w:rsidRPr="00033382" w:rsidRDefault="00650AAC" w:rsidP="00650AAC">
      <w:pPr>
        <w:jc w:val="both"/>
      </w:pPr>
      <w:r w:rsidRPr="00033382">
        <w:tab/>
      </w:r>
      <w:r w:rsidRPr="00033382">
        <w:tab/>
      </w:r>
      <w:r w:rsidRPr="00033382">
        <w:rPr>
          <w:caps/>
        </w:rPr>
        <w:t xml:space="preserve">James D. Beasley, Esquire, J. Jeffry Wahlen, Esquire, </w:t>
      </w:r>
      <w:r w:rsidRPr="00033382">
        <w:t>and</w:t>
      </w:r>
      <w:r w:rsidRPr="00033382">
        <w:rPr>
          <w:caps/>
        </w:rPr>
        <w:tab/>
      </w:r>
      <w:r w:rsidRPr="00033382">
        <w:rPr>
          <w:caps/>
        </w:rPr>
        <w:tab/>
      </w:r>
      <w:r w:rsidRPr="00033382">
        <w:rPr>
          <w:caps/>
        </w:rPr>
        <w:tab/>
        <w:t>Ashley M. Daniels, esquire</w:t>
      </w:r>
      <w:r w:rsidRPr="00033382">
        <w:t xml:space="preserve">, Ausley McMullen, P. O. Box 391, </w:t>
      </w:r>
      <w:r w:rsidRPr="00033382">
        <w:tab/>
      </w:r>
      <w:r w:rsidRPr="00033382">
        <w:tab/>
      </w:r>
      <w:r w:rsidRPr="00033382">
        <w:tab/>
      </w:r>
      <w:r w:rsidRPr="00033382">
        <w:tab/>
        <w:t>Tallahassee, Florida 32302</w:t>
      </w:r>
    </w:p>
    <w:p w:rsidR="00650AAC" w:rsidRPr="00033382" w:rsidRDefault="00650AAC" w:rsidP="00650AAC">
      <w:pPr>
        <w:jc w:val="both"/>
      </w:pPr>
      <w:r w:rsidRPr="00033382">
        <w:tab/>
      </w:r>
      <w:r w:rsidRPr="00033382">
        <w:tab/>
      </w:r>
      <w:r w:rsidRPr="00033382">
        <w:rPr>
          <w:u w:val="single"/>
        </w:rPr>
        <w:t>On behalf of Tampa Electric Company (TECO</w:t>
      </w:r>
      <w:r w:rsidRPr="00033382">
        <w:t>)</w:t>
      </w:r>
    </w:p>
    <w:p w:rsidR="00650AAC" w:rsidRPr="00033382" w:rsidRDefault="00650AAC" w:rsidP="00650AAC">
      <w:pPr>
        <w:jc w:val="both"/>
      </w:pPr>
    </w:p>
    <w:p w:rsidR="00650AAC" w:rsidRPr="00033382" w:rsidRDefault="00650AAC" w:rsidP="00650AAC">
      <w:pPr>
        <w:ind w:left="1440"/>
        <w:jc w:val="both"/>
      </w:pPr>
      <w:r w:rsidRPr="00033382">
        <w:rPr>
          <w:caps/>
        </w:rPr>
        <w:t xml:space="preserve">Jeffrey A. Stone, Esquire, Russell A. Badders, Esquire, </w:t>
      </w:r>
      <w:r w:rsidRPr="00033382">
        <w:t xml:space="preserve">and </w:t>
      </w:r>
      <w:r w:rsidRPr="00033382">
        <w:rPr>
          <w:caps/>
        </w:rPr>
        <w:t>Steven R. Griffin, Esquire</w:t>
      </w:r>
      <w:r w:rsidRPr="00033382">
        <w:t>, Beggs &amp; Lane, P. O. Box 12950, Pensacola, Florida 32591-2950</w:t>
      </w:r>
    </w:p>
    <w:p w:rsidR="00650AAC" w:rsidRPr="00033382" w:rsidRDefault="00650AAC" w:rsidP="00650AAC">
      <w:pPr>
        <w:ind w:left="1440"/>
        <w:jc w:val="both"/>
        <w:rPr>
          <w:u w:val="single"/>
        </w:rPr>
      </w:pPr>
      <w:r w:rsidRPr="00033382">
        <w:rPr>
          <w:u w:val="single"/>
        </w:rPr>
        <w:t>On behalf of Gulf Power Company (Gulf)</w:t>
      </w:r>
    </w:p>
    <w:p w:rsidR="00650AAC" w:rsidRPr="00033382" w:rsidRDefault="00650AAC" w:rsidP="00650AAC">
      <w:pPr>
        <w:jc w:val="both"/>
      </w:pPr>
    </w:p>
    <w:p w:rsidR="00650AAC" w:rsidRPr="00033382" w:rsidRDefault="00650AAC" w:rsidP="00650AAC">
      <w:pPr>
        <w:ind w:left="1440"/>
        <w:jc w:val="both"/>
      </w:pPr>
      <w:r w:rsidRPr="00033382">
        <w:rPr>
          <w:caps/>
        </w:rPr>
        <w:t xml:space="preserve">Jon C. Moyle, Jr., Esquire, </w:t>
      </w:r>
      <w:r w:rsidRPr="00033382">
        <w:t>and</w:t>
      </w:r>
      <w:r w:rsidRPr="00033382">
        <w:rPr>
          <w:caps/>
        </w:rPr>
        <w:t xml:space="preserve"> Karen Putnal, Esquire</w:t>
      </w:r>
      <w:r w:rsidRPr="00033382">
        <w:t>, Moyle Law Firm, P.A., 118 North Gadsden Street, Tallahassee, FL  32312</w:t>
      </w:r>
    </w:p>
    <w:p w:rsidR="00650AAC" w:rsidRPr="00033382" w:rsidRDefault="00650AAC" w:rsidP="00650AAC">
      <w:pPr>
        <w:ind w:left="720" w:firstLine="720"/>
        <w:jc w:val="both"/>
      </w:pPr>
      <w:r w:rsidRPr="00033382">
        <w:rPr>
          <w:u w:val="single"/>
        </w:rPr>
        <w:t>On behalf of Florida Industrial Power Users Group (FIPUG)</w:t>
      </w:r>
      <w:r w:rsidRPr="00033382">
        <w:t xml:space="preserve">. </w:t>
      </w:r>
    </w:p>
    <w:p w:rsidR="00650AAC" w:rsidRPr="00033382" w:rsidRDefault="00650AAC">
      <w:r w:rsidRPr="00033382">
        <w:br w:type="page"/>
      </w:r>
    </w:p>
    <w:p w:rsidR="00650AAC" w:rsidRPr="00033382" w:rsidRDefault="00650AAC" w:rsidP="00650AAC">
      <w:pPr>
        <w:jc w:val="both"/>
      </w:pPr>
    </w:p>
    <w:p w:rsidR="00650AAC" w:rsidRPr="00033382" w:rsidRDefault="00650AAC" w:rsidP="00650AAC">
      <w:pPr>
        <w:ind w:left="1440"/>
        <w:jc w:val="both"/>
      </w:pPr>
      <w:r w:rsidRPr="00033382">
        <w:rPr>
          <w:caps/>
        </w:rPr>
        <w:t xml:space="preserve">J. R. KELLY, ESQUIRE, </w:t>
      </w:r>
      <w:r w:rsidRPr="00033382">
        <w:t xml:space="preserve">Public Counsel, </w:t>
      </w:r>
      <w:r w:rsidRPr="00033382">
        <w:rPr>
          <w:caps/>
        </w:rPr>
        <w:t>Patricia A. Christensen, Esquire, Charles Rehwinkel, Esquire</w:t>
      </w:r>
      <w:r w:rsidRPr="00033382">
        <w:t xml:space="preserve">, ERIK SAYLER, ESQUIRE, and STEPHANIE MORSE, ESQUIRE c/o The Florida Legislature, 111 West Madison Street, Room 812, Tallahassee, Florida 32399-1400 </w:t>
      </w:r>
    </w:p>
    <w:p w:rsidR="00650AAC" w:rsidRPr="00033382" w:rsidRDefault="00650AAC" w:rsidP="00650AAC">
      <w:pPr>
        <w:jc w:val="both"/>
        <w:rPr>
          <w:u w:val="single"/>
        </w:rPr>
      </w:pPr>
      <w:r w:rsidRPr="00033382">
        <w:tab/>
      </w:r>
      <w:r w:rsidRPr="00033382">
        <w:tab/>
      </w:r>
      <w:r w:rsidRPr="00033382">
        <w:rPr>
          <w:u w:val="single"/>
        </w:rPr>
        <w:t>On behalf of the Citizens of the State of Florida (OPC)</w:t>
      </w:r>
    </w:p>
    <w:p w:rsidR="00BF12E3" w:rsidRPr="00033382" w:rsidRDefault="00BF12E3" w:rsidP="00650AAC">
      <w:pPr>
        <w:jc w:val="both"/>
        <w:rPr>
          <w:u w:val="single"/>
        </w:rPr>
      </w:pPr>
    </w:p>
    <w:p w:rsidR="00650AAC" w:rsidRPr="00033382" w:rsidRDefault="00650AAC" w:rsidP="00650AAC">
      <w:pPr>
        <w:ind w:left="1440"/>
        <w:jc w:val="both"/>
      </w:pPr>
      <w:r w:rsidRPr="00033382">
        <w:rPr>
          <w:caps/>
        </w:rPr>
        <w:t xml:space="preserve">James W. Brew, Esquire, </w:t>
      </w:r>
      <w:r w:rsidRPr="00033382">
        <w:t>and</w:t>
      </w:r>
      <w:r w:rsidRPr="00033382">
        <w:rPr>
          <w:caps/>
        </w:rPr>
        <w:t xml:space="preserve"> Laura A. Wynn, Esquire</w:t>
      </w:r>
      <w:r w:rsidRPr="00033382">
        <w:t>, Stone Mattheis Xenopoulos &amp; Brew, P.C., 1025 Thomas Jefferson Street, N.W., Eighth Floor, West Tower, Washington, D.C.  20007,</w:t>
      </w:r>
    </w:p>
    <w:p w:rsidR="00650AAC" w:rsidRPr="00033382" w:rsidRDefault="00650AAC" w:rsidP="00650AAC">
      <w:pPr>
        <w:ind w:left="1440"/>
        <w:jc w:val="both"/>
        <w:rPr>
          <w:u w:val="single"/>
        </w:rPr>
      </w:pPr>
      <w:r w:rsidRPr="00033382">
        <w:rPr>
          <w:u w:val="single"/>
        </w:rPr>
        <w:t>On behalf of White Springs Agricultural Chemicals, Inc., d/b/a PCS Phosphate – White Springs (PCS</w:t>
      </w:r>
      <w:r w:rsidR="00FB3F15" w:rsidRPr="00033382">
        <w:rPr>
          <w:u w:val="single"/>
        </w:rPr>
        <w:t xml:space="preserve"> Phosphate</w:t>
      </w:r>
      <w:r w:rsidRPr="00033382">
        <w:rPr>
          <w:u w:val="single"/>
        </w:rPr>
        <w:t>)</w:t>
      </w:r>
    </w:p>
    <w:p w:rsidR="00650AAC" w:rsidRPr="00033382" w:rsidRDefault="00650AAC" w:rsidP="00650AAC">
      <w:pPr>
        <w:jc w:val="both"/>
      </w:pPr>
    </w:p>
    <w:p w:rsidR="00650AAC" w:rsidRPr="00033382" w:rsidRDefault="00650AAC" w:rsidP="00650AAC">
      <w:pPr>
        <w:ind w:left="1440"/>
        <w:jc w:val="both"/>
      </w:pPr>
      <w:r w:rsidRPr="00033382">
        <w:rPr>
          <w:caps/>
        </w:rPr>
        <w:t xml:space="preserve">Charles W. Murphy, ESQUIRE, </w:t>
      </w:r>
      <w:r w:rsidRPr="00033382">
        <w:t>and</w:t>
      </w:r>
      <w:r w:rsidRPr="00033382">
        <w:rPr>
          <w:caps/>
        </w:rPr>
        <w:t xml:space="preserve"> Bianca Lherisson, ESQUIRE</w:t>
      </w:r>
      <w:r w:rsidRPr="00033382">
        <w:t>, Florida Public Service Commission, 2540 Shumard Oak Boulevard, Tallahassee, Florida 32399-0850</w:t>
      </w:r>
    </w:p>
    <w:p w:rsidR="00650AAC" w:rsidRPr="00033382" w:rsidRDefault="00650AAC" w:rsidP="00650AAC">
      <w:pPr>
        <w:ind w:left="720" w:firstLine="720"/>
        <w:jc w:val="both"/>
      </w:pPr>
      <w:r w:rsidRPr="00033382">
        <w:rPr>
          <w:u w:val="single"/>
        </w:rPr>
        <w:t>On behalf of the Florida Public Service Commission (Staff)</w:t>
      </w:r>
      <w:r w:rsidRPr="00033382">
        <w:t>.</w:t>
      </w:r>
    </w:p>
    <w:p w:rsidR="00650AAC" w:rsidRPr="00033382" w:rsidRDefault="00650AAC" w:rsidP="00650AAC">
      <w:pPr>
        <w:jc w:val="both"/>
      </w:pPr>
    </w:p>
    <w:p w:rsidR="00650AAC" w:rsidRPr="00033382" w:rsidRDefault="00650AAC" w:rsidP="00650AAC">
      <w:pPr>
        <w:ind w:left="1440"/>
        <w:jc w:val="both"/>
      </w:pPr>
      <w:r w:rsidRPr="00033382">
        <w:rPr>
          <w:caps/>
        </w:rPr>
        <w:t>Mary Anne Helton,</w:t>
      </w:r>
      <w:r w:rsidRPr="00033382">
        <w:t xml:space="preserve"> ESQUIRE, Deputy General Counsel, Florida Public Service Commission, 2540 Shumard Oak Boulevard, Tallahassee, Florida 32399-0850</w:t>
      </w:r>
    </w:p>
    <w:p w:rsidR="00650AAC" w:rsidRPr="00033382" w:rsidRDefault="00FB3F15" w:rsidP="00650AAC">
      <w:pPr>
        <w:ind w:left="720" w:firstLine="720"/>
        <w:jc w:val="both"/>
      </w:pPr>
      <w:r w:rsidRPr="00033382">
        <w:rPr>
          <w:u w:val="single"/>
        </w:rPr>
        <w:t>Advisor</w:t>
      </w:r>
      <w:r w:rsidR="00650AAC" w:rsidRPr="00033382">
        <w:rPr>
          <w:u w:val="single"/>
        </w:rPr>
        <w:t xml:space="preserve"> to the Florida Public Service Commission</w:t>
      </w:r>
      <w:r w:rsidR="00650AAC" w:rsidRPr="00033382">
        <w:t>.</w:t>
      </w:r>
    </w:p>
    <w:p w:rsidR="00650AAC" w:rsidRPr="00033382" w:rsidRDefault="00650AAC" w:rsidP="00650AAC">
      <w:pPr>
        <w:pStyle w:val="CenterUnderline"/>
      </w:pPr>
    </w:p>
    <w:p w:rsidR="00650AAC" w:rsidRPr="00033382" w:rsidRDefault="00650AAC" w:rsidP="00650AAC">
      <w:pPr>
        <w:pStyle w:val="CenterUnderline"/>
      </w:pPr>
    </w:p>
    <w:p w:rsidR="00650AAC" w:rsidRPr="00033382" w:rsidRDefault="00650AAC">
      <w:pPr>
        <w:pStyle w:val="OrderBody"/>
      </w:pPr>
    </w:p>
    <w:p w:rsidR="007A5248" w:rsidRPr="00033382" w:rsidRDefault="007A5248" w:rsidP="00807401">
      <w:pPr>
        <w:pStyle w:val="CenterUnderline"/>
      </w:pPr>
      <w:r w:rsidRPr="00033382">
        <w:t>FINAL ORDER</w:t>
      </w:r>
      <w:bookmarkStart w:id="4" w:name="OrderTitle"/>
      <w:r w:rsidRPr="00033382">
        <w:t xml:space="preserve"> </w:t>
      </w:r>
    </w:p>
    <w:p w:rsidR="007A5248" w:rsidRPr="00033382" w:rsidRDefault="007A5248" w:rsidP="00807401">
      <w:pPr>
        <w:pStyle w:val="CenterUnderline"/>
      </w:pPr>
      <w:r w:rsidRPr="00033382">
        <w:t>APPROVING PROJECTED EXPENDITURES AND TRUE-UP</w:t>
      </w:r>
    </w:p>
    <w:p w:rsidR="00807401" w:rsidRPr="00033382" w:rsidRDefault="007A5248" w:rsidP="00807401">
      <w:pPr>
        <w:pStyle w:val="CenterUnderline"/>
      </w:pPr>
      <w:r w:rsidRPr="00033382">
        <w:t xml:space="preserve"> AMOUNTS FOR ENVIRONMENTAL COST RECOVERY</w:t>
      </w:r>
      <w:bookmarkEnd w:id="4"/>
    </w:p>
    <w:p w:rsidR="00807401" w:rsidRPr="00033382" w:rsidRDefault="00807401" w:rsidP="00807401">
      <w:pPr>
        <w:pStyle w:val="CenterUnderline"/>
      </w:pPr>
    </w:p>
    <w:p w:rsidR="00807401" w:rsidRPr="00033382" w:rsidRDefault="00807401" w:rsidP="00807401">
      <w:pPr>
        <w:pStyle w:val="OrderBody"/>
      </w:pPr>
      <w:r w:rsidRPr="00033382">
        <w:t>BY THE COMMISSION:</w:t>
      </w:r>
    </w:p>
    <w:p w:rsidR="00807401" w:rsidRPr="00033382" w:rsidRDefault="00807401" w:rsidP="00807401">
      <w:pPr>
        <w:pStyle w:val="OrderBody"/>
      </w:pPr>
    </w:p>
    <w:p w:rsidR="00650AAC" w:rsidRPr="00033382" w:rsidRDefault="00650AAC" w:rsidP="00650AAC">
      <w:pPr>
        <w:ind w:left="720" w:hanging="720"/>
        <w:jc w:val="center"/>
        <w:rPr>
          <w:u w:val="single"/>
        </w:rPr>
      </w:pPr>
      <w:r w:rsidRPr="00033382">
        <w:rPr>
          <w:u w:val="single"/>
        </w:rPr>
        <w:t>BACKGROUND</w:t>
      </w:r>
    </w:p>
    <w:p w:rsidR="00650AAC" w:rsidRPr="00033382" w:rsidRDefault="00650AAC" w:rsidP="00650AAC">
      <w:pPr>
        <w:ind w:left="720" w:hanging="720"/>
        <w:jc w:val="both"/>
      </w:pPr>
    </w:p>
    <w:p w:rsidR="00650AAC" w:rsidRPr="00033382" w:rsidRDefault="003B2F66" w:rsidP="00650AAC">
      <w:pPr>
        <w:jc w:val="both"/>
      </w:pPr>
      <w:r>
        <w:tab/>
        <w:t>As part of the Public Service</w:t>
      </w:r>
      <w:r w:rsidR="00650AAC" w:rsidRPr="00033382">
        <w:t xml:space="preserve"> Commission’s continuing Environmental Cost Recovery Clause proceedings, a hearing was held in this docket on November 2, 201</w:t>
      </w:r>
      <w:r w:rsidR="00EE3E83" w:rsidRPr="00033382">
        <w:t>6</w:t>
      </w:r>
      <w:r w:rsidR="00650AAC" w:rsidRPr="00033382">
        <w:t>. We are vested with jurisdiction over the subject matter</w:t>
      </w:r>
      <w:r>
        <w:t>s</w:t>
      </w:r>
      <w:r w:rsidR="00650AAC" w:rsidRPr="00033382">
        <w:t xml:space="preserve"> by the provisions of Section 366.8255, Florida Statutes (F.S.). </w:t>
      </w:r>
    </w:p>
    <w:p w:rsidR="00650AAC" w:rsidRPr="00033382" w:rsidRDefault="00650AAC" w:rsidP="00650AAC">
      <w:pPr>
        <w:jc w:val="both"/>
      </w:pPr>
    </w:p>
    <w:p w:rsidR="00650AAC" w:rsidRPr="00033382" w:rsidRDefault="00650AAC" w:rsidP="00650AAC">
      <w:pPr>
        <w:jc w:val="center"/>
        <w:rPr>
          <w:u w:val="single"/>
        </w:rPr>
      </w:pPr>
      <w:r w:rsidRPr="00033382">
        <w:rPr>
          <w:u w:val="single"/>
        </w:rPr>
        <w:t>DECISION</w:t>
      </w:r>
    </w:p>
    <w:p w:rsidR="00807401" w:rsidRPr="00033382" w:rsidRDefault="00807401" w:rsidP="00807401">
      <w:pPr>
        <w:pStyle w:val="OrderBody"/>
      </w:pPr>
    </w:p>
    <w:p w:rsidR="00807401" w:rsidRPr="00033382" w:rsidRDefault="007A5248" w:rsidP="007A5248">
      <w:pPr>
        <w:pStyle w:val="OrderBody"/>
        <w:rPr>
          <w:bCs/>
        </w:rPr>
      </w:pPr>
      <w:r w:rsidRPr="00033382">
        <w:tab/>
        <w:t>The parties have resolved all issues by stipulation as follows: DEF, FPL, Gulf, and TECO support the stipulations. OPC</w:t>
      </w:r>
      <w:r w:rsidR="006A3982">
        <w:t xml:space="preserve"> </w:t>
      </w:r>
      <w:r w:rsidR="006A3982">
        <w:rPr>
          <w:bCs/>
        </w:rPr>
        <w:t xml:space="preserve">supports </w:t>
      </w:r>
      <w:r w:rsidR="006A3982" w:rsidRPr="00033382">
        <w:rPr>
          <w:bCs/>
        </w:rPr>
        <w:t>stipulation for the deferral of</w:t>
      </w:r>
      <w:r w:rsidR="006A3982">
        <w:t xml:space="preserve"> stipulations </w:t>
      </w:r>
      <w:r w:rsidRPr="00033382">
        <w:t xml:space="preserve">9A (addressing Gulf’s Scherer Unit 3) and 10 (addressing FPL’s projected 2017 costs for its Turkey Point Cooling Canal Monitoring Plan project).  </w:t>
      </w:r>
      <w:r w:rsidRPr="00033382">
        <w:rPr>
          <w:bCs/>
        </w:rPr>
        <w:t xml:space="preserve">OPC </w:t>
      </w:r>
      <w:r w:rsidR="006A3982">
        <w:t xml:space="preserve">does not </w:t>
      </w:r>
      <w:r w:rsidR="00E9457A">
        <w:t xml:space="preserve">support or </w:t>
      </w:r>
      <w:r w:rsidR="006A3982">
        <w:t xml:space="preserve">oppose </w:t>
      </w:r>
      <w:r w:rsidR="006A3982" w:rsidRPr="00033382">
        <w:t xml:space="preserve">stipulations on all </w:t>
      </w:r>
      <w:r w:rsidR="006A3982">
        <w:t xml:space="preserve">remaining </w:t>
      </w:r>
      <w:r w:rsidR="0053257A">
        <w:t>issues</w:t>
      </w:r>
      <w:r w:rsidRPr="00033382">
        <w:rPr>
          <w:bCs/>
        </w:rPr>
        <w:t xml:space="preserve">.  PCS Phosphate and FIPUG </w:t>
      </w:r>
      <w:r w:rsidR="00F55CEF">
        <w:rPr>
          <w:bCs/>
        </w:rPr>
        <w:t xml:space="preserve">do not </w:t>
      </w:r>
      <w:r w:rsidR="00E9457A">
        <w:rPr>
          <w:bCs/>
        </w:rPr>
        <w:t xml:space="preserve">support or </w:t>
      </w:r>
      <w:r w:rsidR="00F55CEF">
        <w:rPr>
          <w:bCs/>
        </w:rPr>
        <w:t xml:space="preserve">oppose </w:t>
      </w:r>
      <w:r w:rsidRPr="00033382">
        <w:rPr>
          <w:bCs/>
        </w:rPr>
        <w:t>stipulation of all issues.</w:t>
      </w:r>
    </w:p>
    <w:p w:rsidR="00807401" w:rsidRPr="00033382" w:rsidRDefault="00807401" w:rsidP="00807401">
      <w:pPr>
        <w:pStyle w:val="OrderBody"/>
      </w:pPr>
    </w:p>
    <w:p w:rsidR="00A407CC" w:rsidRPr="00033382" w:rsidRDefault="00A407CC" w:rsidP="00A407CC">
      <w:pPr>
        <w:ind w:left="720"/>
        <w:jc w:val="both"/>
        <w:rPr>
          <w:bCs/>
        </w:rPr>
      </w:pPr>
    </w:p>
    <w:p w:rsidR="00A407CC" w:rsidRPr="00033382" w:rsidRDefault="00A407CC" w:rsidP="00374D1B">
      <w:pPr>
        <w:pStyle w:val="ListParagraph"/>
        <w:numPr>
          <w:ilvl w:val="0"/>
          <w:numId w:val="1"/>
        </w:numPr>
        <w:ind w:left="720" w:hanging="720"/>
        <w:jc w:val="both"/>
        <w:outlineLvl w:val="3"/>
        <w:rPr>
          <w:b/>
        </w:rPr>
      </w:pPr>
      <w:r w:rsidRPr="00033382">
        <w:rPr>
          <w:b/>
        </w:rPr>
        <w:t xml:space="preserve">Final </w:t>
      </w:r>
      <w:r w:rsidR="00737ABB" w:rsidRPr="00033382">
        <w:rPr>
          <w:b/>
        </w:rPr>
        <w:t>Environmental Cost Recovery True-Up Amounts:</w:t>
      </w:r>
    </w:p>
    <w:p w:rsidR="00A407CC" w:rsidRPr="00033382" w:rsidRDefault="00A407CC" w:rsidP="00374D1B">
      <w:pPr>
        <w:ind w:left="720"/>
        <w:jc w:val="both"/>
        <w:outlineLvl w:val="3"/>
        <w:rPr>
          <w:b/>
        </w:rPr>
      </w:pPr>
      <w:r w:rsidRPr="00033382">
        <w:rPr>
          <w:b/>
        </w:rPr>
        <w:t>Jan</w:t>
      </w:r>
      <w:r w:rsidR="00737ABB" w:rsidRPr="00033382">
        <w:rPr>
          <w:b/>
        </w:rPr>
        <w:t>uary 2015 Through December 2015</w:t>
      </w:r>
    </w:p>
    <w:p w:rsidR="00A407CC" w:rsidRPr="00033382" w:rsidRDefault="00A407CC" w:rsidP="00A407CC">
      <w:pPr>
        <w:jc w:val="both"/>
        <w:outlineLvl w:val="3"/>
      </w:pPr>
    </w:p>
    <w:p w:rsidR="00737ABB" w:rsidRPr="00033382" w:rsidRDefault="00737ABB" w:rsidP="00374D1B">
      <w:pPr>
        <w:ind w:left="720"/>
        <w:jc w:val="both"/>
        <w:outlineLvl w:val="3"/>
      </w:pPr>
      <w:r w:rsidRPr="00033382">
        <w:t>The final environmental cost recovery amounts for the per</w:t>
      </w:r>
      <w:r w:rsidR="00D961A8" w:rsidRPr="00033382">
        <w:t>iod</w:t>
      </w:r>
      <w:r w:rsidRPr="00033382">
        <w:t xml:space="preserve"> ending December </w:t>
      </w:r>
      <w:r w:rsidR="002919C9" w:rsidRPr="00033382">
        <w:t xml:space="preserve">31, 2015, are: </w:t>
      </w:r>
    </w:p>
    <w:p w:rsidR="002919C9" w:rsidRPr="00033382" w:rsidRDefault="002919C9" w:rsidP="00A407CC">
      <w:pPr>
        <w:jc w:val="both"/>
        <w:outlineLvl w:val="3"/>
      </w:pPr>
    </w:p>
    <w:tbl>
      <w:tblPr>
        <w:tblStyle w:val="TableGrid1"/>
        <w:tblW w:w="0" w:type="auto"/>
        <w:tblInd w:w="1728" w:type="dxa"/>
        <w:tblLook w:val="04A0" w:firstRow="1" w:lastRow="0" w:firstColumn="1" w:lastColumn="0" w:noHBand="0" w:noVBand="1"/>
      </w:tblPr>
      <w:tblGrid>
        <w:gridCol w:w="1104"/>
        <w:gridCol w:w="2316"/>
        <w:gridCol w:w="2700"/>
      </w:tblGrid>
      <w:tr w:rsidR="00A407CC" w:rsidRPr="00033382" w:rsidTr="00F916CE">
        <w:tc>
          <w:tcPr>
            <w:tcW w:w="1104"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FPL </w:t>
            </w:r>
          </w:p>
        </w:tc>
        <w:tc>
          <w:tcPr>
            <w:tcW w:w="231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$17,817,012 </w:t>
            </w:r>
          </w:p>
        </w:tc>
        <w:tc>
          <w:tcPr>
            <w:tcW w:w="270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Over-Recovery </w:t>
            </w:r>
          </w:p>
        </w:tc>
      </w:tr>
      <w:tr w:rsidR="00A407CC" w:rsidRPr="00033382" w:rsidTr="00F916CE">
        <w:tc>
          <w:tcPr>
            <w:tcW w:w="1104"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Duke </w:t>
            </w:r>
          </w:p>
        </w:tc>
        <w:tc>
          <w:tcPr>
            <w:tcW w:w="231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$1,951,488 </w:t>
            </w:r>
          </w:p>
        </w:tc>
        <w:tc>
          <w:tcPr>
            <w:tcW w:w="270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Over-Recovery </w:t>
            </w:r>
          </w:p>
        </w:tc>
      </w:tr>
      <w:tr w:rsidR="00A407CC" w:rsidRPr="00033382" w:rsidTr="00F916CE">
        <w:tc>
          <w:tcPr>
            <w:tcW w:w="1104"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TECO</w:t>
            </w:r>
          </w:p>
        </w:tc>
        <w:tc>
          <w:tcPr>
            <w:tcW w:w="231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$1,721,184 </w:t>
            </w:r>
          </w:p>
        </w:tc>
        <w:tc>
          <w:tcPr>
            <w:tcW w:w="270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Over-Recovery </w:t>
            </w:r>
          </w:p>
        </w:tc>
      </w:tr>
      <w:tr w:rsidR="00A407CC" w:rsidRPr="00033382" w:rsidTr="00F916CE">
        <w:tc>
          <w:tcPr>
            <w:tcW w:w="1104"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Gulf </w:t>
            </w:r>
          </w:p>
        </w:tc>
        <w:tc>
          <w:tcPr>
            <w:tcW w:w="231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$3,061,120 </w:t>
            </w:r>
          </w:p>
        </w:tc>
        <w:tc>
          <w:tcPr>
            <w:tcW w:w="270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Over-Recovery</w:t>
            </w:r>
          </w:p>
        </w:tc>
      </w:tr>
    </w:tbl>
    <w:p w:rsidR="00A407CC" w:rsidRPr="00033382" w:rsidRDefault="00A407CC" w:rsidP="00A407CC">
      <w:pPr>
        <w:jc w:val="both"/>
        <w:outlineLvl w:val="3"/>
        <w:rPr>
          <w:bCs/>
        </w:rPr>
      </w:pPr>
    </w:p>
    <w:p w:rsidR="00A407CC" w:rsidRPr="00033382" w:rsidRDefault="00A407CC" w:rsidP="00A407CC">
      <w:pPr>
        <w:jc w:val="both"/>
        <w:outlineLvl w:val="3"/>
        <w:rPr>
          <w:bCs/>
        </w:rPr>
      </w:pPr>
    </w:p>
    <w:p w:rsidR="00A407CC" w:rsidRPr="00033382" w:rsidRDefault="002919C9" w:rsidP="00374D1B">
      <w:pPr>
        <w:pStyle w:val="ListParagraph"/>
        <w:numPr>
          <w:ilvl w:val="0"/>
          <w:numId w:val="1"/>
        </w:numPr>
        <w:ind w:left="720" w:hanging="720"/>
        <w:jc w:val="both"/>
        <w:outlineLvl w:val="3"/>
        <w:rPr>
          <w:b/>
          <w:bCs/>
          <w:szCs w:val="26"/>
        </w:rPr>
      </w:pPr>
      <w:r w:rsidRPr="00033382">
        <w:rPr>
          <w:b/>
          <w:bCs/>
          <w:szCs w:val="26"/>
        </w:rPr>
        <w:t xml:space="preserve">Actual/Estimated Environmental Cost Recovery True-Up Amounts: </w:t>
      </w:r>
      <w:r w:rsidRPr="00033382">
        <w:rPr>
          <w:b/>
          <w:bCs/>
          <w:szCs w:val="26"/>
        </w:rPr>
        <w:tab/>
      </w:r>
      <w:r w:rsidRPr="00033382">
        <w:rPr>
          <w:b/>
          <w:bCs/>
          <w:szCs w:val="26"/>
        </w:rPr>
        <w:tab/>
        <w:t xml:space="preserve"> </w:t>
      </w:r>
      <w:r w:rsidR="00A407CC" w:rsidRPr="00033382">
        <w:rPr>
          <w:b/>
          <w:bCs/>
          <w:szCs w:val="26"/>
        </w:rPr>
        <w:t xml:space="preserve">January </w:t>
      </w:r>
      <w:r w:rsidRPr="00033382">
        <w:rPr>
          <w:b/>
          <w:bCs/>
          <w:szCs w:val="26"/>
        </w:rPr>
        <w:t xml:space="preserve">2016 Through </w:t>
      </w:r>
      <w:r w:rsidR="00737ABB" w:rsidRPr="00033382">
        <w:rPr>
          <w:b/>
          <w:bCs/>
          <w:szCs w:val="26"/>
        </w:rPr>
        <w:t xml:space="preserve">December </w:t>
      </w:r>
      <w:r w:rsidRPr="00033382">
        <w:rPr>
          <w:b/>
          <w:bCs/>
          <w:szCs w:val="26"/>
        </w:rPr>
        <w:t>2016</w:t>
      </w:r>
    </w:p>
    <w:p w:rsidR="00A407CC" w:rsidRPr="00033382" w:rsidRDefault="00A407CC" w:rsidP="00374D1B">
      <w:pPr>
        <w:ind w:left="720" w:hanging="720"/>
        <w:jc w:val="both"/>
        <w:outlineLvl w:val="3"/>
        <w:rPr>
          <w:bCs/>
          <w:szCs w:val="26"/>
        </w:rPr>
      </w:pPr>
    </w:p>
    <w:p w:rsidR="002919C9" w:rsidRPr="00033382" w:rsidRDefault="002919C9" w:rsidP="00374D1B">
      <w:pPr>
        <w:ind w:left="720"/>
        <w:jc w:val="both"/>
        <w:outlineLvl w:val="3"/>
        <w:rPr>
          <w:bCs/>
          <w:szCs w:val="26"/>
        </w:rPr>
      </w:pPr>
      <w:r w:rsidRPr="00033382">
        <w:rPr>
          <w:bCs/>
          <w:szCs w:val="26"/>
        </w:rPr>
        <w:t>The actual/estimated environmental cost recovery true-up amounts for the period January 2016, through December 2016, are:</w:t>
      </w:r>
    </w:p>
    <w:p w:rsidR="002919C9" w:rsidRPr="00033382" w:rsidRDefault="002919C9" w:rsidP="00A407CC">
      <w:pPr>
        <w:jc w:val="both"/>
        <w:outlineLvl w:val="3"/>
        <w:rPr>
          <w:bCs/>
          <w:szCs w:val="26"/>
        </w:rPr>
      </w:pPr>
    </w:p>
    <w:tbl>
      <w:tblPr>
        <w:tblStyle w:val="TableGrid2"/>
        <w:tblW w:w="0" w:type="auto"/>
        <w:tblInd w:w="1728" w:type="dxa"/>
        <w:tblLook w:val="04A0" w:firstRow="1" w:lastRow="0" w:firstColumn="1" w:lastColumn="0" w:noHBand="0" w:noVBand="1"/>
      </w:tblPr>
      <w:tblGrid>
        <w:gridCol w:w="1104"/>
        <w:gridCol w:w="2316"/>
        <w:gridCol w:w="2700"/>
      </w:tblGrid>
      <w:tr w:rsidR="00A407CC" w:rsidRPr="00033382" w:rsidTr="00F916CE">
        <w:tc>
          <w:tcPr>
            <w:tcW w:w="1104"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FPL </w:t>
            </w:r>
          </w:p>
        </w:tc>
        <w:tc>
          <w:tcPr>
            <w:tcW w:w="231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$6,424,842 </w:t>
            </w:r>
          </w:p>
        </w:tc>
        <w:tc>
          <w:tcPr>
            <w:tcW w:w="270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Under-Recovery </w:t>
            </w:r>
          </w:p>
        </w:tc>
      </w:tr>
      <w:tr w:rsidR="00A407CC" w:rsidRPr="00033382" w:rsidTr="00F916CE">
        <w:tc>
          <w:tcPr>
            <w:tcW w:w="1104"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Duke</w:t>
            </w:r>
          </w:p>
        </w:tc>
        <w:tc>
          <w:tcPr>
            <w:tcW w:w="231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$6,606,430 </w:t>
            </w:r>
          </w:p>
        </w:tc>
        <w:tc>
          <w:tcPr>
            <w:tcW w:w="270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Over-Recovery </w:t>
            </w:r>
          </w:p>
        </w:tc>
      </w:tr>
      <w:tr w:rsidR="00A407CC" w:rsidRPr="00033382" w:rsidTr="00F916CE">
        <w:tc>
          <w:tcPr>
            <w:tcW w:w="1104"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TECO  </w:t>
            </w:r>
          </w:p>
        </w:tc>
        <w:tc>
          <w:tcPr>
            <w:tcW w:w="231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$5,755,973 </w:t>
            </w:r>
          </w:p>
        </w:tc>
        <w:tc>
          <w:tcPr>
            <w:tcW w:w="270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Over-Recovery </w:t>
            </w:r>
          </w:p>
        </w:tc>
      </w:tr>
      <w:tr w:rsidR="00A407CC" w:rsidRPr="00033382" w:rsidTr="00F916CE">
        <w:tc>
          <w:tcPr>
            <w:tcW w:w="1104"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Gulf </w:t>
            </w:r>
          </w:p>
        </w:tc>
        <w:tc>
          <w:tcPr>
            <w:tcW w:w="231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$7,840,455 </w:t>
            </w:r>
          </w:p>
        </w:tc>
        <w:tc>
          <w:tcPr>
            <w:tcW w:w="270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Over-Recovery</w:t>
            </w:r>
          </w:p>
        </w:tc>
      </w:tr>
    </w:tbl>
    <w:p w:rsidR="002919C9" w:rsidRPr="00033382" w:rsidRDefault="002919C9" w:rsidP="00A407CC">
      <w:pPr>
        <w:jc w:val="both"/>
        <w:rPr>
          <w:b/>
        </w:rPr>
      </w:pPr>
    </w:p>
    <w:p w:rsidR="002919C9" w:rsidRPr="00033382" w:rsidRDefault="002919C9" w:rsidP="00A407CC">
      <w:pPr>
        <w:jc w:val="both"/>
        <w:rPr>
          <w:b/>
        </w:rPr>
      </w:pPr>
    </w:p>
    <w:p w:rsidR="002919C9" w:rsidRPr="00033382" w:rsidRDefault="002919C9" w:rsidP="00374D1B">
      <w:pPr>
        <w:pStyle w:val="ListParagraph"/>
        <w:numPr>
          <w:ilvl w:val="0"/>
          <w:numId w:val="1"/>
        </w:numPr>
        <w:ind w:left="720" w:hanging="720"/>
        <w:jc w:val="both"/>
        <w:rPr>
          <w:b/>
        </w:rPr>
      </w:pPr>
      <w:r w:rsidRPr="00033382">
        <w:rPr>
          <w:b/>
        </w:rPr>
        <w:t>Projected Environmental Cost Recovery Amounts:</w:t>
      </w:r>
      <w:r w:rsidRPr="00033382">
        <w:rPr>
          <w:b/>
        </w:rPr>
        <w:tab/>
      </w:r>
    </w:p>
    <w:p w:rsidR="00A407CC" w:rsidRPr="00033382" w:rsidRDefault="002919C9" w:rsidP="00374D1B">
      <w:pPr>
        <w:ind w:left="720"/>
        <w:jc w:val="both"/>
        <w:rPr>
          <w:b/>
        </w:rPr>
      </w:pPr>
      <w:r w:rsidRPr="00033382">
        <w:rPr>
          <w:b/>
        </w:rPr>
        <w:t>January 2017 Through December 2017</w:t>
      </w:r>
    </w:p>
    <w:p w:rsidR="00A407CC" w:rsidRPr="00033382" w:rsidRDefault="00A407CC" w:rsidP="00374D1B">
      <w:pPr>
        <w:ind w:left="720" w:hanging="720"/>
        <w:jc w:val="both"/>
      </w:pPr>
    </w:p>
    <w:p w:rsidR="00EC11E5" w:rsidRPr="00033382" w:rsidRDefault="00EC11E5" w:rsidP="00374D1B">
      <w:pPr>
        <w:ind w:left="720"/>
        <w:jc w:val="both"/>
      </w:pPr>
      <w:r w:rsidRPr="00033382">
        <w:t>The projected environmental cost recovery amounts for the period January 2017, through December 2017, are:</w:t>
      </w:r>
    </w:p>
    <w:p w:rsidR="00EC11E5" w:rsidRPr="00033382" w:rsidRDefault="00EC11E5" w:rsidP="00A407CC">
      <w:pPr>
        <w:jc w:val="both"/>
      </w:pPr>
    </w:p>
    <w:tbl>
      <w:tblPr>
        <w:tblStyle w:val="TableGrid3"/>
        <w:tblW w:w="0" w:type="auto"/>
        <w:jc w:val="center"/>
        <w:tblInd w:w="745" w:type="dxa"/>
        <w:tblLook w:val="04A0" w:firstRow="1" w:lastRow="0" w:firstColumn="1" w:lastColumn="0" w:noHBand="0" w:noVBand="1"/>
      </w:tblPr>
      <w:tblGrid>
        <w:gridCol w:w="1046"/>
        <w:gridCol w:w="2340"/>
        <w:gridCol w:w="2700"/>
      </w:tblGrid>
      <w:tr w:rsidR="00A407CC" w:rsidRPr="00033382" w:rsidTr="00F916CE">
        <w:trPr>
          <w:jc w:val="center"/>
        </w:trPr>
        <w:tc>
          <w:tcPr>
            <w:tcW w:w="104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FPL*</w:t>
            </w:r>
          </w:p>
        </w:tc>
        <w:tc>
          <w:tcPr>
            <w:tcW w:w="234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$256,332,720 </w:t>
            </w:r>
          </w:p>
        </w:tc>
        <w:tc>
          <w:tcPr>
            <w:tcW w:w="270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12 CP and 25% allocation </w:t>
            </w:r>
          </w:p>
        </w:tc>
      </w:tr>
      <w:tr w:rsidR="00A407CC" w:rsidRPr="00033382" w:rsidTr="00F916CE">
        <w:trPr>
          <w:jc w:val="center"/>
        </w:trPr>
        <w:tc>
          <w:tcPr>
            <w:tcW w:w="104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FPL*</w:t>
            </w:r>
          </w:p>
        </w:tc>
        <w:tc>
          <w:tcPr>
            <w:tcW w:w="234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$256,370,332 </w:t>
            </w:r>
          </w:p>
        </w:tc>
        <w:tc>
          <w:tcPr>
            <w:tcW w:w="270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12 CP and 1/13th allocation </w:t>
            </w:r>
          </w:p>
        </w:tc>
      </w:tr>
      <w:tr w:rsidR="00A407CC" w:rsidRPr="00033382" w:rsidTr="00F916CE">
        <w:trPr>
          <w:jc w:val="center"/>
        </w:trPr>
        <w:tc>
          <w:tcPr>
            <w:tcW w:w="104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Duke </w:t>
            </w:r>
          </w:p>
        </w:tc>
        <w:tc>
          <w:tcPr>
            <w:tcW w:w="234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$66,227,010 </w:t>
            </w:r>
          </w:p>
        </w:tc>
        <w:tc>
          <w:tcPr>
            <w:tcW w:w="2700" w:type="dxa"/>
          </w:tcPr>
          <w:p w:rsidR="00A407CC" w:rsidRPr="00033382" w:rsidRDefault="00A407CC" w:rsidP="009C6A66">
            <w:pPr>
              <w:rPr>
                <w:rFonts w:ascii="Times New Roman" w:hAnsi="Times New Roman" w:cs="Times New Roman"/>
                <w:sz w:val="22"/>
                <w:szCs w:val="22"/>
              </w:rPr>
            </w:pPr>
          </w:p>
        </w:tc>
      </w:tr>
      <w:tr w:rsidR="00A407CC" w:rsidRPr="00033382" w:rsidTr="00F916CE">
        <w:trPr>
          <w:jc w:val="center"/>
        </w:trPr>
        <w:tc>
          <w:tcPr>
            <w:tcW w:w="104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TECO </w:t>
            </w:r>
          </w:p>
        </w:tc>
        <w:tc>
          <w:tcPr>
            <w:tcW w:w="234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$81,235,918 </w:t>
            </w:r>
          </w:p>
        </w:tc>
        <w:tc>
          <w:tcPr>
            <w:tcW w:w="2700" w:type="dxa"/>
          </w:tcPr>
          <w:p w:rsidR="00A407CC" w:rsidRPr="00033382" w:rsidRDefault="00A407CC" w:rsidP="009C6A66">
            <w:pPr>
              <w:rPr>
                <w:rFonts w:ascii="Times New Roman" w:hAnsi="Times New Roman" w:cs="Times New Roman"/>
                <w:sz w:val="22"/>
                <w:szCs w:val="22"/>
              </w:rPr>
            </w:pPr>
          </w:p>
        </w:tc>
      </w:tr>
      <w:tr w:rsidR="00A407CC" w:rsidRPr="00033382" w:rsidTr="00F916CE">
        <w:trPr>
          <w:jc w:val="center"/>
        </w:trPr>
        <w:tc>
          <w:tcPr>
            <w:tcW w:w="1046"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Gulf </w:t>
            </w:r>
          </w:p>
        </w:tc>
        <w:tc>
          <w:tcPr>
            <w:tcW w:w="234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$218,646,595 </w:t>
            </w:r>
          </w:p>
        </w:tc>
        <w:tc>
          <w:tcPr>
            <w:tcW w:w="2700" w:type="dxa"/>
          </w:tcPr>
          <w:p w:rsidR="00A407CC" w:rsidRPr="00033382" w:rsidRDefault="00A407CC" w:rsidP="009C6A66">
            <w:pPr>
              <w:rPr>
                <w:rFonts w:ascii="Times New Roman" w:hAnsi="Times New Roman" w:cs="Times New Roman"/>
                <w:sz w:val="22"/>
                <w:szCs w:val="22"/>
              </w:rPr>
            </w:pPr>
          </w:p>
        </w:tc>
      </w:tr>
    </w:tbl>
    <w:p w:rsidR="00A407CC" w:rsidRPr="00033382" w:rsidRDefault="00A407CC" w:rsidP="00A407CC">
      <w:pPr>
        <w:ind w:left="1440" w:hanging="1440"/>
        <w:jc w:val="both"/>
      </w:pPr>
    </w:p>
    <w:p w:rsidR="00A407CC" w:rsidRPr="00033382" w:rsidRDefault="00A407CC" w:rsidP="00F916CE">
      <w:pPr>
        <w:ind w:left="720"/>
        <w:jc w:val="both"/>
        <w:rPr>
          <w:b/>
          <w:bCs/>
        </w:rPr>
      </w:pPr>
      <w:r w:rsidRPr="00033382">
        <w:t>*Based on the 12 CP and 25% cost allocation for Production Plant proposed by FPL in Docket 1600021-EI, the projected environmental cost recovery amounts for the period January 2017 through December 2017 is $256,332,720.  On October 6, 2016, FPL, the Office of Public Counsel, the South Florida Hospital and Healthcare Association and the Florida Retail Federation jointly moved for approval of a proposed stipulation and settlement of FPL’s rate case in Docket No. 160021-EI and consolidated dockets (the “Proposed Settlement Agreement”).  The Proposed Settlement Agreement would provide for FPL to continue using the 12 CP and 1/13</w:t>
      </w:r>
      <w:r w:rsidRPr="00F74B32">
        <w:t>th</w:t>
      </w:r>
      <w:r w:rsidRPr="00033382">
        <w:t xml:space="preserve"> production cost methodology.  If the </w:t>
      </w:r>
      <w:r w:rsidRPr="00033382">
        <w:lastRenderedPageBreak/>
        <w:t>Commission approves the Proposed Settlement Agreement or otherwise declines to accept FPL’s proposed cost allocation methodology, the amount calculated using 12CP and 1/13</w:t>
      </w:r>
      <w:r w:rsidRPr="00033382">
        <w:rPr>
          <w:vertAlign w:val="superscript"/>
        </w:rPr>
        <w:t>th</w:t>
      </w:r>
      <w:r w:rsidRPr="00033382">
        <w:t xml:space="preserve"> is   $256,370,332. Upon approval of this stipulation by the Commission, FPL will file and serve tariff sheets that reflect the 2017 ECRC factors under the two alternative methodologies so that the Commission may direct Staff to approve administratively whichever set corresponds to the Commission’s decision on the allocation methodology in Docket No. 160021-EI and consolidated dockets.</w:t>
      </w:r>
    </w:p>
    <w:p w:rsidR="00A407CC" w:rsidRPr="00033382" w:rsidRDefault="00A407CC" w:rsidP="00A407CC">
      <w:pPr>
        <w:jc w:val="both"/>
      </w:pPr>
    </w:p>
    <w:p w:rsidR="00A407CC" w:rsidRPr="00033382" w:rsidRDefault="00A407CC" w:rsidP="00A407CC">
      <w:pPr>
        <w:jc w:val="both"/>
      </w:pPr>
    </w:p>
    <w:p w:rsidR="002919C9" w:rsidRPr="00033382" w:rsidRDefault="002919C9" w:rsidP="00374D1B">
      <w:pPr>
        <w:pStyle w:val="ListParagraph"/>
        <w:numPr>
          <w:ilvl w:val="0"/>
          <w:numId w:val="1"/>
        </w:numPr>
        <w:ind w:left="720" w:hanging="720"/>
        <w:jc w:val="both"/>
        <w:rPr>
          <w:b/>
        </w:rPr>
      </w:pPr>
      <w:r w:rsidRPr="00033382">
        <w:rPr>
          <w:b/>
        </w:rPr>
        <w:t>Environmental Cost Recovery Amounts, Including True-Up Amounts And Revenue Taxes:</w:t>
      </w:r>
    </w:p>
    <w:p w:rsidR="00A407CC" w:rsidRPr="00033382" w:rsidRDefault="002919C9" w:rsidP="00374D1B">
      <w:pPr>
        <w:ind w:left="720"/>
        <w:jc w:val="both"/>
        <w:rPr>
          <w:b/>
        </w:rPr>
      </w:pPr>
      <w:r w:rsidRPr="00033382">
        <w:rPr>
          <w:b/>
        </w:rPr>
        <w:t>January 2017 Through December 2017</w:t>
      </w:r>
    </w:p>
    <w:p w:rsidR="00A407CC" w:rsidRPr="00033382" w:rsidRDefault="00A407CC" w:rsidP="00374D1B">
      <w:pPr>
        <w:ind w:left="720" w:hanging="720"/>
        <w:jc w:val="both"/>
      </w:pPr>
    </w:p>
    <w:p w:rsidR="00EC11E5" w:rsidRPr="00033382" w:rsidRDefault="00EC11E5" w:rsidP="00374D1B">
      <w:pPr>
        <w:ind w:left="720" w:hanging="720"/>
        <w:jc w:val="both"/>
      </w:pPr>
      <w:r w:rsidRPr="00033382">
        <w:tab/>
        <w:t>The environmental cost recovery amounts, including true-up amounts and revenue taxes, for the period January 2017, through Decem</w:t>
      </w:r>
      <w:r w:rsidR="00DA591F" w:rsidRPr="00033382">
        <w:t>ber 2017</w:t>
      </w:r>
      <w:r w:rsidRPr="00033382">
        <w:t xml:space="preserve"> are: </w:t>
      </w:r>
    </w:p>
    <w:p w:rsidR="00EC11E5" w:rsidRPr="00033382" w:rsidRDefault="00EC11E5" w:rsidP="00374D1B">
      <w:pPr>
        <w:ind w:left="720" w:hanging="720"/>
        <w:jc w:val="both"/>
      </w:pPr>
    </w:p>
    <w:tbl>
      <w:tblPr>
        <w:tblStyle w:val="TableGrid4"/>
        <w:tblW w:w="0" w:type="auto"/>
        <w:jc w:val="center"/>
        <w:tblInd w:w="1665" w:type="dxa"/>
        <w:tblLook w:val="04A0" w:firstRow="1" w:lastRow="0" w:firstColumn="1" w:lastColumn="0" w:noHBand="0" w:noVBand="1"/>
      </w:tblPr>
      <w:tblGrid>
        <w:gridCol w:w="1090"/>
        <w:gridCol w:w="2340"/>
        <w:gridCol w:w="2709"/>
      </w:tblGrid>
      <w:tr w:rsidR="00A407CC" w:rsidRPr="00033382" w:rsidTr="00282949">
        <w:trPr>
          <w:jc w:val="center"/>
        </w:trPr>
        <w:tc>
          <w:tcPr>
            <w:tcW w:w="109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FPL *</w:t>
            </w:r>
          </w:p>
        </w:tc>
        <w:tc>
          <w:tcPr>
            <w:tcW w:w="234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$245,116,908 </w:t>
            </w:r>
          </w:p>
        </w:tc>
        <w:tc>
          <w:tcPr>
            <w:tcW w:w="2709"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12 CP and 25% allocation</w:t>
            </w:r>
          </w:p>
        </w:tc>
      </w:tr>
      <w:tr w:rsidR="00A407CC" w:rsidRPr="00033382" w:rsidTr="00282949">
        <w:trPr>
          <w:jc w:val="center"/>
        </w:trPr>
        <w:tc>
          <w:tcPr>
            <w:tcW w:w="109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FPL *</w:t>
            </w:r>
          </w:p>
        </w:tc>
        <w:tc>
          <w:tcPr>
            <w:tcW w:w="234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$245,154,547</w:t>
            </w:r>
          </w:p>
        </w:tc>
        <w:tc>
          <w:tcPr>
            <w:tcW w:w="2709"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12 CP and 1/13th allocation </w:t>
            </w:r>
          </w:p>
        </w:tc>
      </w:tr>
      <w:tr w:rsidR="00A407CC" w:rsidRPr="00033382" w:rsidTr="00282949">
        <w:trPr>
          <w:jc w:val="center"/>
        </w:trPr>
        <w:tc>
          <w:tcPr>
            <w:tcW w:w="109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Duke </w:t>
            </w:r>
          </w:p>
        </w:tc>
        <w:tc>
          <w:tcPr>
            <w:tcW w:w="234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$57,710,613 </w:t>
            </w:r>
          </w:p>
        </w:tc>
        <w:tc>
          <w:tcPr>
            <w:tcW w:w="2709" w:type="dxa"/>
          </w:tcPr>
          <w:p w:rsidR="00A407CC" w:rsidRPr="00033382" w:rsidRDefault="00A407CC" w:rsidP="009C6A66">
            <w:pPr>
              <w:rPr>
                <w:rFonts w:ascii="Times New Roman" w:hAnsi="Times New Roman" w:cs="Times New Roman"/>
                <w:sz w:val="22"/>
                <w:szCs w:val="22"/>
              </w:rPr>
            </w:pPr>
          </w:p>
        </w:tc>
      </w:tr>
      <w:tr w:rsidR="00A407CC" w:rsidRPr="00033382" w:rsidTr="00282949">
        <w:trPr>
          <w:jc w:val="center"/>
        </w:trPr>
        <w:tc>
          <w:tcPr>
            <w:tcW w:w="109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TECO </w:t>
            </w:r>
          </w:p>
        </w:tc>
        <w:tc>
          <w:tcPr>
            <w:tcW w:w="234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$73,811,867 </w:t>
            </w:r>
          </w:p>
        </w:tc>
        <w:tc>
          <w:tcPr>
            <w:tcW w:w="2709" w:type="dxa"/>
          </w:tcPr>
          <w:p w:rsidR="00A407CC" w:rsidRPr="00033382" w:rsidRDefault="00A407CC" w:rsidP="009C6A66">
            <w:pPr>
              <w:rPr>
                <w:rFonts w:ascii="Times New Roman" w:hAnsi="Times New Roman" w:cs="Times New Roman"/>
                <w:sz w:val="22"/>
                <w:szCs w:val="22"/>
              </w:rPr>
            </w:pPr>
          </w:p>
        </w:tc>
      </w:tr>
      <w:tr w:rsidR="00A407CC" w:rsidRPr="00033382" w:rsidTr="00282949">
        <w:trPr>
          <w:jc w:val="center"/>
        </w:trPr>
        <w:tc>
          <w:tcPr>
            <w:tcW w:w="109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Gulf </w:t>
            </w:r>
          </w:p>
        </w:tc>
        <w:tc>
          <w:tcPr>
            <w:tcW w:w="2340" w:type="dxa"/>
          </w:tcPr>
          <w:p w:rsidR="00A407CC" w:rsidRPr="00033382" w:rsidRDefault="00A407CC" w:rsidP="009C6A66">
            <w:pPr>
              <w:rPr>
                <w:rFonts w:ascii="Times New Roman" w:hAnsi="Times New Roman" w:cs="Times New Roman"/>
                <w:sz w:val="22"/>
                <w:szCs w:val="22"/>
              </w:rPr>
            </w:pPr>
            <w:r w:rsidRPr="00033382">
              <w:rPr>
                <w:rFonts w:ascii="Times New Roman" w:hAnsi="Times New Roman" w:cs="Times New Roman"/>
                <w:sz w:val="22"/>
                <w:szCs w:val="22"/>
              </w:rPr>
              <w:t xml:space="preserve">$207,894,596 </w:t>
            </w:r>
          </w:p>
        </w:tc>
        <w:tc>
          <w:tcPr>
            <w:tcW w:w="2709" w:type="dxa"/>
          </w:tcPr>
          <w:p w:rsidR="00A407CC" w:rsidRPr="00033382" w:rsidRDefault="00A407CC" w:rsidP="009C6A66">
            <w:pPr>
              <w:rPr>
                <w:rFonts w:ascii="Times New Roman" w:hAnsi="Times New Roman" w:cs="Times New Roman"/>
                <w:sz w:val="22"/>
                <w:szCs w:val="22"/>
              </w:rPr>
            </w:pPr>
          </w:p>
        </w:tc>
      </w:tr>
    </w:tbl>
    <w:p w:rsidR="00A407CC" w:rsidRPr="00033382" w:rsidRDefault="00282949" w:rsidP="00A407CC">
      <w:pPr>
        <w:ind w:left="1440" w:hanging="1440"/>
        <w:jc w:val="both"/>
        <w:rPr>
          <w:b/>
        </w:rPr>
      </w:pPr>
      <w:r>
        <w:rPr>
          <w:b/>
        </w:rPr>
        <w:t xml:space="preserve"> </w:t>
      </w:r>
    </w:p>
    <w:p w:rsidR="00A407CC" w:rsidRPr="00033382" w:rsidRDefault="00A407CC" w:rsidP="00F916CE">
      <w:pPr>
        <w:ind w:left="720"/>
        <w:jc w:val="both"/>
      </w:pPr>
      <w:r w:rsidRPr="00033382">
        <w:rPr>
          <w:b/>
        </w:rPr>
        <w:t>*</w:t>
      </w:r>
      <w:r w:rsidRPr="00033382">
        <w:t xml:space="preserve">Based on the 12 CP and 25% Production Plant cost allocation method proposed by FPL in Docket 1600021-EI, the projected environmental cost recovery amounts for the period January 2017 through December 2017 is $245,116,908.  If the Commission approves the Proposed Settlement Agreement or otherwise declines to accept FPL’s proposed cost allocation methodology, the amount calculated using 12CP and 1/13th is $245,154,547.  Upon approval of this stipulation by the Commission, FPL will file and serve tariff sheets that reflect the 2017 ECRC factors under the two alternative methodologies so that the Commission may direct Staff to approve administratively whichever set corresponds to the Commission’s decision on the allocation methodology in Docket No. 160021-EI and consolidated dockets.  </w:t>
      </w:r>
    </w:p>
    <w:p w:rsidR="00EC11E5" w:rsidRPr="00033382" w:rsidRDefault="00EC11E5" w:rsidP="00EC11E5">
      <w:pPr>
        <w:jc w:val="both"/>
      </w:pPr>
    </w:p>
    <w:p w:rsidR="00A407CC" w:rsidRPr="00033382" w:rsidRDefault="00A407CC" w:rsidP="00A407CC"/>
    <w:p w:rsidR="00EC11E5" w:rsidRPr="00033382" w:rsidRDefault="00EC11E5" w:rsidP="00374D1B">
      <w:pPr>
        <w:pStyle w:val="ListParagraph"/>
        <w:numPr>
          <w:ilvl w:val="0"/>
          <w:numId w:val="1"/>
        </w:numPr>
        <w:ind w:left="720" w:hanging="720"/>
        <w:jc w:val="both"/>
        <w:rPr>
          <w:b/>
        </w:rPr>
      </w:pPr>
      <w:r w:rsidRPr="00033382">
        <w:rPr>
          <w:b/>
        </w:rPr>
        <w:t>D</w:t>
      </w:r>
      <w:r w:rsidR="00A407CC" w:rsidRPr="00033382">
        <w:rPr>
          <w:b/>
        </w:rPr>
        <w:t xml:space="preserve">epreciation </w:t>
      </w:r>
      <w:r w:rsidRPr="00033382">
        <w:rPr>
          <w:b/>
        </w:rPr>
        <w:t>R</w:t>
      </w:r>
      <w:r w:rsidR="00A407CC" w:rsidRPr="00033382">
        <w:rPr>
          <w:b/>
        </w:rPr>
        <w:t>ates</w:t>
      </w:r>
      <w:r w:rsidRPr="00033382">
        <w:rPr>
          <w:b/>
        </w:rPr>
        <w:t>:</w:t>
      </w:r>
    </w:p>
    <w:p w:rsidR="00A407CC" w:rsidRPr="00033382" w:rsidRDefault="00EC11E5" w:rsidP="00374D1B">
      <w:pPr>
        <w:ind w:left="720"/>
        <w:jc w:val="both"/>
        <w:rPr>
          <w:b/>
        </w:rPr>
      </w:pPr>
      <w:r w:rsidRPr="00033382">
        <w:rPr>
          <w:b/>
        </w:rPr>
        <w:t>January 2017 Through December 2017</w:t>
      </w:r>
    </w:p>
    <w:p w:rsidR="002C1B3A" w:rsidRDefault="00A407CC" w:rsidP="002C1B3A">
      <w:pPr>
        <w:pStyle w:val="PositionHeading"/>
        <w:spacing w:before="0" w:after="0"/>
        <w:ind w:left="720"/>
        <w:rPr>
          <w:rFonts w:cs="Times New Roman"/>
          <w:b w:val="0"/>
          <w:bCs w:val="0"/>
          <w:szCs w:val="24"/>
        </w:rPr>
      </w:pPr>
      <w:r w:rsidRPr="00033382">
        <w:rPr>
          <w:rFonts w:cs="Times New Roman"/>
          <w:b w:val="0"/>
          <w:bCs w:val="0"/>
          <w:szCs w:val="24"/>
        </w:rPr>
        <w:tab/>
      </w:r>
    </w:p>
    <w:p w:rsidR="00A407CC" w:rsidRPr="00033382" w:rsidRDefault="00A407CC" w:rsidP="002C1B3A">
      <w:pPr>
        <w:pStyle w:val="PositionHeading"/>
        <w:spacing w:before="0" w:after="0"/>
        <w:ind w:left="720"/>
        <w:rPr>
          <w:rFonts w:cs="Times New Roman"/>
          <w:b w:val="0"/>
          <w:szCs w:val="24"/>
        </w:rPr>
      </w:pPr>
      <w:r w:rsidRPr="00033382">
        <w:rPr>
          <w:rFonts w:cs="Times New Roman"/>
          <w:b w:val="0"/>
          <w:bCs w:val="0"/>
          <w:szCs w:val="24"/>
        </w:rPr>
        <w:t>The depreciation rates used to calculate the depreciation expense shall be the rates that are in effect during the period the allowed capital investment is in service.</w:t>
      </w:r>
    </w:p>
    <w:p w:rsidR="0090628A" w:rsidRDefault="0090628A" w:rsidP="002C1B3A">
      <w:pPr>
        <w:jc w:val="both"/>
        <w:rPr>
          <w:b/>
        </w:rPr>
      </w:pPr>
    </w:p>
    <w:p w:rsidR="002C1B3A" w:rsidRDefault="002C1B3A" w:rsidP="002C1B3A">
      <w:pPr>
        <w:jc w:val="both"/>
        <w:rPr>
          <w:b/>
        </w:rPr>
      </w:pPr>
    </w:p>
    <w:p w:rsidR="002C1B3A" w:rsidRDefault="002C1B3A" w:rsidP="002C1B3A">
      <w:pPr>
        <w:jc w:val="both"/>
        <w:rPr>
          <w:b/>
        </w:rPr>
      </w:pPr>
    </w:p>
    <w:p w:rsidR="002C1B3A" w:rsidRDefault="002C1B3A" w:rsidP="002C1B3A">
      <w:pPr>
        <w:jc w:val="both"/>
        <w:rPr>
          <w:b/>
        </w:rPr>
      </w:pPr>
    </w:p>
    <w:p w:rsidR="002C1B3A" w:rsidRDefault="002C1B3A" w:rsidP="002C1B3A">
      <w:pPr>
        <w:jc w:val="both"/>
        <w:rPr>
          <w:b/>
        </w:rPr>
      </w:pPr>
    </w:p>
    <w:p w:rsidR="002C1B3A" w:rsidRDefault="002C1B3A" w:rsidP="002C1B3A">
      <w:pPr>
        <w:jc w:val="both"/>
        <w:rPr>
          <w:b/>
        </w:rPr>
      </w:pPr>
    </w:p>
    <w:p w:rsidR="002C1B3A" w:rsidRPr="00033382" w:rsidRDefault="002C1B3A" w:rsidP="002C1B3A">
      <w:pPr>
        <w:jc w:val="both"/>
        <w:rPr>
          <w:b/>
        </w:rPr>
      </w:pPr>
    </w:p>
    <w:p w:rsidR="008C2C0D" w:rsidRPr="00033382" w:rsidRDefault="008C2C0D" w:rsidP="00374D1B">
      <w:pPr>
        <w:pStyle w:val="ListParagraph"/>
        <w:numPr>
          <w:ilvl w:val="0"/>
          <w:numId w:val="1"/>
        </w:numPr>
        <w:ind w:left="720" w:hanging="720"/>
        <w:jc w:val="both"/>
        <w:rPr>
          <w:b/>
        </w:rPr>
      </w:pPr>
      <w:r w:rsidRPr="00033382">
        <w:rPr>
          <w:b/>
        </w:rPr>
        <w:t xml:space="preserve">Jurisdictional Separation Factors: </w:t>
      </w:r>
    </w:p>
    <w:p w:rsidR="00A407CC" w:rsidRPr="00033382" w:rsidRDefault="008C2C0D" w:rsidP="00374D1B">
      <w:pPr>
        <w:ind w:left="720"/>
        <w:jc w:val="both"/>
        <w:rPr>
          <w:b/>
        </w:rPr>
      </w:pPr>
      <w:r w:rsidRPr="00033382">
        <w:rPr>
          <w:b/>
        </w:rPr>
        <w:t>January 2017 Through December 2017</w:t>
      </w:r>
    </w:p>
    <w:p w:rsidR="00A407CC" w:rsidRPr="00033382" w:rsidRDefault="00A407CC" w:rsidP="00374D1B">
      <w:pPr>
        <w:ind w:left="720" w:hanging="720"/>
        <w:jc w:val="both"/>
      </w:pPr>
    </w:p>
    <w:p w:rsidR="008C2C0D" w:rsidRPr="00033382" w:rsidRDefault="008C2C0D" w:rsidP="00374D1B">
      <w:pPr>
        <w:ind w:left="720"/>
        <w:jc w:val="both"/>
      </w:pPr>
      <w:r w:rsidRPr="00033382">
        <w:t>The appropriate jurisdictional separation factors for the projected</w:t>
      </w:r>
      <w:r w:rsidR="00DA591F" w:rsidRPr="00033382">
        <w:t xml:space="preserve"> period January 2017, through December 2017 are:</w:t>
      </w:r>
    </w:p>
    <w:p w:rsidR="008C2C0D" w:rsidRPr="00033382" w:rsidRDefault="008C2C0D" w:rsidP="00A407CC">
      <w:pPr>
        <w:ind w:left="1440" w:hanging="1440"/>
        <w:jc w:val="both"/>
      </w:pPr>
    </w:p>
    <w:p w:rsidR="00A407CC" w:rsidRPr="00033382" w:rsidRDefault="00A407CC" w:rsidP="00A407CC">
      <w:pPr>
        <w:jc w:val="center"/>
        <w:rPr>
          <w:b/>
        </w:rPr>
      </w:pPr>
      <w:r w:rsidRPr="00033382">
        <w:rPr>
          <w:b/>
        </w:rPr>
        <w:t>FPL</w:t>
      </w:r>
    </w:p>
    <w:p w:rsidR="00A407CC" w:rsidRPr="00033382" w:rsidRDefault="00A407CC" w:rsidP="00A407CC">
      <w:pPr>
        <w:pStyle w:val="BodyTextIndent"/>
      </w:pPr>
      <w:r w:rsidRPr="00033382">
        <w:rPr>
          <w:b/>
        </w:rPr>
        <w:tab/>
      </w:r>
      <w:r w:rsidRPr="00033382">
        <w:t xml:space="preserve">Retail Energy Jurisdictional Factor   </w:t>
      </w:r>
      <w:r w:rsidRPr="00033382">
        <w:tab/>
      </w:r>
      <w:r w:rsidRPr="00033382">
        <w:tab/>
        <w:t xml:space="preserve"> 94.89172% </w:t>
      </w:r>
    </w:p>
    <w:p w:rsidR="00A407CC" w:rsidRPr="00033382" w:rsidRDefault="00A407CC" w:rsidP="00A407CC">
      <w:pPr>
        <w:pStyle w:val="BodyTextIndent"/>
      </w:pPr>
      <w:r w:rsidRPr="00033382">
        <w:tab/>
        <w:t>Retail CP Demand Jurisdictional Factor         95.04658%</w:t>
      </w:r>
    </w:p>
    <w:p w:rsidR="00A407CC" w:rsidRPr="00033382" w:rsidRDefault="00A407CC" w:rsidP="00A407CC">
      <w:pPr>
        <w:ind w:left="1440" w:hanging="720"/>
        <w:jc w:val="both"/>
      </w:pPr>
      <w:r w:rsidRPr="00033382">
        <w:t>Retail GCP D</w:t>
      </w:r>
      <w:r w:rsidR="003D75A6">
        <w:t xml:space="preserve">emand Jurisdictional Factor  </w:t>
      </w:r>
      <w:r w:rsidRPr="00033382">
        <w:t xml:space="preserve">100.00000%   </w:t>
      </w:r>
    </w:p>
    <w:p w:rsidR="00A407CC" w:rsidRPr="00033382" w:rsidRDefault="00A407CC" w:rsidP="00A407CC">
      <w:pPr>
        <w:ind w:left="1440" w:hanging="1440"/>
        <w:jc w:val="both"/>
        <w:rPr>
          <w:b/>
          <w:u w:val="single"/>
        </w:rPr>
      </w:pPr>
    </w:p>
    <w:p w:rsidR="00A407CC" w:rsidRPr="00033382" w:rsidRDefault="00A407CC" w:rsidP="00A407CC">
      <w:pPr>
        <w:ind w:left="1440" w:hanging="1440"/>
        <w:jc w:val="center"/>
        <w:rPr>
          <w:b/>
        </w:rPr>
      </w:pPr>
      <w:r w:rsidRPr="00033382">
        <w:rPr>
          <w:b/>
        </w:rPr>
        <w:t>DEF</w:t>
      </w:r>
    </w:p>
    <w:p w:rsidR="00A407CC" w:rsidRPr="00033382" w:rsidRDefault="00A407CC" w:rsidP="00911804">
      <w:pPr>
        <w:ind w:left="720"/>
        <w:jc w:val="both"/>
        <w:rPr>
          <w:bCs/>
        </w:rPr>
      </w:pPr>
      <w:r w:rsidRPr="00033382">
        <w:rPr>
          <w:bCs/>
        </w:rPr>
        <w:t xml:space="preserve">The Energy separation factor is calculated for each month based on retail kWh sales as a percentage of </w:t>
      </w:r>
      <w:r w:rsidRPr="00033382">
        <w:t>projected</w:t>
      </w:r>
      <w:r w:rsidRPr="00033382">
        <w:rPr>
          <w:bCs/>
        </w:rPr>
        <w:t xml:space="preserve"> total kWh sales.  The remaining separation factors are below, consistent with the Revised Stipulation and Settlement Agreement approved in Order No. PSC-13-0598-FOF-EI, at p. 54.</w:t>
      </w:r>
    </w:p>
    <w:p w:rsidR="00A407CC" w:rsidRPr="00033382" w:rsidRDefault="00A407CC" w:rsidP="00911804">
      <w:pPr>
        <w:ind w:left="720"/>
        <w:jc w:val="both"/>
        <w:rPr>
          <w:bCs/>
        </w:rPr>
      </w:pPr>
    </w:p>
    <w:p w:rsidR="00A407CC" w:rsidRPr="00033382" w:rsidRDefault="00A407CC" w:rsidP="00911804">
      <w:pPr>
        <w:ind w:left="720"/>
        <w:jc w:val="both"/>
        <w:rPr>
          <w:bCs/>
        </w:rPr>
      </w:pPr>
      <w:r w:rsidRPr="00033382">
        <w:rPr>
          <w:bCs/>
        </w:rPr>
        <w:t>Transmission Average 12 CP Demand – 70.203%</w:t>
      </w:r>
    </w:p>
    <w:p w:rsidR="00A407CC" w:rsidRPr="00033382" w:rsidRDefault="00A407CC" w:rsidP="00911804">
      <w:pPr>
        <w:ind w:left="720"/>
        <w:jc w:val="both"/>
        <w:rPr>
          <w:bCs/>
        </w:rPr>
      </w:pPr>
      <w:r w:rsidRPr="00033382">
        <w:rPr>
          <w:bCs/>
        </w:rPr>
        <w:t>Distribution Primary Demand – 99.561%</w:t>
      </w:r>
    </w:p>
    <w:p w:rsidR="00A407CC" w:rsidRPr="00033382" w:rsidRDefault="00A407CC" w:rsidP="00911804">
      <w:pPr>
        <w:ind w:left="720"/>
        <w:jc w:val="both"/>
        <w:rPr>
          <w:bCs/>
        </w:rPr>
      </w:pPr>
    </w:p>
    <w:p w:rsidR="00A407CC" w:rsidRPr="00033382" w:rsidRDefault="00A407CC" w:rsidP="00911804">
      <w:pPr>
        <w:ind w:left="720"/>
        <w:jc w:val="both"/>
        <w:rPr>
          <w:bCs/>
        </w:rPr>
      </w:pPr>
    </w:p>
    <w:p w:rsidR="00A407CC" w:rsidRPr="00033382" w:rsidRDefault="00A407CC" w:rsidP="00911804">
      <w:pPr>
        <w:ind w:left="720"/>
        <w:jc w:val="both"/>
        <w:rPr>
          <w:bCs/>
        </w:rPr>
      </w:pPr>
      <w:r w:rsidRPr="00033382">
        <w:rPr>
          <w:bCs/>
        </w:rPr>
        <w:t>Production Demand:</w:t>
      </w:r>
    </w:p>
    <w:p w:rsidR="00A407CC" w:rsidRPr="00033382" w:rsidRDefault="00A407CC" w:rsidP="00911804">
      <w:pPr>
        <w:ind w:left="720"/>
        <w:jc w:val="both"/>
        <w:rPr>
          <w:bCs/>
        </w:rPr>
      </w:pPr>
      <w:r w:rsidRPr="00033382">
        <w:rPr>
          <w:bCs/>
        </w:rPr>
        <w:t>Production Demand (2012) – 91.683%</w:t>
      </w:r>
    </w:p>
    <w:p w:rsidR="00A407CC" w:rsidRPr="00033382" w:rsidRDefault="00A407CC" w:rsidP="00911804">
      <w:pPr>
        <w:ind w:left="720"/>
        <w:jc w:val="both"/>
        <w:rPr>
          <w:bCs/>
        </w:rPr>
      </w:pPr>
      <w:r w:rsidRPr="00033382">
        <w:rPr>
          <w:bCs/>
        </w:rPr>
        <w:t>Production Base – 92.885%</w:t>
      </w:r>
    </w:p>
    <w:p w:rsidR="00A407CC" w:rsidRPr="00033382" w:rsidRDefault="00A407CC" w:rsidP="00911804">
      <w:pPr>
        <w:ind w:left="720"/>
        <w:jc w:val="both"/>
        <w:rPr>
          <w:bCs/>
        </w:rPr>
      </w:pPr>
      <w:r w:rsidRPr="00033382">
        <w:rPr>
          <w:bCs/>
        </w:rPr>
        <w:t>Production Intermediate – 72.703%</w:t>
      </w:r>
    </w:p>
    <w:p w:rsidR="00A407CC" w:rsidRPr="00033382" w:rsidRDefault="00A407CC" w:rsidP="00911804">
      <w:pPr>
        <w:ind w:left="720"/>
        <w:jc w:val="both"/>
        <w:rPr>
          <w:bCs/>
        </w:rPr>
      </w:pPr>
      <w:r w:rsidRPr="00033382">
        <w:rPr>
          <w:bCs/>
        </w:rPr>
        <w:t>Production Peaking – 95.924%</w:t>
      </w:r>
    </w:p>
    <w:p w:rsidR="00A407CC" w:rsidRPr="00033382" w:rsidRDefault="00A407CC" w:rsidP="00911804">
      <w:pPr>
        <w:ind w:left="720"/>
        <w:jc w:val="both"/>
        <w:rPr>
          <w:bCs/>
        </w:rPr>
      </w:pPr>
      <w:r w:rsidRPr="00033382">
        <w:rPr>
          <w:bCs/>
        </w:rPr>
        <w:t>Production A&amp;G – 93.221%</w:t>
      </w:r>
    </w:p>
    <w:p w:rsidR="00A407CC" w:rsidRPr="00033382" w:rsidRDefault="00A407CC" w:rsidP="00911804">
      <w:pPr>
        <w:ind w:left="720"/>
        <w:rPr>
          <w:b/>
          <w:bCs/>
        </w:rPr>
      </w:pPr>
    </w:p>
    <w:p w:rsidR="00A407CC" w:rsidRPr="00033382" w:rsidRDefault="00A407CC" w:rsidP="00A407CC">
      <w:pPr>
        <w:jc w:val="center"/>
        <w:rPr>
          <w:bCs/>
        </w:rPr>
      </w:pPr>
      <w:r w:rsidRPr="00033382">
        <w:rPr>
          <w:b/>
          <w:bCs/>
        </w:rPr>
        <w:t>TECO</w:t>
      </w:r>
    </w:p>
    <w:p w:rsidR="00A407CC" w:rsidRPr="00033382" w:rsidRDefault="00A407CC" w:rsidP="00911804">
      <w:pPr>
        <w:ind w:left="720"/>
        <w:jc w:val="both"/>
        <w:rPr>
          <w:bCs/>
        </w:rPr>
      </w:pPr>
    </w:p>
    <w:p w:rsidR="00A407CC" w:rsidRPr="00033382" w:rsidRDefault="00A407CC" w:rsidP="00911804">
      <w:pPr>
        <w:ind w:left="720"/>
        <w:jc w:val="both"/>
      </w:pPr>
      <w:r w:rsidRPr="00033382">
        <w:t xml:space="preserve">The demand jurisdictional separation factor is 99.58992%.  The energy jurisdictional separation factors are calculated for each month based on retail kWh sales as a percentage of projected total system kWh sales.  These are shown on the schedules sponsored by witness Rusk.  </w:t>
      </w:r>
    </w:p>
    <w:p w:rsidR="00A407CC" w:rsidRPr="00033382" w:rsidRDefault="00A407CC" w:rsidP="00911804">
      <w:pPr>
        <w:ind w:left="720"/>
        <w:jc w:val="both"/>
      </w:pPr>
    </w:p>
    <w:p w:rsidR="00A407CC" w:rsidRPr="00033382" w:rsidRDefault="00A407CC" w:rsidP="00911804">
      <w:pPr>
        <w:jc w:val="center"/>
        <w:rPr>
          <w:b/>
        </w:rPr>
      </w:pPr>
      <w:r w:rsidRPr="00033382">
        <w:rPr>
          <w:b/>
        </w:rPr>
        <w:t>GULF</w:t>
      </w:r>
    </w:p>
    <w:p w:rsidR="00A407CC" w:rsidRPr="00033382" w:rsidRDefault="00A407CC" w:rsidP="00911804">
      <w:pPr>
        <w:ind w:left="720"/>
        <w:jc w:val="center"/>
        <w:rPr>
          <w:b/>
        </w:rPr>
      </w:pPr>
    </w:p>
    <w:p w:rsidR="00A407CC" w:rsidRPr="00033382" w:rsidRDefault="00A407CC" w:rsidP="00911804">
      <w:pPr>
        <w:ind w:left="720"/>
        <w:jc w:val="both"/>
      </w:pPr>
      <w:r w:rsidRPr="00033382">
        <w:t xml:space="preserve">The demand jurisdictional separation factor is 97.21125%.  Energy jurisdictional separation factors are calculated each month based on retail KWH sales as a percentage of projected total territorial KWH sales. </w:t>
      </w:r>
    </w:p>
    <w:p w:rsidR="00A407CC" w:rsidRPr="00033382" w:rsidRDefault="00A407CC" w:rsidP="00911804">
      <w:pPr>
        <w:ind w:left="720"/>
        <w:jc w:val="both"/>
      </w:pPr>
    </w:p>
    <w:p w:rsidR="00A407CC" w:rsidRPr="00033382" w:rsidRDefault="00A407CC" w:rsidP="00A407CC">
      <w:pPr>
        <w:ind w:left="1440" w:hanging="1440"/>
        <w:jc w:val="both"/>
        <w:rPr>
          <w:b/>
          <w:bCs/>
          <w:u w:val="single"/>
        </w:rPr>
      </w:pPr>
    </w:p>
    <w:p w:rsidR="00FA0FC0" w:rsidRPr="00033382" w:rsidRDefault="00FA0FC0" w:rsidP="00A407CC">
      <w:pPr>
        <w:ind w:left="1440" w:hanging="1440"/>
        <w:jc w:val="both"/>
        <w:rPr>
          <w:b/>
          <w:bCs/>
          <w:u w:val="single"/>
        </w:rPr>
      </w:pPr>
    </w:p>
    <w:p w:rsidR="00FA0FC0" w:rsidRPr="00033382" w:rsidRDefault="00FA0FC0" w:rsidP="00A407CC">
      <w:pPr>
        <w:ind w:left="1440" w:hanging="1440"/>
        <w:jc w:val="both"/>
        <w:rPr>
          <w:b/>
          <w:bCs/>
          <w:u w:val="single"/>
        </w:rPr>
      </w:pPr>
    </w:p>
    <w:p w:rsidR="00662687" w:rsidRPr="00033382" w:rsidRDefault="00662687" w:rsidP="00A407CC">
      <w:pPr>
        <w:ind w:left="1440" w:hanging="1440"/>
        <w:jc w:val="both"/>
        <w:rPr>
          <w:b/>
          <w:bCs/>
          <w:u w:val="single"/>
        </w:rPr>
      </w:pPr>
    </w:p>
    <w:p w:rsidR="00662687" w:rsidRPr="00033382" w:rsidRDefault="00662687" w:rsidP="00374D1B">
      <w:pPr>
        <w:pStyle w:val="ListParagraph"/>
        <w:numPr>
          <w:ilvl w:val="0"/>
          <w:numId w:val="1"/>
        </w:numPr>
        <w:ind w:left="720" w:hanging="720"/>
        <w:jc w:val="both"/>
        <w:rPr>
          <w:b/>
        </w:rPr>
      </w:pPr>
      <w:r w:rsidRPr="00033382">
        <w:rPr>
          <w:b/>
        </w:rPr>
        <w:t>Environmental Cost Recovery Factors By Rate Group</w:t>
      </w:r>
      <w:r w:rsidR="00586674" w:rsidRPr="00033382">
        <w:rPr>
          <w:b/>
        </w:rPr>
        <w:t>:</w:t>
      </w:r>
    </w:p>
    <w:p w:rsidR="00A407CC" w:rsidRPr="00033382" w:rsidRDefault="00662687" w:rsidP="00374D1B">
      <w:pPr>
        <w:ind w:left="720"/>
        <w:jc w:val="both"/>
        <w:rPr>
          <w:b/>
        </w:rPr>
      </w:pPr>
      <w:r w:rsidRPr="00033382">
        <w:rPr>
          <w:b/>
        </w:rPr>
        <w:t>January 2017 Through December 2017</w:t>
      </w:r>
    </w:p>
    <w:p w:rsidR="00A407CC" w:rsidRPr="00033382" w:rsidRDefault="00A407CC" w:rsidP="00374D1B">
      <w:pPr>
        <w:ind w:left="720" w:hanging="720"/>
        <w:jc w:val="both"/>
      </w:pPr>
    </w:p>
    <w:p w:rsidR="00662687" w:rsidRPr="00033382" w:rsidRDefault="00662687" w:rsidP="00374D1B">
      <w:pPr>
        <w:ind w:left="720"/>
        <w:jc w:val="both"/>
      </w:pPr>
      <w:r w:rsidRPr="00033382">
        <w:t xml:space="preserve">The appropriate environmental cost recovery factors for the period January 2017 through December 2017 for each rate group are: </w:t>
      </w:r>
    </w:p>
    <w:p w:rsidR="00662687" w:rsidRPr="00033382" w:rsidRDefault="00662687" w:rsidP="00A407CC">
      <w:pPr>
        <w:jc w:val="both"/>
      </w:pPr>
    </w:p>
    <w:p w:rsidR="00A407CC" w:rsidRPr="00033382" w:rsidRDefault="00A407CC" w:rsidP="00A407CC">
      <w:pPr>
        <w:jc w:val="center"/>
        <w:rPr>
          <w:b/>
        </w:rPr>
      </w:pPr>
      <w:r w:rsidRPr="00033382">
        <w:rPr>
          <w:b/>
        </w:rPr>
        <w:t>FPL</w:t>
      </w:r>
    </w:p>
    <w:p w:rsidR="00A407CC" w:rsidRPr="00033382" w:rsidRDefault="00A407CC" w:rsidP="00A407CC">
      <w:pPr>
        <w:jc w:val="center"/>
        <w:rPr>
          <w:b/>
        </w:rPr>
      </w:pPr>
    </w:p>
    <w:p w:rsidR="00A407CC" w:rsidRPr="00033382" w:rsidRDefault="00A407CC" w:rsidP="00374D1B">
      <w:pPr>
        <w:ind w:left="720" w:hanging="720"/>
        <w:jc w:val="both"/>
      </w:pPr>
      <w:r w:rsidRPr="00033382">
        <w:tab/>
        <w:t xml:space="preserve">FPL’s environmental cost recovery factors based on 12 CP &amp; 25% Production Plant cost allocation methodology proposed by FPL in Docket 160021-EI are as follows:* </w:t>
      </w:r>
    </w:p>
    <w:p w:rsidR="00A407CC" w:rsidRPr="00033382" w:rsidRDefault="00A407CC" w:rsidP="00A407CC"/>
    <w:tbl>
      <w:tblPr>
        <w:tblpPr w:leftFromText="180" w:rightFromText="180" w:vertAnchor="text" w:horzAnchor="page" w:tblpX="3648" w:tblpY="210"/>
        <w:tblW w:w="6045" w:type="dxa"/>
        <w:tblLook w:val="04A0" w:firstRow="1" w:lastRow="0" w:firstColumn="1" w:lastColumn="0" w:noHBand="0" w:noVBand="1"/>
      </w:tblPr>
      <w:tblGrid>
        <w:gridCol w:w="2751"/>
        <w:gridCol w:w="3294"/>
      </w:tblGrid>
      <w:tr w:rsidR="00A407CC" w:rsidRPr="00033382" w:rsidTr="009C6A66">
        <w:trPr>
          <w:trHeight w:val="937"/>
        </w:trPr>
        <w:tc>
          <w:tcPr>
            <w:tcW w:w="275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407CC" w:rsidRPr="00033382" w:rsidRDefault="00A407CC" w:rsidP="009C6A66">
            <w:pPr>
              <w:jc w:val="center"/>
              <w:rPr>
                <w:sz w:val="16"/>
                <w:szCs w:val="16"/>
              </w:rPr>
            </w:pPr>
            <w:r w:rsidRPr="00033382">
              <w:rPr>
                <w:sz w:val="16"/>
                <w:szCs w:val="16"/>
              </w:rPr>
              <w:t xml:space="preserve">  Proposed Cost Allocation Methodology - 12 CP and 25% </w:t>
            </w:r>
          </w:p>
        </w:tc>
        <w:tc>
          <w:tcPr>
            <w:tcW w:w="3294" w:type="dxa"/>
            <w:tcBorders>
              <w:top w:val="single" w:sz="8" w:space="0" w:color="auto"/>
              <w:left w:val="nil"/>
              <w:bottom w:val="single" w:sz="8" w:space="0" w:color="000000"/>
              <w:right w:val="single" w:sz="8" w:space="0" w:color="auto"/>
            </w:tcBorders>
            <w:shd w:val="clear" w:color="auto" w:fill="auto"/>
            <w:vAlign w:val="center"/>
            <w:hideMark/>
          </w:tcPr>
          <w:p w:rsidR="00A407CC" w:rsidRPr="00033382" w:rsidRDefault="00A407CC" w:rsidP="009C6A66">
            <w:pPr>
              <w:jc w:val="center"/>
              <w:rPr>
                <w:sz w:val="16"/>
                <w:szCs w:val="16"/>
              </w:rPr>
            </w:pPr>
            <w:r w:rsidRPr="00033382">
              <w:rPr>
                <w:sz w:val="16"/>
                <w:szCs w:val="16"/>
              </w:rPr>
              <w:t>Environmental Cost Recovery Factor (cents/KWH)</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RS1/RTR1</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0.241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GS1/GST1</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0.230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GSD1/GSDT1/HLFT1</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0.217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 xml:space="preserve">  OS2</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0.200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GSLD1/GSLDT1/CS1/CST1/HLFT2</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0.216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GSLD2/GSLDT2/CS2/CST2/HLFT3</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0.197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GSLD3/GSLDT3/CS3/CST3</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0.194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SST1T</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0.180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SST1D1/SST1D2/SST1D3</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0.206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CILC D/CILC G</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0.197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CILC T</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0.188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MET</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0.213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OL1/SL1/PL1/SL1-M</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0.126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SL2/ GSCU1/SL2-M</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0.191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33382" w:rsidRDefault="00A407CC" w:rsidP="009C6A66">
            <w:pPr>
              <w:rPr>
                <w:color w:val="000000"/>
                <w:sz w:val="22"/>
                <w:szCs w:val="22"/>
              </w:rPr>
            </w:pPr>
            <w:r w:rsidRPr="00033382">
              <w:rPr>
                <w:color w:val="000000"/>
                <w:sz w:val="22"/>
                <w:szCs w:val="22"/>
              </w:rPr>
              <w:t> </w:t>
            </w:r>
          </w:p>
        </w:tc>
        <w:tc>
          <w:tcPr>
            <w:tcW w:w="3294" w:type="dxa"/>
            <w:tcBorders>
              <w:top w:val="nil"/>
              <w:left w:val="nil"/>
              <w:bottom w:val="nil"/>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w:t>
            </w:r>
          </w:p>
        </w:tc>
      </w:tr>
      <w:tr w:rsidR="00A407CC" w:rsidRPr="00033382" w:rsidTr="009C6A66">
        <w:trPr>
          <w:trHeight w:val="323"/>
        </w:trPr>
        <w:tc>
          <w:tcPr>
            <w:tcW w:w="2751" w:type="dxa"/>
            <w:tcBorders>
              <w:top w:val="nil"/>
              <w:left w:val="single" w:sz="8" w:space="0" w:color="auto"/>
              <w:bottom w:val="single" w:sz="8" w:space="0" w:color="auto"/>
              <w:right w:val="single" w:sz="8" w:space="0" w:color="auto"/>
            </w:tcBorders>
            <w:shd w:val="clear" w:color="auto" w:fill="auto"/>
            <w:noWrap/>
            <w:vAlign w:val="bottom"/>
            <w:hideMark/>
          </w:tcPr>
          <w:p w:rsidR="00A407CC" w:rsidRPr="00033382" w:rsidRDefault="00A407CC" w:rsidP="009C6A66">
            <w:pPr>
              <w:rPr>
                <w:sz w:val="16"/>
                <w:szCs w:val="16"/>
              </w:rPr>
            </w:pPr>
            <w:r w:rsidRPr="00033382">
              <w:rPr>
                <w:sz w:val="16"/>
                <w:szCs w:val="16"/>
              </w:rPr>
              <w:t>Total</w:t>
            </w:r>
          </w:p>
        </w:tc>
        <w:tc>
          <w:tcPr>
            <w:tcW w:w="3294" w:type="dxa"/>
            <w:tcBorders>
              <w:top w:val="nil"/>
              <w:left w:val="nil"/>
              <w:bottom w:val="single" w:sz="8" w:space="0" w:color="auto"/>
              <w:right w:val="single" w:sz="8" w:space="0" w:color="auto"/>
            </w:tcBorders>
            <w:shd w:val="clear" w:color="auto" w:fill="auto"/>
            <w:noWrap/>
            <w:vAlign w:val="bottom"/>
            <w:hideMark/>
          </w:tcPr>
          <w:p w:rsidR="00A407CC" w:rsidRPr="00033382" w:rsidRDefault="00A407CC" w:rsidP="009C6A66">
            <w:pPr>
              <w:jc w:val="right"/>
              <w:rPr>
                <w:sz w:val="16"/>
                <w:szCs w:val="16"/>
              </w:rPr>
            </w:pPr>
            <w:r w:rsidRPr="00033382">
              <w:rPr>
                <w:sz w:val="16"/>
                <w:szCs w:val="16"/>
              </w:rPr>
              <w:t xml:space="preserve">0.228 </w:t>
            </w:r>
          </w:p>
        </w:tc>
      </w:tr>
    </w:tbl>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A407CC">
      <w:pPr>
        <w:jc w:val="both"/>
      </w:pPr>
    </w:p>
    <w:p w:rsidR="00A407CC" w:rsidRPr="00033382" w:rsidRDefault="00A407CC" w:rsidP="00374D1B">
      <w:pPr>
        <w:ind w:left="720" w:hanging="720"/>
        <w:jc w:val="both"/>
      </w:pPr>
      <w:r w:rsidRPr="00033382">
        <w:tab/>
        <w:t xml:space="preserve">*If the Commission approves the Proposed Settlement Agreement or otherwise declines to accept FPL’s proposed cost allocation methodology, the amounts calculated using 12CP and 1/13th are set forth below.  Upon approval of this stipulation by the Commission, FPL will file and serve tariff sheets that reflect the 2017 ECRC factors under the two alternative methodologies so that the Commission may direct Staff to approve administratively whichever set corresponds to the Commission’s decision on the allocation methodology in Docket No. 160021-EI and consolidated dockets.  </w:t>
      </w:r>
    </w:p>
    <w:p w:rsidR="00A407CC" w:rsidRDefault="00A407CC" w:rsidP="00A407CC">
      <w:pPr>
        <w:ind w:left="1440"/>
        <w:jc w:val="both"/>
      </w:pPr>
    </w:p>
    <w:p w:rsidR="00374D1B" w:rsidRPr="00033382" w:rsidRDefault="00374D1B" w:rsidP="00A407CC">
      <w:pPr>
        <w:ind w:left="1440"/>
        <w:jc w:val="both"/>
      </w:pPr>
    </w:p>
    <w:tbl>
      <w:tblPr>
        <w:tblpPr w:leftFromText="180" w:rightFromText="180" w:vertAnchor="text" w:horzAnchor="page" w:tblpX="3648" w:tblpY="210"/>
        <w:tblW w:w="6045" w:type="dxa"/>
        <w:tblLook w:val="04A0" w:firstRow="1" w:lastRow="0" w:firstColumn="1" w:lastColumn="0" w:noHBand="0" w:noVBand="1"/>
      </w:tblPr>
      <w:tblGrid>
        <w:gridCol w:w="3817"/>
        <w:gridCol w:w="3294"/>
      </w:tblGrid>
      <w:tr w:rsidR="00A407CC" w:rsidRPr="00033382" w:rsidTr="009C6A66">
        <w:trPr>
          <w:trHeight w:val="937"/>
        </w:trPr>
        <w:tc>
          <w:tcPr>
            <w:tcW w:w="275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A407CC" w:rsidRPr="000F45E0" w:rsidRDefault="00A407CC" w:rsidP="009C6A66">
            <w:pPr>
              <w:jc w:val="center"/>
            </w:pPr>
            <w:r w:rsidRPr="000F45E0">
              <w:lastRenderedPageBreak/>
              <w:t xml:space="preserve">  Proposed Cost Allocation Methodology - 12 CP and 1/13th </w:t>
            </w:r>
          </w:p>
        </w:tc>
        <w:tc>
          <w:tcPr>
            <w:tcW w:w="3294" w:type="dxa"/>
            <w:tcBorders>
              <w:top w:val="single" w:sz="8" w:space="0" w:color="auto"/>
              <w:left w:val="nil"/>
              <w:bottom w:val="single" w:sz="8" w:space="0" w:color="000000"/>
              <w:right w:val="single" w:sz="8" w:space="0" w:color="auto"/>
            </w:tcBorders>
            <w:shd w:val="clear" w:color="auto" w:fill="auto"/>
            <w:vAlign w:val="center"/>
            <w:hideMark/>
          </w:tcPr>
          <w:p w:rsidR="00A407CC" w:rsidRPr="000F45E0" w:rsidRDefault="00A407CC" w:rsidP="009C6A66">
            <w:pPr>
              <w:jc w:val="center"/>
            </w:pPr>
            <w:r w:rsidRPr="000F45E0">
              <w:t>Environmental Cost Recovery Factor (cents/KWH)</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RS1/RTR1</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0.244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GS1/GST1</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0.230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GSD1/GSDT1/HLFT1</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0.215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 xml:space="preserve">  OS2</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0.194</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GSLD1/GSLDT1/CS1/CST1/HLFT2</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0.214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GSLD2/GSLDT2/CS2/CST2/HLFT3</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0.192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GSLD3/GSLDT3/CS3/CST3</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0.188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SST1T</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0.172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SST1D1/SST1D2/SST1D3</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0.203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CILC D/CILC G</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0.192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CILC T</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0.182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MET</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0.211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OL1/SL1/PL1/SL1-M</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0.106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r w:rsidRPr="000F45E0">
              <w:t>SL2/ GSCU1/SL2-M</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xml:space="preserve">0.185 </w:t>
            </w:r>
          </w:p>
        </w:tc>
      </w:tr>
      <w:tr w:rsidR="00A407CC" w:rsidRPr="00033382" w:rsidTr="009C6A66">
        <w:trPr>
          <w:trHeight w:val="307"/>
        </w:trPr>
        <w:tc>
          <w:tcPr>
            <w:tcW w:w="2751" w:type="dxa"/>
            <w:tcBorders>
              <w:top w:val="nil"/>
              <w:left w:val="single" w:sz="8" w:space="0" w:color="auto"/>
              <w:bottom w:val="nil"/>
              <w:right w:val="single" w:sz="8" w:space="0" w:color="auto"/>
            </w:tcBorders>
            <w:shd w:val="clear" w:color="auto" w:fill="auto"/>
            <w:noWrap/>
            <w:vAlign w:val="bottom"/>
            <w:hideMark/>
          </w:tcPr>
          <w:p w:rsidR="00A407CC" w:rsidRPr="000F45E0" w:rsidRDefault="00A407CC" w:rsidP="009C6A66">
            <w:pPr>
              <w:rPr>
                <w:color w:val="000000"/>
              </w:rPr>
            </w:pPr>
            <w:r w:rsidRPr="000F45E0">
              <w:rPr>
                <w:color w:val="000000"/>
              </w:rPr>
              <w:t> </w:t>
            </w:r>
          </w:p>
        </w:tc>
        <w:tc>
          <w:tcPr>
            <w:tcW w:w="3294" w:type="dxa"/>
            <w:tcBorders>
              <w:top w:val="nil"/>
              <w:left w:val="nil"/>
              <w:bottom w:val="nil"/>
              <w:right w:val="single" w:sz="8" w:space="0" w:color="auto"/>
            </w:tcBorders>
            <w:shd w:val="clear" w:color="auto" w:fill="auto"/>
            <w:noWrap/>
            <w:vAlign w:val="bottom"/>
            <w:hideMark/>
          </w:tcPr>
          <w:p w:rsidR="00A407CC" w:rsidRPr="000F45E0" w:rsidRDefault="00A407CC" w:rsidP="009C6A66">
            <w:pPr>
              <w:jc w:val="right"/>
            </w:pPr>
            <w:r w:rsidRPr="000F45E0">
              <w:t> </w:t>
            </w:r>
          </w:p>
        </w:tc>
      </w:tr>
      <w:tr w:rsidR="00A407CC" w:rsidRPr="00033382" w:rsidTr="009C6A66">
        <w:trPr>
          <w:trHeight w:val="323"/>
        </w:trPr>
        <w:tc>
          <w:tcPr>
            <w:tcW w:w="2751" w:type="dxa"/>
            <w:tcBorders>
              <w:top w:val="nil"/>
              <w:left w:val="single" w:sz="8" w:space="0" w:color="auto"/>
              <w:bottom w:val="single" w:sz="8" w:space="0" w:color="auto"/>
              <w:right w:val="single" w:sz="8" w:space="0" w:color="auto"/>
            </w:tcBorders>
            <w:shd w:val="clear" w:color="auto" w:fill="auto"/>
            <w:noWrap/>
            <w:vAlign w:val="bottom"/>
            <w:hideMark/>
          </w:tcPr>
          <w:p w:rsidR="00A407CC" w:rsidRPr="000F45E0" w:rsidRDefault="00A407CC" w:rsidP="009C6A66">
            <w:r w:rsidRPr="000F45E0">
              <w:t>Total</w:t>
            </w:r>
          </w:p>
        </w:tc>
        <w:tc>
          <w:tcPr>
            <w:tcW w:w="3294" w:type="dxa"/>
            <w:tcBorders>
              <w:top w:val="nil"/>
              <w:left w:val="nil"/>
              <w:bottom w:val="single" w:sz="8" w:space="0" w:color="auto"/>
              <w:right w:val="single" w:sz="8" w:space="0" w:color="auto"/>
            </w:tcBorders>
            <w:shd w:val="clear" w:color="auto" w:fill="auto"/>
            <w:noWrap/>
            <w:vAlign w:val="bottom"/>
            <w:hideMark/>
          </w:tcPr>
          <w:p w:rsidR="00A407CC" w:rsidRPr="000F45E0" w:rsidRDefault="00A407CC" w:rsidP="009C6A66">
            <w:pPr>
              <w:jc w:val="right"/>
            </w:pPr>
            <w:r w:rsidRPr="000F45E0">
              <w:t xml:space="preserve">0.228 </w:t>
            </w:r>
          </w:p>
        </w:tc>
      </w:tr>
    </w:tbl>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ind w:left="1440"/>
        <w:jc w:val="both"/>
      </w:pPr>
    </w:p>
    <w:p w:rsidR="00A407CC" w:rsidRPr="00033382" w:rsidRDefault="00A407CC" w:rsidP="00A407CC">
      <w:pPr>
        <w:rPr>
          <w:b/>
        </w:rPr>
      </w:pPr>
      <w:r w:rsidRPr="00033382">
        <w:rPr>
          <w:b/>
        </w:rPr>
        <w:br w:type="page"/>
      </w:r>
    </w:p>
    <w:p w:rsidR="00A407CC" w:rsidRPr="00033382" w:rsidRDefault="00A407CC" w:rsidP="00A407CC">
      <w:pPr>
        <w:jc w:val="center"/>
        <w:rPr>
          <w:bCs/>
        </w:rPr>
      </w:pPr>
      <w:r w:rsidRPr="00033382">
        <w:rPr>
          <w:b/>
        </w:rPr>
        <w:lastRenderedPageBreak/>
        <w:t>DEF</w:t>
      </w:r>
    </w:p>
    <w:p w:rsidR="00A407CC" w:rsidRPr="00033382" w:rsidRDefault="00A407CC" w:rsidP="00A407CC">
      <w:pPr>
        <w:jc w:val="center"/>
        <w:rPr>
          <w:b/>
          <w:bCs/>
        </w:rPr>
      </w:pPr>
    </w:p>
    <w:p w:rsidR="00A407CC" w:rsidRPr="00033382" w:rsidRDefault="00A407CC" w:rsidP="00A407CC">
      <w:pPr>
        <w:jc w:val="center"/>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8"/>
      </w:tblGrid>
      <w:tr w:rsidR="00A407CC" w:rsidRPr="00033382" w:rsidTr="009C6A66">
        <w:tc>
          <w:tcPr>
            <w:tcW w:w="4158" w:type="dxa"/>
            <w:shd w:val="clear" w:color="auto" w:fill="auto"/>
          </w:tcPr>
          <w:p w:rsidR="00A407CC" w:rsidRPr="00033382" w:rsidRDefault="00A407CC" w:rsidP="009C6A66">
            <w:pPr>
              <w:spacing w:line="360" w:lineRule="auto"/>
            </w:pPr>
            <w:r w:rsidRPr="00033382">
              <w:t>Rate Class</w:t>
            </w:r>
          </w:p>
        </w:tc>
        <w:tc>
          <w:tcPr>
            <w:tcW w:w="4158" w:type="dxa"/>
            <w:shd w:val="clear" w:color="auto" w:fill="auto"/>
          </w:tcPr>
          <w:p w:rsidR="00A407CC" w:rsidRPr="00033382" w:rsidRDefault="00A407CC" w:rsidP="009C6A66">
            <w:pPr>
              <w:spacing w:line="360" w:lineRule="auto"/>
            </w:pPr>
            <w:r w:rsidRPr="00033382">
              <w:t>ECRC Factors</w:t>
            </w:r>
          </w:p>
        </w:tc>
      </w:tr>
      <w:tr w:rsidR="00A407CC" w:rsidRPr="00033382" w:rsidTr="009C6A66">
        <w:tc>
          <w:tcPr>
            <w:tcW w:w="4158" w:type="dxa"/>
            <w:shd w:val="clear" w:color="auto" w:fill="auto"/>
          </w:tcPr>
          <w:p w:rsidR="00A407CC" w:rsidRPr="00033382" w:rsidRDefault="00A407CC" w:rsidP="009C6A66">
            <w:pPr>
              <w:spacing w:line="360" w:lineRule="auto"/>
            </w:pPr>
            <w:r w:rsidRPr="00033382">
              <w:t>Residential</w:t>
            </w:r>
          </w:p>
        </w:tc>
        <w:tc>
          <w:tcPr>
            <w:tcW w:w="4158" w:type="dxa"/>
            <w:shd w:val="clear" w:color="auto" w:fill="auto"/>
          </w:tcPr>
          <w:p w:rsidR="00A407CC" w:rsidRPr="00033382" w:rsidRDefault="00A407CC" w:rsidP="009C6A66">
            <w:pPr>
              <w:pStyle w:val="Default"/>
              <w:rPr>
                <w:color w:val="auto"/>
              </w:rPr>
            </w:pPr>
            <w:r w:rsidRPr="00033382">
              <w:rPr>
                <w:color w:val="auto"/>
              </w:rPr>
              <w:t xml:space="preserve">0.151 cents/kWh </w:t>
            </w:r>
          </w:p>
          <w:p w:rsidR="00A407CC" w:rsidRPr="00033382" w:rsidRDefault="00A407CC" w:rsidP="009C6A66">
            <w:pPr>
              <w:spacing w:line="360" w:lineRule="auto"/>
            </w:pPr>
          </w:p>
        </w:tc>
      </w:tr>
      <w:tr w:rsidR="00A407CC" w:rsidRPr="00033382" w:rsidTr="009C6A66">
        <w:tc>
          <w:tcPr>
            <w:tcW w:w="4158" w:type="dxa"/>
            <w:shd w:val="clear" w:color="auto" w:fill="auto"/>
          </w:tcPr>
          <w:p w:rsidR="00A407CC" w:rsidRPr="00033382" w:rsidRDefault="00A407CC" w:rsidP="009C6A66">
            <w:pPr>
              <w:spacing w:line="360" w:lineRule="auto"/>
            </w:pPr>
            <w:r w:rsidRPr="00033382">
              <w:t>General Service Non-Demand</w:t>
            </w:r>
          </w:p>
          <w:p w:rsidR="00A407CC" w:rsidRPr="00033382" w:rsidRDefault="00A407CC" w:rsidP="009C6A66">
            <w:pPr>
              <w:spacing w:line="360" w:lineRule="auto"/>
            </w:pPr>
            <w:r w:rsidRPr="00033382">
              <w:t>@ Secondary Voltage</w:t>
            </w:r>
          </w:p>
          <w:p w:rsidR="00A407CC" w:rsidRPr="00033382" w:rsidRDefault="00A407CC" w:rsidP="009C6A66">
            <w:pPr>
              <w:spacing w:line="360" w:lineRule="auto"/>
            </w:pPr>
            <w:r w:rsidRPr="00033382">
              <w:t>@ Primary Voltage</w:t>
            </w:r>
          </w:p>
          <w:p w:rsidR="00A407CC" w:rsidRPr="00033382" w:rsidRDefault="00A407CC" w:rsidP="009C6A66">
            <w:pPr>
              <w:spacing w:line="360" w:lineRule="auto"/>
            </w:pPr>
            <w:r w:rsidRPr="00033382">
              <w:t>@ Transmission Voltage</w:t>
            </w:r>
          </w:p>
        </w:tc>
        <w:tc>
          <w:tcPr>
            <w:tcW w:w="4158" w:type="dxa"/>
            <w:shd w:val="clear" w:color="auto" w:fill="auto"/>
          </w:tcPr>
          <w:p w:rsidR="00A407CC" w:rsidRPr="00033382" w:rsidRDefault="00A407CC" w:rsidP="009C6A66">
            <w:pPr>
              <w:spacing w:line="360" w:lineRule="auto"/>
            </w:pPr>
          </w:p>
          <w:p w:rsidR="00A407CC" w:rsidRPr="00033382" w:rsidRDefault="00A407CC" w:rsidP="009C6A66">
            <w:pPr>
              <w:spacing w:line="360" w:lineRule="auto"/>
            </w:pPr>
            <w:r w:rsidRPr="00033382">
              <w:t>0.147 cents/kWh</w:t>
            </w:r>
          </w:p>
          <w:p w:rsidR="00A407CC" w:rsidRPr="00033382" w:rsidRDefault="00A407CC" w:rsidP="009C6A66">
            <w:pPr>
              <w:spacing w:line="360" w:lineRule="auto"/>
            </w:pPr>
            <w:r w:rsidRPr="00033382">
              <w:t>0.146 cents/kWh</w:t>
            </w:r>
          </w:p>
          <w:p w:rsidR="00A407CC" w:rsidRPr="00033382" w:rsidRDefault="00A407CC" w:rsidP="009C6A66">
            <w:pPr>
              <w:spacing w:line="360" w:lineRule="auto"/>
            </w:pPr>
            <w:r w:rsidRPr="00033382">
              <w:t>0.144 cents/kWh</w:t>
            </w:r>
          </w:p>
        </w:tc>
      </w:tr>
      <w:tr w:rsidR="00A407CC" w:rsidRPr="00033382" w:rsidTr="009C6A66">
        <w:tc>
          <w:tcPr>
            <w:tcW w:w="4158" w:type="dxa"/>
            <w:shd w:val="clear" w:color="auto" w:fill="auto"/>
          </w:tcPr>
          <w:p w:rsidR="00A407CC" w:rsidRPr="00033382" w:rsidRDefault="00A407CC" w:rsidP="009C6A66">
            <w:pPr>
              <w:spacing w:line="360" w:lineRule="auto"/>
            </w:pPr>
            <w:r w:rsidRPr="00033382">
              <w:t>General Service 100% Load Factor</w:t>
            </w:r>
          </w:p>
        </w:tc>
        <w:tc>
          <w:tcPr>
            <w:tcW w:w="4158" w:type="dxa"/>
            <w:shd w:val="clear" w:color="auto" w:fill="auto"/>
          </w:tcPr>
          <w:p w:rsidR="00A407CC" w:rsidRPr="00033382" w:rsidRDefault="00A407CC" w:rsidP="009C6A66">
            <w:pPr>
              <w:spacing w:line="360" w:lineRule="auto"/>
            </w:pPr>
            <w:r w:rsidRPr="00033382">
              <w:t>0.139 cents/kWh</w:t>
            </w:r>
          </w:p>
        </w:tc>
      </w:tr>
      <w:tr w:rsidR="00A407CC" w:rsidRPr="00033382" w:rsidTr="009C6A66">
        <w:tc>
          <w:tcPr>
            <w:tcW w:w="4158" w:type="dxa"/>
            <w:shd w:val="clear" w:color="auto" w:fill="auto"/>
          </w:tcPr>
          <w:p w:rsidR="00A407CC" w:rsidRPr="00033382" w:rsidRDefault="00A407CC" w:rsidP="009C6A66">
            <w:pPr>
              <w:spacing w:line="360" w:lineRule="auto"/>
            </w:pPr>
            <w:r w:rsidRPr="00033382">
              <w:t>General Service Demand</w:t>
            </w:r>
          </w:p>
          <w:p w:rsidR="00A407CC" w:rsidRPr="00033382" w:rsidRDefault="00A407CC" w:rsidP="009C6A66">
            <w:pPr>
              <w:spacing w:line="360" w:lineRule="auto"/>
            </w:pPr>
            <w:r w:rsidRPr="00033382">
              <w:t>@Secondary Voltage</w:t>
            </w:r>
          </w:p>
          <w:p w:rsidR="00A407CC" w:rsidRPr="00033382" w:rsidRDefault="00A407CC" w:rsidP="009C6A66">
            <w:pPr>
              <w:spacing w:line="360" w:lineRule="auto"/>
            </w:pPr>
            <w:r w:rsidRPr="00033382">
              <w:t>@ Primary Voltage</w:t>
            </w:r>
          </w:p>
          <w:p w:rsidR="00A407CC" w:rsidRPr="00033382" w:rsidRDefault="00A407CC" w:rsidP="009C6A66">
            <w:pPr>
              <w:spacing w:line="360" w:lineRule="auto"/>
            </w:pPr>
            <w:r w:rsidRPr="00033382">
              <w:t>@ Transmission Voltage</w:t>
            </w:r>
          </w:p>
        </w:tc>
        <w:tc>
          <w:tcPr>
            <w:tcW w:w="4158" w:type="dxa"/>
            <w:shd w:val="clear" w:color="auto" w:fill="auto"/>
          </w:tcPr>
          <w:p w:rsidR="00A407CC" w:rsidRPr="00033382" w:rsidRDefault="00A407CC" w:rsidP="009C6A66">
            <w:pPr>
              <w:spacing w:line="360" w:lineRule="auto"/>
            </w:pPr>
          </w:p>
          <w:p w:rsidR="00A407CC" w:rsidRPr="00033382" w:rsidRDefault="00A407CC" w:rsidP="009C6A66">
            <w:pPr>
              <w:spacing w:line="360" w:lineRule="auto"/>
            </w:pPr>
            <w:r w:rsidRPr="00033382">
              <w:t>0.144 cents/kWh</w:t>
            </w:r>
          </w:p>
          <w:p w:rsidR="00A407CC" w:rsidRPr="00033382" w:rsidRDefault="00A407CC" w:rsidP="009C6A66">
            <w:pPr>
              <w:spacing w:line="360" w:lineRule="auto"/>
            </w:pPr>
            <w:r w:rsidRPr="00033382">
              <w:t>0.143 cents/kWh</w:t>
            </w:r>
          </w:p>
          <w:p w:rsidR="00A407CC" w:rsidRPr="00033382" w:rsidRDefault="00A407CC" w:rsidP="009C6A66">
            <w:pPr>
              <w:spacing w:line="360" w:lineRule="auto"/>
            </w:pPr>
            <w:r w:rsidRPr="00033382">
              <w:t>0.141 cents/kWh</w:t>
            </w:r>
          </w:p>
        </w:tc>
      </w:tr>
      <w:tr w:rsidR="00A407CC" w:rsidRPr="00033382" w:rsidTr="009C6A66">
        <w:tc>
          <w:tcPr>
            <w:tcW w:w="4158" w:type="dxa"/>
            <w:shd w:val="clear" w:color="auto" w:fill="auto"/>
          </w:tcPr>
          <w:p w:rsidR="00A407CC" w:rsidRPr="00033382" w:rsidRDefault="00A407CC" w:rsidP="009C6A66">
            <w:pPr>
              <w:spacing w:line="360" w:lineRule="auto"/>
            </w:pPr>
            <w:r w:rsidRPr="00033382">
              <w:t>Curtailable</w:t>
            </w:r>
          </w:p>
          <w:p w:rsidR="00A407CC" w:rsidRPr="00033382" w:rsidRDefault="00A407CC" w:rsidP="009C6A66">
            <w:pPr>
              <w:spacing w:line="360" w:lineRule="auto"/>
            </w:pPr>
            <w:r w:rsidRPr="00033382">
              <w:t>@ Secondary Voltage</w:t>
            </w:r>
          </w:p>
          <w:p w:rsidR="00A407CC" w:rsidRPr="00033382" w:rsidRDefault="00A407CC" w:rsidP="009C6A66">
            <w:pPr>
              <w:spacing w:line="360" w:lineRule="auto"/>
            </w:pPr>
            <w:r w:rsidRPr="00033382">
              <w:t>@ Primary Voltage</w:t>
            </w:r>
          </w:p>
          <w:p w:rsidR="00A407CC" w:rsidRPr="00033382" w:rsidRDefault="00A407CC" w:rsidP="009C6A66">
            <w:pPr>
              <w:spacing w:line="360" w:lineRule="auto"/>
            </w:pPr>
            <w:r w:rsidRPr="00033382">
              <w:t>@ Transmission Voltage</w:t>
            </w:r>
          </w:p>
        </w:tc>
        <w:tc>
          <w:tcPr>
            <w:tcW w:w="4158" w:type="dxa"/>
            <w:shd w:val="clear" w:color="auto" w:fill="auto"/>
          </w:tcPr>
          <w:p w:rsidR="00A407CC" w:rsidRPr="00033382" w:rsidRDefault="00A407CC" w:rsidP="009C6A66">
            <w:pPr>
              <w:spacing w:line="360" w:lineRule="auto"/>
            </w:pPr>
          </w:p>
          <w:p w:rsidR="00A407CC" w:rsidRPr="00033382" w:rsidRDefault="00A407CC" w:rsidP="009C6A66">
            <w:pPr>
              <w:spacing w:line="360" w:lineRule="auto"/>
            </w:pPr>
            <w:r w:rsidRPr="00033382">
              <w:t>0.168 cents/kWh</w:t>
            </w:r>
          </w:p>
          <w:p w:rsidR="00A407CC" w:rsidRPr="00033382" w:rsidRDefault="00A407CC" w:rsidP="009C6A66">
            <w:pPr>
              <w:spacing w:line="360" w:lineRule="auto"/>
            </w:pPr>
            <w:r w:rsidRPr="00033382">
              <w:t>0.166 cents/kWh</w:t>
            </w:r>
          </w:p>
          <w:p w:rsidR="00A407CC" w:rsidRPr="00033382" w:rsidRDefault="00A407CC" w:rsidP="009C6A66">
            <w:pPr>
              <w:spacing w:line="360" w:lineRule="auto"/>
            </w:pPr>
            <w:r w:rsidRPr="00033382">
              <w:t>0.165 cents/kWh</w:t>
            </w:r>
          </w:p>
        </w:tc>
      </w:tr>
      <w:tr w:rsidR="00A407CC" w:rsidRPr="00033382" w:rsidTr="009C6A66">
        <w:tc>
          <w:tcPr>
            <w:tcW w:w="4158" w:type="dxa"/>
            <w:shd w:val="clear" w:color="auto" w:fill="auto"/>
          </w:tcPr>
          <w:p w:rsidR="00A407CC" w:rsidRPr="00033382" w:rsidRDefault="00A407CC" w:rsidP="009C6A66">
            <w:pPr>
              <w:spacing w:line="360" w:lineRule="auto"/>
            </w:pPr>
            <w:r w:rsidRPr="00033382">
              <w:t>Interruptible</w:t>
            </w:r>
          </w:p>
          <w:p w:rsidR="00A407CC" w:rsidRPr="00033382" w:rsidRDefault="00A407CC" w:rsidP="009C6A66">
            <w:pPr>
              <w:spacing w:line="360" w:lineRule="auto"/>
            </w:pPr>
            <w:r w:rsidRPr="00033382">
              <w:t>@ Secondary Voltage</w:t>
            </w:r>
          </w:p>
          <w:p w:rsidR="00A407CC" w:rsidRPr="00033382" w:rsidRDefault="00A407CC" w:rsidP="009C6A66">
            <w:pPr>
              <w:spacing w:line="360" w:lineRule="auto"/>
            </w:pPr>
            <w:r w:rsidRPr="00033382">
              <w:t>@ Primary Voltage</w:t>
            </w:r>
          </w:p>
          <w:p w:rsidR="00A407CC" w:rsidRPr="00033382" w:rsidRDefault="00A407CC" w:rsidP="009C6A66">
            <w:pPr>
              <w:spacing w:line="360" w:lineRule="auto"/>
            </w:pPr>
            <w:r w:rsidRPr="00033382">
              <w:t>@ Transmission Voltage</w:t>
            </w:r>
          </w:p>
        </w:tc>
        <w:tc>
          <w:tcPr>
            <w:tcW w:w="4158" w:type="dxa"/>
            <w:shd w:val="clear" w:color="auto" w:fill="auto"/>
          </w:tcPr>
          <w:p w:rsidR="00A407CC" w:rsidRPr="00033382" w:rsidRDefault="00A407CC" w:rsidP="009C6A66">
            <w:pPr>
              <w:spacing w:line="360" w:lineRule="auto"/>
            </w:pPr>
          </w:p>
          <w:p w:rsidR="00A407CC" w:rsidRPr="00033382" w:rsidRDefault="00A407CC" w:rsidP="009C6A66">
            <w:pPr>
              <w:spacing w:line="360" w:lineRule="auto"/>
            </w:pPr>
            <w:r w:rsidRPr="00033382">
              <w:t>0.137 cents/kWh</w:t>
            </w:r>
          </w:p>
          <w:p w:rsidR="00A407CC" w:rsidRPr="00033382" w:rsidRDefault="00A407CC" w:rsidP="009C6A66">
            <w:pPr>
              <w:spacing w:line="360" w:lineRule="auto"/>
            </w:pPr>
            <w:r w:rsidRPr="00033382">
              <w:t>0.136 cents/kWh</w:t>
            </w:r>
          </w:p>
          <w:p w:rsidR="00A407CC" w:rsidRPr="00033382" w:rsidRDefault="00A407CC" w:rsidP="009C6A66">
            <w:pPr>
              <w:spacing w:line="360" w:lineRule="auto"/>
            </w:pPr>
            <w:r w:rsidRPr="00033382">
              <w:t>0.134 cents/kWh</w:t>
            </w:r>
          </w:p>
        </w:tc>
      </w:tr>
      <w:tr w:rsidR="00A407CC" w:rsidRPr="00033382" w:rsidTr="009C6A66">
        <w:tc>
          <w:tcPr>
            <w:tcW w:w="4158" w:type="dxa"/>
            <w:shd w:val="clear" w:color="auto" w:fill="auto"/>
          </w:tcPr>
          <w:p w:rsidR="00A407CC" w:rsidRPr="00033382" w:rsidRDefault="00A407CC" w:rsidP="009C6A66">
            <w:pPr>
              <w:spacing w:line="360" w:lineRule="auto"/>
            </w:pPr>
            <w:r w:rsidRPr="00033382">
              <w:t>Lighting</w:t>
            </w:r>
          </w:p>
        </w:tc>
        <w:tc>
          <w:tcPr>
            <w:tcW w:w="4158" w:type="dxa"/>
            <w:shd w:val="clear" w:color="auto" w:fill="auto"/>
          </w:tcPr>
          <w:p w:rsidR="00A407CC" w:rsidRPr="00033382" w:rsidRDefault="00A407CC" w:rsidP="009C6A66">
            <w:pPr>
              <w:spacing w:line="360" w:lineRule="auto"/>
            </w:pPr>
            <w:r w:rsidRPr="00033382">
              <w:t>0.144 cents/kWh</w:t>
            </w:r>
          </w:p>
        </w:tc>
      </w:tr>
    </w:tbl>
    <w:p w:rsidR="00A407CC" w:rsidRPr="00033382" w:rsidRDefault="00A407CC" w:rsidP="00A407CC">
      <w:pPr>
        <w:ind w:left="1440" w:right="-360" w:hanging="1440"/>
        <w:jc w:val="both"/>
        <w:rPr>
          <w:b/>
          <w:bCs/>
          <w:u w:val="single"/>
        </w:rPr>
      </w:pPr>
    </w:p>
    <w:p w:rsidR="00A407CC" w:rsidRPr="00033382" w:rsidRDefault="00A407CC" w:rsidP="00A407CC">
      <w:pPr>
        <w:ind w:left="1440" w:right="-360" w:hanging="1440"/>
        <w:jc w:val="both"/>
        <w:rPr>
          <w:b/>
          <w:bCs/>
          <w:u w:val="single"/>
        </w:rPr>
      </w:pPr>
    </w:p>
    <w:p w:rsidR="00A407CC" w:rsidRPr="00033382" w:rsidRDefault="00A407CC" w:rsidP="00A407CC">
      <w:r w:rsidRPr="00033382">
        <w:br w:type="page"/>
      </w:r>
    </w:p>
    <w:p w:rsidR="00A407CC" w:rsidRPr="00033382" w:rsidRDefault="00A407CC" w:rsidP="00A407CC">
      <w:pPr>
        <w:jc w:val="center"/>
        <w:rPr>
          <w:b/>
        </w:rPr>
      </w:pPr>
      <w:r w:rsidRPr="00033382">
        <w:rPr>
          <w:b/>
        </w:rPr>
        <w:lastRenderedPageBreak/>
        <w:t>TECO</w:t>
      </w:r>
    </w:p>
    <w:p w:rsidR="00A407CC" w:rsidRPr="00033382" w:rsidRDefault="00A407CC" w:rsidP="00A407CC"/>
    <w:p w:rsidR="00A407CC" w:rsidRPr="00033382" w:rsidRDefault="00A407CC" w:rsidP="00A407CC">
      <w:pPr>
        <w:ind w:left="720" w:right="-360" w:hanging="720"/>
        <w:jc w:val="both"/>
        <w:rPr>
          <w:b/>
          <w:u w:val="single"/>
        </w:rPr>
      </w:pPr>
      <w:r w:rsidRPr="00033382">
        <w:rPr>
          <w:b/>
        </w:rPr>
        <w:tab/>
      </w:r>
      <w:r w:rsidRPr="00033382">
        <w:rPr>
          <w:b/>
        </w:rPr>
        <w:tab/>
      </w:r>
      <w:r w:rsidRPr="00033382">
        <w:rPr>
          <w:b/>
          <w:u w:val="single"/>
        </w:rPr>
        <w:t>Rate Class</w:t>
      </w:r>
      <w:r w:rsidRPr="00033382">
        <w:tab/>
      </w:r>
      <w:r w:rsidRPr="00033382">
        <w:tab/>
      </w:r>
      <w:r w:rsidRPr="00033382">
        <w:tab/>
      </w:r>
      <w:r w:rsidRPr="00033382">
        <w:tab/>
      </w:r>
      <w:r w:rsidRPr="00033382">
        <w:tab/>
      </w:r>
      <w:r w:rsidRPr="00033382">
        <w:tab/>
      </w:r>
      <w:r w:rsidRPr="00033382">
        <w:rPr>
          <w:b/>
          <w:u w:val="single"/>
        </w:rPr>
        <w:t>Factor (¢/kWh</w:t>
      </w:r>
      <w:r w:rsidRPr="00033382">
        <w:rPr>
          <w:b/>
          <w:color w:val="000000" w:themeColor="text1"/>
          <w:u w:val="single"/>
        </w:rPr>
        <w:t>)</w:t>
      </w:r>
    </w:p>
    <w:p w:rsidR="00A407CC" w:rsidRPr="00033382" w:rsidRDefault="00A407CC" w:rsidP="00A407CC">
      <w:pPr>
        <w:ind w:left="720" w:right="-360" w:hanging="720"/>
        <w:jc w:val="both"/>
      </w:pPr>
    </w:p>
    <w:p w:rsidR="00A407CC" w:rsidRPr="00033382" w:rsidRDefault="00A407CC" w:rsidP="00A407CC">
      <w:pPr>
        <w:tabs>
          <w:tab w:val="left" w:pos="-1440"/>
          <w:tab w:val="left" w:pos="-720"/>
          <w:tab w:val="left" w:pos="720"/>
          <w:tab w:val="left" w:pos="1440"/>
          <w:tab w:val="left" w:pos="7200"/>
        </w:tabs>
        <w:ind w:right="-360" w:firstLine="1440"/>
      </w:pPr>
      <w:r w:rsidRPr="00033382">
        <w:t>RS</w:t>
      </w:r>
      <w:r w:rsidRPr="00033382">
        <w:tab/>
        <w:t>0.389</w:t>
      </w:r>
    </w:p>
    <w:p w:rsidR="00A407CC" w:rsidRPr="00033382" w:rsidRDefault="00A407CC" w:rsidP="00A407CC">
      <w:pPr>
        <w:tabs>
          <w:tab w:val="left" w:pos="-1440"/>
          <w:tab w:val="left" w:pos="-720"/>
          <w:tab w:val="left" w:pos="720"/>
          <w:tab w:val="left" w:pos="1440"/>
          <w:tab w:val="left" w:pos="7200"/>
        </w:tabs>
        <w:ind w:right="-360" w:firstLine="1440"/>
      </w:pPr>
      <w:r w:rsidRPr="00033382">
        <w:t>GS, TS</w:t>
      </w:r>
      <w:r w:rsidRPr="00033382">
        <w:tab/>
        <w:t>0.388</w:t>
      </w:r>
    </w:p>
    <w:p w:rsidR="00A407CC" w:rsidRPr="00033382" w:rsidRDefault="00A407CC" w:rsidP="00A407CC">
      <w:pPr>
        <w:tabs>
          <w:tab w:val="left" w:pos="-1440"/>
          <w:tab w:val="left" w:pos="-720"/>
          <w:tab w:val="left" w:pos="720"/>
          <w:tab w:val="left" w:pos="1440"/>
          <w:tab w:val="left" w:pos="6840"/>
        </w:tabs>
        <w:ind w:right="-360" w:firstLine="1440"/>
      </w:pPr>
      <w:r w:rsidRPr="00033382">
        <w:t>GSD, SBF</w:t>
      </w:r>
    </w:p>
    <w:p w:rsidR="00A407CC" w:rsidRPr="00033382" w:rsidRDefault="00A407CC" w:rsidP="00A407CC">
      <w:pPr>
        <w:tabs>
          <w:tab w:val="left" w:pos="-1440"/>
          <w:tab w:val="left" w:pos="-720"/>
          <w:tab w:val="left" w:pos="720"/>
          <w:tab w:val="left" w:pos="1440"/>
          <w:tab w:val="left" w:pos="2880"/>
          <w:tab w:val="left" w:pos="7200"/>
        </w:tabs>
        <w:ind w:right="-360"/>
      </w:pPr>
      <w:r w:rsidRPr="00033382">
        <w:tab/>
      </w:r>
      <w:r w:rsidRPr="00033382">
        <w:tab/>
      </w:r>
      <w:r w:rsidRPr="00033382">
        <w:tab/>
        <w:t>Secondary</w:t>
      </w:r>
      <w:r w:rsidRPr="00033382">
        <w:tab/>
        <w:t>0.386</w:t>
      </w:r>
    </w:p>
    <w:p w:rsidR="00A407CC" w:rsidRPr="00033382" w:rsidRDefault="00A407CC" w:rsidP="00A407CC">
      <w:pPr>
        <w:tabs>
          <w:tab w:val="left" w:pos="-1440"/>
          <w:tab w:val="left" w:pos="-720"/>
          <w:tab w:val="left" w:pos="720"/>
          <w:tab w:val="left" w:pos="1440"/>
          <w:tab w:val="left" w:pos="2880"/>
          <w:tab w:val="left" w:pos="7200"/>
        </w:tabs>
        <w:ind w:right="-360"/>
      </w:pPr>
      <w:r w:rsidRPr="00033382">
        <w:tab/>
      </w:r>
      <w:r w:rsidRPr="00033382">
        <w:tab/>
      </w:r>
      <w:r w:rsidRPr="00033382">
        <w:tab/>
        <w:t>Primary</w:t>
      </w:r>
      <w:r w:rsidRPr="00033382">
        <w:tab/>
        <w:t>0.382</w:t>
      </w:r>
    </w:p>
    <w:p w:rsidR="00A407CC" w:rsidRPr="00033382" w:rsidRDefault="00A407CC" w:rsidP="00A407CC">
      <w:pPr>
        <w:tabs>
          <w:tab w:val="left" w:pos="-1440"/>
          <w:tab w:val="left" w:pos="-720"/>
          <w:tab w:val="left" w:pos="720"/>
          <w:tab w:val="left" w:pos="1440"/>
          <w:tab w:val="left" w:pos="2880"/>
          <w:tab w:val="left" w:pos="7200"/>
        </w:tabs>
        <w:ind w:right="-360"/>
      </w:pPr>
      <w:r w:rsidRPr="00033382">
        <w:tab/>
      </w:r>
      <w:r w:rsidRPr="00033382">
        <w:tab/>
      </w:r>
      <w:r w:rsidRPr="00033382">
        <w:tab/>
        <w:t>Transmission</w:t>
      </w:r>
      <w:r w:rsidRPr="00033382">
        <w:tab/>
        <w:t>0.378</w:t>
      </w:r>
    </w:p>
    <w:p w:rsidR="00A407CC" w:rsidRPr="00033382" w:rsidRDefault="00A407CC" w:rsidP="00A407CC">
      <w:pPr>
        <w:tabs>
          <w:tab w:val="left" w:pos="4590"/>
          <w:tab w:val="left" w:pos="6660"/>
          <w:tab w:val="left" w:pos="6840"/>
        </w:tabs>
        <w:ind w:right="-360" w:firstLine="1440"/>
      </w:pPr>
      <w:r w:rsidRPr="00033382">
        <w:t>IS</w:t>
      </w:r>
    </w:p>
    <w:p w:rsidR="00A407CC" w:rsidRPr="00033382" w:rsidRDefault="00A407CC" w:rsidP="00A407CC">
      <w:pPr>
        <w:tabs>
          <w:tab w:val="left" w:pos="4590"/>
          <w:tab w:val="left" w:pos="6660"/>
          <w:tab w:val="left" w:pos="6840"/>
        </w:tabs>
        <w:ind w:right="-360" w:firstLine="1440"/>
      </w:pPr>
    </w:p>
    <w:p w:rsidR="00A407CC" w:rsidRPr="00033382" w:rsidRDefault="00A407CC" w:rsidP="00A407CC">
      <w:pPr>
        <w:tabs>
          <w:tab w:val="left" w:pos="2880"/>
          <w:tab w:val="left" w:pos="4590"/>
          <w:tab w:val="left" w:pos="6840"/>
        </w:tabs>
        <w:ind w:right="-360" w:firstLine="1440"/>
      </w:pPr>
      <w:r w:rsidRPr="00033382">
        <w:tab/>
        <w:t>Secondary</w:t>
      </w:r>
      <w:r w:rsidRPr="00033382">
        <w:tab/>
      </w:r>
      <w:r w:rsidRPr="00033382">
        <w:tab/>
      </w:r>
      <w:r w:rsidRPr="00033382">
        <w:tab/>
        <w:t>0.379</w:t>
      </w:r>
    </w:p>
    <w:p w:rsidR="00A407CC" w:rsidRPr="00033382" w:rsidRDefault="00A407CC" w:rsidP="00A407CC">
      <w:pPr>
        <w:tabs>
          <w:tab w:val="left" w:pos="2880"/>
          <w:tab w:val="left" w:pos="4590"/>
          <w:tab w:val="left" w:pos="6840"/>
        </w:tabs>
        <w:ind w:right="-360" w:firstLine="1440"/>
      </w:pPr>
      <w:r w:rsidRPr="00033382">
        <w:tab/>
        <w:t>Primary</w:t>
      </w:r>
      <w:r w:rsidRPr="00033382">
        <w:tab/>
      </w:r>
      <w:r w:rsidRPr="00033382">
        <w:tab/>
      </w:r>
      <w:r w:rsidRPr="00033382">
        <w:tab/>
        <w:t>0.375</w:t>
      </w:r>
    </w:p>
    <w:p w:rsidR="00A407CC" w:rsidRPr="00033382" w:rsidRDefault="00A407CC" w:rsidP="00A407CC">
      <w:pPr>
        <w:tabs>
          <w:tab w:val="left" w:pos="2880"/>
          <w:tab w:val="left" w:pos="4590"/>
          <w:tab w:val="left" w:pos="6840"/>
        </w:tabs>
        <w:ind w:right="-360" w:firstLine="1440"/>
      </w:pPr>
      <w:r w:rsidRPr="00033382">
        <w:tab/>
        <w:t>Transmission</w:t>
      </w:r>
      <w:r w:rsidRPr="00033382">
        <w:tab/>
      </w:r>
      <w:r w:rsidRPr="00033382">
        <w:tab/>
      </w:r>
      <w:r w:rsidRPr="00033382">
        <w:tab/>
        <w:t>0.371</w:t>
      </w:r>
    </w:p>
    <w:p w:rsidR="00A407CC" w:rsidRPr="00033382" w:rsidRDefault="00A407CC" w:rsidP="00A407CC">
      <w:pPr>
        <w:tabs>
          <w:tab w:val="left" w:pos="2880"/>
          <w:tab w:val="left" w:pos="4590"/>
          <w:tab w:val="left" w:pos="6660"/>
          <w:tab w:val="left" w:pos="6840"/>
        </w:tabs>
        <w:ind w:right="-360" w:firstLine="1440"/>
      </w:pPr>
    </w:p>
    <w:p w:rsidR="00A407CC" w:rsidRPr="00033382" w:rsidRDefault="00A407CC" w:rsidP="00A407CC">
      <w:pPr>
        <w:tabs>
          <w:tab w:val="left" w:pos="-1440"/>
          <w:tab w:val="left" w:pos="-720"/>
          <w:tab w:val="left" w:pos="720"/>
          <w:tab w:val="left" w:pos="1440"/>
          <w:tab w:val="left" w:pos="7200"/>
        </w:tabs>
        <w:ind w:right="-360" w:firstLine="1440"/>
      </w:pPr>
      <w:r w:rsidRPr="00033382">
        <w:t>LS1</w:t>
      </w:r>
      <w:r w:rsidRPr="00033382">
        <w:tab/>
        <w:t>0.381</w:t>
      </w:r>
    </w:p>
    <w:p w:rsidR="00A407CC" w:rsidRPr="00033382" w:rsidRDefault="00A407CC" w:rsidP="00A407CC">
      <w:pPr>
        <w:tabs>
          <w:tab w:val="left" w:pos="-1440"/>
          <w:tab w:val="left" w:pos="-720"/>
          <w:tab w:val="left" w:pos="720"/>
          <w:tab w:val="left" w:pos="1440"/>
          <w:tab w:val="left" w:pos="7200"/>
        </w:tabs>
        <w:ind w:right="-360" w:firstLine="1440"/>
      </w:pPr>
    </w:p>
    <w:p w:rsidR="00A407CC" w:rsidRPr="00033382" w:rsidRDefault="00A407CC" w:rsidP="00A407CC">
      <w:pPr>
        <w:pStyle w:val="Header"/>
        <w:tabs>
          <w:tab w:val="clear" w:pos="4320"/>
          <w:tab w:val="clear" w:pos="8640"/>
          <w:tab w:val="left" w:pos="-1440"/>
          <w:tab w:val="left" w:pos="-720"/>
          <w:tab w:val="left" w:pos="720"/>
          <w:tab w:val="left" w:pos="1440"/>
          <w:tab w:val="left" w:pos="7200"/>
        </w:tabs>
        <w:ind w:right="-360" w:firstLine="1440"/>
      </w:pPr>
      <w:r w:rsidRPr="00033382">
        <w:t>Average Factor</w:t>
      </w:r>
      <w:r w:rsidRPr="00033382">
        <w:tab/>
        <w:t>0.387</w:t>
      </w:r>
    </w:p>
    <w:p w:rsidR="00A407CC" w:rsidRPr="00033382" w:rsidRDefault="00A407CC" w:rsidP="00A407CC">
      <w:pPr>
        <w:ind w:left="1440" w:right="-360" w:hanging="1440"/>
        <w:jc w:val="both"/>
      </w:pPr>
      <w:r w:rsidRPr="00033382">
        <w:tab/>
      </w:r>
      <w:r w:rsidRPr="00033382">
        <w:tab/>
      </w:r>
    </w:p>
    <w:p w:rsidR="00A407CC" w:rsidRPr="00033382" w:rsidRDefault="00A407CC" w:rsidP="00A407CC">
      <w:pPr>
        <w:jc w:val="both"/>
      </w:pPr>
    </w:p>
    <w:p w:rsidR="00A407CC" w:rsidRPr="00033382" w:rsidRDefault="00A407CC" w:rsidP="00A407CC">
      <w:pPr>
        <w:jc w:val="both"/>
      </w:pPr>
    </w:p>
    <w:p w:rsidR="00A407CC" w:rsidRPr="00033382" w:rsidRDefault="00A407CC" w:rsidP="00A407CC">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center"/>
        <w:rPr>
          <w:b/>
        </w:rPr>
      </w:pPr>
      <w:r w:rsidRPr="00033382">
        <w:rPr>
          <w:b/>
        </w:rPr>
        <w:t>GULF</w:t>
      </w:r>
    </w:p>
    <w:p w:rsidR="00A407CC" w:rsidRPr="00033382" w:rsidRDefault="00A407CC" w:rsidP="00A407CC">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center"/>
        <w:rPr>
          <w:b/>
        </w:rPr>
      </w:pPr>
    </w:p>
    <w:tbl>
      <w:tblPr>
        <w:tblW w:w="0" w:type="auto"/>
        <w:tblInd w:w="1810" w:type="dxa"/>
        <w:tblLayout w:type="fixed"/>
        <w:tblCellMar>
          <w:left w:w="100" w:type="dxa"/>
          <w:right w:w="100" w:type="dxa"/>
        </w:tblCellMar>
        <w:tblLook w:val="0000" w:firstRow="0" w:lastRow="0" w:firstColumn="0" w:lastColumn="0" w:noHBand="0" w:noVBand="0"/>
      </w:tblPr>
      <w:tblGrid>
        <w:gridCol w:w="2754"/>
        <w:gridCol w:w="3366"/>
      </w:tblGrid>
      <w:tr w:rsidR="00A407CC" w:rsidRPr="00033382" w:rsidTr="009C6A66">
        <w:trPr>
          <w:cantSplit/>
          <w:trHeight w:val="876"/>
        </w:trPr>
        <w:tc>
          <w:tcPr>
            <w:tcW w:w="2754"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rPr>
                <w:b/>
                <w:bCs/>
              </w:rPr>
            </w:pPr>
          </w:p>
          <w:p w:rsidR="00A407CC" w:rsidRPr="00033382" w:rsidRDefault="00A407CC" w:rsidP="009C6A66">
            <w:pPr>
              <w:jc w:val="center"/>
              <w:rPr>
                <w:b/>
                <w:bCs/>
              </w:rPr>
            </w:pPr>
            <w:r w:rsidRPr="00033382">
              <w:rPr>
                <w:b/>
                <w:bCs/>
              </w:rPr>
              <w:t>RATE</w:t>
            </w:r>
          </w:p>
          <w:p w:rsidR="00A407CC" w:rsidRPr="00033382" w:rsidRDefault="00A407CC" w:rsidP="009C6A66">
            <w:pPr>
              <w:jc w:val="center"/>
            </w:pPr>
            <w:r w:rsidRPr="00033382">
              <w:rPr>
                <w:b/>
                <w:bCs/>
              </w:rPr>
              <w:t>CLASS</w:t>
            </w:r>
          </w:p>
        </w:tc>
        <w:tc>
          <w:tcPr>
            <w:tcW w:w="3366"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rPr>
                <w:b/>
                <w:bCs/>
              </w:rPr>
              <w:t>ENVIRONMENTAL COST RECOVERY FACTORS</w:t>
            </w:r>
          </w:p>
          <w:p w:rsidR="00A407CC" w:rsidRPr="00033382" w:rsidRDefault="00A407CC" w:rsidP="009C6A66">
            <w:pPr>
              <w:jc w:val="center"/>
            </w:pPr>
            <w:r w:rsidRPr="00033382">
              <w:rPr>
                <w:b/>
                <w:bCs/>
              </w:rPr>
              <w:t>¢/KWH</w:t>
            </w:r>
          </w:p>
        </w:tc>
      </w:tr>
      <w:tr w:rsidR="00A407CC" w:rsidRPr="00033382" w:rsidTr="009C6A66">
        <w:trPr>
          <w:cantSplit/>
          <w:trHeight w:val="291"/>
        </w:trPr>
        <w:tc>
          <w:tcPr>
            <w:tcW w:w="2754"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RS, RSVP, RSTOU</w:t>
            </w:r>
          </w:p>
        </w:tc>
        <w:tc>
          <w:tcPr>
            <w:tcW w:w="3366"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2.158</w:t>
            </w:r>
          </w:p>
        </w:tc>
      </w:tr>
      <w:tr w:rsidR="00A407CC" w:rsidRPr="00033382" w:rsidTr="009C6A66">
        <w:trPr>
          <w:cantSplit/>
          <w:trHeight w:val="291"/>
        </w:trPr>
        <w:tc>
          <w:tcPr>
            <w:tcW w:w="2754"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GS</w:t>
            </w:r>
          </w:p>
        </w:tc>
        <w:tc>
          <w:tcPr>
            <w:tcW w:w="3366"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1.988</w:t>
            </w:r>
          </w:p>
        </w:tc>
      </w:tr>
      <w:tr w:rsidR="00A407CC" w:rsidRPr="00033382" w:rsidTr="009C6A66">
        <w:trPr>
          <w:cantSplit/>
          <w:trHeight w:val="291"/>
        </w:trPr>
        <w:tc>
          <w:tcPr>
            <w:tcW w:w="2754"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GSD, GSDT, GSTOU</w:t>
            </w:r>
          </w:p>
        </w:tc>
        <w:tc>
          <w:tcPr>
            <w:tcW w:w="3366"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1.761</w:t>
            </w:r>
          </w:p>
        </w:tc>
      </w:tr>
      <w:tr w:rsidR="00A407CC" w:rsidRPr="00033382" w:rsidTr="009C6A66">
        <w:trPr>
          <w:cantSplit/>
          <w:trHeight w:val="291"/>
        </w:trPr>
        <w:tc>
          <w:tcPr>
            <w:tcW w:w="2754"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LP, LPT</w:t>
            </w:r>
          </w:p>
        </w:tc>
        <w:tc>
          <w:tcPr>
            <w:tcW w:w="3366"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1.549</w:t>
            </w:r>
          </w:p>
        </w:tc>
      </w:tr>
      <w:tr w:rsidR="00A407CC" w:rsidRPr="00033382" w:rsidTr="009C6A66">
        <w:trPr>
          <w:cantSplit/>
          <w:trHeight w:val="291"/>
        </w:trPr>
        <w:tc>
          <w:tcPr>
            <w:tcW w:w="2754"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PX, PXT, RTP, SBS</w:t>
            </w:r>
          </w:p>
        </w:tc>
        <w:tc>
          <w:tcPr>
            <w:tcW w:w="3366"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1.480</w:t>
            </w:r>
          </w:p>
        </w:tc>
      </w:tr>
      <w:tr w:rsidR="00A407CC" w:rsidRPr="00033382" w:rsidTr="009C6A66">
        <w:trPr>
          <w:cantSplit/>
          <w:trHeight w:val="291"/>
        </w:trPr>
        <w:tc>
          <w:tcPr>
            <w:tcW w:w="2754"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OS-I/II</w:t>
            </w:r>
          </w:p>
        </w:tc>
        <w:tc>
          <w:tcPr>
            <w:tcW w:w="3366"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0.580</w:t>
            </w:r>
          </w:p>
        </w:tc>
      </w:tr>
      <w:tr w:rsidR="00A407CC" w:rsidRPr="00033382" w:rsidTr="009C6A66">
        <w:trPr>
          <w:cantSplit/>
          <w:trHeight w:val="291"/>
        </w:trPr>
        <w:tc>
          <w:tcPr>
            <w:tcW w:w="2754"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OSIII</w:t>
            </w:r>
          </w:p>
        </w:tc>
        <w:tc>
          <w:tcPr>
            <w:tcW w:w="3366" w:type="dxa"/>
            <w:tcBorders>
              <w:top w:val="single" w:sz="6" w:space="0" w:color="auto"/>
              <w:left w:val="single" w:sz="6" w:space="0" w:color="auto"/>
              <w:bottom w:val="single" w:sz="6" w:space="0" w:color="auto"/>
              <w:right w:val="single" w:sz="6" w:space="0" w:color="auto"/>
            </w:tcBorders>
          </w:tcPr>
          <w:p w:rsidR="00A407CC" w:rsidRPr="00033382" w:rsidRDefault="00A407CC" w:rsidP="009C6A66">
            <w:pPr>
              <w:jc w:val="center"/>
            </w:pPr>
            <w:r w:rsidRPr="00033382">
              <w:t>1.383</w:t>
            </w:r>
          </w:p>
        </w:tc>
      </w:tr>
    </w:tbl>
    <w:p w:rsidR="00033C99" w:rsidRPr="00033382" w:rsidRDefault="00033C99" w:rsidP="002C1B3A">
      <w:pPr>
        <w:jc w:val="both"/>
        <w:outlineLvl w:val="3"/>
        <w:rPr>
          <w:bCs/>
        </w:rPr>
      </w:pPr>
    </w:p>
    <w:p w:rsidR="00033C99" w:rsidRPr="00033382" w:rsidRDefault="00033C99" w:rsidP="002C1B3A">
      <w:pPr>
        <w:jc w:val="both"/>
        <w:outlineLvl w:val="3"/>
        <w:rPr>
          <w:bCs/>
        </w:rPr>
      </w:pPr>
    </w:p>
    <w:p w:rsidR="00A407CC" w:rsidRPr="00033382" w:rsidRDefault="00033C99" w:rsidP="00374D1B">
      <w:pPr>
        <w:pStyle w:val="ListParagraph"/>
        <w:numPr>
          <w:ilvl w:val="0"/>
          <w:numId w:val="1"/>
        </w:numPr>
        <w:ind w:left="720" w:hanging="720"/>
        <w:jc w:val="both"/>
        <w:rPr>
          <w:b/>
        </w:rPr>
      </w:pPr>
      <w:r w:rsidRPr="00033382">
        <w:rPr>
          <w:b/>
        </w:rPr>
        <w:t>Effective Date For New Environmental Cost Recovery Factors</w:t>
      </w:r>
    </w:p>
    <w:p w:rsidR="00A407CC" w:rsidRPr="00033382" w:rsidRDefault="00A407CC" w:rsidP="002C1B3A">
      <w:pPr>
        <w:jc w:val="both"/>
        <w:rPr>
          <w:b/>
        </w:rPr>
      </w:pPr>
    </w:p>
    <w:p w:rsidR="00A407CC" w:rsidRPr="00033382" w:rsidRDefault="00A407CC" w:rsidP="00374D1B">
      <w:pPr>
        <w:ind w:left="720"/>
        <w:jc w:val="both"/>
        <w:rPr>
          <w:bCs/>
          <w:color w:val="1F497D"/>
        </w:rPr>
      </w:pPr>
      <w:r w:rsidRPr="00033382">
        <w:rPr>
          <w:bCs/>
        </w:rPr>
        <w:t>The factors shall be effective beginning with the specified environmental cost recovery cycle and thereafter for the period January 2017 through December 2017. Billing cycles may start before January 1, 2017 and the last cycle may be read after December 31, 2017, so that each customer is billed for twelve months regardless of when the adjustment factor became effective. These charges shall continue in effect until modified by subsequent order of this Commission.</w:t>
      </w:r>
    </w:p>
    <w:p w:rsidR="00A407CC" w:rsidRPr="00033382" w:rsidRDefault="00A301FF" w:rsidP="007C2A76">
      <w:pPr>
        <w:ind w:left="720" w:hanging="720"/>
        <w:jc w:val="both"/>
        <w:rPr>
          <w:b/>
        </w:rPr>
      </w:pPr>
      <w:r w:rsidRPr="00033382">
        <w:rPr>
          <w:b/>
        </w:rPr>
        <w:lastRenderedPageBreak/>
        <w:t xml:space="preserve">9A.  </w:t>
      </w:r>
      <w:r w:rsidRPr="00033382">
        <w:rPr>
          <w:b/>
        </w:rPr>
        <w:tab/>
      </w:r>
      <w:r w:rsidR="00856C95" w:rsidRPr="00033382">
        <w:rPr>
          <w:b/>
        </w:rPr>
        <w:t xml:space="preserve">Carve Out Of </w:t>
      </w:r>
      <w:r w:rsidR="00A20646" w:rsidRPr="00033382">
        <w:rPr>
          <w:b/>
        </w:rPr>
        <w:t>Issues Related T</w:t>
      </w:r>
      <w:r w:rsidR="0042699D" w:rsidRPr="00033382">
        <w:rPr>
          <w:b/>
        </w:rPr>
        <w:t xml:space="preserve">o </w:t>
      </w:r>
      <w:r w:rsidR="00A407CC" w:rsidRPr="00033382">
        <w:rPr>
          <w:b/>
        </w:rPr>
        <w:t xml:space="preserve">Gulf’s </w:t>
      </w:r>
      <w:r w:rsidR="00594CAE" w:rsidRPr="00033382">
        <w:rPr>
          <w:b/>
        </w:rPr>
        <w:t xml:space="preserve">Recovery Of Its Identified Environmental Compliance Investment And Expenses Associated With </w:t>
      </w:r>
      <w:r w:rsidR="00A407CC" w:rsidRPr="00033382">
        <w:rPr>
          <w:b/>
        </w:rPr>
        <w:t xml:space="preserve">Gulf’s </w:t>
      </w:r>
      <w:r w:rsidR="00594CAE" w:rsidRPr="00033382">
        <w:rPr>
          <w:b/>
        </w:rPr>
        <w:t xml:space="preserve">25% Ownership Interest In </w:t>
      </w:r>
      <w:r w:rsidR="00C97036" w:rsidRPr="00033382">
        <w:rPr>
          <w:b/>
        </w:rPr>
        <w:t xml:space="preserve">Scherer Unit </w:t>
      </w:r>
      <w:r w:rsidR="00594CAE" w:rsidRPr="00033382">
        <w:rPr>
          <w:b/>
        </w:rPr>
        <w:t xml:space="preserve">3 </w:t>
      </w:r>
    </w:p>
    <w:p w:rsidR="00A407CC" w:rsidRPr="00033382" w:rsidRDefault="00A407CC" w:rsidP="007C2A76">
      <w:pPr>
        <w:ind w:left="720" w:hanging="720"/>
        <w:jc w:val="both"/>
        <w:rPr>
          <w:b/>
        </w:rPr>
      </w:pPr>
    </w:p>
    <w:p w:rsidR="00FF2A25" w:rsidRPr="00033382" w:rsidRDefault="00A407CC" w:rsidP="007C2A76">
      <w:pPr>
        <w:tabs>
          <w:tab w:val="left" w:pos="720"/>
        </w:tabs>
        <w:ind w:left="720" w:hanging="720"/>
        <w:jc w:val="both"/>
        <w:rPr>
          <w:bCs/>
        </w:rPr>
      </w:pPr>
      <w:r w:rsidRPr="00033382">
        <w:rPr>
          <w:bCs/>
        </w:rPr>
        <w:tab/>
      </w:r>
      <w:r w:rsidR="00586674" w:rsidRPr="00033382">
        <w:rPr>
          <w:bCs/>
        </w:rPr>
        <w:t>Issues related to Gulf’s recovery of its identified</w:t>
      </w:r>
      <w:r w:rsidR="00856C95" w:rsidRPr="00033382">
        <w:rPr>
          <w:bCs/>
        </w:rPr>
        <w:t xml:space="preserve"> environmental compliance investment and expenses associated with</w:t>
      </w:r>
      <w:r w:rsidR="00586674" w:rsidRPr="00033382">
        <w:rPr>
          <w:bCs/>
        </w:rPr>
        <w:t xml:space="preserve"> Gulf’s 25% </w:t>
      </w:r>
      <w:r w:rsidR="00856C95" w:rsidRPr="00033382">
        <w:rPr>
          <w:bCs/>
        </w:rPr>
        <w:t xml:space="preserve">ownership interest in </w:t>
      </w:r>
      <w:r w:rsidR="00586674" w:rsidRPr="00033382">
        <w:rPr>
          <w:bCs/>
        </w:rPr>
        <w:t>Scherer Unit 3</w:t>
      </w:r>
      <w:r w:rsidR="00856C95" w:rsidRPr="00033382">
        <w:rPr>
          <w:bCs/>
        </w:rPr>
        <w:t xml:space="preserve"> shall be carved out and deferred for resolution in</w:t>
      </w:r>
      <w:r w:rsidR="00586674" w:rsidRPr="00033382">
        <w:rPr>
          <w:bCs/>
        </w:rPr>
        <w:t xml:space="preserve"> Gulf’s </w:t>
      </w:r>
      <w:r w:rsidR="00856C95" w:rsidRPr="00033382">
        <w:rPr>
          <w:bCs/>
        </w:rPr>
        <w:t xml:space="preserve">rate case ending in </w:t>
      </w:r>
      <w:r w:rsidR="00586674" w:rsidRPr="00033382">
        <w:rPr>
          <w:bCs/>
        </w:rPr>
        <w:t>Docket No. 160186-EI</w:t>
      </w:r>
      <w:r w:rsidR="00856C95" w:rsidRPr="00033382">
        <w:rPr>
          <w:bCs/>
        </w:rPr>
        <w:t xml:space="preserve">.  </w:t>
      </w:r>
    </w:p>
    <w:p w:rsidR="00FF2A25" w:rsidRPr="00033382" w:rsidRDefault="00FF2A25" w:rsidP="007C2A76">
      <w:pPr>
        <w:tabs>
          <w:tab w:val="left" w:pos="720"/>
        </w:tabs>
        <w:ind w:left="720" w:hanging="720"/>
        <w:jc w:val="both"/>
        <w:rPr>
          <w:bCs/>
        </w:rPr>
      </w:pPr>
    </w:p>
    <w:p w:rsidR="00A407CC" w:rsidRPr="00033382" w:rsidRDefault="00A407CC" w:rsidP="002C1B3A">
      <w:pPr>
        <w:tabs>
          <w:tab w:val="left" w:pos="720"/>
        </w:tabs>
        <w:ind w:left="720"/>
        <w:jc w:val="both"/>
        <w:rPr>
          <w:bCs/>
        </w:rPr>
      </w:pPr>
      <w:r w:rsidRPr="00033382">
        <w:rPr>
          <w:bCs/>
        </w:rPr>
        <w:t xml:space="preserve">In order to preserve the relative positions of the parties pending the final decision in Docket No. 160186-EI, and in recognition that all other issues for Gulf in this ECRC proceeding are not contested by any party, Gulf may recover in its 2017 ECRC factors $2,626,661 of O&amp;M expense ($963,913 estimated/actual true-up for 2016 and $1,662,748 projected for 2017) and $22,695,829 of capital investment recoverable costs ($10,296,496 estimated/actual true-up for 2016 and $12,399,333 projected for 2017) for environmental compliance activities associated with that portion of Gulf’s 25% ownership interest in Scherer Unit 3 not committed to long-term off-system sales after December 31, 2015.  Accordingly, Gulf’s proposed 2017 cost recovery rates in the ECRC mechanism are approved, without change.  The portion attributable to Scherer 3, -- up to 100%, however, is subject to future true-up as set forth below.  </w:t>
      </w:r>
    </w:p>
    <w:p w:rsidR="00A407CC" w:rsidRPr="00033382" w:rsidRDefault="00A407CC" w:rsidP="002C1B3A">
      <w:pPr>
        <w:pStyle w:val="OrderBody"/>
        <w:ind w:left="720" w:hanging="1440"/>
        <w:rPr>
          <w:bCs/>
        </w:rPr>
      </w:pPr>
    </w:p>
    <w:p w:rsidR="00A407CC" w:rsidRPr="00033382" w:rsidRDefault="00A407CC" w:rsidP="002C1B3A">
      <w:pPr>
        <w:pStyle w:val="OrderBody"/>
        <w:ind w:left="720"/>
        <w:rPr>
          <w:bCs/>
        </w:rPr>
      </w:pPr>
      <w:r w:rsidRPr="00033382">
        <w:rPr>
          <w:bCs/>
          <w:u w:val="single"/>
        </w:rPr>
        <w:t>Qualification for ECRC Recovery</w:t>
      </w:r>
      <w:r w:rsidRPr="00033382">
        <w:rPr>
          <w:bCs/>
        </w:rPr>
        <w:t>.  There is no dispute that (a) all of the environmental compliance investment and expenses for Scherer Unit 3 identified by Gulf for recovery through the ECRC mechanism were incurred after April 13, 1993 (the effective date of the ECRC enabling statute); (b) all such costs are for activities that are legally required to comply with a governmentally imposed environmental regulation that was created, became effective, or whose effect was triggered after 1990, which was the last test year in which any portion of Gulf’s investment in Scherer Unit 3 was considered in setting Gulf’s base rates; and (c) none of the environmental compliance investment and expenses for Scherer Unit 3 identified by Gulf for recovery through the ECRC mechanism are currently being recovered by Gulf through base rates or some other cost recovery mechanism.  Therefore, subject to the ultimate ruling on the issue of whether any of the costs associated with the ongoing ownership and operation of Scherer 3 are recoverable from Gulf’s retail customers (the “threshold issue”), these costs qualify for recovery through the ECRC. These costs remain subject to a potential Commission determination to roll them into base rates on a prospective basis in accordance with the ECRC enabling statute.</w:t>
      </w:r>
    </w:p>
    <w:p w:rsidR="00A407CC" w:rsidRPr="00033382" w:rsidRDefault="00A407CC" w:rsidP="002C1B3A">
      <w:pPr>
        <w:pStyle w:val="OrderBody"/>
        <w:ind w:left="720"/>
        <w:rPr>
          <w:bCs/>
        </w:rPr>
      </w:pPr>
    </w:p>
    <w:p w:rsidR="00A407CC" w:rsidRPr="00033382" w:rsidRDefault="00A407CC" w:rsidP="002C1B3A">
      <w:pPr>
        <w:pStyle w:val="OrderBody"/>
        <w:ind w:left="720"/>
        <w:rPr>
          <w:bCs/>
        </w:rPr>
      </w:pPr>
      <w:r w:rsidRPr="00033382">
        <w:rPr>
          <w:bCs/>
          <w:u w:val="single"/>
        </w:rPr>
        <w:t>Admission of Testimony and Exhibits</w:t>
      </w:r>
      <w:r w:rsidRPr="00033382">
        <w:rPr>
          <w:bCs/>
        </w:rPr>
        <w:t xml:space="preserve">.  The testimony and exhibits of Gulf witnesses Boyett, Burleson, Deason, Liu, Markey and Vick shall be inserted into the record of this proceeding, without objection, as a basis for recovery of all costs identified therein, including the environmental compliance costs associated with Scherer Unit 3, through the ECRC mechanism.  That testimony shall also be admitted in Docket No. 160186-EI, subject to appropriate cross-examination, as a basis for Gulf’s positions on the carved out </w:t>
      </w:r>
      <w:r w:rsidRPr="00033382">
        <w:rPr>
          <w:bCs/>
        </w:rPr>
        <w:lastRenderedPageBreak/>
        <w:t>and deferred issues and any position that Gulf takes with respect to base rate recovery of Scherer Unit 3 environmental costs.</w:t>
      </w:r>
    </w:p>
    <w:p w:rsidR="00A407CC" w:rsidRPr="00033382" w:rsidRDefault="00A407CC" w:rsidP="002C1B3A">
      <w:pPr>
        <w:pStyle w:val="OrderBody"/>
        <w:ind w:left="720"/>
        <w:rPr>
          <w:bCs/>
        </w:rPr>
      </w:pPr>
    </w:p>
    <w:p w:rsidR="00A407CC" w:rsidRPr="00033382" w:rsidRDefault="00A407CC" w:rsidP="002C1B3A">
      <w:pPr>
        <w:pStyle w:val="OrderBody"/>
        <w:ind w:left="720"/>
        <w:rPr>
          <w:bCs/>
        </w:rPr>
      </w:pPr>
      <w:r w:rsidRPr="00033382">
        <w:rPr>
          <w:bCs/>
          <w:u w:val="single"/>
        </w:rPr>
        <w:t>Eligibility for Base Rate Recovery</w:t>
      </w:r>
      <w:r w:rsidRPr="00033382">
        <w:rPr>
          <w:bCs/>
        </w:rPr>
        <w:t>. In the event Gulf prevails on the threshold issue, the Commission retains the authority to determine whether recovery of the Scherer 3 environmental compliance costs on a prospective basis shall continue through the ECRC or shall be included in base rates. The fact that these costs are not included in the 2017 test year revenue requirements requested through the petition, minimum filing requirements, testimony and exhibits submitted by Gulf in Docket No. 160186-EI, and are not included in the proposed base rates filed in that docket, shall not disqualify the annualized amount of such costs from being considered or incorporated in the base rates established in Docket No. 160186-EI. The statutory time frames otherwise applicable to Docket No. 160186-EI shall not be affected by consideration of the deferred issues in that docket, the potential for base rate recovery of those costs, or Gulf’s submission of supplemental information necessary to identify the annualized test year amount of Scherer 3 investment and expenses to be included in the ultimate determination of prospective base rates.</w:t>
      </w:r>
    </w:p>
    <w:p w:rsidR="00A407CC" w:rsidRPr="00033382" w:rsidRDefault="00A407CC" w:rsidP="002C1B3A">
      <w:pPr>
        <w:pStyle w:val="OrderBody"/>
        <w:ind w:left="720"/>
        <w:rPr>
          <w:bCs/>
        </w:rPr>
      </w:pPr>
    </w:p>
    <w:p w:rsidR="00A407CC" w:rsidRPr="00033382" w:rsidRDefault="00A407CC" w:rsidP="002C1B3A">
      <w:pPr>
        <w:pStyle w:val="OrderBody"/>
        <w:ind w:left="720"/>
        <w:rPr>
          <w:bCs/>
        </w:rPr>
      </w:pPr>
      <w:r w:rsidRPr="00033382">
        <w:rPr>
          <w:bCs/>
          <w:u w:val="single"/>
        </w:rPr>
        <w:t>Future True-up</w:t>
      </w:r>
      <w:r w:rsidRPr="00033382">
        <w:rPr>
          <w:bCs/>
        </w:rPr>
        <w:t>.  In the event that Gulf prevails on the threshold issue, and the Commission decides that any portion of the Scherer Unit 3 environmental compliance costs should be recovered prospectively through base rates established in Docket 160186-EI rather than through the ECRC mechanism, then the portion of the environmental compliance costs included in prospective base rate recovery shall be excluded from the actual expenditures addressed through the ECRC mechanism beginning with the effective date of the new base rates. Any over-recovery through the ECRC mechanism that results from such prospective base rate recovery shall be credited to customers with interest in accordance with and through the normal true-up mechanism associated with the ECRC.</w:t>
      </w:r>
    </w:p>
    <w:p w:rsidR="00A407CC" w:rsidRPr="00033382" w:rsidRDefault="00A407CC" w:rsidP="002C1B3A">
      <w:pPr>
        <w:ind w:left="720"/>
        <w:rPr>
          <w:b/>
          <w:bCs/>
          <w:u w:val="single"/>
        </w:rPr>
      </w:pPr>
    </w:p>
    <w:p w:rsidR="00A407CC" w:rsidRPr="00033382" w:rsidRDefault="00A407CC" w:rsidP="002C1B3A">
      <w:pPr>
        <w:pStyle w:val="OrderBody"/>
        <w:ind w:left="720"/>
        <w:rPr>
          <w:bCs/>
        </w:rPr>
      </w:pPr>
      <w:r w:rsidRPr="00033382">
        <w:rPr>
          <w:bCs/>
        </w:rPr>
        <w:t xml:space="preserve">In the event that Gulf does not ultimately prevail on the threshold issue, the amounts related to Scherer 3 collected through the 2017 cost recovery rates in the ECRC mechanism will be credited to customers with interest, in accordance with and through the normal true-up mechanism associated with the ECRC. </w:t>
      </w:r>
    </w:p>
    <w:p w:rsidR="00A407CC" w:rsidRPr="00033382" w:rsidRDefault="00A407CC" w:rsidP="002C1B3A">
      <w:pPr>
        <w:ind w:left="720"/>
        <w:jc w:val="both"/>
        <w:outlineLvl w:val="3"/>
        <w:rPr>
          <w:bCs/>
        </w:rPr>
      </w:pPr>
    </w:p>
    <w:p w:rsidR="00FF2A25" w:rsidRPr="00033382" w:rsidRDefault="00FF2A25" w:rsidP="002C1B3A">
      <w:pPr>
        <w:ind w:left="720"/>
        <w:jc w:val="both"/>
        <w:outlineLvl w:val="3"/>
        <w:rPr>
          <w:bCs/>
        </w:rPr>
      </w:pPr>
    </w:p>
    <w:p w:rsidR="00A407CC" w:rsidRPr="00033382" w:rsidRDefault="00C97036" w:rsidP="007C2A76">
      <w:pPr>
        <w:ind w:left="720" w:hanging="720"/>
        <w:jc w:val="both"/>
        <w:rPr>
          <w:b/>
          <w:bCs/>
        </w:rPr>
      </w:pPr>
      <w:r w:rsidRPr="00033382">
        <w:rPr>
          <w:b/>
        </w:rPr>
        <w:t xml:space="preserve">9B. </w:t>
      </w:r>
      <w:r w:rsidRPr="00033382">
        <w:rPr>
          <w:b/>
        </w:rPr>
        <w:tab/>
      </w:r>
      <w:r w:rsidR="00594CAE" w:rsidRPr="00033382">
        <w:rPr>
          <w:b/>
          <w:bCs/>
        </w:rPr>
        <w:t>Gulf</w:t>
      </w:r>
      <w:r w:rsidR="001D1353" w:rsidRPr="00033382">
        <w:rPr>
          <w:b/>
          <w:bCs/>
        </w:rPr>
        <w:t xml:space="preserve">’s Recovery Of </w:t>
      </w:r>
      <w:r w:rsidR="00594CAE" w:rsidRPr="00033382">
        <w:rPr>
          <w:b/>
          <w:bCs/>
        </w:rPr>
        <w:t>Prudently Incurred Costs Associated With Its Plant Scholz CCR Unit Closure Project</w:t>
      </w:r>
    </w:p>
    <w:p w:rsidR="00A407CC" w:rsidRPr="00033382" w:rsidRDefault="00A407CC" w:rsidP="007C2A76">
      <w:pPr>
        <w:ind w:left="720" w:hanging="720"/>
        <w:jc w:val="both"/>
      </w:pPr>
    </w:p>
    <w:p w:rsidR="00FF2A25" w:rsidRPr="00033382" w:rsidRDefault="00A407CC" w:rsidP="007C2A76">
      <w:pPr>
        <w:ind w:left="720" w:hanging="720"/>
        <w:jc w:val="both"/>
        <w:rPr>
          <w:bCs/>
        </w:rPr>
      </w:pPr>
      <w:r w:rsidRPr="00033382">
        <w:rPr>
          <w:b/>
        </w:rPr>
        <w:tab/>
      </w:r>
      <w:r w:rsidR="001D1353" w:rsidRPr="00033382">
        <w:rPr>
          <w:bCs/>
        </w:rPr>
        <w:t xml:space="preserve">Gulf shall be allowed to recover, through the ECRC, prudently incurred costs associated with its Plant Scholz CCR Unit Closure project. </w:t>
      </w:r>
    </w:p>
    <w:p w:rsidR="00FF2A25" w:rsidRPr="00033382" w:rsidRDefault="00FF2A25" w:rsidP="007C2A76">
      <w:pPr>
        <w:ind w:left="720" w:hanging="720"/>
        <w:jc w:val="both"/>
        <w:rPr>
          <w:bCs/>
        </w:rPr>
      </w:pPr>
    </w:p>
    <w:p w:rsidR="00A407CC" w:rsidRPr="00033382" w:rsidRDefault="00A407CC" w:rsidP="002C1B3A">
      <w:pPr>
        <w:ind w:left="720"/>
        <w:jc w:val="both"/>
      </w:pPr>
      <w:r w:rsidRPr="00033382">
        <w:rPr>
          <w:bCs/>
        </w:rPr>
        <w:t xml:space="preserve">The Plant Scholz CCR Unit Closure project meets the criteria for cost recovery set forth in Section 366.8255, Florida Statutes and the Commission's Order No. PSC-94-0044-FOF-EI.  This project is necessary for Gulf to meet new legally mandated requirements under a governmentally imposed environmental regulation. These new legal requirements are found in the National Pollutant Discharge Elimination System (NPDES) renewal </w:t>
      </w:r>
      <w:r w:rsidRPr="00033382">
        <w:rPr>
          <w:bCs/>
        </w:rPr>
        <w:lastRenderedPageBreak/>
        <w:t>permit for Plant Scholz (FL0002283-005) issued by the Florida Department of Environmental Protection (FDEP) on October 20, 2015 and in the draft NPDES permit modification issued on August 25, 2016. NPDES permit FL0002283-005 requires closure of the existing on-site ash pond at Plant Scholz during the 2015-2020 permit cycle. Pursuant to the permit, Gulf was required to submit a closure plan to the FDEP for its review and approval. After completion of engineering design work, the Plant Scholz closure plan was submitted to FDEP on May 26, 2016, and Gulf received approval of the closure plan on August 26, 2016. The Plant Scholz closure plan requires the construction of an industrial wastewater pond, a groundwater cut-off wall, a wastewater treatment system, a stormwater management system, removing the coal combustion residuals (CCR) material from portions of the pond, transferring CCR material upland to a dry stack area primarily within the footprint of pond, and installing new groundwater monitoring wells at Plant Scholz. The costs for this activity are $845,000 O&amp;M expenses for 2016 and $26,191,933 O&amp;M expenses for 2017.  These costs are not recovered through any other cost recovery mechanism or through base rates.</w:t>
      </w:r>
      <w:r w:rsidRPr="00033382">
        <w:t xml:space="preserve"> </w:t>
      </w:r>
    </w:p>
    <w:p w:rsidR="00A407CC" w:rsidRPr="00033382" w:rsidRDefault="00A407CC" w:rsidP="002C1B3A">
      <w:pPr>
        <w:ind w:left="720"/>
        <w:jc w:val="both"/>
        <w:rPr>
          <w:b/>
          <w:bCs/>
          <w:u w:val="single"/>
        </w:rPr>
      </w:pPr>
    </w:p>
    <w:p w:rsidR="00A407CC" w:rsidRPr="00033382" w:rsidRDefault="00A407CC" w:rsidP="007C2A76">
      <w:pPr>
        <w:ind w:left="720" w:hanging="720"/>
        <w:jc w:val="both"/>
        <w:outlineLvl w:val="3"/>
        <w:rPr>
          <w:bCs/>
        </w:rPr>
      </w:pPr>
    </w:p>
    <w:p w:rsidR="00A407CC" w:rsidRPr="00033382" w:rsidRDefault="00A8249C" w:rsidP="007C2A76">
      <w:pPr>
        <w:ind w:left="720" w:hanging="720"/>
        <w:jc w:val="both"/>
        <w:rPr>
          <w:b/>
          <w:bCs/>
        </w:rPr>
      </w:pPr>
      <w:r w:rsidRPr="00033382">
        <w:rPr>
          <w:b/>
        </w:rPr>
        <w:t xml:space="preserve">9C. </w:t>
      </w:r>
      <w:r w:rsidRPr="00033382">
        <w:rPr>
          <w:b/>
        </w:rPr>
        <w:tab/>
      </w:r>
      <w:r w:rsidR="00EC6185" w:rsidRPr="00033382">
        <w:rPr>
          <w:b/>
        </w:rPr>
        <w:t>Allocation Of C</w:t>
      </w:r>
      <w:r w:rsidR="00A407CC" w:rsidRPr="00033382">
        <w:rPr>
          <w:b/>
        </w:rPr>
        <w:t>osts</w:t>
      </w:r>
      <w:r w:rsidR="00EC6185" w:rsidRPr="00033382">
        <w:rPr>
          <w:b/>
          <w:bCs/>
        </w:rPr>
        <w:t xml:space="preserve"> Associated W</w:t>
      </w:r>
      <w:r w:rsidR="00A407CC" w:rsidRPr="00033382">
        <w:rPr>
          <w:b/>
          <w:bCs/>
        </w:rPr>
        <w:t xml:space="preserve">ith Gulf’s Plant </w:t>
      </w:r>
      <w:r w:rsidR="00EC6185" w:rsidRPr="00033382">
        <w:rPr>
          <w:b/>
          <w:bCs/>
        </w:rPr>
        <w:t>Scholz CCR Unit Closure Project</w:t>
      </w:r>
    </w:p>
    <w:p w:rsidR="00A407CC" w:rsidRPr="00033382" w:rsidRDefault="00A407CC" w:rsidP="00A407CC">
      <w:pPr>
        <w:ind w:left="1440" w:hanging="1440"/>
        <w:jc w:val="both"/>
        <w:rPr>
          <w:b/>
          <w:bCs/>
        </w:rPr>
      </w:pPr>
    </w:p>
    <w:p w:rsidR="00A407CC" w:rsidRPr="00033382" w:rsidRDefault="00A407CC" w:rsidP="002C1B3A">
      <w:pPr>
        <w:spacing w:after="120"/>
        <w:ind w:left="720"/>
        <w:jc w:val="both"/>
        <w:rPr>
          <w:b/>
          <w:bCs/>
          <w:u w:val="single"/>
        </w:rPr>
      </w:pPr>
      <w:r w:rsidRPr="00033382">
        <w:rPr>
          <w:bCs/>
        </w:rPr>
        <w:t>The Plant Scholz CCR Unit Closure project shall be allocated to the rate classes on a demand basis.</w:t>
      </w:r>
      <w:r w:rsidRPr="00033382">
        <w:tab/>
      </w:r>
    </w:p>
    <w:p w:rsidR="00A407CC" w:rsidRPr="00033382" w:rsidRDefault="00A407CC" w:rsidP="00A407CC">
      <w:pPr>
        <w:spacing w:before="240" w:after="60"/>
        <w:jc w:val="both"/>
        <w:outlineLvl w:val="3"/>
        <w:rPr>
          <w:bCs/>
        </w:rPr>
      </w:pPr>
    </w:p>
    <w:p w:rsidR="00A407CC" w:rsidRPr="00033382" w:rsidRDefault="00EC6185" w:rsidP="007C2A76">
      <w:pPr>
        <w:ind w:left="720" w:hanging="720"/>
        <w:jc w:val="both"/>
        <w:rPr>
          <w:b/>
        </w:rPr>
      </w:pPr>
      <w:r w:rsidRPr="00033382">
        <w:rPr>
          <w:b/>
        </w:rPr>
        <w:t xml:space="preserve">10. </w:t>
      </w:r>
      <w:r w:rsidRPr="00033382">
        <w:rPr>
          <w:b/>
        </w:rPr>
        <w:tab/>
      </w:r>
      <w:r w:rsidR="001D45D6" w:rsidRPr="00033382">
        <w:rPr>
          <w:b/>
        </w:rPr>
        <w:t xml:space="preserve">Deferral Of </w:t>
      </w:r>
      <w:r w:rsidR="0042699D" w:rsidRPr="00033382">
        <w:rPr>
          <w:b/>
        </w:rPr>
        <w:t>I</w:t>
      </w:r>
      <w:r w:rsidR="00A407CC" w:rsidRPr="00033382">
        <w:rPr>
          <w:b/>
        </w:rPr>
        <w:t xml:space="preserve">ssues </w:t>
      </w:r>
      <w:r w:rsidR="0042699D" w:rsidRPr="00033382">
        <w:rPr>
          <w:b/>
        </w:rPr>
        <w:t>R</w:t>
      </w:r>
      <w:r w:rsidR="00A407CC" w:rsidRPr="00033382">
        <w:rPr>
          <w:b/>
        </w:rPr>
        <w:t xml:space="preserve">elated </w:t>
      </w:r>
      <w:r w:rsidR="0042699D" w:rsidRPr="00033382">
        <w:rPr>
          <w:b/>
        </w:rPr>
        <w:t>T</w:t>
      </w:r>
      <w:r w:rsidR="00A407CC" w:rsidRPr="00033382">
        <w:rPr>
          <w:b/>
        </w:rPr>
        <w:t xml:space="preserve">o </w:t>
      </w:r>
      <w:r w:rsidR="0042699D" w:rsidRPr="00033382">
        <w:rPr>
          <w:b/>
        </w:rPr>
        <w:t>FPL’s Recovery Of Its Projected 2017 Costs For T</w:t>
      </w:r>
      <w:r w:rsidR="00A407CC" w:rsidRPr="00033382">
        <w:rPr>
          <w:b/>
        </w:rPr>
        <w:t>he Turkey Point</w:t>
      </w:r>
      <w:r w:rsidR="0042699D" w:rsidRPr="00033382">
        <w:rPr>
          <w:b/>
        </w:rPr>
        <w:t xml:space="preserve"> Cooling Canal Monitoring Plan P</w:t>
      </w:r>
      <w:r w:rsidR="00A407CC" w:rsidRPr="00033382">
        <w:rPr>
          <w:b/>
        </w:rPr>
        <w:t>roject  </w:t>
      </w:r>
    </w:p>
    <w:p w:rsidR="00A407CC" w:rsidRPr="00033382" w:rsidRDefault="00A407CC" w:rsidP="007C2A76">
      <w:pPr>
        <w:ind w:left="720" w:hanging="720"/>
        <w:jc w:val="both"/>
        <w:rPr>
          <w:b/>
        </w:rPr>
      </w:pPr>
    </w:p>
    <w:p w:rsidR="00FF2A25" w:rsidRPr="00033382" w:rsidRDefault="001D45D6" w:rsidP="00156AF4">
      <w:pPr>
        <w:ind w:left="720"/>
        <w:jc w:val="both"/>
        <w:rPr>
          <w:b/>
        </w:rPr>
      </w:pPr>
      <w:r w:rsidRPr="00033382">
        <w:t>Issues related to FPL’s recovery of its projected 2017 costs for the Turkey Point Cooling Canal Monitoring Plan project shall be deferred for resolution in the 2017 ECRC docket.</w:t>
      </w:r>
      <w:r w:rsidRPr="00033382">
        <w:rPr>
          <w:b/>
        </w:rPr>
        <w:t xml:space="preserve">  </w:t>
      </w:r>
    </w:p>
    <w:p w:rsidR="00FF2A25" w:rsidRPr="00033382" w:rsidRDefault="00FF2A25" w:rsidP="0042699D">
      <w:pPr>
        <w:jc w:val="both"/>
        <w:rPr>
          <w:b/>
        </w:rPr>
      </w:pPr>
    </w:p>
    <w:p w:rsidR="00A407CC" w:rsidRPr="00033382" w:rsidRDefault="00A407CC" w:rsidP="002C1B3A">
      <w:pPr>
        <w:ind w:left="720"/>
        <w:jc w:val="both"/>
      </w:pPr>
      <w:r w:rsidRPr="00033382">
        <w:t>FPL may recover in its 2017 ECRC factors the projected $73,776,441 of O&amp;M expense shown on Form 42-2P and $1,449,647 of capital investment recoverable costs shown on Form 42-3P, filed on September 6, 2016 as part of FPL’s 2017 projection filing, with both amounts subject to refund through the ECRC true-up mechanism, including interest calculated as provided therein.  FPL will file its direct testimony in support of the 2017 TPCCMP project costs as part of its 2017 actual/estimated true-up filing.  It is the parties’ desire that, to the extent possible, the order establishing procedure for Docket 170007-EI reflect a schedule for the TPCCMP project issues that provides intervenor and Staff no fewer than five weeks to file testimony after FPL’s direct testimony; and provides FPL no fewer than three weeks thereafter to file its rebuttal testimony.  </w:t>
      </w:r>
    </w:p>
    <w:p w:rsidR="00A407CC" w:rsidRDefault="00A407CC" w:rsidP="00A407CC">
      <w:pPr>
        <w:jc w:val="both"/>
      </w:pPr>
      <w:r w:rsidRPr="00033382">
        <w:tab/>
      </w:r>
      <w:r w:rsidRPr="00033382">
        <w:tab/>
      </w:r>
    </w:p>
    <w:p w:rsidR="00156AF4" w:rsidRDefault="00156AF4" w:rsidP="00A407CC">
      <w:pPr>
        <w:jc w:val="both"/>
      </w:pPr>
    </w:p>
    <w:p w:rsidR="00156AF4" w:rsidRDefault="00156AF4" w:rsidP="00A407CC">
      <w:pPr>
        <w:jc w:val="both"/>
      </w:pPr>
    </w:p>
    <w:p w:rsidR="00156AF4" w:rsidRPr="00033382" w:rsidRDefault="00156AF4" w:rsidP="00A407CC">
      <w:pPr>
        <w:jc w:val="both"/>
      </w:pPr>
    </w:p>
    <w:p w:rsidR="00A407CC" w:rsidRPr="00033382" w:rsidRDefault="00A407CC" w:rsidP="00A407CC">
      <w:pPr>
        <w:jc w:val="both"/>
        <w:rPr>
          <w:bCs/>
        </w:rPr>
      </w:pPr>
    </w:p>
    <w:p w:rsidR="00A407CC" w:rsidRPr="00033382" w:rsidRDefault="009C6A66" w:rsidP="007C2A76">
      <w:pPr>
        <w:ind w:left="720" w:hanging="720"/>
        <w:jc w:val="both"/>
        <w:rPr>
          <w:b/>
          <w:bCs/>
        </w:rPr>
      </w:pPr>
      <w:r w:rsidRPr="00033382">
        <w:rPr>
          <w:b/>
        </w:rPr>
        <w:lastRenderedPageBreak/>
        <w:t>11.</w:t>
      </w:r>
      <w:r w:rsidR="00CC7388" w:rsidRPr="00033382">
        <w:rPr>
          <w:b/>
          <w:bCs/>
        </w:rPr>
        <w:t xml:space="preserve"> </w:t>
      </w:r>
      <w:r w:rsidR="00CC7388" w:rsidRPr="00033382">
        <w:rPr>
          <w:b/>
          <w:bCs/>
        </w:rPr>
        <w:tab/>
      </w:r>
      <w:r w:rsidR="00B227C2" w:rsidRPr="00033382">
        <w:rPr>
          <w:b/>
          <w:bCs/>
        </w:rPr>
        <w:t>DEF’s P</w:t>
      </w:r>
      <w:r w:rsidR="00A407CC" w:rsidRPr="00033382">
        <w:rPr>
          <w:b/>
          <w:bCs/>
        </w:rPr>
        <w:t>ropose</w:t>
      </w:r>
      <w:r w:rsidR="00B227C2" w:rsidRPr="00033382">
        <w:rPr>
          <w:b/>
          <w:bCs/>
        </w:rPr>
        <w:t>d Treatment For Bartow-Anclote Pipeline And Turner CT Projects, As Proposed In DEF’s 2016 Estimated Actual And 2017 Projection Filings</w:t>
      </w:r>
    </w:p>
    <w:p w:rsidR="00A407CC" w:rsidRPr="00033382" w:rsidRDefault="00A407CC" w:rsidP="007C2A76">
      <w:pPr>
        <w:ind w:left="720" w:hanging="720"/>
        <w:jc w:val="both"/>
        <w:rPr>
          <w:b/>
        </w:rPr>
      </w:pPr>
    </w:p>
    <w:p w:rsidR="00A04343" w:rsidRPr="00033382" w:rsidRDefault="00711E53" w:rsidP="007C2A76">
      <w:pPr>
        <w:ind w:left="720"/>
        <w:jc w:val="both"/>
      </w:pPr>
      <w:r w:rsidRPr="00033382">
        <w:t xml:space="preserve">The Commission shall approve DEF’s proposed treatment for Bartow-Anclote Pipeline and Turner CT projects, as proposed in DEF’s 2016 Estimated Actual and 2017 Projected Filings. </w:t>
      </w:r>
    </w:p>
    <w:p w:rsidR="00A04343" w:rsidRPr="00033382" w:rsidRDefault="00A04343" w:rsidP="007C2A76">
      <w:pPr>
        <w:ind w:left="720"/>
        <w:jc w:val="both"/>
      </w:pPr>
    </w:p>
    <w:p w:rsidR="00A407CC" w:rsidRPr="00033382" w:rsidRDefault="00A407CC" w:rsidP="002C1B3A">
      <w:pPr>
        <w:ind w:left="720"/>
        <w:jc w:val="both"/>
      </w:pPr>
      <w:r w:rsidRPr="00033382">
        <w:t xml:space="preserve">DEF’s proposed treatment for the Bartow-Anclote Pipeline and Turner CT projects is consistent </w:t>
      </w:r>
      <w:r w:rsidRPr="00033382">
        <w:rPr>
          <w:bCs/>
        </w:rPr>
        <w:t>with</w:t>
      </w:r>
      <w:r w:rsidRPr="00033382">
        <w:t xml:space="preserve"> prior Commission approvals in Order No. PSC-11-0553-FOF-EI and PSC-13-0381-PAA-EI. </w:t>
      </w:r>
    </w:p>
    <w:p w:rsidR="00A407CC" w:rsidRPr="00033382" w:rsidRDefault="00A407CC" w:rsidP="00A407CC">
      <w:pPr>
        <w:spacing w:before="240" w:after="60"/>
        <w:jc w:val="both"/>
        <w:outlineLvl w:val="3"/>
        <w:rPr>
          <w:bCs/>
        </w:rPr>
      </w:pPr>
    </w:p>
    <w:p w:rsidR="00A407CC" w:rsidRPr="00033382" w:rsidRDefault="00B227C2" w:rsidP="007C2A76">
      <w:pPr>
        <w:ind w:left="720" w:hanging="720"/>
        <w:jc w:val="both"/>
        <w:rPr>
          <w:b/>
          <w:bCs/>
        </w:rPr>
      </w:pPr>
      <w:r w:rsidRPr="00033382">
        <w:rPr>
          <w:b/>
        </w:rPr>
        <w:t>12.</w:t>
      </w:r>
      <w:r w:rsidR="00A407CC" w:rsidRPr="00033382">
        <w:rPr>
          <w:b/>
          <w:bCs/>
        </w:rPr>
        <w:t xml:space="preserve"> </w:t>
      </w:r>
      <w:r w:rsidR="00A407CC" w:rsidRPr="00033382">
        <w:rPr>
          <w:b/>
          <w:bCs/>
        </w:rPr>
        <w:tab/>
      </w:r>
      <w:r w:rsidRPr="00033382">
        <w:rPr>
          <w:b/>
          <w:bCs/>
        </w:rPr>
        <w:t>Approval Of</w:t>
      </w:r>
      <w:r w:rsidR="00A407CC" w:rsidRPr="00033382">
        <w:rPr>
          <w:b/>
          <w:bCs/>
        </w:rPr>
        <w:t xml:space="preserve"> </w:t>
      </w:r>
      <w:r w:rsidRPr="00033382">
        <w:rPr>
          <w:b/>
          <w:bCs/>
        </w:rPr>
        <w:t>R</w:t>
      </w:r>
      <w:r w:rsidR="00A407CC" w:rsidRPr="00033382">
        <w:rPr>
          <w:b/>
          <w:bCs/>
        </w:rPr>
        <w:t xml:space="preserve">evised </w:t>
      </w:r>
      <w:r w:rsidRPr="00033382">
        <w:rPr>
          <w:b/>
          <w:bCs/>
        </w:rPr>
        <w:t>T</w:t>
      </w:r>
      <w:r w:rsidR="00A407CC" w:rsidRPr="00033382">
        <w:rPr>
          <w:b/>
          <w:bCs/>
        </w:rPr>
        <w:t xml:space="preserve">ariffs </w:t>
      </w:r>
      <w:r w:rsidR="00711E53" w:rsidRPr="00033382">
        <w:rPr>
          <w:b/>
          <w:bCs/>
        </w:rPr>
        <w:t>Reflecting The Environmental Cost Recovery Amounts And Environmental Cost Recovery Factors</w:t>
      </w:r>
    </w:p>
    <w:p w:rsidR="00A407CC" w:rsidRPr="00033382" w:rsidRDefault="00A407CC" w:rsidP="007C2A76">
      <w:pPr>
        <w:ind w:left="720"/>
        <w:jc w:val="both"/>
        <w:rPr>
          <w:b/>
        </w:rPr>
      </w:pPr>
    </w:p>
    <w:p w:rsidR="00A407CC" w:rsidRPr="00033382" w:rsidRDefault="00A407CC" w:rsidP="002C1B3A">
      <w:pPr>
        <w:pStyle w:val="PositionHeading"/>
        <w:spacing w:before="0" w:after="0"/>
        <w:ind w:left="720"/>
        <w:rPr>
          <w:rFonts w:cs="Times New Roman"/>
          <w:vanish/>
          <w:szCs w:val="24"/>
          <w:specVanish/>
        </w:rPr>
      </w:pPr>
      <w:r w:rsidRPr="00033382">
        <w:rPr>
          <w:rFonts w:cs="Times New Roman"/>
          <w:b w:val="0"/>
          <w:szCs w:val="24"/>
        </w:rPr>
        <w:t>The Commission approves the revised tariffs reflecting the environmental cost recovery amounts and environmental cost recovery factors determined to be appropriate in this proceeding. Staff is directed to verify that the revised tariffs are consistent with the Commission’s decision.</w:t>
      </w:r>
    </w:p>
    <w:p w:rsidR="00A407CC" w:rsidRPr="00033382" w:rsidRDefault="00A407CC" w:rsidP="00A407CC">
      <w:pPr>
        <w:pStyle w:val="IssueHeading"/>
        <w:rPr>
          <w:rFonts w:cs="Times New Roman"/>
          <w:szCs w:val="24"/>
        </w:rPr>
      </w:pPr>
    </w:p>
    <w:p w:rsidR="00A407CC" w:rsidRPr="00033382" w:rsidRDefault="00A407CC" w:rsidP="00A407CC">
      <w:pPr>
        <w:jc w:val="both"/>
        <w:rPr>
          <w:b/>
        </w:rPr>
      </w:pPr>
    </w:p>
    <w:p w:rsidR="00650AAC" w:rsidRPr="00033382" w:rsidRDefault="00650AAC" w:rsidP="00807401">
      <w:pPr>
        <w:pStyle w:val="OrderBody"/>
      </w:pPr>
    </w:p>
    <w:p w:rsidR="00650AAC" w:rsidRPr="00033382" w:rsidRDefault="00650AAC" w:rsidP="00650AAC">
      <w:pPr>
        <w:pStyle w:val="OrderBody"/>
      </w:pPr>
      <w:r w:rsidRPr="00033382">
        <w:tab/>
        <w:t>Based on the foregoing, it is</w:t>
      </w:r>
    </w:p>
    <w:p w:rsidR="00650AAC" w:rsidRPr="00033382" w:rsidRDefault="00650AAC" w:rsidP="00650AAC">
      <w:pPr>
        <w:pStyle w:val="OrderBody"/>
      </w:pPr>
    </w:p>
    <w:p w:rsidR="00650AAC" w:rsidRPr="00033382" w:rsidRDefault="00650AAC" w:rsidP="00650AAC">
      <w:pPr>
        <w:pStyle w:val="OrderBody"/>
      </w:pPr>
      <w:r w:rsidRPr="00033382">
        <w:tab/>
        <w:t>ORDERED by the Florida Public Service Commission that the stipulations and findings set forth in the body of this order are hereby approved.  It is further</w:t>
      </w:r>
    </w:p>
    <w:p w:rsidR="00650AAC" w:rsidRPr="00033382" w:rsidRDefault="00650AAC" w:rsidP="00650AAC">
      <w:pPr>
        <w:pStyle w:val="OrderBody"/>
      </w:pPr>
    </w:p>
    <w:p w:rsidR="00650AAC" w:rsidRPr="00033382" w:rsidRDefault="00650AAC" w:rsidP="00650AAC">
      <w:pPr>
        <w:pStyle w:val="OrderBody"/>
      </w:pPr>
      <w:r w:rsidRPr="00033382">
        <w:tab/>
        <w:t>ORDERED that each utility that was a party to this docket shall abide by the stipulations and findings herein which are applicable to it.  It is further</w:t>
      </w:r>
    </w:p>
    <w:p w:rsidR="00650AAC" w:rsidRPr="00033382" w:rsidRDefault="00650AAC" w:rsidP="00650AAC">
      <w:pPr>
        <w:pStyle w:val="OrderBody"/>
      </w:pPr>
    </w:p>
    <w:p w:rsidR="00650AAC" w:rsidRPr="00033382" w:rsidRDefault="00650AAC" w:rsidP="00650AAC">
      <w:pPr>
        <w:pStyle w:val="OrderBody"/>
      </w:pPr>
      <w:r w:rsidRPr="00033382">
        <w:tab/>
        <w:t xml:space="preserve">ORDERED that the utilities named herein are authorized to collect the environmental cost recovery amounts and use the factors approved herein beginning with the first billing cycle for </w:t>
      </w:r>
      <w:r w:rsidR="00FB6900">
        <w:t>2017</w:t>
      </w:r>
      <w:r w:rsidRPr="00033382">
        <w:t xml:space="preserve">. The first billing cycle may start before </w:t>
      </w:r>
      <w:r w:rsidR="00FB6900">
        <w:t>January 1, 2016</w:t>
      </w:r>
      <w:r w:rsidRPr="00033382">
        <w:t xml:space="preserve">, and thereafter, the environmental cost recovery factors shall remain in effect until modified by this Commission.  It is further </w:t>
      </w:r>
    </w:p>
    <w:p w:rsidR="00650AAC" w:rsidRPr="00033382" w:rsidRDefault="00650AAC" w:rsidP="00650AAC">
      <w:pPr>
        <w:pStyle w:val="OrderBody"/>
      </w:pPr>
    </w:p>
    <w:p w:rsidR="00650AAC" w:rsidRPr="00033382" w:rsidRDefault="00650AAC" w:rsidP="00650AAC">
      <w:pPr>
        <w:pStyle w:val="OrderBody"/>
      </w:pPr>
      <w:r w:rsidRPr="00033382">
        <w:tab/>
        <w:t xml:space="preserve">ORDERED that the </w:t>
      </w:r>
      <w:r w:rsidRPr="00033382">
        <w:rPr>
          <w:color w:val="000000"/>
        </w:rPr>
        <w:t>Environmental Cost Recovery</w:t>
      </w:r>
      <w:r w:rsidRPr="00033382">
        <w:t xml:space="preserve"> Clause docket is an on-going docket and shall remain open.  </w:t>
      </w:r>
    </w:p>
    <w:p w:rsidR="00807401" w:rsidRPr="00033382" w:rsidRDefault="00807401" w:rsidP="00807401">
      <w:pPr>
        <w:pStyle w:val="OrderBody"/>
      </w:pPr>
    </w:p>
    <w:p w:rsidR="00807401" w:rsidRDefault="00807401" w:rsidP="00807401">
      <w:pPr>
        <w:pStyle w:val="OrderBody"/>
        <w:keepNext/>
        <w:keepLines/>
      </w:pPr>
      <w:r w:rsidRPr="00033382">
        <w:lastRenderedPageBreak/>
        <w:tab/>
        <w:t xml:space="preserve">By ORDER of the Florida Public Service Commission this </w:t>
      </w:r>
      <w:bookmarkStart w:id="5" w:name="replaceDate"/>
      <w:bookmarkEnd w:id="5"/>
      <w:r w:rsidR="009F3773">
        <w:rPr>
          <w:u w:val="single"/>
        </w:rPr>
        <w:t>22nd</w:t>
      </w:r>
      <w:r w:rsidR="009F3773">
        <w:t xml:space="preserve"> day of </w:t>
      </w:r>
      <w:r w:rsidR="009F3773">
        <w:rPr>
          <w:u w:val="single"/>
        </w:rPr>
        <w:t>November</w:t>
      </w:r>
      <w:r w:rsidR="009F3773">
        <w:t xml:space="preserve">, </w:t>
      </w:r>
      <w:r w:rsidR="009F3773">
        <w:rPr>
          <w:u w:val="single"/>
        </w:rPr>
        <w:t>2016</w:t>
      </w:r>
      <w:r w:rsidR="009F3773">
        <w:t>.</w:t>
      </w:r>
    </w:p>
    <w:p w:rsidR="009F3773" w:rsidRPr="009F3773" w:rsidRDefault="009F3773" w:rsidP="00807401">
      <w:pPr>
        <w:pStyle w:val="OrderBody"/>
        <w:keepNext/>
        <w:keepLines/>
      </w:pPr>
    </w:p>
    <w:p w:rsidR="00807401" w:rsidRPr="00033382" w:rsidRDefault="00807401" w:rsidP="00807401">
      <w:pPr>
        <w:pStyle w:val="OrderBody"/>
        <w:keepNext/>
        <w:keepLines/>
      </w:pPr>
    </w:p>
    <w:p w:rsidR="00807401" w:rsidRPr="00033382" w:rsidRDefault="00807401" w:rsidP="0080740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07401" w:rsidRPr="00033382" w:rsidTr="00807401">
        <w:tc>
          <w:tcPr>
            <w:tcW w:w="720" w:type="dxa"/>
            <w:shd w:val="clear" w:color="auto" w:fill="auto"/>
          </w:tcPr>
          <w:p w:rsidR="00807401" w:rsidRPr="00033382" w:rsidRDefault="00807401" w:rsidP="00807401">
            <w:pPr>
              <w:pStyle w:val="OrderBody"/>
              <w:keepNext/>
              <w:keepLines/>
            </w:pPr>
            <w:bookmarkStart w:id="6" w:name="bkmrkSignature" w:colFirst="0" w:colLast="0"/>
          </w:p>
        </w:tc>
        <w:tc>
          <w:tcPr>
            <w:tcW w:w="4320" w:type="dxa"/>
            <w:tcBorders>
              <w:bottom w:val="single" w:sz="4" w:space="0" w:color="auto"/>
            </w:tcBorders>
            <w:shd w:val="clear" w:color="auto" w:fill="auto"/>
          </w:tcPr>
          <w:p w:rsidR="00807401" w:rsidRPr="00033382" w:rsidRDefault="009F3773" w:rsidP="00807401">
            <w:pPr>
              <w:pStyle w:val="OrderBody"/>
              <w:keepNext/>
              <w:keepLines/>
            </w:pPr>
            <w:r>
              <w:t>/s/ Carlotta S. Stauffer</w:t>
            </w:r>
            <w:bookmarkStart w:id="7" w:name="_GoBack"/>
            <w:bookmarkEnd w:id="7"/>
          </w:p>
        </w:tc>
      </w:tr>
      <w:bookmarkEnd w:id="6"/>
      <w:tr w:rsidR="00807401" w:rsidRPr="00033382" w:rsidTr="00807401">
        <w:tc>
          <w:tcPr>
            <w:tcW w:w="720" w:type="dxa"/>
            <w:shd w:val="clear" w:color="auto" w:fill="auto"/>
          </w:tcPr>
          <w:p w:rsidR="00807401" w:rsidRPr="00033382" w:rsidRDefault="00807401" w:rsidP="00807401">
            <w:pPr>
              <w:pStyle w:val="OrderBody"/>
              <w:keepNext/>
              <w:keepLines/>
            </w:pPr>
          </w:p>
        </w:tc>
        <w:tc>
          <w:tcPr>
            <w:tcW w:w="4320" w:type="dxa"/>
            <w:tcBorders>
              <w:top w:val="single" w:sz="4" w:space="0" w:color="auto"/>
            </w:tcBorders>
            <w:shd w:val="clear" w:color="auto" w:fill="auto"/>
          </w:tcPr>
          <w:p w:rsidR="00807401" w:rsidRPr="00033382" w:rsidRDefault="00807401" w:rsidP="00807401">
            <w:pPr>
              <w:pStyle w:val="OrderBody"/>
              <w:keepNext/>
              <w:keepLines/>
            </w:pPr>
            <w:r w:rsidRPr="00033382">
              <w:t>CARLOTTA S. STAUFFER</w:t>
            </w:r>
          </w:p>
          <w:p w:rsidR="00807401" w:rsidRPr="00033382" w:rsidRDefault="00807401" w:rsidP="00807401">
            <w:pPr>
              <w:pStyle w:val="OrderBody"/>
              <w:keepNext/>
              <w:keepLines/>
            </w:pPr>
            <w:r w:rsidRPr="00033382">
              <w:t>Commission Clerk</w:t>
            </w:r>
          </w:p>
        </w:tc>
      </w:tr>
    </w:tbl>
    <w:p w:rsidR="00807401" w:rsidRPr="00033382" w:rsidRDefault="00807401" w:rsidP="00807401">
      <w:pPr>
        <w:pStyle w:val="OrderSigInfo"/>
        <w:keepNext/>
        <w:keepLines/>
      </w:pPr>
      <w:r w:rsidRPr="00033382">
        <w:t>Florida Public Service Commission</w:t>
      </w:r>
    </w:p>
    <w:p w:rsidR="00807401" w:rsidRPr="00033382" w:rsidRDefault="00807401" w:rsidP="00807401">
      <w:pPr>
        <w:pStyle w:val="OrderSigInfo"/>
        <w:keepNext/>
        <w:keepLines/>
      </w:pPr>
      <w:r w:rsidRPr="00033382">
        <w:t>2540 Shumard Oak Boulevard</w:t>
      </w:r>
    </w:p>
    <w:p w:rsidR="00807401" w:rsidRPr="00033382" w:rsidRDefault="00807401" w:rsidP="00807401">
      <w:pPr>
        <w:pStyle w:val="OrderSigInfo"/>
        <w:keepNext/>
        <w:keepLines/>
      </w:pPr>
      <w:r w:rsidRPr="00033382">
        <w:t>Tallahassee, Florida  32399</w:t>
      </w:r>
    </w:p>
    <w:p w:rsidR="00807401" w:rsidRPr="00033382" w:rsidRDefault="00807401" w:rsidP="00807401">
      <w:pPr>
        <w:pStyle w:val="OrderSigInfo"/>
        <w:keepNext/>
        <w:keepLines/>
      </w:pPr>
      <w:r w:rsidRPr="00033382">
        <w:t>(850) 413</w:t>
      </w:r>
      <w:r w:rsidRPr="00033382">
        <w:noBreakHyphen/>
        <w:t>6770</w:t>
      </w:r>
    </w:p>
    <w:p w:rsidR="00807401" w:rsidRPr="00033382" w:rsidRDefault="00807401" w:rsidP="00807401">
      <w:pPr>
        <w:pStyle w:val="OrderSigInfo"/>
        <w:keepNext/>
        <w:keepLines/>
      </w:pPr>
      <w:r w:rsidRPr="00033382">
        <w:t>www.floridapsc.com</w:t>
      </w:r>
    </w:p>
    <w:p w:rsidR="00807401" w:rsidRPr="00033382" w:rsidRDefault="00807401" w:rsidP="00807401">
      <w:pPr>
        <w:pStyle w:val="OrderSigInfo"/>
        <w:keepNext/>
        <w:keepLines/>
      </w:pPr>
    </w:p>
    <w:p w:rsidR="00807401" w:rsidRPr="00033382" w:rsidRDefault="00807401" w:rsidP="00807401">
      <w:pPr>
        <w:pStyle w:val="OrderSigInfo"/>
        <w:keepNext/>
        <w:keepLines/>
      </w:pPr>
      <w:r w:rsidRPr="00033382">
        <w:t>Copies furnished:  A copy of this document is provided to the parties of record at the time of issuance and, if applicable, interested persons.</w:t>
      </w:r>
    </w:p>
    <w:p w:rsidR="00807401" w:rsidRPr="00033382" w:rsidRDefault="00807401" w:rsidP="00807401">
      <w:pPr>
        <w:pStyle w:val="OrderBody"/>
        <w:keepNext/>
        <w:keepLines/>
      </w:pPr>
    </w:p>
    <w:p w:rsidR="00807401" w:rsidRPr="00033382" w:rsidRDefault="00807401" w:rsidP="00807401">
      <w:pPr>
        <w:pStyle w:val="OrderBody"/>
        <w:keepNext/>
        <w:keepLines/>
      </w:pPr>
    </w:p>
    <w:p w:rsidR="00807401" w:rsidRPr="00033382" w:rsidRDefault="00807401" w:rsidP="00807401">
      <w:pPr>
        <w:pStyle w:val="OrderBody"/>
        <w:keepNext/>
        <w:keepLines/>
      </w:pPr>
      <w:r w:rsidRPr="00033382">
        <w:t>BYL</w:t>
      </w:r>
    </w:p>
    <w:p w:rsidR="00807401" w:rsidRPr="00033382" w:rsidRDefault="00807401" w:rsidP="00807401">
      <w:pPr>
        <w:pStyle w:val="OrderBody"/>
      </w:pPr>
    </w:p>
    <w:p w:rsidR="00807401" w:rsidRPr="00033382" w:rsidRDefault="00807401" w:rsidP="00807401">
      <w:pPr>
        <w:pStyle w:val="OrderBody"/>
      </w:pPr>
    </w:p>
    <w:p w:rsidR="00650AAC" w:rsidRPr="00033382" w:rsidRDefault="00650AAC" w:rsidP="00807401">
      <w:pPr>
        <w:pStyle w:val="OrderBody"/>
      </w:pPr>
    </w:p>
    <w:p w:rsidR="00650AAC" w:rsidRPr="00033382" w:rsidRDefault="00650AAC" w:rsidP="00650AAC">
      <w:pPr>
        <w:pStyle w:val="CenterUnderline"/>
      </w:pPr>
      <w:bookmarkStart w:id="8" w:name="OrderText"/>
      <w:bookmarkEnd w:id="8"/>
      <w:r w:rsidRPr="00033382">
        <w:t>NOTICE OF FURTHER PROCEEDINGS OR JUDICIAL REVIEW</w:t>
      </w:r>
    </w:p>
    <w:p w:rsidR="00CB5276" w:rsidRPr="00033382" w:rsidRDefault="00CB5276" w:rsidP="00650AAC">
      <w:pPr>
        <w:pStyle w:val="CenterUnderline"/>
      </w:pPr>
    </w:p>
    <w:p w:rsidR="00650AAC" w:rsidRPr="00033382" w:rsidRDefault="00650AAC" w:rsidP="00650AAC">
      <w:pPr>
        <w:pStyle w:val="OrderBody"/>
      </w:pPr>
    </w:p>
    <w:p w:rsidR="00650AAC" w:rsidRPr="00033382" w:rsidRDefault="00650AAC" w:rsidP="00650AAC">
      <w:pPr>
        <w:pStyle w:val="OrderBody"/>
      </w:pPr>
      <w:r w:rsidRPr="0003338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50AAC" w:rsidRPr="00033382" w:rsidRDefault="00650AAC" w:rsidP="00650AAC">
      <w:pPr>
        <w:pStyle w:val="OrderBody"/>
      </w:pPr>
    </w:p>
    <w:p w:rsidR="00650AAC" w:rsidRPr="00033382" w:rsidRDefault="00650AAC" w:rsidP="00650AAC">
      <w:pPr>
        <w:pStyle w:val="OrderBody"/>
      </w:pPr>
      <w:r w:rsidRPr="00033382">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50AAC" w:rsidRPr="00033382" w:rsidRDefault="00650AAC" w:rsidP="00650AAC">
      <w:pPr>
        <w:pStyle w:val="OrderBody"/>
      </w:pPr>
    </w:p>
    <w:sectPr w:rsidR="00650AAC" w:rsidRPr="0003338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A66" w:rsidRDefault="009C6A66">
      <w:r>
        <w:separator/>
      </w:r>
    </w:p>
  </w:endnote>
  <w:endnote w:type="continuationSeparator" w:id="0">
    <w:p w:rsidR="009C6A66" w:rsidRDefault="009C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66" w:rsidRDefault="009C6A66">
    <w:pPr>
      <w:pStyle w:val="Footer"/>
    </w:pPr>
  </w:p>
  <w:p w:rsidR="009C6A66" w:rsidRDefault="009C6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A66" w:rsidRDefault="009C6A66">
      <w:r>
        <w:separator/>
      </w:r>
    </w:p>
  </w:footnote>
  <w:footnote w:type="continuationSeparator" w:id="0">
    <w:p w:rsidR="009C6A66" w:rsidRDefault="009C6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66" w:rsidRDefault="009C6A66">
    <w:pPr>
      <w:pStyle w:val="OrderHeader"/>
    </w:pPr>
    <w:r>
      <w:t xml:space="preserve">ORDER NO. </w:t>
    </w:r>
    <w:fldSimple w:instr=" REF OrderNo0535 ">
      <w:r w:rsidR="009F3773">
        <w:t>PSC-16-0535-FOF-EI</w:t>
      </w:r>
    </w:fldSimple>
  </w:p>
  <w:p w:rsidR="009C6A66" w:rsidRDefault="009C6A66">
    <w:pPr>
      <w:pStyle w:val="OrderHeader"/>
    </w:pPr>
    <w:bookmarkStart w:id="9" w:name="HeaderDocketNo"/>
    <w:bookmarkEnd w:id="9"/>
    <w:r>
      <w:t>DOCKET NO. 160007-EI</w:t>
    </w:r>
  </w:p>
  <w:p w:rsidR="009C6A66" w:rsidRDefault="009C6A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3773">
      <w:rPr>
        <w:rStyle w:val="PageNumber"/>
        <w:noProof/>
      </w:rPr>
      <w:t>14</w:t>
    </w:r>
    <w:r>
      <w:rPr>
        <w:rStyle w:val="PageNumber"/>
      </w:rPr>
      <w:fldChar w:fldCharType="end"/>
    </w:r>
  </w:p>
  <w:p w:rsidR="009C6A66" w:rsidRDefault="009C6A66">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7D9"/>
    <w:multiLevelType w:val="hybridMultilevel"/>
    <w:tmpl w:val="324E4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7-EI"/>
  </w:docVars>
  <w:rsids>
    <w:rsidRoot w:val="00807401"/>
    <w:rsid w:val="000022B8"/>
    <w:rsid w:val="00033382"/>
    <w:rsid w:val="00033C99"/>
    <w:rsid w:val="00053AB9"/>
    <w:rsid w:val="00056229"/>
    <w:rsid w:val="00065FC2"/>
    <w:rsid w:val="00090AFC"/>
    <w:rsid w:val="000C362D"/>
    <w:rsid w:val="000D06E8"/>
    <w:rsid w:val="000E344D"/>
    <w:rsid w:val="000F3B2C"/>
    <w:rsid w:val="000F45E0"/>
    <w:rsid w:val="000F7BE3"/>
    <w:rsid w:val="00116AD3"/>
    <w:rsid w:val="00126593"/>
    <w:rsid w:val="00142A96"/>
    <w:rsid w:val="00156AF4"/>
    <w:rsid w:val="00187E32"/>
    <w:rsid w:val="00194E81"/>
    <w:rsid w:val="001A33C9"/>
    <w:rsid w:val="001D008A"/>
    <w:rsid w:val="001D1353"/>
    <w:rsid w:val="001D45D6"/>
    <w:rsid w:val="002002ED"/>
    <w:rsid w:val="00214720"/>
    <w:rsid w:val="0022721A"/>
    <w:rsid w:val="00230BB9"/>
    <w:rsid w:val="00241CEF"/>
    <w:rsid w:val="00252B30"/>
    <w:rsid w:val="00282949"/>
    <w:rsid w:val="002919C9"/>
    <w:rsid w:val="002A11AC"/>
    <w:rsid w:val="002A6F30"/>
    <w:rsid w:val="002C1B3A"/>
    <w:rsid w:val="002D7D15"/>
    <w:rsid w:val="002E27EB"/>
    <w:rsid w:val="00303FDE"/>
    <w:rsid w:val="00311C81"/>
    <w:rsid w:val="003140E8"/>
    <w:rsid w:val="003231C7"/>
    <w:rsid w:val="00331ED0"/>
    <w:rsid w:val="0035495B"/>
    <w:rsid w:val="003744F5"/>
    <w:rsid w:val="00374D1B"/>
    <w:rsid w:val="00390DD8"/>
    <w:rsid w:val="00394DC6"/>
    <w:rsid w:val="00397C3E"/>
    <w:rsid w:val="003B2F66"/>
    <w:rsid w:val="003D4CCA"/>
    <w:rsid w:val="003D6416"/>
    <w:rsid w:val="003D75A6"/>
    <w:rsid w:val="003E1D48"/>
    <w:rsid w:val="00423A9B"/>
    <w:rsid w:val="0042527B"/>
    <w:rsid w:val="0042699D"/>
    <w:rsid w:val="00457DC7"/>
    <w:rsid w:val="00472BCC"/>
    <w:rsid w:val="004A25CD"/>
    <w:rsid w:val="004A26CC"/>
    <w:rsid w:val="004B2108"/>
    <w:rsid w:val="004B3A2B"/>
    <w:rsid w:val="004C792D"/>
    <w:rsid w:val="004D2D1B"/>
    <w:rsid w:val="004F2DDE"/>
    <w:rsid w:val="0050097F"/>
    <w:rsid w:val="00514B1F"/>
    <w:rsid w:val="0053257A"/>
    <w:rsid w:val="00537D7C"/>
    <w:rsid w:val="00556A10"/>
    <w:rsid w:val="00586674"/>
    <w:rsid w:val="00594CAE"/>
    <w:rsid w:val="005963C2"/>
    <w:rsid w:val="005B45F7"/>
    <w:rsid w:val="005B63EA"/>
    <w:rsid w:val="00650AAC"/>
    <w:rsid w:val="00660774"/>
    <w:rsid w:val="00662687"/>
    <w:rsid w:val="00665CC7"/>
    <w:rsid w:val="00673FEB"/>
    <w:rsid w:val="006A0BF3"/>
    <w:rsid w:val="006A3982"/>
    <w:rsid w:val="006A79EB"/>
    <w:rsid w:val="006B0DA6"/>
    <w:rsid w:val="006B3181"/>
    <w:rsid w:val="006C547E"/>
    <w:rsid w:val="00704C5D"/>
    <w:rsid w:val="00711E53"/>
    <w:rsid w:val="00715275"/>
    <w:rsid w:val="00733B6B"/>
    <w:rsid w:val="00737ABB"/>
    <w:rsid w:val="0076170F"/>
    <w:rsid w:val="0076669C"/>
    <w:rsid w:val="007814E6"/>
    <w:rsid w:val="007865E9"/>
    <w:rsid w:val="00792383"/>
    <w:rsid w:val="007A060F"/>
    <w:rsid w:val="007A5248"/>
    <w:rsid w:val="007C2A76"/>
    <w:rsid w:val="007D3D20"/>
    <w:rsid w:val="007E3AFD"/>
    <w:rsid w:val="007E608E"/>
    <w:rsid w:val="00803189"/>
    <w:rsid w:val="00804E7A"/>
    <w:rsid w:val="00805FBB"/>
    <w:rsid w:val="00807401"/>
    <w:rsid w:val="008169A4"/>
    <w:rsid w:val="008278FE"/>
    <w:rsid w:val="00832598"/>
    <w:rsid w:val="0083397E"/>
    <w:rsid w:val="0083534B"/>
    <w:rsid w:val="00856C95"/>
    <w:rsid w:val="00863A66"/>
    <w:rsid w:val="00874429"/>
    <w:rsid w:val="00880431"/>
    <w:rsid w:val="00883D9A"/>
    <w:rsid w:val="008919EF"/>
    <w:rsid w:val="008C2C0D"/>
    <w:rsid w:val="008C6A5B"/>
    <w:rsid w:val="008E26A5"/>
    <w:rsid w:val="008E42D2"/>
    <w:rsid w:val="009040EE"/>
    <w:rsid w:val="009057FD"/>
    <w:rsid w:val="0090628A"/>
    <w:rsid w:val="00911804"/>
    <w:rsid w:val="00922A7F"/>
    <w:rsid w:val="00923A5E"/>
    <w:rsid w:val="009924CF"/>
    <w:rsid w:val="00994100"/>
    <w:rsid w:val="009B2DDE"/>
    <w:rsid w:val="009C6A66"/>
    <w:rsid w:val="009D4C29"/>
    <w:rsid w:val="009F3773"/>
    <w:rsid w:val="00A04343"/>
    <w:rsid w:val="00A20646"/>
    <w:rsid w:val="00A301FF"/>
    <w:rsid w:val="00A407CC"/>
    <w:rsid w:val="00A62DAB"/>
    <w:rsid w:val="00A72332"/>
    <w:rsid w:val="00A726A6"/>
    <w:rsid w:val="00A8249C"/>
    <w:rsid w:val="00A90E4D"/>
    <w:rsid w:val="00A97535"/>
    <w:rsid w:val="00A97D17"/>
    <w:rsid w:val="00AA73F1"/>
    <w:rsid w:val="00AB0E1A"/>
    <w:rsid w:val="00AB1A30"/>
    <w:rsid w:val="00AD1ED3"/>
    <w:rsid w:val="00B0777D"/>
    <w:rsid w:val="00B227C2"/>
    <w:rsid w:val="00B4057A"/>
    <w:rsid w:val="00B40894"/>
    <w:rsid w:val="00B45E75"/>
    <w:rsid w:val="00B50876"/>
    <w:rsid w:val="00B55EE5"/>
    <w:rsid w:val="00B56B0F"/>
    <w:rsid w:val="00B73DE6"/>
    <w:rsid w:val="00B84415"/>
    <w:rsid w:val="00B86EF0"/>
    <w:rsid w:val="00B97900"/>
    <w:rsid w:val="00BA44A8"/>
    <w:rsid w:val="00BB339F"/>
    <w:rsid w:val="00BF12E3"/>
    <w:rsid w:val="00BF6691"/>
    <w:rsid w:val="00C028FC"/>
    <w:rsid w:val="00C57F9F"/>
    <w:rsid w:val="00C66692"/>
    <w:rsid w:val="00C91123"/>
    <w:rsid w:val="00C97036"/>
    <w:rsid w:val="00CA71FF"/>
    <w:rsid w:val="00CB5276"/>
    <w:rsid w:val="00CB68D7"/>
    <w:rsid w:val="00CC7388"/>
    <w:rsid w:val="00CC7E68"/>
    <w:rsid w:val="00CD7132"/>
    <w:rsid w:val="00CE0E6F"/>
    <w:rsid w:val="00D063BD"/>
    <w:rsid w:val="00D1128A"/>
    <w:rsid w:val="00D30B48"/>
    <w:rsid w:val="00D4229F"/>
    <w:rsid w:val="00D44393"/>
    <w:rsid w:val="00D46FAA"/>
    <w:rsid w:val="00D57BB2"/>
    <w:rsid w:val="00D613EE"/>
    <w:rsid w:val="00D8560E"/>
    <w:rsid w:val="00D8758F"/>
    <w:rsid w:val="00D961A8"/>
    <w:rsid w:val="00D96554"/>
    <w:rsid w:val="00DA591F"/>
    <w:rsid w:val="00DC1D94"/>
    <w:rsid w:val="00DE057F"/>
    <w:rsid w:val="00DE2082"/>
    <w:rsid w:val="00DE2289"/>
    <w:rsid w:val="00DF5D5C"/>
    <w:rsid w:val="00E04410"/>
    <w:rsid w:val="00E1098E"/>
    <w:rsid w:val="00E11351"/>
    <w:rsid w:val="00E70D69"/>
    <w:rsid w:val="00E9457A"/>
    <w:rsid w:val="00EA172C"/>
    <w:rsid w:val="00EA259B"/>
    <w:rsid w:val="00EA35A3"/>
    <w:rsid w:val="00EA3E6A"/>
    <w:rsid w:val="00EB18EF"/>
    <w:rsid w:val="00EC11E5"/>
    <w:rsid w:val="00EC6185"/>
    <w:rsid w:val="00EE17DF"/>
    <w:rsid w:val="00EE3E83"/>
    <w:rsid w:val="00EF4621"/>
    <w:rsid w:val="00F044D2"/>
    <w:rsid w:val="00F14ECA"/>
    <w:rsid w:val="00F277B6"/>
    <w:rsid w:val="00F54380"/>
    <w:rsid w:val="00F54B47"/>
    <w:rsid w:val="00F55CEF"/>
    <w:rsid w:val="00F70E84"/>
    <w:rsid w:val="00F74B32"/>
    <w:rsid w:val="00F916CE"/>
    <w:rsid w:val="00FA0FC0"/>
    <w:rsid w:val="00FA6EFD"/>
    <w:rsid w:val="00FB3F15"/>
    <w:rsid w:val="00FB6900"/>
    <w:rsid w:val="00FB74EA"/>
    <w:rsid w:val="00FD2C9E"/>
    <w:rsid w:val="00FD4786"/>
    <w:rsid w:val="00FD616C"/>
    <w:rsid w:val="00FD7DFE"/>
    <w:rsid w:val="00FE53F2"/>
    <w:rsid w:val="00FF0A00"/>
    <w:rsid w:val="00FF2581"/>
    <w:rsid w:val="00FF2A25"/>
    <w:rsid w:val="00FF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A407CC"/>
    <w:pPr>
      <w:autoSpaceDE w:val="0"/>
      <w:autoSpaceDN w:val="0"/>
      <w:adjustRightInd w:val="0"/>
    </w:pPr>
    <w:rPr>
      <w:color w:val="000000"/>
      <w:sz w:val="24"/>
      <w:szCs w:val="24"/>
    </w:rPr>
  </w:style>
  <w:style w:type="paragraph" w:styleId="BodyTextIndent">
    <w:name w:val="Body Text Indent"/>
    <w:basedOn w:val="Normal"/>
    <w:link w:val="BodyTextIndentChar"/>
    <w:rsid w:val="00A407CC"/>
    <w:pPr>
      <w:ind w:left="720" w:hanging="720"/>
    </w:pPr>
    <w:rPr>
      <w:szCs w:val="20"/>
    </w:rPr>
  </w:style>
  <w:style w:type="character" w:customStyle="1" w:styleId="BodyTextIndentChar">
    <w:name w:val="Body Text Indent Char"/>
    <w:basedOn w:val="DefaultParagraphFont"/>
    <w:link w:val="BodyTextIndent"/>
    <w:rsid w:val="00A407CC"/>
    <w:rPr>
      <w:sz w:val="24"/>
    </w:rPr>
  </w:style>
  <w:style w:type="paragraph" w:customStyle="1" w:styleId="IssueHeading">
    <w:name w:val="Issue Heading"/>
    <w:basedOn w:val="Heading3"/>
    <w:next w:val="Normal"/>
    <w:rsid w:val="00A407CC"/>
    <w:pPr>
      <w:spacing w:before="240" w:after="60"/>
      <w:ind w:firstLine="0"/>
    </w:pPr>
    <w:rPr>
      <w:rFonts w:cs="Arial"/>
      <w:b/>
      <w:bCs/>
      <w:szCs w:val="26"/>
    </w:rPr>
  </w:style>
  <w:style w:type="paragraph" w:customStyle="1" w:styleId="PositionHeading">
    <w:name w:val="Position Heading"/>
    <w:basedOn w:val="IssueHeading"/>
    <w:next w:val="Normal"/>
    <w:rsid w:val="00A407CC"/>
    <w:pPr>
      <w:outlineLvl w:val="3"/>
    </w:pPr>
  </w:style>
  <w:style w:type="table" w:customStyle="1" w:styleId="TableGrid1">
    <w:name w:val="Table Grid1"/>
    <w:basedOn w:val="TableNormal"/>
    <w:next w:val="TableGrid"/>
    <w:uiPriority w:val="59"/>
    <w:rsid w:val="00A407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07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07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407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A407CC"/>
    <w:pPr>
      <w:autoSpaceDE w:val="0"/>
      <w:autoSpaceDN w:val="0"/>
      <w:adjustRightInd w:val="0"/>
    </w:pPr>
    <w:rPr>
      <w:color w:val="000000"/>
      <w:sz w:val="24"/>
      <w:szCs w:val="24"/>
    </w:rPr>
  </w:style>
  <w:style w:type="paragraph" w:styleId="BodyTextIndent">
    <w:name w:val="Body Text Indent"/>
    <w:basedOn w:val="Normal"/>
    <w:link w:val="BodyTextIndentChar"/>
    <w:rsid w:val="00A407CC"/>
    <w:pPr>
      <w:ind w:left="720" w:hanging="720"/>
    </w:pPr>
    <w:rPr>
      <w:szCs w:val="20"/>
    </w:rPr>
  </w:style>
  <w:style w:type="character" w:customStyle="1" w:styleId="BodyTextIndentChar">
    <w:name w:val="Body Text Indent Char"/>
    <w:basedOn w:val="DefaultParagraphFont"/>
    <w:link w:val="BodyTextIndent"/>
    <w:rsid w:val="00A407CC"/>
    <w:rPr>
      <w:sz w:val="24"/>
    </w:rPr>
  </w:style>
  <w:style w:type="paragraph" w:customStyle="1" w:styleId="IssueHeading">
    <w:name w:val="Issue Heading"/>
    <w:basedOn w:val="Heading3"/>
    <w:next w:val="Normal"/>
    <w:rsid w:val="00A407CC"/>
    <w:pPr>
      <w:spacing w:before="240" w:after="60"/>
      <w:ind w:firstLine="0"/>
    </w:pPr>
    <w:rPr>
      <w:rFonts w:cs="Arial"/>
      <w:b/>
      <w:bCs/>
      <w:szCs w:val="26"/>
    </w:rPr>
  </w:style>
  <w:style w:type="paragraph" w:customStyle="1" w:styleId="PositionHeading">
    <w:name w:val="Position Heading"/>
    <w:basedOn w:val="IssueHeading"/>
    <w:next w:val="Normal"/>
    <w:rsid w:val="00A407CC"/>
    <w:pPr>
      <w:outlineLvl w:val="3"/>
    </w:pPr>
  </w:style>
  <w:style w:type="table" w:customStyle="1" w:styleId="TableGrid1">
    <w:name w:val="Table Grid1"/>
    <w:basedOn w:val="TableNormal"/>
    <w:next w:val="TableGrid"/>
    <w:uiPriority w:val="59"/>
    <w:rsid w:val="00A407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07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07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407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9551-AD25-4BA2-91C1-C600FE00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14</Pages>
  <Words>3568</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2016-11-22T21:46:00Z</dcterms:created>
  <dcterms:modified xsi:type="dcterms:W3CDTF">2016-11-22T21:54:00Z</dcterms:modified>
</cp:coreProperties>
</file>