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A4694B" w:rsidP="00A4694B">
      <w:pPr>
        <w:pStyle w:val="OrderHeading"/>
      </w:pPr>
      <w:bookmarkStart w:id="0" w:name="_GoBack"/>
      <w:bookmarkEnd w:id="0"/>
      <w:r>
        <w:t>BEFORE THE FLORIDA PUBLIC SERVICE COMMISSION</w:t>
      </w:r>
    </w:p>
    <w:p w:rsidR="00A4694B" w:rsidRDefault="00A4694B" w:rsidP="00A4694B">
      <w:pPr>
        <w:pStyle w:val="OrderHeading"/>
      </w:pPr>
    </w:p>
    <w:p w:rsidR="00A4694B" w:rsidRDefault="00A4694B" w:rsidP="00A4694B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4694B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A4694B" w:rsidRDefault="00A4694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1" w:name="SSInRe"/>
            <w:bookmarkEnd w:id="1"/>
            <w:r>
              <w:t>Application for increase in water and wastewater rates in Charlotte, Highlands, Lake, Lee, Marion, Orange, Pasco, Pinellas, Polk, and Seminole Counties by Utilities, Inc. of Florida.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A4694B" w:rsidRDefault="00A4694B" w:rsidP="00A4694B">
            <w:pPr>
              <w:pStyle w:val="OrderBody"/>
            </w:pPr>
            <w:r>
              <w:t xml:space="preserve">DOCKET NO. </w:t>
            </w:r>
            <w:bookmarkStart w:id="2" w:name="SSDocketNo"/>
            <w:bookmarkEnd w:id="2"/>
            <w:r>
              <w:t>160101-WS</w:t>
            </w:r>
          </w:p>
          <w:p w:rsidR="00A4694B" w:rsidRDefault="00A4694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526"/>
            <w:r w:rsidR="00D93FBF">
              <w:t>PSC-16-0526A-PCO-WS</w:t>
            </w:r>
            <w:bookmarkEnd w:id="3"/>
          </w:p>
          <w:p w:rsidR="00A4694B" w:rsidRDefault="00A4694B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93FBF">
              <w:t>December 2, 2016</w:t>
            </w:r>
          </w:p>
        </w:tc>
      </w:tr>
    </w:tbl>
    <w:p w:rsidR="00A4694B" w:rsidRDefault="00A4694B" w:rsidP="00A4694B"/>
    <w:p w:rsidR="00A4694B" w:rsidRDefault="00A4694B" w:rsidP="00A4694B"/>
    <w:p w:rsidR="00CB5276" w:rsidRDefault="00A4694B" w:rsidP="00A4694B">
      <w:pPr>
        <w:pStyle w:val="CenterUnderline"/>
      </w:pPr>
      <w:bookmarkStart w:id="4" w:name="Commissioners"/>
      <w:bookmarkStart w:id="5" w:name="OrderTitle"/>
      <w:bookmarkEnd w:id="4"/>
      <w:r>
        <w:t xml:space="preserve"> AMENDATORY ORDER </w:t>
      </w:r>
      <w:bookmarkEnd w:id="5"/>
    </w:p>
    <w:p w:rsidR="00A4694B" w:rsidRDefault="00A4694B" w:rsidP="00A4694B">
      <w:pPr>
        <w:pStyle w:val="CenterUnderline"/>
      </w:pPr>
    </w:p>
    <w:p w:rsidR="00A4694B" w:rsidRDefault="00A4694B" w:rsidP="00A4694B">
      <w:pPr>
        <w:pStyle w:val="OrderBody"/>
      </w:pPr>
      <w:r>
        <w:t>BY THE COMMISSION:</w:t>
      </w:r>
    </w:p>
    <w:p w:rsidR="00A4694B" w:rsidRDefault="00A4694B" w:rsidP="00A4694B">
      <w:pPr>
        <w:pStyle w:val="OrderBody"/>
      </w:pPr>
    </w:p>
    <w:p w:rsidR="00A4694B" w:rsidRPr="006627B0" w:rsidRDefault="00A4694B" w:rsidP="00A4694B">
      <w:pPr>
        <w:jc w:val="both"/>
      </w:pPr>
      <w:bookmarkStart w:id="6" w:name="OrderText"/>
      <w:bookmarkEnd w:id="6"/>
      <w:r>
        <w:tab/>
      </w:r>
      <w:r w:rsidRPr="00096D60">
        <w:t xml:space="preserve">On </w:t>
      </w:r>
      <w:r>
        <w:t>November 22, 2016, we issued Order</w:t>
      </w:r>
      <w:r w:rsidRPr="00096D60">
        <w:t xml:space="preserve"> No. </w:t>
      </w:r>
      <w:r w:rsidRPr="00A4694B">
        <w:rPr>
          <w:bCs/>
        </w:rPr>
        <w:t>PSC-</w:t>
      </w:r>
      <w:r>
        <w:rPr>
          <w:bCs/>
        </w:rPr>
        <w:t>16</w:t>
      </w:r>
      <w:r w:rsidRPr="00A4694B">
        <w:rPr>
          <w:bCs/>
        </w:rPr>
        <w:t>-</w:t>
      </w:r>
      <w:r>
        <w:rPr>
          <w:bCs/>
        </w:rPr>
        <w:t>0526</w:t>
      </w:r>
      <w:r w:rsidRPr="00A4694B">
        <w:rPr>
          <w:bCs/>
        </w:rPr>
        <w:t>-</w:t>
      </w:r>
      <w:r>
        <w:rPr>
          <w:bCs/>
        </w:rPr>
        <w:t>PCO-WS, Approving Interim Rates and Suspending Proposed Final Rates</w:t>
      </w:r>
      <w:r w:rsidR="0069394E">
        <w:rPr>
          <w:bCs/>
        </w:rPr>
        <w:t xml:space="preserve"> requested by Utilities Inc. of Florida (UIF)</w:t>
      </w:r>
      <w:r>
        <w:rPr>
          <w:bCs/>
        </w:rPr>
        <w:t xml:space="preserve">.  </w:t>
      </w:r>
      <w:r w:rsidRPr="00096D60">
        <w:t xml:space="preserve"> However, due to scrivener’s error</w:t>
      </w:r>
      <w:r w:rsidR="00180658">
        <w:t>s</w:t>
      </w:r>
      <w:r w:rsidR="009F4269">
        <w:t xml:space="preserve"> and to conform </w:t>
      </w:r>
      <w:r w:rsidR="00DD7B97">
        <w:t>the order to the oral modifications voted on and approved at hearing</w:t>
      </w:r>
      <w:r w:rsidRPr="00096D60">
        <w:t xml:space="preserve">, </w:t>
      </w:r>
      <w:r w:rsidR="00180658">
        <w:t>several changes to the main body of the order</w:t>
      </w:r>
      <w:r w:rsidR="00FB2C97">
        <w:t xml:space="preserve"> </w:t>
      </w:r>
      <w:r w:rsidR="00180658">
        <w:t xml:space="preserve">and </w:t>
      </w:r>
      <w:r w:rsidR="00FB2C97">
        <w:t xml:space="preserve">to </w:t>
      </w:r>
      <w:r w:rsidR="00DD7B97">
        <w:t xml:space="preserve">the </w:t>
      </w:r>
      <w:r w:rsidR="00180658">
        <w:t>attached tables requir</w:t>
      </w:r>
      <w:r w:rsidR="00180658" w:rsidRPr="006627B0">
        <w:t>e correction.</w:t>
      </w:r>
      <w:r w:rsidRPr="006627B0">
        <w:t xml:space="preserve">  Therefore, Order No. </w:t>
      </w:r>
      <w:r w:rsidRPr="006627B0">
        <w:rPr>
          <w:bCs/>
        </w:rPr>
        <w:t>PSC-16-</w:t>
      </w:r>
      <w:r w:rsidR="006217FB">
        <w:rPr>
          <w:bCs/>
        </w:rPr>
        <w:t>0</w:t>
      </w:r>
      <w:r w:rsidRPr="006627B0">
        <w:rPr>
          <w:bCs/>
        </w:rPr>
        <w:t xml:space="preserve">526-PCO-WS </w:t>
      </w:r>
      <w:r w:rsidRPr="006627B0">
        <w:t>is amended to reflect</w:t>
      </w:r>
      <w:r w:rsidR="00180658" w:rsidRPr="006627B0">
        <w:t>:</w:t>
      </w:r>
    </w:p>
    <w:p w:rsidR="00180658" w:rsidRPr="006627B0" w:rsidRDefault="00180658" w:rsidP="00A4694B">
      <w:pPr>
        <w:jc w:val="both"/>
      </w:pPr>
    </w:p>
    <w:p w:rsidR="00180658" w:rsidRPr="006627B0" w:rsidRDefault="00DD7B97" w:rsidP="00D62186">
      <w:pPr>
        <w:ind w:left="720"/>
        <w:jc w:val="both"/>
      </w:pPr>
      <w:r w:rsidRPr="006627B0">
        <w:t>C</w:t>
      </w:r>
      <w:r w:rsidR="006627B0">
        <w:t>orrections</w:t>
      </w:r>
      <w:r w:rsidRPr="006627B0">
        <w:t xml:space="preserve"> to the </w:t>
      </w:r>
      <w:r w:rsidR="00560350" w:rsidRPr="006627B0">
        <w:t xml:space="preserve">numbers in the </w:t>
      </w:r>
      <w:r w:rsidRPr="006627B0">
        <w:t xml:space="preserve">table on </w:t>
      </w:r>
      <w:r w:rsidR="00EF0578" w:rsidRPr="006627B0">
        <w:t xml:space="preserve">Page </w:t>
      </w:r>
      <w:r w:rsidRPr="006627B0">
        <w:t>27 of th</w:t>
      </w:r>
      <w:r w:rsidR="006B34DD" w:rsidRPr="006627B0">
        <w:t>is</w:t>
      </w:r>
      <w:r w:rsidRPr="006627B0">
        <w:t xml:space="preserve"> order, Lake Placid</w:t>
      </w:r>
      <w:r w:rsidR="00560350" w:rsidRPr="006627B0">
        <w:t>,</w:t>
      </w:r>
      <w:r w:rsidRPr="006627B0">
        <w:t xml:space="preserve"> Schedule No. 4-B, Test Year  12/31/15, Monthly Wastewater Rates, under the column entitled </w:t>
      </w:r>
      <w:r w:rsidR="00FB2C97" w:rsidRPr="006627B0">
        <w:t>Commission Approved Interim</w:t>
      </w:r>
      <w:r w:rsidRPr="006627B0">
        <w:t>. S</w:t>
      </w:r>
      <w:r w:rsidR="00FB2C97" w:rsidRPr="006627B0">
        <w:t xml:space="preserve">ee Attachment </w:t>
      </w:r>
      <w:r w:rsidR="00EB7251" w:rsidRPr="006627B0">
        <w:t xml:space="preserve">No. </w:t>
      </w:r>
      <w:r w:rsidR="00FB2C97" w:rsidRPr="006627B0">
        <w:t>1</w:t>
      </w:r>
      <w:r w:rsidR="00EB7251" w:rsidRPr="006627B0">
        <w:t>,</w:t>
      </w:r>
      <w:r w:rsidR="00FB2C97" w:rsidRPr="006627B0">
        <w:t xml:space="preserve"> </w:t>
      </w:r>
      <w:r w:rsidR="00D62186" w:rsidRPr="006627B0">
        <w:t xml:space="preserve">Amended </w:t>
      </w:r>
      <w:r w:rsidR="00FB2C97" w:rsidRPr="006627B0">
        <w:t>Lake Placid Schedule No. 4-B</w:t>
      </w:r>
      <w:r w:rsidR="006627B0" w:rsidRPr="006627B0">
        <w:t xml:space="preserve"> </w:t>
      </w:r>
      <w:r w:rsidR="006627B0">
        <w:t>attached hereto</w:t>
      </w:r>
      <w:r w:rsidR="00FB2C97" w:rsidRPr="006627B0">
        <w:t>.</w:t>
      </w:r>
    </w:p>
    <w:p w:rsidR="00FB2C97" w:rsidRPr="006627B0" w:rsidRDefault="00FB2C97" w:rsidP="00A4694B">
      <w:pPr>
        <w:jc w:val="both"/>
      </w:pPr>
    </w:p>
    <w:p w:rsidR="00D62186" w:rsidRPr="006627B0" w:rsidRDefault="00D62186" w:rsidP="00D62186">
      <w:pPr>
        <w:ind w:left="720"/>
        <w:jc w:val="both"/>
      </w:pPr>
      <w:r w:rsidRPr="006627B0">
        <w:t>C</w:t>
      </w:r>
      <w:r w:rsidR="006627B0">
        <w:t>orrections</w:t>
      </w:r>
      <w:r w:rsidRPr="006627B0">
        <w:t xml:space="preserve"> to the </w:t>
      </w:r>
      <w:r w:rsidR="00560350" w:rsidRPr="006627B0">
        <w:t xml:space="preserve">numbers in the </w:t>
      </w:r>
      <w:r w:rsidRPr="006627B0">
        <w:t xml:space="preserve">table on </w:t>
      </w:r>
      <w:r w:rsidR="00EF0578" w:rsidRPr="006627B0">
        <w:t>P</w:t>
      </w:r>
      <w:r w:rsidRPr="006627B0">
        <w:t>age 33 of th</w:t>
      </w:r>
      <w:r w:rsidR="006B34DD" w:rsidRPr="006627B0">
        <w:t>is</w:t>
      </w:r>
      <w:r w:rsidRPr="006627B0">
        <w:t xml:space="preserve"> order, Tierre Verde</w:t>
      </w:r>
      <w:r w:rsidR="00560350" w:rsidRPr="006627B0">
        <w:t>,</w:t>
      </w:r>
      <w:r w:rsidRPr="006627B0">
        <w:t xml:space="preserve"> Schedule No. 4-</w:t>
      </w:r>
      <w:r w:rsidR="00B43963">
        <w:t>A</w:t>
      </w:r>
      <w:r w:rsidRPr="006627B0">
        <w:t>, Test Year  12/31/15, B</w:t>
      </w:r>
      <w:r w:rsidR="006627B0">
        <w:t>i</w:t>
      </w:r>
      <w:r w:rsidRPr="006627B0">
        <w:t>-Monthly Wastewater Rates, under the column entitled Commission Approved Interim. See Attachment No. 2, Amended Tierre Verde Schedule No. 4-A</w:t>
      </w:r>
      <w:r w:rsidR="006627B0">
        <w:t>, attached hereto</w:t>
      </w:r>
      <w:r w:rsidRPr="006627B0">
        <w:t>.</w:t>
      </w:r>
    </w:p>
    <w:p w:rsidR="00FB2C97" w:rsidRPr="006627B0" w:rsidRDefault="00FB2C97" w:rsidP="00A4694B">
      <w:pPr>
        <w:jc w:val="both"/>
      </w:pPr>
    </w:p>
    <w:p w:rsidR="00D62186" w:rsidRPr="006627B0" w:rsidRDefault="00D62186" w:rsidP="00D62186">
      <w:pPr>
        <w:ind w:left="720"/>
        <w:jc w:val="both"/>
      </w:pPr>
      <w:r w:rsidRPr="006627B0">
        <w:t>C</w:t>
      </w:r>
      <w:r w:rsidR="006627B0">
        <w:t xml:space="preserve">orrections </w:t>
      </w:r>
      <w:r w:rsidRPr="006627B0">
        <w:t>to the table on</w:t>
      </w:r>
      <w:r w:rsidR="00E41590" w:rsidRPr="006627B0">
        <w:t xml:space="preserve"> Page</w:t>
      </w:r>
      <w:r w:rsidRPr="006627B0">
        <w:t xml:space="preserve"> 57 of th</w:t>
      </w:r>
      <w:r w:rsidR="006B34DD" w:rsidRPr="006627B0">
        <w:t>is</w:t>
      </w:r>
      <w:r w:rsidRPr="006627B0">
        <w:t xml:space="preserve"> order, UIF-Pasco Schedule No. 4-B, Test Year  12/31/15, Monthly Wastewater Rates, </w:t>
      </w:r>
      <w:r w:rsidR="00560350" w:rsidRPr="006627B0">
        <w:t xml:space="preserve">beneath the column entitled Commission Approved Interim, the Residential – Orangewood, </w:t>
      </w:r>
      <w:r w:rsidR="007D674A" w:rsidRPr="006627B0">
        <w:t xml:space="preserve">the </w:t>
      </w:r>
      <w:r w:rsidR="00560350" w:rsidRPr="006627B0">
        <w:t>Charge per 1,000 gallons</w:t>
      </w:r>
      <w:r w:rsidR="007D674A" w:rsidRPr="006627B0">
        <w:t>,</w:t>
      </w:r>
      <w:r w:rsidR="00560350" w:rsidRPr="006627B0">
        <w:t xml:space="preserve"> </w:t>
      </w:r>
      <w:r w:rsidR="006B34DD" w:rsidRPr="006627B0">
        <w:t>has been</w:t>
      </w:r>
      <w:r w:rsidR="00560350" w:rsidRPr="006627B0">
        <w:t xml:space="preserve"> c</w:t>
      </w:r>
      <w:r w:rsidR="009D34D6">
        <w:t>orrected</w:t>
      </w:r>
      <w:r w:rsidR="00560350" w:rsidRPr="006627B0">
        <w:t xml:space="preserve"> from $6.62 to $8.67</w:t>
      </w:r>
      <w:r w:rsidR="007D674A" w:rsidRPr="006627B0">
        <w:t xml:space="preserve">. </w:t>
      </w:r>
      <w:r w:rsidR="00246587" w:rsidRPr="006627B0">
        <w:t>Also under the column, Commission Approved Interim, the Typical Residential 5/8”</w:t>
      </w:r>
      <w:r w:rsidR="00246587">
        <w:t xml:space="preserve"> </w:t>
      </w:r>
      <w:r w:rsidR="00246587" w:rsidRPr="006627B0">
        <w:t>x</w:t>
      </w:r>
      <w:r w:rsidR="00246587">
        <w:t xml:space="preserve"> 3/4"</w:t>
      </w:r>
      <w:r w:rsidR="00246587" w:rsidRPr="006627B0">
        <w:t xml:space="preserve"> Meter Bill Comparison – Orangewood has been corrected to reflect the following: for 3,000 Gallon Meter Bill, the amount $31.62 has been c</w:t>
      </w:r>
      <w:r w:rsidR="00246587">
        <w:t>orrected</w:t>
      </w:r>
      <w:r w:rsidR="00246587" w:rsidRPr="006627B0">
        <w:t xml:space="preserve"> to $37.77</w:t>
      </w:r>
      <w:r w:rsidR="00246587">
        <w:t>;</w:t>
      </w:r>
      <w:r w:rsidR="00246587" w:rsidRPr="006627B0">
        <w:t xml:space="preserve"> for 5,000 Gallons, the amount $44.86 has been c</w:t>
      </w:r>
      <w:r w:rsidR="00246587">
        <w:t>orrected</w:t>
      </w:r>
      <w:r w:rsidR="00246587" w:rsidRPr="006627B0">
        <w:t xml:space="preserve"> to $55.11 and for 10,000 Gallons, the amount $77.96 has been c</w:t>
      </w:r>
      <w:r w:rsidR="00246587">
        <w:t>orrected</w:t>
      </w:r>
      <w:r w:rsidR="00246587" w:rsidRPr="006627B0">
        <w:t xml:space="preserve"> to $98.46. </w:t>
      </w:r>
      <w:r w:rsidRPr="006627B0">
        <w:t xml:space="preserve">See Attachment No. 3, Amended </w:t>
      </w:r>
      <w:r w:rsidR="006B34DD" w:rsidRPr="006627B0">
        <w:t>UIF-</w:t>
      </w:r>
      <w:r w:rsidR="00796153" w:rsidRPr="006627B0">
        <w:t xml:space="preserve">Pasco </w:t>
      </w:r>
      <w:r w:rsidRPr="006627B0">
        <w:t>Schedule No. 4-</w:t>
      </w:r>
      <w:r w:rsidR="00B43963">
        <w:t>B</w:t>
      </w:r>
      <w:r w:rsidR="006B34DD" w:rsidRPr="006627B0">
        <w:t xml:space="preserve"> (Orange</w:t>
      </w:r>
      <w:r w:rsidR="00B43963">
        <w:t>wood</w:t>
      </w:r>
      <w:r w:rsidR="006B34DD" w:rsidRPr="006627B0">
        <w:t>)</w:t>
      </w:r>
      <w:r w:rsidR="006627B0" w:rsidRPr="006627B0">
        <w:t xml:space="preserve"> </w:t>
      </w:r>
      <w:r w:rsidR="006627B0">
        <w:t>attached hereto</w:t>
      </w:r>
      <w:r w:rsidR="00796153" w:rsidRPr="006627B0">
        <w:t>.</w:t>
      </w:r>
    </w:p>
    <w:p w:rsidR="00D62186" w:rsidRPr="006627B0" w:rsidRDefault="00D62186" w:rsidP="00A4694B">
      <w:pPr>
        <w:jc w:val="both"/>
      </w:pPr>
    </w:p>
    <w:p w:rsidR="009D34D6" w:rsidRDefault="00EB7251" w:rsidP="0069394E">
      <w:pPr>
        <w:ind w:firstLine="720"/>
        <w:jc w:val="both"/>
      </w:pPr>
      <w:r w:rsidRPr="006627B0">
        <w:t xml:space="preserve">The </w:t>
      </w:r>
      <w:r w:rsidR="00796153" w:rsidRPr="006627B0">
        <w:t xml:space="preserve">main body of the order has also been amended. The table on the top of </w:t>
      </w:r>
      <w:r w:rsidR="006B34DD" w:rsidRPr="006627B0">
        <w:t>P</w:t>
      </w:r>
      <w:r w:rsidR="00796153" w:rsidRPr="006627B0">
        <w:t>age 2, Last Proceedings Establishing Rates for UIF System</w:t>
      </w:r>
      <w:r w:rsidR="009D34D6">
        <w:t>, has been corrected</w:t>
      </w:r>
      <w:r w:rsidR="00796153" w:rsidRPr="006627B0">
        <w:t xml:space="preserve"> to reflect the addition of Order PSC-</w:t>
      </w:r>
      <w:r w:rsidR="00A06F01">
        <w:t>16-</w:t>
      </w:r>
      <w:r w:rsidR="006217FB">
        <w:t>0</w:t>
      </w:r>
      <w:r w:rsidR="00796153" w:rsidRPr="006627B0">
        <w:t>151-FOF-</w:t>
      </w:r>
      <w:r w:rsidR="006217FB">
        <w:t>S</w:t>
      </w:r>
      <w:r w:rsidR="00796153" w:rsidRPr="006627B0">
        <w:t>U, issued April 18, 2016, wherein this Commission approved the settlement and modification of prior Order PSC-16-0013-PAA-SU, issued January 6, 2016.</w:t>
      </w:r>
      <w:r w:rsidR="00B3122A" w:rsidRPr="006627B0">
        <w:t xml:space="preserve"> </w:t>
      </w:r>
    </w:p>
    <w:p w:rsidR="006217FB" w:rsidRDefault="006217FB" w:rsidP="0069394E">
      <w:pPr>
        <w:ind w:firstLine="720"/>
        <w:jc w:val="both"/>
      </w:pPr>
    </w:p>
    <w:p w:rsidR="00FB2C97" w:rsidRDefault="00B3122A" w:rsidP="0069394E">
      <w:pPr>
        <w:ind w:firstLine="720"/>
        <w:jc w:val="both"/>
      </w:pPr>
      <w:r w:rsidRPr="006627B0">
        <w:lastRenderedPageBreak/>
        <w:t>P</w:t>
      </w:r>
      <w:r w:rsidR="0069394E" w:rsidRPr="006627B0">
        <w:t xml:space="preserve">age </w:t>
      </w:r>
      <w:r w:rsidR="00E41590" w:rsidRPr="006627B0">
        <w:t>3</w:t>
      </w:r>
      <w:r w:rsidR="0069394E" w:rsidRPr="006627B0">
        <w:t xml:space="preserve"> </w:t>
      </w:r>
      <w:r w:rsidR="009D34D6">
        <w:t>shall be amended to reflect that</w:t>
      </w:r>
      <w:r w:rsidR="0069394E" w:rsidRPr="006627B0">
        <w:t xml:space="preserve"> UIF</w:t>
      </w:r>
      <w:r w:rsidR="006B34DD" w:rsidRPr="006627B0">
        <w:t>-</w:t>
      </w:r>
      <w:r w:rsidR="0069394E" w:rsidRPr="006627B0">
        <w:t xml:space="preserve">Pasco </w:t>
      </w:r>
      <w:r w:rsidR="009D34D6">
        <w:t>is</w:t>
      </w:r>
      <w:r w:rsidR="0069394E" w:rsidRPr="006627B0">
        <w:t xml:space="preserve"> one of </w:t>
      </w:r>
      <w:r w:rsidR="0069394E">
        <w:t>the utilities that UIF included in its request for increased interim rates and th</w:t>
      </w:r>
      <w:r w:rsidR="009D34D6">
        <w:t>at</w:t>
      </w:r>
      <w:r w:rsidR="0069394E">
        <w:t xml:space="preserve"> Tierre Verde </w:t>
      </w:r>
      <w:r w:rsidR="009D34D6">
        <w:t>is</w:t>
      </w:r>
      <w:r w:rsidR="0069394E">
        <w:t xml:space="preserve"> of one of the utilities for which no interim rate increase had been requested. On Page </w:t>
      </w:r>
      <w:r w:rsidR="006B34DD">
        <w:t>5</w:t>
      </w:r>
      <w:r w:rsidR="0069394E">
        <w:t xml:space="preserve">, the erroneous reference to Section 367.081(1), Florida States (F.S.), </w:t>
      </w:r>
      <w:r w:rsidR="009D34D6">
        <w:t>shall be</w:t>
      </w:r>
      <w:r w:rsidR="0069394E">
        <w:t xml:space="preserve"> replaced by Section 367.082(1), F.S. </w:t>
      </w:r>
    </w:p>
    <w:p w:rsidR="00FB2C97" w:rsidRDefault="00FB2C97" w:rsidP="00A4694B">
      <w:pPr>
        <w:jc w:val="both"/>
      </w:pPr>
    </w:p>
    <w:p w:rsidR="00A4694B" w:rsidRPr="00096D60" w:rsidRDefault="00FB2C97" w:rsidP="00A4694B">
      <w:pPr>
        <w:jc w:val="both"/>
      </w:pPr>
      <w:r>
        <w:tab/>
      </w:r>
      <w:r w:rsidR="00A4694B" w:rsidRPr="00096D60">
        <w:t>Based on the foregoing, it is</w:t>
      </w:r>
    </w:p>
    <w:p w:rsidR="00A4694B" w:rsidRPr="00096D60" w:rsidRDefault="00A4694B" w:rsidP="00A4694B">
      <w:pPr>
        <w:jc w:val="both"/>
      </w:pPr>
    </w:p>
    <w:p w:rsidR="00A4694B" w:rsidRDefault="00A4694B" w:rsidP="00A4694B">
      <w:pPr>
        <w:jc w:val="both"/>
      </w:pPr>
      <w:r w:rsidRPr="00096D60">
        <w:tab/>
        <w:t xml:space="preserve">ORDERED by the Florida Public Service Commission that Order No. </w:t>
      </w:r>
      <w:r w:rsidRPr="00A4694B">
        <w:rPr>
          <w:bCs/>
        </w:rPr>
        <w:t>PSC-</w:t>
      </w:r>
      <w:r>
        <w:rPr>
          <w:bCs/>
        </w:rPr>
        <w:t>16</w:t>
      </w:r>
      <w:r w:rsidRPr="00A4694B">
        <w:rPr>
          <w:bCs/>
        </w:rPr>
        <w:t>-</w:t>
      </w:r>
      <w:r>
        <w:rPr>
          <w:bCs/>
        </w:rPr>
        <w:t>0526-PCO-WS</w:t>
      </w:r>
      <w:r w:rsidRPr="00096D60">
        <w:t xml:space="preserve"> is hereby amended to reflect </w:t>
      </w:r>
      <w:r w:rsidR="00B3122A">
        <w:t>corrections to the Tables on Pages 27, 33 and 57 as stated herein</w:t>
      </w:r>
      <w:r w:rsidR="00E258A3">
        <w:t>, and as reflected in the attached corrected schedules</w:t>
      </w:r>
      <w:r w:rsidR="00B3122A">
        <w:t>.</w:t>
      </w:r>
      <w:r w:rsidRPr="00096D60">
        <w:t xml:space="preserve"> It is further</w:t>
      </w:r>
    </w:p>
    <w:p w:rsidR="00B3122A" w:rsidRDefault="00B3122A" w:rsidP="00A4694B">
      <w:pPr>
        <w:jc w:val="both"/>
      </w:pPr>
    </w:p>
    <w:p w:rsidR="00B3122A" w:rsidRPr="00096D60" w:rsidRDefault="00B3122A" w:rsidP="00B3122A">
      <w:pPr>
        <w:jc w:val="both"/>
      </w:pPr>
      <w:r>
        <w:tab/>
      </w:r>
      <w:r w:rsidRPr="00096D60">
        <w:t xml:space="preserve">ORDERED by the Florida Public Service Commission that Order No. </w:t>
      </w:r>
      <w:r w:rsidRPr="00A4694B">
        <w:rPr>
          <w:bCs/>
        </w:rPr>
        <w:t>PSC-</w:t>
      </w:r>
      <w:r>
        <w:rPr>
          <w:bCs/>
        </w:rPr>
        <w:t>16</w:t>
      </w:r>
      <w:r w:rsidRPr="00A4694B">
        <w:rPr>
          <w:bCs/>
        </w:rPr>
        <w:t>-</w:t>
      </w:r>
      <w:r>
        <w:rPr>
          <w:bCs/>
        </w:rPr>
        <w:t>0526-PCO-WS</w:t>
      </w:r>
      <w:r w:rsidRPr="00096D60">
        <w:t xml:space="preserve"> is hereby amended to reflect </w:t>
      </w:r>
      <w:r>
        <w:t xml:space="preserve">corrections to the errors on Pages 2, </w:t>
      </w:r>
      <w:r w:rsidR="00E41590">
        <w:t>3</w:t>
      </w:r>
      <w:r>
        <w:t xml:space="preserve"> and 5 as stated herein.</w:t>
      </w:r>
      <w:r w:rsidRPr="00096D60">
        <w:t xml:space="preserve"> It is further</w:t>
      </w:r>
    </w:p>
    <w:p w:rsidR="00A4694B" w:rsidRPr="00096D60" w:rsidRDefault="00A4694B" w:rsidP="00A4694B">
      <w:pPr>
        <w:jc w:val="both"/>
      </w:pPr>
    </w:p>
    <w:p w:rsidR="00A4694B" w:rsidRDefault="00A4694B" w:rsidP="00A4694B">
      <w:pPr>
        <w:jc w:val="both"/>
      </w:pPr>
      <w:r w:rsidRPr="00096D60">
        <w:tab/>
        <w:t xml:space="preserve">ORDERED that Order No. </w:t>
      </w:r>
      <w:r w:rsidRPr="00A4694B">
        <w:rPr>
          <w:bCs/>
        </w:rPr>
        <w:t>PSC-</w:t>
      </w:r>
      <w:r>
        <w:rPr>
          <w:bCs/>
        </w:rPr>
        <w:t>16-0526-PCO-WS</w:t>
      </w:r>
      <w:r w:rsidRPr="00A4694B">
        <w:t xml:space="preserve"> </w:t>
      </w:r>
      <w:r w:rsidRPr="00096D60">
        <w:t>is reaffirmed in all other respects.</w:t>
      </w:r>
    </w:p>
    <w:p w:rsidR="00B3122A" w:rsidRDefault="00B3122A" w:rsidP="00A4694B">
      <w:pPr>
        <w:jc w:val="both"/>
      </w:pPr>
    </w:p>
    <w:p w:rsidR="00A4694B" w:rsidRDefault="00A4694B" w:rsidP="00A4694B">
      <w:pPr>
        <w:keepNext/>
        <w:keepLines/>
        <w:jc w:val="both"/>
      </w:pPr>
      <w:r>
        <w:tab/>
        <w:t xml:space="preserve">By ORDER of the Florida Public Service Commission this </w:t>
      </w:r>
      <w:bookmarkStart w:id="7" w:name="replaceDate"/>
      <w:bookmarkEnd w:id="7"/>
      <w:r w:rsidR="00D93FBF">
        <w:rPr>
          <w:u w:val="single"/>
        </w:rPr>
        <w:t>2nd</w:t>
      </w:r>
      <w:r w:rsidR="00D93FBF">
        <w:t xml:space="preserve"> day of </w:t>
      </w:r>
      <w:r w:rsidR="00D93FBF">
        <w:rPr>
          <w:u w:val="single"/>
        </w:rPr>
        <w:t>December</w:t>
      </w:r>
      <w:r w:rsidR="00D93FBF">
        <w:t xml:space="preserve">, </w:t>
      </w:r>
      <w:r w:rsidR="00D93FBF">
        <w:rPr>
          <w:u w:val="single"/>
        </w:rPr>
        <w:t>2016</w:t>
      </w:r>
      <w:r w:rsidR="00D93FBF">
        <w:t>.</w:t>
      </w:r>
    </w:p>
    <w:p w:rsidR="00D93FBF" w:rsidRPr="00D93FBF" w:rsidRDefault="00D93FBF" w:rsidP="00A4694B">
      <w:pPr>
        <w:keepNext/>
        <w:keepLines/>
        <w:jc w:val="both"/>
      </w:pPr>
    </w:p>
    <w:p w:rsidR="00A4694B" w:rsidRDefault="00A4694B" w:rsidP="00A4694B">
      <w:pPr>
        <w:keepNext/>
        <w:keepLines/>
        <w:jc w:val="both"/>
      </w:pPr>
    </w:p>
    <w:p w:rsidR="00A4694B" w:rsidRDefault="00A4694B" w:rsidP="00A4694B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A4694B" w:rsidTr="00A4694B">
        <w:tc>
          <w:tcPr>
            <w:tcW w:w="720" w:type="dxa"/>
            <w:shd w:val="clear" w:color="auto" w:fill="auto"/>
          </w:tcPr>
          <w:p w:rsidR="00A4694B" w:rsidRDefault="00A4694B" w:rsidP="00A4694B">
            <w:pPr>
              <w:keepNext/>
              <w:keepLines/>
              <w:jc w:val="both"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A4694B" w:rsidRDefault="00D93FBF" w:rsidP="00A4694B">
            <w:pPr>
              <w:keepNext/>
              <w:keepLines/>
              <w:jc w:val="both"/>
            </w:pPr>
            <w:r>
              <w:t>/s/ Hong Wang</w:t>
            </w:r>
          </w:p>
        </w:tc>
      </w:tr>
      <w:bookmarkEnd w:id="8"/>
      <w:tr w:rsidR="00A4694B" w:rsidTr="00A4694B">
        <w:tc>
          <w:tcPr>
            <w:tcW w:w="720" w:type="dxa"/>
            <w:shd w:val="clear" w:color="auto" w:fill="auto"/>
          </w:tcPr>
          <w:p w:rsidR="00A4694B" w:rsidRDefault="00A4694B" w:rsidP="00A4694B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D93FBF" w:rsidRDefault="00D93FBF" w:rsidP="00A4694B">
            <w:pPr>
              <w:keepNext/>
              <w:keepLines/>
              <w:jc w:val="both"/>
            </w:pPr>
            <w:r>
              <w:t>HONG WANG</w:t>
            </w:r>
          </w:p>
          <w:p w:rsidR="00A4694B" w:rsidRDefault="00D93FBF" w:rsidP="00A4694B">
            <w:pPr>
              <w:keepNext/>
              <w:keepLines/>
              <w:jc w:val="both"/>
            </w:pPr>
            <w:r>
              <w:t>Chief Deputy Commission Clerk</w:t>
            </w:r>
          </w:p>
        </w:tc>
      </w:tr>
    </w:tbl>
    <w:p w:rsidR="00A4694B" w:rsidRDefault="00A4694B" w:rsidP="00A4694B">
      <w:pPr>
        <w:pStyle w:val="OrderSigInfo"/>
        <w:keepNext/>
        <w:keepLines/>
      </w:pPr>
      <w:r>
        <w:t>Florida Public Service Commission</w:t>
      </w:r>
    </w:p>
    <w:p w:rsidR="00A4694B" w:rsidRDefault="00A4694B" w:rsidP="00A4694B">
      <w:pPr>
        <w:pStyle w:val="OrderSigInfo"/>
        <w:keepNext/>
        <w:keepLines/>
      </w:pPr>
      <w:r>
        <w:t>2540 Shumard Oak Boulevard</w:t>
      </w:r>
    </w:p>
    <w:p w:rsidR="00A4694B" w:rsidRDefault="00A4694B" w:rsidP="00A4694B">
      <w:pPr>
        <w:pStyle w:val="OrderSigInfo"/>
        <w:keepNext/>
        <w:keepLines/>
      </w:pPr>
      <w:r>
        <w:t>Tallahassee, Florida  32399</w:t>
      </w:r>
    </w:p>
    <w:p w:rsidR="00A4694B" w:rsidRDefault="00A4694B" w:rsidP="00A4694B">
      <w:pPr>
        <w:pStyle w:val="OrderSigInfo"/>
        <w:keepNext/>
        <w:keepLines/>
      </w:pPr>
      <w:r>
        <w:t>(850) 413</w:t>
      </w:r>
      <w:r>
        <w:noBreakHyphen/>
        <w:t>6770</w:t>
      </w:r>
    </w:p>
    <w:p w:rsidR="00A4694B" w:rsidRDefault="00A4694B" w:rsidP="00A4694B">
      <w:pPr>
        <w:pStyle w:val="OrderSigInfo"/>
        <w:keepNext/>
        <w:keepLines/>
      </w:pPr>
      <w:r>
        <w:t>www.floridapsc.com</w:t>
      </w:r>
    </w:p>
    <w:p w:rsidR="00A4694B" w:rsidRDefault="00A4694B" w:rsidP="00A4694B">
      <w:pPr>
        <w:pStyle w:val="OrderSigInfo"/>
        <w:keepNext/>
        <w:keepLines/>
      </w:pPr>
    </w:p>
    <w:p w:rsidR="00A4694B" w:rsidRDefault="00A4694B" w:rsidP="00A4694B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A4694B" w:rsidRDefault="00A4694B" w:rsidP="00A4694B">
      <w:pPr>
        <w:pStyle w:val="OrderBody"/>
        <w:keepNext/>
        <w:keepLines/>
      </w:pPr>
    </w:p>
    <w:p w:rsidR="00A4694B" w:rsidRDefault="00A4694B" w:rsidP="00A4694B">
      <w:pPr>
        <w:keepNext/>
        <w:keepLines/>
        <w:jc w:val="both"/>
      </w:pPr>
      <w:r>
        <w:t>WT</w:t>
      </w:r>
    </w:p>
    <w:p w:rsidR="005B155A" w:rsidRDefault="005B155A">
      <w:pPr>
        <w:sectPr w:rsidR="005B155A" w:rsidSect="00AD0922">
          <w:headerReference w:type="default" r:id="rId7"/>
          <w:footerReference w:type="first" r:id="rId8"/>
          <w:pgSz w:w="12240" w:h="15840" w:code="1"/>
          <w:pgMar w:top="1440" w:right="1440" w:bottom="864" w:left="1440" w:header="720" w:footer="720" w:gutter="0"/>
          <w:cols w:space="720"/>
          <w:titlePg/>
          <w:docGrid w:linePitch="360"/>
        </w:sectPr>
      </w:pPr>
    </w:p>
    <w:tbl>
      <w:tblPr>
        <w:tblW w:w="5621" w:type="pct"/>
        <w:jc w:val="center"/>
        <w:tblInd w:w="-588" w:type="dxa"/>
        <w:tblLayout w:type="fixed"/>
        <w:tblLook w:val="04A0" w:firstRow="1" w:lastRow="0" w:firstColumn="1" w:lastColumn="0" w:noHBand="0" w:noVBand="1"/>
      </w:tblPr>
      <w:tblGrid>
        <w:gridCol w:w="4341"/>
        <w:gridCol w:w="1193"/>
        <w:gridCol w:w="349"/>
        <w:gridCol w:w="269"/>
        <w:gridCol w:w="461"/>
        <w:gridCol w:w="342"/>
        <w:gridCol w:w="553"/>
        <w:gridCol w:w="364"/>
        <w:gridCol w:w="155"/>
        <w:gridCol w:w="1102"/>
        <w:gridCol w:w="1636"/>
      </w:tblGrid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lastRenderedPageBreak/>
              <w:t>Lake Placid</w:t>
            </w:r>
          </w:p>
        </w:tc>
        <w:tc>
          <w:tcPr>
            <w:tcW w:w="716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color w:val="000000"/>
              </w:rPr>
            </w:pPr>
            <w:r w:rsidRPr="00A06F0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color w:val="000000"/>
              </w:rPr>
            </w:pPr>
            <w:r w:rsidRPr="00A06F01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color w:val="000000"/>
              </w:rPr>
            </w:pPr>
            <w:r w:rsidRPr="00A06F0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 Schedule No. 4-B</w:t>
            </w:r>
          </w:p>
        </w:tc>
      </w:tr>
      <w:tr w:rsidR="00A06F01" w:rsidRPr="00A06F01" w:rsidTr="0013551A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Test Year Ended 12/31/15</w:t>
            </w: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color w:val="000000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color w:val="000000"/>
              </w:rPr>
            </w:pP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Docket No. 160101-WS</w:t>
            </w:r>
          </w:p>
        </w:tc>
      </w:tr>
      <w:tr w:rsidR="00A06F01" w:rsidRPr="00A06F01" w:rsidTr="00953328">
        <w:trPr>
          <w:trHeight w:val="27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Monthly Wastewater Rates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/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/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</w:rPr>
            </w:pPr>
            <w:r w:rsidRPr="00A06F01">
              <w:rPr>
                <w:rFonts w:ascii="Arial" w:hAnsi="Arial" w:cs="Aria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</w:rPr>
            </w:pPr>
            <w:r w:rsidRPr="00A06F01">
              <w:rPr>
                <w:rFonts w:ascii="Arial" w:hAnsi="Arial" w:cs="Arial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Test Year</w:t>
            </w:r>
          </w:p>
        </w:tc>
        <w:tc>
          <w:tcPr>
            <w:tcW w:w="501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 xml:space="preserve">Utility 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Commission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Rates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Approved</w:t>
            </w:r>
          </w:p>
        </w:tc>
      </w:tr>
      <w:tr w:rsidR="00A06F01" w:rsidRPr="00A06F01" w:rsidTr="00953328">
        <w:trPr>
          <w:trHeight w:val="31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12/31/15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Rates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Residential Service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Base Facility Charge - All Meter Sizes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$12.01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$12.09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$12.28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$15.24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$12.01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Charge per 1,000 Gallons- Residential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$5.53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$5.57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$5.66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$7.02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$5.53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6,000 gallon cap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Flat Rate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$21.88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$22.03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$22.38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$27.77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$21.88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General Service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Base Facility Charge by Meter Size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5/8" X 3/4"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$12.01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$12.09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$12.28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$15.24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$12.01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3/4"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$18.02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$18.15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$18.43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$22.88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$18.02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1"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$30.03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$30.24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$30.71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$38.11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$30.03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1-1/2"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$60.05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$60.47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$61.42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$76.22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$60.05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2"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$96.09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$96.76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$98.28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$121.96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$96.09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3"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$192.15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$193.54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$196.57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$243.94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$192.15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4"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$300.29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$302.40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$307.14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$381.14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$300.29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6"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$600.58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$604.80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$614.28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$762.29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$600.58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Charge per 1,000 gallons  - General Service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$6.63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$6.68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$6.78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$8.42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$6.63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Bulk Service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Base Facility Charge - All Meter Sizes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$403.01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$405.84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$412.20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$511.52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$403.01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Charge per 1,000 gallons  - Bulk Service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$5.31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$5.35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$5.43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 xml:space="preserve">$6.74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$5.31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57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  <w:u w:val="single"/>
              </w:rPr>
              <w:t>Typical Residential 5/8" x 3/4" Meter Bill Comparison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3,000 Gallons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$28.60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$28.80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$29.26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$36.30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$28.60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5,000 Gallons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$39.66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$39.94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$40.58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$50.34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$39.66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10,000 Gallons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$67.31 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$67.79 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$68.88 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$85.44 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$67.31 </w:t>
            </w:r>
          </w:p>
        </w:tc>
      </w:tr>
      <w:tr w:rsidR="00A06F01" w:rsidRPr="00A06F01" w:rsidTr="00953328">
        <w:trPr>
          <w:trHeight w:val="270"/>
          <w:jc w:val="center"/>
        </w:trPr>
        <w:tc>
          <w:tcPr>
            <w:tcW w:w="201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</w:tbl>
    <w:p w:rsidR="00A06F01" w:rsidRPr="00A06F01" w:rsidRDefault="00A06F01" w:rsidP="00A06F01"/>
    <w:p w:rsidR="005B155A" w:rsidRDefault="005B155A">
      <w:pPr>
        <w:sectPr w:rsidR="005B155A" w:rsidSect="00E3650F">
          <w:head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5820" w:type="pct"/>
        <w:jc w:val="center"/>
        <w:tblInd w:w="-730" w:type="dxa"/>
        <w:tblLayout w:type="fixed"/>
        <w:tblLook w:val="04A0" w:firstRow="1" w:lastRow="0" w:firstColumn="1" w:lastColumn="0" w:noHBand="0" w:noVBand="1"/>
      </w:tblPr>
      <w:tblGrid>
        <w:gridCol w:w="4387"/>
        <w:gridCol w:w="116"/>
        <w:gridCol w:w="1157"/>
        <w:gridCol w:w="1159"/>
        <w:gridCol w:w="1362"/>
        <w:gridCol w:w="1262"/>
        <w:gridCol w:w="1703"/>
      </w:tblGrid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lastRenderedPageBreak/>
              <w:t>Tierra Verde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 Schedule No. 4-A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Test Year Ended 12/31/15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Docket No. 160101-WS</w:t>
            </w:r>
          </w:p>
        </w:tc>
      </w:tr>
      <w:tr w:rsidR="00A06F01" w:rsidRPr="00A06F01" w:rsidTr="005B155A">
        <w:trPr>
          <w:trHeight w:val="108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Bi-Monthly Wastewater Rates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</w:rPr>
            </w:pPr>
            <w:r w:rsidRPr="00A06F0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Test Year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Commission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Rates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Approved</w:t>
            </w:r>
          </w:p>
        </w:tc>
      </w:tr>
      <w:tr w:rsidR="00A06F01" w:rsidRPr="00A06F01" w:rsidTr="005B155A">
        <w:trPr>
          <w:trHeight w:val="315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12/31/15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Rates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Residential Service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Flat Rate (Bi-monthly)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$96.91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$97.29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$107.82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General Service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Base Facility Charge by Meter Size (Bi-monthly)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5/8 x 3/4"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$61.10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$62.06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$65.35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$68.77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$65.35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1"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$154.52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$155.13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$165.27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$171.93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$163.38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1-1/2"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$309.05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$310.28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$330.56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$343.85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$326.75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2"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$494.48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$496.44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$528.90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$550.16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$522.80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3"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$988.96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$992.89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$1,057.79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$1,031.55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$1,045.60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4"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$1,545.22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$1,551.36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$1,652.77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$1,719.25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$1,633.75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6"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$3,090.46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$3,102.73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$3,305.56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$3,438.50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$3,267.50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Charge per 1,000 Gallons - General Service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$3.57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$3.58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$3.82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$3.97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$3.82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020" w:type="pct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Typical Residential 5/8" x 3/4" Meter Bill Comparison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19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3,000 Gallons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$96.91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$97.29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$107.82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19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5,000 Gallons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$96.91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$97.29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$107.82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</w:tr>
      <w:tr w:rsidR="00A06F01" w:rsidRPr="00A06F01" w:rsidTr="005B155A">
        <w:trPr>
          <w:trHeight w:val="300"/>
          <w:jc w:val="center"/>
        </w:trPr>
        <w:tc>
          <w:tcPr>
            <w:tcW w:w="19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10,000 Gallons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$96.91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$97.29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$107.82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right"/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$103.65</w:t>
            </w:r>
          </w:p>
        </w:tc>
      </w:tr>
      <w:tr w:rsidR="00A06F01" w:rsidRPr="00A06F01" w:rsidTr="005B155A">
        <w:trPr>
          <w:trHeight w:val="315"/>
          <w:jc w:val="center"/>
        </w:trPr>
        <w:tc>
          <w:tcPr>
            <w:tcW w:w="19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</w:tr>
    </w:tbl>
    <w:p w:rsidR="00E3650F" w:rsidRDefault="00E3650F" w:rsidP="00A4694B">
      <w:pPr>
        <w:jc w:val="both"/>
        <w:sectPr w:rsidR="00E3650F" w:rsidSect="00AD0922">
          <w:headerReference w:type="first" r:id="rId10"/>
          <w:pgSz w:w="12240" w:h="15840" w:code="1"/>
          <w:pgMar w:top="1440" w:right="1440" w:bottom="864" w:left="1440" w:header="720" w:footer="720" w:gutter="0"/>
          <w:cols w:space="720"/>
          <w:titlePg/>
          <w:docGrid w:linePitch="360"/>
        </w:sectPr>
      </w:pPr>
    </w:p>
    <w:tbl>
      <w:tblPr>
        <w:tblW w:w="5220" w:type="pct"/>
        <w:jc w:val="center"/>
        <w:tblLayout w:type="fixed"/>
        <w:tblLook w:val="04A0" w:firstRow="1" w:lastRow="0" w:firstColumn="1" w:lastColumn="0" w:noHBand="0" w:noVBand="1"/>
      </w:tblPr>
      <w:tblGrid>
        <w:gridCol w:w="3762"/>
        <w:gridCol w:w="1165"/>
        <w:gridCol w:w="288"/>
        <w:gridCol w:w="876"/>
        <w:gridCol w:w="580"/>
        <w:gridCol w:w="626"/>
        <w:gridCol w:w="370"/>
        <w:gridCol w:w="460"/>
        <w:gridCol w:w="430"/>
        <w:gridCol w:w="1440"/>
      </w:tblGrid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lastRenderedPageBreak/>
              <w:t>UIF - Pasco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0" w:type="pct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 Schedule No. 4-B</w:t>
            </w:r>
          </w:p>
        </w:tc>
      </w:tr>
      <w:tr w:rsidR="00A06F01" w:rsidRPr="00A06F01" w:rsidTr="00E3650F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Test Year Ended 12/31/15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54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Docket No. 160101-WS</w:t>
            </w:r>
          </w:p>
        </w:tc>
      </w:tr>
      <w:tr w:rsidR="00A06F01" w:rsidRPr="00A06F01" w:rsidTr="00953328">
        <w:trPr>
          <w:trHeight w:val="77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06F01">
              <w:rPr>
                <w:rFonts w:ascii="Arial" w:hAnsi="Arial" w:cs="Arial"/>
                <w:b/>
                <w:bCs/>
                <w:color w:val="000000"/>
              </w:rPr>
              <w:t>Monthly Wastewater Rates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</w:rPr>
            </w:pPr>
          </w:p>
        </w:tc>
        <w:tc>
          <w:tcPr>
            <w:tcW w:w="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 xml:space="preserve">Test Year 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630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Commission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Rates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Requested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Approved</w:t>
            </w:r>
          </w:p>
        </w:tc>
      </w:tr>
      <w:tr w:rsidR="00A06F01" w:rsidRPr="00A06F01" w:rsidTr="00953328">
        <w:trPr>
          <w:trHeight w:val="31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sz w:val="22"/>
                <w:szCs w:val="22"/>
              </w:rPr>
            </w:pPr>
            <w:r w:rsidRPr="00A06F01">
              <w:rPr>
                <w:b/>
                <w:bCs/>
                <w:sz w:val="22"/>
                <w:szCs w:val="22"/>
              </w:rPr>
              <w:t>12/31/15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Rates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</w:rPr>
              <w:t>Interim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Residential  - Orangewood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Base Facility Charge - All Meter Sizes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$9.68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$9.72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$11.71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$12.65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$11.76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Charge per 1,000 gallons - Residential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$7.14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$7.21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$8.68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$9.38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$8.67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6,000 gallon cap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Flat Rate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$24.21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$24.32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$29.28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$31.64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$29.41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Residential  - Summertree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Base Facility Charge - All Meter Sizes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$12.57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$12.63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$15.20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$16.43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$15.27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Charge per 1,000 gallons  - Residential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$10.68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$10.73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$12.92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$13.96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$12.98 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6,000 gallon cap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300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b/>
                <w:bCs/>
                <w:sz w:val="22"/>
                <w:szCs w:val="22"/>
                <w:u w:val="single"/>
              </w:rPr>
            </w:pPr>
            <w:r w:rsidRPr="00A06F01">
              <w:rPr>
                <w:b/>
                <w:bCs/>
                <w:sz w:val="22"/>
                <w:szCs w:val="22"/>
                <w:u w:val="single"/>
              </w:rPr>
              <w:t>General Service - Summertree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Base Facility Charge by Meter Size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5/8"X 3/4"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$12.57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$12.63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$15.20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$16.43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$15.27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3/4"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$18.84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$18.92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$22.79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$24.62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$22.91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1"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$31.40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$31.54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$37.98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$41.04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$38.18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1-1/2"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$62.80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$63.08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$75.96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$82.07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$76.35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2"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$100.47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$100.92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$121.52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$131.31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$122.16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3"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$200.93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$201.83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$243.02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$262.60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$244.32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4"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$313.97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$315.38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$379.75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$410.34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$381.75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6"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$627.94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$630.77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$759.49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$820.69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$763.50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Charge per 1,000 gallons  - General Service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$14.16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$14.22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$17.13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$18.50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$17.20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3835" w:type="pct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  <w:u w:val="single"/>
              </w:rPr>
              <w:t>Typical Residential 5/8" x 3/4" Meter Bill Comparison - Orangewood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3,000 Gallons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$31.10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$31.35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$37.75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$40.79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$37.77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5,000 Gallons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$45.38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$45.77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$55.11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$59.55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$55.11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10,000 Gallons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$81.08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$81.82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$98.51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$106.45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$98.46 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sz w:val="22"/>
                <w:szCs w:val="2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3835" w:type="pct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sz w:val="22"/>
                <w:szCs w:val="22"/>
              </w:rPr>
            </w:pPr>
            <w:r w:rsidRPr="00A06F01">
              <w:rPr>
                <w:b/>
                <w:bCs/>
                <w:color w:val="000000"/>
                <w:sz w:val="22"/>
                <w:szCs w:val="22"/>
                <w:u w:val="single"/>
              </w:rPr>
              <w:t>Typical Residential 5/8" x 3/4" Meter Bill Comparison - Summertree</w:t>
            </w:r>
          </w:p>
        </w:tc>
        <w:tc>
          <w:tcPr>
            <w:tcW w:w="1165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6F01" w:rsidRPr="00A06F01" w:rsidTr="00953328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3,000 Gallons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$44.61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$44.82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$53.96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$58.31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$54.21</w:t>
            </w:r>
          </w:p>
        </w:tc>
      </w:tr>
      <w:tr w:rsidR="00A06F01" w:rsidRPr="00A06F01" w:rsidTr="00C319BB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5,000 Gallons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$65.97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$66.28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$79.80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$86.23</w:t>
            </w:r>
          </w:p>
        </w:tc>
        <w:tc>
          <w:tcPr>
            <w:tcW w:w="720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$80.17 </w:t>
            </w:r>
          </w:p>
        </w:tc>
      </w:tr>
      <w:tr w:rsidR="00A06F01" w:rsidRPr="00A06F01" w:rsidTr="00C319BB">
        <w:trPr>
          <w:trHeight w:val="255"/>
          <w:jc w:val="center"/>
        </w:trPr>
        <w:tc>
          <w:tcPr>
            <w:tcW w:w="18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>10,000 Gallons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$119.37 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$119.93 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$144.40 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$156.03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6F01" w:rsidRPr="00A06F01" w:rsidRDefault="00A06F01" w:rsidP="00A06F01">
            <w:pPr>
              <w:jc w:val="right"/>
              <w:rPr>
                <w:color w:val="000000"/>
                <w:sz w:val="22"/>
                <w:szCs w:val="22"/>
              </w:rPr>
            </w:pPr>
            <w:r w:rsidRPr="00A06F01">
              <w:rPr>
                <w:color w:val="000000"/>
                <w:sz w:val="22"/>
                <w:szCs w:val="22"/>
              </w:rPr>
              <w:t xml:space="preserve">$145.07 </w:t>
            </w:r>
          </w:p>
        </w:tc>
      </w:tr>
    </w:tbl>
    <w:p w:rsidR="00A4694B" w:rsidRDefault="00A4694B" w:rsidP="00B43963">
      <w:pPr>
        <w:jc w:val="both"/>
      </w:pPr>
    </w:p>
    <w:sectPr w:rsidR="00A4694B" w:rsidSect="00E3650F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4B" w:rsidRDefault="00A4694B">
      <w:r>
        <w:separator/>
      </w:r>
    </w:p>
  </w:endnote>
  <w:endnote w:type="continuationSeparator" w:id="0">
    <w:p w:rsidR="00A4694B" w:rsidRDefault="00A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4B" w:rsidRDefault="00A4694B">
      <w:r>
        <w:separator/>
      </w:r>
    </w:p>
  </w:footnote>
  <w:footnote w:type="continuationSeparator" w:id="0">
    <w:p w:rsidR="00A4694B" w:rsidRDefault="00A4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0806D0">
      <w:fldChar w:fldCharType="begin"/>
    </w:r>
    <w:r w:rsidR="000806D0">
      <w:instrText xml:space="preserve"> REF OrderNo0526 </w:instrText>
    </w:r>
    <w:r w:rsidR="000806D0">
      <w:fldChar w:fldCharType="separate"/>
    </w:r>
    <w:r w:rsidR="000806D0">
      <w:t>PSC-16-0526A-PCO-WS</w:t>
    </w:r>
    <w:r w:rsidR="000806D0">
      <w:fldChar w:fldCharType="end"/>
    </w:r>
  </w:p>
  <w:p w:rsidR="00FA6EFD" w:rsidRDefault="00A4694B">
    <w:pPr>
      <w:pStyle w:val="OrderHeader"/>
    </w:pPr>
    <w:bookmarkStart w:id="9" w:name="HeaderDocketNo"/>
    <w:bookmarkEnd w:id="9"/>
    <w:r>
      <w:t>DOCKET NO. 160101-WS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06D0">
      <w:rPr>
        <w:rStyle w:val="PageNumber"/>
        <w:noProof/>
      </w:rPr>
      <w:t>2</w:t>
    </w:r>
    <w:r>
      <w:rPr>
        <w:rStyle w:val="PageNumber"/>
      </w:rPr>
      <w:fldChar w:fldCharType="end"/>
    </w:r>
  </w:p>
  <w:p w:rsidR="00C319BB" w:rsidRDefault="00C319BB">
    <w:pPr>
      <w:pStyle w:val="OrderHeader"/>
      <w:rPr>
        <w:rStyle w:val="PageNumb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5A" w:rsidRDefault="005B155A" w:rsidP="005B155A">
    <w:pPr>
      <w:pStyle w:val="OrderHeader"/>
    </w:pPr>
    <w:r>
      <w:t>ORDER NO.</w:t>
    </w:r>
    <w:r w:rsidR="00D93FBF">
      <w:t xml:space="preserve"> PSC-16-0526A-PCO-WS</w:t>
    </w:r>
    <w:r>
      <w:t xml:space="preserve"> </w:t>
    </w:r>
    <w:r>
      <w:tab/>
    </w:r>
    <w:r>
      <w:tab/>
      <w:t>ATTACHMENT 1</w:t>
    </w:r>
  </w:p>
  <w:p w:rsidR="005B155A" w:rsidRDefault="005B155A" w:rsidP="005B155A">
    <w:pPr>
      <w:pStyle w:val="OrderHeader"/>
    </w:pPr>
    <w:r>
      <w:t>DOCKET NO. 160101-WS</w:t>
    </w:r>
  </w:p>
  <w:p w:rsidR="005B155A" w:rsidRDefault="005B155A" w:rsidP="005B155A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06D0">
      <w:rPr>
        <w:rStyle w:val="PageNumber"/>
        <w:noProof/>
      </w:rPr>
      <w:t>3</w:t>
    </w:r>
    <w:r>
      <w:rPr>
        <w:rStyle w:val="PageNumber"/>
      </w:rPr>
      <w:fldChar w:fldCharType="end"/>
    </w:r>
  </w:p>
  <w:p w:rsidR="005B155A" w:rsidRDefault="005B15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5A" w:rsidRDefault="005B155A" w:rsidP="005B155A">
    <w:pPr>
      <w:pStyle w:val="OrderHeader"/>
    </w:pPr>
    <w:r>
      <w:t xml:space="preserve">ORDER NO. </w:t>
    </w:r>
    <w:r w:rsidR="00D93FBF">
      <w:t>PSC-16-0526A-PCO-WS</w:t>
    </w:r>
    <w:r>
      <w:tab/>
    </w:r>
    <w:r>
      <w:tab/>
      <w:t>ATTACHMENT 2</w:t>
    </w:r>
  </w:p>
  <w:p w:rsidR="005B155A" w:rsidRDefault="005B155A" w:rsidP="005B155A">
    <w:pPr>
      <w:pStyle w:val="OrderHeader"/>
    </w:pPr>
    <w:r>
      <w:t>DOCKET NO. 160101-WS</w:t>
    </w:r>
  </w:p>
  <w:p w:rsidR="005B155A" w:rsidRDefault="005B155A" w:rsidP="005B155A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06D0">
      <w:rPr>
        <w:rStyle w:val="PageNumber"/>
        <w:noProof/>
      </w:rPr>
      <w:t>4</w:t>
    </w:r>
    <w:r>
      <w:rPr>
        <w:rStyle w:val="PageNumber"/>
      </w:rPr>
      <w:fldChar w:fldCharType="end"/>
    </w:r>
  </w:p>
  <w:p w:rsidR="005B155A" w:rsidRDefault="005B155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5A" w:rsidRDefault="005B155A">
    <w:pPr>
      <w:pStyle w:val="OrderHeader"/>
    </w:pPr>
    <w:r>
      <w:t xml:space="preserve">ORDER NO. </w:t>
    </w:r>
    <w:r w:rsidR="00D93FBF">
      <w:t>PSC-16-0526A-PCO-WS</w:t>
    </w:r>
    <w:r>
      <w:tab/>
    </w:r>
    <w:r>
      <w:tab/>
      <w:t>ATTACHMENT 3</w:t>
    </w:r>
  </w:p>
  <w:p w:rsidR="005B155A" w:rsidRDefault="005B155A">
    <w:pPr>
      <w:pStyle w:val="OrderHeader"/>
    </w:pPr>
    <w:r>
      <w:t>DOCKET NO. 160101-WS</w:t>
    </w:r>
  </w:p>
  <w:p w:rsidR="005B155A" w:rsidRDefault="005B155A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06D0">
      <w:rPr>
        <w:rStyle w:val="PageNumber"/>
        <w:noProof/>
      </w:rPr>
      <w:t>5</w:t>
    </w:r>
    <w:r>
      <w:rPr>
        <w:rStyle w:val="PageNumber"/>
      </w:rPr>
      <w:fldChar w:fldCharType="end"/>
    </w:r>
  </w:p>
  <w:p w:rsidR="005B155A" w:rsidRDefault="005B155A">
    <w:pPr>
      <w:pStyle w:val="Order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101-WS"/>
  </w:docVars>
  <w:rsids>
    <w:rsidRoot w:val="00A4694B"/>
    <w:rsid w:val="000022B8"/>
    <w:rsid w:val="00053AB9"/>
    <w:rsid w:val="00056229"/>
    <w:rsid w:val="00065FC2"/>
    <w:rsid w:val="000806D0"/>
    <w:rsid w:val="00090AFC"/>
    <w:rsid w:val="000D06E8"/>
    <w:rsid w:val="000E344D"/>
    <w:rsid w:val="000F3B2C"/>
    <w:rsid w:val="000F7BE3"/>
    <w:rsid w:val="00116AD3"/>
    <w:rsid w:val="00126593"/>
    <w:rsid w:val="0013551A"/>
    <w:rsid w:val="00142A96"/>
    <w:rsid w:val="00180658"/>
    <w:rsid w:val="00187E32"/>
    <w:rsid w:val="00194E81"/>
    <w:rsid w:val="001A33C9"/>
    <w:rsid w:val="001D008A"/>
    <w:rsid w:val="002002ED"/>
    <w:rsid w:val="0022721A"/>
    <w:rsid w:val="00230BB9"/>
    <w:rsid w:val="00241CEF"/>
    <w:rsid w:val="00246587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D4CCA"/>
    <w:rsid w:val="003D6416"/>
    <w:rsid w:val="003E1D48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60350"/>
    <w:rsid w:val="005963C2"/>
    <w:rsid w:val="005B155A"/>
    <w:rsid w:val="005B45F7"/>
    <w:rsid w:val="005B63EA"/>
    <w:rsid w:val="006217FB"/>
    <w:rsid w:val="00660774"/>
    <w:rsid w:val="006627B0"/>
    <w:rsid w:val="00665CC7"/>
    <w:rsid w:val="0069394E"/>
    <w:rsid w:val="006A0BF3"/>
    <w:rsid w:val="006B0DA6"/>
    <w:rsid w:val="006B34DD"/>
    <w:rsid w:val="006C547E"/>
    <w:rsid w:val="00704C5D"/>
    <w:rsid w:val="00715275"/>
    <w:rsid w:val="00733B6B"/>
    <w:rsid w:val="0076170F"/>
    <w:rsid w:val="0076669C"/>
    <w:rsid w:val="007865E9"/>
    <w:rsid w:val="00792383"/>
    <w:rsid w:val="00796153"/>
    <w:rsid w:val="007A060F"/>
    <w:rsid w:val="007D3D20"/>
    <w:rsid w:val="007D674A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D34D6"/>
    <w:rsid w:val="009D4C29"/>
    <w:rsid w:val="009F4269"/>
    <w:rsid w:val="00A06F01"/>
    <w:rsid w:val="00A4694B"/>
    <w:rsid w:val="00A62DAB"/>
    <w:rsid w:val="00A726A6"/>
    <w:rsid w:val="00A97535"/>
    <w:rsid w:val="00AA73F1"/>
    <w:rsid w:val="00AB0E1A"/>
    <w:rsid w:val="00AB1A30"/>
    <w:rsid w:val="00AD0922"/>
    <w:rsid w:val="00AD1ED3"/>
    <w:rsid w:val="00AD6029"/>
    <w:rsid w:val="00B06C3D"/>
    <w:rsid w:val="00B0777D"/>
    <w:rsid w:val="00B3122A"/>
    <w:rsid w:val="00B4057A"/>
    <w:rsid w:val="00B40894"/>
    <w:rsid w:val="00B43963"/>
    <w:rsid w:val="00B45E75"/>
    <w:rsid w:val="00B50876"/>
    <w:rsid w:val="00B55EE5"/>
    <w:rsid w:val="00B73DE6"/>
    <w:rsid w:val="00B86EF0"/>
    <w:rsid w:val="00B97900"/>
    <w:rsid w:val="00BA44A8"/>
    <w:rsid w:val="00BF6691"/>
    <w:rsid w:val="00C028FC"/>
    <w:rsid w:val="00C319BB"/>
    <w:rsid w:val="00C66692"/>
    <w:rsid w:val="00C91123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62186"/>
    <w:rsid w:val="00D8560E"/>
    <w:rsid w:val="00D8758F"/>
    <w:rsid w:val="00D93FBF"/>
    <w:rsid w:val="00DC1D94"/>
    <w:rsid w:val="00DD7B97"/>
    <w:rsid w:val="00DE057F"/>
    <w:rsid w:val="00DE2082"/>
    <w:rsid w:val="00DE2289"/>
    <w:rsid w:val="00E04410"/>
    <w:rsid w:val="00E11351"/>
    <w:rsid w:val="00E258A3"/>
    <w:rsid w:val="00E3650F"/>
    <w:rsid w:val="00E41590"/>
    <w:rsid w:val="00EA172C"/>
    <w:rsid w:val="00EA259B"/>
    <w:rsid w:val="00EA35A3"/>
    <w:rsid w:val="00EA3E6A"/>
    <w:rsid w:val="00EB18EF"/>
    <w:rsid w:val="00EB7251"/>
    <w:rsid w:val="00EE17DF"/>
    <w:rsid w:val="00EF0578"/>
    <w:rsid w:val="00EF4621"/>
    <w:rsid w:val="00F277B6"/>
    <w:rsid w:val="00F54380"/>
    <w:rsid w:val="00F54B47"/>
    <w:rsid w:val="00F70E84"/>
    <w:rsid w:val="00FA6EFD"/>
    <w:rsid w:val="00FB2C97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31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31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5</Pages>
  <Words>1139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2016-12-02T17:04:00Z</dcterms:created>
  <dcterms:modified xsi:type="dcterms:W3CDTF">2016-12-02T19:29:00Z</dcterms:modified>
</cp:coreProperties>
</file>