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E732F" w:rsidP="00CE732F">
      <w:pPr>
        <w:pStyle w:val="OrderHeading"/>
      </w:pPr>
      <w:r>
        <w:t>BEFORE THE FLORIDA PUBLIC SERVICE COMMISSION</w:t>
      </w:r>
    </w:p>
    <w:p w:rsidR="00CE732F" w:rsidRDefault="00CE732F" w:rsidP="00CE732F">
      <w:pPr>
        <w:pStyle w:val="OrderHeading"/>
      </w:pPr>
    </w:p>
    <w:p w:rsidR="00CE732F" w:rsidRDefault="00CE732F" w:rsidP="00CE732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732F" w:rsidRPr="00C63FCF" w:rsidTr="00113BA1">
        <w:trPr>
          <w:trHeight w:val="828"/>
        </w:trPr>
        <w:tc>
          <w:tcPr>
            <w:tcW w:w="4788" w:type="dxa"/>
            <w:tcBorders>
              <w:bottom w:val="single" w:sz="8" w:space="0" w:color="auto"/>
              <w:right w:val="double" w:sz="6" w:space="0" w:color="auto"/>
            </w:tcBorders>
            <w:shd w:val="clear" w:color="auto" w:fill="auto"/>
          </w:tcPr>
          <w:p w:rsidR="00CE732F" w:rsidRDefault="00CE732F" w:rsidP="00113BA1">
            <w:pPr>
              <w:pStyle w:val="OrderBody"/>
              <w:tabs>
                <w:tab w:val="center" w:pos="4320"/>
                <w:tab w:val="right" w:pos="8640"/>
              </w:tabs>
              <w:jc w:val="left"/>
            </w:pPr>
            <w:r>
              <w:t xml:space="preserve">In re: </w:t>
            </w:r>
            <w:bookmarkStart w:id="0" w:name="SSInRe"/>
            <w:bookmarkEnd w:id="0"/>
            <w:r>
              <w:t>Petition for review and determination on the project construction and gas transportation agreement between NUI Utilities, Inc. d/b/a City Gas Company of Florida and Florida Crystals Corporation, and approval of an interim service arrangement.</w:t>
            </w:r>
          </w:p>
        </w:tc>
        <w:tc>
          <w:tcPr>
            <w:tcW w:w="4788" w:type="dxa"/>
            <w:tcBorders>
              <w:left w:val="double" w:sz="6" w:space="0" w:color="auto"/>
            </w:tcBorders>
            <w:shd w:val="clear" w:color="auto" w:fill="auto"/>
          </w:tcPr>
          <w:p w:rsidR="00CE732F" w:rsidRDefault="00CE732F" w:rsidP="00CE732F">
            <w:pPr>
              <w:pStyle w:val="OrderBody"/>
            </w:pPr>
            <w:r>
              <w:t xml:space="preserve">DOCKET NO. </w:t>
            </w:r>
            <w:bookmarkStart w:id="1" w:name="SSDocketNo"/>
            <w:bookmarkEnd w:id="1"/>
            <w:r>
              <w:t>160175-GU</w:t>
            </w:r>
          </w:p>
          <w:p w:rsidR="00CE732F" w:rsidRDefault="00CE732F" w:rsidP="00113BA1">
            <w:pPr>
              <w:pStyle w:val="OrderBody"/>
              <w:tabs>
                <w:tab w:val="center" w:pos="4320"/>
                <w:tab w:val="right" w:pos="8640"/>
              </w:tabs>
              <w:jc w:val="left"/>
            </w:pPr>
            <w:r>
              <w:t xml:space="preserve">ORDER NO. </w:t>
            </w:r>
            <w:bookmarkStart w:id="2" w:name="OrderNo0581"/>
            <w:r w:rsidR="00C30E61">
              <w:t>PSC-16-0581-PCO-GU</w:t>
            </w:r>
            <w:bookmarkEnd w:id="2"/>
          </w:p>
          <w:p w:rsidR="00CE732F" w:rsidRDefault="00CE732F" w:rsidP="00113BA1">
            <w:pPr>
              <w:pStyle w:val="OrderBody"/>
              <w:tabs>
                <w:tab w:val="center" w:pos="4320"/>
                <w:tab w:val="right" w:pos="8640"/>
              </w:tabs>
              <w:jc w:val="left"/>
            </w:pPr>
            <w:r>
              <w:t xml:space="preserve">ISSUED: </w:t>
            </w:r>
            <w:r w:rsidR="00C30E61">
              <w:t>December 27, 2016</w:t>
            </w:r>
          </w:p>
        </w:tc>
      </w:tr>
    </w:tbl>
    <w:p w:rsidR="00CE732F" w:rsidRDefault="00CE732F" w:rsidP="00A70C23"/>
    <w:p w:rsidR="00CE732F" w:rsidRDefault="00CE732F" w:rsidP="00A70C23"/>
    <w:p w:rsidR="00CE732F" w:rsidRPr="00E46E1F" w:rsidRDefault="00CE732F" w:rsidP="00A70C23">
      <w:pPr>
        <w:ind w:firstLine="720"/>
        <w:jc w:val="both"/>
      </w:pPr>
      <w:bookmarkStart w:id="3" w:name="Commissioners"/>
      <w:bookmarkEnd w:id="3"/>
      <w:r w:rsidRPr="00E46E1F">
        <w:t>The following Commissioners participated in the disposition of this matter:</w:t>
      </w:r>
    </w:p>
    <w:p w:rsidR="00CE732F" w:rsidRPr="00E46E1F" w:rsidRDefault="00CE732F" w:rsidP="00A70C23"/>
    <w:p w:rsidR="00CE732F" w:rsidRDefault="00CE732F" w:rsidP="00A70C23">
      <w:pPr>
        <w:jc w:val="center"/>
      </w:pPr>
      <w:r>
        <w:t>JULIE I. BROWN</w:t>
      </w:r>
      <w:r w:rsidRPr="00E46E1F">
        <w:t>, Chairman</w:t>
      </w:r>
    </w:p>
    <w:p w:rsidR="00CE732F" w:rsidRPr="00E46E1F" w:rsidRDefault="00CE732F" w:rsidP="00A70C23">
      <w:pPr>
        <w:jc w:val="center"/>
      </w:pPr>
      <w:r w:rsidRPr="00E46E1F">
        <w:t>LISA POLAK EDGAR</w:t>
      </w:r>
    </w:p>
    <w:p w:rsidR="00CE732F" w:rsidRDefault="00CE732F" w:rsidP="00A70C23">
      <w:pPr>
        <w:jc w:val="center"/>
      </w:pPr>
      <w:r>
        <w:t>ART GRAHAM</w:t>
      </w:r>
    </w:p>
    <w:p w:rsidR="00CE732F" w:rsidRDefault="00CE732F" w:rsidP="00A70C23">
      <w:pPr>
        <w:jc w:val="center"/>
      </w:pPr>
      <w:r>
        <w:t>RONALD A. BRISÉ</w:t>
      </w:r>
    </w:p>
    <w:p w:rsidR="00CE732F" w:rsidRDefault="00CE732F" w:rsidP="00A70C23">
      <w:pPr>
        <w:jc w:val="center"/>
      </w:pPr>
      <w:r>
        <w:t>JIMMY PATRONIS</w:t>
      </w:r>
    </w:p>
    <w:p w:rsidR="00CB5276" w:rsidRDefault="00CB5276" w:rsidP="00A70C23">
      <w:pPr>
        <w:pStyle w:val="OrderBody"/>
      </w:pPr>
    </w:p>
    <w:p w:rsidR="009E722D" w:rsidRDefault="00CE732F" w:rsidP="00A70C23">
      <w:pPr>
        <w:pStyle w:val="CenterUnderline"/>
      </w:pPr>
      <w:r>
        <w:t>ORDER</w:t>
      </w:r>
      <w:bookmarkStart w:id="4" w:name="OrderTitle"/>
      <w:r>
        <w:t xml:space="preserve"> </w:t>
      </w:r>
      <w:r w:rsidR="00BC4626">
        <w:t>SETTING MATTER FOR HEARING,</w:t>
      </w:r>
    </w:p>
    <w:p w:rsidR="009E722D" w:rsidRDefault="00873F36" w:rsidP="00A70C23">
      <w:pPr>
        <w:pStyle w:val="CenterUnderline"/>
      </w:pPr>
      <w:r>
        <w:t>DISPOSING OF PROCEDURAL</w:t>
      </w:r>
      <w:r w:rsidR="009E722D">
        <w:t xml:space="preserve"> MOTIONS</w:t>
      </w:r>
    </w:p>
    <w:p w:rsidR="00BC4626" w:rsidRDefault="009E722D" w:rsidP="00BC4626">
      <w:pPr>
        <w:pStyle w:val="CenterUnderline"/>
      </w:pPr>
      <w:r>
        <w:t>AND</w:t>
      </w:r>
    </w:p>
    <w:p w:rsidR="00CE732F" w:rsidRDefault="009E722D" w:rsidP="00BC4626">
      <w:pPr>
        <w:pStyle w:val="CenterUnderline"/>
      </w:pPr>
      <w:r>
        <w:t>APPROVING TEMPORARY RATES</w:t>
      </w:r>
      <w:r w:rsidR="00CE732F">
        <w:t xml:space="preserve"> </w:t>
      </w:r>
      <w:bookmarkEnd w:id="4"/>
    </w:p>
    <w:p w:rsidR="00CE732F" w:rsidRDefault="00CE732F" w:rsidP="00A70C23">
      <w:pPr>
        <w:pStyle w:val="CenterUnderline"/>
      </w:pPr>
    </w:p>
    <w:p w:rsidR="00CE732F" w:rsidRDefault="00CE732F" w:rsidP="00A70C23">
      <w:pPr>
        <w:pStyle w:val="OrderBody"/>
      </w:pPr>
      <w:r>
        <w:t>BY THE COMMISSION:</w:t>
      </w:r>
    </w:p>
    <w:p w:rsidR="00CB5276" w:rsidRDefault="00CB5276" w:rsidP="00A70C23">
      <w:pPr>
        <w:pStyle w:val="OrderBody"/>
      </w:pPr>
      <w:bookmarkStart w:id="5" w:name="OrderText"/>
      <w:bookmarkEnd w:id="5"/>
    </w:p>
    <w:p w:rsidR="00BC4626" w:rsidRDefault="00CE732F" w:rsidP="00A70C23">
      <w:pPr>
        <w:pStyle w:val="RecommendationMajorSectionHeading"/>
        <w:spacing w:after="0"/>
        <w:rPr>
          <w:rFonts w:ascii="Times New Roman" w:hAnsi="Times New Roman" w:cs="Times New Roman"/>
          <w:b w:val="0"/>
          <w:u w:val="single"/>
        </w:rPr>
      </w:pPr>
      <w:bookmarkStart w:id="6" w:name="CaseBackground"/>
      <w:r w:rsidRPr="009E722D">
        <w:rPr>
          <w:rFonts w:ascii="Times New Roman" w:hAnsi="Times New Roman" w:cs="Times New Roman"/>
          <w:b w:val="0"/>
          <w:u w:val="single"/>
        </w:rPr>
        <w:t>Background</w:t>
      </w:r>
    </w:p>
    <w:p w:rsidR="00CE732F" w:rsidRPr="009E722D" w:rsidRDefault="00CE732F" w:rsidP="00A70C23">
      <w:pPr>
        <w:pStyle w:val="RecommendationMajorSectionHeading"/>
        <w:spacing w:after="0"/>
        <w:rPr>
          <w:rFonts w:ascii="Times New Roman" w:hAnsi="Times New Roman" w:cs="Times New Roman"/>
          <w:b w:val="0"/>
          <w:u w:val="single"/>
        </w:rPr>
      </w:pPr>
      <w:r w:rsidRPr="009E722D">
        <w:rPr>
          <w:rFonts w:ascii="Times New Roman" w:hAnsi="Times New Roman" w:cs="Times New Roman"/>
          <w:b w:val="0"/>
          <w:u w:val="single"/>
        </w:rPr>
        <w:fldChar w:fldCharType="begin"/>
      </w:r>
      <w:r w:rsidRPr="009E722D">
        <w:rPr>
          <w:rFonts w:ascii="Times New Roman" w:hAnsi="Times New Roman" w:cs="Times New Roman"/>
          <w:b w:val="0"/>
          <w:u w:val="single"/>
        </w:rPr>
        <w:instrText xml:space="preserve"> TC  "</w:instrText>
      </w:r>
      <w:r w:rsidRPr="009E722D">
        <w:rPr>
          <w:rFonts w:ascii="Times New Roman" w:hAnsi="Times New Roman" w:cs="Times New Roman"/>
          <w:b w:val="0"/>
          <w:u w:val="single"/>
        </w:rPr>
        <w:tab/>
      </w:r>
      <w:bookmarkStart w:id="7" w:name="_Toc94516455"/>
      <w:r w:rsidRPr="009E722D">
        <w:rPr>
          <w:rFonts w:ascii="Times New Roman" w:hAnsi="Times New Roman" w:cs="Times New Roman"/>
          <w:b w:val="0"/>
          <w:u w:val="single"/>
        </w:rPr>
        <w:instrText>Case Background</w:instrText>
      </w:r>
      <w:bookmarkEnd w:id="7"/>
      <w:r w:rsidRPr="009E722D">
        <w:rPr>
          <w:rFonts w:ascii="Times New Roman" w:hAnsi="Times New Roman" w:cs="Times New Roman"/>
          <w:b w:val="0"/>
          <w:u w:val="single"/>
        </w:rPr>
        <w:instrText xml:space="preserve">" \l 1 </w:instrText>
      </w:r>
      <w:r w:rsidRPr="009E722D">
        <w:rPr>
          <w:rFonts w:ascii="Times New Roman" w:hAnsi="Times New Roman" w:cs="Times New Roman"/>
          <w:b w:val="0"/>
          <w:u w:val="single"/>
        </w:rPr>
        <w:fldChar w:fldCharType="end"/>
      </w:r>
    </w:p>
    <w:p w:rsidR="00CE732F" w:rsidRDefault="00CE732F" w:rsidP="00A70C23">
      <w:pPr>
        <w:ind w:firstLine="720"/>
        <w:jc w:val="both"/>
      </w:pPr>
      <w:r w:rsidRPr="00CA6525">
        <w:t>On July 22, 2016, Florida City Gas (</w:t>
      </w:r>
      <w:r>
        <w:t xml:space="preserve">FCG or </w:t>
      </w:r>
      <w:r w:rsidRPr="00CA6525">
        <w:t xml:space="preserve">City Gas) filed a </w:t>
      </w:r>
      <w:r>
        <w:t>P</w:t>
      </w:r>
      <w:r w:rsidRPr="00CA6525">
        <w:t xml:space="preserve">etition for </w:t>
      </w:r>
      <w:r>
        <w:t>R</w:t>
      </w:r>
      <w:r w:rsidRPr="00CA6525">
        <w:t xml:space="preserve">eview and </w:t>
      </w:r>
      <w:r>
        <w:t>D</w:t>
      </w:r>
      <w:r w:rsidRPr="00CA6525">
        <w:t xml:space="preserve">etermination on the </w:t>
      </w:r>
      <w:r>
        <w:t>“P</w:t>
      </w:r>
      <w:r w:rsidRPr="00CA6525">
        <w:t xml:space="preserve">roject </w:t>
      </w:r>
      <w:r>
        <w:t>C</w:t>
      </w:r>
      <w:r w:rsidRPr="00CA6525">
        <w:t xml:space="preserve">onstruction and </w:t>
      </w:r>
      <w:r>
        <w:t>G</w:t>
      </w:r>
      <w:r w:rsidRPr="00CA6525">
        <w:t xml:space="preserve">as </w:t>
      </w:r>
      <w:r>
        <w:t>T</w:t>
      </w:r>
      <w:r w:rsidRPr="00CA6525">
        <w:t xml:space="preserve">ransportation </w:t>
      </w:r>
      <w:r>
        <w:t>A</w:t>
      </w:r>
      <w:r w:rsidRPr="00CA6525">
        <w:t>greement (GTA) between NUI Utilities, Inc. d/b/a City Gas Company of Florida and Florida Crystals Corporation dated April 24, 2001</w:t>
      </w:r>
      <w:r>
        <w:t>”</w:t>
      </w:r>
      <w:r w:rsidRPr="00CA6525">
        <w:t xml:space="preserve"> and </w:t>
      </w:r>
      <w:r>
        <w:t>A</w:t>
      </w:r>
      <w:r w:rsidRPr="00CA6525">
        <w:t xml:space="preserve">pproval of an </w:t>
      </w:r>
      <w:r>
        <w:t>I</w:t>
      </w:r>
      <w:r w:rsidRPr="00CA6525">
        <w:t xml:space="preserve">nterim </w:t>
      </w:r>
      <w:r>
        <w:t>S</w:t>
      </w:r>
      <w:r w:rsidRPr="00CA6525">
        <w:t xml:space="preserve">ervice </w:t>
      </w:r>
      <w:r>
        <w:t>A</w:t>
      </w:r>
      <w:r w:rsidRPr="00CA6525">
        <w:t>rrangement. City Gas is a</w:t>
      </w:r>
      <w:r>
        <w:t>n investor-owned</w:t>
      </w:r>
      <w:r w:rsidRPr="00CA6525">
        <w:t xml:space="preserve"> natural gas utility subject to </w:t>
      </w:r>
      <w:r w:rsidR="00BE6D2F">
        <w:t>this</w:t>
      </w:r>
      <w:r>
        <w:t xml:space="preserve"> </w:t>
      </w:r>
      <w:r w:rsidRPr="00CA6525">
        <w:t>Commission’s jurisdiction per Section 366.02(1), Florida Statutes</w:t>
      </w:r>
      <w:r>
        <w:t xml:space="preserve"> (F.S.)</w:t>
      </w:r>
      <w:r w:rsidRPr="00CA6525">
        <w:t>. Florida Crystals Corporation (</w:t>
      </w:r>
      <w:r>
        <w:t xml:space="preserve">Florida </w:t>
      </w:r>
      <w:r w:rsidRPr="00CA6525">
        <w:t>Crystals</w:t>
      </w:r>
      <w:r>
        <w:t xml:space="preserve"> or Crystals</w:t>
      </w:r>
      <w:r w:rsidRPr="00CA6525">
        <w:t>) is a national sugar manufacturer.</w:t>
      </w:r>
      <w:r>
        <w:t xml:space="preserve"> </w:t>
      </w:r>
    </w:p>
    <w:p w:rsidR="00CE732F" w:rsidRDefault="00CE732F" w:rsidP="00A70C23">
      <w:pPr>
        <w:jc w:val="both"/>
      </w:pPr>
    </w:p>
    <w:p w:rsidR="00CE732F" w:rsidRDefault="00CE732F" w:rsidP="00A70C23">
      <w:pPr>
        <w:ind w:firstLine="720"/>
        <w:jc w:val="both"/>
      </w:pPr>
      <w:r w:rsidRPr="00CA6525">
        <w:t>The GTA was executed</w:t>
      </w:r>
      <w:r>
        <w:t xml:space="preserve"> by</w:t>
      </w:r>
      <w:r w:rsidRPr="00CA6525">
        <w:t xml:space="preserve"> City Gas and </w:t>
      </w:r>
      <w:r>
        <w:t xml:space="preserve">Florida </w:t>
      </w:r>
      <w:r w:rsidRPr="00CA6525">
        <w:t>Crystals on April 24, 2001</w:t>
      </w:r>
      <w:r>
        <w:t>, and</w:t>
      </w:r>
      <w:r w:rsidRPr="00CA6525">
        <w:t xml:space="preserve"> </w:t>
      </w:r>
      <w:r>
        <w:t xml:space="preserve">has </w:t>
      </w:r>
      <w:r w:rsidRPr="00CA6525">
        <w:t>a 30-year term.</w:t>
      </w:r>
      <w:r>
        <w:t xml:space="preserve"> However, City Gas never submitted the GTA for </w:t>
      </w:r>
      <w:r w:rsidR="002E75C5">
        <w:t xml:space="preserve">this </w:t>
      </w:r>
      <w:r>
        <w:t>Commission</w:t>
      </w:r>
      <w:r w:rsidR="002E75C5">
        <w:t>’s</w:t>
      </w:r>
      <w:r>
        <w:t xml:space="preserve"> review and approval. </w:t>
      </w:r>
      <w:r w:rsidRPr="00CA6525">
        <w:t>The purpose of the GTA was for City Gas to construct, own</w:t>
      </w:r>
      <w:r>
        <w:t>,</w:t>
      </w:r>
      <w:r w:rsidRPr="00CA6525">
        <w:t xml:space="preserve"> and operate a lateral pipeline from its transmission network to the Okeelanta Plant of </w:t>
      </w:r>
      <w:r>
        <w:t xml:space="preserve">Florida </w:t>
      </w:r>
      <w:r w:rsidRPr="00CA6525">
        <w:t>Crystals and provide natural gas transportation service</w:t>
      </w:r>
      <w:r>
        <w:t xml:space="preserve"> to Florida Crystals</w:t>
      </w:r>
      <w:r w:rsidRPr="00CA6525">
        <w:t>.</w:t>
      </w:r>
      <w:r>
        <w:t xml:space="preserve"> Florida Crystals began taking transportation service pursuant to the GTA in January 2002 and both parties have abided by the terms and negotiated rates of the GTA since its execution. The GTA contains a </w:t>
      </w:r>
      <w:r w:rsidRPr="00824958">
        <w:t xml:space="preserve">Primary Term, </w:t>
      </w:r>
      <w:r>
        <w:t xml:space="preserve">a </w:t>
      </w:r>
      <w:r w:rsidRPr="00824958">
        <w:t xml:space="preserve">Make-Up Period, and </w:t>
      </w:r>
      <w:r>
        <w:t xml:space="preserve">an </w:t>
      </w:r>
      <w:r w:rsidRPr="00824958">
        <w:t>Extended Term.</w:t>
      </w:r>
      <w:r>
        <w:t xml:space="preserve"> The rates of the Extended Term </w:t>
      </w:r>
      <w:r w:rsidRPr="00824958">
        <w:t xml:space="preserve">differ from the rates applicable during the </w:t>
      </w:r>
      <w:r>
        <w:t>prior t</w:t>
      </w:r>
      <w:r w:rsidR="00BE6D2F">
        <w:t>wo terms. City Gas stated</w:t>
      </w:r>
      <w:r>
        <w:t xml:space="preserve"> that the Extended Term of the GTA will commence in Jan</w:t>
      </w:r>
      <w:r w:rsidR="00BE6D2F">
        <w:t>uary 2017 and its analysis showed</w:t>
      </w:r>
      <w:r>
        <w:t xml:space="preserve"> that for the next 15 years of the Extended </w:t>
      </w:r>
      <w:r>
        <w:lastRenderedPageBreak/>
        <w:t>Term the cost to serve Florida Crystals will substantially exceed projected revenues, and therefore the revenue shortfall to City Gas will be very significant.</w:t>
      </w:r>
    </w:p>
    <w:p w:rsidR="00CE732F" w:rsidRDefault="00CE732F" w:rsidP="00A70C23">
      <w:pPr>
        <w:jc w:val="both"/>
      </w:pPr>
    </w:p>
    <w:p w:rsidR="00CE732F" w:rsidRDefault="00BE6D2F" w:rsidP="00A70C23">
      <w:pPr>
        <w:ind w:firstLine="720"/>
        <w:jc w:val="both"/>
      </w:pPr>
      <w:r>
        <w:t>City Gas in its petition requested</w:t>
      </w:r>
      <w:r w:rsidR="00CE732F" w:rsidRPr="00CA6525">
        <w:t xml:space="preserve"> </w:t>
      </w:r>
      <w:r>
        <w:t>that this</w:t>
      </w:r>
      <w:r w:rsidR="00CE732F" w:rsidRPr="00CA6525">
        <w:t xml:space="preserve"> Commission </w:t>
      </w:r>
      <w:r w:rsidR="00CE732F">
        <w:t>take the following actions: (1) d</w:t>
      </w:r>
      <w:r w:rsidR="00CE732F" w:rsidRPr="00CA6525">
        <w:t>etermin</w:t>
      </w:r>
      <w:r w:rsidR="00CE732F">
        <w:t>e</w:t>
      </w:r>
      <w:r w:rsidR="00CE732F" w:rsidRPr="00CA6525">
        <w:t xml:space="preserve"> that the GTA is not a legally effective</w:t>
      </w:r>
      <w:r w:rsidR="00CE732F">
        <w:t xml:space="preserve"> and</w:t>
      </w:r>
      <w:r w:rsidR="00CE732F" w:rsidRPr="00CA6525">
        <w:t xml:space="preserve"> </w:t>
      </w:r>
      <w:r w:rsidR="00CE732F">
        <w:t>enforceable</w:t>
      </w:r>
      <w:r w:rsidR="00CE732F" w:rsidRPr="00CA6525">
        <w:t xml:space="preserve"> special contract under Florida law because the GTA was </w:t>
      </w:r>
      <w:r w:rsidR="00CE732F">
        <w:t>never</w:t>
      </w:r>
      <w:r>
        <w:t xml:space="preserve"> submitted to this</w:t>
      </w:r>
      <w:r w:rsidR="00CE732F" w:rsidRPr="00CA6525">
        <w:t xml:space="preserve"> Commission for its review or approval</w:t>
      </w:r>
      <w:r w:rsidR="00CE732F">
        <w:t xml:space="preserve"> and the terms of t</w:t>
      </w:r>
      <w:r>
        <w:t>he Extended Term do not meet this</w:t>
      </w:r>
      <w:r w:rsidR="00CE732F">
        <w:t xml:space="preserve"> Commission’s rules and City Gas’s tariff requ</w:t>
      </w:r>
      <w:r>
        <w:t>irements for a special contract;</w:t>
      </w:r>
      <w:r w:rsidR="00CE732F">
        <w:t xml:space="preserve"> (2)</w:t>
      </w:r>
      <w:r w:rsidR="00CE732F" w:rsidRPr="00CA6525">
        <w:t xml:space="preserve"> </w:t>
      </w:r>
      <w:r w:rsidR="00CE732F">
        <w:t>a</w:t>
      </w:r>
      <w:r w:rsidR="00CE732F" w:rsidRPr="00CA6525">
        <w:t>pprov</w:t>
      </w:r>
      <w:r w:rsidR="00CE732F">
        <w:t>e</w:t>
      </w:r>
      <w:r w:rsidR="00CE732F" w:rsidRPr="00CA6525">
        <w:t xml:space="preserve"> an interim service arrangement </w:t>
      </w:r>
      <w:r w:rsidR="00CE732F">
        <w:t xml:space="preserve">until </w:t>
      </w:r>
      <w:r w:rsidR="005C4C7E">
        <w:t>this</w:t>
      </w:r>
      <w:r w:rsidR="00CE732F">
        <w:t xml:space="preserve"> Commission approves a new agreement</w:t>
      </w:r>
      <w:r>
        <w:t xml:space="preserve"> that complies with Florida law;</w:t>
      </w:r>
      <w:r w:rsidR="00CE732F">
        <w:t xml:space="preserve"> and (3) take no further action with respect to City Gas’s past perf</w:t>
      </w:r>
      <w:r>
        <w:t>ormance under the GTA unless this</w:t>
      </w:r>
      <w:r w:rsidR="00CE732F">
        <w:t xml:space="preserve"> Commission determines that such action is required, but in no event is a fine or other penalty appropriate</w:t>
      </w:r>
      <w:r w:rsidR="00CE732F" w:rsidRPr="00CA6525">
        <w:t xml:space="preserve">. </w:t>
      </w:r>
    </w:p>
    <w:p w:rsidR="00CE732F" w:rsidRPr="00CA6525" w:rsidRDefault="00CE732F" w:rsidP="00A70C23">
      <w:pPr>
        <w:jc w:val="both"/>
      </w:pPr>
    </w:p>
    <w:p w:rsidR="00CE732F" w:rsidRDefault="00CE732F" w:rsidP="00A70C23">
      <w:pPr>
        <w:ind w:firstLine="720"/>
        <w:jc w:val="both"/>
      </w:pPr>
      <w:r w:rsidRPr="00CA6525">
        <w:t>City Gas</w:t>
      </w:r>
      <w:r>
        <w:t xml:space="preserve"> further</w:t>
      </w:r>
      <w:r w:rsidR="00BE6D2F">
        <w:t xml:space="preserve"> asserted</w:t>
      </w:r>
      <w:r>
        <w:t xml:space="preserve"> in its petition</w:t>
      </w:r>
      <w:r w:rsidRPr="00CA6525">
        <w:t xml:space="preserve"> that in the absence of an approved special contract, beginning January 1, 2017, City Gas, as required by law, will have to charge Crystals the applicable tariff rate (GS-1,250k </w:t>
      </w:r>
      <w:r>
        <w:t>rate s</w:t>
      </w:r>
      <w:r w:rsidRPr="00CA6525">
        <w:t>chedule), which is much higher than the negotiated GTA rate. Therefore, FCG is requesting an interim service arrangement as presen</w:t>
      </w:r>
      <w:r w:rsidR="00D86D7D">
        <w:t>ted in the petition which would</w:t>
      </w:r>
      <w:r w:rsidRPr="00CA6525">
        <w:t xml:space="preserve"> remain in effect until th</w:t>
      </w:r>
      <w:r w:rsidR="00BE6D2F">
        <w:t>is</w:t>
      </w:r>
      <w:r w:rsidRPr="00CA6525">
        <w:t xml:space="preserve"> Commission approves a successor GTA.</w:t>
      </w:r>
    </w:p>
    <w:p w:rsidR="00CE732F" w:rsidRPr="00CA6525" w:rsidRDefault="00CE732F" w:rsidP="00A70C23">
      <w:pPr>
        <w:jc w:val="both"/>
      </w:pPr>
    </w:p>
    <w:p w:rsidR="00CE732F" w:rsidRDefault="00CE732F" w:rsidP="00BC4626">
      <w:pPr>
        <w:ind w:firstLine="720"/>
        <w:jc w:val="both"/>
      </w:pPr>
      <w:r w:rsidRPr="00CA6525">
        <w:t xml:space="preserve">On August 5, 2016, </w:t>
      </w:r>
      <w:r>
        <w:t xml:space="preserve">Florida </w:t>
      </w:r>
      <w:r w:rsidRPr="00CA6525">
        <w:t xml:space="preserve">Crystals filed </w:t>
      </w:r>
      <w:r>
        <w:t>a</w:t>
      </w:r>
      <w:r w:rsidRPr="00CA6525">
        <w:t xml:space="preserve"> </w:t>
      </w:r>
      <w:r>
        <w:t>M</w:t>
      </w:r>
      <w:r w:rsidRPr="00CA6525">
        <w:t xml:space="preserve">otion to be </w:t>
      </w:r>
      <w:r>
        <w:t>D</w:t>
      </w:r>
      <w:r w:rsidRPr="00CA6525">
        <w:t xml:space="preserve">esignated a </w:t>
      </w:r>
      <w:r>
        <w:t>P</w:t>
      </w:r>
      <w:r w:rsidRPr="00CA6525">
        <w:t>arty</w:t>
      </w:r>
      <w:r>
        <w:t>,</w:t>
      </w:r>
      <w:r w:rsidRPr="00CA6525">
        <w:t xml:space="preserve"> or in the alternative</w:t>
      </w:r>
      <w:r>
        <w:t>, a Motion</w:t>
      </w:r>
      <w:r w:rsidRPr="00CA6525">
        <w:t xml:space="preserve"> to </w:t>
      </w:r>
      <w:r>
        <w:t>I</w:t>
      </w:r>
      <w:r w:rsidRPr="00CA6525">
        <w:t>ntervene.</w:t>
      </w:r>
      <w:r>
        <w:t xml:space="preserve"> </w:t>
      </w:r>
      <w:r w:rsidRPr="00CA6525">
        <w:t xml:space="preserve">On August 29, 2016, Crystals filed a </w:t>
      </w:r>
      <w:r>
        <w:t>M</w:t>
      </w:r>
      <w:r w:rsidRPr="00CA6525">
        <w:t xml:space="preserve">otion to </w:t>
      </w:r>
      <w:r>
        <w:t>D</w:t>
      </w:r>
      <w:r w:rsidRPr="00CA6525">
        <w:t xml:space="preserve">ismiss City Gas’s petition. The </w:t>
      </w:r>
      <w:r w:rsidR="00BE6D2F">
        <w:t>reasons asserted by Crystals were</w:t>
      </w:r>
      <w:r w:rsidRPr="00CA6525">
        <w:t xml:space="preserve">: (1) the GTA is </w:t>
      </w:r>
      <w:r>
        <w:t xml:space="preserve">a </w:t>
      </w:r>
      <w:r w:rsidRPr="00CA6525">
        <w:t xml:space="preserve">valid </w:t>
      </w:r>
      <w:r>
        <w:t xml:space="preserve">contract and did not require filing </w:t>
      </w:r>
      <w:r w:rsidRPr="00CA6525">
        <w:t xml:space="preserve">because it </w:t>
      </w:r>
      <w:r>
        <w:t>wa</w:t>
      </w:r>
      <w:r w:rsidRPr="00CA6525">
        <w:t>s covered by</w:t>
      </w:r>
      <w:r>
        <w:t xml:space="preserve"> and complied with City Gas’s applicable tariffs,</w:t>
      </w:r>
      <w:r w:rsidRPr="00CA6525">
        <w:t xml:space="preserve"> </w:t>
      </w:r>
      <w:r>
        <w:t>specifically the</w:t>
      </w:r>
      <w:r w:rsidRPr="00CA6525">
        <w:t xml:space="preserve"> KTS </w:t>
      </w:r>
      <w:r>
        <w:t>r</w:t>
      </w:r>
      <w:r w:rsidRPr="00CA6525">
        <w:t xml:space="preserve">ate </w:t>
      </w:r>
      <w:r>
        <w:t>s</w:t>
      </w:r>
      <w:r w:rsidR="00BE6D2F">
        <w:t>chedule;</w:t>
      </w:r>
      <w:r w:rsidRPr="00CA6525">
        <w:t xml:space="preserve"> (2) City Gas </w:t>
      </w:r>
      <w:r w:rsidR="005C4C7E">
        <w:t>informed this</w:t>
      </w:r>
      <w:r>
        <w:t xml:space="preserve"> Commission of</w:t>
      </w:r>
      <w:r w:rsidRPr="00CA6525">
        <w:t xml:space="preserve"> the GTA in its 2003 rate case</w:t>
      </w:r>
      <w:r>
        <w:t xml:space="preserve"> and stated in expert testimony that the negotiated rate with Crystals recovers its costs to provide service</w:t>
      </w:r>
      <w:r w:rsidR="00BE6D2F">
        <w:t>;</w:t>
      </w:r>
      <w:r w:rsidRPr="00CA6525">
        <w:t xml:space="preserve"> (3) </w:t>
      </w:r>
      <w:r w:rsidR="00BE6D2F">
        <w:t>any attempt to reverse this</w:t>
      </w:r>
      <w:r>
        <w:t xml:space="preserve"> Commission’s approval of the GTA rates as supported by City Gas’s expert witness</w:t>
      </w:r>
      <w:r w:rsidRPr="00CA6525">
        <w:t xml:space="preserve"> is barred</w:t>
      </w:r>
      <w:r w:rsidR="00BE6D2F">
        <w:t xml:space="preserve"> by administrative finality;</w:t>
      </w:r>
      <w:r w:rsidRPr="00CA6525">
        <w:t xml:space="preserve"> (4) </w:t>
      </w:r>
      <w:r w:rsidR="00BE6D2F">
        <w:t xml:space="preserve">the </w:t>
      </w:r>
      <w:r w:rsidRPr="00CA6525">
        <w:t>GTA provides for rates that are fully compliant with City Gas’s tariff,</w:t>
      </w:r>
      <w:r>
        <w:t xml:space="preserve"> specifically with the KDS rate schedule (the succ</w:t>
      </w:r>
      <w:r w:rsidR="00BE6D2F">
        <w:t>essor to the KTS rate schedule);</w:t>
      </w:r>
      <w:r w:rsidRPr="00CA6525">
        <w:t xml:space="preserve"> (5) only Florida courts can determine the validity of a contract</w:t>
      </w:r>
      <w:r w:rsidR="00BE6D2F">
        <w:t xml:space="preserve"> and this</w:t>
      </w:r>
      <w:r>
        <w:t xml:space="preserve"> Commission lacks the jurisdiction to grant City Gas’s requested relief of determining that the GTA is not legally effective</w:t>
      </w:r>
      <w:r w:rsidR="00BE6D2F">
        <w:t>;</w:t>
      </w:r>
      <w:r w:rsidR="00553428">
        <w:t xml:space="preserve"> (6) City Gas violated it</w:t>
      </w:r>
      <w:r w:rsidRPr="00CA6525">
        <w:t xml:space="preserve">s own tariff and </w:t>
      </w:r>
      <w:r>
        <w:t xml:space="preserve">Rule 25-9.034, Florida Administrative </w:t>
      </w:r>
      <w:r w:rsidR="00BE6D2F">
        <w:t>Code (F.A.C.), and then asks this</w:t>
      </w:r>
      <w:r>
        <w:t xml:space="preserve"> Commission to allow City Gas’s own failures to enable City Gas to es</w:t>
      </w:r>
      <w:r w:rsidR="00BE6D2F">
        <w:t>cape its contractual obligation;</w:t>
      </w:r>
      <w:r w:rsidRPr="00CA6525">
        <w:t xml:space="preserve"> and (7) City Gas’s claim that its other customers could be harmed if </w:t>
      </w:r>
      <w:r>
        <w:t xml:space="preserve">City Gas does not recover higher amounts from Crystals is not an issue in this proceeding as City Gas has not pleaded that it requires relief to earn an adequate return. </w:t>
      </w:r>
      <w:r w:rsidRPr="00CA6525">
        <w:t xml:space="preserve">On August 29, 2016, </w:t>
      </w:r>
      <w:r>
        <w:t xml:space="preserve">Florida </w:t>
      </w:r>
      <w:r w:rsidRPr="00CA6525">
        <w:t xml:space="preserve">Crystals requested oral argument on its </w:t>
      </w:r>
      <w:r>
        <w:t>M</w:t>
      </w:r>
      <w:r w:rsidRPr="00CA6525">
        <w:t xml:space="preserve">otion to </w:t>
      </w:r>
      <w:r>
        <w:t>D</w:t>
      </w:r>
      <w:r w:rsidRPr="00CA6525">
        <w:t xml:space="preserve">ismiss </w:t>
      </w:r>
      <w:r>
        <w:t>City Gas’</w:t>
      </w:r>
      <w:r w:rsidRPr="00CA6525">
        <w:t>s petition.</w:t>
      </w:r>
      <w:r>
        <w:t xml:space="preserve"> </w:t>
      </w:r>
    </w:p>
    <w:p w:rsidR="00CE732F" w:rsidRPr="00CA6525" w:rsidRDefault="00CE732F" w:rsidP="00A70C23">
      <w:pPr>
        <w:jc w:val="both"/>
      </w:pPr>
    </w:p>
    <w:p w:rsidR="00CE732F" w:rsidRDefault="00CE732F" w:rsidP="00A70C23">
      <w:pPr>
        <w:ind w:firstLine="720"/>
        <w:jc w:val="both"/>
      </w:pPr>
      <w:r w:rsidRPr="00CA6525">
        <w:t xml:space="preserve">On August 31, 2016, City Gas filed a </w:t>
      </w:r>
      <w:r>
        <w:t>M</w:t>
      </w:r>
      <w:r w:rsidRPr="00CA6525">
        <w:t xml:space="preserve">otion for </w:t>
      </w:r>
      <w:r>
        <w:t>A</w:t>
      </w:r>
      <w:r w:rsidRPr="00CA6525">
        <w:t xml:space="preserve">pproval of a </w:t>
      </w:r>
      <w:r>
        <w:t>T</w:t>
      </w:r>
      <w:r w:rsidRPr="00CA6525">
        <w:t xml:space="preserve">emporary </w:t>
      </w:r>
      <w:r>
        <w:t>I</w:t>
      </w:r>
      <w:r w:rsidRPr="00CA6525">
        <w:t xml:space="preserve">nterim </w:t>
      </w:r>
      <w:r>
        <w:t>S</w:t>
      </w:r>
      <w:r w:rsidRPr="00CA6525">
        <w:t xml:space="preserve">ervice </w:t>
      </w:r>
      <w:r>
        <w:t>A</w:t>
      </w:r>
      <w:r w:rsidRPr="00CA6525">
        <w:t xml:space="preserve">rrangement, including the rates presented in </w:t>
      </w:r>
      <w:r>
        <w:t>C</w:t>
      </w:r>
      <w:r w:rsidRPr="00CA6525">
        <w:t>onfidential Exhibit No. 3</w:t>
      </w:r>
      <w:r w:rsidR="00647F5A">
        <w:t xml:space="preserve"> of City Gas’s petition</w:t>
      </w:r>
      <w:r w:rsidRPr="00CA6525">
        <w:t>.</w:t>
      </w:r>
      <w:r w:rsidR="00BE6D2F">
        <w:t xml:space="preserve"> City Gas asserted: (1) s</w:t>
      </w:r>
      <w:r w:rsidRPr="00CA6525">
        <w:t>uch temporary interim service arrangement w</w:t>
      </w:r>
      <w:r>
        <w:t>ould</w:t>
      </w:r>
      <w:r w:rsidRPr="00CA6525">
        <w:t xml:space="preserve"> remain in</w:t>
      </w:r>
      <w:r w:rsidR="00BE6D2F">
        <w:t xml:space="preserve"> effect until this</w:t>
      </w:r>
      <w:r w:rsidRPr="00CA6525">
        <w:t xml:space="preserve"> Commission issues a fi</w:t>
      </w:r>
      <w:r w:rsidR="00BE6D2F">
        <w:t>nal order in this docket, or this</w:t>
      </w:r>
      <w:r w:rsidRPr="00CA6525">
        <w:t xml:space="preserve"> Commission issues a successor </w:t>
      </w:r>
      <w:r w:rsidR="00BE6D2F">
        <w:t>transportation arrangement; and (2) if this</w:t>
      </w:r>
      <w:r w:rsidRPr="00CA6525">
        <w:t xml:space="preserve"> Commission does not approve the interim service arrangement or approve a successor program, City Gas, as required by law w</w:t>
      </w:r>
      <w:r>
        <w:t>ould</w:t>
      </w:r>
      <w:r w:rsidRPr="00CA6525">
        <w:t xml:space="preserve"> charge Crystals the applicable tariff rate</w:t>
      </w:r>
      <w:r>
        <w:t xml:space="preserve"> (rate schedule</w:t>
      </w:r>
      <w:r w:rsidRPr="00FE3AD5">
        <w:t xml:space="preserve"> </w:t>
      </w:r>
      <w:r w:rsidR="001840CD">
        <w:t>GS-</w:t>
      </w:r>
      <w:r w:rsidRPr="00CA6525">
        <w:t>1,250k</w:t>
      </w:r>
      <w:r>
        <w:t>)</w:t>
      </w:r>
      <w:r w:rsidRPr="00CA6525">
        <w:t xml:space="preserve"> effective January 1, 2017. </w:t>
      </w:r>
    </w:p>
    <w:p w:rsidR="00CE732F" w:rsidRPr="00CA6525" w:rsidRDefault="00CE732F" w:rsidP="00A70C23">
      <w:pPr>
        <w:jc w:val="both"/>
      </w:pPr>
    </w:p>
    <w:p w:rsidR="00CE732F" w:rsidRDefault="00BC4626" w:rsidP="00BC4626">
      <w:pPr>
        <w:ind w:firstLine="720"/>
        <w:jc w:val="both"/>
      </w:pPr>
      <w:r w:rsidRPr="00CA6525">
        <w:lastRenderedPageBreak/>
        <w:t>On Septem</w:t>
      </w:r>
      <w:r>
        <w:t>ber 19, 2016, Crystals filed a Response in Opposition to the Motion for Approval of a Temporary Interim S</w:t>
      </w:r>
      <w:r w:rsidRPr="00CA6525">
        <w:t>erv</w:t>
      </w:r>
      <w:r>
        <w:t>ice Arrangement. Crystals stated</w:t>
      </w:r>
      <w:r w:rsidRPr="00CA6525">
        <w:t xml:space="preserve"> that</w:t>
      </w:r>
      <w:r>
        <w:t>: (1)</w:t>
      </w:r>
      <w:r w:rsidRPr="00CA6525">
        <w:t xml:space="preserve"> City Gas’s entire case is predicated on the</w:t>
      </w:r>
      <w:r>
        <w:t xml:space="preserve"> basis that the GTA is invalid; (2)</w:t>
      </w:r>
      <w:r w:rsidRPr="00CA6525">
        <w:t xml:space="preserve"> </w:t>
      </w:r>
      <w:r>
        <w:t xml:space="preserve">City Gas </w:t>
      </w:r>
      <w:r w:rsidRPr="00CA6525">
        <w:t xml:space="preserve">is trying to extract more money from Crystals which has paid in excess </w:t>
      </w:r>
      <w:r>
        <w:t>of the cost to serve;</w:t>
      </w:r>
      <w:r w:rsidRPr="00CA6525">
        <w:t xml:space="preserve"> and </w:t>
      </w:r>
      <w:r>
        <w:t xml:space="preserve">(3) </w:t>
      </w:r>
      <w:r w:rsidRPr="00CA6525">
        <w:t>City Gas is evading its obligations pursuant to the GTA.</w:t>
      </w:r>
      <w:r>
        <w:t xml:space="preserve"> Also, o</w:t>
      </w:r>
      <w:r w:rsidR="00CE732F" w:rsidRPr="00CA6525">
        <w:t xml:space="preserve">n September 19, 2016, Crystals filed a </w:t>
      </w:r>
      <w:r w:rsidR="00CE732F">
        <w:t>R</w:t>
      </w:r>
      <w:r w:rsidR="00CE732F" w:rsidRPr="00CA6525">
        <w:t xml:space="preserve">equest for </w:t>
      </w:r>
      <w:r w:rsidR="00CE732F">
        <w:t>O</w:t>
      </w:r>
      <w:r w:rsidR="00CE732F" w:rsidRPr="00CA6525">
        <w:t xml:space="preserve">ral </w:t>
      </w:r>
      <w:r w:rsidR="00CE732F">
        <w:t>A</w:t>
      </w:r>
      <w:r w:rsidR="00CE732F" w:rsidRPr="00CA6525">
        <w:t xml:space="preserve">rgument </w:t>
      </w:r>
      <w:r w:rsidR="00405273">
        <w:t>on its Response in O</w:t>
      </w:r>
      <w:r w:rsidR="00CE732F">
        <w:t>pposition to the Motion for Approval of a Temporary Interim Service Arrangement</w:t>
      </w:r>
      <w:r w:rsidR="00CE732F" w:rsidRPr="00CA6525">
        <w:t>.</w:t>
      </w:r>
    </w:p>
    <w:p w:rsidR="00CE732F" w:rsidRPr="00CA6525" w:rsidRDefault="00CE732F" w:rsidP="00A70C23">
      <w:pPr>
        <w:jc w:val="both"/>
      </w:pPr>
    </w:p>
    <w:p w:rsidR="00CE732F" w:rsidRDefault="00CE732F" w:rsidP="00A70C23">
      <w:pPr>
        <w:ind w:firstLine="720"/>
        <w:jc w:val="both"/>
      </w:pPr>
      <w:r w:rsidRPr="00CA6525">
        <w:t>On Septem</w:t>
      </w:r>
      <w:r w:rsidR="00534173">
        <w:t>ber 19, 2016, City Gas filed a Response in O</w:t>
      </w:r>
      <w:r w:rsidRPr="00CA6525">
        <w:t>pposition to Crystals</w:t>
      </w:r>
      <w:r>
        <w:t>’</w:t>
      </w:r>
      <w:r w:rsidRPr="00CA6525">
        <w:t xml:space="preserve"> </w:t>
      </w:r>
      <w:r>
        <w:t>M</w:t>
      </w:r>
      <w:r w:rsidRPr="00CA6525">
        <w:t xml:space="preserve">otion to </w:t>
      </w:r>
      <w:r>
        <w:t>D</w:t>
      </w:r>
      <w:r w:rsidRPr="00CA6525">
        <w:t xml:space="preserve">ismiss City Gas’s </w:t>
      </w:r>
      <w:r w:rsidR="006162A8">
        <w:t>petition. City Gas requested this</w:t>
      </w:r>
      <w:r w:rsidRPr="00CA6525">
        <w:t xml:space="preserve"> Commission deny Crystals</w:t>
      </w:r>
      <w:r>
        <w:t>’</w:t>
      </w:r>
      <w:r w:rsidRPr="00CA6525">
        <w:t xml:space="preserve"> </w:t>
      </w:r>
      <w:r>
        <w:t>M</w:t>
      </w:r>
      <w:r w:rsidRPr="00CA6525">
        <w:t xml:space="preserve">otion to </w:t>
      </w:r>
      <w:r>
        <w:t>D</w:t>
      </w:r>
      <w:r w:rsidRPr="00CA6525">
        <w:t>ismiss the petition because: (1) the GTA is a non-binding agreement be</w:t>
      </w:r>
      <w:r w:rsidR="006162A8">
        <w:t>cause it was not approved by this Commission; (2) the petition is well pled;</w:t>
      </w:r>
      <w:r w:rsidRPr="00CA6525">
        <w:t xml:space="preserve"> and (</w:t>
      </w:r>
      <w:r>
        <w:t>3</w:t>
      </w:r>
      <w:r w:rsidRPr="00CA6525">
        <w:t xml:space="preserve">) </w:t>
      </w:r>
      <w:r w:rsidR="006162A8">
        <w:t xml:space="preserve">the petition </w:t>
      </w:r>
      <w:r w:rsidRPr="00CA6525">
        <w:t>states a cause of action u</w:t>
      </w:r>
      <w:r w:rsidR="006162A8">
        <w:t>pon which this</w:t>
      </w:r>
      <w:r w:rsidRPr="00CA6525">
        <w:t xml:space="preserve"> Commission</w:t>
      </w:r>
      <w:r w:rsidR="006162A8">
        <w:t xml:space="preserve"> may grant relief to </w:t>
      </w:r>
      <w:r w:rsidR="00405273">
        <w:t>City Gas</w:t>
      </w:r>
      <w:r w:rsidR="006162A8">
        <w:t xml:space="preserve">. </w:t>
      </w:r>
    </w:p>
    <w:p w:rsidR="00CE732F" w:rsidRPr="00CA6525" w:rsidRDefault="00CE732F" w:rsidP="00A70C23">
      <w:pPr>
        <w:jc w:val="both"/>
      </w:pPr>
    </w:p>
    <w:p w:rsidR="00CE732F" w:rsidRDefault="00CE732F" w:rsidP="00A70C23">
      <w:pPr>
        <w:ind w:firstLine="720"/>
        <w:jc w:val="both"/>
      </w:pPr>
      <w:r w:rsidRPr="00CA6525">
        <w:t>On October 10, 2016</w:t>
      </w:r>
      <w:r>
        <w:t>,</w:t>
      </w:r>
      <w:r w:rsidRPr="00CA6525">
        <w:t xml:space="preserve"> </w:t>
      </w:r>
      <w:r w:rsidR="006162A8">
        <w:t xml:space="preserve">Commission </w:t>
      </w:r>
      <w:r w:rsidRPr="00CA6525">
        <w:t xml:space="preserve">staff issued its First Data Request to City Gas and to Crystals. City Gas provided partial, non-confidential </w:t>
      </w:r>
      <w:r w:rsidR="006162A8">
        <w:t>responses on October 28, 2016. Commission s</w:t>
      </w:r>
      <w:r w:rsidRPr="00CA6525">
        <w:t xml:space="preserve">taff received complete responses from both parties on November 1, 2016. </w:t>
      </w:r>
    </w:p>
    <w:p w:rsidR="00CE732F" w:rsidRPr="00CA6525" w:rsidRDefault="00CE732F" w:rsidP="00A70C23">
      <w:pPr>
        <w:jc w:val="both"/>
      </w:pPr>
    </w:p>
    <w:p w:rsidR="00CE732F" w:rsidRDefault="00CE732F" w:rsidP="00A70C23">
      <w:pPr>
        <w:ind w:firstLine="720"/>
        <w:jc w:val="both"/>
      </w:pPr>
      <w:r w:rsidRPr="00CA6525">
        <w:t>On October 18, 2016</w:t>
      </w:r>
      <w:r>
        <w:t>,</w:t>
      </w:r>
      <w:r w:rsidRPr="00CA6525">
        <w:t xml:space="preserve"> </w:t>
      </w:r>
      <w:r w:rsidR="006162A8">
        <w:t xml:space="preserve">Commission </w:t>
      </w:r>
      <w:r w:rsidRPr="00CA6525">
        <w:t>staff issued a Notice of Apparent Violation to City Gas</w:t>
      </w:r>
      <w:r>
        <w:t>. City Gas responded on</w:t>
      </w:r>
      <w:r w:rsidRPr="00CA6525">
        <w:t xml:space="preserve"> November 1, 2016</w:t>
      </w:r>
      <w:r>
        <w:t xml:space="preserve"> and F</w:t>
      </w:r>
      <w:r w:rsidR="003D1631">
        <w:t>lorida Crystals filed Comments C</w:t>
      </w:r>
      <w:r>
        <w:t>oncerning City Gas’s Response to Notice of Apparent Violation on November 17, 2016</w:t>
      </w:r>
      <w:r w:rsidRPr="00CA6525">
        <w:t xml:space="preserve">. </w:t>
      </w:r>
    </w:p>
    <w:p w:rsidR="00CE732F" w:rsidRPr="00CA6525" w:rsidRDefault="00CE732F" w:rsidP="00A70C23">
      <w:pPr>
        <w:jc w:val="both"/>
      </w:pPr>
    </w:p>
    <w:p w:rsidR="00CE732F" w:rsidRDefault="00CE732F" w:rsidP="00A70C23">
      <w:pPr>
        <w:ind w:firstLine="720"/>
        <w:jc w:val="both"/>
      </w:pPr>
      <w:r w:rsidRPr="00CA6525">
        <w:t xml:space="preserve">On November 15, 2016, </w:t>
      </w:r>
      <w:r w:rsidR="00BC4626">
        <w:t xml:space="preserve">Commission </w:t>
      </w:r>
      <w:r w:rsidRPr="00CA6525">
        <w:t xml:space="preserve">staff held a noticed meeting with </w:t>
      </w:r>
      <w:r>
        <w:t>City Gas and Crystals</w:t>
      </w:r>
      <w:r w:rsidRPr="00CA6525">
        <w:t xml:space="preserve"> to discuss the discovery responses.</w:t>
      </w:r>
      <w:r>
        <w:t xml:space="preserve"> </w:t>
      </w:r>
      <w:r w:rsidR="006162A8">
        <w:t>This</w:t>
      </w:r>
      <w:r w:rsidRPr="00CA6525">
        <w:t xml:space="preserve"> Commission has jurisdiction over this matter pursuant to Sections 366.04, 366.05, and 366.06, F.S.</w:t>
      </w:r>
    </w:p>
    <w:p w:rsidR="00CE732F" w:rsidRDefault="00CE732F" w:rsidP="00A70C23"/>
    <w:p w:rsidR="00CE732F" w:rsidRPr="009E722D" w:rsidRDefault="009E722D" w:rsidP="00A70C23">
      <w:pPr>
        <w:pStyle w:val="RecommendationMajorSectionHeading"/>
        <w:spacing w:after="0"/>
        <w:rPr>
          <w:rFonts w:ascii="Times New Roman" w:hAnsi="Times New Roman" w:cs="Times New Roman"/>
          <w:b w:val="0"/>
          <w:u w:val="single"/>
        </w:rPr>
      </w:pPr>
      <w:bookmarkStart w:id="8" w:name="DiscussionOfIssues"/>
      <w:bookmarkEnd w:id="6"/>
      <w:r>
        <w:rPr>
          <w:rFonts w:ascii="Times New Roman" w:hAnsi="Times New Roman" w:cs="Times New Roman"/>
          <w:b w:val="0"/>
          <w:u w:val="single"/>
        </w:rPr>
        <w:t>Decision</w:t>
      </w:r>
    </w:p>
    <w:bookmarkEnd w:id="8"/>
    <w:p w:rsidR="00A70C23" w:rsidRDefault="00A70C23" w:rsidP="00A70C23">
      <w:pPr>
        <w:jc w:val="both"/>
        <w:rPr>
          <w:u w:val="single"/>
        </w:rPr>
      </w:pPr>
    </w:p>
    <w:p w:rsidR="009E722D" w:rsidRDefault="009E722D" w:rsidP="00A70C23">
      <w:pPr>
        <w:jc w:val="both"/>
        <w:rPr>
          <w:u w:val="single"/>
        </w:rPr>
      </w:pPr>
      <w:r w:rsidRPr="009E722D">
        <w:rPr>
          <w:u w:val="single"/>
        </w:rPr>
        <w:t xml:space="preserve">Setting Matter for Hearing and </w:t>
      </w:r>
      <w:r w:rsidR="00961056">
        <w:rPr>
          <w:u w:val="single"/>
        </w:rPr>
        <w:t xml:space="preserve">Disposition of </w:t>
      </w:r>
      <w:r w:rsidR="00873F36">
        <w:rPr>
          <w:u w:val="single"/>
        </w:rPr>
        <w:t>Procedural</w:t>
      </w:r>
      <w:r w:rsidRPr="009E722D">
        <w:rPr>
          <w:u w:val="single"/>
        </w:rPr>
        <w:t xml:space="preserve"> Motions</w:t>
      </w:r>
    </w:p>
    <w:p w:rsidR="006162A8" w:rsidRDefault="006162A8" w:rsidP="00A70C23">
      <w:pPr>
        <w:jc w:val="both"/>
        <w:rPr>
          <w:u w:val="single"/>
        </w:rPr>
      </w:pPr>
    </w:p>
    <w:p w:rsidR="006162A8" w:rsidRDefault="006162A8" w:rsidP="00A70C23">
      <w:pPr>
        <w:jc w:val="both"/>
      </w:pPr>
      <w:r>
        <w:rPr>
          <w:b/>
        </w:rPr>
        <w:t>Hearing</w:t>
      </w:r>
    </w:p>
    <w:p w:rsidR="006162A8" w:rsidRDefault="006162A8" w:rsidP="00A70C23">
      <w:pPr>
        <w:jc w:val="both"/>
      </w:pPr>
    </w:p>
    <w:p w:rsidR="006162A8" w:rsidRPr="006162A8" w:rsidRDefault="006162A8" w:rsidP="00A70C23">
      <w:pPr>
        <w:jc w:val="both"/>
      </w:pPr>
      <w:r>
        <w:tab/>
        <w:t>On December 5, 2016, by email, FCG and Crystals indicated that they had reached an agreement to jointly request that this Commission set this matter directly for an administrative hearing. At the December 6, 2016 Commission Conference, the parties confirmed this agreement and this Commission voted to set this matter for hearing.</w:t>
      </w:r>
    </w:p>
    <w:p w:rsidR="00113BA1" w:rsidRDefault="00113BA1" w:rsidP="00A70C23">
      <w:pPr>
        <w:jc w:val="both"/>
        <w:rPr>
          <w:b/>
        </w:rPr>
      </w:pPr>
    </w:p>
    <w:p w:rsidR="009E722D" w:rsidRPr="009E722D" w:rsidRDefault="009E722D" w:rsidP="00A70C23">
      <w:pPr>
        <w:jc w:val="both"/>
        <w:rPr>
          <w:b/>
          <w:u w:val="single"/>
        </w:rPr>
      </w:pPr>
      <w:r w:rsidRPr="009E722D">
        <w:rPr>
          <w:b/>
        </w:rPr>
        <w:t>Florida Crystals’ Motion to be Designated a Party or in the Alternative Motion to Intervene</w:t>
      </w:r>
    </w:p>
    <w:p w:rsidR="009E722D" w:rsidRDefault="009E722D" w:rsidP="00A70C23">
      <w:pPr>
        <w:ind w:firstLine="720"/>
        <w:jc w:val="both"/>
      </w:pPr>
    </w:p>
    <w:p w:rsidR="00CE732F" w:rsidRDefault="00CE732F" w:rsidP="00A70C23">
      <w:pPr>
        <w:ind w:firstLine="720"/>
        <w:jc w:val="both"/>
      </w:pPr>
      <w:r>
        <w:t>On A</w:t>
      </w:r>
      <w:r w:rsidR="00CE7427">
        <w:t>ugust 5, 2016, Florida Crystals</w:t>
      </w:r>
      <w:r>
        <w:t xml:space="preserve"> filed its Motion to be Designated a Party or in the Alternative Motion to Intervene, pursuant to Chapters 120 and 366, F.S., and Rules 25-22.036, 25-22.039, 28-106.201, and 28-106.205</w:t>
      </w:r>
      <w:r w:rsidR="006162A8">
        <w:t>, F.A.C. Florida Crystals stated</w:t>
      </w:r>
      <w:r>
        <w:t xml:space="preserve"> that as FCG’s counterparty to the GTA and as the customer for whom FCG is attempting to establish an interim service arrangement for future gas transportation services, Florida Crystals is a necessary, </w:t>
      </w:r>
      <w:r>
        <w:lastRenderedPageBreak/>
        <w:t>indispensable party and its substantial interests will be directly affected by the issues raised in this doc</w:t>
      </w:r>
      <w:r w:rsidR="006162A8">
        <w:t>ket. Florida Crystals requested</w:t>
      </w:r>
      <w:r>
        <w:t xml:space="preserve"> party or intervenor status so that it may file responsive pleadings and otherwise fully participate in Docket No. 160175-GU.</w:t>
      </w:r>
    </w:p>
    <w:p w:rsidR="00CE732F" w:rsidRDefault="00CE732F" w:rsidP="00A70C23">
      <w:pPr>
        <w:jc w:val="both"/>
      </w:pPr>
    </w:p>
    <w:p w:rsidR="00CE732F" w:rsidRDefault="00CE732F" w:rsidP="00A70C23">
      <w:pPr>
        <w:ind w:firstLine="720"/>
        <w:jc w:val="both"/>
      </w:pPr>
      <w:r>
        <w:t xml:space="preserve">Section 120.57, F.S., sets forth the provisions applicable to hearings involving disputed issues of material fact. Determinations as to intervention or party status are appropriate for proceedings conducted pursuant to Section 120.57, F.S. </w:t>
      </w:r>
      <w:r w:rsidR="006162A8">
        <w:t xml:space="preserve">Because this Commission has voted to set this matter for hearing and Crystals has demonstrated that its substantial interest will be affected by the proceeding, this Commission hereby grants </w:t>
      </w:r>
      <w:r>
        <w:t>Florida Crystals’ Motion to be Designated a Party or in the Alternative Motion to Intervene.</w:t>
      </w:r>
      <w:r w:rsidR="00FF7964">
        <w:t xml:space="preserve"> Florida Crystals is designated a party for purposes of this docket.</w:t>
      </w:r>
    </w:p>
    <w:p w:rsidR="009E722D" w:rsidRDefault="009E722D" w:rsidP="00A70C23">
      <w:pPr>
        <w:jc w:val="both"/>
        <w:rPr>
          <w:i/>
        </w:rPr>
      </w:pPr>
    </w:p>
    <w:p w:rsidR="009E722D" w:rsidRPr="009E722D" w:rsidRDefault="009E722D" w:rsidP="00A70C23">
      <w:pPr>
        <w:pStyle w:val="First-LevelSubheading"/>
        <w:rPr>
          <w:rFonts w:ascii="Times New Roman" w:hAnsi="Times New Roman" w:cs="Times New Roman"/>
        </w:rPr>
      </w:pPr>
      <w:r w:rsidRPr="009E722D">
        <w:rPr>
          <w:rFonts w:ascii="Times New Roman" w:hAnsi="Times New Roman" w:cs="Times New Roman"/>
        </w:rPr>
        <w:t xml:space="preserve">Florida Crystals’ Motion to Dismiss Petition </w:t>
      </w:r>
    </w:p>
    <w:p w:rsidR="009E722D" w:rsidRPr="009E722D" w:rsidRDefault="009E722D" w:rsidP="00A70C23">
      <w:pPr>
        <w:pStyle w:val="First-LevelSubheading"/>
        <w:rPr>
          <w:rFonts w:ascii="Times New Roman" w:hAnsi="Times New Roman" w:cs="Times New Roman"/>
        </w:rPr>
      </w:pPr>
    </w:p>
    <w:p w:rsidR="00CE732F" w:rsidRDefault="00CE732F" w:rsidP="00A70C23">
      <w:pPr>
        <w:pStyle w:val="First-LevelSubheading"/>
        <w:rPr>
          <w:rFonts w:ascii="Times New Roman" w:hAnsi="Times New Roman" w:cs="Times New Roman"/>
          <w:b w:val="0"/>
          <w:i/>
        </w:rPr>
      </w:pPr>
      <w:r w:rsidRPr="009E722D">
        <w:rPr>
          <w:rFonts w:ascii="Times New Roman" w:hAnsi="Times New Roman" w:cs="Times New Roman"/>
          <w:b w:val="0"/>
          <w:i/>
        </w:rPr>
        <w:t>Standard of Review</w:t>
      </w:r>
    </w:p>
    <w:p w:rsidR="00A70C23" w:rsidRDefault="00A70C23" w:rsidP="00A70C23">
      <w:pPr>
        <w:ind w:firstLine="720"/>
        <w:jc w:val="both"/>
      </w:pPr>
    </w:p>
    <w:p w:rsidR="00CE732F" w:rsidRDefault="00CE732F" w:rsidP="00A70C23">
      <w:pPr>
        <w:ind w:firstLine="720"/>
        <w:jc w:val="both"/>
      </w:pPr>
      <w:r>
        <w:t>A motion to dismiss challenges the legal sufficiency of the facts alleged in a petition to state a cause of action.</w:t>
      </w:r>
      <w:r>
        <w:rPr>
          <w:rStyle w:val="FootnoteReference"/>
        </w:rPr>
        <w:footnoteReference w:id="1"/>
      </w:r>
      <w:r>
        <w:t xml:space="preserve"> In order to sustain a motion to dismiss, the moving party must show that, accepting all allegations as true, the petition fails to state a cause of action for which relief may be granted.</w:t>
      </w:r>
      <w:r>
        <w:rPr>
          <w:rStyle w:val="FootnoteReference"/>
        </w:rPr>
        <w:footnoteReference w:id="2"/>
      </w:r>
      <w:r>
        <w:t xml:space="preserve"> The moving party must specify the grounds for the motion to dismiss, and all material allegations must be construed against the moving party in determining if the petitioner has stated the necessary allegations.</w:t>
      </w:r>
      <w:r>
        <w:rPr>
          <w:rStyle w:val="FootnoteReference"/>
        </w:rPr>
        <w:footnoteReference w:id="3"/>
      </w:r>
      <w:r>
        <w:t xml:space="preserve"> A sufficiency determination should be confined to the petition and documents incorporated therein, and the grounds asserted in the motion to dismiss.</w:t>
      </w:r>
      <w:r>
        <w:rPr>
          <w:rStyle w:val="FootnoteReference"/>
        </w:rPr>
        <w:footnoteReference w:id="4"/>
      </w:r>
      <w:r>
        <w:t xml:space="preserve"> Thus, “the trial court may not look beyond the four corners of the complaint, consider any affirmative defenses raised by the defendant, nor consider any evidence likely to be produced by either side.”</w:t>
      </w:r>
      <w:r>
        <w:rPr>
          <w:rStyle w:val="FootnoteReference"/>
        </w:rPr>
        <w:footnoteReference w:id="5"/>
      </w:r>
      <w:r>
        <w:t xml:space="preserve"> Finally, all allegations in the petition must be viewed as true and in the light most favorable to the petitioner in order to determine whether there is a cause of action upon which relief may be granted.</w:t>
      </w:r>
      <w:r>
        <w:rPr>
          <w:rStyle w:val="FootnoteReference"/>
        </w:rPr>
        <w:footnoteReference w:id="6"/>
      </w:r>
    </w:p>
    <w:p w:rsidR="00CE732F" w:rsidRDefault="00CE732F" w:rsidP="00A70C23">
      <w:pPr>
        <w:jc w:val="both"/>
      </w:pPr>
    </w:p>
    <w:p w:rsidR="00CE732F" w:rsidRDefault="00CE732F" w:rsidP="00A70C23">
      <w:pPr>
        <w:pStyle w:val="First-LevelSubheading"/>
        <w:rPr>
          <w:rFonts w:ascii="Times New Roman" w:hAnsi="Times New Roman" w:cs="Times New Roman"/>
          <w:b w:val="0"/>
          <w:i/>
        </w:rPr>
      </w:pPr>
      <w:r w:rsidRPr="009E722D">
        <w:rPr>
          <w:rFonts w:ascii="Times New Roman" w:hAnsi="Times New Roman" w:cs="Times New Roman"/>
          <w:b w:val="0"/>
          <w:i/>
        </w:rPr>
        <w:t>FCG’s Petition</w:t>
      </w:r>
      <w:r w:rsidR="009E722D">
        <w:rPr>
          <w:rFonts w:ascii="Times New Roman" w:hAnsi="Times New Roman" w:cs="Times New Roman"/>
          <w:b w:val="0"/>
          <w:i/>
        </w:rPr>
        <w:t xml:space="preserve"> A</w:t>
      </w:r>
      <w:r w:rsidR="00AB7A10">
        <w:rPr>
          <w:rFonts w:ascii="Times New Roman" w:hAnsi="Times New Roman" w:cs="Times New Roman"/>
          <w:b w:val="0"/>
          <w:i/>
        </w:rPr>
        <w:t>ssertions</w:t>
      </w:r>
    </w:p>
    <w:p w:rsidR="009E722D" w:rsidRPr="009E722D" w:rsidRDefault="009E722D" w:rsidP="00A70C23">
      <w:pPr>
        <w:pStyle w:val="BodyText"/>
        <w:spacing w:after="0"/>
      </w:pPr>
    </w:p>
    <w:p w:rsidR="00CE732F" w:rsidRDefault="00CE732F" w:rsidP="00A70C23">
      <w:pPr>
        <w:ind w:firstLine="720"/>
        <w:jc w:val="both"/>
      </w:pPr>
      <w:r>
        <w:t>On July 22, 2016, FCG filed a peti</w:t>
      </w:r>
      <w:r w:rsidR="00AB7A10">
        <w:t>tion with this</w:t>
      </w:r>
      <w:r>
        <w:t xml:space="preserve"> Commission requesting the review and determination of the legal effectiveness and enforceability of the GTA, along with approval of an interim service arrangement. FCG alleges that the GTA was negotiated and signed by prior management and that key elements of the development and implementation of the GTA remain unknown because the employees involved in the transaction are no longer wi</w:t>
      </w:r>
      <w:r w:rsidR="00AB7A10">
        <w:t xml:space="preserve">th the company. </w:t>
      </w:r>
      <w:r w:rsidR="00AB7A10">
        <w:lastRenderedPageBreak/>
        <w:t>FCG acknowledged</w:t>
      </w:r>
      <w:r>
        <w:t xml:space="preserve"> that the</w:t>
      </w:r>
      <w:r w:rsidR="00AB7A10">
        <w:t xml:space="preserve"> GTA was never submitted to this </w:t>
      </w:r>
      <w:r>
        <w:t>Commission for approval, pursuant to Rule 25-9.034, F.A.C., but that FCG and Florida Crystals have apparently followed the terms of the GTA for nearly 15 years.</w:t>
      </w:r>
    </w:p>
    <w:p w:rsidR="00CE732F" w:rsidRDefault="00CE732F" w:rsidP="00A70C23">
      <w:pPr>
        <w:jc w:val="both"/>
      </w:pPr>
    </w:p>
    <w:p w:rsidR="00CE732F" w:rsidRDefault="00AB7A10" w:rsidP="00A70C23">
      <w:pPr>
        <w:ind w:firstLine="720"/>
        <w:jc w:val="both"/>
      </w:pPr>
      <w:r>
        <w:t>While FCG asserted</w:t>
      </w:r>
      <w:r w:rsidR="00CE732F">
        <w:t xml:space="preserve"> that its management first became aware of the GTA in 2010-2011 during the course of Docket No. 090539-GU (Miami-Dade docket), it did not fully understand when the Extended Term of the GTA would begin until Florida Crystals exceeded its transportation volume cap in 2015. As a result of the subsequent legal, regulatory, and financial analyses and the lack of </w:t>
      </w:r>
      <w:r>
        <w:t xml:space="preserve">this </w:t>
      </w:r>
      <w:r w:rsidR="00CE732F">
        <w:t>Commission</w:t>
      </w:r>
      <w:r>
        <w:t>’s</w:t>
      </w:r>
      <w:r w:rsidR="00CE732F">
        <w:t xml:space="preserve"> </w:t>
      </w:r>
      <w:r>
        <w:t>approval, FCG petitioned this</w:t>
      </w:r>
      <w:r w:rsidR="00CE732F">
        <w:t xml:space="preserve"> Commission to determine that the GTA is not a legally effective or enforceable special contract and approve FCG’s proposed interim service arrangement for Florida Crystals in lieu of the Extended Term of the GTA until the issua</w:t>
      </w:r>
      <w:r>
        <w:t>nce of a final order by this</w:t>
      </w:r>
      <w:r w:rsidR="00CE732F">
        <w:t xml:space="preserve"> Commission or the parties negotiate an appropriate special contract to be submitted for </w:t>
      </w:r>
      <w:r>
        <w:t xml:space="preserve">this </w:t>
      </w:r>
      <w:r w:rsidR="00CE732F">
        <w:t>Commission</w:t>
      </w:r>
      <w:r>
        <w:t>’s</w:t>
      </w:r>
      <w:r w:rsidR="00AD6EBA">
        <w:t xml:space="preserve"> approval. FCG supported its p</w:t>
      </w:r>
      <w:r w:rsidR="00CE732F">
        <w:t>etition by stating that the Extended Term of the GTA consists of a rate that is substantially below FCG’s cost to serve, thereby making it impossible to serve Florida Crystals under the GTA r</w:t>
      </w:r>
      <w:r>
        <w:t>ates. Accordingly, FCG maintained that this</w:t>
      </w:r>
      <w:r w:rsidR="00CE732F">
        <w:t xml:space="preserve"> Commission has not only the authority, but the responsibility to step in and prevent the Extended Term rates from going into effect.</w:t>
      </w:r>
    </w:p>
    <w:p w:rsidR="00CE732F" w:rsidRDefault="00CE732F" w:rsidP="00A70C23">
      <w:pPr>
        <w:jc w:val="both"/>
      </w:pPr>
    </w:p>
    <w:p w:rsidR="00CE732F" w:rsidRDefault="00AB7A10" w:rsidP="00A70C23">
      <w:pPr>
        <w:ind w:firstLine="720"/>
        <w:jc w:val="both"/>
      </w:pPr>
      <w:r>
        <w:t>FCG further appeared</w:t>
      </w:r>
      <w:r w:rsidR="00CE732F">
        <w:t xml:space="preserve"> to assert that the GTA s</w:t>
      </w:r>
      <w:r>
        <w:t>hould have been submitted to this</w:t>
      </w:r>
      <w:r w:rsidR="00CE732F">
        <w:t xml:space="preserve"> Commission for approval</w:t>
      </w:r>
      <w:r w:rsidR="00FF7964" w:rsidRPr="00FF7964">
        <w:t xml:space="preserve"> </w:t>
      </w:r>
      <w:r w:rsidR="00FF7964">
        <w:t>prior to its execution</w:t>
      </w:r>
      <w:r w:rsidR="00CE732F">
        <w:t>, pu</w:t>
      </w:r>
      <w:r w:rsidR="00FF7964">
        <w:t>rsuant to Rule 25-9.034, F.A.C.</w:t>
      </w:r>
      <w:r w:rsidR="00CE732F">
        <w:t xml:space="preserve"> FCG cited </w:t>
      </w:r>
      <w:r>
        <w:t>this</w:t>
      </w:r>
      <w:r w:rsidR="00CE732F">
        <w:t xml:space="preserve"> Commission’s finding in the Miam</w:t>
      </w:r>
      <w:r>
        <w:t>i-Dade docket that: “[this</w:t>
      </w:r>
      <w:r w:rsidR="00CE732F">
        <w:t xml:space="preserve"> Commission has] exclusive, superior authority over the rates and charges of FCG, a regulated public utility. Pursuant to Rule 25-9.034(1), F.A.C., all special contracts and agreements entered into by a public utility that are not specifically covered by its filed tariff must be approved by this Commission.”</w:t>
      </w:r>
      <w:r w:rsidR="00CE732F">
        <w:rPr>
          <w:rStyle w:val="FootnoteReference"/>
        </w:rPr>
        <w:footnoteReference w:id="7"/>
      </w:r>
      <w:r w:rsidR="00CE732F">
        <w:t xml:space="preserve"> Furthermore, FCG averred t</w:t>
      </w:r>
      <w:r w:rsidR="00FA1BC1">
        <w:t>hat, “another fundamental [tenet]</w:t>
      </w:r>
      <w:r w:rsidR="00CE732F">
        <w:t xml:space="preserve"> of Florida law establishes that utility contracts remain subject to PSC oversight throughout their tenure and that the PSC has the authority to later terminate or amend a contract that is no longer compliant with the law.”</w:t>
      </w:r>
      <w:r w:rsidR="00CE732F">
        <w:rPr>
          <w:rStyle w:val="FootnoteReference"/>
        </w:rPr>
        <w:footnoteReference w:id="8"/>
      </w:r>
    </w:p>
    <w:p w:rsidR="00CE732F" w:rsidRDefault="00CE732F" w:rsidP="00A70C23">
      <w:pPr>
        <w:jc w:val="both"/>
      </w:pPr>
    </w:p>
    <w:p w:rsidR="00CE732F" w:rsidRPr="00AD715A" w:rsidRDefault="00CE732F" w:rsidP="00A70C23">
      <w:pPr>
        <w:ind w:firstLine="720"/>
        <w:jc w:val="both"/>
      </w:pPr>
      <w:r>
        <w:t>FCG stated that its general body of ratepayers has not been adversely impacted by service to Florida Crystals and that FCG management has acted in good faith to remedy this situation in a manner that will not adversely impact its general body of ratepayers or Florida Crystals.</w:t>
      </w:r>
    </w:p>
    <w:p w:rsidR="00CE732F" w:rsidRDefault="00CE732F" w:rsidP="00A70C23">
      <w:pPr>
        <w:jc w:val="both"/>
        <w:rPr>
          <w:u w:val="single"/>
        </w:rPr>
      </w:pPr>
    </w:p>
    <w:p w:rsidR="00CE732F" w:rsidRDefault="00CE732F" w:rsidP="00A70C23">
      <w:pPr>
        <w:pStyle w:val="First-LevelSubheading"/>
        <w:rPr>
          <w:rFonts w:ascii="Times New Roman" w:hAnsi="Times New Roman" w:cs="Times New Roman"/>
          <w:b w:val="0"/>
          <w:i/>
        </w:rPr>
      </w:pPr>
      <w:r w:rsidRPr="009E722D">
        <w:rPr>
          <w:rFonts w:ascii="Times New Roman" w:hAnsi="Times New Roman" w:cs="Times New Roman"/>
          <w:b w:val="0"/>
          <w:i/>
        </w:rPr>
        <w:t>Florida Crystals’ Motion to Dismiss Petition</w:t>
      </w:r>
      <w:r w:rsidR="009E722D">
        <w:rPr>
          <w:rFonts w:ascii="Times New Roman" w:hAnsi="Times New Roman" w:cs="Times New Roman"/>
          <w:b w:val="0"/>
          <w:i/>
        </w:rPr>
        <w:t xml:space="preserve"> Arguments</w:t>
      </w:r>
    </w:p>
    <w:p w:rsidR="009E722D" w:rsidRPr="009E722D" w:rsidRDefault="009E722D" w:rsidP="00A70C23">
      <w:pPr>
        <w:pStyle w:val="BodyText"/>
        <w:spacing w:after="0"/>
      </w:pPr>
    </w:p>
    <w:p w:rsidR="00CE732F" w:rsidRDefault="00CE732F" w:rsidP="00A70C23">
      <w:pPr>
        <w:ind w:firstLine="720"/>
        <w:jc w:val="both"/>
      </w:pPr>
      <w:r>
        <w:t>On August 29, 2016, Florida Crystals filed its Motion to Dismiss P</w:t>
      </w:r>
      <w:r w:rsidR="00AB7A10">
        <w:t>etition. Florida Crystals argued</w:t>
      </w:r>
      <w:r w:rsidR="00AD6EBA">
        <w:t xml:space="preserve"> that FCG’s p</w:t>
      </w:r>
      <w:r>
        <w:t xml:space="preserve">etition should be dismissed because: </w:t>
      </w:r>
    </w:p>
    <w:p w:rsidR="00CE732F" w:rsidRDefault="00CE732F" w:rsidP="00A70C23">
      <w:pPr>
        <w:jc w:val="both"/>
      </w:pPr>
    </w:p>
    <w:p w:rsidR="00CE732F" w:rsidRDefault="00CE732F" w:rsidP="00A70C23">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N</w:t>
      </w:r>
      <w:r w:rsidRPr="00383AE0">
        <w:rPr>
          <w:rFonts w:ascii="Times New Roman" w:hAnsi="Times New Roman"/>
          <w:sz w:val="24"/>
          <w:szCs w:val="24"/>
        </w:rPr>
        <w:t>o basis in law or fact exists for the relief requested by FCG, as the rates set forth in the GTA were covered by and consistent with FCG’s Rate Schedule KTS</w:t>
      </w:r>
      <w:r>
        <w:rPr>
          <w:rFonts w:ascii="Times New Roman" w:hAnsi="Times New Roman"/>
          <w:sz w:val="24"/>
          <w:szCs w:val="24"/>
        </w:rPr>
        <w:t xml:space="preserve"> at the time the GTA was negotiated and, therefore, FCG was not required to obtain </w:t>
      </w:r>
      <w:r w:rsidR="008314AF">
        <w:rPr>
          <w:rFonts w:ascii="Times New Roman" w:hAnsi="Times New Roman"/>
          <w:sz w:val="24"/>
          <w:szCs w:val="24"/>
        </w:rPr>
        <w:t xml:space="preserve">this </w:t>
      </w:r>
      <w:r>
        <w:rPr>
          <w:rFonts w:ascii="Times New Roman" w:hAnsi="Times New Roman"/>
          <w:sz w:val="24"/>
          <w:szCs w:val="24"/>
        </w:rPr>
        <w:t>Commission</w:t>
      </w:r>
      <w:r w:rsidR="008314AF">
        <w:rPr>
          <w:rFonts w:ascii="Times New Roman" w:hAnsi="Times New Roman"/>
          <w:sz w:val="24"/>
          <w:szCs w:val="24"/>
        </w:rPr>
        <w:t>’s</w:t>
      </w:r>
      <w:r>
        <w:rPr>
          <w:rFonts w:ascii="Times New Roman" w:hAnsi="Times New Roman"/>
          <w:sz w:val="24"/>
          <w:szCs w:val="24"/>
        </w:rPr>
        <w:t xml:space="preserve"> approval of the GTA pursuant to Rule 25-9.034(1), F.A.C.</w:t>
      </w:r>
      <w:r w:rsidRPr="00383AE0">
        <w:rPr>
          <w:rFonts w:ascii="Times New Roman" w:hAnsi="Times New Roman"/>
          <w:sz w:val="24"/>
          <w:szCs w:val="24"/>
        </w:rPr>
        <w:t>;</w:t>
      </w:r>
    </w:p>
    <w:p w:rsidR="00CE732F" w:rsidRPr="002E62E3" w:rsidRDefault="00CE732F" w:rsidP="00A70C23">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FCG expressly represen</w:t>
      </w:r>
      <w:r w:rsidR="005C4C7E">
        <w:rPr>
          <w:rFonts w:ascii="Times New Roman" w:hAnsi="Times New Roman"/>
          <w:sz w:val="24"/>
          <w:szCs w:val="24"/>
        </w:rPr>
        <w:t>ted to Florida Crystals that this</w:t>
      </w:r>
      <w:r>
        <w:rPr>
          <w:rFonts w:ascii="Times New Roman" w:hAnsi="Times New Roman"/>
          <w:sz w:val="24"/>
          <w:szCs w:val="24"/>
        </w:rPr>
        <w:t xml:space="preserve"> Commission’s approval was not required and that FCG communicated that it would effectively waive regulatory approvals;</w:t>
      </w:r>
    </w:p>
    <w:p w:rsidR="00CE732F" w:rsidRDefault="00CE732F" w:rsidP="00A70C23">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T</w:t>
      </w:r>
      <w:r w:rsidR="005C4C7E">
        <w:rPr>
          <w:rFonts w:ascii="Times New Roman" w:hAnsi="Times New Roman"/>
          <w:sz w:val="24"/>
          <w:szCs w:val="24"/>
        </w:rPr>
        <w:t>his</w:t>
      </w:r>
      <w:r w:rsidRPr="00383AE0">
        <w:rPr>
          <w:rFonts w:ascii="Times New Roman" w:hAnsi="Times New Roman"/>
          <w:sz w:val="24"/>
          <w:szCs w:val="24"/>
        </w:rPr>
        <w:t xml:space="preserve"> Commission approved the rates paid by Florida Crystals in FCG’s 2003 rate case when FCG</w:t>
      </w:r>
      <w:r w:rsidR="005C4C7E">
        <w:rPr>
          <w:rFonts w:ascii="Times New Roman" w:hAnsi="Times New Roman"/>
          <w:sz w:val="24"/>
          <w:szCs w:val="24"/>
        </w:rPr>
        <w:t xml:space="preserve"> induced this</w:t>
      </w:r>
      <w:r w:rsidRPr="00383AE0">
        <w:rPr>
          <w:rFonts w:ascii="Times New Roman" w:hAnsi="Times New Roman"/>
          <w:sz w:val="24"/>
          <w:szCs w:val="24"/>
        </w:rPr>
        <w:t xml:space="preserve"> Commission to approve its Rate Schedule KDS as the successor to Rate Schedule KTS and averred in expert testimony that </w:t>
      </w:r>
      <w:r w:rsidRPr="008A1956">
        <w:rPr>
          <w:rFonts w:ascii="Times New Roman" w:eastAsia="Times New Roman" w:hAnsi="Times New Roman"/>
          <w:sz w:val="24"/>
          <w:szCs w:val="24"/>
        </w:rPr>
        <w:t>“</w:t>
      </w:r>
      <w:r w:rsidRPr="00383AE0">
        <w:rPr>
          <w:rFonts w:ascii="Times New Roman" w:hAnsi="Times New Roman"/>
          <w:sz w:val="24"/>
          <w:szCs w:val="24"/>
        </w:rPr>
        <w:t>[t]he Company’s negotiated rate contract with Florida Crystals establishes a rate that recovers its costs to provide service”</w:t>
      </w:r>
      <w:r>
        <w:rPr>
          <w:rFonts w:ascii="Times New Roman" w:hAnsi="Times New Roman"/>
          <w:sz w:val="24"/>
          <w:szCs w:val="24"/>
        </w:rPr>
        <w:t>;</w:t>
      </w:r>
      <w:r>
        <w:rPr>
          <w:rStyle w:val="FootnoteReference"/>
          <w:rFonts w:ascii="Times New Roman" w:hAnsi="Times New Roman"/>
          <w:sz w:val="24"/>
          <w:szCs w:val="24"/>
        </w:rPr>
        <w:footnoteReference w:id="9"/>
      </w:r>
    </w:p>
    <w:p w:rsidR="00CE732F" w:rsidRDefault="00CE732F" w:rsidP="00A70C23">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T</w:t>
      </w:r>
      <w:r w:rsidRPr="00383AE0">
        <w:rPr>
          <w:rFonts w:ascii="Times New Roman" w:hAnsi="Times New Roman"/>
          <w:sz w:val="24"/>
          <w:szCs w:val="24"/>
        </w:rPr>
        <w:t>he doctrine of administrative finali</w:t>
      </w:r>
      <w:r w:rsidR="005C4C7E">
        <w:rPr>
          <w:rFonts w:ascii="Times New Roman" w:hAnsi="Times New Roman"/>
          <w:sz w:val="24"/>
          <w:szCs w:val="24"/>
        </w:rPr>
        <w:t>ty bars FCG from overturning this</w:t>
      </w:r>
      <w:r w:rsidRPr="00383AE0">
        <w:rPr>
          <w:rFonts w:ascii="Times New Roman" w:hAnsi="Times New Roman"/>
          <w:sz w:val="24"/>
          <w:szCs w:val="24"/>
        </w:rPr>
        <w:t xml:space="preserve"> Commission’s approval of its rates in its 2003 rate case; </w:t>
      </w:r>
    </w:p>
    <w:p w:rsidR="00CE732F" w:rsidRDefault="00CE732F" w:rsidP="00A70C23">
      <w:pPr>
        <w:pStyle w:val="ListParagraph"/>
        <w:numPr>
          <w:ilvl w:val="0"/>
          <w:numId w:val="1"/>
        </w:numPr>
        <w:spacing w:after="0" w:line="240" w:lineRule="auto"/>
        <w:jc w:val="both"/>
        <w:rPr>
          <w:rFonts w:ascii="Times New Roman" w:hAnsi="Times New Roman"/>
          <w:sz w:val="24"/>
          <w:szCs w:val="24"/>
        </w:rPr>
      </w:pPr>
      <w:r w:rsidRPr="00383AE0">
        <w:rPr>
          <w:rFonts w:ascii="Times New Roman" w:hAnsi="Times New Roman"/>
          <w:sz w:val="24"/>
          <w:szCs w:val="24"/>
        </w:rPr>
        <w:t xml:space="preserve">FCG’s assertion that the GTA is inconsistent with its tariff is false because it is impossible for Florida Crystals to ever pay a rate less than 1 cent per therm for transportation service as the average rate paid for the service under the GTA can never be </w:t>
      </w:r>
      <w:r>
        <w:rPr>
          <w:rFonts w:ascii="Times New Roman" w:hAnsi="Times New Roman"/>
          <w:sz w:val="24"/>
          <w:szCs w:val="24"/>
        </w:rPr>
        <w:t xml:space="preserve">less than </w:t>
      </w:r>
      <w:r w:rsidRPr="00383AE0">
        <w:rPr>
          <w:rFonts w:ascii="Times New Roman" w:hAnsi="Times New Roman"/>
          <w:sz w:val="24"/>
          <w:szCs w:val="24"/>
        </w:rPr>
        <w:t xml:space="preserve">1.2 cents per therm; </w:t>
      </w:r>
    </w:p>
    <w:p w:rsidR="00CE732F" w:rsidRDefault="00AB7A10" w:rsidP="00A70C23">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FCG failed</w:t>
      </w:r>
      <w:r w:rsidR="00CE732F" w:rsidRPr="00383AE0">
        <w:rPr>
          <w:rFonts w:ascii="Times New Roman" w:hAnsi="Times New Roman"/>
          <w:sz w:val="24"/>
          <w:szCs w:val="24"/>
        </w:rPr>
        <w:t xml:space="preserve"> to state a claim upon which r</w:t>
      </w:r>
      <w:r w:rsidR="005C4C7E">
        <w:rPr>
          <w:rFonts w:ascii="Times New Roman" w:hAnsi="Times New Roman"/>
          <w:sz w:val="24"/>
          <w:szCs w:val="24"/>
        </w:rPr>
        <w:t>elief can be granted because this</w:t>
      </w:r>
      <w:r w:rsidR="00CE732F" w:rsidRPr="00383AE0">
        <w:rPr>
          <w:rFonts w:ascii="Times New Roman" w:hAnsi="Times New Roman"/>
          <w:sz w:val="24"/>
          <w:szCs w:val="24"/>
        </w:rPr>
        <w:t xml:space="preserve"> Commission lacks the jurisdiction to grant i</w:t>
      </w:r>
      <w:r w:rsidR="00CE732F">
        <w:rPr>
          <w:rFonts w:ascii="Times New Roman" w:hAnsi="Times New Roman"/>
          <w:sz w:val="24"/>
          <w:szCs w:val="24"/>
        </w:rPr>
        <w:t>t</w:t>
      </w:r>
      <w:r w:rsidR="00CE732F" w:rsidRPr="00383AE0">
        <w:rPr>
          <w:rFonts w:ascii="Times New Roman" w:hAnsi="Times New Roman"/>
          <w:sz w:val="24"/>
          <w:szCs w:val="24"/>
        </w:rPr>
        <w:t xml:space="preserve">s request as jurisdiction to interpret contracts between parties rests exclusively with the judicial courts of Florida; </w:t>
      </w:r>
    </w:p>
    <w:p w:rsidR="00CE732F" w:rsidRDefault="00CE732F" w:rsidP="00A70C23">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T</w:t>
      </w:r>
      <w:r w:rsidR="005C4C7E">
        <w:rPr>
          <w:rFonts w:ascii="Times New Roman" w:hAnsi="Times New Roman"/>
          <w:sz w:val="24"/>
          <w:szCs w:val="24"/>
        </w:rPr>
        <w:t>his</w:t>
      </w:r>
      <w:r w:rsidRPr="00383AE0">
        <w:rPr>
          <w:rFonts w:ascii="Times New Roman" w:hAnsi="Times New Roman"/>
          <w:sz w:val="24"/>
          <w:szCs w:val="24"/>
        </w:rPr>
        <w:t xml:space="preserve"> Commission cannot allow FCG to “bootstrap” its admitted violations of Commission rules to escape the consequences of FC</w:t>
      </w:r>
      <w:r w:rsidR="005C4C7E">
        <w:rPr>
          <w:rFonts w:ascii="Times New Roman" w:hAnsi="Times New Roman"/>
          <w:sz w:val="24"/>
          <w:szCs w:val="24"/>
        </w:rPr>
        <w:t>G’s prior representations to this</w:t>
      </w:r>
      <w:r w:rsidRPr="00383AE0">
        <w:rPr>
          <w:rFonts w:ascii="Times New Roman" w:hAnsi="Times New Roman"/>
          <w:sz w:val="24"/>
          <w:szCs w:val="24"/>
        </w:rPr>
        <w:t xml:space="preserve"> Commission or deprive Florida Crystals </w:t>
      </w:r>
      <w:r>
        <w:rPr>
          <w:rFonts w:ascii="Times New Roman" w:hAnsi="Times New Roman"/>
          <w:sz w:val="24"/>
          <w:szCs w:val="24"/>
        </w:rPr>
        <w:t>th</w:t>
      </w:r>
      <w:r w:rsidR="00A804F1">
        <w:rPr>
          <w:rFonts w:ascii="Times New Roman" w:hAnsi="Times New Roman"/>
          <w:sz w:val="24"/>
          <w:szCs w:val="24"/>
        </w:rPr>
        <w:t>e benefit of its bargain; and</w:t>
      </w:r>
    </w:p>
    <w:p w:rsidR="00CE732F" w:rsidRDefault="00CE732F" w:rsidP="00A70C23">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FCG’s suggestion that its other customers wi</w:t>
      </w:r>
      <w:r w:rsidR="005C4C7E">
        <w:rPr>
          <w:rFonts w:ascii="Times New Roman" w:hAnsi="Times New Roman"/>
          <w:sz w:val="24"/>
          <w:szCs w:val="24"/>
        </w:rPr>
        <w:t>ll be harmed if this</w:t>
      </w:r>
      <w:r>
        <w:rPr>
          <w:rFonts w:ascii="Times New Roman" w:hAnsi="Times New Roman"/>
          <w:sz w:val="24"/>
          <w:szCs w:val="24"/>
        </w:rPr>
        <w:t xml:space="preserve"> Commission does not allow it to charge Florida Crystals a higher rate is not at issue in this proceeding and any claims to an entitlement to a rate increase would have to be established in an appropriate general rate case proceeding.</w:t>
      </w:r>
    </w:p>
    <w:p w:rsidR="00A70C23" w:rsidRDefault="00A70C23" w:rsidP="00A70C23">
      <w:pPr>
        <w:pStyle w:val="ListParagraph"/>
        <w:spacing w:after="0" w:line="240" w:lineRule="auto"/>
        <w:ind w:left="1080"/>
        <w:jc w:val="both"/>
        <w:rPr>
          <w:rFonts w:ascii="Times New Roman" w:hAnsi="Times New Roman"/>
          <w:sz w:val="24"/>
          <w:szCs w:val="24"/>
        </w:rPr>
      </w:pPr>
    </w:p>
    <w:p w:rsidR="00CE732F" w:rsidRDefault="00CE732F" w:rsidP="00A70C23">
      <w:pPr>
        <w:ind w:firstLine="720"/>
        <w:jc w:val="both"/>
      </w:pPr>
      <w:r>
        <w:t xml:space="preserve">Florida Crystals attached Exhibits A, B, and C in support of its Motion to Dismiss Petition. </w:t>
      </w:r>
      <w:r w:rsidR="00AB7A10">
        <w:t>We find</w:t>
      </w:r>
      <w:r>
        <w:t xml:space="preserve"> that Exhibit C is evidentiary in nature because it provid</w:t>
      </w:r>
      <w:r w:rsidR="00AD6EBA">
        <w:t>es facts not included in FCG’s p</w:t>
      </w:r>
      <w:r>
        <w:t>etition and disputes FCG’s statements. Therefor</w:t>
      </w:r>
      <w:r w:rsidR="00352AF0">
        <w:t>e, Florida Crystals’ Exhibit C wa</w:t>
      </w:r>
      <w:r>
        <w:t xml:space="preserve">s not discussed or considered </w:t>
      </w:r>
      <w:r w:rsidR="00352AF0">
        <w:t>by us</w:t>
      </w:r>
      <w:r>
        <w:t>.</w:t>
      </w:r>
      <w:r>
        <w:rPr>
          <w:rStyle w:val="FootnoteReference"/>
        </w:rPr>
        <w:footnoteReference w:id="10"/>
      </w:r>
    </w:p>
    <w:p w:rsidR="00CE732F" w:rsidRDefault="00CE732F" w:rsidP="00A70C23">
      <w:pPr>
        <w:jc w:val="both"/>
        <w:rPr>
          <w:u w:val="single"/>
        </w:rPr>
      </w:pPr>
    </w:p>
    <w:p w:rsidR="00CE732F" w:rsidRDefault="00CE732F" w:rsidP="00A70C23">
      <w:pPr>
        <w:pStyle w:val="First-LevelSubheading"/>
        <w:rPr>
          <w:rFonts w:ascii="Times New Roman" w:hAnsi="Times New Roman" w:cs="Times New Roman"/>
          <w:b w:val="0"/>
          <w:i/>
        </w:rPr>
      </w:pPr>
      <w:r w:rsidRPr="009E722D">
        <w:rPr>
          <w:rFonts w:ascii="Times New Roman" w:hAnsi="Times New Roman" w:cs="Times New Roman"/>
          <w:b w:val="0"/>
          <w:i/>
        </w:rPr>
        <w:t>FCG’s Response in Opposition to Florida Crystals’ Motion to Dismiss Petition</w:t>
      </w:r>
    </w:p>
    <w:p w:rsidR="00961056" w:rsidRPr="00961056" w:rsidRDefault="00961056" w:rsidP="00A70C23">
      <w:pPr>
        <w:pStyle w:val="BodyText"/>
        <w:spacing w:after="0"/>
      </w:pPr>
    </w:p>
    <w:p w:rsidR="00CE732F" w:rsidRDefault="00CE732F" w:rsidP="00A70C23">
      <w:pPr>
        <w:ind w:firstLine="720"/>
        <w:jc w:val="both"/>
      </w:pPr>
      <w:r>
        <w:t>On September 19, 2016, FCG filed a response to Florida Crystals’ Motion to Dismiss Petition. In its response, FCG</w:t>
      </w:r>
      <w:r w:rsidR="00AB7A10">
        <w:t xml:space="preserve"> asserted</w:t>
      </w:r>
      <w:r w:rsidR="00AD6EBA">
        <w:t xml:space="preserve"> that its p</w:t>
      </w:r>
      <w:r>
        <w:t>etition properly states a cause of action upon which relief may be granted and that Florida Crystals’ Motion to Dismiss Petition should be denied as its arguments consist</w:t>
      </w:r>
      <w:r w:rsidR="00AB7A10">
        <w:t>ed</w:t>
      </w:r>
      <w:r>
        <w:t xml:space="preserve"> of affirmative defenses</w:t>
      </w:r>
      <w:r w:rsidR="00EA70C9">
        <w:t>,</w:t>
      </w:r>
      <w:r>
        <w:t xml:space="preserve"> not pleading deficiencies. Specifically, F</w:t>
      </w:r>
      <w:r w:rsidR="00AB7A10">
        <w:t>CG maintained</w:t>
      </w:r>
      <w:r>
        <w:t xml:space="preserve"> that Florida Crystals’ motion should be denied because:</w:t>
      </w:r>
    </w:p>
    <w:p w:rsidR="00CE732F" w:rsidRDefault="00CE732F" w:rsidP="00A70C23">
      <w:pPr>
        <w:jc w:val="both"/>
      </w:pPr>
    </w:p>
    <w:p w:rsidR="00CE732F" w:rsidRDefault="00CE732F" w:rsidP="00A70C23">
      <w:pPr>
        <w:pStyle w:val="ListParagraph"/>
        <w:numPr>
          <w:ilvl w:val="0"/>
          <w:numId w:val="2"/>
        </w:numPr>
        <w:spacing w:after="0" w:line="240" w:lineRule="auto"/>
        <w:ind w:left="1080"/>
        <w:jc w:val="both"/>
        <w:rPr>
          <w:rFonts w:ascii="Times New Roman" w:hAnsi="Times New Roman"/>
          <w:sz w:val="24"/>
          <w:szCs w:val="24"/>
        </w:rPr>
      </w:pPr>
      <w:r>
        <w:rPr>
          <w:rFonts w:ascii="Times New Roman" w:hAnsi="Times New Roman"/>
          <w:sz w:val="24"/>
          <w:szCs w:val="24"/>
        </w:rPr>
        <w:t xml:space="preserve">Florida Crystals’ argument that </w:t>
      </w:r>
      <w:r w:rsidRPr="00383AE0">
        <w:rPr>
          <w:rFonts w:ascii="Times New Roman" w:hAnsi="Times New Roman"/>
          <w:sz w:val="24"/>
          <w:szCs w:val="24"/>
        </w:rPr>
        <w:t xml:space="preserve">the rates set forth in the GTA were covered by and </w:t>
      </w:r>
      <w:r w:rsidR="00CB39E3">
        <w:rPr>
          <w:rFonts w:ascii="Times New Roman" w:hAnsi="Times New Roman"/>
          <w:sz w:val="24"/>
          <w:szCs w:val="24"/>
        </w:rPr>
        <w:t>were</w:t>
      </w:r>
      <w:r w:rsidR="00AB7A10">
        <w:rPr>
          <w:rFonts w:ascii="Times New Roman" w:hAnsi="Times New Roman"/>
          <w:sz w:val="24"/>
          <w:szCs w:val="24"/>
        </w:rPr>
        <w:t xml:space="preserve"> </w:t>
      </w:r>
      <w:r w:rsidRPr="00383AE0">
        <w:rPr>
          <w:rFonts w:ascii="Times New Roman" w:hAnsi="Times New Roman"/>
          <w:sz w:val="24"/>
          <w:szCs w:val="24"/>
        </w:rPr>
        <w:t>consistent with FCG’s Rate Schedule KTS</w:t>
      </w:r>
      <w:r>
        <w:rPr>
          <w:rFonts w:ascii="Times New Roman" w:hAnsi="Times New Roman"/>
          <w:sz w:val="24"/>
          <w:szCs w:val="24"/>
        </w:rPr>
        <w:t xml:space="preserve"> at the time the GTA was negotiated reflects disputed issues of fact and law and is, therefore, a</w:t>
      </w:r>
      <w:r w:rsidR="009561CE">
        <w:rPr>
          <w:rFonts w:ascii="Times New Roman" w:hAnsi="Times New Roman"/>
          <w:sz w:val="24"/>
          <w:szCs w:val="24"/>
        </w:rPr>
        <w:t xml:space="preserve">n affirmative defense. </w:t>
      </w:r>
      <w:r w:rsidR="009561CE">
        <w:rPr>
          <w:rFonts w:ascii="Times New Roman" w:hAnsi="Times New Roman"/>
          <w:sz w:val="24"/>
          <w:szCs w:val="24"/>
        </w:rPr>
        <w:lastRenderedPageBreak/>
        <w:t xml:space="preserve">Furthermore, </w:t>
      </w:r>
      <w:r w:rsidR="005C4C7E">
        <w:rPr>
          <w:rFonts w:ascii="Times New Roman" w:hAnsi="Times New Roman"/>
          <w:sz w:val="24"/>
          <w:szCs w:val="24"/>
        </w:rPr>
        <w:t>FCG is obligated to request this</w:t>
      </w:r>
      <w:r>
        <w:rPr>
          <w:rFonts w:ascii="Times New Roman" w:hAnsi="Times New Roman"/>
          <w:sz w:val="24"/>
          <w:szCs w:val="24"/>
        </w:rPr>
        <w:t xml:space="preserve"> Commission’s review of the GTA as each of the respective rate periods are not consistent with Rate Schedule KDS;</w:t>
      </w:r>
    </w:p>
    <w:p w:rsidR="00CE732F" w:rsidRDefault="00CE732F" w:rsidP="00A70C23">
      <w:pPr>
        <w:pStyle w:val="ListParagraph"/>
        <w:numPr>
          <w:ilvl w:val="0"/>
          <w:numId w:val="2"/>
        </w:numPr>
        <w:spacing w:after="0" w:line="240" w:lineRule="auto"/>
        <w:ind w:left="1080"/>
        <w:jc w:val="both"/>
        <w:rPr>
          <w:rFonts w:ascii="Times New Roman" w:hAnsi="Times New Roman"/>
          <w:sz w:val="24"/>
          <w:szCs w:val="24"/>
        </w:rPr>
      </w:pPr>
      <w:r>
        <w:rPr>
          <w:rFonts w:ascii="Times New Roman" w:hAnsi="Times New Roman"/>
          <w:sz w:val="24"/>
          <w:szCs w:val="24"/>
        </w:rPr>
        <w:t>Florida Crystals’ Exhibit C does not meet the standa</w:t>
      </w:r>
      <w:r w:rsidR="006C7E45">
        <w:rPr>
          <w:rFonts w:ascii="Times New Roman" w:hAnsi="Times New Roman"/>
          <w:sz w:val="24"/>
          <w:szCs w:val="24"/>
        </w:rPr>
        <w:t xml:space="preserve">rds for a motion to dismiss and </w:t>
      </w:r>
      <w:r>
        <w:rPr>
          <w:rFonts w:ascii="Times New Roman" w:hAnsi="Times New Roman"/>
          <w:sz w:val="24"/>
          <w:szCs w:val="24"/>
        </w:rPr>
        <w:t>“no public utility has the unilateral power to waive its tariff, Rule 25-9.034, or this Commission’s authority under Chapter 366”;</w:t>
      </w:r>
    </w:p>
    <w:p w:rsidR="00CE732F" w:rsidRDefault="00CE732F" w:rsidP="00A70C23">
      <w:pPr>
        <w:pStyle w:val="ListParagraph"/>
        <w:numPr>
          <w:ilvl w:val="0"/>
          <w:numId w:val="2"/>
        </w:numPr>
        <w:spacing w:after="0" w:line="240" w:lineRule="auto"/>
        <w:ind w:left="1080"/>
        <w:jc w:val="both"/>
        <w:rPr>
          <w:rFonts w:ascii="Times New Roman" w:hAnsi="Times New Roman"/>
          <w:sz w:val="24"/>
          <w:szCs w:val="24"/>
        </w:rPr>
      </w:pPr>
      <w:r>
        <w:rPr>
          <w:rFonts w:ascii="Times New Roman" w:hAnsi="Times New Roman"/>
          <w:sz w:val="24"/>
          <w:szCs w:val="24"/>
        </w:rPr>
        <w:t xml:space="preserve">Florida Crystals’ argument that the GTA is not a special contract requiring </w:t>
      </w:r>
      <w:r w:rsidR="005C4C7E">
        <w:rPr>
          <w:rFonts w:ascii="Times New Roman" w:hAnsi="Times New Roman"/>
          <w:sz w:val="24"/>
          <w:szCs w:val="24"/>
        </w:rPr>
        <w:t xml:space="preserve">this </w:t>
      </w:r>
      <w:r>
        <w:rPr>
          <w:rFonts w:ascii="Times New Roman" w:hAnsi="Times New Roman"/>
          <w:sz w:val="24"/>
          <w:szCs w:val="24"/>
        </w:rPr>
        <w:t>Commission</w:t>
      </w:r>
      <w:r w:rsidR="005C4C7E">
        <w:rPr>
          <w:rFonts w:ascii="Times New Roman" w:hAnsi="Times New Roman"/>
          <w:sz w:val="24"/>
          <w:szCs w:val="24"/>
        </w:rPr>
        <w:t>’s</w:t>
      </w:r>
      <w:r>
        <w:rPr>
          <w:rFonts w:ascii="Times New Roman" w:hAnsi="Times New Roman"/>
          <w:sz w:val="24"/>
          <w:szCs w:val="24"/>
        </w:rPr>
        <w:t xml:space="preserve"> approval pursuant to Rule 25-9.034(1), F.A.C., is an affirmative defense contrary to </w:t>
      </w:r>
      <w:r w:rsidR="005C4C7E">
        <w:rPr>
          <w:rFonts w:ascii="Times New Roman" w:hAnsi="Times New Roman"/>
          <w:sz w:val="24"/>
          <w:szCs w:val="24"/>
        </w:rPr>
        <w:t>the language of the rule and this</w:t>
      </w:r>
      <w:r>
        <w:rPr>
          <w:rFonts w:ascii="Times New Roman" w:hAnsi="Times New Roman"/>
          <w:sz w:val="24"/>
          <w:szCs w:val="24"/>
        </w:rPr>
        <w:t xml:space="preserve"> Commission’s underlying statutory authority over public utility rates;</w:t>
      </w:r>
    </w:p>
    <w:p w:rsidR="00CE732F" w:rsidRPr="006734F6" w:rsidRDefault="00CE732F" w:rsidP="00A70C23">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Florida Crystals’ argument that FCG obtained t</w:t>
      </w:r>
      <w:r w:rsidR="005C4C7E">
        <w:rPr>
          <w:rFonts w:ascii="Times New Roman" w:hAnsi="Times New Roman"/>
          <w:sz w:val="24"/>
          <w:szCs w:val="24"/>
        </w:rPr>
        <w:t>his</w:t>
      </w:r>
      <w:r w:rsidRPr="00383AE0">
        <w:rPr>
          <w:rFonts w:ascii="Times New Roman" w:hAnsi="Times New Roman"/>
          <w:sz w:val="24"/>
          <w:szCs w:val="24"/>
        </w:rPr>
        <w:t xml:space="preserve"> Commission</w:t>
      </w:r>
      <w:r>
        <w:rPr>
          <w:rFonts w:ascii="Times New Roman" w:hAnsi="Times New Roman"/>
          <w:sz w:val="24"/>
          <w:szCs w:val="24"/>
        </w:rPr>
        <w:t>’s approval of the GTA rates through FCG’s 2003 rate case</w:t>
      </w:r>
      <w:r w:rsidRPr="00383AE0">
        <w:rPr>
          <w:rFonts w:ascii="Times New Roman" w:hAnsi="Times New Roman"/>
          <w:sz w:val="24"/>
          <w:szCs w:val="24"/>
        </w:rPr>
        <w:t xml:space="preserve"> </w:t>
      </w:r>
      <w:r>
        <w:rPr>
          <w:rFonts w:ascii="Times New Roman" w:hAnsi="Times New Roman"/>
          <w:sz w:val="24"/>
          <w:szCs w:val="24"/>
        </w:rPr>
        <w:t>is an affirmative defense</w:t>
      </w:r>
      <w:r w:rsidR="00AD6EBA">
        <w:rPr>
          <w:rFonts w:ascii="Times New Roman" w:hAnsi="Times New Roman"/>
          <w:sz w:val="24"/>
          <w:szCs w:val="24"/>
        </w:rPr>
        <w:t>, not a demonstration that the p</w:t>
      </w:r>
      <w:r>
        <w:rPr>
          <w:rFonts w:ascii="Times New Roman" w:hAnsi="Times New Roman"/>
          <w:sz w:val="24"/>
          <w:szCs w:val="24"/>
        </w:rPr>
        <w:t>etition fails to state a cause of action, noting that nothing in that rate case directly or indirectly meets the requirements of Rule 25-9.034(1), F.A.C., as the GTA was never filed, reviewed, or approved, and that Florida Crystals cannot point to any part of that order that contains any of the GTA rates. Further</w:t>
      </w:r>
      <w:r w:rsidR="009561CE">
        <w:rPr>
          <w:rFonts w:ascii="Times New Roman" w:hAnsi="Times New Roman"/>
          <w:sz w:val="24"/>
          <w:szCs w:val="24"/>
        </w:rPr>
        <w:t>more,</w:t>
      </w:r>
      <w:r>
        <w:rPr>
          <w:rFonts w:ascii="Times New Roman" w:hAnsi="Times New Roman"/>
          <w:sz w:val="24"/>
          <w:szCs w:val="24"/>
        </w:rPr>
        <w:t xml:space="preserve"> Florida Crystals’ submission of testimony and evidence from the 2003 rate case looks out</w:t>
      </w:r>
      <w:r w:rsidR="00AD6EBA">
        <w:rPr>
          <w:rFonts w:ascii="Times New Roman" w:hAnsi="Times New Roman"/>
          <w:sz w:val="24"/>
          <w:szCs w:val="24"/>
        </w:rPr>
        <w:t>side the four corners of FCG’s p</w:t>
      </w:r>
      <w:r>
        <w:rPr>
          <w:rFonts w:ascii="Times New Roman" w:hAnsi="Times New Roman"/>
          <w:sz w:val="24"/>
          <w:szCs w:val="24"/>
        </w:rPr>
        <w:t>etition</w:t>
      </w:r>
      <w:r w:rsidRPr="006734F6">
        <w:rPr>
          <w:rFonts w:ascii="Times New Roman" w:hAnsi="Times New Roman"/>
          <w:sz w:val="24"/>
          <w:szCs w:val="24"/>
        </w:rPr>
        <w:t>;</w:t>
      </w:r>
    </w:p>
    <w:p w:rsidR="00CE732F" w:rsidRDefault="00CE732F" w:rsidP="00A70C23">
      <w:pPr>
        <w:pStyle w:val="ListParagraph"/>
        <w:numPr>
          <w:ilvl w:val="0"/>
          <w:numId w:val="2"/>
        </w:numPr>
        <w:spacing w:after="0" w:line="240" w:lineRule="auto"/>
        <w:ind w:left="1080"/>
        <w:jc w:val="both"/>
        <w:rPr>
          <w:rFonts w:ascii="Times New Roman" w:hAnsi="Times New Roman"/>
          <w:sz w:val="24"/>
          <w:szCs w:val="24"/>
        </w:rPr>
      </w:pPr>
      <w:r>
        <w:rPr>
          <w:rFonts w:ascii="Times New Roman" w:hAnsi="Times New Roman"/>
          <w:sz w:val="24"/>
          <w:szCs w:val="24"/>
        </w:rPr>
        <w:t>Florida Crystals’ argument that t</w:t>
      </w:r>
      <w:r w:rsidRPr="00383AE0">
        <w:rPr>
          <w:rFonts w:ascii="Times New Roman" w:hAnsi="Times New Roman"/>
          <w:sz w:val="24"/>
          <w:szCs w:val="24"/>
        </w:rPr>
        <w:t>he doctrine of administrative finali</w:t>
      </w:r>
      <w:r w:rsidR="005C4C7E">
        <w:rPr>
          <w:rFonts w:ascii="Times New Roman" w:hAnsi="Times New Roman"/>
          <w:sz w:val="24"/>
          <w:szCs w:val="24"/>
        </w:rPr>
        <w:t>ty bars FCG from overturning this</w:t>
      </w:r>
      <w:r w:rsidRPr="00383AE0">
        <w:rPr>
          <w:rFonts w:ascii="Times New Roman" w:hAnsi="Times New Roman"/>
          <w:sz w:val="24"/>
          <w:szCs w:val="24"/>
        </w:rPr>
        <w:t xml:space="preserve"> Commission’s approval of its rates in its 2003 rate case</w:t>
      </w:r>
      <w:r>
        <w:rPr>
          <w:rFonts w:ascii="Times New Roman" w:hAnsi="Times New Roman"/>
          <w:sz w:val="24"/>
          <w:szCs w:val="24"/>
        </w:rPr>
        <w:t xml:space="preserve"> fails because there has been no final order on the GTA rates, the doctrine of administrative finality permits an agency to revisit a prior decision when there is a demonstration of changed facts and circumstances, and it is an affirmative defense that reaches </w:t>
      </w:r>
      <w:r w:rsidR="00AD6EBA">
        <w:rPr>
          <w:rFonts w:ascii="Times New Roman" w:hAnsi="Times New Roman"/>
          <w:sz w:val="24"/>
          <w:szCs w:val="24"/>
        </w:rPr>
        <w:t>beyond the four corners of the p</w:t>
      </w:r>
      <w:r>
        <w:rPr>
          <w:rFonts w:ascii="Times New Roman" w:hAnsi="Times New Roman"/>
          <w:sz w:val="24"/>
          <w:szCs w:val="24"/>
        </w:rPr>
        <w:t>etition;</w:t>
      </w:r>
    </w:p>
    <w:p w:rsidR="00CE732F" w:rsidRDefault="00CE732F" w:rsidP="00A70C23">
      <w:pPr>
        <w:pStyle w:val="ListParagraph"/>
        <w:numPr>
          <w:ilvl w:val="0"/>
          <w:numId w:val="2"/>
        </w:numPr>
        <w:spacing w:after="0" w:line="240" w:lineRule="auto"/>
        <w:ind w:left="1080"/>
        <w:jc w:val="both"/>
        <w:rPr>
          <w:rFonts w:ascii="Times New Roman" w:hAnsi="Times New Roman"/>
          <w:sz w:val="24"/>
          <w:szCs w:val="24"/>
        </w:rPr>
      </w:pPr>
      <w:r>
        <w:rPr>
          <w:rFonts w:ascii="Times New Roman" w:hAnsi="Times New Roman"/>
          <w:sz w:val="24"/>
          <w:szCs w:val="24"/>
        </w:rPr>
        <w:t xml:space="preserve">Florida Crystals’ argument that the GTA is subject to </w:t>
      </w:r>
      <w:r w:rsidR="005C4C7E">
        <w:rPr>
          <w:rFonts w:ascii="Times New Roman" w:hAnsi="Times New Roman"/>
          <w:sz w:val="24"/>
          <w:szCs w:val="24"/>
        </w:rPr>
        <w:t>general contract law and not this</w:t>
      </w:r>
      <w:r>
        <w:rPr>
          <w:rFonts w:ascii="Times New Roman" w:hAnsi="Times New Roman"/>
          <w:sz w:val="24"/>
          <w:szCs w:val="24"/>
        </w:rPr>
        <w:t xml:space="preserve"> Commission’s authority is an affirmative defense and does not meet the requirements for dismissal;</w:t>
      </w:r>
    </w:p>
    <w:p w:rsidR="00CE732F" w:rsidRDefault="00CE732F" w:rsidP="00A70C23">
      <w:pPr>
        <w:pStyle w:val="ListParagraph"/>
        <w:numPr>
          <w:ilvl w:val="0"/>
          <w:numId w:val="2"/>
        </w:numPr>
        <w:spacing w:after="0" w:line="240" w:lineRule="auto"/>
        <w:ind w:left="1080"/>
        <w:jc w:val="both"/>
        <w:rPr>
          <w:rFonts w:ascii="Times New Roman" w:hAnsi="Times New Roman"/>
          <w:sz w:val="24"/>
          <w:szCs w:val="24"/>
        </w:rPr>
      </w:pPr>
      <w:r>
        <w:rPr>
          <w:rFonts w:ascii="Times New Roman" w:hAnsi="Times New Roman"/>
          <w:sz w:val="24"/>
          <w:szCs w:val="24"/>
        </w:rPr>
        <w:t>The failure to previously obtain approval of the GTA does not bar F</w:t>
      </w:r>
      <w:r w:rsidR="00AD6EBA">
        <w:rPr>
          <w:rFonts w:ascii="Times New Roman" w:hAnsi="Times New Roman"/>
          <w:sz w:val="24"/>
          <w:szCs w:val="24"/>
        </w:rPr>
        <w:t>CG’s p</w:t>
      </w:r>
      <w:r>
        <w:rPr>
          <w:rFonts w:ascii="Times New Roman" w:hAnsi="Times New Roman"/>
          <w:sz w:val="24"/>
          <w:szCs w:val="24"/>
        </w:rPr>
        <w:t>etition and the statements made in the 2003 rate case, or at any other prior time, were based upon whatever the company’s then management thought appropriate are irrelevant and are perhaps affirmative defenses;</w:t>
      </w:r>
      <w:r w:rsidR="0050294C">
        <w:rPr>
          <w:rFonts w:ascii="Times New Roman" w:hAnsi="Times New Roman"/>
          <w:sz w:val="24"/>
          <w:szCs w:val="24"/>
        </w:rPr>
        <w:t xml:space="preserve"> and</w:t>
      </w:r>
    </w:p>
    <w:p w:rsidR="00CE732F" w:rsidRDefault="00CE732F" w:rsidP="00A70C23">
      <w:pPr>
        <w:pStyle w:val="ListParagraph"/>
        <w:numPr>
          <w:ilvl w:val="0"/>
          <w:numId w:val="2"/>
        </w:numPr>
        <w:spacing w:after="0" w:line="240" w:lineRule="auto"/>
        <w:ind w:left="1080"/>
        <w:jc w:val="both"/>
        <w:rPr>
          <w:rFonts w:ascii="Times New Roman" w:hAnsi="Times New Roman"/>
          <w:sz w:val="24"/>
          <w:szCs w:val="24"/>
        </w:rPr>
      </w:pPr>
      <w:r>
        <w:rPr>
          <w:rFonts w:ascii="Times New Roman" w:hAnsi="Times New Roman"/>
          <w:sz w:val="24"/>
          <w:szCs w:val="24"/>
        </w:rPr>
        <w:t>Florida Crystals’ argument that FCG should file a general rate case in order to change its rates is not a basis for dismissal as the instant issue is whether the GTA recovers its cost per the rule, not whether FCG is meeting its revenue requirements.</w:t>
      </w:r>
    </w:p>
    <w:p w:rsidR="00A70C23" w:rsidRDefault="00A70C23" w:rsidP="00A70C23">
      <w:pPr>
        <w:pStyle w:val="First-LevelSubheading"/>
        <w:rPr>
          <w:rFonts w:ascii="Times New Roman" w:hAnsi="Times New Roman" w:cs="Times New Roman"/>
          <w:b w:val="0"/>
          <w:i/>
        </w:rPr>
      </w:pPr>
    </w:p>
    <w:p w:rsidR="00CE732F" w:rsidRDefault="00961056" w:rsidP="00A70C23">
      <w:pPr>
        <w:pStyle w:val="First-LevelSubheading"/>
        <w:rPr>
          <w:rFonts w:ascii="Times New Roman" w:hAnsi="Times New Roman" w:cs="Times New Roman"/>
          <w:b w:val="0"/>
          <w:i/>
        </w:rPr>
      </w:pPr>
      <w:r>
        <w:rPr>
          <w:rFonts w:ascii="Times New Roman" w:hAnsi="Times New Roman" w:cs="Times New Roman"/>
          <w:b w:val="0"/>
          <w:i/>
        </w:rPr>
        <w:t>Conclusion</w:t>
      </w:r>
    </w:p>
    <w:p w:rsidR="00961056" w:rsidRPr="00961056" w:rsidRDefault="00961056" w:rsidP="00A70C23">
      <w:pPr>
        <w:pStyle w:val="BodyText"/>
        <w:spacing w:after="0"/>
      </w:pPr>
    </w:p>
    <w:p w:rsidR="00CE732F" w:rsidRDefault="00CE732F" w:rsidP="00A70C23">
      <w:pPr>
        <w:pStyle w:val="BodyText"/>
        <w:spacing w:after="0"/>
        <w:ind w:firstLine="720"/>
        <w:jc w:val="both"/>
      </w:pPr>
      <w:r>
        <w:t xml:space="preserve">When viewed within the “four corners of the complaint” exclusive of all affirmative defenses/responses, assuming all alleged facts are true, and in the light most favorable to FCG, </w:t>
      </w:r>
      <w:r w:rsidR="001662DE">
        <w:t>we find</w:t>
      </w:r>
      <w:r w:rsidR="00AB7A10">
        <w:t xml:space="preserve"> that</w:t>
      </w:r>
      <w:r w:rsidR="00AD6EBA">
        <w:t xml:space="preserve"> the p</w:t>
      </w:r>
      <w:r w:rsidR="00AB7A10">
        <w:t>etition stated</w:t>
      </w:r>
      <w:r>
        <w:t xml:space="preserve"> a cause</w:t>
      </w:r>
      <w:r w:rsidR="00AB7A10">
        <w:t xml:space="preserve"> of action that would invoke </w:t>
      </w:r>
      <w:r w:rsidR="001662DE">
        <w:t>our</w:t>
      </w:r>
      <w:r>
        <w:t xml:space="preserve"> jurisdict</w:t>
      </w:r>
      <w:r w:rsidR="00AB7A10">
        <w:t xml:space="preserve">ion or permit </w:t>
      </w:r>
      <w:r w:rsidR="001662DE">
        <w:t>us</w:t>
      </w:r>
      <w:r>
        <w:t xml:space="preserve"> to grant the relief requested.  Spe</w:t>
      </w:r>
      <w:r w:rsidR="00AD6EBA">
        <w:t>cifically, the p</w:t>
      </w:r>
      <w:r w:rsidR="00AB7A10">
        <w:t>etition contained</w:t>
      </w:r>
      <w:r>
        <w:t xml:space="preserve"> suf</w:t>
      </w:r>
      <w:r w:rsidR="00AB7A10">
        <w:t xml:space="preserve">ficient allegations to allow </w:t>
      </w:r>
      <w:r w:rsidR="001662DE">
        <w:t>us</w:t>
      </w:r>
      <w:r>
        <w:t xml:space="preserve"> to review the GTA and determ</w:t>
      </w:r>
      <w:r w:rsidR="00AB7A10">
        <w:t xml:space="preserve">ine whether it is subject to </w:t>
      </w:r>
      <w:r w:rsidR="001662DE">
        <w:t>our</w:t>
      </w:r>
      <w:r>
        <w:t xml:space="preserve"> approval as prescribed by Rule 25-9.034(1), F.A.C. For these reasons,</w:t>
      </w:r>
      <w:r w:rsidR="001662DE">
        <w:t xml:space="preserve"> and after considering the written and oral arguments provided by the parties,</w:t>
      </w:r>
      <w:r>
        <w:t xml:space="preserve"> </w:t>
      </w:r>
      <w:r w:rsidR="00AD6EBA">
        <w:t>we hereby</w:t>
      </w:r>
      <w:r>
        <w:t xml:space="preserve"> deny Florida Crystals’ Motion to Dismiss Petition.</w:t>
      </w:r>
    </w:p>
    <w:p w:rsidR="00CE732F" w:rsidRDefault="00CE732F" w:rsidP="00A70C23">
      <w:pPr>
        <w:pStyle w:val="BodyText"/>
        <w:spacing w:after="0"/>
      </w:pPr>
    </w:p>
    <w:p w:rsidR="00CE732F" w:rsidRDefault="00CE732F" w:rsidP="00A70C23">
      <w:pPr>
        <w:pStyle w:val="BodyText"/>
        <w:spacing w:after="0"/>
        <w:ind w:firstLine="720"/>
        <w:jc w:val="both"/>
      </w:pPr>
    </w:p>
    <w:p w:rsidR="00961056" w:rsidRDefault="00961056" w:rsidP="00A70C23">
      <w:pPr>
        <w:pStyle w:val="BodyText"/>
        <w:spacing w:after="0"/>
        <w:jc w:val="both"/>
        <w:rPr>
          <w:u w:val="single"/>
        </w:rPr>
      </w:pPr>
      <w:r>
        <w:rPr>
          <w:u w:val="single"/>
        </w:rPr>
        <w:lastRenderedPageBreak/>
        <w:t>Temporary Rates</w:t>
      </w:r>
    </w:p>
    <w:p w:rsidR="00A27511" w:rsidRDefault="00A27511" w:rsidP="00A70C23">
      <w:pPr>
        <w:pStyle w:val="BodyText"/>
        <w:spacing w:after="0"/>
        <w:ind w:firstLine="720"/>
        <w:jc w:val="both"/>
      </w:pPr>
    </w:p>
    <w:p w:rsidR="00CE732F" w:rsidRDefault="00961056" w:rsidP="00A70C23">
      <w:pPr>
        <w:pStyle w:val="BodyText"/>
        <w:spacing w:after="0"/>
        <w:ind w:firstLine="720"/>
        <w:jc w:val="both"/>
      </w:pPr>
      <w:r>
        <w:t xml:space="preserve">This section addresses </w:t>
      </w:r>
      <w:r w:rsidR="00CE732F">
        <w:t xml:space="preserve">City Gas's Motion for Approval of the Temporary Interim Service Arrangement including the revised Interim Rates filed on November 1, </w:t>
      </w:r>
      <w:r>
        <w:t>2016 in Confidential Exhibit 3A</w:t>
      </w:r>
      <w:r w:rsidR="00906652">
        <w:t>, along with our decision on the appropriate temporary rates</w:t>
      </w:r>
      <w:r>
        <w:t>.</w:t>
      </w:r>
    </w:p>
    <w:p w:rsidR="00A70C23" w:rsidRDefault="00A70C23" w:rsidP="00A70C23">
      <w:pPr>
        <w:pStyle w:val="First-LevelSubheading"/>
        <w:rPr>
          <w:rFonts w:ascii="Times New Roman" w:hAnsi="Times New Roman" w:cs="Times New Roman"/>
        </w:rPr>
      </w:pPr>
    </w:p>
    <w:p w:rsidR="00CE732F" w:rsidRPr="00961056" w:rsidRDefault="00CE732F" w:rsidP="00A70C23">
      <w:pPr>
        <w:pStyle w:val="First-LevelSubheading"/>
        <w:rPr>
          <w:rFonts w:ascii="Times New Roman" w:hAnsi="Times New Roman" w:cs="Times New Roman"/>
        </w:rPr>
      </w:pPr>
      <w:r w:rsidRPr="00961056">
        <w:rPr>
          <w:rFonts w:ascii="Times New Roman" w:hAnsi="Times New Roman" w:cs="Times New Roman"/>
        </w:rPr>
        <w:t>Background</w:t>
      </w:r>
    </w:p>
    <w:p w:rsidR="00961056" w:rsidRPr="00961056" w:rsidRDefault="00961056" w:rsidP="00A70C23">
      <w:pPr>
        <w:pStyle w:val="BodyText"/>
        <w:spacing w:after="0"/>
      </w:pPr>
    </w:p>
    <w:p w:rsidR="00CE732F" w:rsidRDefault="00CE732F" w:rsidP="00A70C23">
      <w:pPr>
        <w:pStyle w:val="BodyText"/>
        <w:spacing w:after="0"/>
        <w:ind w:firstLine="720"/>
        <w:jc w:val="both"/>
      </w:pPr>
      <w:r>
        <w:t xml:space="preserve">As chronicled in the background, the parties to the GTA have filed pleadings in which numerous assertions were made pertaining to factual circumstances and points of law regarding which the parties provided differing interpretations. </w:t>
      </w:r>
      <w:r w:rsidR="00AD6EBA">
        <w:t>This Commission</w:t>
      </w:r>
      <w:r>
        <w:t xml:space="preserve"> does not attempt to adjudicate each point of contention for purposes of </w:t>
      </w:r>
      <w:r w:rsidR="00CB2125">
        <w:t>our decision here</w:t>
      </w:r>
      <w:r>
        <w:t xml:space="preserve">. As discussed below, </w:t>
      </w:r>
      <w:r w:rsidR="00AD6EBA">
        <w:t>we find</w:t>
      </w:r>
      <w:r>
        <w:t xml:space="preserve"> that the overarching objective at this time is to </w:t>
      </w:r>
      <w:r w:rsidR="00AD6EBA">
        <w:t>approve</w:t>
      </w:r>
      <w:r>
        <w:t xml:space="preserve"> an interim solution under which the parties to the GTA can continue to operate and collaborate on a permanent solution.</w:t>
      </w:r>
    </w:p>
    <w:p w:rsidR="00961056" w:rsidRDefault="00961056" w:rsidP="00A70C23">
      <w:pPr>
        <w:pStyle w:val="BodyText"/>
        <w:spacing w:after="0"/>
        <w:ind w:firstLine="720"/>
        <w:jc w:val="both"/>
      </w:pPr>
    </w:p>
    <w:p w:rsidR="00CE732F" w:rsidRDefault="00CE732F" w:rsidP="00A70C23">
      <w:pPr>
        <w:pStyle w:val="BodyText"/>
        <w:spacing w:after="0"/>
        <w:ind w:firstLine="720"/>
        <w:jc w:val="both"/>
      </w:pPr>
      <w:r>
        <w:t>The term of the GTA</w:t>
      </w:r>
      <w:r>
        <w:rPr>
          <w:rStyle w:val="FootnoteReference"/>
        </w:rPr>
        <w:footnoteReference w:id="11"/>
      </w:r>
      <w:r>
        <w:t xml:space="preserve"> is divided into three basic intervals: Primary Term, Make-Up Period, and Extended Term. City Gas represented that the Extended Term begins on January 1, 2017. Crystals provided documentation in its November 1, 2016 response to </w:t>
      </w:r>
      <w:r w:rsidR="00AD6EBA">
        <w:t xml:space="preserve">Commission </w:t>
      </w:r>
      <w:r>
        <w:t xml:space="preserve">staff’s first data request to support its representation of a November 15, 2016 start date for the GTA’s Extended Term. </w:t>
      </w:r>
      <w:r w:rsidR="00B749A3">
        <w:t>It appears</w:t>
      </w:r>
      <w:r>
        <w:t xml:space="preserve"> that the documentation provided by Crystals adequately supports the assertion regarding a November 15, 2016 start date for the Extended Term. The contract rates that Crystals would pay under the Extended Term differ from the contract rates applicable during the Primary Term and Make-Up Period. </w:t>
      </w:r>
      <w:r w:rsidR="00AD6EBA">
        <w:t>Our</w:t>
      </w:r>
      <w:r>
        <w:t xml:space="preserve"> analysis focuses on whether the contract rates during the Extended Term would cover City Gas’s cost to serve Crystals on a going-forward basis. The Extended Term h</w:t>
      </w:r>
      <w:r w:rsidR="00E64903">
        <w:t>as a 15-year term ending in 2031</w:t>
      </w:r>
      <w:r>
        <w:t>. Therefore, the determination of appropriate prospective contract rates is important due to the length of the remaining duration of the GTA.</w:t>
      </w:r>
    </w:p>
    <w:p w:rsidR="00A70C23" w:rsidRDefault="00A70C23" w:rsidP="00A70C23">
      <w:pPr>
        <w:pStyle w:val="First-LevelSubheading"/>
        <w:rPr>
          <w:rFonts w:ascii="Times New Roman" w:hAnsi="Times New Roman" w:cs="Times New Roman"/>
        </w:rPr>
      </w:pPr>
    </w:p>
    <w:p w:rsidR="00CE732F" w:rsidRDefault="00CE732F" w:rsidP="00A70C23">
      <w:pPr>
        <w:pStyle w:val="First-LevelSubheading"/>
        <w:rPr>
          <w:rFonts w:ascii="Times New Roman" w:hAnsi="Times New Roman" w:cs="Times New Roman"/>
        </w:rPr>
      </w:pPr>
      <w:r w:rsidRPr="00961056">
        <w:rPr>
          <w:rFonts w:ascii="Times New Roman" w:hAnsi="Times New Roman" w:cs="Times New Roman"/>
        </w:rPr>
        <w:t>Prospective Coverage of Cost of Service</w:t>
      </w:r>
    </w:p>
    <w:p w:rsidR="00961056" w:rsidRPr="00961056" w:rsidRDefault="00961056" w:rsidP="00A70C23">
      <w:pPr>
        <w:pStyle w:val="BodyText"/>
        <w:spacing w:after="0"/>
      </w:pPr>
    </w:p>
    <w:p w:rsidR="00CE732F" w:rsidRDefault="00CE732F" w:rsidP="00A70C23">
      <w:pPr>
        <w:pStyle w:val="BodyText"/>
        <w:spacing w:after="0"/>
        <w:ind w:firstLine="720"/>
        <w:jc w:val="both"/>
      </w:pPr>
      <w:r>
        <w:t xml:space="preserve">In conjunction with its petition filed on July 22, 2016, City Gas provided information to support its assertion that the Extended Term contract rates would not cover the cost to serve Crystals on a going-forward basis. In its August 31, 2016 Motion for Approval of a Temporary Interim Service Arrangement, City Gas </w:t>
      </w:r>
      <w:r w:rsidR="00E800A5">
        <w:t>requested</w:t>
      </w:r>
      <w:r>
        <w:t xml:space="preserve"> temporary rates</w:t>
      </w:r>
      <w:r w:rsidR="00E800A5">
        <w:t xml:space="preserve"> as</w:t>
      </w:r>
      <w:r>
        <w:t xml:space="preserve"> set forth in </w:t>
      </w:r>
      <w:r w:rsidR="005E56FA">
        <w:t>its</w:t>
      </w:r>
      <w:r>
        <w:t xml:space="preserve"> original petition in which City Gas stated that based upon its recent experience, “transportation service for Florida Crystals can be net profitable at rates below the tariff rate.”</w:t>
      </w:r>
      <w:r>
        <w:rPr>
          <w:rStyle w:val="FootnoteReference"/>
        </w:rPr>
        <w:footnoteReference w:id="12"/>
      </w:r>
    </w:p>
    <w:p w:rsidR="00AD6EBA" w:rsidRDefault="00AD6EBA" w:rsidP="00A70C23">
      <w:pPr>
        <w:pStyle w:val="BodyText"/>
        <w:spacing w:after="0"/>
        <w:ind w:firstLine="720"/>
        <w:jc w:val="both"/>
      </w:pPr>
    </w:p>
    <w:p w:rsidR="00CE732F" w:rsidRDefault="00CE732F" w:rsidP="00A70C23">
      <w:pPr>
        <w:pStyle w:val="BodyText"/>
        <w:spacing w:after="0"/>
        <w:ind w:firstLine="720"/>
        <w:jc w:val="both"/>
      </w:pPr>
      <w:r>
        <w:t xml:space="preserve">However, in its November 1, 2016 response to </w:t>
      </w:r>
      <w:r w:rsidR="00AD6EBA">
        <w:t xml:space="preserve">Commission </w:t>
      </w:r>
      <w:r>
        <w:t>staff’s first data request, City Gas provided revised information which indicated that from its inception, the GTA has not covered the cost to serve Crystals. City Gas also provided revisions to the proposed tempo</w:t>
      </w:r>
      <w:r w:rsidR="00AD6EBA">
        <w:t>rary interim rates that it averred</w:t>
      </w:r>
      <w:r>
        <w:t xml:space="preserve"> would be necessary to cover the cost to serve (</w:t>
      </w:r>
      <w:r w:rsidRPr="00512D0F">
        <w:rPr>
          <w:i/>
        </w:rPr>
        <w:t>i.e.</w:t>
      </w:r>
      <w:r>
        <w:t>, superseding the rates in the proposed Temporary Interim Service Arrangement).</w:t>
      </w:r>
    </w:p>
    <w:p w:rsidR="00CE732F" w:rsidRDefault="00CE732F" w:rsidP="00A70C23">
      <w:pPr>
        <w:pStyle w:val="BodyText"/>
        <w:spacing w:after="0"/>
        <w:ind w:firstLine="720"/>
        <w:jc w:val="both"/>
      </w:pPr>
      <w:r>
        <w:lastRenderedPageBreak/>
        <w:t>In its September 19, 2016 Response in Opposition to Motion for Approval of a Temporary Interim Service Arrangement, Crystals asserted that the Extended Term rates generate revenues that are significantly greater than City Gas</w:t>
      </w:r>
      <w:r w:rsidR="00D44494">
        <w:t>’s true incremental cost</w:t>
      </w:r>
      <w:r>
        <w:t xml:space="preserve"> to serve. Crystals suggested that the true incremental costs of serving the Okeelanta facility are at most City Gas’s operation and maintenance (O&amp;M) costs. Crystals stated that comparing City Gas’s projected O&amp;M costs to the revenues that City Gas expects to receive under the Extended Term GTA rates shows that the projected revenues e</w:t>
      </w:r>
      <w:r w:rsidR="00D44494">
        <w:t>xceed the true incremental cost</w:t>
      </w:r>
      <w:r>
        <w:t xml:space="preserve"> of service.</w:t>
      </w:r>
      <w:r>
        <w:rPr>
          <w:rStyle w:val="FootnoteReference"/>
        </w:rPr>
        <w:footnoteReference w:id="13"/>
      </w:r>
    </w:p>
    <w:p w:rsidR="00A70C23" w:rsidRDefault="00A70C23" w:rsidP="00A70C23">
      <w:pPr>
        <w:pStyle w:val="BodyText"/>
        <w:spacing w:after="0"/>
        <w:ind w:firstLine="720"/>
        <w:jc w:val="both"/>
      </w:pPr>
    </w:p>
    <w:p w:rsidR="00CE732F" w:rsidRDefault="00CE732F" w:rsidP="00A70C23">
      <w:pPr>
        <w:pStyle w:val="BodyText"/>
        <w:spacing w:after="0"/>
        <w:ind w:firstLine="720"/>
        <w:jc w:val="both"/>
      </w:pPr>
      <w:r>
        <w:t xml:space="preserve">When </w:t>
      </w:r>
      <w:r w:rsidR="00AD6EBA">
        <w:t>this Commission</w:t>
      </w:r>
      <w:r>
        <w:t xml:space="preserve"> evaluates whether or not special contract rates such as those contained in the GTA are sufficient to </w:t>
      </w:r>
      <w:r w:rsidR="00AD6EBA">
        <w:t>cover the cost of service, we</w:t>
      </w:r>
      <w:r>
        <w:t xml:space="preserve"> rev</w:t>
      </w:r>
      <w:r w:rsidR="00AD6EBA">
        <w:t>iew</w:t>
      </w:r>
      <w:r>
        <w:t xml:space="preserve"> the support provided for all the costs associated with serving the customer. These costs include the utility’s required return on investment (rate base times rate of return), O&amp;M expense, depreciation expense, state income taxes, federal income taxes, and taxes other than income taxes (primarily </w:t>
      </w:r>
      <w:r w:rsidR="00AD6EBA">
        <w:t>property taxes). We therefore disagree</w:t>
      </w:r>
      <w:r>
        <w:t xml:space="preserve"> with Crystals’ assertion that the consideration should be limited to the projected O&amp;M costs.</w:t>
      </w:r>
    </w:p>
    <w:p w:rsidR="00A70C23" w:rsidRDefault="00A70C23" w:rsidP="00A70C23">
      <w:pPr>
        <w:pStyle w:val="BodyText"/>
        <w:spacing w:after="0"/>
        <w:ind w:firstLine="720"/>
        <w:jc w:val="both"/>
      </w:pPr>
    </w:p>
    <w:p w:rsidR="00CE732F" w:rsidRDefault="00CE732F" w:rsidP="00A70C23">
      <w:pPr>
        <w:pStyle w:val="BodyText"/>
        <w:spacing w:after="0"/>
        <w:ind w:firstLine="720"/>
        <w:jc w:val="both"/>
      </w:pPr>
      <w:r>
        <w:t xml:space="preserve">At the noticed meeting with City Gas and Crystals on November 15, 2016, </w:t>
      </w:r>
      <w:r w:rsidR="005C4C7E">
        <w:t xml:space="preserve">Commission </w:t>
      </w:r>
      <w:r>
        <w:t>staff discussed the differences between City Gas’s November 1, 2016 representation that the GTA has never covered the cost to serve and the testimony of City Gas’s expert witness in City Gas’s 200</w:t>
      </w:r>
      <w:r w:rsidR="00F31CD0">
        <w:t>3 rate case which stated that “[t]</w:t>
      </w:r>
      <w:r>
        <w:t>he Company’s negotiated rate contract with Florida Crystals establishes a rate that recovers its cost to provide service.”</w:t>
      </w:r>
      <w:r>
        <w:rPr>
          <w:rStyle w:val="FootnoteReference"/>
        </w:rPr>
        <w:footnoteReference w:id="14"/>
      </w:r>
      <w:r>
        <w:t xml:space="preserve"> City Gas represented to </w:t>
      </w:r>
      <w:r w:rsidR="00AD6EBA">
        <w:t xml:space="preserve">Commission </w:t>
      </w:r>
      <w:r>
        <w:t>staff that its current presentation on the cost to serve Crystals is based on the best available information.</w:t>
      </w:r>
    </w:p>
    <w:p w:rsidR="00A70C23" w:rsidRDefault="00A70C23" w:rsidP="00A70C23">
      <w:pPr>
        <w:pStyle w:val="BodyText"/>
        <w:spacing w:after="0"/>
        <w:ind w:firstLine="720"/>
        <w:jc w:val="both"/>
      </w:pPr>
    </w:p>
    <w:p w:rsidR="00CE732F" w:rsidRDefault="00CE732F" w:rsidP="00A70C23">
      <w:pPr>
        <w:pStyle w:val="BodyText"/>
        <w:spacing w:after="0"/>
        <w:ind w:firstLine="720"/>
        <w:jc w:val="both"/>
      </w:pPr>
      <w:r>
        <w:t>While the above mentioned inconsistency in historical information concern</w:t>
      </w:r>
      <w:r w:rsidR="00A144A7">
        <w:t>s</w:t>
      </w:r>
      <w:r>
        <w:t xml:space="preserve"> </w:t>
      </w:r>
      <w:r w:rsidR="00A144A7">
        <w:t>us</w:t>
      </w:r>
      <w:r>
        <w:t xml:space="preserve">, </w:t>
      </w:r>
      <w:r w:rsidR="00AD6EBA">
        <w:t>this order</w:t>
      </w:r>
      <w:r>
        <w:t xml:space="preserve"> focuses on whether or not the rates in the GTA will cover City Gas’s cost to serve Crystals on a going-forward basis. Based on the confidential in</w:t>
      </w:r>
      <w:r w:rsidR="00B65967">
        <w:t xml:space="preserve">formation provided by City Gas, it appears </w:t>
      </w:r>
      <w:r>
        <w:t xml:space="preserve">that City Gas has made a reasonable demonstration that the GTA contract rates under the Extended Term would not cover the cost to serve. </w:t>
      </w:r>
      <w:r w:rsidR="00AD6EBA">
        <w:t>We further find</w:t>
      </w:r>
      <w:r>
        <w:t xml:space="preserve"> that Commission action is appropriate at this time due to Crystals’ assertion that the</w:t>
      </w:r>
      <w:r w:rsidR="00AD6EBA">
        <w:t xml:space="preserve"> Extended Term commenced</w:t>
      </w:r>
      <w:r>
        <w:t xml:space="preserve"> on November 15, 2016. </w:t>
      </w:r>
      <w:r w:rsidR="00AD6EBA">
        <w:t>Commission s</w:t>
      </w:r>
      <w:r>
        <w:t>taff developed four potential options for consideration; these options are discussed below.</w:t>
      </w:r>
    </w:p>
    <w:p w:rsidR="00A70C23" w:rsidRDefault="00A70C23" w:rsidP="00A70C23">
      <w:pPr>
        <w:pStyle w:val="First-LevelSubheading"/>
        <w:rPr>
          <w:rFonts w:ascii="Times New Roman" w:hAnsi="Times New Roman" w:cs="Times New Roman"/>
        </w:rPr>
      </w:pPr>
    </w:p>
    <w:p w:rsidR="00CE732F" w:rsidRDefault="00CE732F" w:rsidP="00A70C23">
      <w:pPr>
        <w:pStyle w:val="First-LevelSubheading"/>
        <w:rPr>
          <w:rFonts w:ascii="Times New Roman" w:hAnsi="Times New Roman" w:cs="Times New Roman"/>
        </w:rPr>
      </w:pPr>
      <w:r w:rsidRPr="00961056">
        <w:rPr>
          <w:rFonts w:ascii="Times New Roman" w:hAnsi="Times New Roman" w:cs="Times New Roman"/>
        </w:rPr>
        <w:t>Discussion of Potential Courses of Action</w:t>
      </w:r>
    </w:p>
    <w:p w:rsidR="00961056" w:rsidRPr="00961056" w:rsidRDefault="00961056" w:rsidP="00A70C23">
      <w:pPr>
        <w:pStyle w:val="BodyText"/>
        <w:spacing w:after="0"/>
      </w:pPr>
    </w:p>
    <w:p w:rsidR="00CE732F" w:rsidRDefault="00961056" w:rsidP="00A70C23">
      <w:pPr>
        <w:pStyle w:val="Second-LevelSubheading"/>
        <w:ind w:left="0"/>
        <w:rPr>
          <w:rFonts w:ascii="Times New Roman" w:hAnsi="Times New Roman" w:cs="Times New Roman"/>
          <w:b w:val="0"/>
        </w:rPr>
      </w:pPr>
      <w:r>
        <w:rPr>
          <w:rFonts w:ascii="Times New Roman" w:hAnsi="Times New Roman" w:cs="Times New Roman"/>
          <w:b w:val="0"/>
        </w:rPr>
        <w:t>Option 1 – Tariff Rate</w:t>
      </w:r>
    </w:p>
    <w:p w:rsidR="00961056" w:rsidRPr="00961056" w:rsidRDefault="00961056" w:rsidP="00A70C23">
      <w:pPr>
        <w:pStyle w:val="BodyText"/>
        <w:spacing w:after="0"/>
      </w:pPr>
    </w:p>
    <w:p w:rsidR="00CE732F" w:rsidRDefault="00AD6EBA" w:rsidP="00A70C23">
      <w:pPr>
        <w:pStyle w:val="BodyText"/>
        <w:spacing w:after="0"/>
        <w:ind w:firstLine="720"/>
        <w:jc w:val="both"/>
      </w:pPr>
      <w:r>
        <w:t xml:space="preserve">If </w:t>
      </w:r>
      <w:r w:rsidR="00744E19">
        <w:t>we</w:t>
      </w:r>
      <w:r w:rsidR="00CE732F">
        <w:t xml:space="preserve"> were to take no further action in this docket prior to January 1, 2017, City Gas stated that pursuant to Section 366.06(1), F.S., and Rule 25-9.034, F.A.C., it would be required to begin charging Crystals the applicable tariff rate as of January 1, 2017.</w:t>
      </w:r>
      <w:r w:rsidR="00CE732F">
        <w:rPr>
          <w:rStyle w:val="FootnoteReference"/>
        </w:rPr>
        <w:footnoteReference w:id="15"/>
      </w:r>
      <w:r w:rsidR="00CE732F">
        <w:t xml:space="preserve"> </w:t>
      </w:r>
      <w:r w:rsidR="00EB33E6">
        <w:t xml:space="preserve">We shall not approve </w:t>
      </w:r>
      <w:r w:rsidR="00EB33E6">
        <w:lastRenderedPageBreak/>
        <w:t>this option as it appears</w:t>
      </w:r>
      <w:r w:rsidR="00CE732F">
        <w:t xml:space="preserve"> the applicable rate contained in the GS-1,250k rate schedule would cause a significant adverse financial impact to Crystals. City Gas also agreed that the application of the tariff would impose a significant hardship to Crystals and the tariff does not adequately address a customer like Crystals.</w:t>
      </w:r>
      <w:r w:rsidR="00CE732F">
        <w:rPr>
          <w:rStyle w:val="FootnoteReference"/>
        </w:rPr>
        <w:footnoteReference w:id="16"/>
      </w:r>
      <w:r w:rsidR="00CE732F">
        <w:t xml:space="preserve"> </w:t>
      </w:r>
    </w:p>
    <w:p w:rsidR="00961056" w:rsidRDefault="00961056" w:rsidP="00A70C23">
      <w:pPr>
        <w:pStyle w:val="Second-LevelSubheading"/>
        <w:ind w:left="0"/>
        <w:rPr>
          <w:rFonts w:ascii="Times New Roman" w:hAnsi="Times New Roman" w:cs="Times New Roman"/>
          <w:b w:val="0"/>
          <w:bCs w:val="0"/>
          <w:i w:val="0"/>
          <w:iCs w:val="0"/>
          <w:szCs w:val="24"/>
        </w:rPr>
      </w:pPr>
    </w:p>
    <w:p w:rsidR="00CE732F" w:rsidRDefault="00CE732F" w:rsidP="00A70C23">
      <w:pPr>
        <w:pStyle w:val="Second-LevelSubheading"/>
        <w:ind w:left="0"/>
        <w:rPr>
          <w:rFonts w:ascii="Times New Roman" w:hAnsi="Times New Roman" w:cs="Times New Roman"/>
          <w:b w:val="0"/>
        </w:rPr>
      </w:pPr>
      <w:r w:rsidRPr="00961056">
        <w:rPr>
          <w:rFonts w:ascii="Times New Roman" w:hAnsi="Times New Roman" w:cs="Times New Roman"/>
          <w:b w:val="0"/>
        </w:rPr>
        <w:t>Option 2 – Revised Temporary Interim Rate (FCG Proposal)</w:t>
      </w:r>
    </w:p>
    <w:p w:rsidR="00961056" w:rsidRPr="00961056" w:rsidRDefault="00961056" w:rsidP="00A70C23">
      <w:pPr>
        <w:pStyle w:val="BodyText"/>
        <w:spacing w:after="0"/>
      </w:pPr>
    </w:p>
    <w:p w:rsidR="00CE732F" w:rsidRDefault="00CE732F" w:rsidP="00A70C23">
      <w:pPr>
        <w:pStyle w:val="BodyText"/>
        <w:spacing w:after="0"/>
        <w:ind w:firstLine="720"/>
        <w:jc w:val="both"/>
      </w:pPr>
      <w:r>
        <w:t>City Gas proposed interim rates in its Motion for Approval of a Temporary Interim Service Arrangement (Confidential Exhibit No. 3</w:t>
      </w:r>
      <w:r w:rsidR="00B84831">
        <w:t xml:space="preserve"> of FCG’s petition</w:t>
      </w:r>
      <w:r>
        <w:t xml:space="preserve">) and revised interim rates in its response to </w:t>
      </w:r>
      <w:r w:rsidR="00EB33E6">
        <w:t xml:space="preserve">Commission </w:t>
      </w:r>
      <w:r>
        <w:t xml:space="preserve">staff’s first data request (Confidential Exhibit No. 3A). Based on the information in City Gas’s data request response, </w:t>
      </w:r>
      <w:r w:rsidR="009A2660">
        <w:t>it appears</w:t>
      </w:r>
      <w:r>
        <w:t xml:space="preserve"> that the proposed interim rates as revised would cover the cost to serve Crystals. However, City Gas potentially could recover its cost of service at rates that would be more favorable to Crystals. </w:t>
      </w:r>
      <w:r w:rsidR="00EB33E6">
        <w:t>We</w:t>
      </w:r>
      <w:r>
        <w:t xml:space="preserve"> further </w:t>
      </w:r>
      <w:r w:rsidR="00EB33E6">
        <w:t>recognize</w:t>
      </w:r>
      <w:r>
        <w:t xml:space="preserve"> that it appears that the implementation of Option 2 would cause a significant adver</w:t>
      </w:r>
      <w:r w:rsidR="009A2660">
        <w:t>se financial impact to Crystals</w:t>
      </w:r>
      <w:r w:rsidR="00A52EE8">
        <w:t>,</w:t>
      </w:r>
      <w:r w:rsidR="009A2660">
        <w:t xml:space="preserve"> although</w:t>
      </w:r>
      <w:r>
        <w:t xml:space="preserve"> the impact would be less severe than the impact that would result from the implementation of Option 1. Furthermore, bas</w:t>
      </w:r>
      <w:r w:rsidR="00EB33E6">
        <w:t>ed on our</w:t>
      </w:r>
      <w:r>
        <w:t xml:space="preserve"> preliminary analysis of the revised interim rates, </w:t>
      </w:r>
      <w:r w:rsidR="00EB33E6">
        <w:t>we do</w:t>
      </w:r>
      <w:r>
        <w:t xml:space="preserve"> not agree with a key assumption regarding Crystals’ therm usage used by City Gas in the calculation. Therefore, </w:t>
      </w:r>
      <w:r w:rsidR="00752376">
        <w:t>we</w:t>
      </w:r>
      <w:r w:rsidR="00EB33E6">
        <w:t xml:space="preserve"> shall not approve this option.</w:t>
      </w:r>
    </w:p>
    <w:p w:rsidR="00961056" w:rsidRDefault="00961056" w:rsidP="00A70C23">
      <w:pPr>
        <w:pStyle w:val="BodyText"/>
        <w:spacing w:after="0"/>
        <w:ind w:firstLine="720"/>
      </w:pPr>
    </w:p>
    <w:p w:rsidR="00CE732F" w:rsidRDefault="00CE732F" w:rsidP="00A70C23">
      <w:pPr>
        <w:pStyle w:val="Second-LevelSubheading"/>
        <w:ind w:left="0"/>
        <w:rPr>
          <w:rFonts w:ascii="Times New Roman" w:hAnsi="Times New Roman" w:cs="Times New Roman"/>
          <w:b w:val="0"/>
        </w:rPr>
      </w:pPr>
      <w:r w:rsidRPr="00961056">
        <w:rPr>
          <w:rFonts w:ascii="Times New Roman" w:hAnsi="Times New Roman" w:cs="Times New Roman"/>
          <w:b w:val="0"/>
        </w:rPr>
        <w:t>Option 3 – Extended Term Contract Rate (Crystals Proposal)</w:t>
      </w:r>
    </w:p>
    <w:p w:rsidR="00961056" w:rsidRPr="00961056" w:rsidRDefault="00961056" w:rsidP="00A70C23">
      <w:pPr>
        <w:pStyle w:val="BodyText"/>
        <w:spacing w:after="0"/>
      </w:pPr>
    </w:p>
    <w:p w:rsidR="00CE732F" w:rsidRDefault="00EB33E6" w:rsidP="00A70C23">
      <w:pPr>
        <w:pStyle w:val="BodyText"/>
        <w:spacing w:after="0"/>
        <w:ind w:firstLine="720"/>
        <w:jc w:val="both"/>
      </w:pPr>
      <w:r>
        <w:t xml:space="preserve">If </w:t>
      </w:r>
      <w:r w:rsidR="00D064E9">
        <w:t>we</w:t>
      </w:r>
      <w:r w:rsidR="00CE732F">
        <w:t xml:space="preserve"> were to deny City Gas’s Motion for Approval of a Temporary Interim Service Arrangement includin</w:t>
      </w:r>
      <w:r>
        <w:t>g the revised interim rates, this</w:t>
      </w:r>
      <w:r w:rsidR="00CE732F">
        <w:t xml:space="preserve"> Commission has the option to allow the Extended Term contract rates stated in the GTA to take effect. This option would enable Crystals to receive the Extended Term rates as set forth in the GTA. However, as stated above, </w:t>
      </w:r>
      <w:r w:rsidR="009A2660">
        <w:t>it appears</w:t>
      </w:r>
      <w:r w:rsidR="00CE732F">
        <w:t xml:space="preserve"> that the Extended Term contract rates do not cover City </w:t>
      </w:r>
      <w:r w:rsidR="00941FCC">
        <w:t>Gas’s cost to serve Crystals on</w:t>
      </w:r>
      <w:r w:rsidR="00CE732F">
        <w:t xml:space="preserve"> a going-forward basis; therefore, </w:t>
      </w:r>
      <w:r w:rsidR="00EF1EEB">
        <w:t>we</w:t>
      </w:r>
      <w:r>
        <w:t xml:space="preserve"> shall not approve this option</w:t>
      </w:r>
      <w:r w:rsidR="00CE732F">
        <w:t>.</w:t>
      </w:r>
    </w:p>
    <w:p w:rsidR="00961056" w:rsidRDefault="00961056" w:rsidP="00A70C23">
      <w:pPr>
        <w:pStyle w:val="BodyText"/>
        <w:spacing w:after="0"/>
        <w:ind w:firstLine="720"/>
        <w:jc w:val="both"/>
      </w:pPr>
    </w:p>
    <w:p w:rsidR="00CE732F" w:rsidRDefault="00CE732F" w:rsidP="00A70C23">
      <w:pPr>
        <w:pStyle w:val="Second-LevelSubheading"/>
        <w:ind w:left="0"/>
        <w:rPr>
          <w:rFonts w:ascii="Times New Roman" w:hAnsi="Times New Roman" w:cs="Times New Roman"/>
          <w:b w:val="0"/>
        </w:rPr>
      </w:pPr>
      <w:r w:rsidRPr="00961056">
        <w:rPr>
          <w:rFonts w:ascii="Times New Roman" w:hAnsi="Times New Roman" w:cs="Times New Roman"/>
          <w:b w:val="0"/>
        </w:rPr>
        <w:t>Option 4 – Make-up Period GTA Rate (</w:t>
      </w:r>
      <w:r w:rsidR="00EB33E6">
        <w:rPr>
          <w:rFonts w:ascii="Times New Roman" w:hAnsi="Times New Roman" w:cs="Times New Roman"/>
          <w:b w:val="0"/>
        </w:rPr>
        <w:t>Commission Approved</w:t>
      </w:r>
      <w:r w:rsidRPr="00961056">
        <w:rPr>
          <w:rFonts w:ascii="Times New Roman" w:hAnsi="Times New Roman" w:cs="Times New Roman"/>
          <w:b w:val="0"/>
        </w:rPr>
        <w:t>)</w:t>
      </w:r>
    </w:p>
    <w:p w:rsidR="00961056" w:rsidRPr="00961056" w:rsidRDefault="00961056" w:rsidP="00A70C23">
      <w:pPr>
        <w:pStyle w:val="BodyText"/>
        <w:spacing w:after="0"/>
      </w:pPr>
    </w:p>
    <w:p w:rsidR="00CE732F" w:rsidRDefault="00EB33E6" w:rsidP="00A70C23">
      <w:pPr>
        <w:pStyle w:val="BodyText"/>
        <w:spacing w:after="0"/>
        <w:ind w:firstLine="720"/>
        <w:jc w:val="both"/>
      </w:pPr>
      <w:r>
        <w:t xml:space="preserve">If </w:t>
      </w:r>
      <w:r w:rsidR="00752126">
        <w:t>we</w:t>
      </w:r>
      <w:r w:rsidR="00CE732F">
        <w:t xml:space="preserve"> were to deny City Gas’s Motion for Approval of a Temporary Interim Service Arrangement includin</w:t>
      </w:r>
      <w:r>
        <w:t xml:space="preserve">g the revised interim rates, </w:t>
      </w:r>
      <w:r w:rsidR="00B142B8">
        <w:t>we have</w:t>
      </w:r>
      <w:r w:rsidR="00CE732F">
        <w:t xml:space="preserve"> the option to leave the Make-Up Period GTA rates in eff</w:t>
      </w:r>
      <w:r>
        <w:t xml:space="preserve">ect beginning on the date of </w:t>
      </w:r>
      <w:r w:rsidR="00B142B8">
        <w:t>our</w:t>
      </w:r>
      <w:r>
        <w:t xml:space="preserve"> vote, subject to true-up, </w:t>
      </w:r>
      <w:r w:rsidR="00CE732F">
        <w:t xml:space="preserve">until </w:t>
      </w:r>
      <w:r w:rsidR="00B142B8">
        <w:t xml:space="preserve">we make </w:t>
      </w:r>
      <w:r w:rsidR="00CE732F">
        <w:t xml:space="preserve">a final decision on this matter. Although Crystals </w:t>
      </w:r>
      <w:r>
        <w:t>will not</w:t>
      </w:r>
      <w:r w:rsidR="00CE732F">
        <w:t xml:space="preserve"> realize the benefits of the Extended Term rates during the transition period, it w</w:t>
      </w:r>
      <w:r>
        <w:t>ill</w:t>
      </w:r>
      <w:r w:rsidR="00CE732F">
        <w:t xml:space="preserve"> continue to pay the same current Make-Up Period rates and avoid the adverse financial impacts that would occur under Options 1 and 2. Based on information provided by City Gas, </w:t>
      </w:r>
      <w:r>
        <w:t xml:space="preserve">we </w:t>
      </w:r>
      <w:r w:rsidR="009A2660">
        <w:t>believe</w:t>
      </w:r>
      <w:r w:rsidR="00CE732F">
        <w:t xml:space="preserve"> that City Gas’s under-recovery of the cost of service during the transi</w:t>
      </w:r>
      <w:r>
        <w:t>tion period under Option 4 will</w:t>
      </w:r>
      <w:r w:rsidR="00CE732F">
        <w:t xml:space="preserve"> be less than the under-recovery t</w:t>
      </w:r>
      <w:r>
        <w:t xml:space="preserve">hat would occur under Option 3.  Therefore, </w:t>
      </w:r>
      <w:r w:rsidR="00B142B8">
        <w:t>we</w:t>
      </w:r>
      <w:r>
        <w:t xml:space="preserve"> shall approve this option.</w:t>
      </w:r>
    </w:p>
    <w:p w:rsidR="004C2A47" w:rsidRDefault="004C2A47" w:rsidP="0022538B">
      <w:pPr>
        <w:pStyle w:val="First-LevelSubheading"/>
        <w:rPr>
          <w:rFonts w:ascii="Times New Roman" w:hAnsi="Times New Roman" w:cs="Times New Roman"/>
        </w:rPr>
      </w:pPr>
    </w:p>
    <w:p w:rsidR="0022538B" w:rsidRDefault="0022538B" w:rsidP="0022538B">
      <w:pPr>
        <w:pStyle w:val="BodyText"/>
        <w:spacing w:after="0"/>
      </w:pPr>
    </w:p>
    <w:p w:rsidR="0022538B" w:rsidRDefault="0022538B" w:rsidP="0022538B">
      <w:pPr>
        <w:pStyle w:val="BodyText"/>
        <w:spacing w:after="0"/>
      </w:pPr>
    </w:p>
    <w:p w:rsidR="0022538B" w:rsidRPr="0022538B" w:rsidRDefault="0022538B" w:rsidP="0022538B">
      <w:pPr>
        <w:pStyle w:val="BodyText"/>
        <w:spacing w:after="0"/>
      </w:pPr>
    </w:p>
    <w:p w:rsidR="00CE732F" w:rsidRDefault="00CE732F" w:rsidP="00A70C23">
      <w:pPr>
        <w:pStyle w:val="First-LevelSubheading"/>
        <w:rPr>
          <w:rFonts w:ascii="Times New Roman" w:hAnsi="Times New Roman" w:cs="Times New Roman"/>
        </w:rPr>
      </w:pPr>
      <w:r w:rsidRPr="00961056">
        <w:rPr>
          <w:rFonts w:ascii="Times New Roman" w:hAnsi="Times New Roman" w:cs="Times New Roman"/>
        </w:rPr>
        <w:lastRenderedPageBreak/>
        <w:t>Possible Refunds</w:t>
      </w:r>
    </w:p>
    <w:p w:rsidR="00961056" w:rsidRPr="00961056" w:rsidRDefault="00961056" w:rsidP="00A70C23">
      <w:pPr>
        <w:pStyle w:val="BodyText"/>
        <w:spacing w:after="0"/>
        <w:jc w:val="both"/>
      </w:pPr>
    </w:p>
    <w:p w:rsidR="00CE732F" w:rsidRDefault="00AA503A" w:rsidP="00A70C23">
      <w:pPr>
        <w:pStyle w:val="BodyText"/>
        <w:spacing w:after="0"/>
        <w:ind w:firstLine="720"/>
        <w:jc w:val="both"/>
      </w:pPr>
      <w:r>
        <w:t>We</w:t>
      </w:r>
      <w:r w:rsidR="00CE732F">
        <w:t xml:space="preserve"> reviewed the financial condition of City Gas consistent with </w:t>
      </w:r>
      <w:r w:rsidR="00EB33E6">
        <w:t>our finding</w:t>
      </w:r>
      <w:r w:rsidR="00CE732F">
        <w:t xml:space="preserve"> that any revenues collected by City Gas from Florida Crystals during the transition period be held subject to </w:t>
      </w:r>
      <w:r w:rsidR="009A2660">
        <w:t>true-up</w:t>
      </w:r>
      <w:r w:rsidR="00CE732F">
        <w:t xml:space="preserve"> pending a final Commission decision on the appropriate contract rates in the docket. To review City Gas’s financial condition,</w:t>
      </w:r>
      <w:r w:rsidR="009A2660">
        <w:t xml:space="preserve"> in the event a refund is ultimately ordered,</w:t>
      </w:r>
      <w:r w:rsidR="00CE732F">
        <w:t xml:space="preserve"> </w:t>
      </w:r>
      <w:r w:rsidR="00EB33E6">
        <w:t>we</w:t>
      </w:r>
      <w:r w:rsidR="00CE732F">
        <w:t xml:space="preserve"> performed an analysis similar to a corporate undertaking. </w:t>
      </w:r>
      <w:r w:rsidR="00CE732F" w:rsidRPr="00933EF9">
        <w:t>The total corporate undertaking amount</w:t>
      </w:r>
      <w:r w:rsidR="00CE732F">
        <w:t xml:space="preserve"> </w:t>
      </w:r>
      <w:r w:rsidR="00EB33E6">
        <w:t>we</w:t>
      </w:r>
      <w:r w:rsidR="00CE732F">
        <w:t xml:space="preserve"> assumed in </w:t>
      </w:r>
      <w:r w:rsidR="00EB33E6">
        <w:t>our</w:t>
      </w:r>
      <w:r w:rsidR="00CE732F">
        <w:t xml:space="preserve"> analysis</w:t>
      </w:r>
      <w:r w:rsidR="00CE732F" w:rsidRPr="00933EF9">
        <w:t xml:space="preserve"> is the difference between </w:t>
      </w:r>
      <w:r w:rsidR="00CE732F">
        <w:t>City Gas</w:t>
      </w:r>
      <w:r w:rsidR="00CE732F" w:rsidRPr="00933EF9">
        <w:t>’s proposed Temporary Interim Service Arrangement Rate</w:t>
      </w:r>
      <w:r w:rsidR="00CE732F">
        <w:t xml:space="preserve"> as revised</w:t>
      </w:r>
      <w:r w:rsidR="00CE732F" w:rsidRPr="00933EF9">
        <w:t xml:space="preserve"> and the Extended Term Contract Rate</w:t>
      </w:r>
      <w:r w:rsidR="00CE732F">
        <w:t xml:space="preserve"> for one year</w:t>
      </w:r>
      <w:r w:rsidR="00CE732F" w:rsidRPr="00933EF9">
        <w:t>.</w:t>
      </w:r>
      <w:r w:rsidR="00EB33E6">
        <w:t xml:space="preserve"> We note</w:t>
      </w:r>
      <w:r w:rsidR="00CE732F">
        <w:t xml:space="preserve"> that depending on the length of the transition period, and the final outcome and associated contract rates in the docket, the amount of a refund, if any, will likely vary. </w:t>
      </w:r>
    </w:p>
    <w:p w:rsidR="00EB33E6" w:rsidRPr="00FE34F1" w:rsidRDefault="00EB33E6" w:rsidP="00A70C23">
      <w:pPr>
        <w:pStyle w:val="BodyText"/>
        <w:spacing w:after="0"/>
        <w:ind w:firstLine="720"/>
        <w:jc w:val="both"/>
      </w:pPr>
    </w:p>
    <w:p w:rsidR="00CE732F" w:rsidRPr="00933EF9" w:rsidRDefault="00CE732F" w:rsidP="00A70C23">
      <w:pPr>
        <w:ind w:firstLine="720"/>
        <w:jc w:val="both"/>
      </w:pPr>
      <w:r>
        <w:t>City Gas</w:t>
      </w:r>
      <w:r w:rsidRPr="00933EF9">
        <w:t xml:space="preserve"> is an operating division of Pivotal Utility Holdings, Inc.</w:t>
      </w:r>
      <w:r>
        <w:t>,</w:t>
      </w:r>
      <w:r w:rsidRPr="00933EF9">
        <w:t xml:space="preserve"> </w:t>
      </w:r>
      <w:r>
        <w:t xml:space="preserve">(Pivotal) </w:t>
      </w:r>
      <w:r w:rsidRPr="00933EF9">
        <w:t xml:space="preserve">which is a wholly-owned subsidiary of Southern Company Gas (formerly known as AGL Resources, Inc.) which is a wholly-owned direct subsidiary of Southern Company. Pivotal finances its on-going cash requirements through its participation in Southern Company Gas’s Utility Money Pool </w:t>
      </w:r>
      <w:r>
        <w:t xml:space="preserve">currently in the amount </w:t>
      </w:r>
      <w:r w:rsidRPr="00933EF9">
        <w:t xml:space="preserve">of $800 million. </w:t>
      </w:r>
      <w:r>
        <w:t>City Gas</w:t>
      </w:r>
      <w:r w:rsidRPr="00933EF9">
        <w:t xml:space="preserve">’s available share of the Utility Money Pool is up to $250 million. </w:t>
      </w:r>
    </w:p>
    <w:p w:rsidR="00A70C23" w:rsidRDefault="00A70C23" w:rsidP="00A70C23">
      <w:pPr>
        <w:ind w:firstLine="720"/>
        <w:jc w:val="both"/>
      </w:pPr>
    </w:p>
    <w:p w:rsidR="00CE732F" w:rsidRPr="00933EF9" w:rsidRDefault="00CE732F" w:rsidP="00A70C23">
      <w:pPr>
        <w:ind w:firstLine="720"/>
        <w:jc w:val="both"/>
      </w:pPr>
      <w:r w:rsidRPr="00933EF9">
        <w:t xml:space="preserve">The criteria for a corporate undertaking include sufficient liquidity, ownership equity, profitability, and interest coverage to guarantee any potential refund. </w:t>
      </w:r>
      <w:r w:rsidR="00EB33E6">
        <w:t>We</w:t>
      </w:r>
      <w:r w:rsidRPr="00933EF9">
        <w:t xml:space="preserve"> reviewed Pivotal’s 2013, 2014, and 2015 financial statements to determine if the company can support a corporate undertaking in the amount required. In its 2013, 2014, and 2015 financial statements, Pivotal reported insufficient liquidity based on </w:t>
      </w:r>
      <w:r w:rsidR="00EB33E6">
        <w:t>our</w:t>
      </w:r>
      <w:r w:rsidRPr="00933EF9">
        <w:t xml:space="preserve"> criteria</w:t>
      </w:r>
      <w:r>
        <w:t xml:space="preserve"> for a corporate undertaking</w:t>
      </w:r>
      <w:r w:rsidRPr="00933EF9">
        <w:t xml:space="preserve">. </w:t>
      </w:r>
      <w:r>
        <w:t>Pivotal reported</w:t>
      </w:r>
      <w:r w:rsidRPr="00933EF9">
        <w:t xml:space="preserve"> negative working capital, a current ratio of less than one, and an interest coverage ratio less than two times. However, in the instant case, Pivotal’s liquidity </w:t>
      </w:r>
      <w:r>
        <w:t xml:space="preserve">is not an issue </w:t>
      </w:r>
      <w:r w:rsidRPr="00933EF9">
        <w:t xml:space="preserve">due to its ability to access up to $250 million from Southern Company Gas’s Utility Money Pool to fund its on-going cash requirements. Further, Pivotal achieved a three-year average net income significantly greater </w:t>
      </w:r>
      <w:r w:rsidR="00247EFB">
        <w:t xml:space="preserve">than </w:t>
      </w:r>
      <w:r w:rsidRPr="00933EF9">
        <w:t>the corporate undertaking amount indicating sufficient profitability. In addition, Pivotal reported adequate ownership equity over the entire 3-year review period.</w:t>
      </w:r>
    </w:p>
    <w:p w:rsidR="00A70C23" w:rsidRDefault="00A70C23" w:rsidP="00A70C23">
      <w:pPr>
        <w:ind w:firstLine="720"/>
        <w:jc w:val="both"/>
      </w:pPr>
    </w:p>
    <w:p w:rsidR="00CE732F" w:rsidRPr="00933EF9" w:rsidRDefault="00CE732F" w:rsidP="00A70C23">
      <w:pPr>
        <w:ind w:firstLine="720"/>
        <w:jc w:val="both"/>
      </w:pPr>
      <w:r w:rsidRPr="00933EF9">
        <w:t xml:space="preserve">Based on </w:t>
      </w:r>
      <w:r w:rsidR="00867B7E">
        <w:t>our</w:t>
      </w:r>
      <w:r w:rsidRPr="00933EF9">
        <w:t xml:space="preserve"> review of Pivotal’s financial statements, </w:t>
      </w:r>
      <w:r w:rsidR="00EB33E6">
        <w:t>we find that</w:t>
      </w:r>
      <w:r w:rsidRPr="00933EF9">
        <w:t xml:space="preserve"> the company has adequate resources to guarantee any potential refund of revenues collected by </w:t>
      </w:r>
      <w:r>
        <w:t>FCG</w:t>
      </w:r>
      <w:r w:rsidRPr="00933EF9">
        <w:t xml:space="preserve"> under</w:t>
      </w:r>
      <w:r w:rsidR="00EB33E6">
        <w:t xml:space="preserve"> temporary</w:t>
      </w:r>
      <w:r w:rsidRPr="00933EF9">
        <w:t xml:space="preserve"> interim conditions. </w:t>
      </w:r>
      <w:r w:rsidR="00EB33E6">
        <w:t>Further, in no instance shall</w:t>
      </w:r>
      <w:r w:rsidRPr="00933EF9">
        <w:t xml:space="preserve"> the maintenance and administrative costs associated with the potential refund be borne by Crystals. These costs are the </w:t>
      </w:r>
      <w:r w:rsidR="00EB33E6">
        <w:t>responsibility of, and shall</w:t>
      </w:r>
      <w:r w:rsidRPr="00933EF9">
        <w:t xml:space="preserve"> be borne by</w:t>
      </w:r>
      <w:r w:rsidR="002A1CD5">
        <w:t>,</w:t>
      </w:r>
      <w:r w:rsidRPr="00933EF9">
        <w:t xml:space="preserve"> </w:t>
      </w:r>
      <w:r>
        <w:t>City Gas</w:t>
      </w:r>
      <w:r w:rsidRPr="00933EF9">
        <w:t xml:space="preserve">. Irrespective of the form of security chosen by </w:t>
      </w:r>
      <w:r>
        <w:t>City Gas</w:t>
      </w:r>
      <w:r w:rsidRPr="00933EF9">
        <w:t xml:space="preserve">, an account of all monies received as a result of the </w:t>
      </w:r>
      <w:r>
        <w:t>temporary</w:t>
      </w:r>
      <w:r w:rsidR="00EB33E6">
        <w:t xml:space="preserve"> rates shall</w:t>
      </w:r>
      <w:r w:rsidRPr="00933EF9">
        <w:t xml:space="preserve"> be maintained by FCG. If a refund i</w:t>
      </w:r>
      <w:r w:rsidR="00EB33E6">
        <w:t>s ultimately required, it shall</w:t>
      </w:r>
      <w:r w:rsidRPr="00933EF9">
        <w:t xml:space="preserve"> be paid with interest calculated pursuant to Rule 25-7.091(4), F.A.C.</w:t>
      </w:r>
    </w:p>
    <w:p w:rsidR="00A70C23" w:rsidRDefault="00A70C23" w:rsidP="00A70C23">
      <w:pPr>
        <w:pStyle w:val="First-LevelSubheading"/>
        <w:rPr>
          <w:rFonts w:ascii="Times New Roman" w:hAnsi="Times New Roman" w:cs="Times New Roman"/>
        </w:rPr>
      </w:pPr>
    </w:p>
    <w:p w:rsidR="00CE732F" w:rsidRDefault="00CE732F" w:rsidP="00A70C23">
      <w:pPr>
        <w:pStyle w:val="First-LevelSubheading"/>
        <w:rPr>
          <w:rFonts w:ascii="Times New Roman" w:hAnsi="Times New Roman" w:cs="Times New Roman"/>
        </w:rPr>
      </w:pPr>
      <w:r w:rsidRPr="00961056">
        <w:rPr>
          <w:rFonts w:ascii="Times New Roman" w:hAnsi="Times New Roman" w:cs="Times New Roman"/>
        </w:rPr>
        <w:t>Conclusion</w:t>
      </w:r>
    </w:p>
    <w:p w:rsidR="00961056" w:rsidRPr="00961056" w:rsidRDefault="00961056" w:rsidP="00A70C23">
      <w:pPr>
        <w:pStyle w:val="BodyText"/>
        <w:spacing w:after="0"/>
      </w:pPr>
    </w:p>
    <w:p w:rsidR="00CE732F" w:rsidRDefault="00EB33E6" w:rsidP="00A70C23">
      <w:pPr>
        <w:pStyle w:val="BodyText"/>
        <w:spacing w:after="0"/>
        <w:ind w:firstLine="720"/>
        <w:jc w:val="both"/>
      </w:pPr>
      <w:r>
        <w:t>This Commission approves</w:t>
      </w:r>
      <w:r w:rsidR="00CE732F">
        <w:t xml:space="preserve"> Option 4 in an effort to provide a balanced temporary solution to allow City Gas and Crystals additional time to negotiate a mutually acceptable operating arrangement. If requested by the parties, Commission staff </w:t>
      </w:r>
      <w:r>
        <w:t>shall</w:t>
      </w:r>
      <w:r w:rsidR="00CE732F">
        <w:t xml:space="preserve"> facilitate any </w:t>
      </w:r>
      <w:r w:rsidR="00CE732F">
        <w:lastRenderedPageBreak/>
        <w:t xml:space="preserve">negotiations. </w:t>
      </w:r>
      <w:r>
        <w:t>We encourage</w:t>
      </w:r>
      <w:r w:rsidR="00CE732F">
        <w:t xml:space="preserve"> City Gas and Florida Crystals to negotiate a mutually acceptable operating arrangement. </w:t>
      </w:r>
    </w:p>
    <w:p w:rsidR="00961056" w:rsidRDefault="00961056" w:rsidP="00A70C23">
      <w:pPr>
        <w:pStyle w:val="BodyText"/>
        <w:spacing w:after="0"/>
        <w:ind w:firstLine="720"/>
        <w:jc w:val="both"/>
      </w:pPr>
    </w:p>
    <w:p w:rsidR="00CE732F" w:rsidRDefault="00EB33E6" w:rsidP="00A70C23">
      <w:pPr>
        <w:pStyle w:val="BodyText"/>
        <w:spacing w:after="0"/>
        <w:ind w:firstLine="720"/>
        <w:jc w:val="both"/>
      </w:pPr>
      <w:r>
        <w:t xml:space="preserve">To conclude, </w:t>
      </w:r>
      <w:r w:rsidR="00010D69">
        <w:t>we</w:t>
      </w:r>
      <w:r w:rsidR="00CE732F">
        <w:t xml:space="preserve"> </w:t>
      </w:r>
      <w:r w:rsidR="00010D69">
        <w:t>hereby deny</w:t>
      </w:r>
      <w:r>
        <w:t xml:space="preserve"> City Gas’s M</w:t>
      </w:r>
      <w:r w:rsidR="00CE732F">
        <w:t>otion for Approval of a Temporary Interim Service Arrangement including the revised Interim Rates filed on November 1, 2016 in Confidential Exhibit 3A. The</w:t>
      </w:r>
      <w:r>
        <w:t xml:space="preserve"> Make-Up Period GTA rates shall</w:t>
      </w:r>
      <w:r w:rsidR="00CE732F">
        <w:t xml:space="preserve"> be in effect for a transition period beginning on</w:t>
      </w:r>
      <w:r>
        <w:t xml:space="preserve"> December 6, 2016, subject to true-up, </w:t>
      </w:r>
      <w:r w:rsidR="00CE732F">
        <w:t>until a final Commission decision in this docket. If City Gas and Crystals are able to negotiate in the transition period a mutually agreeabl</w:t>
      </w:r>
      <w:r>
        <w:t>e operating agreement, it shall</w:t>
      </w:r>
      <w:r w:rsidR="005C4C7E">
        <w:t xml:space="preserve"> be brought before this</w:t>
      </w:r>
      <w:r w:rsidR="00CE732F">
        <w:t xml:space="preserve"> Commission for a decision. </w:t>
      </w:r>
    </w:p>
    <w:p w:rsidR="003C5399" w:rsidRDefault="00CE732F" w:rsidP="004C2A47">
      <w:pPr>
        <w:pStyle w:val="OrderBody"/>
      </w:pPr>
      <w:r>
        <w:tab/>
      </w:r>
    </w:p>
    <w:p w:rsidR="00CE732F" w:rsidRDefault="00CE732F" w:rsidP="00A70C23">
      <w:pPr>
        <w:pStyle w:val="OrderBody"/>
        <w:ind w:firstLine="720"/>
      </w:pPr>
      <w:r>
        <w:t>Based on the foregoing, it is</w:t>
      </w:r>
    </w:p>
    <w:p w:rsidR="00CE732F" w:rsidRDefault="00CE732F" w:rsidP="00A70C23">
      <w:pPr>
        <w:pStyle w:val="OrderBody"/>
      </w:pPr>
    </w:p>
    <w:p w:rsidR="00CE732F" w:rsidRDefault="00CE732F" w:rsidP="00A70C23">
      <w:pPr>
        <w:pStyle w:val="OrderBody"/>
      </w:pPr>
      <w:r>
        <w:tab/>
        <w:t>ORDERED by the Florida Public Service Commission that</w:t>
      </w:r>
      <w:r w:rsidR="006F2633">
        <w:t xml:space="preserve"> this matter shall be set directly for hearing. Florida Crystals’ Motion to be Designated a Party or in the Alternative Motion to Intervene is hereby granted as set forth herein. It is further</w:t>
      </w:r>
    </w:p>
    <w:p w:rsidR="006F2633" w:rsidRDefault="006F2633" w:rsidP="00A70C23">
      <w:pPr>
        <w:pStyle w:val="OrderBody"/>
      </w:pPr>
    </w:p>
    <w:p w:rsidR="006F2633" w:rsidRDefault="006F2633" w:rsidP="00A70C23">
      <w:pPr>
        <w:pStyle w:val="OrderBody"/>
      </w:pPr>
      <w:r>
        <w:tab/>
        <w:t xml:space="preserve">ORDERED that </w:t>
      </w:r>
      <w:r w:rsidRPr="006F2633">
        <w:t>Florida Crystals’ Motion to Dismiss Petition</w:t>
      </w:r>
      <w:r>
        <w:t xml:space="preserve"> is hereby denied as set forth herein. It is further</w:t>
      </w:r>
    </w:p>
    <w:p w:rsidR="006F2633" w:rsidRDefault="006F2633" w:rsidP="00A70C23">
      <w:pPr>
        <w:pStyle w:val="OrderBody"/>
      </w:pPr>
    </w:p>
    <w:p w:rsidR="008F5652" w:rsidRDefault="006F2633" w:rsidP="00B727B1">
      <w:pPr>
        <w:pStyle w:val="OrderBody"/>
      </w:pPr>
      <w:r>
        <w:tab/>
        <w:t xml:space="preserve">ORDERED that City Gas's Motion for Approval of the Temporary Interim Service Arrangement including the revised Interim Rates filed on November 1, 2016 in Confidential Exhibit 3A is hereby denied as set forth herein. </w:t>
      </w:r>
      <w:r w:rsidR="008F5652">
        <w:t>It is further</w:t>
      </w:r>
    </w:p>
    <w:p w:rsidR="008F5652" w:rsidRDefault="008F5652" w:rsidP="00A70C23">
      <w:pPr>
        <w:pStyle w:val="BodyText"/>
        <w:spacing w:after="0"/>
        <w:ind w:firstLine="720"/>
        <w:jc w:val="both"/>
      </w:pPr>
    </w:p>
    <w:p w:rsidR="006F2633" w:rsidRDefault="008F5652" w:rsidP="00A70C23">
      <w:pPr>
        <w:pStyle w:val="BodyText"/>
        <w:spacing w:after="0"/>
        <w:ind w:firstLine="720"/>
        <w:jc w:val="both"/>
      </w:pPr>
      <w:r>
        <w:t>ORDERED that t</w:t>
      </w:r>
      <w:r w:rsidR="006F2633">
        <w:t>he Make-Up Period GTA rates shall be in effect for a transition period beginning on December 6, 2016, subject to true-up, until a final Commission decision in this docket. If City Gas and Crystals are able to negotiate in the transition period a mutually agreeable operating agreement</w:t>
      </w:r>
      <w:r w:rsidR="005C4C7E">
        <w:t>, it shall be brought before this</w:t>
      </w:r>
      <w:r w:rsidR="006F2633">
        <w:t xml:space="preserve"> Commission for a decision. </w:t>
      </w:r>
      <w:r>
        <w:t>It is further</w:t>
      </w:r>
    </w:p>
    <w:p w:rsidR="006F2633" w:rsidRDefault="006F2633" w:rsidP="00A70C23">
      <w:pPr>
        <w:pStyle w:val="OrderBody"/>
      </w:pPr>
    </w:p>
    <w:p w:rsidR="00961056" w:rsidRDefault="00961056" w:rsidP="00A70C23">
      <w:pPr>
        <w:pStyle w:val="OrderBody"/>
      </w:pPr>
      <w:r>
        <w:tab/>
        <w:t xml:space="preserve">ORDERED that this docket shall remain </w:t>
      </w:r>
      <w:r w:rsidRPr="006F2633">
        <w:t>open</w:t>
      </w:r>
      <w:r>
        <w:t xml:space="preserve"> to allow City Gas and Crystals an opportunity to negotiate a mutually agreeable ope</w:t>
      </w:r>
      <w:r w:rsidR="006F2633">
        <w:t>rating arrangement and until this</w:t>
      </w:r>
      <w:r>
        <w:t xml:space="preserve"> Commission makes a final decision on the arrangement. If City Gas and Crystals are unable to negotiate an arr</w:t>
      </w:r>
      <w:r w:rsidR="006F2633">
        <w:t>angement, this docket shall</w:t>
      </w:r>
      <w:r>
        <w:t xml:space="preserve"> continue to remain open until </w:t>
      </w:r>
      <w:r w:rsidR="009A2660">
        <w:t>a final order is issued</w:t>
      </w:r>
      <w:r>
        <w:t>.</w:t>
      </w:r>
    </w:p>
    <w:p w:rsidR="005D6F7D" w:rsidRDefault="005D6F7D" w:rsidP="00A70C23">
      <w:pPr>
        <w:pStyle w:val="OrderBody"/>
      </w:pPr>
    </w:p>
    <w:p w:rsidR="00CE732F" w:rsidRDefault="00CE732F" w:rsidP="00A70C23">
      <w:pPr>
        <w:pStyle w:val="OrderBody"/>
        <w:keepNext/>
        <w:keepLines/>
      </w:pPr>
      <w:r>
        <w:lastRenderedPageBreak/>
        <w:tab/>
        <w:t xml:space="preserve">By ORDER of the Florida Public Service Commission this </w:t>
      </w:r>
      <w:bookmarkStart w:id="9" w:name="replaceDate"/>
      <w:bookmarkEnd w:id="9"/>
      <w:r w:rsidR="00C30E61">
        <w:rPr>
          <w:u w:val="single"/>
        </w:rPr>
        <w:t>27th</w:t>
      </w:r>
      <w:r w:rsidR="00C30E61">
        <w:t xml:space="preserve"> day of </w:t>
      </w:r>
      <w:r w:rsidR="00C30E61">
        <w:rPr>
          <w:u w:val="single"/>
        </w:rPr>
        <w:t>December</w:t>
      </w:r>
      <w:r w:rsidR="00C30E61">
        <w:t xml:space="preserve">, </w:t>
      </w:r>
      <w:r w:rsidR="00C30E61">
        <w:rPr>
          <w:u w:val="single"/>
        </w:rPr>
        <w:t>2016</w:t>
      </w:r>
      <w:r w:rsidR="00C30E61">
        <w:t>.</w:t>
      </w:r>
    </w:p>
    <w:p w:rsidR="00C30E61" w:rsidRPr="00C30E61" w:rsidRDefault="00C30E61" w:rsidP="00A70C23">
      <w:pPr>
        <w:pStyle w:val="OrderBody"/>
        <w:keepNext/>
        <w:keepLines/>
      </w:pPr>
    </w:p>
    <w:p w:rsidR="00CE732F" w:rsidRDefault="00CE732F" w:rsidP="00A70C23">
      <w:pPr>
        <w:pStyle w:val="OrderBody"/>
        <w:keepNext/>
        <w:keepLines/>
      </w:pPr>
    </w:p>
    <w:p w:rsidR="00CE732F" w:rsidRDefault="00CE732F" w:rsidP="00A70C2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E732F" w:rsidTr="00CE732F">
        <w:tc>
          <w:tcPr>
            <w:tcW w:w="720" w:type="dxa"/>
            <w:shd w:val="clear" w:color="auto" w:fill="auto"/>
          </w:tcPr>
          <w:p w:rsidR="00CE732F" w:rsidRDefault="00CE732F" w:rsidP="00A70C23">
            <w:pPr>
              <w:pStyle w:val="OrderBody"/>
              <w:keepNext/>
              <w:keepLines/>
            </w:pPr>
            <w:bookmarkStart w:id="10" w:name="bkmrkSignature" w:colFirst="0" w:colLast="0"/>
          </w:p>
        </w:tc>
        <w:tc>
          <w:tcPr>
            <w:tcW w:w="4320" w:type="dxa"/>
            <w:tcBorders>
              <w:bottom w:val="single" w:sz="4" w:space="0" w:color="auto"/>
            </w:tcBorders>
            <w:shd w:val="clear" w:color="auto" w:fill="auto"/>
          </w:tcPr>
          <w:p w:rsidR="00CE732F" w:rsidRDefault="00C30E61" w:rsidP="00A70C23">
            <w:pPr>
              <w:pStyle w:val="OrderBody"/>
              <w:keepNext/>
              <w:keepLines/>
            </w:pPr>
            <w:r>
              <w:t>/s/ Hong Wang</w:t>
            </w:r>
          </w:p>
        </w:tc>
      </w:tr>
      <w:bookmarkEnd w:id="10"/>
      <w:tr w:rsidR="00CE732F" w:rsidTr="00CE732F">
        <w:tc>
          <w:tcPr>
            <w:tcW w:w="720" w:type="dxa"/>
            <w:shd w:val="clear" w:color="auto" w:fill="auto"/>
          </w:tcPr>
          <w:p w:rsidR="00CE732F" w:rsidRDefault="00CE732F" w:rsidP="00A70C23">
            <w:pPr>
              <w:pStyle w:val="OrderBody"/>
              <w:keepNext/>
              <w:keepLines/>
            </w:pPr>
          </w:p>
        </w:tc>
        <w:tc>
          <w:tcPr>
            <w:tcW w:w="4320" w:type="dxa"/>
            <w:tcBorders>
              <w:top w:val="single" w:sz="4" w:space="0" w:color="auto"/>
            </w:tcBorders>
            <w:shd w:val="clear" w:color="auto" w:fill="auto"/>
          </w:tcPr>
          <w:p w:rsidR="00C30E61" w:rsidRDefault="00C30E61" w:rsidP="00A70C23">
            <w:pPr>
              <w:pStyle w:val="OrderBody"/>
              <w:keepNext/>
              <w:keepLines/>
            </w:pPr>
            <w:r>
              <w:t>HONG WANG</w:t>
            </w:r>
          </w:p>
          <w:p w:rsidR="00CE732F" w:rsidRDefault="00C30E61" w:rsidP="00A70C23">
            <w:pPr>
              <w:pStyle w:val="OrderBody"/>
              <w:keepNext/>
              <w:keepLines/>
            </w:pPr>
            <w:r>
              <w:t>Chief Deputy Commission Clerk</w:t>
            </w:r>
            <w:bookmarkStart w:id="11" w:name="_GoBack"/>
            <w:bookmarkEnd w:id="11"/>
          </w:p>
        </w:tc>
      </w:tr>
    </w:tbl>
    <w:p w:rsidR="00CE732F" w:rsidRDefault="00CE732F" w:rsidP="00A70C23">
      <w:pPr>
        <w:pStyle w:val="OrderSigInfo"/>
        <w:keepNext/>
        <w:keepLines/>
      </w:pPr>
      <w:r>
        <w:t>Florida Public Service Commission</w:t>
      </w:r>
    </w:p>
    <w:p w:rsidR="00CE732F" w:rsidRDefault="00CE732F" w:rsidP="00A70C23">
      <w:pPr>
        <w:pStyle w:val="OrderSigInfo"/>
        <w:keepNext/>
        <w:keepLines/>
      </w:pPr>
      <w:r>
        <w:t>2540 Shumard Oak Boulevard</w:t>
      </w:r>
    </w:p>
    <w:p w:rsidR="00CE732F" w:rsidRDefault="00CE732F" w:rsidP="00A70C23">
      <w:pPr>
        <w:pStyle w:val="OrderSigInfo"/>
        <w:keepNext/>
        <w:keepLines/>
      </w:pPr>
      <w:r>
        <w:t>Tallahassee, Florida  32399</w:t>
      </w:r>
    </w:p>
    <w:p w:rsidR="00CE732F" w:rsidRDefault="00CE732F" w:rsidP="00A70C23">
      <w:pPr>
        <w:pStyle w:val="OrderSigInfo"/>
        <w:keepNext/>
        <w:keepLines/>
      </w:pPr>
      <w:r>
        <w:t>(850) 413</w:t>
      </w:r>
      <w:r>
        <w:noBreakHyphen/>
        <w:t>6770</w:t>
      </w:r>
    </w:p>
    <w:p w:rsidR="00CE732F" w:rsidRDefault="00CE732F" w:rsidP="00A70C23">
      <w:pPr>
        <w:pStyle w:val="OrderSigInfo"/>
        <w:keepNext/>
        <w:keepLines/>
      </w:pPr>
      <w:r>
        <w:t>www.floridapsc.com</w:t>
      </w:r>
    </w:p>
    <w:p w:rsidR="00CE732F" w:rsidRDefault="00CE732F" w:rsidP="00A70C23">
      <w:pPr>
        <w:pStyle w:val="OrderSigInfo"/>
        <w:keepNext/>
        <w:keepLines/>
      </w:pPr>
    </w:p>
    <w:p w:rsidR="00CE732F" w:rsidRDefault="00CE732F" w:rsidP="00A70C23">
      <w:pPr>
        <w:pStyle w:val="OrderSigInfo"/>
        <w:keepNext/>
        <w:keepLines/>
      </w:pPr>
      <w:r>
        <w:t>Copies furnished:  A copy of this document is provided to the parties of record at the time of issuance and, if applicable, interested persons.</w:t>
      </w:r>
    </w:p>
    <w:p w:rsidR="00CE732F" w:rsidRDefault="00CE732F" w:rsidP="00A70C23">
      <w:pPr>
        <w:pStyle w:val="OrderBody"/>
        <w:keepNext/>
        <w:keepLines/>
      </w:pPr>
    </w:p>
    <w:p w:rsidR="00CE732F" w:rsidRDefault="00CE732F" w:rsidP="00A70C23">
      <w:pPr>
        <w:pStyle w:val="OrderBody"/>
        <w:keepNext/>
        <w:keepLines/>
      </w:pPr>
    </w:p>
    <w:p w:rsidR="00CE732F" w:rsidRDefault="00CE732F" w:rsidP="00A70C23">
      <w:pPr>
        <w:pStyle w:val="OrderBody"/>
        <w:keepNext/>
        <w:keepLines/>
      </w:pPr>
      <w:r>
        <w:t>MAL</w:t>
      </w:r>
    </w:p>
    <w:p w:rsidR="00CE732F" w:rsidRDefault="00CE732F" w:rsidP="00A70C23">
      <w:pPr>
        <w:pStyle w:val="OrderBody"/>
      </w:pPr>
    </w:p>
    <w:p w:rsidR="00CE732F" w:rsidRDefault="00CE732F" w:rsidP="00A70C23">
      <w:pPr>
        <w:pStyle w:val="OrderBody"/>
      </w:pPr>
    </w:p>
    <w:p w:rsidR="00CE732F" w:rsidRDefault="00CE732F" w:rsidP="00A70C23">
      <w:pPr>
        <w:pStyle w:val="OrderBody"/>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113BA1" w:rsidRDefault="00113BA1" w:rsidP="00A70C23">
      <w:pPr>
        <w:pStyle w:val="CenterUnderline"/>
      </w:pPr>
    </w:p>
    <w:p w:rsidR="00A27511" w:rsidRDefault="00A27511" w:rsidP="00A70C23">
      <w:pPr>
        <w:pStyle w:val="CenterUnderline"/>
      </w:pPr>
    </w:p>
    <w:p w:rsidR="00A27511" w:rsidRDefault="00A27511" w:rsidP="00A70C23">
      <w:pPr>
        <w:pStyle w:val="CenterUnderline"/>
      </w:pPr>
    </w:p>
    <w:p w:rsidR="00A27511" w:rsidRDefault="00A27511" w:rsidP="00A70C23">
      <w:pPr>
        <w:pStyle w:val="CenterUnderline"/>
      </w:pPr>
    </w:p>
    <w:p w:rsidR="00A27511" w:rsidRDefault="00A27511" w:rsidP="00A70C23">
      <w:pPr>
        <w:pStyle w:val="CenterUnderline"/>
      </w:pPr>
    </w:p>
    <w:p w:rsidR="00C30E61" w:rsidRDefault="00C30E61" w:rsidP="009A2660">
      <w:pPr>
        <w:pStyle w:val="CenterUnderline"/>
      </w:pPr>
    </w:p>
    <w:p w:rsidR="00C30E61" w:rsidRDefault="00C30E61" w:rsidP="009A2660">
      <w:pPr>
        <w:pStyle w:val="CenterUnderline"/>
      </w:pPr>
    </w:p>
    <w:p w:rsidR="009A2660" w:rsidRDefault="009A2660" w:rsidP="009A2660">
      <w:pPr>
        <w:pStyle w:val="CenterUnderline"/>
      </w:pPr>
      <w:r>
        <w:lastRenderedPageBreak/>
        <w:t>NOTICE OF FURTHER PROCEEDINGS OR JUDICIAL REVIEW</w:t>
      </w:r>
    </w:p>
    <w:p w:rsidR="005D6F7D" w:rsidRDefault="005D6F7D" w:rsidP="009A2660">
      <w:pPr>
        <w:pStyle w:val="CenterUnderline"/>
      </w:pPr>
    </w:p>
    <w:p w:rsidR="009A2660" w:rsidRDefault="009A2660" w:rsidP="009A266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A2660" w:rsidRDefault="009A2660" w:rsidP="009A2660">
      <w:pPr>
        <w:pStyle w:val="OrderBody"/>
      </w:pPr>
    </w:p>
    <w:p w:rsidR="009A2660" w:rsidRDefault="009A2660" w:rsidP="009A2660">
      <w:pPr>
        <w:pStyle w:val="OrderBody"/>
      </w:pPr>
      <w:r>
        <w:tab/>
        <w:t>Mediation may be available on a case-by-case basis.  If mediation is conducted, it does not affect a substantially interested person's right to a hearing.</w:t>
      </w:r>
    </w:p>
    <w:p w:rsidR="009A2660" w:rsidRDefault="009A2660" w:rsidP="009A2660">
      <w:pPr>
        <w:pStyle w:val="OrderBody"/>
      </w:pPr>
    </w:p>
    <w:p w:rsidR="009A2660" w:rsidRDefault="009A2660" w:rsidP="009A26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A2660" w:rsidRDefault="009A2660" w:rsidP="009A2660">
      <w:pPr>
        <w:pStyle w:val="OrderBody"/>
      </w:pPr>
    </w:p>
    <w:p w:rsidR="009A2660" w:rsidRDefault="009A2660" w:rsidP="009A2660">
      <w:pPr>
        <w:pStyle w:val="OrderBody"/>
      </w:pPr>
    </w:p>
    <w:p w:rsidR="009A2660" w:rsidRPr="00CE732F" w:rsidRDefault="009A2660" w:rsidP="009A2660">
      <w:pPr>
        <w:pStyle w:val="OrderBody"/>
      </w:pPr>
    </w:p>
    <w:sectPr w:rsidR="009A2660" w:rsidRPr="00CE732F">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BA1" w:rsidRDefault="00113BA1">
      <w:r>
        <w:separator/>
      </w:r>
    </w:p>
  </w:endnote>
  <w:endnote w:type="continuationSeparator" w:id="0">
    <w:p w:rsidR="00113BA1" w:rsidRDefault="0011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A1" w:rsidRDefault="00113BA1">
    <w:pPr>
      <w:pStyle w:val="Footer"/>
    </w:pPr>
  </w:p>
  <w:p w:rsidR="00113BA1" w:rsidRDefault="00113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BA1" w:rsidRDefault="00113BA1">
      <w:r>
        <w:separator/>
      </w:r>
    </w:p>
  </w:footnote>
  <w:footnote w:type="continuationSeparator" w:id="0">
    <w:p w:rsidR="00113BA1" w:rsidRDefault="00113BA1">
      <w:r>
        <w:continuationSeparator/>
      </w:r>
    </w:p>
  </w:footnote>
  <w:footnote w:id="1">
    <w:p w:rsidR="00113BA1" w:rsidRPr="00EB39A9" w:rsidRDefault="00113BA1" w:rsidP="00CE732F">
      <w:pPr>
        <w:pStyle w:val="FootnoteText"/>
      </w:pPr>
      <w:r w:rsidRPr="00EB39A9">
        <w:rPr>
          <w:rStyle w:val="FootnoteReference"/>
        </w:rPr>
        <w:footnoteRef/>
      </w:r>
      <w:r w:rsidRPr="00EB39A9">
        <w:t xml:space="preserve"> </w:t>
      </w:r>
      <w:r w:rsidRPr="00AB7A10">
        <w:rPr>
          <w:u w:val="single"/>
        </w:rPr>
        <w:t>Meyers v. City of Jacksonville</w:t>
      </w:r>
      <w:r>
        <w:t>, 754 So. 2d 198, 202 (Fla. 1</w:t>
      </w:r>
      <w:r w:rsidRPr="00EB39A9">
        <w:t>st</w:t>
      </w:r>
      <w:r>
        <w:t xml:space="preserve"> DCA 2000); </w:t>
      </w:r>
      <w:r w:rsidRPr="00AB7A10">
        <w:rPr>
          <w:u w:val="single"/>
        </w:rPr>
        <w:t>Varnes v. Dawkins</w:t>
      </w:r>
      <w:r>
        <w:t>, 624 So. 2d 349, 350 (Fla. 1</w:t>
      </w:r>
      <w:r w:rsidRPr="00EB39A9">
        <w:t>st</w:t>
      </w:r>
      <w:r>
        <w:t xml:space="preserve"> DCA 1993).</w:t>
      </w:r>
    </w:p>
  </w:footnote>
  <w:footnote w:id="2">
    <w:p w:rsidR="00113BA1" w:rsidRPr="00EB39A9" w:rsidRDefault="00113BA1" w:rsidP="00CE732F">
      <w:pPr>
        <w:pStyle w:val="FootnoteText"/>
      </w:pPr>
      <w:r w:rsidRPr="00EB39A9">
        <w:rPr>
          <w:rStyle w:val="FootnoteReference"/>
        </w:rPr>
        <w:footnoteRef/>
      </w:r>
      <w:r w:rsidRPr="00EB39A9">
        <w:t xml:space="preserve"> </w:t>
      </w:r>
      <w:r w:rsidRPr="00AB7A10">
        <w:rPr>
          <w:u w:val="single"/>
        </w:rPr>
        <w:t>Varnes v. Dawkins</w:t>
      </w:r>
      <w:r w:rsidRPr="00EB39A9">
        <w:t>, 624 So. 2d at 350.</w:t>
      </w:r>
    </w:p>
  </w:footnote>
  <w:footnote w:id="3">
    <w:p w:rsidR="00113BA1" w:rsidRPr="00EB39A9" w:rsidRDefault="00113BA1" w:rsidP="00CE732F">
      <w:pPr>
        <w:pStyle w:val="FootnoteText"/>
      </w:pPr>
      <w:r w:rsidRPr="00EB39A9">
        <w:rPr>
          <w:rStyle w:val="FootnoteReference"/>
        </w:rPr>
        <w:footnoteRef/>
      </w:r>
      <w:r w:rsidRPr="00EB39A9">
        <w:t xml:space="preserve"> </w:t>
      </w:r>
      <w:r w:rsidRPr="00AB7A10">
        <w:rPr>
          <w:u w:val="single"/>
        </w:rPr>
        <w:t>Matthews v. Matthews</w:t>
      </w:r>
      <w:r w:rsidRPr="00EB39A9">
        <w:t>, 122 So. 2d 571 (Fla. 2nd DCA 1960).</w:t>
      </w:r>
    </w:p>
  </w:footnote>
  <w:footnote w:id="4">
    <w:p w:rsidR="00113BA1" w:rsidRPr="00C85108" w:rsidRDefault="00113BA1" w:rsidP="00CE732F">
      <w:pPr>
        <w:pStyle w:val="FootnoteText"/>
      </w:pPr>
      <w:r w:rsidRPr="00C85108">
        <w:rPr>
          <w:rStyle w:val="FootnoteReference"/>
        </w:rPr>
        <w:footnoteRef/>
      </w:r>
      <w:r w:rsidRPr="00C85108">
        <w:t xml:space="preserve"> </w:t>
      </w:r>
      <w:r w:rsidRPr="00AB7A10">
        <w:rPr>
          <w:u w:val="single"/>
        </w:rPr>
        <w:t>Barbado v. Green and Murphy, P.A.</w:t>
      </w:r>
      <w:r w:rsidRPr="00C85108">
        <w:t>, 758 So. 2d 1173 (Fla. 4</w:t>
      </w:r>
      <w:r w:rsidRPr="00F34D40">
        <w:t>th</w:t>
      </w:r>
      <w:r w:rsidRPr="00C85108">
        <w:t xml:space="preserve"> DCA 2000); </w:t>
      </w:r>
      <w:r w:rsidRPr="00AB7A10">
        <w:rPr>
          <w:u w:val="single"/>
        </w:rPr>
        <w:t>Varnes v. Dawkins</w:t>
      </w:r>
      <w:r w:rsidRPr="00C85108">
        <w:t>, 624 So. 2d at 350; Rule 1.130 Florida Rules of Civil Procedure.</w:t>
      </w:r>
    </w:p>
  </w:footnote>
  <w:footnote w:id="5">
    <w:p w:rsidR="00113BA1" w:rsidRPr="00C85108" w:rsidRDefault="00113BA1" w:rsidP="00CE732F">
      <w:pPr>
        <w:pStyle w:val="FootnoteText"/>
      </w:pPr>
      <w:r w:rsidRPr="00C85108">
        <w:rPr>
          <w:rStyle w:val="FootnoteReference"/>
        </w:rPr>
        <w:footnoteRef/>
      </w:r>
      <w:r w:rsidRPr="00C85108">
        <w:t xml:space="preserve"> </w:t>
      </w:r>
      <w:r w:rsidRPr="00AB7A10">
        <w:rPr>
          <w:u w:val="single"/>
        </w:rPr>
        <w:t>Varnes v. Dawkins</w:t>
      </w:r>
      <w:r w:rsidRPr="00C85108">
        <w:t>, 624 So. 2d at 350.</w:t>
      </w:r>
    </w:p>
  </w:footnote>
  <w:footnote w:id="6">
    <w:p w:rsidR="00113BA1" w:rsidRPr="00C85108" w:rsidRDefault="00113BA1" w:rsidP="00CE732F">
      <w:pPr>
        <w:pStyle w:val="FootnoteText"/>
      </w:pPr>
      <w:r w:rsidRPr="00C85108">
        <w:rPr>
          <w:rStyle w:val="FootnoteReference"/>
        </w:rPr>
        <w:footnoteRef/>
      </w:r>
      <w:r w:rsidRPr="00C85108">
        <w:t xml:space="preserve"> </w:t>
      </w:r>
      <w:r w:rsidRPr="00AB7A10">
        <w:rPr>
          <w:u w:val="single"/>
        </w:rPr>
        <w:t>See e.g.</w:t>
      </w:r>
      <w:r w:rsidRPr="00F34D40">
        <w:rPr>
          <w:i/>
        </w:rPr>
        <w:t xml:space="preserve">, </w:t>
      </w:r>
      <w:r w:rsidRPr="00AB7A10">
        <w:rPr>
          <w:u w:val="single"/>
        </w:rPr>
        <w:t>Ralph v. City of Daytona Beach</w:t>
      </w:r>
      <w:r w:rsidRPr="00C85108">
        <w:t xml:space="preserve">, 471 So. 2d 1, 2 (Fla. 1983); </w:t>
      </w:r>
      <w:r w:rsidRPr="00AB7A10">
        <w:rPr>
          <w:u w:val="single"/>
        </w:rPr>
        <w:t>Orlando Sports Stadium, Inc. v. State ex rel Powell</w:t>
      </w:r>
      <w:r w:rsidRPr="00C85108">
        <w:t>, 262 So. 2d 881, 883 (Fla. 1972);</w:t>
      </w:r>
      <w:r w:rsidRPr="00F34D40">
        <w:rPr>
          <w:i/>
        </w:rPr>
        <w:t xml:space="preserve"> </w:t>
      </w:r>
      <w:r w:rsidRPr="00AB7A10">
        <w:rPr>
          <w:u w:val="single"/>
        </w:rPr>
        <w:t>Kest v. Nathanson</w:t>
      </w:r>
      <w:r w:rsidRPr="00C85108">
        <w:t>, 216 So. 2d 233, 235 (Fla. 4th DCA 19</w:t>
      </w:r>
      <w:r>
        <w:t>68</w:t>
      </w:r>
      <w:r w:rsidRPr="00C85108">
        <w:t xml:space="preserve">); </w:t>
      </w:r>
      <w:r w:rsidRPr="00AB7A10">
        <w:rPr>
          <w:u w:val="single"/>
        </w:rPr>
        <w:t>Ocala Loan Co. v. Smith</w:t>
      </w:r>
      <w:r w:rsidRPr="00C85108">
        <w:t>, 155 So. 2d 711, 715 (Fla. 1st DCA 1963).</w:t>
      </w:r>
    </w:p>
  </w:footnote>
  <w:footnote w:id="7">
    <w:p w:rsidR="00113BA1" w:rsidRPr="003612E7" w:rsidRDefault="00113BA1" w:rsidP="00CE732F">
      <w:pPr>
        <w:pStyle w:val="FootnoteText"/>
      </w:pPr>
      <w:r w:rsidRPr="003612E7">
        <w:rPr>
          <w:rStyle w:val="FootnoteReference"/>
        </w:rPr>
        <w:footnoteRef/>
      </w:r>
      <w:r w:rsidRPr="003612E7">
        <w:t xml:space="preserve"> </w:t>
      </w:r>
      <w:r w:rsidRPr="00AB7A10">
        <w:rPr>
          <w:u w:val="single"/>
        </w:rPr>
        <w:t>Quoting</w:t>
      </w:r>
      <w:r>
        <w:t xml:space="preserve"> Order No. PSC-10-0671-PCO-GU, issued on November 5, 2010, in Docket No. 090539-GU, </w:t>
      </w:r>
      <w:r w:rsidRPr="00AB7A10">
        <w:rPr>
          <w:u w:val="single"/>
        </w:rPr>
        <w:t>In re: Petition for approval of Special Gas Transportation Service agreement with Florida City Gas by Miami-Dade County through Miami-Dade Water and Sewer Department</w:t>
      </w:r>
      <w:r>
        <w:t>.</w:t>
      </w:r>
    </w:p>
  </w:footnote>
  <w:footnote w:id="8">
    <w:p w:rsidR="00113BA1" w:rsidRPr="003612E7" w:rsidRDefault="00113BA1" w:rsidP="00CE732F">
      <w:pPr>
        <w:pStyle w:val="FootnoteText"/>
      </w:pPr>
      <w:r w:rsidRPr="003612E7">
        <w:rPr>
          <w:rStyle w:val="FootnoteReference"/>
        </w:rPr>
        <w:footnoteRef/>
      </w:r>
      <w:r w:rsidRPr="003612E7">
        <w:t xml:space="preserve"> </w:t>
      </w:r>
      <w:r w:rsidRPr="00AB7A10">
        <w:rPr>
          <w:u w:val="single"/>
        </w:rPr>
        <w:t>Miller &amp; Sons, Inc. v. Hawkins</w:t>
      </w:r>
      <w:r>
        <w:t>, 373 So. 2d 913 (Fla. 1979).</w:t>
      </w:r>
    </w:p>
  </w:footnote>
  <w:footnote w:id="9">
    <w:p w:rsidR="00113BA1" w:rsidRDefault="00113BA1" w:rsidP="00CE732F">
      <w:pPr>
        <w:pStyle w:val="FootnoteText"/>
      </w:pPr>
      <w:r>
        <w:rPr>
          <w:rStyle w:val="FootnoteReference"/>
        </w:rPr>
        <w:footnoteRef/>
      </w:r>
      <w:r>
        <w:t xml:space="preserve"> </w:t>
      </w:r>
      <w:r w:rsidRPr="00AB7A10">
        <w:rPr>
          <w:u w:val="single"/>
        </w:rPr>
        <w:t>Quoting</w:t>
      </w:r>
      <w:r>
        <w:t xml:space="preserve"> Direct Testimony of Jeff Householder, August 15, 2003, page 77, Docket No. 030569-GU, </w:t>
      </w:r>
      <w:r w:rsidRPr="00AB7A10">
        <w:rPr>
          <w:u w:val="single"/>
        </w:rPr>
        <w:t>In re: Application for rate increase by City Gas Company of Florida</w:t>
      </w:r>
      <w:r>
        <w:t>. (Document No. 07495-03)</w:t>
      </w:r>
    </w:p>
  </w:footnote>
  <w:footnote w:id="10">
    <w:p w:rsidR="00113BA1" w:rsidRPr="00DD3F65" w:rsidRDefault="00113BA1" w:rsidP="00CE732F">
      <w:pPr>
        <w:pStyle w:val="FootnoteText"/>
      </w:pPr>
      <w:r w:rsidRPr="00DD3F65">
        <w:rPr>
          <w:rStyle w:val="FootnoteReference"/>
        </w:rPr>
        <w:footnoteRef/>
      </w:r>
      <w:r w:rsidRPr="00DD3F65">
        <w:t xml:space="preserve"> </w:t>
      </w:r>
      <w:r w:rsidRPr="00AB7A10">
        <w:rPr>
          <w:u w:val="single"/>
        </w:rPr>
        <w:t>See</w:t>
      </w:r>
      <w:r w:rsidRPr="00485A50">
        <w:rPr>
          <w:i/>
        </w:rPr>
        <w:t xml:space="preserve"> </w:t>
      </w:r>
      <w:r w:rsidRPr="00AB7A10">
        <w:rPr>
          <w:u w:val="single"/>
        </w:rPr>
        <w:t>Varnes v. Dawkins</w:t>
      </w:r>
      <w:r>
        <w:t>, 624 So. 2d at 350.</w:t>
      </w:r>
    </w:p>
  </w:footnote>
  <w:footnote w:id="11">
    <w:p w:rsidR="00113BA1" w:rsidRDefault="00113BA1" w:rsidP="00CE732F">
      <w:pPr>
        <w:pStyle w:val="FootnoteText"/>
      </w:pPr>
      <w:r>
        <w:rPr>
          <w:rStyle w:val="FootnoteReference"/>
        </w:rPr>
        <w:footnoteRef/>
      </w:r>
      <w:r>
        <w:t xml:space="preserve"> City Gas requested confidential treatment of the GTA in its entirety on July 25, 2016; Document No. 05536-16.</w:t>
      </w:r>
    </w:p>
  </w:footnote>
  <w:footnote w:id="12">
    <w:p w:rsidR="00113BA1" w:rsidRDefault="00113BA1" w:rsidP="00CE732F">
      <w:pPr>
        <w:pStyle w:val="FootnoteText"/>
      </w:pPr>
      <w:r>
        <w:rPr>
          <w:rStyle w:val="FootnoteReference"/>
        </w:rPr>
        <w:footnoteRef/>
      </w:r>
      <w:r>
        <w:t xml:space="preserve"> City Gas’s July 22, 2016 petition; page 20.</w:t>
      </w:r>
    </w:p>
  </w:footnote>
  <w:footnote w:id="13">
    <w:p w:rsidR="00113BA1" w:rsidRDefault="00113BA1" w:rsidP="00CE732F">
      <w:pPr>
        <w:pStyle w:val="FootnoteText"/>
      </w:pPr>
      <w:r>
        <w:rPr>
          <w:rStyle w:val="FootnoteReference"/>
        </w:rPr>
        <w:footnoteRef/>
      </w:r>
      <w:r>
        <w:t xml:space="preserve"> Crystals’ Response in Opposition to Motion for Approval of a Temporary Interim Service Arrangement; pp. 20-22.</w:t>
      </w:r>
    </w:p>
  </w:footnote>
  <w:footnote w:id="14">
    <w:p w:rsidR="00113BA1" w:rsidRDefault="00113BA1" w:rsidP="00CE732F">
      <w:pPr>
        <w:pStyle w:val="FootnoteText"/>
      </w:pPr>
      <w:r>
        <w:rPr>
          <w:rStyle w:val="FootnoteReference"/>
        </w:rPr>
        <w:footnoteRef/>
      </w:r>
      <w:r>
        <w:t xml:space="preserve"> Direct Testimony of Jeff Householder, August 15, 2003, page 77, Docket No. 030569-GU, </w:t>
      </w:r>
      <w:r w:rsidRPr="00AD6EBA">
        <w:rPr>
          <w:u w:val="single"/>
        </w:rPr>
        <w:t>In re: Application for rate increase by City Gas Company of Florida</w:t>
      </w:r>
      <w:r>
        <w:t>. (Document No. 07495-03)</w:t>
      </w:r>
    </w:p>
  </w:footnote>
  <w:footnote w:id="15">
    <w:p w:rsidR="00113BA1" w:rsidRDefault="00113BA1" w:rsidP="00CE732F">
      <w:pPr>
        <w:pStyle w:val="FootnoteText"/>
      </w:pPr>
      <w:r>
        <w:rPr>
          <w:rStyle w:val="FootnoteReference"/>
        </w:rPr>
        <w:footnoteRef/>
      </w:r>
      <w:r>
        <w:t xml:space="preserve"> City Gas’s Motion for Approval of a Temporary Interim Service Arrangement; p. 4.</w:t>
      </w:r>
    </w:p>
  </w:footnote>
  <w:footnote w:id="16">
    <w:p w:rsidR="00113BA1" w:rsidRDefault="00113BA1" w:rsidP="00CE732F">
      <w:pPr>
        <w:pStyle w:val="FootnoteText"/>
      </w:pPr>
      <w:r>
        <w:rPr>
          <w:rStyle w:val="FootnoteReference"/>
        </w:rPr>
        <w:footnoteRef/>
      </w:r>
      <w:r>
        <w:t xml:space="preserve"> City Gas’s July 22, 2016 petition; page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A1" w:rsidRDefault="00113BA1">
    <w:pPr>
      <w:pStyle w:val="OrderHeader"/>
    </w:pPr>
    <w:r>
      <w:t xml:space="preserve">ORDER NO. </w:t>
    </w:r>
    <w:fldSimple w:instr=" REF OrderNo0581 ">
      <w:r w:rsidR="00C30E61">
        <w:t>PSC-16-0581-PCO-GU</w:t>
      </w:r>
    </w:fldSimple>
  </w:p>
  <w:p w:rsidR="00113BA1" w:rsidRDefault="00113BA1">
    <w:pPr>
      <w:pStyle w:val="OrderHeader"/>
    </w:pPr>
    <w:bookmarkStart w:id="12" w:name="HeaderDocketNo"/>
    <w:bookmarkEnd w:id="12"/>
    <w:r>
      <w:t>DOCKET NO. 160175-GU</w:t>
    </w:r>
  </w:p>
  <w:p w:rsidR="00113BA1" w:rsidRDefault="00113BA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0E61">
      <w:rPr>
        <w:rStyle w:val="PageNumber"/>
        <w:noProof/>
      </w:rPr>
      <w:t>13</w:t>
    </w:r>
    <w:r>
      <w:rPr>
        <w:rStyle w:val="PageNumber"/>
      </w:rPr>
      <w:fldChar w:fldCharType="end"/>
    </w:r>
  </w:p>
  <w:p w:rsidR="00113BA1" w:rsidRDefault="00113BA1">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7670"/>
    <w:multiLevelType w:val="hybridMultilevel"/>
    <w:tmpl w:val="01AEC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FA2236E"/>
    <w:multiLevelType w:val="hybridMultilevel"/>
    <w:tmpl w:val="ED76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75-GU"/>
  </w:docVars>
  <w:rsids>
    <w:rsidRoot w:val="00CE732F"/>
    <w:rsid w:val="000022B8"/>
    <w:rsid w:val="00010D69"/>
    <w:rsid w:val="00053AB9"/>
    <w:rsid w:val="00056229"/>
    <w:rsid w:val="00065FC2"/>
    <w:rsid w:val="00090AFC"/>
    <w:rsid w:val="000B0DAE"/>
    <w:rsid w:val="000D06E8"/>
    <w:rsid w:val="000E344D"/>
    <w:rsid w:val="000F3B2C"/>
    <w:rsid w:val="000F7BE3"/>
    <w:rsid w:val="00113BA1"/>
    <w:rsid w:val="00116AD3"/>
    <w:rsid w:val="00126593"/>
    <w:rsid w:val="00142A96"/>
    <w:rsid w:val="001662DE"/>
    <w:rsid w:val="0018206C"/>
    <w:rsid w:val="00182428"/>
    <w:rsid w:val="001840CD"/>
    <w:rsid w:val="00187E32"/>
    <w:rsid w:val="00194E81"/>
    <w:rsid w:val="001A33C9"/>
    <w:rsid w:val="001A40AF"/>
    <w:rsid w:val="001B648C"/>
    <w:rsid w:val="001D008A"/>
    <w:rsid w:val="001D69B4"/>
    <w:rsid w:val="001F5725"/>
    <w:rsid w:val="002002ED"/>
    <w:rsid w:val="0022538B"/>
    <w:rsid w:val="002264C8"/>
    <w:rsid w:val="0022721A"/>
    <w:rsid w:val="00230BB9"/>
    <w:rsid w:val="00231DBF"/>
    <w:rsid w:val="00241CEF"/>
    <w:rsid w:val="00247EFB"/>
    <w:rsid w:val="00252B30"/>
    <w:rsid w:val="002816B9"/>
    <w:rsid w:val="002A11AC"/>
    <w:rsid w:val="002A1CD5"/>
    <w:rsid w:val="002A6F30"/>
    <w:rsid w:val="002D7D15"/>
    <w:rsid w:val="002E27EB"/>
    <w:rsid w:val="002E75C5"/>
    <w:rsid w:val="002F4AA7"/>
    <w:rsid w:val="00303FDE"/>
    <w:rsid w:val="003140E8"/>
    <w:rsid w:val="003231C7"/>
    <w:rsid w:val="00331ED0"/>
    <w:rsid w:val="00352AF0"/>
    <w:rsid w:val="0035495B"/>
    <w:rsid w:val="003744F5"/>
    <w:rsid w:val="00390DD8"/>
    <w:rsid w:val="00394DC6"/>
    <w:rsid w:val="00397C3E"/>
    <w:rsid w:val="003C5399"/>
    <w:rsid w:val="003D1631"/>
    <w:rsid w:val="003D4CCA"/>
    <w:rsid w:val="003D6416"/>
    <w:rsid w:val="003E1D48"/>
    <w:rsid w:val="003E6807"/>
    <w:rsid w:val="00405273"/>
    <w:rsid w:val="0042527B"/>
    <w:rsid w:val="00457DC7"/>
    <w:rsid w:val="00472BCC"/>
    <w:rsid w:val="004A25CD"/>
    <w:rsid w:val="004A26CC"/>
    <w:rsid w:val="004B2108"/>
    <w:rsid w:val="004B3A2B"/>
    <w:rsid w:val="004C2A47"/>
    <w:rsid w:val="004C5495"/>
    <w:rsid w:val="004D2D1B"/>
    <w:rsid w:val="004F2DDE"/>
    <w:rsid w:val="0050097F"/>
    <w:rsid w:val="0050294C"/>
    <w:rsid w:val="00514B1F"/>
    <w:rsid w:val="00534173"/>
    <w:rsid w:val="00553428"/>
    <w:rsid w:val="00556A10"/>
    <w:rsid w:val="00565249"/>
    <w:rsid w:val="00575DDC"/>
    <w:rsid w:val="005963C2"/>
    <w:rsid w:val="005A670A"/>
    <w:rsid w:val="005B45F7"/>
    <w:rsid w:val="005B63EA"/>
    <w:rsid w:val="005C4C7E"/>
    <w:rsid w:val="005D6F7D"/>
    <w:rsid w:val="005E40FB"/>
    <w:rsid w:val="005E56FA"/>
    <w:rsid w:val="006162A8"/>
    <w:rsid w:val="00647F5A"/>
    <w:rsid w:val="00660774"/>
    <w:rsid w:val="00665CC7"/>
    <w:rsid w:val="006A0BF3"/>
    <w:rsid w:val="006B0DA6"/>
    <w:rsid w:val="006C547E"/>
    <w:rsid w:val="006C7E45"/>
    <w:rsid w:val="006F2633"/>
    <w:rsid w:val="00704C5D"/>
    <w:rsid w:val="00715275"/>
    <w:rsid w:val="00733B6B"/>
    <w:rsid w:val="00744E19"/>
    <w:rsid w:val="00752126"/>
    <w:rsid w:val="00752376"/>
    <w:rsid w:val="0076170F"/>
    <w:rsid w:val="0076669C"/>
    <w:rsid w:val="007865E9"/>
    <w:rsid w:val="00792383"/>
    <w:rsid w:val="007A060F"/>
    <w:rsid w:val="007D3D20"/>
    <w:rsid w:val="007E3AFD"/>
    <w:rsid w:val="00803189"/>
    <w:rsid w:val="00803FB9"/>
    <w:rsid w:val="00804E7A"/>
    <w:rsid w:val="00805FBB"/>
    <w:rsid w:val="008169A4"/>
    <w:rsid w:val="008278FE"/>
    <w:rsid w:val="008314AF"/>
    <w:rsid w:val="00832598"/>
    <w:rsid w:val="0083397E"/>
    <w:rsid w:val="0083534B"/>
    <w:rsid w:val="00863A66"/>
    <w:rsid w:val="00867B7E"/>
    <w:rsid w:val="00871FBD"/>
    <w:rsid w:val="00873F36"/>
    <w:rsid w:val="00874429"/>
    <w:rsid w:val="00883D9A"/>
    <w:rsid w:val="008919EF"/>
    <w:rsid w:val="008C6A5B"/>
    <w:rsid w:val="008E26A5"/>
    <w:rsid w:val="008E42D2"/>
    <w:rsid w:val="008F5652"/>
    <w:rsid w:val="009040EE"/>
    <w:rsid w:val="009057FD"/>
    <w:rsid w:val="00906652"/>
    <w:rsid w:val="00922A7F"/>
    <w:rsid w:val="00923A5E"/>
    <w:rsid w:val="00941FCC"/>
    <w:rsid w:val="009561CE"/>
    <w:rsid w:val="00961056"/>
    <w:rsid w:val="00966980"/>
    <w:rsid w:val="009924CF"/>
    <w:rsid w:val="00994100"/>
    <w:rsid w:val="009A2660"/>
    <w:rsid w:val="009C2262"/>
    <w:rsid w:val="009D4C29"/>
    <w:rsid w:val="009E722D"/>
    <w:rsid w:val="00A144A7"/>
    <w:rsid w:val="00A27511"/>
    <w:rsid w:val="00A52EE8"/>
    <w:rsid w:val="00A62DAB"/>
    <w:rsid w:val="00A70C23"/>
    <w:rsid w:val="00A726A6"/>
    <w:rsid w:val="00A804F1"/>
    <w:rsid w:val="00A97535"/>
    <w:rsid w:val="00AA503A"/>
    <w:rsid w:val="00AA73F1"/>
    <w:rsid w:val="00AB0E1A"/>
    <w:rsid w:val="00AB1A30"/>
    <w:rsid w:val="00AB6950"/>
    <w:rsid w:val="00AB7A10"/>
    <w:rsid w:val="00AD1ED3"/>
    <w:rsid w:val="00AD6EBA"/>
    <w:rsid w:val="00B0777D"/>
    <w:rsid w:val="00B142B8"/>
    <w:rsid w:val="00B176AA"/>
    <w:rsid w:val="00B4057A"/>
    <w:rsid w:val="00B40894"/>
    <w:rsid w:val="00B45E75"/>
    <w:rsid w:val="00B50876"/>
    <w:rsid w:val="00B55EE5"/>
    <w:rsid w:val="00B65967"/>
    <w:rsid w:val="00B727B1"/>
    <w:rsid w:val="00B73DE6"/>
    <w:rsid w:val="00B749A3"/>
    <w:rsid w:val="00B84831"/>
    <w:rsid w:val="00B86EF0"/>
    <w:rsid w:val="00B97900"/>
    <w:rsid w:val="00BA44A8"/>
    <w:rsid w:val="00BC4626"/>
    <w:rsid w:val="00BD5DA7"/>
    <w:rsid w:val="00BE6D2F"/>
    <w:rsid w:val="00BF6691"/>
    <w:rsid w:val="00C028FC"/>
    <w:rsid w:val="00C30E61"/>
    <w:rsid w:val="00C572AA"/>
    <w:rsid w:val="00C66692"/>
    <w:rsid w:val="00C91123"/>
    <w:rsid w:val="00CA71FF"/>
    <w:rsid w:val="00CB2125"/>
    <w:rsid w:val="00CB39E3"/>
    <w:rsid w:val="00CB5276"/>
    <w:rsid w:val="00CB68D7"/>
    <w:rsid w:val="00CC7E68"/>
    <w:rsid w:val="00CD7132"/>
    <w:rsid w:val="00CE0E6F"/>
    <w:rsid w:val="00CE732F"/>
    <w:rsid w:val="00CE7427"/>
    <w:rsid w:val="00D064E9"/>
    <w:rsid w:val="00D30B48"/>
    <w:rsid w:val="00D44494"/>
    <w:rsid w:val="00D46FAA"/>
    <w:rsid w:val="00D57BB2"/>
    <w:rsid w:val="00D8560E"/>
    <w:rsid w:val="00D86D7D"/>
    <w:rsid w:val="00D8758F"/>
    <w:rsid w:val="00DC1D94"/>
    <w:rsid w:val="00DE057F"/>
    <w:rsid w:val="00DE0648"/>
    <w:rsid w:val="00DE2082"/>
    <w:rsid w:val="00DE2289"/>
    <w:rsid w:val="00E04410"/>
    <w:rsid w:val="00E11351"/>
    <w:rsid w:val="00E64903"/>
    <w:rsid w:val="00E800A5"/>
    <w:rsid w:val="00EA172C"/>
    <w:rsid w:val="00EA259B"/>
    <w:rsid w:val="00EA35A3"/>
    <w:rsid w:val="00EA3E6A"/>
    <w:rsid w:val="00EA70C9"/>
    <w:rsid w:val="00EB18EF"/>
    <w:rsid w:val="00EB33E6"/>
    <w:rsid w:val="00EE17DF"/>
    <w:rsid w:val="00EF1EEB"/>
    <w:rsid w:val="00EF4621"/>
    <w:rsid w:val="00F277B6"/>
    <w:rsid w:val="00F31CD0"/>
    <w:rsid w:val="00F54380"/>
    <w:rsid w:val="00F54B47"/>
    <w:rsid w:val="00F70E84"/>
    <w:rsid w:val="00FA1BC1"/>
    <w:rsid w:val="00FA6EFD"/>
    <w:rsid w:val="00FB74EA"/>
    <w:rsid w:val="00FD2C9E"/>
    <w:rsid w:val="00FD4786"/>
    <w:rsid w:val="00FD616C"/>
    <w:rsid w:val="00FE53F2"/>
    <w:rsid w:val="00FF0A00"/>
    <w:rsid w:val="00FF2581"/>
    <w:rsid w:val="00FF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CE732F"/>
    <w:pPr>
      <w:keepNext w:val="0"/>
    </w:pPr>
    <w:rPr>
      <w:rFonts w:ascii="Arial" w:hAnsi="Arial"/>
      <w:b/>
      <w:i/>
    </w:rPr>
  </w:style>
  <w:style w:type="character" w:customStyle="1" w:styleId="IssueHeadingChar">
    <w:name w:val="Issue Heading Char"/>
    <w:link w:val="IssueHeading"/>
    <w:rsid w:val="00CE732F"/>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CE732F"/>
    <w:pPr>
      <w:jc w:val="center"/>
    </w:pPr>
    <w:rPr>
      <w:rFonts w:ascii="Arial" w:hAnsi="Arial"/>
      <w:b/>
    </w:rPr>
  </w:style>
  <w:style w:type="paragraph" w:customStyle="1" w:styleId="IssueSubsectionHeading">
    <w:name w:val="Issue Subsection Heading"/>
    <w:basedOn w:val="Heading2"/>
    <w:next w:val="BodyText"/>
    <w:link w:val="IssueSubsectionHeadingChar"/>
    <w:qFormat/>
    <w:rsid w:val="00CE732F"/>
    <w:pPr>
      <w:keepNext w:val="0"/>
    </w:pPr>
    <w:rPr>
      <w:rFonts w:ascii="Arial" w:hAnsi="Arial"/>
      <w:b/>
      <w:i/>
    </w:rPr>
  </w:style>
  <w:style w:type="character" w:customStyle="1" w:styleId="IssueSubsectionHeadingChar">
    <w:name w:val="Issue Subsection Heading Char"/>
    <w:link w:val="IssueSubsectionHeading"/>
    <w:rsid w:val="00CE732F"/>
    <w:rPr>
      <w:rFonts w:ascii="Arial" w:hAnsi="Arial" w:cs="Arial"/>
      <w:b/>
      <w:bCs/>
      <w:i/>
      <w:iCs/>
      <w:sz w:val="24"/>
      <w:szCs w:val="28"/>
    </w:rPr>
  </w:style>
  <w:style w:type="paragraph" w:customStyle="1" w:styleId="First-LevelSubheading">
    <w:name w:val="First-Level Subheading"/>
    <w:basedOn w:val="IssueSubsectionHeading"/>
    <w:next w:val="BodyText"/>
    <w:qFormat/>
    <w:rsid w:val="00CE732F"/>
    <w:pPr>
      <w:spacing w:after="0"/>
      <w:outlineLvl w:val="2"/>
    </w:pPr>
    <w:rPr>
      <w:i w:val="0"/>
    </w:rPr>
  </w:style>
  <w:style w:type="paragraph" w:customStyle="1" w:styleId="Second-LevelSubheading">
    <w:name w:val="Second-Level Subheading"/>
    <w:basedOn w:val="First-LevelSubheading"/>
    <w:next w:val="BodyText"/>
    <w:qFormat/>
    <w:rsid w:val="00CE732F"/>
    <w:pPr>
      <w:ind w:left="720"/>
      <w:outlineLvl w:val="3"/>
    </w:pPr>
    <w:rPr>
      <w:i/>
    </w:rPr>
  </w:style>
  <w:style w:type="character" w:customStyle="1" w:styleId="FootnoteTextChar">
    <w:name w:val="Footnote Text Char"/>
    <w:link w:val="FootnoteText"/>
    <w:uiPriority w:val="99"/>
    <w:rsid w:val="00CE732F"/>
  </w:style>
  <w:style w:type="paragraph" w:styleId="ListParagraph">
    <w:name w:val="List Paragraph"/>
    <w:basedOn w:val="Normal"/>
    <w:uiPriority w:val="34"/>
    <w:qFormat/>
    <w:rsid w:val="00CE73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B0DAE"/>
    <w:rPr>
      <w:rFonts w:ascii="Tahoma" w:hAnsi="Tahoma" w:cs="Tahoma"/>
      <w:sz w:val="16"/>
      <w:szCs w:val="16"/>
    </w:rPr>
  </w:style>
  <w:style w:type="character" w:customStyle="1" w:styleId="BalloonTextChar">
    <w:name w:val="Balloon Text Char"/>
    <w:basedOn w:val="DefaultParagraphFont"/>
    <w:link w:val="BalloonText"/>
    <w:rsid w:val="000B0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CE732F"/>
    <w:pPr>
      <w:keepNext w:val="0"/>
    </w:pPr>
    <w:rPr>
      <w:rFonts w:ascii="Arial" w:hAnsi="Arial"/>
      <w:b/>
      <w:i/>
    </w:rPr>
  </w:style>
  <w:style w:type="character" w:customStyle="1" w:styleId="IssueHeadingChar">
    <w:name w:val="Issue Heading Char"/>
    <w:link w:val="IssueHeading"/>
    <w:rsid w:val="00CE732F"/>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CE732F"/>
    <w:pPr>
      <w:jc w:val="center"/>
    </w:pPr>
    <w:rPr>
      <w:rFonts w:ascii="Arial" w:hAnsi="Arial"/>
      <w:b/>
    </w:rPr>
  </w:style>
  <w:style w:type="paragraph" w:customStyle="1" w:styleId="IssueSubsectionHeading">
    <w:name w:val="Issue Subsection Heading"/>
    <w:basedOn w:val="Heading2"/>
    <w:next w:val="BodyText"/>
    <w:link w:val="IssueSubsectionHeadingChar"/>
    <w:qFormat/>
    <w:rsid w:val="00CE732F"/>
    <w:pPr>
      <w:keepNext w:val="0"/>
    </w:pPr>
    <w:rPr>
      <w:rFonts w:ascii="Arial" w:hAnsi="Arial"/>
      <w:b/>
      <w:i/>
    </w:rPr>
  </w:style>
  <w:style w:type="character" w:customStyle="1" w:styleId="IssueSubsectionHeadingChar">
    <w:name w:val="Issue Subsection Heading Char"/>
    <w:link w:val="IssueSubsectionHeading"/>
    <w:rsid w:val="00CE732F"/>
    <w:rPr>
      <w:rFonts w:ascii="Arial" w:hAnsi="Arial" w:cs="Arial"/>
      <w:b/>
      <w:bCs/>
      <w:i/>
      <w:iCs/>
      <w:sz w:val="24"/>
      <w:szCs w:val="28"/>
    </w:rPr>
  </w:style>
  <w:style w:type="paragraph" w:customStyle="1" w:styleId="First-LevelSubheading">
    <w:name w:val="First-Level Subheading"/>
    <w:basedOn w:val="IssueSubsectionHeading"/>
    <w:next w:val="BodyText"/>
    <w:qFormat/>
    <w:rsid w:val="00CE732F"/>
    <w:pPr>
      <w:spacing w:after="0"/>
      <w:outlineLvl w:val="2"/>
    </w:pPr>
    <w:rPr>
      <w:i w:val="0"/>
    </w:rPr>
  </w:style>
  <w:style w:type="paragraph" w:customStyle="1" w:styleId="Second-LevelSubheading">
    <w:name w:val="Second-Level Subheading"/>
    <w:basedOn w:val="First-LevelSubheading"/>
    <w:next w:val="BodyText"/>
    <w:qFormat/>
    <w:rsid w:val="00CE732F"/>
    <w:pPr>
      <w:ind w:left="720"/>
      <w:outlineLvl w:val="3"/>
    </w:pPr>
    <w:rPr>
      <w:i/>
    </w:rPr>
  </w:style>
  <w:style w:type="character" w:customStyle="1" w:styleId="FootnoteTextChar">
    <w:name w:val="Footnote Text Char"/>
    <w:link w:val="FootnoteText"/>
    <w:uiPriority w:val="99"/>
    <w:rsid w:val="00CE732F"/>
  </w:style>
  <w:style w:type="paragraph" w:styleId="ListParagraph">
    <w:name w:val="List Paragraph"/>
    <w:basedOn w:val="Normal"/>
    <w:uiPriority w:val="34"/>
    <w:qFormat/>
    <w:rsid w:val="00CE73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B0DAE"/>
    <w:rPr>
      <w:rFonts w:ascii="Tahoma" w:hAnsi="Tahoma" w:cs="Tahoma"/>
      <w:sz w:val="16"/>
      <w:szCs w:val="16"/>
    </w:rPr>
  </w:style>
  <w:style w:type="character" w:customStyle="1" w:styleId="BalloonTextChar">
    <w:name w:val="Balloon Text Char"/>
    <w:basedOn w:val="DefaultParagraphFont"/>
    <w:link w:val="BalloonText"/>
    <w:rsid w:val="000B0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14</Pages>
  <Words>5671</Words>
  <Characters>30158</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2016-12-27T15:37:00Z</dcterms:created>
  <dcterms:modified xsi:type="dcterms:W3CDTF">2016-12-27T15:50:00Z</dcterms:modified>
</cp:coreProperties>
</file>