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21A1F" w:rsidRDefault="00480720" w:rsidP="00480720">
      <w:pPr>
        <w:pStyle w:val="OrderHeading"/>
      </w:pPr>
      <w:r w:rsidRPr="00321A1F">
        <w:t>BEFORE THE FLORIDA PUBLIC SERVICE COMMISSION</w:t>
      </w:r>
    </w:p>
    <w:p w:rsidR="00480720" w:rsidRPr="00321A1F" w:rsidRDefault="00480720" w:rsidP="00480720">
      <w:pPr>
        <w:pStyle w:val="OrderHeading"/>
      </w:pPr>
    </w:p>
    <w:p w:rsidR="00480720" w:rsidRPr="00321A1F" w:rsidRDefault="00480720" w:rsidP="004807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0720" w:rsidRPr="00321A1F" w:rsidTr="00480720">
        <w:trPr>
          <w:trHeight w:val="828"/>
        </w:trPr>
        <w:tc>
          <w:tcPr>
            <w:tcW w:w="4788" w:type="dxa"/>
            <w:tcBorders>
              <w:bottom w:val="single" w:sz="8" w:space="0" w:color="auto"/>
              <w:right w:val="double" w:sz="6" w:space="0" w:color="auto"/>
            </w:tcBorders>
            <w:shd w:val="clear" w:color="auto" w:fill="auto"/>
          </w:tcPr>
          <w:p w:rsidR="00480720" w:rsidRPr="00321A1F" w:rsidRDefault="00480720" w:rsidP="00480720">
            <w:pPr>
              <w:pStyle w:val="OrderBody"/>
              <w:tabs>
                <w:tab w:val="center" w:pos="4320"/>
                <w:tab w:val="right" w:pos="8640"/>
              </w:tabs>
              <w:jc w:val="left"/>
            </w:pPr>
            <w:r w:rsidRPr="00321A1F">
              <w:t xml:space="preserve">In re: </w:t>
            </w:r>
            <w:bookmarkStart w:id="0" w:name="SSInRe"/>
            <w:bookmarkEnd w:id="0"/>
            <w:r w:rsidRPr="00321A1F">
              <w:t>Application for staff-assisted rate case in Brevard County by Aquarina Utilities, Inc.</w:t>
            </w:r>
          </w:p>
        </w:tc>
        <w:tc>
          <w:tcPr>
            <w:tcW w:w="4788" w:type="dxa"/>
            <w:tcBorders>
              <w:left w:val="double" w:sz="6" w:space="0" w:color="auto"/>
            </w:tcBorders>
            <w:shd w:val="clear" w:color="auto" w:fill="auto"/>
          </w:tcPr>
          <w:p w:rsidR="00480720" w:rsidRPr="00321A1F" w:rsidRDefault="00480720" w:rsidP="00480720">
            <w:pPr>
              <w:pStyle w:val="OrderBody"/>
            </w:pPr>
            <w:r w:rsidRPr="00321A1F">
              <w:t xml:space="preserve">DOCKET NO. </w:t>
            </w:r>
            <w:bookmarkStart w:id="1" w:name="SSDocketNo"/>
            <w:bookmarkEnd w:id="1"/>
            <w:r w:rsidRPr="00321A1F">
              <w:t>150010-WS</w:t>
            </w:r>
          </w:p>
          <w:p w:rsidR="00480720" w:rsidRPr="00321A1F" w:rsidRDefault="00480720" w:rsidP="00480720">
            <w:pPr>
              <w:pStyle w:val="OrderBody"/>
              <w:tabs>
                <w:tab w:val="center" w:pos="4320"/>
                <w:tab w:val="right" w:pos="8640"/>
              </w:tabs>
              <w:jc w:val="left"/>
            </w:pPr>
            <w:r w:rsidRPr="00321A1F">
              <w:t xml:space="preserve">ORDER NO. </w:t>
            </w:r>
            <w:bookmarkStart w:id="2" w:name="OrderNo0583"/>
            <w:r w:rsidR="004E730C">
              <w:t>PSC-16-0583-PAA-WS</w:t>
            </w:r>
            <w:bookmarkEnd w:id="2"/>
          </w:p>
          <w:p w:rsidR="00480720" w:rsidRPr="00321A1F" w:rsidRDefault="00480720" w:rsidP="00480720">
            <w:pPr>
              <w:pStyle w:val="OrderBody"/>
              <w:tabs>
                <w:tab w:val="center" w:pos="4320"/>
                <w:tab w:val="right" w:pos="8640"/>
              </w:tabs>
              <w:jc w:val="left"/>
            </w:pPr>
            <w:r w:rsidRPr="00321A1F">
              <w:t xml:space="preserve">ISSUED: </w:t>
            </w:r>
            <w:r w:rsidR="004E730C">
              <w:t>December 29, 2016</w:t>
            </w:r>
          </w:p>
        </w:tc>
      </w:tr>
    </w:tbl>
    <w:p w:rsidR="00480720" w:rsidRPr="00321A1F" w:rsidRDefault="00480720" w:rsidP="00480720"/>
    <w:p w:rsidR="00480720" w:rsidRPr="00321A1F" w:rsidRDefault="00480720" w:rsidP="00480720"/>
    <w:p w:rsidR="00480720" w:rsidRPr="00321A1F" w:rsidRDefault="00480720">
      <w:pPr>
        <w:ind w:firstLine="720"/>
        <w:jc w:val="both"/>
      </w:pPr>
      <w:bookmarkStart w:id="3" w:name="Commissioners"/>
      <w:bookmarkEnd w:id="3"/>
      <w:r w:rsidRPr="00321A1F">
        <w:t>The following Commissioners participated in the disposition of this matter:</w:t>
      </w:r>
    </w:p>
    <w:p w:rsidR="00480720" w:rsidRPr="00321A1F" w:rsidRDefault="00480720"/>
    <w:p w:rsidR="00480720" w:rsidRPr="00321A1F" w:rsidRDefault="00480720">
      <w:pPr>
        <w:jc w:val="center"/>
      </w:pPr>
      <w:r w:rsidRPr="00321A1F">
        <w:t>JULIE I. BROWN, Chairman</w:t>
      </w:r>
    </w:p>
    <w:p w:rsidR="00480720" w:rsidRPr="00321A1F" w:rsidRDefault="00480720">
      <w:pPr>
        <w:jc w:val="center"/>
      </w:pPr>
      <w:r w:rsidRPr="00321A1F">
        <w:t>LISA POLAK EDGAR</w:t>
      </w:r>
    </w:p>
    <w:p w:rsidR="00480720" w:rsidRPr="00321A1F" w:rsidRDefault="00480720">
      <w:pPr>
        <w:jc w:val="center"/>
      </w:pPr>
      <w:r w:rsidRPr="00321A1F">
        <w:t>ART GRAHAM</w:t>
      </w:r>
    </w:p>
    <w:p w:rsidR="00480720" w:rsidRPr="00321A1F" w:rsidRDefault="00480720">
      <w:pPr>
        <w:jc w:val="center"/>
      </w:pPr>
      <w:r w:rsidRPr="00321A1F">
        <w:t>RONALD A. BRISÉ</w:t>
      </w:r>
    </w:p>
    <w:p w:rsidR="00480720" w:rsidRPr="00321A1F" w:rsidRDefault="00480720">
      <w:pPr>
        <w:jc w:val="center"/>
      </w:pPr>
      <w:r w:rsidRPr="00321A1F">
        <w:t>JIMMY PATRONIS</w:t>
      </w:r>
    </w:p>
    <w:p w:rsidR="00CB5276" w:rsidRPr="00321A1F" w:rsidRDefault="00CB5276">
      <w:pPr>
        <w:pStyle w:val="OrderBody"/>
      </w:pPr>
    </w:p>
    <w:bookmarkStart w:id="4" w:name="OrderText"/>
    <w:bookmarkEnd w:id="4"/>
    <w:p w:rsidR="00C05924" w:rsidRPr="00321A1F" w:rsidRDefault="00C05924" w:rsidP="00C05924">
      <w:pPr>
        <w:pStyle w:val="OrderBody"/>
        <w:jc w:val="center"/>
        <w:rPr>
          <w:u w:val="single"/>
        </w:rPr>
      </w:pPr>
      <w:r w:rsidRPr="00321A1F">
        <w:rPr>
          <w:lang w:val="en-CA"/>
        </w:rPr>
        <w:fldChar w:fldCharType="begin"/>
      </w:r>
      <w:r w:rsidRPr="00321A1F">
        <w:rPr>
          <w:lang w:val="en-CA"/>
        </w:rPr>
        <w:instrText xml:space="preserve"> SEQ CHAPTER \h \r 1</w:instrText>
      </w:r>
      <w:r w:rsidRPr="00321A1F">
        <w:fldChar w:fldCharType="end"/>
      </w:r>
      <w:r w:rsidRPr="00321A1F">
        <w:rPr>
          <w:u w:val="single"/>
        </w:rPr>
        <w:t>NOTICE OF PROPOSED AGENCY ACTION</w:t>
      </w:r>
    </w:p>
    <w:p w:rsidR="00A54DDA" w:rsidRPr="00321A1F" w:rsidRDefault="00A54DDA" w:rsidP="00A54DDA">
      <w:pPr>
        <w:pStyle w:val="OrderBody"/>
        <w:jc w:val="center"/>
        <w:rPr>
          <w:u w:val="single"/>
        </w:rPr>
      </w:pPr>
      <w:r w:rsidRPr="00321A1F">
        <w:rPr>
          <w:u w:val="single"/>
        </w:rPr>
        <w:t xml:space="preserve">ORDER APPROVING RATES FOR AQUARINA UTILITIES, INC. </w:t>
      </w:r>
    </w:p>
    <w:p w:rsidR="00A54DDA" w:rsidRPr="00321A1F" w:rsidRDefault="00A54DDA" w:rsidP="00A54DDA">
      <w:pPr>
        <w:pStyle w:val="OrderBody"/>
        <w:jc w:val="center"/>
        <w:rPr>
          <w:u w:val="single"/>
        </w:rPr>
      </w:pPr>
      <w:r w:rsidRPr="00321A1F">
        <w:rPr>
          <w:u w:val="single"/>
        </w:rPr>
        <w:t xml:space="preserve">AND FINAL ORDER </w:t>
      </w:r>
    </w:p>
    <w:p w:rsidR="00A54DDA" w:rsidRPr="00321A1F" w:rsidRDefault="00A54DDA" w:rsidP="00A54DDA">
      <w:pPr>
        <w:pStyle w:val="OrderBody"/>
        <w:jc w:val="center"/>
        <w:rPr>
          <w:u w:val="single"/>
        </w:rPr>
      </w:pPr>
      <w:r w:rsidRPr="00321A1F">
        <w:rPr>
          <w:u w:val="single"/>
        </w:rPr>
        <w:t xml:space="preserve">ON RECOVERY OF RATE CASE EXPENSE, TEMPORARY RATES </w:t>
      </w:r>
    </w:p>
    <w:p w:rsidR="00A54DDA" w:rsidRPr="00321A1F" w:rsidRDefault="00A54DDA" w:rsidP="00A54DDA">
      <w:pPr>
        <w:pStyle w:val="OrderBody"/>
        <w:jc w:val="center"/>
        <w:rPr>
          <w:u w:val="single"/>
        </w:rPr>
      </w:pPr>
      <w:r w:rsidRPr="00321A1F">
        <w:rPr>
          <w:u w:val="single"/>
        </w:rPr>
        <w:t>AND ACCOUNTING</w:t>
      </w:r>
    </w:p>
    <w:p w:rsidR="00C05924" w:rsidRPr="00321A1F" w:rsidRDefault="00C05924" w:rsidP="00C05924">
      <w:pPr>
        <w:pStyle w:val="OrderBody"/>
      </w:pPr>
    </w:p>
    <w:p w:rsidR="00C05924" w:rsidRPr="00321A1F" w:rsidRDefault="00C05924" w:rsidP="00C05924">
      <w:pPr>
        <w:pStyle w:val="OrderBody"/>
      </w:pPr>
      <w:r w:rsidRPr="00321A1F">
        <w:t>BY THE COMMISSION:</w:t>
      </w:r>
    </w:p>
    <w:p w:rsidR="00C05924" w:rsidRPr="00321A1F" w:rsidRDefault="00C05924"/>
    <w:p w:rsidR="00EC6608" w:rsidRPr="00321A1F" w:rsidRDefault="00EC6608" w:rsidP="00EC6608">
      <w:pPr>
        <w:pStyle w:val="OrderBody"/>
      </w:pPr>
      <w:r w:rsidRPr="00321A1F">
        <w:tab/>
        <w:t xml:space="preserve">NOTICE is hereby given by the Florida Public Service Commission </w:t>
      </w:r>
      <w:r w:rsidR="00321A1F" w:rsidRPr="00321A1F">
        <w:t xml:space="preserve">(Commission) </w:t>
      </w:r>
      <w:r w:rsidRPr="00321A1F">
        <w:t>that</w:t>
      </w:r>
      <w:r w:rsidR="00A54DDA" w:rsidRPr="00321A1F">
        <w:t>,</w:t>
      </w:r>
      <w:r w:rsidRPr="00321A1F">
        <w:t xml:space="preserve"> the action discussed herein is preliminary in nature and will become final unless a person whose interests are substantially affected files a petition for a formal proceeding, pursuant to Rule 25-22.029, Florida Administrative Code (F.A.C.).</w:t>
      </w:r>
      <w:r w:rsidR="00A54DDA" w:rsidRPr="00321A1F">
        <w:t xml:space="preserve"> Granting of temporary rates in the event of a protest, addressing rate case expense, and requiring adjustments to N</w:t>
      </w:r>
      <w:r w:rsidR="007F7A48">
        <w:t>ational Association of Regulatory Utility Commissioners Uniform System of Accounts</w:t>
      </w:r>
      <w:r w:rsidR="00A54DDA" w:rsidRPr="00321A1F">
        <w:t xml:space="preserve"> are final agency actions and subject to reconsideration and appeal as described below under the heading, “NOTICE OF FURTHER PROCEEDINGS OR JUDICIAL REVIEW.”</w:t>
      </w:r>
    </w:p>
    <w:p w:rsidR="00EC6608" w:rsidRPr="00321A1F" w:rsidRDefault="00EC6608" w:rsidP="00EC6608"/>
    <w:p w:rsidR="002C1EFF" w:rsidRPr="00321A1F" w:rsidRDefault="002C1EFF" w:rsidP="002C1EFF">
      <w:pPr>
        <w:keepNext/>
        <w:spacing w:after="240"/>
        <w:ind w:left="360"/>
        <w:jc w:val="center"/>
        <w:outlineLvl w:val="0"/>
        <w:rPr>
          <w:b/>
          <w:bCs/>
          <w:kern w:val="32"/>
        </w:rPr>
      </w:pPr>
      <w:bookmarkStart w:id="5" w:name="CaseBackground"/>
      <w:r w:rsidRPr="00321A1F">
        <w:rPr>
          <w:b/>
          <w:bCs/>
          <w:kern w:val="32"/>
        </w:rPr>
        <w:t xml:space="preserve"> Background</w:t>
      </w:r>
    </w:p>
    <w:p w:rsidR="002C1EFF" w:rsidRPr="00321A1F" w:rsidRDefault="00A54DDA" w:rsidP="002C1EFF">
      <w:pPr>
        <w:spacing w:after="240"/>
        <w:jc w:val="both"/>
      </w:pPr>
      <w:r w:rsidRPr="00321A1F">
        <w:tab/>
      </w:r>
      <w:r w:rsidR="002C1EFF" w:rsidRPr="00321A1F">
        <w:t xml:space="preserve">Aquarina Utilities, Inc., (Aquarina or Utility) is a Class B utility providing service to approximately 296 water and 311 wastewater customers in Brevard County. Aquarina also provides non-potable water for irrigation to approximately 107 customers. </w:t>
      </w:r>
      <w:r w:rsidR="00494D62" w:rsidRPr="00321A1F">
        <w:t>Aquarina Developments, Inc.</w:t>
      </w:r>
      <w:r w:rsidR="00494D62">
        <w:t xml:space="preserve"> owned the system when it </w:t>
      </w:r>
      <w:r w:rsidR="002C1EFF" w:rsidRPr="00321A1F">
        <w:t>began providing service in 1984</w:t>
      </w:r>
      <w:r w:rsidR="00494D62">
        <w:t>. I</w:t>
      </w:r>
      <w:r w:rsidR="002C1EFF" w:rsidRPr="00321A1F">
        <w:t xml:space="preserve">n 1989, </w:t>
      </w:r>
      <w:r w:rsidR="00494D62">
        <w:t xml:space="preserve">we </w:t>
      </w:r>
      <w:r w:rsidR="002C1EFF" w:rsidRPr="00321A1F">
        <w:t xml:space="preserve">  granted the </w:t>
      </w:r>
      <w:r w:rsidR="00494D62">
        <w:t>system</w:t>
      </w:r>
      <w:r w:rsidR="002C1EFF" w:rsidRPr="00321A1F">
        <w:t xml:space="preserve"> water and wastewater certificate numbers 517-W and 450-S, respectively. Water and wastewater rates were last established in 2003, when </w:t>
      </w:r>
      <w:r w:rsidRPr="00321A1F">
        <w:t xml:space="preserve">the </w:t>
      </w:r>
      <w:r w:rsidR="00494D62">
        <w:t xml:space="preserve">system was owned by </w:t>
      </w:r>
      <w:r w:rsidR="002C1EFF" w:rsidRPr="00321A1F">
        <w:t xml:space="preserve"> Service Management Systems, Inc.</w:t>
      </w:r>
      <w:r w:rsidRPr="00321A1F">
        <w:t xml:space="preserve"> </w:t>
      </w:r>
      <w:r w:rsidR="002C1EFF" w:rsidRPr="00321A1F">
        <w:t xml:space="preserve"> </w:t>
      </w:r>
      <w:r w:rsidRPr="00321A1F">
        <w:t xml:space="preserve">Ownership </w:t>
      </w:r>
      <w:r w:rsidR="002C1EFF" w:rsidRPr="00321A1F">
        <w:t xml:space="preserve">was transferred to Aquarina in 2012. </w:t>
      </w:r>
    </w:p>
    <w:p w:rsidR="002C1EFF" w:rsidRPr="00321A1F" w:rsidRDefault="00A54DDA" w:rsidP="002C1EFF">
      <w:pPr>
        <w:spacing w:after="240"/>
        <w:jc w:val="both"/>
      </w:pPr>
      <w:r w:rsidRPr="00321A1F">
        <w:tab/>
      </w:r>
      <w:r w:rsidR="002C1EFF" w:rsidRPr="00321A1F">
        <w:t xml:space="preserve">On January 2, 2015, Aquarina filed an application for a Staff Assisted Rate Case (SARC). </w:t>
      </w:r>
      <w:r w:rsidR="00321A1F" w:rsidRPr="00321A1F">
        <w:t>T</w:t>
      </w:r>
      <w:r w:rsidR="002C1EFF" w:rsidRPr="00321A1F">
        <w:t xml:space="preserve">he test year ending December 31, 2014, </w:t>
      </w:r>
      <w:r w:rsidR="00321A1F" w:rsidRPr="00321A1F">
        <w:t xml:space="preserve">was selected for this case. </w:t>
      </w:r>
      <w:r w:rsidR="002C1EFF" w:rsidRPr="00321A1F">
        <w:t xml:space="preserve"> According to Aquarina’s 2014 Annual Report, its total operating revenues for water and wastewater were $269,405 and $161,736, respectively. The Utility reported a net loss of $45,050 for the water </w:t>
      </w:r>
      <w:r w:rsidR="002C1EFF" w:rsidRPr="00321A1F">
        <w:lastRenderedPageBreak/>
        <w:t xml:space="preserve">service and net income of $5,320 for the wastewater service. On July 14, 2015, Aquarina submitted </w:t>
      </w:r>
      <w:r w:rsidR="00321A1F" w:rsidRPr="00321A1F">
        <w:t xml:space="preserve">an </w:t>
      </w:r>
      <w:r w:rsidR="002C1EFF" w:rsidRPr="00321A1F">
        <w:t xml:space="preserve">additional pro forma request for consideration </w:t>
      </w:r>
      <w:r w:rsidR="00321A1F" w:rsidRPr="00321A1F">
        <w:t>in this docket. We</w:t>
      </w:r>
      <w:r w:rsidR="002C1EFF" w:rsidRPr="00321A1F">
        <w:t xml:space="preserve"> received the final quotes on October 19, 2015. On January 19, 2016, the Utility requested consideration of additional well expenses.</w:t>
      </w:r>
    </w:p>
    <w:p w:rsidR="002C1EFF" w:rsidRPr="00321A1F" w:rsidRDefault="00A54DDA" w:rsidP="002C1EFF">
      <w:pPr>
        <w:jc w:val="both"/>
      </w:pPr>
      <w:r w:rsidRPr="00321A1F">
        <w:tab/>
      </w:r>
      <w:r w:rsidR="002C1EFF" w:rsidRPr="00321A1F">
        <w:t xml:space="preserve">A customer meeting was held on March 10, 2016, to receive customer questions and comments concerning the Utility’s rate case and quality of service. </w:t>
      </w:r>
      <w:r w:rsidR="00321A1F" w:rsidRPr="00321A1F">
        <w:t xml:space="preserve">We have </w:t>
      </w:r>
      <w:r w:rsidR="002C1EFF" w:rsidRPr="00321A1F">
        <w:t>jurisdiction in this case pursuant to Section 367.0814, Florida Statutes, (F.S.).</w:t>
      </w:r>
    </w:p>
    <w:p w:rsidR="002C1EFF" w:rsidRPr="00321A1F" w:rsidRDefault="002C1EFF" w:rsidP="002C1EFF">
      <w:pPr>
        <w:keepNext/>
        <w:spacing w:after="240"/>
        <w:ind w:left="360"/>
        <w:jc w:val="center"/>
        <w:outlineLvl w:val="0"/>
        <w:rPr>
          <w:b/>
          <w:bCs/>
          <w:kern w:val="32"/>
        </w:rPr>
      </w:pPr>
      <w:bookmarkStart w:id="6" w:name="DiscussionOfIssues"/>
      <w:bookmarkEnd w:id="5"/>
    </w:p>
    <w:p w:rsidR="002C1EFF" w:rsidRPr="00321A1F" w:rsidRDefault="002C1EFF" w:rsidP="002C1EFF">
      <w:pPr>
        <w:keepNext/>
        <w:spacing w:after="240"/>
        <w:ind w:left="360"/>
        <w:jc w:val="center"/>
        <w:outlineLvl w:val="0"/>
        <w:rPr>
          <w:b/>
          <w:bCs/>
          <w:kern w:val="32"/>
        </w:rPr>
      </w:pPr>
      <w:r w:rsidRPr="00321A1F">
        <w:rPr>
          <w:b/>
          <w:bCs/>
          <w:kern w:val="32"/>
        </w:rPr>
        <w:t>D</w:t>
      </w:r>
      <w:r w:rsidR="00A54DDA" w:rsidRPr="00321A1F">
        <w:rPr>
          <w:b/>
          <w:bCs/>
          <w:kern w:val="32"/>
        </w:rPr>
        <w:t>ecision</w:t>
      </w:r>
    </w:p>
    <w:bookmarkEnd w:id="6"/>
    <w:p w:rsidR="00321A1F" w:rsidRPr="00321A1F" w:rsidRDefault="00321A1F" w:rsidP="002C1EFF">
      <w:pPr>
        <w:spacing w:after="240"/>
        <w:jc w:val="both"/>
        <w:outlineLvl w:val="0"/>
        <w:rPr>
          <w:bCs/>
          <w:kern w:val="32"/>
          <w:u w:val="single"/>
        </w:rPr>
      </w:pPr>
      <w:r w:rsidRPr="00321A1F">
        <w:rPr>
          <w:bCs/>
          <w:kern w:val="32"/>
          <w:u w:val="single"/>
        </w:rPr>
        <w:t>1. Quality of Service</w:t>
      </w:r>
    </w:p>
    <w:p w:rsidR="009A14BE" w:rsidRDefault="00B44103" w:rsidP="002C1EFF">
      <w:pPr>
        <w:jc w:val="both"/>
      </w:pPr>
      <w:r>
        <w:tab/>
      </w:r>
      <w:r w:rsidR="002C1EFF" w:rsidRPr="00321A1F">
        <w:t xml:space="preserve">Pursuant to Rule 25-30.433(1), F.A.C., in water and wastewater rate cases, </w:t>
      </w:r>
      <w:r>
        <w:t>we must</w:t>
      </w:r>
      <w:r w:rsidR="002C1EFF" w:rsidRPr="00321A1F">
        <w:t xml:space="preserve"> determine the overall quality of service provided by </w:t>
      </w:r>
      <w:r>
        <w:t xml:space="preserve">the </w:t>
      </w:r>
      <w:r w:rsidR="002C1EFF" w:rsidRPr="00321A1F">
        <w:t xml:space="preserve">utility. This </w:t>
      </w:r>
      <w:r w:rsidR="00AF78EA">
        <w:t>review is based upon</w:t>
      </w:r>
      <w:r w:rsidR="002C1EFF" w:rsidRPr="00321A1F">
        <w:t xml:space="preserve"> an evaluation of three separate components of the operations</w:t>
      </w:r>
      <w:r w:rsidR="00AF78EA">
        <w:t xml:space="preserve">: </w:t>
      </w:r>
      <w:r w:rsidR="002C1EFF" w:rsidRPr="00321A1F">
        <w:t>the quality of the utility’s product; the operating conditions of the utility’s plant and facilities; and</w:t>
      </w:r>
      <w:r w:rsidR="00B6438C">
        <w:t>,</w:t>
      </w:r>
      <w:r w:rsidR="002C1EFF" w:rsidRPr="00321A1F">
        <w:t xml:space="preserve"> the utility’s attempt to address customer satisfaction. The Rule </w:t>
      </w:r>
      <w:r w:rsidR="00AF78EA">
        <w:t xml:space="preserve">provides </w:t>
      </w:r>
      <w:r w:rsidR="002C1EFF" w:rsidRPr="00321A1F">
        <w:t>that</w:t>
      </w:r>
      <w:r w:rsidR="00AF78EA">
        <w:t xml:space="preserve"> the following must be considered: </w:t>
      </w:r>
      <w:r w:rsidR="002C1EFF" w:rsidRPr="00321A1F">
        <w:t>sanitary surveys</w:t>
      </w:r>
      <w:r w:rsidR="00AF78EA">
        <w:t>;</w:t>
      </w:r>
      <w:r w:rsidR="002C1EFF" w:rsidRPr="00321A1F">
        <w:t xml:space="preserve"> outstanding citations</w:t>
      </w:r>
      <w:r w:rsidR="00AF78EA">
        <w:t>; and</w:t>
      </w:r>
      <w:r w:rsidR="007F7A48">
        <w:t>,</w:t>
      </w:r>
      <w:r w:rsidR="00AF78EA">
        <w:t xml:space="preserve"> </w:t>
      </w:r>
      <w:r w:rsidR="002C1EFF" w:rsidRPr="00321A1F">
        <w:t xml:space="preserve">violations and consent orders </w:t>
      </w:r>
      <w:r w:rsidR="00AF78EA">
        <w:t xml:space="preserve">for the preceding three year period that are </w:t>
      </w:r>
      <w:r w:rsidR="002C1EFF" w:rsidRPr="00321A1F">
        <w:t>on file with the Department of Environmental Protection (DEP) and the county health department</w:t>
      </w:r>
      <w:r w:rsidR="00AF78EA">
        <w:t xml:space="preserve">. </w:t>
      </w:r>
      <w:r w:rsidR="002C1EFF" w:rsidRPr="00321A1F">
        <w:t>Additionally, Section 367.0812(1)(c), F.S., requires th</w:t>
      </w:r>
      <w:r>
        <w:t>at we</w:t>
      </w:r>
      <w:r w:rsidR="002C1EFF" w:rsidRPr="00321A1F">
        <w:t xml:space="preserve"> consider the extent to which the utility provides water service that meets secondary water quality standards as established by the DE</w:t>
      </w:r>
      <w:r w:rsidR="00CF75BD">
        <w:t xml:space="preserve">P. </w:t>
      </w:r>
    </w:p>
    <w:p w:rsidR="009A14BE" w:rsidRDefault="009A14BE" w:rsidP="002C1EFF">
      <w:pPr>
        <w:jc w:val="both"/>
      </w:pPr>
    </w:p>
    <w:p w:rsidR="009A14BE" w:rsidRDefault="009A14BE" w:rsidP="002C1EFF">
      <w:pPr>
        <w:jc w:val="both"/>
      </w:pPr>
      <w:r>
        <w:tab/>
      </w:r>
      <w:r w:rsidR="00CF75BD">
        <w:t xml:space="preserve">Based upon our initial review of the Utility’s service </w:t>
      </w:r>
      <w:r w:rsidR="007F7A48">
        <w:t xml:space="preserve">and </w:t>
      </w:r>
      <w:r w:rsidR="00AF78EA">
        <w:t xml:space="preserve">the </w:t>
      </w:r>
      <w:r w:rsidR="00CF75BD">
        <w:t>foregoing criteria, it appeared that the service was satisfactory.</w:t>
      </w:r>
      <w:r w:rsidR="00CF75BD">
        <w:rPr>
          <w:rStyle w:val="FootnoteReference"/>
        </w:rPr>
        <w:footnoteReference w:id="1"/>
      </w:r>
      <w:r w:rsidR="00CF75BD">
        <w:t xml:space="preserve"> However, at our November 1, 2016, Agenda conference, </w:t>
      </w:r>
      <w:r w:rsidR="005E745A">
        <w:t>further information provided to us</w:t>
      </w:r>
      <w:r>
        <w:t xml:space="preserve"> </w:t>
      </w:r>
      <w:r w:rsidR="00CF75BD">
        <w:t xml:space="preserve">reflected that there were significant </w:t>
      </w:r>
      <w:r>
        <w:t xml:space="preserve">concerns </w:t>
      </w:r>
      <w:r w:rsidR="00CF75BD">
        <w:t>with the Utility’s service.</w:t>
      </w:r>
      <w:r>
        <w:t xml:space="preserve"> Among such concerns were the following: </w:t>
      </w:r>
    </w:p>
    <w:p w:rsidR="007A48DC" w:rsidRDefault="007A48DC" w:rsidP="002C1EFF">
      <w:pPr>
        <w:jc w:val="both"/>
      </w:pPr>
    </w:p>
    <w:p w:rsidR="007F7A48" w:rsidRDefault="005E745A" w:rsidP="00AF78EA">
      <w:pPr>
        <w:jc w:val="both"/>
      </w:pPr>
      <w:r>
        <w:tab/>
      </w:r>
      <w:r w:rsidR="00B6438C">
        <w:t>f</w:t>
      </w:r>
      <w:r w:rsidR="009A14BE">
        <w:t>ire</w:t>
      </w:r>
      <w:r w:rsidR="00B6438C">
        <w:t xml:space="preserve"> </w:t>
      </w:r>
      <w:r w:rsidR="009A14BE">
        <w:t>flow</w:t>
      </w:r>
      <w:r>
        <w:t xml:space="preserve"> </w:t>
      </w:r>
      <w:r w:rsidR="00AF78EA">
        <w:t>(</w:t>
      </w:r>
      <w:r w:rsidR="009A14BE">
        <w:t xml:space="preserve">including no water </w:t>
      </w:r>
      <w:r w:rsidR="005D06E9">
        <w:t>for fire suppression</w:t>
      </w:r>
      <w:r w:rsidR="00AF78EA">
        <w:t xml:space="preserve">, </w:t>
      </w:r>
      <w:r w:rsidR="009A14BE">
        <w:t xml:space="preserve">low water pressure for fire </w:t>
      </w:r>
      <w:r>
        <w:tab/>
      </w:r>
      <w:r w:rsidR="009A14BE">
        <w:t>suppression</w:t>
      </w:r>
      <w:r w:rsidR="005D06E9">
        <w:t xml:space="preserve">, and irrigation </w:t>
      </w:r>
      <w:r w:rsidR="00AF78EA">
        <w:t xml:space="preserve">use </w:t>
      </w:r>
      <w:r w:rsidR="005D06E9">
        <w:t>disrupting water availability for fire suppression</w:t>
      </w:r>
      <w:r w:rsidR="00AF78EA">
        <w:t>)</w:t>
      </w:r>
      <w:r w:rsidR="007A48DC">
        <w:t>;</w:t>
      </w:r>
      <w:r w:rsidR="00AF78EA">
        <w:t xml:space="preserve"> </w:t>
      </w:r>
    </w:p>
    <w:p w:rsidR="007F7A48" w:rsidRDefault="005E745A" w:rsidP="00AF78EA">
      <w:pPr>
        <w:jc w:val="both"/>
      </w:pPr>
      <w:r>
        <w:tab/>
      </w:r>
      <w:r w:rsidR="005D06E9">
        <w:t xml:space="preserve">water </w:t>
      </w:r>
      <w:r w:rsidR="009A14BE">
        <w:t>leaks</w:t>
      </w:r>
      <w:r w:rsidR="007A48DC">
        <w:t>;</w:t>
      </w:r>
      <w:r w:rsidR="00AF78EA">
        <w:t xml:space="preserve"> </w:t>
      </w:r>
    </w:p>
    <w:p w:rsidR="007F7A48" w:rsidRDefault="005E745A" w:rsidP="00AF78EA">
      <w:pPr>
        <w:jc w:val="both"/>
      </w:pPr>
      <w:r>
        <w:tab/>
      </w:r>
      <w:r w:rsidR="009A14BE">
        <w:t>untimely repairs</w:t>
      </w:r>
      <w:r w:rsidR="007A48DC">
        <w:t>;</w:t>
      </w:r>
      <w:r w:rsidR="009A14BE">
        <w:t xml:space="preserve"> </w:t>
      </w:r>
    </w:p>
    <w:p w:rsidR="007F7A48" w:rsidRDefault="005E745A" w:rsidP="00AF78EA">
      <w:pPr>
        <w:jc w:val="both"/>
      </w:pPr>
      <w:r>
        <w:tab/>
      </w:r>
      <w:r w:rsidR="009A14BE">
        <w:t>debris in the line after repair</w:t>
      </w:r>
      <w:r w:rsidR="007A48DC">
        <w:t>;</w:t>
      </w:r>
      <w:r w:rsidR="009A14BE">
        <w:t xml:space="preserve"> </w:t>
      </w:r>
    </w:p>
    <w:p w:rsidR="007F7A48" w:rsidRDefault="005E745A" w:rsidP="00AF78EA">
      <w:pPr>
        <w:jc w:val="both"/>
      </w:pPr>
      <w:r>
        <w:tab/>
      </w:r>
      <w:r w:rsidR="009A14BE">
        <w:t xml:space="preserve">failure to issue boil </w:t>
      </w:r>
      <w:r w:rsidR="00824021">
        <w:t xml:space="preserve">water </w:t>
      </w:r>
      <w:r w:rsidR="009A14BE">
        <w:t>notices</w:t>
      </w:r>
      <w:r w:rsidR="007A48DC">
        <w:t>;</w:t>
      </w:r>
      <w:r w:rsidR="009A14BE">
        <w:t xml:space="preserve"> </w:t>
      </w:r>
    </w:p>
    <w:p w:rsidR="007F7A48" w:rsidRDefault="005E745A" w:rsidP="00AF78EA">
      <w:pPr>
        <w:jc w:val="both"/>
      </w:pPr>
      <w:r>
        <w:tab/>
      </w:r>
      <w:r w:rsidR="009A14BE">
        <w:t xml:space="preserve">failure to </w:t>
      </w:r>
      <w:r w:rsidR="005D06E9">
        <w:t xml:space="preserve">follow </w:t>
      </w:r>
      <w:r w:rsidR="00AF78EA">
        <w:t xml:space="preserve">appropriate </w:t>
      </w:r>
      <w:r w:rsidR="005D06E9">
        <w:t>safety procedures after repairs</w:t>
      </w:r>
      <w:r w:rsidR="007A48DC">
        <w:t>;</w:t>
      </w:r>
      <w:r w:rsidR="009A14BE">
        <w:t xml:space="preserve"> </w:t>
      </w:r>
    </w:p>
    <w:p w:rsidR="007F7A48" w:rsidRDefault="005E745A" w:rsidP="00AF78EA">
      <w:pPr>
        <w:jc w:val="both"/>
      </w:pPr>
      <w:r>
        <w:tab/>
      </w:r>
      <w:r w:rsidR="009A14BE">
        <w:t xml:space="preserve">missing </w:t>
      </w:r>
      <w:r w:rsidR="00AF78EA">
        <w:t xml:space="preserve">utility </w:t>
      </w:r>
      <w:r w:rsidR="009A14BE">
        <w:t>equipment</w:t>
      </w:r>
      <w:r w:rsidR="007A48DC">
        <w:t xml:space="preserve">; </w:t>
      </w:r>
    </w:p>
    <w:p w:rsidR="007F7A48" w:rsidRDefault="005E745A" w:rsidP="00AF78EA">
      <w:pPr>
        <w:jc w:val="both"/>
      </w:pPr>
      <w:r>
        <w:tab/>
      </w:r>
      <w:r w:rsidR="005D06E9">
        <w:t>operation of the plant by a non-</w:t>
      </w:r>
      <w:r w:rsidR="00B6438C">
        <w:t>licensed</w:t>
      </w:r>
      <w:r w:rsidR="007A48DC">
        <w:t xml:space="preserve"> operator; </w:t>
      </w:r>
    </w:p>
    <w:p w:rsidR="007F7A48" w:rsidRDefault="005E745A" w:rsidP="00AF78EA">
      <w:pPr>
        <w:jc w:val="both"/>
      </w:pPr>
      <w:r>
        <w:tab/>
      </w:r>
      <w:r w:rsidR="007A48DC">
        <w:t xml:space="preserve">appropriate </w:t>
      </w:r>
      <w:r w:rsidR="005D06E9">
        <w:t xml:space="preserve">cost </w:t>
      </w:r>
      <w:r w:rsidR="007A48DC">
        <w:t>allocation of salaries</w:t>
      </w:r>
      <w:r w:rsidR="005D06E9">
        <w:t>, equipment, and machinery</w:t>
      </w:r>
      <w:r w:rsidR="007A48DC">
        <w:t xml:space="preserve"> among entities owned </w:t>
      </w:r>
      <w:r>
        <w:tab/>
      </w:r>
      <w:r w:rsidR="007A48DC">
        <w:t>by the Burges</w:t>
      </w:r>
      <w:r w:rsidR="005D06E9">
        <w:t>;</w:t>
      </w:r>
      <w:r w:rsidR="00AF78EA">
        <w:t xml:space="preserve"> </w:t>
      </w:r>
    </w:p>
    <w:p w:rsidR="007F7A48" w:rsidRDefault="005E745A" w:rsidP="00AF78EA">
      <w:pPr>
        <w:jc w:val="both"/>
      </w:pPr>
      <w:r>
        <w:tab/>
      </w:r>
      <w:r w:rsidR="005D06E9">
        <w:t>communications with customers; and</w:t>
      </w:r>
      <w:r w:rsidR="00AF78EA">
        <w:t xml:space="preserve"> </w:t>
      </w:r>
    </w:p>
    <w:p w:rsidR="005D06E9" w:rsidRDefault="005E745A" w:rsidP="00AF78EA">
      <w:pPr>
        <w:jc w:val="both"/>
      </w:pPr>
      <w:r>
        <w:tab/>
      </w:r>
      <w:r w:rsidR="005D06E9">
        <w:t>maintenance of complaint logs.</w:t>
      </w:r>
    </w:p>
    <w:p w:rsidR="009A14BE" w:rsidRDefault="009A14BE" w:rsidP="00AF78EA">
      <w:pPr>
        <w:jc w:val="both"/>
      </w:pPr>
    </w:p>
    <w:p w:rsidR="00CF75BD" w:rsidRDefault="00F01BBC" w:rsidP="002C1EFF">
      <w:pPr>
        <w:jc w:val="both"/>
      </w:pPr>
      <w:r>
        <w:tab/>
      </w:r>
      <w:r w:rsidR="005D06E9">
        <w:t xml:space="preserve">Having heard these concerns, </w:t>
      </w:r>
      <w:r w:rsidR="00CF75BD">
        <w:t xml:space="preserve">we find the Utility’s service to be marginal and hereby direct our staff to conduct a thorough management audit of the Utility to address </w:t>
      </w:r>
      <w:r w:rsidR="009A14BE">
        <w:t xml:space="preserve">the </w:t>
      </w:r>
      <w:r w:rsidR="00CF75BD">
        <w:t>matters raised by customers</w:t>
      </w:r>
      <w:r w:rsidR="009A14BE">
        <w:t xml:space="preserve"> and other matters </w:t>
      </w:r>
      <w:r w:rsidR="00B6438C">
        <w:t>routinely</w:t>
      </w:r>
      <w:r w:rsidR="009A14BE">
        <w:t xml:space="preserve"> included in such an audit</w:t>
      </w:r>
      <w:r w:rsidR="005D06E9">
        <w:t xml:space="preserve">. </w:t>
      </w:r>
    </w:p>
    <w:p w:rsidR="00F01BBC" w:rsidRDefault="00F01BBC" w:rsidP="002C1EFF">
      <w:pPr>
        <w:jc w:val="both"/>
      </w:pPr>
    </w:p>
    <w:p w:rsidR="00F01BBC" w:rsidRPr="001E3BE2" w:rsidRDefault="001E3BE2" w:rsidP="002C1EFF">
      <w:pPr>
        <w:jc w:val="both"/>
        <w:rPr>
          <w:u w:val="single"/>
        </w:rPr>
      </w:pPr>
      <w:r w:rsidRPr="001E3BE2">
        <w:rPr>
          <w:u w:val="single"/>
        </w:rPr>
        <w:t>2. Used and Useful (U&amp;U)</w:t>
      </w:r>
    </w:p>
    <w:p w:rsidR="001E3BE2" w:rsidRDefault="001E3BE2" w:rsidP="002C1EFF">
      <w:pPr>
        <w:jc w:val="both"/>
      </w:pPr>
    </w:p>
    <w:p w:rsidR="002C1EFF" w:rsidRPr="001A369F" w:rsidRDefault="001A369F" w:rsidP="002C1EFF">
      <w:pPr>
        <w:jc w:val="both"/>
        <w:rPr>
          <w:i/>
        </w:rPr>
      </w:pPr>
      <w:r>
        <w:rPr>
          <w:i/>
        </w:rPr>
        <w:t xml:space="preserve">A. </w:t>
      </w:r>
      <w:r w:rsidR="002C1EFF" w:rsidRPr="001A369F">
        <w:rPr>
          <w:i/>
        </w:rPr>
        <w:t>Potable Water Treatment Plant Used &amp; Useful</w:t>
      </w:r>
    </w:p>
    <w:p w:rsidR="001A369F" w:rsidRPr="00321A1F" w:rsidRDefault="001A369F" w:rsidP="002C1EFF">
      <w:pPr>
        <w:jc w:val="both"/>
        <w:rPr>
          <w:b/>
        </w:rPr>
      </w:pPr>
    </w:p>
    <w:p w:rsidR="002C1EFF" w:rsidRPr="00321A1F" w:rsidRDefault="001A369F" w:rsidP="002C1EFF">
      <w:pPr>
        <w:jc w:val="both"/>
        <w:rPr>
          <w:i/>
        </w:rPr>
      </w:pPr>
      <w:r>
        <w:tab/>
      </w:r>
      <w:r w:rsidR="002C1EFF" w:rsidRPr="00321A1F">
        <w:t xml:space="preserve">Pursuant to Rule 25-30.4325, F.A.C., the U&amp;U calculation for a </w:t>
      </w:r>
      <w:r w:rsidR="001E3BE2">
        <w:t>water treatment plant (</w:t>
      </w:r>
      <w:r w:rsidR="002C1EFF" w:rsidRPr="00321A1F">
        <w:t>WTP</w:t>
      </w:r>
      <w:r w:rsidR="001E3BE2">
        <w:t>)</w:t>
      </w:r>
      <w:r w:rsidR="002C1EFF" w:rsidRPr="00321A1F">
        <w:t xml:space="preserve"> is ((Max Day - </w:t>
      </w:r>
      <w:r w:rsidR="001E3BE2" w:rsidRPr="00321A1F">
        <w:t xml:space="preserve">excessive unaccounted for water </w:t>
      </w:r>
      <w:r w:rsidR="001E3BE2">
        <w:t>(</w:t>
      </w:r>
      <w:r w:rsidR="002C1EFF" w:rsidRPr="00321A1F">
        <w:t>EUW</w:t>
      </w:r>
      <w:r w:rsidR="001E3BE2">
        <w:t>)</w:t>
      </w:r>
      <w:r w:rsidR="002C1EFF" w:rsidRPr="00321A1F">
        <w:t xml:space="preserve"> + Fire Flow + Growth)/ Firm Reliable Capacity). Based on Aquarina’s Monthly Operating Reports (MORs) the Max Day usage during the test year was 70,000 gallons. The Utility’s MORs indicate that there was no EUW during the test year. Fire flow is handled by a separate, non-potable system</w:t>
      </w:r>
      <w:r w:rsidR="007F7A48">
        <w:t>;</w:t>
      </w:r>
      <w:r w:rsidR="002C1EFF" w:rsidRPr="00321A1F">
        <w:t xml:space="preserve"> therefore</w:t>
      </w:r>
      <w:r w:rsidR="007F7A48">
        <w:t>,</w:t>
      </w:r>
      <w:r w:rsidR="002C1EFF" w:rsidRPr="00321A1F">
        <w:t xml:space="preserve"> it is not considered in </w:t>
      </w:r>
      <w:r>
        <w:t>our</w:t>
      </w:r>
      <w:r w:rsidR="002C1EFF" w:rsidRPr="00321A1F">
        <w:t xml:space="preserve"> evaluation of WTP used and useful. Historic flows indicate negative growth since 2011; therefore, </w:t>
      </w:r>
      <w:r>
        <w:t xml:space="preserve">we are not </w:t>
      </w:r>
      <w:r w:rsidR="002C1EFF" w:rsidRPr="00321A1F">
        <w:t>making an adjustment for growth.</w:t>
      </w:r>
      <w:r w:rsidR="002C1EFF" w:rsidRPr="00321A1F">
        <w:rPr>
          <w:i/>
        </w:rPr>
        <w:t xml:space="preserve"> </w:t>
      </w:r>
    </w:p>
    <w:p w:rsidR="002C1EFF" w:rsidRPr="00321A1F" w:rsidRDefault="002C1EFF" w:rsidP="002C1EFF">
      <w:pPr>
        <w:jc w:val="both"/>
      </w:pPr>
    </w:p>
    <w:p w:rsidR="002C1EFF" w:rsidRPr="00321A1F" w:rsidRDefault="001A369F" w:rsidP="002C1EFF">
      <w:pPr>
        <w:jc w:val="both"/>
      </w:pPr>
      <w:r>
        <w:tab/>
      </w:r>
      <w:r w:rsidR="002C1EFF" w:rsidRPr="00321A1F">
        <w:t>Rule 25-30.4325, F.A.C., provides that Firm Reliable Capacity (FRC) is expressed in gallons per day (gpd), based on 16 hours of pumping, for systems with storage capacity such as Aquarina’s system. Typically</w:t>
      </w:r>
      <w:r w:rsidR="007F7A48">
        <w:t>,</w:t>
      </w:r>
      <w:r w:rsidR="002C1EFF" w:rsidRPr="00321A1F">
        <w:t xml:space="preserve"> the FRC is calculated by using the pumping capacity of the smallest well in the system which</w:t>
      </w:r>
      <w:r w:rsidR="007F7A48">
        <w:t>,</w:t>
      </w:r>
      <w:r w:rsidR="002C1EFF" w:rsidRPr="00321A1F">
        <w:t xml:space="preserve"> in this case</w:t>
      </w:r>
      <w:r w:rsidR="007F7A48">
        <w:t>,</w:t>
      </w:r>
      <w:r w:rsidR="002C1EFF" w:rsidRPr="00321A1F">
        <w:t xml:space="preserve"> is rated at 450 gpm. Based on 16 hours of availability the FRC equals 432,000 gpd.</w:t>
      </w:r>
      <w:r w:rsidR="002C1EFF" w:rsidRPr="00321A1F">
        <w:rPr>
          <w:i/>
        </w:rPr>
        <w:t xml:space="preserve"> </w:t>
      </w:r>
      <w:r w:rsidR="002C1EFF" w:rsidRPr="00321A1F">
        <w:t>However, the Rule contains a provision by which an alternative calculation may be considered if supporting justification is provided, including</w:t>
      </w:r>
      <w:r w:rsidR="007F7A48">
        <w:t>:</w:t>
      </w:r>
      <w:r w:rsidR="002C1EFF" w:rsidRPr="00321A1F">
        <w:t xml:space="preserve"> service area or treatment capacity restrictions</w:t>
      </w:r>
      <w:r w:rsidR="007F7A48">
        <w:t>;</w:t>
      </w:r>
      <w:r w:rsidR="002C1EFF" w:rsidRPr="00321A1F">
        <w:t xml:space="preserve"> changes in flows due to conservation or a reduction in the number of customers</w:t>
      </w:r>
      <w:r w:rsidR="007F7A48">
        <w:t>;</w:t>
      </w:r>
      <w:r w:rsidR="002C1EFF" w:rsidRPr="00321A1F">
        <w:t xml:space="preserve"> and</w:t>
      </w:r>
      <w:r w:rsidR="007F7A48">
        <w:t>,</w:t>
      </w:r>
      <w:r w:rsidR="002C1EFF" w:rsidRPr="00321A1F">
        <w:t xml:space="preserve"> alternative peaking factors. The most recent DEP sanitary survey for Aquarina’s WTP, states that the Max Day capacity of the WTP is 86,400 gpd. Therefore, </w:t>
      </w:r>
      <w:r>
        <w:t xml:space="preserve">we find that </w:t>
      </w:r>
      <w:r w:rsidR="002C1EFF" w:rsidRPr="00321A1F">
        <w:t>that 86,400 gpd sh</w:t>
      </w:r>
      <w:r>
        <w:t>all</w:t>
      </w:r>
      <w:r w:rsidR="002C1EFF" w:rsidRPr="00321A1F">
        <w:t xml:space="preserve"> be used as the FRC. </w:t>
      </w:r>
      <w:r w:rsidR="007F7A48">
        <w:t>T</w:t>
      </w:r>
      <w:r w:rsidR="002C1EFF" w:rsidRPr="00321A1F">
        <w:t xml:space="preserve">he resulting U&amp;U calculation for the WTP equals 81 percent (70,000 - 0 + 0 + 0/86,400). </w:t>
      </w:r>
    </w:p>
    <w:p w:rsidR="002C1EFF" w:rsidRPr="00321A1F" w:rsidRDefault="002C1EFF" w:rsidP="002C1EFF">
      <w:pPr>
        <w:jc w:val="both"/>
      </w:pPr>
    </w:p>
    <w:p w:rsidR="002C1EFF" w:rsidRPr="00321A1F" w:rsidRDefault="001A369F" w:rsidP="002C1EFF">
      <w:pPr>
        <w:jc w:val="both"/>
      </w:pPr>
      <w:r>
        <w:tab/>
      </w:r>
      <w:r w:rsidR="002C1EFF" w:rsidRPr="00321A1F">
        <w:t xml:space="preserve">In </w:t>
      </w:r>
      <w:r w:rsidR="00494D62">
        <w:t xml:space="preserve">the </w:t>
      </w:r>
      <w:r w:rsidR="002C1EFF" w:rsidRPr="00321A1F">
        <w:t xml:space="preserve">2003 rate case, the water treatment plant was deemed 29.7 percent U&amp;U. Rule 25-30.4325, F.A.C., became effective subsequent to </w:t>
      </w:r>
      <w:r>
        <w:t>our</w:t>
      </w:r>
      <w:r w:rsidR="002C1EFF" w:rsidRPr="00321A1F">
        <w:t xml:space="preserve"> decision in that case. Review of the U&amp;U analysis in the previous case shows that storage was considered in determining the FRC. Rule 25-30.4325(3), F.A.C., </w:t>
      </w:r>
      <w:r w:rsidR="007F7A48">
        <w:t>provides</w:t>
      </w:r>
      <w:r w:rsidR="002C1EFF" w:rsidRPr="00321A1F">
        <w:t xml:space="preserve"> that </w:t>
      </w:r>
      <w:r w:rsidR="007F7A48">
        <w:t>s</w:t>
      </w:r>
      <w:r w:rsidR="002C1EFF" w:rsidRPr="00321A1F">
        <w:t xml:space="preserve">eparate used and useful calculations shall be made for the water treatment system and storage facilities. </w:t>
      </w:r>
      <w:r>
        <w:t xml:space="preserve">Our </w:t>
      </w:r>
      <w:r w:rsidR="002C1EFF" w:rsidRPr="00321A1F">
        <w:t>U&amp;U calculation for Aquarina’s storage facilities is discussed later</w:t>
      </w:r>
      <w:r w:rsidR="007F7A48">
        <w:t xml:space="preserve"> in this order</w:t>
      </w:r>
      <w:r w:rsidR="002C1EFF" w:rsidRPr="00321A1F">
        <w:t xml:space="preserve">. </w:t>
      </w:r>
    </w:p>
    <w:p w:rsidR="002C1EFF" w:rsidRPr="00321A1F" w:rsidRDefault="002C1EFF" w:rsidP="002C1EFF">
      <w:pPr>
        <w:ind w:firstLine="720"/>
        <w:jc w:val="both"/>
        <w:rPr>
          <w:b/>
        </w:rPr>
      </w:pPr>
    </w:p>
    <w:p w:rsidR="002C1EFF" w:rsidRPr="001A369F" w:rsidRDefault="001A369F" w:rsidP="002C1EFF">
      <w:pPr>
        <w:jc w:val="both"/>
        <w:rPr>
          <w:i/>
        </w:rPr>
      </w:pPr>
      <w:r w:rsidRPr="00CA526B">
        <w:rPr>
          <w:i/>
        </w:rPr>
        <w:t xml:space="preserve">B. </w:t>
      </w:r>
      <w:r w:rsidR="002C1EFF" w:rsidRPr="00CA526B">
        <w:rPr>
          <w:i/>
        </w:rPr>
        <w:t>Excessive Unaccounted for Water</w:t>
      </w:r>
    </w:p>
    <w:p w:rsidR="001A369F" w:rsidRDefault="001A369F" w:rsidP="002C1EFF">
      <w:pPr>
        <w:jc w:val="both"/>
      </w:pPr>
    </w:p>
    <w:p w:rsidR="002C1EFF" w:rsidRPr="00321A1F" w:rsidRDefault="001A369F" w:rsidP="002C1EFF">
      <w:pPr>
        <w:jc w:val="both"/>
      </w:pPr>
      <w:r>
        <w:tab/>
      </w:r>
      <w:r w:rsidR="002C1EFF" w:rsidRPr="00321A1F">
        <w:t xml:space="preserve">Rule 25-30.4325, F.A.C., describes EUW as unaccounted for water in excess of 10 percent of the amount produced. When establishing the Rule, </w:t>
      </w:r>
      <w:r w:rsidR="007F7A48">
        <w:t>we</w:t>
      </w:r>
      <w:r w:rsidR="002C1EFF" w:rsidRPr="00321A1F">
        <w:t xml:space="preserve"> recognized that some uses of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chemicals cost, are necessary, </w:t>
      </w:r>
      <w:r w:rsidR="007F7A48">
        <w:t>we</w:t>
      </w:r>
      <w:r w:rsidR="002C1EFF" w:rsidRPr="00321A1F">
        <w:t xml:space="preserve"> will consider all relevant reason</w:t>
      </w:r>
      <w:r w:rsidR="002E3503">
        <w:t>s</w:t>
      </w:r>
      <w:r w:rsidR="002C1EFF" w:rsidRPr="00321A1F">
        <w:t xml:space="preserve"> for EUW, solutions implemented to correct the problem, or whether a proposed solution </w:t>
      </w:r>
      <w:r w:rsidR="002C1EFF" w:rsidRPr="00321A1F">
        <w:lastRenderedPageBreak/>
        <w:t xml:space="preserve">is economically feasible. The unaccounted for water is calculated by subtracting both the gallons used for other purposes, such as flushing, and the gallons sold to customers from the total gallons pumped for the test year. </w:t>
      </w:r>
    </w:p>
    <w:p w:rsidR="002C1EFF" w:rsidRPr="00321A1F" w:rsidRDefault="002C1EFF" w:rsidP="002C1EFF">
      <w:pPr>
        <w:jc w:val="both"/>
      </w:pPr>
    </w:p>
    <w:p w:rsidR="002C1EFF" w:rsidRPr="00321A1F" w:rsidRDefault="001E0B46" w:rsidP="002C1EFF">
      <w:pPr>
        <w:jc w:val="both"/>
      </w:pPr>
      <w:r>
        <w:tab/>
      </w:r>
      <w:r w:rsidR="002C1EFF" w:rsidRPr="00321A1F">
        <w:t xml:space="preserve">Aquarina’s MORs show that </w:t>
      </w:r>
      <w:r w:rsidR="002E3503">
        <w:t>it</w:t>
      </w:r>
      <w:r w:rsidR="002C1EFF" w:rsidRPr="00321A1F">
        <w:t xml:space="preserve"> treated 12,046,000 gallons and sold 12,322,490 gallons of water during the test year. This indicates the Utility sold 276,490 gallons more than it treated. Therefore, the Utility had an unaccounted for water value of negative 2.24 percent. The Utility explained </w:t>
      </w:r>
      <w:r>
        <w:t xml:space="preserve">that </w:t>
      </w:r>
      <w:r w:rsidR="002C1EFF" w:rsidRPr="00321A1F">
        <w:t xml:space="preserve">its flow meter has an error margin of 6 percent. Even if </w:t>
      </w:r>
      <w:r>
        <w:t xml:space="preserve">we were to approve an </w:t>
      </w:r>
      <w:r w:rsidR="002C1EFF" w:rsidRPr="00321A1F">
        <w:t xml:space="preserve">adjustment to account for the inaccuracy of the flow meter, the unaccounted for water would not exceed 10 percent. Therefore, no adjustment </w:t>
      </w:r>
      <w:r>
        <w:t xml:space="preserve">shall </w:t>
      </w:r>
      <w:r w:rsidR="002C1EFF" w:rsidRPr="00321A1F">
        <w:t>be made to operating expenses for chemicals and purchase power due to the EUW.</w:t>
      </w:r>
    </w:p>
    <w:p w:rsidR="002C1EFF" w:rsidRPr="00321A1F" w:rsidRDefault="002C1EFF" w:rsidP="002C1EFF">
      <w:pPr>
        <w:jc w:val="both"/>
      </w:pPr>
    </w:p>
    <w:p w:rsidR="002C1EFF" w:rsidRPr="001E0B46" w:rsidRDefault="001E0B46" w:rsidP="002C1EFF">
      <w:pPr>
        <w:jc w:val="both"/>
        <w:rPr>
          <w:i/>
        </w:rPr>
      </w:pPr>
      <w:r w:rsidRPr="001E0B46">
        <w:rPr>
          <w:i/>
        </w:rPr>
        <w:t xml:space="preserve">C. </w:t>
      </w:r>
      <w:r w:rsidR="002C1EFF" w:rsidRPr="001E0B46">
        <w:rPr>
          <w:i/>
        </w:rPr>
        <w:t>Potable Water Treatment Plant Storage Used &amp; Useful</w:t>
      </w:r>
    </w:p>
    <w:p w:rsidR="001E0B46" w:rsidRDefault="001E0B46" w:rsidP="002C1EFF">
      <w:pPr>
        <w:jc w:val="both"/>
      </w:pPr>
    </w:p>
    <w:p w:rsidR="002C1EFF" w:rsidRPr="00321A1F" w:rsidRDefault="001E0B46" w:rsidP="002C1EFF">
      <w:pPr>
        <w:jc w:val="both"/>
      </w:pPr>
      <w:r>
        <w:tab/>
      </w:r>
      <w:r w:rsidR="002C1EFF" w:rsidRPr="00321A1F">
        <w:t xml:space="preserve">Pursuant to Rule 25-30.4325, F.A.C., the U&amp;U calculation for WTP storage is ((Max Day - EUW + Fire Flow + Growth)/usable storage of the water storage tank). Aquarina’s water storage tank is rated at 150,000 gallons. The resulting calculation, assuming the Max Day discussed in the previous section, equals 46.7 percent ((70,000 – 0 + 0 + 0)/150,000). </w:t>
      </w:r>
    </w:p>
    <w:p w:rsidR="002C1EFF" w:rsidRPr="00321A1F" w:rsidRDefault="002C1EFF" w:rsidP="002C1EFF">
      <w:pPr>
        <w:jc w:val="both"/>
      </w:pPr>
    </w:p>
    <w:p w:rsidR="002C1EFF" w:rsidRPr="001D0E6A" w:rsidRDefault="001D0E6A" w:rsidP="002C1EFF">
      <w:pPr>
        <w:jc w:val="both"/>
        <w:rPr>
          <w:i/>
        </w:rPr>
      </w:pPr>
      <w:r w:rsidRPr="001D0E6A">
        <w:rPr>
          <w:i/>
        </w:rPr>
        <w:t xml:space="preserve">D. </w:t>
      </w:r>
      <w:r w:rsidR="002C1EFF" w:rsidRPr="001D0E6A">
        <w:rPr>
          <w:i/>
        </w:rPr>
        <w:t>Potable Water Distribution System Used &amp; Useful</w:t>
      </w:r>
    </w:p>
    <w:p w:rsidR="001D0E6A" w:rsidRDefault="001D0E6A" w:rsidP="002C1EFF">
      <w:pPr>
        <w:jc w:val="both"/>
      </w:pPr>
    </w:p>
    <w:p w:rsidR="002C1EFF" w:rsidRPr="00321A1F" w:rsidRDefault="001D0E6A" w:rsidP="002C1EFF">
      <w:pPr>
        <w:jc w:val="both"/>
      </w:pPr>
      <w:r>
        <w:tab/>
      </w:r>
      <w:r w:rsidR="002C1EFF" w:rsidRPr="00321A1F">
        <w:t xml:space="preserve">In the previous rate case, distribution system </w:t>
      </w:r>
      <w:r w:rsidR="002E3503">
        <w:t>U&amp;U</w:t>
      </w:r>
      <w:r w:rsidR="002C1EFF" w:rsidRPr="00321A1F">
        <w:t xml:space="preserve"> was based on the capacity of the system and the number of test year connections measured on the basis of equivalent residential connections (ERCs). A growth allowance of 60 ERCs was also considered in th</w:t>
      </w:r>
      <w:r>
        <w:t xml:space="preserve">at </w:t>
      </w:r>
      <w:r w:rsidR="002C1EFF" w:rsidRPr="00321A1F">
        <w:t xml:space="preserve">case. In </w:t>
      </w:r>
      <w:r>
        <w:t xml:space="preserve">the instant case, </w:t>
      </w:r>
      <w:r w:rsidR="002C1EFF" w:rsidRPr="00321A1F">
        <w:t>the Utility does not have access to records which detail expansion or changes to the distribution system from 2003 to 2011</w:t>
      </w:r>
      <w:r w:rsidR="002E3503">
        <w:t>,</w:t>
      </w:r>
      <w:r>
        <w:t xml:space="preserve"> </w:t>
      </w:r>
      <w:r w:rsidR="002E3503">
        <w:t xml:space="preserve">when the </w:t>
      </w:r>
      <w:r w:rsidR="00B6438C">
        <w:t>system</w:t>
      </w:r>
      <w:r w:rsidR="002E3503">
        <w:t xml:space="preserve"> was under </w:t>
      </w:r>
      <w:r>
        <w:t>prior ownership</w:t>
      </w:r>
      <w:r w:rsidR="002C1EFF" w:rsidRPr="00321A1F">
        <w:t xml:space="preserve">. Due to incomplete records regarding Aquarina’s water distribution system, </w:t>
      </w:r>
      <w:r>
        <w:t xml:space="preserve">we are </w:t>
      </w:r>
      <w:r w:rsidR="002C1EFF" w:rsidRPr="00321A1F">
        <w:t>unable to determine the current capacity of th</w:t>
      </w:r>
      <w:r w:rsidR="002E3503">
        <w:t xml:space="preserve">at </w:t>
      </w:r>
      <w:r w:rsidR="002C1EFF" w:rsidRPr="00321A1F">
        <w:t xml:space="preserve">system.  </w:t>
      </w:r>
    </w:p>
    <w:p w:rsidR="002C1EFF" w:rsidRPr="00321A1F" w:rsidRDefault="002C1EFF" w:rsidP="002C1EFF">
      <w:pPr>
        <w:jc w:val="both"/>
      </w:pPr>
    </w:p>
    <w:p w:rsidR="002C1EFF" w:rsidRPr="00321A1F" w:rsidRDefault="001D0E6A" w:rsidP="002C1EFF">
      <w:pPr>
        <w:jc w:val="both"/>
        <w:rPr>
          <w:i/>
        </w:rPr>
      </w:pPr>
      <w:r>
        <w:tab/>
      </w:r>
      <w:r w:rsidR="002C1EFF" w:rsidRPr="00321A1F">
        <w:t xml:space="preserve">In </w:t>
      </w:r>
      <w:r>
        <w:t xml:space="preserve">the </w:t>
      </w:r>
      <w:r w:rsidR="002C1EFF" w:rsidRPr="00321A1F">
        <w:t xml:space="preserve">2003 rate case, it was noted that recent approvals from Brevard County expanded the </w:t>
      </w:r>
      <w:r>
        <w:t xml:space="preserve">system’s </w:t>
      </w:r>
      <w:r w:rsidR="002C1EFF" w:rsidRPr="00321A1F">
        <w:t xml:space="preserve">growth potential from 436 ERCs to 600 ERCs. Therefore, it is reasonable to consider that expansion of the water distribution may have occurred in the 2003 to 2011 timeframe.  </w:t>
      </w:r>
    </w:p>
    <w:p w:rsidR="002C1EFF" w:rsidRPr="00321A1F" w:rsidRDefault="002C1EFF" w:rsidP="002C1EFF">
      <w:pPr>
        <w:jc w:val="both"/>
      </w:pPr>
    </w:p>
    <w:p w:rsidR="002C1EFF" w:rsidRPr="00321A1F" w:rsidRDefault="001D0E6A" w:rsidP="002C1EFF">
      <w:pPr>
        <w:jc w:val="both"/>
      </w:pPr>
      <w:r>
        <w:tab/>
        <w:t>We</w:t>
      </w:r>
      <w:r w:rsidR="002C1EFF" w:rsidRPr="00321A1F">
        <w:t xml:space="preserve"> considered whether or not the system should be considered built-out which would result in a U&amp;U of 100 percent. </w:t>
      </w:r>
      <w:r w:rsidR="002E3503">
        <w:t xml:space="preserve">However, based upon </w:t>
      </w:r>
      <w:r>
        <w:t>our</w:t>
      </w:r>
      <w:r w:rsidR="002C1EFF" w:rsidRPr="00321A1F">
        <w:t xml:space="preserve"> review of the area, as well as communication with local community managers, it appears that there is potential for new construction in the area. </w:t>
      </w:r>
    </w:p>
    <w:p w:rsidR="002C1EFF" w:rsidRPr="00321A1F" w:rsidRDefault="002C1EFF" w:rsidP="002C1EFF">
      <w:pPr>
        <w:jc w:val="both"/>
      </w:pPr>
    </w:p>
    <w:p w:rsidR="002C1EFF" w:rsidRPr="00321A1F" w:rsidRDefault="001D0E6A" w:rsidP="002C1EFF">
      <w:pPr>
        <w:jc w:val="both"/>
      </w:pPr>
      <w:r>
        <w:tab/>
      </w:r>
      <w:r w:rsidR="002C1EFF" w:rsidRPr="00321A1F">
        <w:t xml:space="preserve">Given the lack of available information, </w:t>
      </w:r>
      <w:r>
        <w:t>we shall a</w:t>
      </w:r>
      <w:r w:rsidR="002C1EFF" w:rsidRPr="00321A1F">
        <w:t>dher</w:t>
      </w:r>
      <w:r w:rsidR="002E3503">
        <w:t>e</w:t>
      </w:r>
      <w:r w:rsidR="002C1EFF" w:rsidRPr="00321A1F">
        <w:t xml:space="preserve"> to </w:t>
      </w:r>
      <w:r>
        <w:t xml:space="preserve">our prior decision </w:t>
      </w:r>
      <w:r w:rsidR="00B6438C">
        <w:t xml:space="preserve">to </w:t>
      </w:r>
      <w:r w:rsidR="00B6438C" w:rsidRPr="00321A1F">
        <w:t>consider</w:t>
      </w:r>
      <w:r w:rsidR="002C1EFF" w:rsidRPr="00321A1F">
        <w:t xml:space="preserve"> the water distribution system 62.6 percent U&amp;U. As discussed </w:t>
      </w:r>
      <w:r>
        <w:t xml:space="preserve">below, we grant </w:t>
      </w:r>
      <w:r w:rsidR="002C1EFF" w:rsidRPr="00321A1F">
        <w:t xml:space="preserve">the Utility’s request for Geographic Information System (GIS) mapping of its plant to determine the current connection capacity of its water distribution system. The GIS mapping will allow the Utility to provide accurate information regarding its distribution system. </w:t>
      </w:r>
    </w:p>
    <w:p w:rsidR="002C1EFF" w:rsidRPr="00321A1F" w:rsidRDefault="002C1EFF" w:rsidP="002C1EFF">
      <w:pPr>
        <w:jc w:val="both"/>
      </w:pPr>
    </w:p>
    <w:p w:rsidR="002C1EFF" w:rsidRPr="001D0E6A" w:rsidRDefault="00346B72" w:rsidP="002C1EFF">
      <w:pPr>
        <w:jc w:val="both"/>
        <w:rPr>
          <w:i/>
        </w:rPr>
      </w:pPr>
      <w:r>
        <w:rPr>
          <w:i/>
        </w:rPr>
        <w:lastRenderedPageBreak/>
        <w:t xml:space="preserve">E. </w:t>
      </w:r>
      <w:r w:rsidR="002C1EFF" w:rsidRPr="001D0E6A">
        <w:rPr>
          <w:i/>
        </w:rPr>
        <w:t>Wastewater Treatment Plant Used &amp; Useful</w:t>
      </w:r>
    </w:p>
    <w:p w:rsidR="00346B72" w:rsidRDefault="00346B72" w:rsidP="002C1EFF">
      <w:pPr>
        <w:jc w:val="both"/>
      </w:pPr>
    </w:p>
    <w:p w:rsidR="002C1EFF" w:rsidRPr="00321A1F" w:rsidRDefault="00346B72" w:rsidP="002C1EFF">
      <w:pPr>
        <w:jc w:val="both"/>
        <w:rPr>
          <w:i/>
        </w:rPr>
      </w:pPr>
      <w:r>
        <w:tab/>
      </w:r>
      <w:r w:rsidR="002C1EFF" w:rsidRPr="00321A1F">
        <w:t xml:space="preserve">In </w:t>
      </w:r>
      <w:r>
        <w:t xml:space="preserve">the </w:t>
      </w:r>
      <w:r w:rsidR="002C1EFF" w:rsidRPr="00321A1F">
        <w:t xml:space="preserve">2003 rate case, the </w:t>
      </w:r>
      <w:r w:rsidR="002C1EFF" w:rsidRPr="00321A1F">
        <w:rPr>
          <w:color w:val="000000"/>
        </w:rPr>
        <w:t>WWTP</w:t>
      </w:r>
      <w:r w:rsidR="002C1EFF" w:rsidRPr="00321A1F">
        <w:t xml:space="preserve"> was found to be 55.9 percent U&amp;U.</w:t>
      </w:r>
      <w:r w:rsidR="002C1EFF" w:rsidRPr="00321A1F">
        <w:rPr>
          <w:color w:val="000000"/>
        </w:rPr>
        <w:t xml:space="preserve"> The Annual Average Daily Flow (AADF) from the Discharge Monitoring Reports filed monthly with DEP was 38,296 gpd. Pursuant to Rule 25-30.432, F.A.C., the U&amp;U calculation for a WWTP is ((AADF - </w:t>
      </w:r>
      <w:r w:rsidR="001E3BE2" w:rsidRPr="00321A1F">
        <w:t>excessive inflow &amp; infiltration</w:t>
      </w:r>
      <w:r w:rsidR="001E3BE2" w:rsidRPr="00321A1F">
        <w:rPr>
          <w:color w:val="000000"/>
        </w:rPr>
        <w:t xml:space="preserve"> </w:t>
      </w:r>
      <w:r w:rsidR="001E3BE2">
        <w:rPr>
          <w:color w:val="000000"/>
        </w:rPr>
        <w:t>(</w:t>
      </w:r>
      <w:r w:rsidR="002C1EFF" w:rsidRPr="00321A1F">
        <w:rPr>
          <w:color w:val="000000"/>
        </w:rPr>
        <w:t>I&amp;I</w:t>
      </w:r>
      <w:r w:rsidR="001E3BE2">
        <w:rPr>
          <w:color w:val="000000"/>
        </w:rPr>
        <w:t>)</w:t>
      </w:r>
      <w:r w:rsidR="002C1EFF" w:rsidRPr="00321A1F">
        <w:rPr>
          <w:color w:val="000000"/>
        </w:rPr>
        <w:t xml:space="preserve"> + Growth)/permitted capacity). As discussed in greater detail below, I&amp;I for the WWTP cannot be accurately determined at this time</w:t>
      </w:r>
      <w:r w:rsidR="00B6438C">
        <w:rPr>
          <w:color w:val="000000"/>
        </w:rPr>
        <w:t>;</w:t>
      </w:r>
      <w:r w:rsidR="002C1EFF" w:rsidRPr="00321A1F">
        <w:rPr>
          <w:color w:val="000000"/>
        </w:rPr>
        <w:t xml:space="preserve"> therefore, </w:t>
      </w:r>
      <w:r>
        <w:rPr>
          <w:color w:val="000000"/>
        </w:rPr>
        <w:t xml:space="preserve">we are not </w:t>
      </w:r>
      <w:r w:rsidR="002C1EFF" w:rsidRPr="00321A1F">
        <w:rPr>
          <w:color w:val="000000"/>
        </w:rPr>
        <w:t xml:space="preserve">including an I&amp;I value in </w:t>
      </w:r>
      <w:r w:rsidR="002E3503">
        <w:rPr>
          <w:color w:val="000000"/>
        </w:rPr>
        <w:t xml:space="preserve">this </w:t>
      </w:r>
      <w:r w:rsidR="002C1EFF" w:rsidRPr="00321A1F">
        <w:rPr>
          <w:color w:val="000000"/>
        </w:rPr>
        <w:t xml:space="preserve">calculation. </w:t>
      </w:r>
      <w:r w:rsidR="002C1EFF" w:rsidRPr="00321A1F">
        <w:t xml:space="preserve">Based on historic flows, </w:t>
      </w:r>
      <w:r>
        <w:t xml:space="preserve">we do not find that </w:t>
      </w:r>
      <w:r w:rsidR="002C1EFF" w:rsidRPr="00321A1F">
        <w:t xml:space="preserve">an adjustment for growth should be made at this time. </w:t>
      </w:r>
      <w:r w:rsidR="002C1EFF" w:rsidRPr="00321A1F">
        <w:rPr>
          <w:color w:val="000000"/>
        </w:rPr>
        <w:t xml:space="preserve">The facility has a permitted capacity of 99,000 gpd. </w:t>
      </w:r>
    </w:p>
    <w:p w:rsidR="002C1EFF" w:rsidRPr="00321A1F" w:rsidRDefault="002C1EFF" w:rsidP="002C1EFF">
      <w:pPr>
        <w:jc w:val="both"/>
      </w:pPr>
    </w:p>
    <w:p w:rsidR="002C1EFF" w:rsidRPr="00321A1F" w:rsidRDefault="00346B72" w:rsidP="002C1EFF">
      <w:pPr>
        <w:jc w:val="both"/>
      </w:pPr>
      <w:r>
        <w:tab/>
      </w:r>
      <w:r w:rsidR="002C1EFF" w:rsidRPr="00321A1F">
        <w:t>Based on the inputs discussed above, the</w:t>
      </w:r>
      <w:r w:rsidR="002C1EFF" w:rsidRPr="00321A1F">
        <w:rPr>
          <w:color w:val="000000"/>
        </w:rPr>
        <w:t xml:space="preserve"> resulting calculation equals 44.8 percent ((38,296 – 0 + </w:t>
      </w:r>
      <w:r w:rsidR="002C1EFF" w:rsidRPr="00321A1F">
        <w:t>0</w:t>
      </w:r>
      <w:r w:rsidR="002C1EFF" w:rsidRPr="00321A1F">
        <w:rPr>
          <w:color w:val="000000"/>
        </w:rPr>
        <w:t xml:space="preserve">)/99,000 gpd) which is lower than </w:t>
      </w:r>
      <w:r>
        <w:rPr>
          <w:color w:val="000000"/>
        </w:rPr>
        <w:t>our pre</w:t>
      </w:r>
      <w:r w:rsidR="002C1EFF" w:rsidRPr="00321A1F">
        <w:rPr>
          <w:color w:val="000000"/>
        </w:rPr>
        <w:t>viously</w:t>
      </w:r>
      <w:r>
        <w:rPr>
          <w:color w:val="000000"/>
        </w:rPr>
        <w:t>-</w:t>
      </w:r>
      <w:r w:rsidR="002C1EFF" w:rsidRPr="00321A1F">
        <w:rPr>
          <w:color w:val="000000"/>
        </w:rPr>
        <w:t>ordered U&amp;U percentage of 55.9 percent.</w:t>
      </w:r>
      <w:r w:rsidR="002C1EFF" w:rsidRPr="00321A1F">
        <w:t xml:space="preserve"> Therefore, </w:t>
      </w:r>
      <w:r>
        <w:t xml:space="preserve">we shall adhere to our </w:t>
      </w:r>
      <w:r w:rsidR="002C1EFF" w:rsidRPr="00321A1F">
        <w:t xml:space="preserve">prior decision to consider the wastewater treatment plant to be 55.9 percent U&amp;U. </w:t>
      </w:r>
    </w:p>
    <w:p w:rsidR="002C1EFF" w:rsidRPr="00321A1F" w:rsidRDefault="002C1EFF" w:rsidP="002C1EFF">
      <w:pPr>
        <w:ind w:firstLine="720"/>
        <w:jc w:val="both"/>
        <w:rPr>
          <w:b/>
        </w:rPr>
      </w:pPr>
    </w:p>
    <w:p w:rsidR="002C1EFF" w:rsidRPr="00346B72" w:rsidRDefault="00346B72" w:rsidP="002C1EFF">
      <w:pPr>
        <w:jc w:val="both"/>
        <w:rPr>
          <w:i/>
          <w:color w:val="000000"/>
        </w:rPr>
      </w:pPr>
      <w:r w:rsidRPr="00346B72">
        <w:rPr>
          <w:i/>
        </w:rPr>
        <w:t xml:space="preserve">F. </w:t>
      </w:r>
      <w:r w:rsidR="002C1EFF" w:rsidRPr="00346B72">
        <w:rPr>
          <w:i/>
        </w:rPr>
        <w:t>Inflow &amp; Infiltration</w:t>
      </w:r>
      <w:r w:rsidR="00E46AC5">
        <w:rPr>
          <w:i/>
        </w:rPr>
        <w:t xml:space="preserve"> (I&amp;I)</w:t>
      </w:r>
      <w:r w:rsidR="002C1EFF" w:rsidRPr="00346B72">
        <w:rPr>
          <w:i/>
        </w:rPr>
        <w:t xml:space="preserve"> </w:t>
      </w:r>
    </w:p>
    <w:p w:rsidR="00346B72" w:rsidRDefault="00346B72" w:rsidP="002C1EFF">
      <w:pPr>
        <w:jc w:val="both"/>
      </w:pPr>
    </w:p>
    <w:p w:rsidR="002C1EFF" w:rsidRPr="00321A1F" w:rsidRDefault="00346B72" w:rsidP="002C1EFF">
      <w:pPr>
        <w:jc w:val="both"/>
      </w:pPr>
      <w:r>
        <w:tab/>
      </w:r>
      <w:r w:rsidR="002C1EFF" w:rsidRPr="00321A1F">
        <w:t>Rule 25-30.432, F.A.C., provides that</w:t>
      </w:r>
      <w:r>
        <w:t>,</w:t>
      </w:r>
      <w:r w:rsidR="002C1EFF" w:rsidRPr="00321A1F">
        <w:t xml:space="preserve"> in determining the amount of U&amp;U plant, </w:t>
      </w:r>
      <w:r>
        <w:t xml:space="preserve">we </w:t>
      </w:r>
      <w:r w:rsidR="002C1EFF" w:rsidRPr="00321A1F">
        <w:t xml:space="preserve">will consider I&amp;I. Typically, </w:t>
      </w:r>
      <w:r w:rsidR="002C1EFF" w:rsidRPr="00E46AC5">
        <w:rPr>
          <w:i/>
        </w:rPr>
        <w:t>inflow</w:t>
      </w:r>
      <w:r w:rsidR="002C1EFF" w:rsidRPr="00321A1F">
        <w:t xml:space="preserve"> results from water entering a wastewater collection system through manholes or lift stations</w:t>
      </w:r>
      <w:r w:rsidR="00E46AC5">
        <w:t xml:space="preserve">. In contrast, </w:t>
      </w:r>
      <w:r w:rsidR="002C1EFF" w:rsidRPr="00E46AC5">
        <w:rPr>
          <w:i/>
        </w:rPr>
        <w:t>infiltration</w:t>
      </w:r>
      <w:r w:rsidR="002C1EFF" w:rsidRPr="00321A1F">
        <w:t xml:space="preserve"> results from groundwater entering a wastewater collection system through broken or defective pipes and joints. It is an industry standard and </w:t>
      </w:r>
      <w:r>
        <w:t xml:space="preserve">our </w:t>
      </w:r>
      <w:r w:rsidR="002C1EFF" w:rsidRPr="00321A1F">
        <w:t>practice to allow 10 percent of water sold as inflow plus 500 gpd per inch diameter pipe per mile for infiltration. The sum of these amounts is the allowable I&amp;I.</w:t>
      </w:r>
    </w:p>
    <w:p w:rsidR="002C1EFF" w:rsidRPr="00321A1F" w:rsidRDefault="002C1EFF" w:rsidP="002C1EFF">
      <w:pPr>
        <w:jc w:val="both"/>
      </w:pPr>
    </w:p>
    <w:p w:rsidR="002C1EFF" w:rsidRPr="00321A1F" w:rsidRDefault="00346B72" w:rsidP="002C1EFF">
      <w:pPr>
        <w:jc w:val="both"/>
      </w:pPr>
      <w:r>
        <w:tab/>
      </w:r>
      <w:r w:rsidR="002C1EFF" w:rsidRPr="00321A1F">
        <w:t xml:space="preserve">The Utility was not able to provide the size and length of its wastewater mains and indicated that it has incomplete records. Absent this information, an allowance for infiltration cannot be accurately determined. Therefore, </w:t>
      </w:r>
      <w:r>
        <w:t xml:space="preserve">there shall be </w:t>
      </w:r>
      <w:r w:rsidR="002C1EFF" w:rsidRPr="00321A1F">
        <w:t xml:space="preserve">no adjustments to operating expenses due to I&amp;I. This </w:t>
      </w:r>
      <w:r>
        <w:t xml:space="preserve">is </w:t>
      </w:r>
      <w:r w:rsidR="002C1EFF" w:rsidRPr="00321A1F">
        <w:t xml:space="preserve">consistent with </w:t>
      </w:r>
      <w:r>
        <w:t xml:space="preserve">our </w:t>
      </w:r>
      <w:r w:rsidR="002C1EFF" w:rsidRPr="00321A1F">
        <w:t xml:space="preserve">decision in </w:t>
      </w:r>
      <w:r>
        <w:t xml:space="preserve">the </w:t>
      </w:r>
      <w:r w:rsidR="002C1EFF" w:rsidRPr="00321A1F">
        <w:t xml:space="preserve">last rate case </w:t>
      </w:r>
      <w:r>
        <w:t xml:space="preserve">for this system wherein we </w:t>
      </w:r>
      <w:r w:rsidR="002C1EFF" w:rsidRPr="00321A1F">
        <w:t xml:space="preserve"> identified I&amp;I as </w:t>
      </w:r>
      <w:r>
        <w:t>“</w:t>
      </w:r>
      <w:r w:rsidR="002C1EFF" w:rsidRPr="00321A1F">
        <w:t>N/A</w:t>
      </w:r>
      <w:r>
        <w:t>”</w:t>
      </w:r>
      <w:r w:rsidR="002C1EFF" w:rsidRPr="00321A1F">
        <w:t xml:space="preserve"> and </w:t>
      </w:r>
      <w:r>
        <w:t xml:space="preserve">no </w:t>
      </w:r>
      <w:r w:rsidR="002C1EFF" w:rsidRPr="00321A1F">
        <w:t>adjustment was made.</w:t>
      </w:r>
    </w:p>
    <w:p w:rsidR="002C1EFF" w:rsidRPr="00321A1F" w:rsidRDefault="002C1EFF" w:rsidP="002C1EFF">
      <w:pPr>
        <w:jc w:val="both"/>
        <w:rPr>
          <w:b/>
        </w:rPr>
      </w:pPr>
    </w:p>
    <w:p w:rsidR="002C1EFF" w:rsidRPr="00346B72" w:rsidRDefault="00346B72" w:rsidP="002C1EFF">
      <w:pPr>
        <w:jc w:val="both"/>
        <w:rPr>
          <w:i/>
        </w:rPr>
      </w:pPr>
      <w:r w:rsidRPr="00346B72">
        <w:rPr>
          <w:i/>
        </w:rPr>
        <w:t xml:space="preserve">G. </w:t>
      </w:r>
      <w:r w:rsidR="002C1EFF" w:rsidRPr="00346B72">
        <w:rPr>
          <w:i/>
        </w:rPr>
        <w:t>Wastewater Collection System Used &amp; Useful</w:t>
      </w:r>
    </w:p>
    <w:p w:rsidR="00346B72" w:rsidRDefault="00346B72" w:rsidP="002C1EFF">
      <w:pPr>
        <w:jc w:val="both"/>
      </w:pPr>
    </w:p>
    <w:p w:rsidR="002C1EFF" w:rsidRPr="00321A1F" w:rsidRDefault="002774E0" w:rsidP="002C1EFF">
      <w:pPr>
        <w:jc w:val="both"/>
        <w:rPr>
          <w:color w:val="000000"/>
        </w:rPr>
      </w:pPr>
      <w:r>
        <w:tab/>
      </w:r>
      <w:r w:rsidR="002C1EFF" w:rsidRPr="00321A1F">
        <w:t xml:space="preserve">For the same reasons discussed in </w:t>
      </w:r>
      <w:r>
        <w:t xml:space="preserve">our </w:t>
      </w:r>
      <w:r w:rsidR="002C1EFF" w:rsidRPr="00321A1F">
        <w:t xml:space="preserve">U&amp;U analysis of Aquarina’s water distribution system, </w:t>
      </w:r>
      <w:r>
        <w:t xml:space="preserve">we are </w:t>
      </w:r>
      <w:r w:rsidR="002C1EFF" w:rsidRPr="00321A1F">
        <w:t xml:space="preserve">unable to determine the current capacity of the Utility’s wastewater collection system. Therefore, consistent with </w:t>
      </w:r>
      <w:r>
        <w:t xml:space="preserve">our decision </w:t>
      </w:r>
      <w:r w:rsidR="002C1EFF" w:rsidRPr="00321A1F">
        <w:t xml:space="preserve">regarding the Utility’s distribution system, </w:t>
      </w:r>
      <w:r>
        <w:t xml:space="preserve">we shall </w:t>
      </w:r>
      <w:r w:rsidR="002C1EFF" w:rsidRPr="00321A1F">
        <w:t>adher</w:t>
      </w:r>
      <w:r>
        <w:t xml:space="preserve">e </w:t>
      </w:r>
      <w:r w:rsidR="002C1EFF" w:rsidRPr="00321A1F">
        <w:t xml:space="preserve">to </w:t>
      </w:r>
      <w:r>
        <w:t xml:space="preserve">our prior </w:t>
      </w:r>
      <w:r w:rsidR="002C1EFF" w:rsidRPr="00321A1F">
        <w:t xml:space="preserve">decision </w:t>
      </w:r>
      <w:r>
        <w:t xml:space="preserve">and </w:t>
      </w:r>
      <w:r w:rsidR="002C1EFF" w:rsidRPr="00321A1F">
        <w:t>consider the wastewater collection system to be 65.4 percent U&amp;U.</w:t>
      </w:r>
    </w:p>
    <w:p w:rsidR="002C1EFF" w:rsidRPr="00346B72" w:rsidRDefault="002C1EFF" w:rsidP="002C1EFF">
      <w:pPr>
        <w:jc w:val="both"/>
        <w:rPr>
          <w:i/>
          <w:color w:val="000000"/>
        </w:rPr>
      </w:pPr>
    </w:p>
    <w:p w:rsidR="002C1EFF" w:rsidRPr="00F261F1" w:rsidRDefault="00346B72" w:rsidP="002C1EFF">
      <w:pPr>
        <w:jc w:val="both"/>
        <w:rPr>
          <w:i/>
        </w:rPr>
      </w:pPr>
      <w:r w:rsidRPr="00F261F1">
        <w:rPr>
          <w:i/>
        </w:rPr>
        <w:t xml:space="preserve">H. </w:t>
      </w:r>
      <w:r w:rsidR="002C1EFF" w:rsidRPr="00F261F1">
        <w:rPr>
          <w:i/>
        </w:rPr>
        <w:t xml:space="preserve">Non-Potable Water System and Water Distribution System Used &amp; Useful </w:t>
      </w:r>
    </w:p>
    <w:p w:rsidR="002774E0" w:rsidRPr="00F261F1" w:rsidRDefault="002774E0" w:rsidP="002C1EFF">
      <w:pPr>
        <w:jc w:val="both"/>
      </w:pPr>
    </w:p>
    <w:p w:rsidR="002C1EFF" w:rsidRPr="00321A1F" w:rsidRDefault="002774E0" w:rsidP="002C1EFF">
      <w:pPr>
        <w:jc w:val="both"/>
      </w:pPr>
      <w:r w:rsidRPr="00F261F1">
        <w:tab/>
      </w:r>
      <w:r w:rsidR="002C1EFF" w:rsidRPr="00F261F1">
        <w:t xml:space="preserve">Although </w:t>
      </w:r>
      <w:r w:rsidRPr="00F261F1">
        <w:t xml:space="preserve">there is no </w:t>
      </w:r>
      <w:r w:rsidR="002C1EFF" w:rsidRPr="00F261F1">
        <w:t xml:space="preserve">specific rule for non-potable water systems, </w:t>
      </w:r>
      <w:r w:rsidRPr="00F261F1">
        <w:t xml:space="preserve">we find that </w:t>
      </w:r>
      <w:r w:rsidR="002C1EFF" w:rsidRPr="00F261F1">
        <w:t xml:space="preserve">the U&amp;U equation for a WTP might reasonably be applied to a non-potable water system. Aquarina’s non-potable water system is served by a single well. Pursuant to Rule 25-30.4325, F.A.C., a water treatment system is considered 100 percent U&amp;U if the system is served by a single well. </w:t>
      </w:r>
      <w:r w:rsidRPr="00F261F1">
        <w:t xml:space="preserve">This </w:t>
      </w:r>
      <w:r w:rsidRPr="00F261F1">
        <w:lastRenderedPageBreak/>
        <w:t xml:space="preserve">approach is consistent with the </w:t>
      </w:r>
      <w:r w:rsidR="002C1EFF" w:rsidRPr="00F261F1">
        <w:t>2003 rate case,</w:t>
      </w:r>
      <w:r w:rsidRPr="00F261F1">
        <w:t xml:space="preserve"> wherein the </w:t>
      </w:r>
      <w:r w:rsidR="002C1EFF" w:rsidRPr="00F261F1">
        <w:t xml:space="preserve">non-potable water distribution system was determined to be 100 percent U&amp;U. </w:t>
      </w:r>
      <w:r w:rsidRPr="00F261F1">
        <w:t xml:space="preserve">We have </w:t>
      </w:r>
      <w:r w:rsidR="002C1EFF" w:rsidRPr="00F261F1">
        <w:t>no</w:t>
      </w:r>
      <w:r w:rsidRPr="00F261F1">
        <w:t xml:space="preserve"> indication that </w:t>
      </w:r>
      <w:r w:rsidR="002C1EFF" w:rsidRPr="00F261F1">
        <w:t>the non-potable water distribution system has been expanded</w:t>
      </w:r>
      <w:r w:rsidRPr="00F261F1">
        <w:t xml:space="preserve"> since that time</w:t>
      </w:r>
      <w:r w:rsidR="002C1EFF" w:rsidRPr="00F261F1">
        <w:t xml:space="preserve">. </w:t>
      </w:r>
      <w:r w:rsidRPr="00F261F1">
        <w:t xml:space="preserve">Based upon the foregoing, </w:t>
      </w:r>
      <w:r w:rsidR="002C1EFF" w:rsidRPr="00F261F1">
        <w:t xml:space="preserve">the non-potable water distribution system </w:t>
      </w:r>
      <w:r w:rsidRPr="00F261F1">
        <w:t xml:space="preserve">shall </w:t>
      </w:r>
      <w:r w:rsidR="002C1EFF" w:rsidRPr="00F261F1">
        <w:t>be considered 100 percent U&amp;U.</w:t>
      </w:r>
    </w:p>
    <w:p w:rsidR="002C1EFF" w:rsidRPr="00346B72" w:rsidRDefault="002C1EFF" w:rsidP="002C1EFF">
      <w:pPr>
        <w:jc w:val="both"/>
        <w:rPr>
          <w:i/>
        </w:rPr>
      </w:pPr>
    </w:p>
    <w:p w:rsidR="002C1EFF" w:rsidRPr="00346B72" w:rsidRDefault="00346B72" w:rsidP="002C1EFF">
      <w:pPr>
        <w:jc w:val="both"/>
        <w:rPr>
          <w:i/>
        </w:rPr>
      </w:pPr>
      <w:r w:rsidRPr="00346B72">
        <w:rPr>
          <w:i/>
        </w:rPr>
        <w:t xml:space="preserve">I. </w:t>
      </w:r>
      <w:r w:rsidR="002C1EFF" w:rsidRPr="00346B72">
        <w:rPr>
          <w:i/>
        </w:rPr>
        <w:t>Non-Potable Water Storage Used &amp; Useful</w:t>
      </w:r>
    </w:p>
    <w:p w:rsidR="001617AE" w:rsidRDefault="001617AE" w:rsidP="002C1EFF">
      <w:pPr>
        <w:jc w:val="both"/>
      </w:pPr>
      <w:r>
        <w:t xml:space="preserve"> </w:t>
      </w:r>
      <w:r>
        <w:tab/>
      </w:r>
    </w:p>
    <w:p w:rsidR="002C1EFF" w:rsidRPr="00321A1F" w:rsidRDefault="001617AE" w:rsidP="002C1EFF">
      <w:pPr>
        <w:jc w:val="both"/>
      </w:pPr>
      <w:r>
        <w:tab/>
      </w:r>
      <w:r w:rsidR="002C1EFF" w:rsidRPr="00321A1F">
        <w:t xml:space="preserve">Similar to </w:t>
      </w:r>
      <w:r>
        <w:t xml:space="preserve">our evaluation of </w:t>
      </w:r>
      <w:r w:rsidR="002C1EFF" w:rsidRPr="00321A1F">
        <w:t xml:space="preserve">Aquarina’s non-potable water system, </w:t>
      </w:r>
      <w:r>
        <w:t xml:space="preserve">we find that </w:t>
      </w:r>
      <w:r w:rsidR="002C1EFF" w:rsidRPr="00321A1F">
        <w:t xml:space="preserve">the standards contained in Rule 25-30.4325, F.A.C., might reasonably be used to determine the U&amp;U of the Utility’s non-potable water storage. </w:t>
      </w:r>
      <w:r>
        <w:t xml:space="preserve">With this approach, </w:t>
      </w:r>
      <w:r w:rsidR="002C1EFF" w:rsidRPr="00321A1F">
        <w:t>the U&amp;U of Aquarina’s non-potable water system is ((Max Day - EUW + Fire Flow + Growth)/ Firm Reliable Capacity). For the Max Day</w:t>
      </w:r>
      <w:r w:rsidR="00E46AC5">
        <w:t>,</w:t>
      </w:r>
      <w:r w:rsidR="002C1EFF" w:rsidRPr="00321A1F">
        <w:t xml:space="preserve"> </w:t>
      </w:r>
      <w:r>
        <w:t>we</w:t>
      </w:r>
      <w:r w:rsidR="002C1EFF" w:rsidRPr="00321A1F">
        <w:t xml:space="preserve"> relied on test year data and determined a value of 512,052 gallons based on a daily average for the peak month. </w:t>
      </w:r>
      <w:r w:rsidR="004B691A">
        <w:t>T</w:t>
      </w:r>
      <w:r w:rsidR="002C1EFF" w:rsidRPr="00321A1F">
        <w:t>he Utility is required to maintain 250,000 gallons for fire flow. Historic flows indicate negative growth since 2011</w:t>
      </w:r>
      <w:r w:rsidR="00E46AC5">
        <w:t>;</w:t>
      </w:r>
      <w:r w:rsidR="002C1EFF" w:rsidRPr="00321A1F">
        <w:t xml:space="preserve"> therefore, </w:t>
      </w:r>
      <w:r w:rsidR="004B691A">
        <w:t xml:space="preserve">we shall not make </w:t>
      </w:r>
      <w:r w:rsidR="002C1EFF" w:rsidRPr="00321A1F">
        <w:t>an adjustment for growth</w:t>
      </w:r>
      <w:r w:rsidR="004B691A">
        <w:t xml:space="preserve">. </w:t>
      </w:r>
      <w:r w:rsidR="002C1EFF" w:rsidRPr="00321A1F">
        <w:t xml:space="preserve">The FRC of the non-potable water storage is 1.25 million gallons. </w:t>
      </w:r>
    </w:p>
    <w:p w:rsidR="002C1EFF" w:rsidRPr="00321A1F" w:rsidRDefault="002C1EFF" w:rsidP="002C1EFF">
      <w:pPr>
        <w:jc w:val="both"/>
      </w:pPr>
    </w:p>
    <w:p w:rsidR="002C1EFF" w:rsidRPr="00321A1F" w:rsidRDefault="004B691A" w:rsidP="002C1EFF">
      <w:pPr>
        <w:jc w:val="both"/>
        <w:rPr>
          <w:b/>
        </w:rPr>
      </w:pPr>
      <w:r>
        <w:tab/>
      </w:r>
      <w:r w:rsidR="002C1EFF" w:rsidRPr="00321A1F">
        <w:t>Sufficient information was not available to determine EUW</w:t>
      </w:r>
      <w:r w:rsidR="00E46AC5">
        <w:t>;</w:t>
      </w:r>
      <w:r w:rsidR="002C1EFF" w:rsidRPr="00321A1F">
        <w:t xml:space="preserve"> therefore</w:t>
      </w:r>
      <w:r w:rsidR="00E46AC5">
        <w:t>,</w:t>
      </w:r>
      <w:r w:rsidR="002C1EFF" w:rsidRPr="00321A1F">
        <w:t xml:space="preserve"> </w:t>
      </w:r>
      <w:r>
        <w:t xml:space="preserve">we have </w:t>
      </w:r>
      <w:r w:rsidR="002C1EFF" w:rsidRPr="00321A1F">
        <w:t xml:space="preserve">no basis to support an adjustment for EUW. Based on the inputs discussed above, </w:t>
      </w:r>
      <w:r>
        <w:t xml:space="preserve">we approve </w:t>
      </w:r>
      <w:r w:rsidR="002C1EFF" w:rsidRPr="00321A1F">
        <w:t>a U&amp;U of 61 percent ((512,052 - 0 + 250,000)/1,250,000) for Aquarina’s non-potable water storage.</w:t>
      </w:r>
    </w:p>
    <w:p w:rsidR="002C1EFF" w:rsidRPr="00321A1F" w:rsidRDefault="002C1EFF" w:rsidP="002C1EFF">
      <w:pPr>
        <w:jc w:val="both"/>
      </w:pPr>
    </w:p>
    <w:p w:rsidR="002C1EFF" w:rsidRPr="00346B72" w:rsidRDefault="00346B72" w:rsidP="002C1EFF">
      <w:pPr>
        <w:jc w:val="both"/>
        <w:outlineLvl w:val="2"/>
        <w:rPr>
          <w:bCs/>
          <w:i/>
          <w:iCs/>
        </w:rPr>
      </w:pPr>
      <w:r w:rsidRPr="00346B72">
        <w:rPr>
          <w:bCs/>
          <w:i/>
          <w:iCs/>
        </w:rPr>
        <w:t xml:space="preserve">J. </w:t>
      </w:r>
      <w:r w:rsidR="002C1EFF" w:rsidRPr="00346B72">
        <w:rPr>
          <w:bCs/>
          <w:i/>
          <w:iCs/>
        </w:rPr>
        <w:t>Summary</w:t>
      </w:r>
    </w:p>
    <w:p w:rsidR="004B691A" w:rsidRDefault="004B691A" w:rsidP="002C1EFF">
      <w:pPr>
        <w:jc w:val="both"/>
      </w:pPr>
    </w:p>
    <w:p w:rsidR="002C1EFF" w:rsidRDefault="004B691A" w:rsidP="002C1EFF">
      <w:pPr>
        <w:jc w:val="both"/>
      </w:pPr>
      <w:r>
        <w:tab/>
      </w:r>
      <w:r w:rsidR="002C1EFF" w:rsidRPr="00321A1F">
        <w:t>The following U&amp;U percentages for water, wastewater, and non-potable systems sh</w:t>
      </w:r>
      <w:r>
        <w:t xml:space="preserve">all </w:t>
      </w:r>
      <w:r w:rsidR="002C1EFF" w:rsidRPr="00321A1F">
        <w:t xml:space="preserve">be considered in setting rates for Aquarina. </w:t>
      </w:r>
    </w:p>
    <w:p w:rsidR="0084184D" w:rsidRPr="00321A1F" w:rsidRDefault="0084184D" w:rsidP="002C1EF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8"/>
        <w:gridCol w:w="3069"/>
      </w:tblGrid>
      <w:tr w:rsidR="002C1EFF" w:rsidRPr="00321A1F" w:rsidTr="00EC6608">
        <w:trPr>
          <w:jc w:val="center"/>
        </w:trPr>
        <w:tc>
          <w:tcPr>
            <w:tcW w:w="3888" w:type="dxa"/>
            <w:tcMar>
              <w:top w:w="0" w:type="dxa"/>
              <w:left w:w="108" w:type="dxa"/>
              <w:bottom w:w="0" w:type="dxa"/>
              <w:right w:w="108" w:type="dxa"/>
            </w:tcMar>
          </w:tcPr>
          <w:p w:rsidR="002C1EFF" w:rsidRPr="00321A1F" w:rsidRDefault="002C1EFF" w:rsidP="002C1EFF">
            <w:pPr>
              <w:jc w:val="center"/>
              <w:rPr>
                <w:b/>
                <w:color w:val="000000"/>
              </w:rPr>
            </w:pPr>
            <w:r w:rsidRPr="00321A1F">
              <w:rPr>
                <w:b/>
                <w:color w:val="000000"/>
              </w:rPr>
              <w:t>Plant</w:t>
            </w:r>
          </w:p>
        </w:tc>
        <w:tc>
          <w:tcPr>
            <w:tcW w:w="3069" w:type="dxa"/>
            <w:tcMar>
              <w:top w:w="0" w:type="dxa"/>
              <w:left w:w="108" w:type="dxa"/>
              <w:bottom w:w="0" w:type="dxa"/>
              <w:right w:w="108" w:type="dxa"/>
            </w:tcMar>
            <w:hideMark/>
          </w:tcPr>
          <w:p w:rsidR="002C1EFF" w:rsidRPr="00321A1F" w:rsidRDefault="002C1EFF" w:rsidP="002C1EFF">
            <w:pPr>
              <w:jc w:val="center"/>
              <w:rPr>
                <w:b/>
                <w:bCs/>
                <w:iCs/>
                <w:color w:val="000000"/>
              </w:rPr>
            </w:pPr>
            <w:r w:rsidRPr="00321A1F">
              <w:rPr>
                <w:b/>
                <w:bCs/>
                <w:iCs/>
                <w:color w:val="000000"/>
              </w:rPr>
              <w:t>U&amp;U Percentage</w:t>
            </w:r>
          </w:p>
        </w:tc>
      </w:tr>
      <w:tr w:rsidR="002C1EFF" w:rsidRPr="00321A1F" w:rsidTr="00EC6608">
        <w:trPr>
          <w:trHeight w:val="107"/>
          <w:jc w:val="center"/>
        </w:trPr>
        <w:tc>
          <w:tcPr>
            <w:tcW w:w="3888" w:type="dxa"/>
            <w:tcMar>
              <w:top w:w="0" w:type="dxa"/>
              <w:left w:w="108" w:type="dxa"/>
              <w:bottom w:w="0" w:type="dxa"/>
              <w:right w:w="108" w:type="dxa"/>
            </w:tcMar>
          </w:tcPr>
          <w:p w:rsidR="002C1EFF" w:rsidRPr="00321A1F" w:rsidRDefault="002C1EFF" w:rsidP="002C1EFF">
            <w:pPr>
              <w:jc w:val="both"/>
              <w:rPr>
                <w:color w:val="000000"/>
              </w:rPr>
            </w:pPr>
          </w:p>
        </w:tc>
        <w:tc>
          <w:tcPr>
            <w:tcW w:w="3069" w:type="dxa"/>
            <w:tcMar>
              <w:top w:w="0" w:type="dxa"/>
              <w:left w:w="108" w:type="dxa"/>
              <w:bottom w:w="0" w:type="dxa"/>
              <w:right w:w="108" w:type="dxa"/>
            </w:tcMar>
          </w:tcPr>
          <w:p w:rsidR="002C1EFF" w:rsidRPr="00321A1F" w:rsidRDefault="002C1EFF" w:rsidP="002C1EFF">
            <w:pPr>
              <w:jc w:val="both"/>
              <w:rPr>
                <w:color w:val="000000"/>
              </w:rPr>
            </w:pPr>
          </w:p>
        </w:tc>
      </w:tr>
      <w:tr w:rsidR="002C1EFF" w:rsidRPr="00321A1F" w:rsidTr="00EC6608">
        <w:trPr>
          <w:jc w:val="center"/>
        </w:trPr>
        <w:tc>
          <w:tcPr>
            <w:tcW w:w="3888" w:type="dxa"/>
            <w:tcMar>
              <w:top w:w="0" w:type="dxa"/>
              <w:left w:w="108" w:type="dxa"/>
              <w:bottom w:w="0" w:type="dxa"/>
              <w:right w:w="108" w:type="dxa"/>
            </w:tcMar>
            <w:hideMark/>
          </w:tcPr>
          <w:p w:rsidR="002C1EFF" w:rsidRPr="00321A1F" w:rsidRDefault="002C1EFF" w:rsidP="002C1EFF">
            <w:pPr>
              <w:jc w:val="both"/>
              <w:rPr>
                <w:color w:val="000000"/>
              </w:rPr>
            </w:pPr>
            <w:r w:rsidRPr="00321A1F">
              <w:rPr>
                <w:color w:val="000000"/>
              </w:rPr>
              <w:t>Water Treatment Plant</w:t>
            </w:r>
          </w:p>
        </w:tc>
        <w:tc>
          <w:tcPr>
            <w:tcW w:w="3069" w:type="dxa"/>
            <w:tcMar>
              <w:top w:w="0" w:type="dxa"/>
              <w:left w:w="108" w:type="dxa"/>
              <w:bottom w:w="0" w:type="dxa"/>
              <w:right w:w="108" w:type="dxa"/>
            </w:tcMar>
            <w:hideMark/>
          </w:tcPr>
          <w:p w:rsidR="002C1EFF" w:rsidRPr="00321A1F" w:rsidRDefault="002C1EFF" w:rsidP="002C1EFF">
            <w:pPr>
              <w:jc w:val="center"/>
              <w:rPr>
                <w:color w:val="000000"/>
              </w:rPr>
            </w:pPr>
            <w:r w:rsidRPr="00321A1F">
              <w:rPr>
                <w:color w:val="000000"/>
              </w:rPr>
              <w:t>81.0 Percent</w:t>
            </w:r>
          </w:p>
        </w:tc>
      </w:tr>
      <w:tr w:rsidR="002C1EFF" w:rsidRPr="00321A1F" w:rsidTr="00EC6608">
        <w:trPr>
          <w:jc w:val="center"/>
        </w:trPr>
        <w:tc>
          <w:tcPr>
            <w:tcW w:w="3888" w:type="dxa"/>
            <w:tcMar>
              <w:top w:w="0" w:type="dxa"/>
              <w:left w:w="108" w:type="dxa"/>
              <w:bottom w:w="0" w:type="dxa"/>
              <w:right w:w="108" w:type="dxa"/>
            </w:tcMar>
            <w:hideMark/>
          </w:tcPr>
          <w:p w:rsidR="002C1EFF" w:rsidRPr="00321A1F" w:rsidRDefault="002C1EFF" w:rsidP="002C1EFF">
            <w:pPr>
              <w:jc w:val="both"/>
              <w:rPr>
                <w:color w:val="000000"/>
              </w:rPr>
            </w:pPr>
            <w:r w:rsidRPr="00321A1F">
              <w:rPr>
                <w:color w:val="000000"/>
              </w:rPr>
              <w:t>Water Distribution</w:t>
            </w:r>
          </w:p>
        </w:tc>
        <w:tc>
          <w:tcPr>
            <w:tcW w:w="3069" w:type="dxa"/>
            <w:tcMar>
              <w:top w:w="0" w:type="dxa"/>
              <w:left w:w="108" w:type="dxa"/>
              <w:bottom w:w="0" w:type="dxa"/>
              <w:right w:w="108" w:type="dxa"/>
            </w:tcMar>
            <w:hideMark/>
          </w:tcPr>
          <w:p w:rsidR="002C1EFF" w:rsidRPr="00321A1F" w:rsidRDefault="002C1EFF" w:rsidP="002C1EFF">
            <w:pPr>
              <w:jc w:val="center"/>
              <w:rPr>
                <w:color w:val="000000"/>
              </w:rPr>
            </w:pPr>
            <w:r w:rsidRPr="00321A1F">
              <w:rPr>
                <w:color w:val="000000"/>
              </w:rPr>
              <w:t>62.6 Percent</w:t>
            </w:r>
          </w:p>
        </w:tc>
      </w:tr>
      <w:tr w:rsidR="002C1EFF" w:rsidRPr="00321A1F" w:rsidTr="00EC6608">
        <w:trPr>
          <w:jc w:val="center"/>
        </w:trPr>
        <w:tc>
          <w:tcPr>
            <w:tcW w:w="3888" w:type="dxa"/>
            <w:tcMar>
              <w:top w:w="0" w:type="dxa"/>
              <w:left w:w="108" w:type="dxa"/>
              <w:bottom w:w="0" w:type="dxa"/>
              <w:right w:w="108" w:type="dxa"/>
            </w:tcMar>
            <w:hideMark/>
          </w:tcPr>
          <w:p w:rsidR="002C1EFF" w:rsidRPr="00321A1F" w:rsidRDefault="002C1EFF" w:rsidP="002C1EFF">
            <w:pPr>
              <w:jc w:val="both"/>
              <w:rPr>
                <w:color w:val="000000"/>
              </w:rPr>
            </w:pPr>
            <w:r w:rsidRPr="00321A1F">
              <w:rPr>
                <w:color w:val="000000"/>
              </w:rPr>
              <w:t>Water Plant Storage</w:t>
            </w:r>
          </w:p>
        </w:tc>
        <w:tc>
          <w:tcPr>
            <w:tcW w:w="3069" w:type="dxa"/>
            <w:tcMar>
              <w:top w:w="0" w:type="dxa"/>
              <w:left w:w="108" w:type="dxa"/>
              <w:bottom w:w="0" w:type="dxa"/>
              <w:right w:w="108" w:type="dxa"/>
            </w:tcMar>
            <w:hideMark/>
          </w:tcPr>
          <w:p w:rsidR="002C1EFF" w:rsidRPr="00321A1F" w:rsidRDefault="002C1EFF" w:rsidP="002C1EFF">
            <w:pPr>
              <w:jc w:val="center"/>
              <w:rPr>
                <w:color w:val="000000"/>
              </w:rPr>
            </w:pPr>
            <w:r w:rsidRPr="00321A1F">
              <w:rPr>
                <w:color w:val="000000"/>
              </w:rPr>
              <w:t>46.7 Percent</w:t>
            </w:r>
          </w:p>
        </w:tc>
      </w:tr>
      <w:tr w:rsidR="002C1EFF" w:rsidRPr="00321A1F" w:rsidTr="00EC6608">
        <w:trPr>
          <w:jc w:val="center"/>
        </w:trPr>
        <w:tc>
          <w:tcPr>
            <w:tcW w:w="3888" w:type="dxa"/>
            <w:tcMar>
              <w:top w:w="0" w:type="dxa"/>
              <w:left w:w="108" w:type="dxa"/>
              <w:bottom w:w="0" w:type="dxa"/>
              <w:right w:w="108" w:type="dxa"/>
            </w:tcMar>
          </w:tcPr>
          <w:p w:rsidR="002C1EFF" w:rsidRPr="00321A1F" w:rsidRDefault="002C1EFF" w:rsidP="002C1EFF">
            <w:pPr>
              <w:jc w:val="both"/>
              <w:rPr>
                <w:color w:val="000000"/>
              </w:rPr>
            </w:pPr>
          </w:p>
        </w:tc>
        <w:tc>
          <w:tcPr>
            <w:tcW w:w="3069" w:type="dxa"/>
            <w:tcMar>
              <w:top w:w="0" w:type="dxa"/>
              <w:left w:w="108" w:type="dxa"/>
              <w:bottom w:w="0" w:type="dxa"/>
              <w:right w:w="108" w:type="dxa"/>
            </w:tcMar>
          </w:tcPr>
          <w:p w:rsidR="002C1EFF" w:rsidRPr="00321A1F" w:rsidRDefault="002C1EFF" w:rsidP="002C1EFF">
            <w:pPr>
              <w:jc w:val="center"/>
              <w:rPr>
                <w:color w:val="000000"/>
              </w:rPr>
            </w:pPr>
          </w:p>
        </w:tc>
      </w:tr>
      <w:tr w:rsidR="002C1EFF" w:rsidRPr="00321A1F" w:rsidTr="00EC6608">
        <w:trPr>
          <w:jc w:val="center"/>
        </w:trPr>
        <w:tc>
          <w:tcPr>
            <w:tcW w:w="3888" w:type="dxa"/>
            <w:tcMar>
              <w:top w:w="0" w:type="dxa"/>
              <w:left w:w="108" w:type="dxa"/>
              <w:bottom w:w="0" w:type="dxa"/>
              <w:right w:w="108" w:type="dxa"/>
            </w:tcMar>
          </w:tcPr>
          <w:p w:rsidR="002C1EFF" w:rsidRPr="00321A1F" w:rsidRDefault="002C1EFF" w:rsidP="002C1EFF">
            <w:pPr>
              <w:jc w:val="both"/>
              <w:rPr>
                <w:color w:val="000000"/>
              </w:rPr>
            </w:pPr>
            <w:r w:rsidRPr="00321A1F">
              <w:rPr>
                <w:color w:val="000000"/>
              </w:rPr>
              <w:t>Wastewater Plant</w:t>
            </w:r>
          </w:p>
        </w:tc>
        <w:tc>
          <w:tcPr>
            <w:tcW w:w="3069" w:type="dxa"/>
            <w:tcMar>
              <w:top w:w="0" w:type="dxa"/>
              <w:left w:w="108" w:type="dxa"/>
              <w:bottom w:w="0" w:type="dxa"/>
              <w:right w:w="108" w:type="dxa"/>
            </w:tcMar>
          </w:tcPr>
          <w:p w:rsidR="002C1EFF" w:rsidRPr="00321A1F" w:rsidRDefault="002C1EFF" w:rsidP="002C1EFF">
            <w:pPr>
              <w:jc w:val="center"/>
              <w:rPr>
                <w:color w:val="000000"/>
              </w:rPr>
            </w:pPr>
            <w:r w:rsidRPr="00321A1F">
              <w:rPr>
                <w:color w:val="000000"/>
              </w:rPr>
              <w:t>55.9 Percent</w:t>
            </w:r>
          </w:p>
        </w:tc>
      </w:tr>
      <w:tr w:rsidR="002C1EFF" w:rsidRPr="00321A1F" w:rsidTr="00EC6608">
        <w:trPr>
          <w:jc w:val="center"/>
        </w:trPr>
        <w:tc>
          <w:tcPr>
            <w:tcW w:w="3888" w:type="dxa"/>
            <w:tcMar>
              <w:top w:w="0" w:type="dxa"/>
              <w:left w:w="108" w:type="dxa"/>
              <w:bottom w:w="0" w:type="dxa"/>
              <w:right w:w="108" w:type="dxa"/>
            </w:tcMar>
          </w:tcPr>
          <w:p w:rsidR="002C1EFF" w:rsidRPr="00321A1F" w:rsidRDefault="002C1EFF" w:rsidP="002C1EFF">
            <w:pPr>
              <w:jc w:val="both"/>
              <w:rPr>
                <w:color w:val="000000"/>
              </w:rPr>
            </w:pPr>
            <w:r w:rsidRPr="00321A1F">
              <w:rPr>
                <w:color w:val="000000"/>
              </w:rPr>
              <w:t>Wastewater Collection System</w:t>
            </w:r>
          </w:p>
        </w:tc>
        <w:tc>
          <w:tcPr>
            <w:tcW w:w="3069" w:type="dxa"/>
            <w:tcMar>
              <w:top w:w="0" w:type="dxa"/>
              <w:left w:w="108" w:type="dxa"/>
              <w:bottom w:w="0" w:type="dxa"/>
              <w:right w:w="108" w:type="dxa"/>
            </w:tcMar>
          </w:tcPr>
          <w:p w:rsidR="002C1EFF" w:rsidRPr="00321A1F" w:rsidRDefault="002C1EFF" w:rsidP="002C1EFF">
            <w:pPr>
              <w:jc w:val="center"/>
              <w:rPr>
                <w:color w:val="000000"/>
              </w:rPr>
            </w:pPr>
            <w:r w:rsidRPr="00321A1F">
              <w:rPr>
                <w:color w:val="000000"/>
              </w:rPr>
              <w:t>65.4 Percent</w:t>
            </w:r>
          </w:p>
        </w:tc>
      </w:tr>
      <w:tr w:rsidR="002C1EFF" w:rsidRPr="00321A1F" w:rsidTr="00EC6608">
        <w:trPr>
          <w:jc w:val="center"/>
        </w:trPr>
        <w:tc>
          <w:tcPr>
            <w:tcW w:w="3888" w:type="dxa"/>
            <w:tcMar>
              <w:top w:w="0" w:type="dxa"/>
              <w:left w:w="108" w:type="dxa"/>
              <w:bottom w:w="0" w:type="dxa"/>
              <w:right w:w="108" w:type="dxa"/>
            </w:tcMar>
          </w:tcPr>
          <w:p w:rsidR="002C1EFF" w:rsidRPr="00321A1F" w:rsidRDefault="002C1EFF" w:rsidP="002C1EFF">
            <w:pPr>
              <w:jc w:val="both"/>
              <w:rPr>
                <w:color w:val="000000"/>
              </w:rPr>
            </w:pPr>
          </w:p>
        </w:tc>
        <w:tc>
          <w:tcPr>
            <w:tcW w:w="3069" w:type="dxa"/>
            <w:tcMar>
              <w:top w:w="0" w:type="dxa"/>
              <w:left w:w="108" w:type="dxa"/>
              <w:bottom w:w="0" w:type="dxa"/>
              <w:right w:w="108" w:type="dxa"/>
            </w:tcMar>
          </w:tcPr>
          <w:p w:rsidR="002C1EFF" w:rsidRPr="00321A1F" w:rsidRDefault="002C1EFF" w:rsidP="002C1EFF">
            <w:pPr>
              <w:jc w:val="center"/>
              <w:rPr>
                <w:color w:val="000000"/>
              </w:rPr>
            </w:pPr>
          </w:p>
        </w:tc>
      </w:tr>
      <w:tr w:rsidR="002C1EFF" w:rsidRPr="00321A1F" w:rsidTr="00EC6608">
        <w:trPr>
          <w:jc w:val="center"/>
        </w:trPr>
        <w:tc>
          <w:tcPr>
            <w:tcW w:w="3888" w:type="dxa"/>
            <w:tcMar>
              <w:top w:w="0" w:type="dxa"/>
              <w:left w:w="108" w:type="dxa"/>
              <w:bottom w:w="0" w:type="dxa"/>
              <w:right w:w="108" w:type="dxa"/>
            </w:tcMar>
            <w:hideMark/>
          </w:tcPr>
          <w:p w:rsidR="002C1EFF" w:rsidRPr="00321A1F" w:rsidRDefault="002C1EFF" w:rsidP="002C1EFF">
            <w:pPr>
              <w:jc w:val="both"/>
              <w:rPr>
                <w:color w:val="000000"/>
              </w:rPr>
            </w:pPr>
            <w:r w:rsidRPr="00321A1F">
              <w:rPr>
                <w:color w:val="000000"/>
              </w:rPr>
              <w:t>Non-Potable Plant</w:t>
            </w:r>
          </w:p>
        </w:tc>
        <w:tc>
          <w:tcPr>
            <w:tcW w:w="3069" w:type="dxa"/>
            <w:tcMar>
              <w:top w:w="0" w:type="dxa"/>
              <w:left w:w="108" w:type="dxa"/>
              <w:bottom w:w="0" w:type="dxa"/>
              <w:right w:w="108" w:type="dxa"/>
            </w:tcMar>
            <w:hideMark/>
          </w:tcPr>
          <w:p w:rsidR="002C1EFF" w:rsidRPr="00321A1F" w:rsidRDefault="002C1EFF" w:rsidP="002C1EFF">
            <w:pPr>
              <w:jc w:val="center"/>
              <w:rPr>
                <w:color w:val="000000"/>
              </w:rPr>
            </w:pPr>
            <w:r w:rsidRPr="00321A1F">
              <w:rPr>
                <w:color w:val="000000"/>
              </w:rPr>
              <w:t>100 Percent</w:t>
            </w:r>
          </w:p>
        </w:tc>
      </w:tr>
      <w:tr w:rsidR="002C1EFF" w:rsidRPr="00321A1F" w:rsidTr="00EC6608">
        <w:trPr>
          <w:jc w:val="center"/>
        </w:trPr>
        <w:tc>
          <w:tcPr>
            <w:tcW w:w="3888" w:type="dxa"/>
            <w:tcMar>
              <w:top w:w="0" w:type="dxa"/>
              <w:left w:w="108" w:type="dxa"/>
              <w:bottom w:w="0" w:type="dxa"/>
              <w:right w:w="108" w:type="dxa"/>
            </w:tcMar>
            <w:hideMark/>
          </w:tcPr>
          <w:p w:rsidR="002C1EFF" w:rsidRPr="00321A1F" w:rsidRDefault="002C1EFF" w:rsidP="002C1EFF">
            <w:pPr>
              <w:jc w:val="both"/>
              <w:rPr>
                <w:color w:val="000000"/>
              </w:rPr>
            </w:pPr>
            <w:r w:rsidRPr="00321A1F">
              <w:rPr>
                <w:color w:val="000000"/>
              </w:rPr>
              <w:t>Non-Potable Distribution</w:t>
            </w:r>
          </w:p>
        </w:tc>
        <w:tc>
          <w:tcPr>
            <w:tcW w:w="3069" w:type="dxa"/>
            <w:tcMar>
              <w:top w:w="0" w:type="dxa"/>
              <w:left w:w="108" w:type="dxa"/>
              <w:bottom w:w="0" w:type="dxa"/>
              <w:right w:w="108" w:type="dxa"/>
            </w:tcMar>
            <w:hideMark/>
          </w:tcPr>
          <w:p w:rsidR="002C1EFF" w:rsidRPr="00321A1F" w:rsidRDefault="002C1EFF" w:rsidP="002C1EFF">
            <w:pPr>
              <w:jc w:val="center"/>
              <w:rPr>
                <w:color w:val="000000"/>
              </w:rPr>
            </w:pPr>
            <w:r w:rsidRPr="00321A1F">
              <w:rPr>
                <w:color w:val="000000"/>
              </w:rPr>
              <w:t>100 Percent</w:t>
            </w:r>
          </w:p>
        </w:tc>
      </w:tr>
      <w:tr w:rsidR="002C1EFF" w:rsidRPr="00321A1F" w:rsidTr="00EC6608">
        <w:trPr>
          <w:jc w:val="center"/>
        </w:trPr>
        <w:tc>
          <w:tcPr>
            <w:tcW w:w="3888" w:type="dxa"/>
            <w:tcMar>
              <w:top w:w="0" w:type="dxa"/>
              <w:left w:w="108" w:type="dxa"/>
              <w:bottom w:w="0" w:type="dxa"/>
              <w:right w:w="108" w:type="dxa"/>
            </w:tcMar>
            <w:hideMark/>
          </w:tcPr>
          <w:p w:rsidR="002C1EFF" w:rsidRPr="00321A1F" w:rsidRDefault="002C1EFF" w:rsidP="002C1EFF">
            <w:pPr>
              <w:jc w:val="both"/>
              <w:rPr>
                <w:color w:val="000000"/>
              </w:rPr>
            </w:pPr>
            <w:r w:rsidRPr="00321A1F">
              <w:rPr>
                <w:color w:val="000000"/>
              </w:rPr>
              <w:t>Non-Potable Storage</w:t>
            </w:r>
          </w:p>
        </w:tc>
        <w:tc>
          <w:tcPr>
            <w:tcW w:w="3069" w:type="dxa"/>
            <w:tcMar>
              <w:top w:w="0" w:type="dxa"/>
              <w:left w:w="108" w:type="dxa"/>
              <w:bottom w:w="0" w:type="dxa"/>
              <w:right w:w="108" w:type="dxa"/>
            </w:tcMar>
            <w:hideMark/>
          </w:tcPr>
          <w:p w:rsidR="002C1EFF" w:rsidRPr="00321A1F" w:rsidRDefault="002C1EFF" w:rsidP="002C1EFF">
            <w:pPr>
              <w:jc w:val="center"/>
              <w:rPr>
                <w:color w:val="000000"/>
              </w:rPr>
            </w:pPr>
            <w:r w:rsidRPr="00321A1F">
              <w:rPr>
                <w:color w:val="000000"/>
              </w:rPr>
              <w:t>61.0 Percent</w:t>
            </w:r>
          </w:p>
        </w:tc>
      </w:tr>
    </w:tbl>
    <w:p w:rsidR="002C1EFF" w:rsidRPr="00321A1F" w:rsidRDefault="002C1EFF" w:rsidP="002C1EFF">
      <w:pPr>
        <w:jc w:val="both"/>
      </w:pPr>
    </w:p>
    <w:p w:rsidR="002C1EFF" w:rsidRPr="00321A1F" w:rsidRDefault="004B691A" w:rsidP="002C1EFF">
      <w:pPr>
        <w:spacing w:after="240"/>
        <w:jc w:val="both"/>
        <w:rPr>
          <w:b/>
          <w:i/>
        </w:rPr>
      </w:pPr>
      <w:r>
        <w:t>N</w:t>
      </w:r>
      <w:r w:rsidR="002C1EFF" w:rsidRPr="00321A1F">
        <w:t xml:space="preserve">o adjustments to operating expenses </w:t>
      </w:r>
      <w:r>
        <w:t>shall be</w:t>
      </w:r>
      <w:r w:rsidR="002C1EFF" w:rsidRPr="00321A1F">
        <w:t xml:space="preserve"> made for EUW or excessive I&amp;I.</w:t>
      </w:r>
    </w:p>
    <w:p w:rsidR="004B691A" w:rsidRPr="006C7FBE" w:rsidRDefault="006C7FBE" w:rsidP="002C1EFF">
      <w:pPr>
        <w:spacing w:after="240"/>
        <w:ind w:left="360" w:hanging="360"/>
        <w:jc w:val="both"/>
        <w:outlineLvl w:val="0"/>
        <w:rPr>
          <w:bCs/>
          <w:kern w:val="32"/>
          <w:u w:val="single"/>
        </w:rPr>
      </w:pPr>
      <w:r w:rsidRPr="006C7FBE">
        <w:rPr>
          <w:bCs/>
          <w:kern w:val="32"/>
          <w:u w:val="single"/>
        </w:rPr>
        <w:t>3. Test Year</w:t>
      </w:r>
      <w:r>
        <w:rPr>
          <w:bCs/>
          <w:kern w:val="32"/>
          <w:u w:val="single"/>
        </w:rPr>
        <w:t xml:space="preserve"> Rate Bases</w:t>
      </w:r>
    </w:p>
    <w:p w:rsidR="002C1EFF" w:rsidRPr="00321A1F" w:rsidRDefault="00F261F1" w:rsidP="002C1EFF">
      <w:pPr>
        <w:jc w:val="both"/>
      </w:pPr>
      <w:r>
        <w:tab/>
      </w:r>
      <w:r w:rsidR="002C1EFF" w:rsidRPr="00321A1F">
        <w:t>Aquarina’s net book value was last established</w:t>
      </w:r>
      <w:r w:rsidRPr="00F261F1">
        <w:t xml:space="preserve"> </w:t>
      </w:r>
      <w:r w:rsidRPr="00321A1F">
        <w:t>by Order No. PSC-12-0577-PAA-WS</w:t>
      </w:r>
      <w:r>
        <w:t>, which w</w:t>
      </w:r>
      <w:r w:rsidR="00E46AC5">
        <w:t>a</w:t>
      </w:r>
      <w:r>
        <w:t>s issued in its</w:t>
      </w:r>
      <w:r w:rsidR="002C1EFF" w:rsidRPr="00321A1F">
        <w:t xml:space="preserve"> 2012 transfer docket</w:t>
      </w:r>
      <w:r>
        <w:t xml:space="preserve">. </w:t>
      </w:r>
      <w:r w:rsidR="002C1EFF" w:rsidRPr="00321A1F">
        <w:t xml:space="preserve">The test year ended December 31, 2014, was used </w:t>
      </w:r>
      <w:r w:rsidR="002C1EFF" w:rsidRPr="00321A1F">
        <w:lastRenderedPageBreak/>
        <w:t xml:space="preserve">for the instant case. A summary of each rate base component and </w:t>
      </w:r>
      <w:r>
        <w:t>a</w:t>
      </w:r>
      <w:r w:rsidR="002C1EFF" w:rsidRPr="00321A1F">
        <w:t xml:space="preserve">djustments </w:t>
      </w:r>
      <w:r w:rsidR="00E46AC5">
        <w:t>is</w:t>
      </w:r>
      <w:r w:rsidR="002C1EFF" w:rsidRPr="00321A1F">
        <w:t xml:space="preserve"> discussed below.</w:t>
      </w:r>
    </w:p>
    <w:p w:rsidR="002C1EFF" w:rsidRPr="00321A1F" w:rsidRDefault="002C1EFF" w:rsidP="002C1EFF">
      <w:pPr>
        <w:tabs>
          <w:tab w:val="left" w:pos="2070"/>
        </w:tabs>
        <w:jc w:val="both"/>
      </w:pPr>
      <w:r w:rsidRPr="00321A1F">
        <w:tab/>
      </w:r>
    </w:p>
    <w:p w:rsidR="002C1EFF" w:rsidRPr="00F261F1" w:rsidRDefault="00F261F1" w:rsidP="002C1EFF">
      <w:pPr>
        <w:autoSpaceDE w:val="0"/>
        <w:autoSpaceDN w:val="0"/>
        <w:adjustRightInd w:val="0"/>
        <w:jc w:val="both"/>
        <w:rPr>
          <w:i/>
        </w:rPr>
      </w:pPr>
      <w:r>
        <w:rPr>
          <w:i/>
        </w:rPr>
        <w:t xml:space="preserve">A. </w:t>
      </w:r>
      <w:r w:rsidR="002C1EFF" w:rsidRPr="00F261F1">
        <w:rPr>
          <w:i/>
        </w:rPr>
        <w:t xml:space="preserve">Utility Plant in Service (UPIS) </w:t>
      </w:r>
    </w:p>
    <w:p w:rsidR="00F261F1" w:rsidRDefault="00F261F1" w:rsidP="002C1EFF">
      <w:pPr>
        <w:autoSpaceDE w:val="0"/>
        <w:autoSpaceDN w:val="0"/>
        <w:adjustRightInd w:val="0"/>
        <w:jc w:val="both"/>
      </w:pPr>
    </w:p>
    <w:p w:rsidR="002C1EFF" w:rsidRPr="00321A1F" w:rsidRDefault="00F261F1" w:rsidP="002C1EFF">
      <w:pPr>
        <w:autoSpaceDE w:val="0"/>
        <w:autoSpaceDN w:val="0"/>
        <w:adjustRightInd w:val="0"/>
        <w:jc w:val="both"/>
      </w:pPr>
      <w:r>
        <w:tab/>
      </w:r>
      <w:r w:rsidR="002C1EFF" w:rsidRPr="00321A1F">
        <w:t xml:space="preserve">The Utility recorded UPIS of $1,907,336 for potable water, $22,080 for non-potable water, and $2,116,139 for wastewater. </w:t>
      </w:r>
      <w:r w:rsidR="003F51EA">
        <w:t>W</w:t>
      </w:r>
      <w:r w:rsidR="00E46AC5">
        <w:t>e</w:t>
      </w:r>
      <w:r w:rsidR="003F51EA">
        <w:t xml:space="preserve"> have identified </w:t>
      </w:r>
      <w:r w:rsidR="002C1EFF" w:rsidRPr="00321A1F">
        <w:t xml:space="preserve">several adjustments resulting in an increase to UPIS for potable water, non-potable water, and wastewater of $49,635, $905, and $7,708 respectively. These adjustments are shown </w:t>
      </w:r>
      <w:r w:rsidR="003F51EA">
        <w:t xml:space="preserve">on the following tables. </w:t>
      </w:r>
      <w:r w:rsidR="002C1EFF" w:rsidRPr="00321A1F">
        <w:t xml:space="preserve"> </w:t>
      </w:r>
    </w:p>
    <w:p w:rsidR="002C1EFF" w:rsidRPr="00321A1F" w:rsidRDefault="002C1EFF" w:rsidP="002C1EFF">
      <w:pPr>
        <w:autoSpaceDE w:val="0"/>
        <w:autoSpaceDN w:val="0"/>
        <w:adjustRightInd w:val="0"/>
        <w:jc w:val="both"/>
      </w:pPr>
    </w:p>
    <w:p w:rsidR="002C1EFF" w:rsidRPr="00321A1F" w:rsidRDefault="002C1EFF" w:rsidP="002C1EFF">
      <w:pPr>
        <w:autoSpaceDE w:val="0"/>
        <w:autoSpaceDN w:val="0"/>
        <w:adjustRightInd w:val="0"/>
        <w:jc w:val="center"/>
      </w:pPr>
      <w:r w:rsidRPr="00321A1F">
        <w:rPr>
          <w:noProof/>
        </w:rPr>
        <w:drawing>
          <wp:inline distT="0" distB="0" distL="0" distR="0" wp14:anchorId="0016362A" wp14:editId="6F2888BA">
            <wp:extent cx="5943600" cy="2606040"/>
            <wp:effectExtent l="0" t="0" r="0" b="381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06040"/>
                    </a:xfrm>
                    <a:prstGeom prst="rect">
                      <a:avLst/>
                    </a:prstGeom>
                    <a:noFill/>
                    <a:ln>
                      <a:noFill/>
                    </a:ln>
                  </pic:spPr>
                </pic:pic>
              </a:graphicData>
            </a:graphic>
          </wp:inline>
        </w:drawing>
      </w:r>
    </w:p>
    <w:p w:rsidR="002C1EFF" w:rsidRPr="00321A1F" w:rsidRDefault="002C1EFF" w:rsidP="002C1EFF">
      <w:pPr>
        <w:autoSpaceDE w:val="0"/>
        <w:autoSpaceDN w:val="0"/>
        <w:adjustRightInd w:val="0"/>
        <w:jc w:val="both"/>
      </w:pPr>
    </w:p>
    <w:p w:rsidR="002C1EFF" w:rsidRPr="00321A1F" w:rsidRDefault="002C1EFF" w:rsidP="002C1EFF">
      <w:pPr>
        <w:autoSpaceDE w:val="0"/>
        <w:autoSpaceDN w:val="0"/>
        <w:adjustRightInd w:val="0"/>
        <w:jc w:val="both"/>
      </w:pPr>
      <w:r w:rsidRPr="00321A1F">
        <w:rPr>
          <w:noProof/>
        </w:rPr>
        <w:drawing>
          <wp:inline distT="0" distB="0" distL="0" distR="0" wp14:anchorId="01122C81" wp14:editId="31420564">
            <wp:extent cx="5943600" cy="525780"/>
            <wp:effectExtent l="0" t="0" r="0" b="762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5780"/>
                    </a:xfrm>
                    <a:prstGeom prst="rect">
                      <a:avLst/>
                    </a:prstGeom>
                    <a:noFill/>
                    <a:ln>
                      <a:noFill/>
                    </a:ln>
                  </pic:spPr>
                </pic:pic>
              </a:graphicData>
            </a:graphic>
          </wp:inline>
        </w:drawing>
      </w:r>
    </w:p>
    <w:p w:rsidR="002C1EFF" w:rsidRPr="00321A1F" w:rsidRDefault="002C1EFF" w:rsidP="002C1EFF">
      <w:pPr>
        <w:rPr>
          <w:b/>
        </w:rPr>
      </w:pPr>
    </w:p>
    <w:p w:rsidR="002C1EFF" w:rsidRPr="00321A1F" w:rsidRDefault="002C1EFF" w:rsidP="002C1EFF">
      <w:pPr>
        <w:autoSpaceDE w:val="0"/>
        <w:autoSpaceDN w:val="0"/>
        <w:adjustRightInd w:val="0"/>
        <w:jc w:val="center"/>
      </w:pPr>
      <w:r w:rsidRPr="00321A1F">
        <w:rPr>
          <w:noProof/>
        </w:rPr>
        <w:drawing>
          <wp:inline distT="0" distB="0" distL="0" distR="0" wp14:anchorId="4CD58D78" wp14:editId="37A10627">
            <wp:extent cx="5943600" cy="1912620"/>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12620"/>
                    </a:xfrm>
                    <a:prstGeom prst="rect">
                      <a:avLst/>
                    </a:prstGeom>
                    <a:noFill/>
                    <a:ln>
                      <a:noFill/>
                    </a:ln>
                  </pic:spPr>
                </pic:pic>
              </a:graphicData>
            </a:graphic>
          </wp:inline>
        </w:drawing>
      </w:r>
    </w:p>
    <w:p w:rsidR="002C1EFF" w:rsidRPr="00321A1F" w:rsidRDefault="003F51EA" w:rsidP="002C1EFF">
      <w:pPr>
        <w:autoSpaceDE w:val="0"/>
        <w:autoSpaceDN w:val="0"/>
        <w:adjustRightInd w:val="0"/>
        <w:jc w:val="both"/>
      </w:pPr>
      <w:r>
        <w:tab/>
      </w:r>
      <w:r w:rsidR="002C1EFF" w:rsidRPr="00321A1F">
        <w:t xml:space="preserve">In addition, </w:t>
      </w:r>
      <w:r>
        <w:t xml:space="preserve">we made </w:t>
      </w:r>
      <w:r w:rsidR="002C1EFF" w:rsidRPr="00321A1F">
        <w:t xml:space="preserve">adjustments to UPIS by decreasing UPIS for potable water and increasing UPIS for non-potable water in order to match the amount of audited Contributions in Aid of Construction (CIAC) for the non-potable system. This resulted in a decrease to potable water UPIS and a corresponding increase to non-potable water UPIS of $90,305. </w:t>
      </w:r>
      <w:r>
        <w:t>We</w:t>
      </w:r>
      <w:r w:rsidR="002C1EFF" w:rsidRPr="00321A1F">
        <w:t xml:space="preserve"> then </w:t>
      </w:r>
      <w:r w:rsidR="002C1EFF" w:rsidRPr="00321A1F">
        <w:lastRenderedPageBreak/>
        <w:t xml:space="preserve">reduced UPIS for potable and non-potable water by $36,324 and $67,162, respectively, to retire CIAC accounts that were over-amortized. </w:t>
      </w:r>
    </w:p>
    <w:p w:rsidR="002C1EFF" w:rsidRPr="00321A1F" w:rsidRDefault="002C1EFF" w:rsidP="002C1EFF">
      <w:pPr>
        <w:autoSpaceDE w:val="0"/>
        <w:autoSpaceDN w:val="0"/>
        <w:adjustRightInd w:val="0"/>
        <w:jc w:val="both"/>
      </w:pPr>
    </w:p>
    <w:p w:rsidR="002C1EFF" w:rsidRPr="00321A1F" w:rsidRDefault="003F51EA" w:rsidP="002C1EFF">
      <w:pPr>
        <w:autoSpaceDE w:val="0"/>
        <w:autoSpaceDN w:val="0"/>
        <w:adjustRightInd w:val="0"/>
        <w:jc w:val="both"/>
      </w:pPr>
      <w:r>
        <w:tab/>
        <w:t>We</w:t>
      </w:r>
      <w:r w:rsidR="002C1EFF" w:rsidRPr="00321A1F">
        <w:t xml:space="preserve"> further reduced potable water UPIS and increased non-potable water UPIS by $234,124 to reflect </w:t>
      </w:r>
      <w:r w:rsidR="00E46AC5">
        <w:t xml:space="preserve">previously-required </w:t>
      </w:r>
      <w:r w:rsidR="002C1EFF" w:rsidRPr="00321A1F">
        <w:t>adjustments.</w:t>
      </w:r>
      <w:r w:rsidR="002C1EFF" w:rsidRPr="00321A1F">
        <w:rPr>
          <w:vertAlign w:val="superscript"/>
        </w:rPr>
        <w:footnoteReference w:id="2"/>
      </w:r>
      <w:r w:rsidR="002C1EFF" w:rsidRPr="00321A1F">
        <w:t xml:space="preserve"> </w:t>
      </w:r>
      <w:r>
        <w:t xml:space="preserve">We </w:t>
      </w:r>
      <w:r w:rsidR="002C1EFF" w:rsidRPr="00321A1F">
        <w:t xml:space="preserve">reduced potable water and increased non-potable water by $149,558, to impute Transmission and Distribution Mains for the non-potable system. </w:t>
      </w:r>
    </w:p>
    <w:p w:rsidR="002C1EFF" w:rsidRPr="00321A1F" w:rsidRDefault="002C1EFF" w:rsidP="002C1EFF">
      <w:pPr>
        <w:autoSpaceDE w:val="0"/>
        <w:autoSpaceDN w:val="0"/>
        <w:adjustRightInd w:val="0"/>
        <w:jc w:val="both"/>
      </w:pPr>
    </w:p>
    <w:p w:rsidR="002C1EFF" w:rsidRPr="00321A1F" w:rsidRDefault="003F51EA" w:rsidP="002C1EFF">
      <w:pPr>
        <w:autoSpaceDE w:val="0"/>
        <w:autoSpaceDN w:val="0"/>
        <w:adjustRightInd w:val="0"/>
        <w:jc w:val="both"/>
      </w:pPr>
      <w:r>
        <w:tab/>
        <w:t>We</w:t>
      </w:r>
      <w:r w:rsidR="002C1EFF" w:rsidRPr="00321A1F">
        <w:t xml:space="preserve"> also reduced wastewater UPIS and increased non-potable water UPIS by $512,792 to reflect previous</w:t>
      </w:r>
      <w:r w:rsidR="00E46AC5">
        <w:t>ly-required</w:t>
      </w:r>
      <w:r w:rsidR="002C1EFF" w:rsidRPr="00321A1F">
        <w:t>.</w:t>
      </w:r>
      <w:r w:rsidR="002C1EFF" w:rsidRPr="00321A1F">
        <w:rPr>
          <w:vertAlign w:val="superscript"/>
        </w:rPr>
        <w:footnoteReference w:id="3"/>
      </w:r>
      <w:r w:rsidR="002C1EFF" w:rsidRPr="00321A1F">
        <w:t xml:space="preserve"> Further,</w:t>
      </w:r>
      <w:r>
        <w:t xml:space="preserve"> we</w:t>
      </w:r>
      <w:r w:rsidR="002C1EFF" w:rsidRPr="00321A1F">
        <w:t xml:space="preserve"> made averaging adjustments to decrease UPIS for potable water, non-potable water, and wastewater by $2,329, $31, and $1,436, respectively. </w:t>
      </w:r>
    </w:p>
    <w:p w:rsidR="002C1EFF" w:rsidRPr="00321A1F" w:rsidRDefault="002C1EFF" w:rsidP="002C1EFF">
      <w:pPr>
        <w:autoSpaceDE w:val="0"/>
        <w:autoSpaceDN w:val="0"/>
        <w:adjustRightInd w:val="0"/>
        <w:jc w:val="both"/>
      </w:pPr>
    </w:p>
    <w:p w:rsidR="002C1EFF" w:rsidRPr="00F261F1" w:rsidRDefault="00F261F1" w:rsidP="002C1EFF">
      <w:pPr>
        <w:autoSpaceDE w:val="0"/>
        <w:autoSpaceDN w:val="0"/>
        <w:adjustRightInd w:val="0"/>
        <w:jc w:val="both"/>
        <w:rPr>
          <w:i/>
        </w:rPr>
      </w:pPr>
      <w:r w:rsidRPr="00F261F1">
        <w:rPr>
          <w:i/>
        </w:rPr>
        <w:t xml:space="preserve">B. </w:t>
      </w:r>
      <w:r w:rsidR="002C1EFF" w:rsidRPr="00F261F1">
        <w:rPr>
          <w:i/>
        </w:rPr>
        <w:t xml:space="preserve">Pro Forma Plant </w:t>
      </w:r>
    </w:p>
    <w:p w:rsidR="00F261F1" w:rsidRDefault="00F261F1" w:rsidP="002C1EFF">
      <w:pPr>
        <w:jc w:val="both"/>
      </w:pPr>
    </w:p>
    <w:p w:rsidR="002C1EFF" w:rsidRPr="00321A1F" w:rsidRDefault="003F51EA" w:rsidP="002C1EFF">
      <w:pPr>
        <w:jc w:val="both"/>
      </w:pPr>
      <w:r>
        <w:tab/>
      </w:r>
      <w:r w:rsidR="002C1EFF" w:rsidRPr="00321A1F">
        <w:t>On July 6, 2015, the Utility submitted a request to replace several critical parts of its aging plant along with acquiring new system maps of its infrastructure.</w:t>
      </w:r>
    </w:p>
    <w:p w:rsidR="002C1EFF" w:rsidRPr="00321A1F" w:rsidRDefault="002C1EFF" w:rsidP="002C1EFF">
      <w:pPr>
        <w:jc w:val="both"/>
      </w:pPr>
    </w:p>
    <w:p w:rsidR="002C1EFF" w:rsidRDefault="00F261F1" w:rsidP="002C1EFF">
      <w:pPr>
        <w:autoSpaceDE w:val="0"/>
        <w:autoSpaceDN w:val="0"/>
        <w:adjustRightInd w:val="0"/>
        <w:ind w:firstLine="720"/>
        <w:jc w:val="both"/>
        <w:rPr>
          <w:i/>
          <w:u w:val="single"/>
        </w:rPr>
      </w:pPr>
      <w:r w:rsidRPr="00F261F1">
        <w:rPr>
          <w:i/>
          <w:u w:val="single"/>
        </w:rPr>
        <w:t xml:space="preserve">i. </w:t>
      </w:r>
      <w:r w:rsidR="002C1EFF" w:rsidRPr="00F261F1">
        <w:rPr>
          <w:i/>
          <w:u w:val="single"/>
        </w:rPr>
        <w:t>Water Treatment Plant – Reverse Osmosis Skid</w:t>
      </w:r>
    </w:p>
    <w:p w:rsidR="003F51EA" w:rsidRPr="00F261F1" w:rsidRDefault="003F51EA" w:rsidP="002C1EFF">
      <w:pPr>
        <w:autoSpaceDE w:val="0"/>
        <w:autoSpaceDN w:val="0"/>
        <w:adjustRightInd w:val="0"/>
        <w:ind w:firstLine="720"/>
        <w:jc w:val="both"/>
        <w:rPr>
          <w:i/>
          <w:u w:val="single"/>
        </w:rPr>
      </w:pPr>
    </w:p>
    <w:p w:rsidR="002C1EFF" w:rsidRPr="00321A1F" w:rsidRDefault="00F261F1" w:rsidP="002C1EFF">
      <w:pPr>
        <w:jc w:val="both"/>
      </w:pPr>
      <w:r>
        <w:tab/>
      </w:r>
      <w:r w:rsidR="002C1EFF" w:rsidRPr="00321A1F">
        <w:t xml:space="preserve">Aquarina requested replacement of its reverse osmosis skid due to its age. The Utility indicated that the unit has been in operation since 1984, it is fully depreciated and replacement parts are becoming scarce. Aquarina requested quotes for service contracts on the system, but none were provided, even from the vendor that sold Aquarina the original system. </w:t>
      </w:r>
      <w:r w:rsidR="003F51EA">
        <w:t xml:space="preserve">Upon review, we find </w:t>
      </w:r>
      <w:r w:rsidR="002C1EFF" w:rsidRPr="00321A1F">
        <w:t xml:space="preserve">that it is prudent </w:t>
      </w:r>
      <w:r w:rsidR="003F51EA">
        <w:t xml:space="preserve">for the Utility </w:t>
      </w:r>
      <w:r w:rsidR="002C1EFF" w:rsidRPr="00321A1F">
        <w:t xml:space="preserve">to replace its reverse osmosis skid at this time. The Utility provided five quotes from three manufactures ranging in price from $42,637 to $68,430. Aquarina selected the second to lowest bid based on the system’s capacity to provide service to its existing and future customer base. The final quote was $52,232 and includes maintenance services. </w:t>
      </w:r>
    </w:p>
    <w:p w:rsidR="002C1EFF" w:rsidRPr="00321A1F" w:rsidRDefault="002C1EFF" w:rsidP="002C1EFF">
      <w:pPr>
        <w:jc w:val="both"/>
      </w:pPr>
    </w:p>
    <w:p w:rsidR="002C1EFF" w:rsidRPr="00F261F1" w:rsidRDefault="00F261F1" w:rsidP="002C1EFF">
      <w:pPr>
        <w:autoSpaceDE w:val="0"/>
        <w:autoSpaceDN w:val="0"/>
        <w:adjustRightInd w:val="0"/>
        <w:ind w:firstLine="720"/>
        <w:jc w:val="both"/>
        <w:rPr>
          <w:i/>
          <w:u w:val="single"/>
        </w:rPr>
      </w:pPr>
      <w:r w:rsidRPr="00F261F1">
        <w:rPr>
          <w:i/>
          <w:u w:val="single"/>
        </w:rPr>
        <w:t xml:space="preserve">ii. </w:t>
      </w:r>
      <w:r w:rsidR="002C1EFF" w:rsidRPr="00F261F1">
        <w:rPr>
          <w:i/>
          <w:u w:val="single"/>
        </w:rPr>
        <w:t>Distribution and Collection Systems – GIS Mapping</w:t>
      </w:r>
    </w:p>
    <w:p w:rsidR="00F261F1" w:rsidRDefault="00F261F1" w:rsidP="002C1EFF">
      <w:pPr>
        <w:jc w:val="both"/>
      </w:pPr>
    </w:p>
    <w:p w:rsidR="002C1EFF" w:rsidRPr="00321A1F" w:rsidRDefault="00F261F1" w:rsidP="002C1EFF">
      <w:pPr>
        <w:jc w:val="both"/>
      </w:pPr>
      <w:r>
        <w:tab/>
      </w:r>
      <w:r w:rsidR="00E46AC5">
        <w:t>When it purchased the systems, t</w:t>
      </w:r>
      <w:r w:rsidR="008106C2">
        <w:t xml:space="preserve">he Utility </w:t>
      </w:r>
      <w:r w:rsidR="002C1EFF" w:rsidRPr="00321A1F">
        <w:t>did not receive adequate records indicating the location and scope of its current distribution and collection systems. The maps and plans in the possession of the Utility do not represent the modifications and changes to the system</w:t>
      </w:r>
      <w:r w:rsidR="008106C2">
        <w:t>s</w:t>
      </w:r>
      <w:r w:rsidR="002C1EFF" w:rsidRPr="00321A1F">
        <w:t xml:space="preserve"> up to this date. Aquarina stated that plans and diagrams are needed to delineate its three systems (potable, non-potable, and sewer). The maps and plans will also allow the Utility to respond to 811 Florida One-Call. Aquarina requested two quotes to perform system mapping. Only one party provided a quote to the Utility in the amount of $76,768. </w:t>
      </w:r>
      <w:r w:rsidR="00CA526B">
        <w:t>Upon review</w:t>
      </w:r>
      <w:r w:rsidR="00B6438C">
        <w:t>, this</w:t>
      </w:r>
      <w:r w:rsidR="002C1EFF" w:rsidRPr="00321A1F">
        <w:t xml:space="preserve"> appears to be reasonable.</w:t>
      </w:r>
    </w:p>
    <w:p w:rsidR="002C1EFF" w:rsidRPr="00321A1F" w:rsidRDefault="002C1EFF" w:rsidP="002C1EFF">
      <w:pPr>
        <w:jc w:val="both"/>
      </w:pPr>
    </w:p>
    <w:p w:rsidR="002C1EFF" w:rsidRPr="00F261F1" w:rsidRDefault="00F261F1" w:rsidP="002C1EFF">
      <w:pPr>
        <w:autoSpaceDE w:val="0"/>
        <w:autoSpaceDN w:val="0"/>
        <w:adjustRightInd w:val="0"/>
        <w:ind w:firstLine="720"/>
        <w:jc w:val="both"/>
        <w:rPr>
          <w:i/>
          <w:u w:val="single"/>
        </w:rPr>
      </w:pPr>
      <w:r w:rsidRPr="00F261F1">
        <w:rPr>
          <w:i/>
          <w:u w:val="single"/>
        </w:rPr>
        <w:lastRenderedPageBreak/>
        <w:t xml:space="preserve">iii. </w:t>
      </w:r>
      <w:r w:rsidR="002C1EFF" w:rsidRPr="00F261F1">
        <w:rPr>
          <w:i/>
          <w:u w:val="single"/>
        </w:rPr>
        <w:t>Wastewater Treatment Plant – Catwalks &amp; Sand Filter Blowers</w:t>
      </w:r>
    </w:p>
    <w:p w:rsidR="00F261F1" w:rsidRDefault="00F261F1" w:rsidP="002C1EFF">
      <w:pPr>
        <w:jc w:val="both"/>
      </w:pPr>
    </w:p>
    <w:p w:rsidR="002C1EFF" w:rsidRPr="00321A1F" w:rsidRDefault="00F261F1" w:rsidP="002C1EFF">
      <w:pPr>
        <w:jc w:val="both"/>
      </w:pPr>
      <w:r>
        <w:tab/>
      </w:r>
      <w:r w:rsidR="002C1EFF" w:rsidRPr="00321A1F">
        <w:t xml:space="preserve">The catwalks inside the WWTP are rusted and need repair. </w:t>
      </w:r>
      <w:r w:rsidR="008106C2">
        <w:t xml:space="preserve">We approve a quote of </w:t>
      </w:r>
      <w:r w:rsidR="002C1EFF" w:rsidRPr="00321A1F">
        <w:t xml:space="preserve">$9,431 to replace the catwalks. In addition, the blowers for the sand filters need to be replaced due to their age. </w:t>
      </w:r>
      <w:r w:rsidR="008106C2">
        <w:t xml:space="preserve">We approve a quote of </w:t>
      </w:r>
      <w:r w:rsidR="002C1EFF" w:rsidRPr="00321A1F">
        <w:t xml:space="preserve">$5,446 </w:t>
      </w:r>
      <w:r w:rsidR="008106C2">
        <w:t xml:space="preserve">to </w:t>
      </w:r>
      <w:r w:rsidR="002C1EFF" w:rsidRPr="00321A1F">
        <w:t xml:space="preserve">replace the sand filter air compressors. </w:t>
      </w:r>
    </w:p>
    <w:p w:rsidR="002C1EFF" w:rsidRPr="00321A1F" w:rsidRDefault="002C1EFF" w:rsidP="002C1EFF">
      <w:pPr>
        <w:jc w:val="both"/>
      </w:pPr>
      <w:r w:rsidRPr="00321A1F">
        <w:t xml:space="preserve"> </w:t>
      </w:r>
    </w:p>
    <w:p w:rsidR="002C1EFF" w:rsidRPr="00F261F1" w:rsidRDefault="00F261F1" w:rsidP="002C1EFF">
      <w:pPr>
        <w:autoSpaceDE w:val="0"/>
        <w:autoSpaceDN w:val="0"/>
        <w:adjustRightInd w:val="0"/>
        <w:ind w:firstLine="720"/>
        <w:jc w:val="both"/>
        <w:rPr>
          <w:i/>
          <w:u w:val="single"/>
        </w:rPr>
      </w:pPr>
      <w:r w:rsidRPr="00F261F1">
        <w:rPr>
          <w:i/>
          <w:u w:val="single"/>
        </w:rPr>
        <w:t xml:space="preserve">iv. </w:t>
      </w:r>
      <w:r w:rsidR="002C1EFF" w:rsidRPr="00F261F1">
        <w:rPr>
          <w:i/>
          <w:u w:val="single"/>
        </w:rPr>
        <w:t>Wastewater Treatment Plant – Blowers</w:t>
      </w:r>
    </w:p>
    <w:p w:rsidR="00F261F1" w:rsidRDefault="00F261F1" w:rsidP="002C1EFF">
      <w:pPr>
        <w:jc w:val="both"/>
      </w:pPr>
    </w:p>
    <w:p w:rsidR="002C1EFF" w:rsidRPr="00321A1F" w:rsidRDefault="00F261F1" w:rsidP="002C1EFF">
      <w:pPr>
        <w:jc w:val="both"/>
      </w:pPr>
      <w:r>
        <w:tab/>
      </w:r>
      <w:r w:rsidR="002C1EFF" w:rsidRPr="00321A1F">
        <w:t xml:space="preserve">The WWTP blowers are aged and often need repair. </w:t>
      </w:r>
      <w:r w:rsidR="00032ADD">
        <w:t xml:space="preserve">We approve a quote of </w:t>
      </w:r>
      <w:r w:rsidR="002C1EFF" w:rsidRPr="00321A1F">
        <w:t xml:space="preserve">$27,912 to </w:t>
      </w:r>
      <w:r w:rsidR="00032ADD">
        <w:t>r</w:t>
      </w:r>
      <w:r w:rsidR="002C1EFF" w:rsidRPr="00321A1F">
        <w:t>eplace the blowers</w:t>
      </w:r>
      <w:r w:rsidR="00346D93">
        <w:t>.</w:t>
      </w:r>
    </w:p>
    <w:p w:rsidR="002C1EFF" w:rsidRPr="00321A1F" w:rsidRDefault="002C1EFF" w:rsidP="002C1EFF">
      <w:pPr>
        <w:jc w:val="both"/>
        <w:rPr>
          <w:b/>
        </w:rPr>
      </w:pPr>
    </w:p>
    <w:p w:rsidR="002C1EFF" w:rsidRPr="00F261F1" w:rsidRDefault="00F261F1" w:rsidP="002C1EFF">
      <w:pPr>
        <w:autoSpaceDE w:val="0"/>
        <w:autoSpaceDN w:val="0"/>
        <w:adjustRightInd w:val="0"/>
        <w:ind w:firstLine="720"/>
        <w:jc w:val="both"/>
        <w:rPr>
          <w:i/>
          <w:u w:val="single"/>
        </w:rPr>
      </w:pPr>
      <w:r w:rsidRPr="005F6B31">
        <w:rPr>
          <w:i/>
          <w:u w:val="single"/>
        </w:rPr>
        <w:t xml:space="preserve">v. </w:t>
      </w:r>
      <w:r w:rsidR="002C1EFF" w:rsidRPr="005F6B31">
        <w:rPr>
          <w:i/>
          <w:u w:val="single"/>
        </w:rPr>
        <w:t>Meter Retirements and Safety Equipment</w:t>
      </w:r>
    </w:p>
    <w:p w:rsidR="00F261F1" w:rsidRDefault="00F261F1" w:rsidP="002C1EFF">
      <w:pPr>
        <w:autoSpaceDE w:val="0"/>
        <w:autoSpaceDN w:val="0"/>
        <w:adjustRightInd w:val="0"/>
        <w:jc w:val="both"/>
      </w:pPr>
    </w:p>
    <w:p w:rsidR="002C1EFF" w:rsidRPr="00321A1F" w:rsidRDefault="00F261F1" w:rsidP="002C1EFF">
      <w:pPr>
        <w:autoSpaceDE w:val="0"/>
        <w:autoSpaceDN w:val="0"/>
        <w:adjustRightInd w:val="0"/>
        <w:jc w:val="both"/>
      </w:pPr>
      <w:r>
        <w:tab/>
      </w:r>
      <w:r w:rsidR="00032ADD">
        <w:t>S</w:t>
      </w:r>
      <w:r w:rsidR="002C1EFF" w:rsidRPr="00321A1F">
        <w:t xml:space="preserve">everal of </w:t>
      </w:r>
      <w:r w:rsidR="00032ADD">
        <w:t xml:space="preserve">the Utility’s </w:t>
      </w:r>
      <w:r w:rsidR="002C1EFF" w:rsidRPr="00321A1F">
        <w:t xml:space="preserve">residential customer meters are not working properly and need to be replaced. </w:t>
      </w:r>
      <w:r w:rsidR="00032ADD">
        <w:t xml:space="preserve">The Utility has incorporated a </w:t>
      </w:r>
      <w:r w:rsidR="002C1EFF" w:rsidRPr="00321A1F">
        <w:t>meter replacement program into its maintenance program.</w:t>
      </w:r>
      <w:r w:rsidR="00032ADD">
        <w:t xml:space="preserve"> T</w:t>
      </w:r>
      <w:r w:rsidR="002C1EFF" w:rsidRPr="00321A1F">
        <w:t>he replacement of 40 meters per year at an estimated cost of $2,800 per year</w:t>
      </w:r>
      <w:r w:rsidR="00032ADD">
        <w:t xml:space="preserve"> is anticipated</w:t>
      </w:r>
      <w:r w:rsidR="002C1EFF" w:rsidRPr="00321A1F">
        <w:t xml:space="preserve">. </w:t>
      </w:r>
      <w:r w:rsidR="00032ADD">
        <w:t xml:space="preserve">Based upon information provided by the </w:t>
      </w:r>
      <w:r w:rsidR="00685920">
        <w:t>U</w:t>
      </w:r>
      <w:r w:rsidR="00032ADD">
        <w:t xml:space="preserve">tility, we find it reasonable for the </w:t>
      </w:r>
      <w:r w:rsidR="002C1EFF" w:rsidRPr="00321A1F">
        <w:t xml:space="preserve">Utility to replace approximately of 20 potable and 20 non-potable water meters per year. In addition, the Utility included the cost of protective gear (cones, vests, helmets and boots) which </w:t>
      </w:r>
      <w:r w:rsidR="00032ADD">
        <w:t xml:space="preserve">we </w:t>
      </w:r>
      <w:r w:rsidR="002C1EFF" w:rsidRPr="00321A1F">
        <w:t>agree is necessary and appropriate</w:t>
      </w:r>
      <w:r w:rsidR="00032ADD">
        <w:t xml:space="preserve">. </w:t>
      </w:r>
      <w:r w:rsidR="002C1EFF" w:rsidRPr="00321A1F">
        <w:t xml:space="preserve"> </w:t>
      </w:r>
    </w:p>
    <w:p w:rsidR="002C1EFF" w:rsidRPr="00321A1F" w:rsidRDefault="002C1EFF" w:rsidP="002C1EFF">
      <w:pPr>
        <w:autoSpaceDE w:val="0"/>
        <w:autoSpaceDN w:val="0"/>
        <w:adjustRightInd w:val="0"/>
        <w:jc w:val="both"/>
      </w:pPr>
    </w:p>
    <w:p w:rsidR="002C1EFF" w:rsidRPr="00321A1F" w:rsidRDefault="005F6B31" w:rsidP="002C1EFF">
      <w:pPr>
        <w:autoSpaceDE w:val="0"/>
        <w:autoSpaceDN w:val="0"/>
        <w:adjustRightInd w:val="0"/>
        <w:jc w:val="both"/>
      </w:pPr>
      <w:r>
        <w:tab/>
      </w:r>
      <w:r w:rsidR="002C1EFF" w:rsidRPr="00321A1F">
        <w:t xml:space="preserve">As a result, </w:t>
      </w:r>
      <w:r>
        <w:t xml:space="preserve">we </w:t>
      </w:r>
      <w:r w:rsidR="002C1EFF" w:rsidRPr="00321A1F">
        <w:t xml:space="preserve">made net adjustments increasing UPIS for potable water, non-potable water, and wastewater $5,896, $2,774, and $2,424, respectively, for these pro forma plant additions. Therefore, </w:t>
      </w:r>
      <w:r>
        <w:t xml:space="preserve">we find that </w:t>
      </w:r>
      <w:r w:rsidR="002C1EFF" w:rsidRPr="00321A1F">
        <w:t>the appropriate UPIS balances are $1,450,227 ($1,907,336 + $49,635 - $90,305 - $36,324 - $234,124 - $149,558 - $2,329 + $5,896) for potable water, $945,345 ($22,080 + $905 + $90,305 - $67,162 + $234,124 + $149,558 + $512,792 - $31 + $2,774) for non-potable water, and $1,612,043 ($2,116,139 + $7,708 - $512,792 - $1,436 + $2,424) for wastewater.</w:t>
      </w:r>
    </w:p>
    <w:p w:rsidR="002C1EFF" w:rsidRPr="00321A1F" w:rsidRDefault="002C1EFF" w:rsidP="002C1EFF">
      <w:pPr>
        <w:autoSpaceDE w:val="0"/>
        <w:autoSpaceDN w:val="0"/>
        <w:adjustRightInd w:val="0"/>
        <w:jc w:val="both"/>
      </w:pPr>
    </w:p>
    <w:p w:rsidR="002C1EFF" w:rsidRPr="00F261F1" w:rsidRDefault="00F261F1" w:rsidP="002C1EFF">
      <w:pPr>
        <w:autoSpaceDE w:val="0"/>
        <w:autoSpaceDN w:val="0"/>
        <w:adjustRightInd w:val="0"/>
        <w:jc w:val="both"/>
        <w:rPr>
          <w:i/>
        </w:rPr>
      </w:pPr>
      <w:r w:rsidRPr="0034216E">
        <w:rPr>
          <w:i/>
        </w:rPr>
        <w:t xml:space="preserve">C. </w:t>
      </w:r>
      <w:r w:rsidR="002C1EFF" w:rsidRPr="0034216E">
        <w:rPr>
          <w:i/>
        </w:rPr>
        <w:t>Land &amp; Land Rights</w:t>
      </w:r>
    </w:p>
    <w:p w:rsidR="00F261F1" w:rsidRDefault="00F261F1" w:rsidP="002C1EFF">
      <w:pPr>
        <w:autoSpaceDE w:val="0"/>
        <w:autoSpaceDN w:val="0"/>
        <w:adjustRightInd w:val="0"/>
        <w:jc w:val="both"/>
      </w:pPr>
    </w:p>
    <w:p w:rsidR="002C1EFF" w:rsidRPr="00321A1F" w:rsidRDefault="00F261F1" w:rsidP="002C1EFF">
      <w:pPr>
        <w:autoSpaceDE w:val="0"/>
        <w:autoSpaceDN w:val="0"/>
        <w:adjustRightInd w:val="0"/>
        <w:jc w:val="both"/>
      </w:pPr>
      <w:r>
        <w:tab/>
      </w:r>
      <w:r w:rsidR="002C1EFF" w:rsidRPr="00321A1F">
        <w:t xml:space="preserve">The Utility recorded test year land values of $62,080 for potable water and $33,680 for wastewater. Based on </w:t>
      </w:r>
      <w:r w:rsidR="0034216E">
        <w:t>our</w:t>
      </w:r>
      <w:r w:rsidR="002C1EFF" w:rsidRPr="00321A1F">
        <w:t xml:space="preserve"> review, an adjustment was made to allocate a portion of land to non-potable water based on the ratio of potable to non-potable plant. Accordingly,</w:t>
      </w:r>
      <w:r w:rsidR="0034216E">
        <w:t xml:space="preserve"> we</w:t>
      </w:r>
      <w:r w:rsidR="002C1EFF" w:rsidRPr="00321A1F">
        <w:t xml:space="preserve"> reduced the balance for potable water and increased the balance for non-potable water by $24,498. Therefore, </w:t>
      </w:r>
      <w:r w:rsidR="0034216E">
        <w:t>we find that</w:t>
      </w:r>
      <w:r w:rsidR="002C1EFF" w:rsidRPr="00321A1F">
        <w:t xml:space="preserve"> the appropriate land balances are $37,582 ($62,080 – $24,498) for potable water and $24,498 for non-potable water. No adjustment was required to the Utility’s wastewater land balance of $33,680.</w:t>
      </w:r>
    </w:p>
    <w:p w:rsidR="002C1EFF" w:rsidRPr="00321A1F" w:rsidRDefault="002C1EFF" w:rsidP="002C1EFF">
      <w:pPr>
        <w:tabs>
          <w:tab w:val="left" w:pos="7095"/>
        </w:tabs>
        <w:autoSpaceDE w:val="0"/>
        <w:autoSpaceDN w:val="0"/>
        <w:adjustRightInd w:val="0"/>
        <w:jc w:val="both"/>
      </w:pPr>
      <w:r w:rsidRPr="00321A1F">
        <w:tab/>
      </w:r>
    </w:p>
    <w:p w:rsidR="002C1EFF" w:rsidRPr="00F261F1" w:rsidRDefault="00F261F1" w:rsidP="002C1EFF">
      <w:pPr>
        <w:autoSpaceDE w:val="0"/>
        <w:autoSpaceDN w:val="0"/>
        <w:adjustRightInd w:val="0"/>
        <w:jc w:val="both"/>
        <w:rPr>
          <w:i/>
        </w:rPr>
      </w:pPr>
      <w:r w:rsidRPr="00106479">
        <w:rPr>
          <w:i/>
        </w:rPr>
        <w:t xml:space="preserve">D. </w:t>
      </w:r>
      <w:r w:rsidR="002C1EFF" w:rsidRPr="00106479">
        <w:rPr>
          <w:i/>
        </w:rPr>
        <w:t>Non-Used and Useful (U&amp;U) Plant</w:t>
      </w:r>
    </w:p>
    <w:p w:rsidR="00F261F1" w:rsidRDefault="00F261F1" w:rsidP="002C1EFF">
      <w:pPr>
        <w:autoSpaceDE w:val="0"/>
        <w:autoSpaceDN w:val="0"/>
        <w:adjustRightInd w:val="0"/>
        <w:jc w:val="both"/>
      </w:pPr>
    </w:p>
    <w:p w:rsidR="002C1EFF" w:rsidRPr="00321A1F" w:rsidRDefault="00F261F1" w:rsidP="00106479">
      <w:pPr>
        <w:jc w:val="both"/>
      </w:pPr>
      <w:r>
        <w:tab/>
      </w:r>
      <w:r w:rsidR="002C1EFF" w:rsidRPr="00321A1F">
        <w:t>As discussed</w:t>
      </w:r>
      <w:r w:rsidR="00685920">
        <w:t xml:space="preserve"> </w:t>
      </w:r>
      <w:r w:rsidR="00106479">
        <w:t>above under the heading “</w:t>
      </w:r>
      <w:r w:rsidR="00106479" w:rsidRPr="001E3BE2">
        <w:rPr>
          <w:u w:val="single"/>
        </w:rPr>
        <w:t>2. Used and Useful</w:t>
      </w:r>
      <w:r w:rsidR="00106479">
        <w:rPr>
          <w:u w:val="single"/>
        </w:rPr>
        <w:t>,</w:t>
      </w:r>
      <w:r w:rsidR="00B6438C">
        <w:t xml:space="preserve">” </w:t>
      </w:r>
      <w:r w:rsidR="00B6438C" w:rsidRPr="00321A1F">
        <w:t>the</w:t>
      </w:r>
      <w:r w:rsidR="002C1EFF" w:rsidRPr="00321A1F">
        <w:t xml:space="preserve"> water treatment plant </w:t>
      </w:r>
      <w:r w:rsidR="00106479">
        <w:t xml:space="preserve">is </w:t>
      </w:r>
      <w:r w:rsidR="002C1EFF" w:rsidRPr="00321A1F">
        <w:t xml:space="preserve">81.0 percent U&amp;U. The water treatment storage is 46.7 percent U&amp;U and the water distribution system is 62.6 percent U&amp;U. The non-potable storage tank </w:t>
      </w:r>
      <w:r w:rsidR="00106479">
        <w:t xml:space="preserve">is </w:t>
      </w:r>
      <w:r w:rsidR="002C1EFF" w:rsidRPr="00321A1F">
        <w:t xml:space="preserve">61.0 percent U&amp;U. The wastewater treatment plant </w:t>
      </w:r>
      <w:r w:rsidR="00106479">
        <w:t xml:space="preserve">is </w:t>
      </w:r>
      <w:r w:rsidR="002C1EFF" w:rsidRPr="00321A1F">
        <w:t xml:space="preserve">55.9 percent U&amp;U and the wastewater collection system </w:t>
      </w:r>
      <w:r w:rsidR="00106479">
        <w:t>is</w:t>
      </w:r>
      <w:r w:rsidR="002C1EFF" w:rsidRPr="00321A1F">
        <w:t xml:space="preserve"> 65.4 percent U&amp;U. </w:t>
      </w:r>
      <w:r w:rsidR="002C1EFF" w:rsidRPr="00321A1F">
        <w:lastRenderedPageBreak/>
        <w:t xml:space="preserve">Based on these U&amp;U percentages, </w:t>
      </w:r>
      <w:r w:rsidR="00106479">
        <w:t xml:space="preserve">we have </w:t>
      </w:r>
      <w:r w:rsidR="002C1EFF" w:rsidRPr="00321A1F">
        <w:t xml:space="preserve">reduced potable water plant by $490,147 and reduced potable water accumulated depreciation by $416,953. </w:t>
      </w:r>
      <w:r w:rsidR="00106479">
        <w:t xml:space="preserve">We </w:t>
      </w:r>
      <w:r w:rsidR="002C1EFF" w:rsidRPr="00321A1F">
        <w:t xml:space="preserve">also reduced non-potable water plant and accumulated depreciation by $199,989. Additionally, </w:t>
      </w:r>
      <w:r w:rsidR="00106479">
        <w:t>we</w:t>
      </w:r>
      <w:r w:rsidR="002C1EFF" w:rsidRPr="00321A1F">
        <w:t xml:space="preserve"> reduced wastewater plant by $480,926 and reduced accumulated depreciation by $418,603. </w:t>
      </w:r>
      <w:r w:rsidR="00106479">
        <w:t xml:space="preserve">Thus, </w:t>
      </w:r>
      <w:r w:rsidR="002C1EFF" w:rsidRPr="00321A1F">
        <w:t>the non-U&amp;U component is $73,194 ($490,147 - $416,953) for potable water, $0 ($199,989 - $199,989) for non-potable water, and $62,323 ($480,926 - $418,603) for wastewater</w:t>
      </w:r>
      <w:r w:rsidR="00106479">
        <w:t xml:space="preserve">. </w:t>
      </w:r>
      <w:r w:rsidR="002C1EFF" w:rsidRPr="00321A1F">
        <w:t xml:space="preserve"> </w:t>
      </w:r>
    </w:p>
    <w:p w:rsidR="002C1EFF" w:rsidRPr="00321A1F" w:rsidRDefault="002C1EFF" w:rsidP="002C1EFF">
      <w:pPr>
        <w:autoSpaceDE w:val="0"/>
        <w:autoSpaceDN w:val="0"/>
        <w:adjustRightInd w:val="0"/>
        <w:jc w:val="both"/>
      </w:pPr>
    </w:p>
    <w:p w:rsidR="002C1EFF" w:rsidRPr="00F261F1" w:rsidRDefault="00F261F1" w:rsidP="002C1EFF">
      <w:pPr>
        <w:autoSpaceDE w:val="0"/>
        <w:autoSpaceDN w:val="0"/>
        <w:adjustRightInd w:val="0"/>
        <w:jc w:val="both"/>
        <w:rPr>
          <w:i/>
        </w:rPr>
      </w:pPr>
      <w:r>
        <w:rPr>
          <w:i/>
        </w:rPr>
        <w:t xml:space="preserve">E. </w:t>
      </w:r>
      <w:r w:rsidR="002C1EFF" w:rsidRPr="00F261F1">
        <w:rPr>
          <w:i/>
        </w:rPr>
        <w:t xml:space="preserve">Accumulated Depreciation </w:t>
      </w:r>
    </w:p>
    <w:p w:rsidR="00F261F1" w:rsidRDefault="00F261F1" w:rsidP="002C1EFF">
      <w:pPr>
        <w:jc w:val="both"/>
      </w:pPr>
    </w:p>
    <w:p w:rsidR="002C1EFF" w:rsidRPr="00321A1F" w:rsidRDefault="00F261F1" w:rsidP="002C1EFF">
      <w:pPr>
        <w:jc w:val="both"/>
      </w:pPr>
      <w:r>
        <w:tab/>
      </w:r>
      <w:r w:rsidR="002C1EFF" w:rsidRPr="00321A1F">
        <w:t xml:space="preserve">The Utility recorded a test year Accumulated Depreciation balance of $1,522,797 for potable water and $1,866,188 for wastewater. No Accumulated Depreciation was recorded for non-potable water. </w:t>
      </w:r>
      <w:r w:rsidR="00106479">
        <w:t>We</w:t>
      </w:r>
      <w:r w:rsidR="002C1EFF" w:rsidRPr="00321A1F">
        <w:t xml:space="preserve"> recalculated Accumulated Depreciation using the prescribed rates set forth in Rule 25-30.140, F.A.C., and increased these accounts by $10,652 for potable water and $18,566 for wastewater. </w:t>
      </w:r>
      <w:r w:rsidR="00106479">
        <w:t xml:space="preserve">We </w:t>
      </w:r>
      <w:r w:rsidR="002C1EFF" w:rsidRPr="00321A1F">
        <w:t xml:space="preserve">made an adjustment to allocate the appropriate amount of Accumulated Depreciation to the non-potable water system. This adjustment resulted in a decrease to the balance for potable water and an increase to the balance for non-potable water of $10,365. </w:t>
      </w:r>
    </w:p>
    <w:p w:rsidR="002C1EFF" w:rsidRPr="00321A1F" w:rsidRDefault="002C1EFF" w:rsidP="002C1EFF">
      <w:pPr>
        <w:jc w:val="both"/>
      </w:pPr>
    </w:p>
    <w:p w:rsidR="002C1EFF" w:rsidRPr="00321A1F" w:rsidRDefault="00106479" w:rsidP="002C1EFF">
      <w:pPr>
        <w:jc w:val="both"/>
      </w:pPr>
      <w:r>
        <w:tab/>
        <w:t xml:space="preserve">We also </w:t>
      </w:r>
      <w:r w:rsidR="002C1EFF" w:rsidRPr="00321A1F">
        <w:t xml:space="preserve">made adjustments to Accumulated Depreciation to match the amount of the audited balances of Accumulated Amortization of CIAC. </w:t>
      </w:r>
      <w:r w:rsidR="00685920">
        <w:t>T</w:t>
      </w:r>
      <w:r w:rsidR="002C1EFF" w:rsidRPr="00321A1F">
        <w:t>herefore</w:t>
      </w:r>
      <w:r w:rsidR="00685920">
        <w:t>, we</w:t>
      </w:r>
      <w:r w:rsidR="002C1EFF" w:rsidRPr="00321A1F">
        <w:t xml:space="preserve"> decreased Accumulated Depreciation for potable water and increased this account for non-potable water by $99,758. </w:t>
      </w:r>
      <w:r>
        <w:t>We</w:t>
      </w:r>
      <w:r w:rsidR="002C1EFF" w:rsidRPr="00321A1F">
        <w:t xml:space="preserve"> reduced Accumulated Depreciation for potable and non-potable water by $52,420 and $86,236, respectively, to reflect the retirements associated with the fully amortized CIAC accounts.</w:t>
      </w:r>
    </w:p>
    <w:p w:rsidR="002C1EFF" w:rsidRPr="00321A1F" w:rsidRDefault="002C1EFF" w:rsidP="002C1EFF">
      <w:pPr>
        <w:jc w:val="both"/>
      </w:pPr>
    </w:p>
    <w:p w:rsidR="002C1EFF" w:rsidRPr="00321A1F" w:rsidRDefault="00106479" w:rsidP="002C1EFF">
      <w:pPr>
        <w:jc w:val="both"/>
      </w:pPr>
      <w:r>
        <w:tab/>
        <w:t>We</w:t>
      </w:r>
      <w:r w:rsidR="002C1EFF" w:rsidRPr="00321A1F">
        <w:t xml:space="preserve"> further decreased Accumulated Depreciation for potable water</w:t>
      </w:r>
      <w:r w:rsidR="00685920">
        <w:t>,</w:t>
      </w:r>
      <w:r w:rsidR="002C1EFF" w:rsidRPr="00321A1F">
        <w:t xml:space="preserve"> increased this account for non-potable water by $202,514, and decreased wastewater and increased non-potable water by $512,792 to reflect the ordered adjustments discussed </w:t>
      </w:r>
      <w:r w:rsidR="00685920">
        <w:t>in</w:t>
      </w:r>
      <w:r>
        <w:t xml:space="preserve"> this Section 3, under the heading </w:t>
      </w:r>
      <w:r w:rsidRPr="00106479">
        <w:t>“</w:t>
      </w:r>
      <w:r w:rsidRPr="00106479">
        <w:rPr>
          <w:i/>
        </w:rPr>
        <w:t>A. Utility Plant in Service</w:t>
      </w:r>
      <w:r>
        <w:rPr>
          <w:i/>
        </w:rPr>
        <w:t>.</w:t>
      </w:r>
      <w:r w:rsidRPr="00106479">
        <w:rPr>
          <w:i/>
        </w:rPr>
        <w:t>”</w:t>
      </w:r>
      <w:r>
        <w:rPr>
          <w:i/>
        </w:rPr>
        <w:t xml:space="preserve"> </w:t>
      </w:r>
      <w:r w:rsidR="002C1EFF" w:rsidRPr="00321A1F">
        <w:t xml:space="preserve"> </w:t>
      </w:r>
      <w:r>
        <w:t>We</w:t>
      </w:r>
      <w:r w:rsidR="002C1EFF" w:rsidRPr="00321A1F">
        <w:t xml:space="preserve"> decreased Accumulated Depreciation for potable water and increased this account for non-potable water by $67,369 to reflect the imputation of T&amp;D Mains for the non-potable water system. </w:t>
      </w:r>
    </w:p>
    <w:p w:rsidR="002C1EFF" w:rsidRPr="00321A1F" w:rsidRDefault="002C1EFF" w:rsidP="002C1EFF">
      <w:pPr>
        <w:jc w:val="both"/>
      </w:pPr>
    </w:p>
    <w:p w:rsidR="002C1EFF" w:rsidRPr="00321A1F" w:rsidRDefault="00106479" w:rsidP="002C1EFF">
      <w:pPr>
        <w:jc w:val="both"/>
      </w:pPr>
      <w:r>
        <w:tab/>
        <w:t>We</w:t>
      </w:r>
      <w:r w:rsidR="002C1EFF" w:rsidRPr="00321A1F">
        <w:t xml:space="preserve"> made averaging adjustments that resulted in decreases of $20,232 for potable water, $265 for non-potable water, and $14,814 for wastewater. Further, </w:t>
      </w:r>
      <w:r>
        <w:t>we</w:t>
      </w:r>
      <w:r w:rsidR="002C1EFF" w:rsidRPr="00321A1F">
        <w:t xml:space="preserve"> made adjustments based on pro forma plant additions and retirements resulting in a decrease of $9,898 for potable water and $923 for non-potable water, and an increase of $45 for wastewater. </w:t>
      </w:r>
      <w:r>
        <w:t>Our</w:t>
      </w:r>
      <w:r w:rsidR="002C1EFF" w:rsidRPr="00321A1F">
        <w:rPr>
          <w:color w:val="000000"/>
        </w:rPr>
        <w:t xml:space="preserve"> adjustments result in A</w:t>
      </w:r>
      <w:r w:rsidR="002C1EFF" w:rsidRPr="00321A1F">
        <w:t>ccumulated Depreciation balances of $1,070,894 ($1,522,797 + $10,652 - $10,365 - $99,758 - $52,420 - $202,514 - $67,369 - $20,232 - $9,898) for potable water, $805,374 ($10,365 + $99,758 - $86,236 + $202,514 + $512,792 + $67,369 - $265 - $923) for non-potable water, and $1,357,193 ($1,866,188 + $18,566 - $512,792 - $14,814 + $45) for wastewater.</w:t>
      </w:r>
    </w:p>
    <w:p w:rsidR="002C1EFF" w:rsidRPr="00F261F1" w:rsidRDefault="00F261F1" w:rsidP="002C1EFF">
      <w:pPr>
        <w:autoSpaceDE w:val="0"/>
        <w:autoSpaceDN w:val="0"/>
        <w:adjustRightInd w:val="0"/>
        <w:jc w:val="both"/>
        <w:rPr>
          <w:i/>
        </w:rPr>
      </w:pPr>
      <w:r w:rsidRPr="00F261F1">
        <w:rPr>
          <w:i/>
        </w:rPr>
        <w:t xml:space="preserve">F. </w:t>
      </w:r>
      <w:r w:rsidR="002C1EFF" w:rsidRPr="00F261F1">
        <w:rPr>
          <w:i/>
        </w:rPr>
        <w:t>Contributions In Aid of Construction (CIAC)</w:t>
      </w:r>
    </w:p>
    <w:p w:rsidR="00F261F1" w:rsidRDefault="00F261F1" w:rsidP="002C1EFF">
      <w:pPr>
        <w:jc w:val="both"/>
      </w:pPr>
    </w:p>
    <w:p w:rsidR="002C1EFF" w:rsidRPr="00321A1F" w:rsidRDefault="00F261F1" w:rsidP="002C1EFF">
      <w:pPr>
        <w:jc w:val="both"/>
      </w:pPr>
      <w:r>
        <w:tab/>
      </w:r>
      <w:r w:rsidR="002C1EFF" w:rsidRPr="00321A1F">
        <w:t xml:space="preserve">The Utility recorded CIAC balances of $483,149 for potable water and $603,375 for wastewater. No CIAC was recorded for non-potable water. Based on </w:t>
      </w:r>
      <w:r w:rsidR="00106479">
        <w:t>our staff’s audit,</w:t>
      </w:r>
      <w:r w:rsidR="002C1EFF" w:rsidRPr="00321A1F">
        <w:t xml:space="preserve"> potable water CIAC was decreased by $95,372 and non-potable water was increased by $107,222 to reflect the appropriate CIAC balances. </w:t>
      </w:r>
      <w:r w:rsidR="00106479">
        <w:t>We</w:t>
      </w:r>
      <w:r w:rsidR="002C1EFF" w:rsidRPr="00321A1F">
        <w:t xml:space="preserve"> reduced CIAC for potable and non-potable water by </w:t>
      </w:r>
      <w:r w:rsidR="002C1EFF" w:rsidRPr="00321A1F">
        <w:lastRenderedPageBreak/>
        <w:t xml:space="preserve">$36,324 and $67,162, respectively, to reflect retirements </w:t>
      </w:r>
      <w:r w:rsidR="00FB12B4">
        <w:t>we</w:t>
      </w:r>
      <w:r w:rsidR="002C1EFF" w:rsidRPr="00321A1F">
        <w:t xml:space="preserve"> made to CIAC accounts that were over-amortized. Averaging adjustments were made to decrease the balances for potable water by $13,585, non-potable water by $4,275, and wastewater by $6,032. Therefore, </w:t>
      </w:r>
      <w:r w:rsidR="0013152D">
        <w:t xml:space="preserve">we find that </w:t>
      </w:r>
      <w:r w:rsidR="002C1EFF" w:rsidRPr="00321A1F">
        <w:t>the appropriate CIAC balances are $337,868 ($483,149 - $95,372 - $36,324 - $13,585) for potable water, $35,785 ($107,222 - $67,162 - $4,275) for non-potable water, and $597,343 ($603,375 - $6,032) for wastewater.</w:t>
      </w:r>
    </w:p>
    <w:p w:rsidR="002C1EFF" w:rsidRPr="00321A1F" w:rsidRDefault="002C1EFF" w:rsidP="002C1EFF">
      <w:pPr>
        <w:jc w:val="both"/>
      </w:pPr>
    </w:p>
    <w:p w:rsidR="002C1EFF" w:rsidRPr="00F261F1" w:rsidRDefault="00F261F1" w:rsidP="002C1EFF">
      <w:pPr>
        <w:autoSpaceDE w:val="0"/>
        <w:autoSpaceDN w:val="0"/>
        <w:adjustRightInd w:val="0"/>
        <w:jc w:val="both"/>
        <w:rPr>
          <w:i/>
        </w:rPr>
      </w:pPr>
      <w:r w:rsidRPr="00F261F1">
        <w:rPr>
          <w:i/>
        </w:rPr>
        <w:t xml:space="preserve">G. </w:t>
      </w:r>
      <w:r w:rsidR="002C1EFF" w:rsidRPr="00F261F1">
        <w:rPr>
          <w:i/>
        </w:rPr>
        <w:t>Accumulated Amortization of CIAC</w:t>
      </w:r>
    </w:p>
    <w:p w:rsidR="00F261F1" w:rsidRDefault="00F261F1" w:rsidP="002C1EFF">
      <w:pPr>
        <w:jc w:val="both"/>
      </w:pPr>
    </w:p>
    <w:p w:rsidR="002C1EFF" w:rsidRPr="00321A1F" w:rsidRDefault="00F261F1" w:rsidP="002C1EFF">
      <w:pPr>
        <w:jc w:val="both"/>
      </w:pPr>
      <w:r>
        <w:tab/>
      </w:r>
      <w:r w:rsidR="002C1EFF" w:rsidRPr="00321A1F">
        <w:t xml:space="preserve">The Utility recorded accumulated amortization of CIAC of $276,662 for potable water and $299,305 for wastewater. No accumulated amortization of CIAC was recorded for non-potable water. </w:t>
      </w:r>
      <w:r w:rsidR="0013152D">
        <w:t>We recalculated a</w:t>
      </w:r>
      <w:r w:rsidR="002C1EFF" w:rsidRPr="00321A1F">
        <w:t xml:space="preserve">ccumulated amortization of </w:t>
      </w:r>
      <w:r w:rsidR="00B6438C" w:rsidRPr="00321A1F">
        <w:t>CIAC using</w:t>
      </w:r>
      <w:r w:rsidR="002C1EFF" w:rsidRPr="00321A1F">
        <w:t xml:space="preserve"> composite depreciation rates. As a result, </w:t>
      </w:r>
      <w:r w:rsidR="0013152D">
        <w:t>we</w:t>
      </w:r>
      <w:r w:rsidR="002C1EFF" w:rsidRPr="00321A1F">
        <w:t xml:space="preserve"> decreased the balance by $70,242 for potable water, increased the balance by $107,911 for non-potable water, and increased the balance for wastewater by $58,562. </w:t>
      </w:r>
      <w:r w:rsidR="0013152D">
        <w:t>We</w:t>
      </w:r>
      <w:r w:rsidR="002C1EFF" w:rsidRPr="00321A1F">
        <w:t xml:space="preserve"> </w:t>
      </w:r>
      <w:r w:rsidR="002C1EFF" w:rsidRPr="003148A6">
        <w:t>reduced this</w:t>
      </w:r>
      <w:r w:rsidR="002C1EFF" w:rsidRPr="00321A1F">
        <w:t xml:space="preserve"> account for potable and non-potable by $52,420 and $86,236, respectively, associated with the CIAC retirements discussed above. </w:t>
      </w:r>
      <w:r w:rsidR="003148A6">
        <w:t>We</w:t>
      </w:r>
      <w:r w:rsidR="002C1EFF" w:rsidRPr="00321A1F">
        <w:t xml:space="preserve"> also decreased the balances by $4,657 for potable water, $1,564 for non-potable water, and $7,758 for wastewater to reflect the appropriate averaging adjustments. </w:t>
      </w:r>
      <w:r w:rsidR="003148A6">
        <w:t>Our approved</w:t>
      </w:r>
      <w:r w:rsidR="002C1EFF" w:rsidRPr="00321A1F">
        <w:t xml:space="preserve"> accumulated amortization of CIAC balances are $149,343 ($276,662 - $70,242 - $52,420 - $4,657) for potable water, $20,111 ($107,911 - $86,236 - $1,564) for non-potable water, and $350,109 ($299,305 + $58,562 - $7,758) for wastewater.</w:t>
      </w:r>
    </w:p>
    <w:p w:rsidR="002C1EFF" w:rsidRPr="00321A1F" w:rsidRDefault="002C1EFF" w:rsidP="002C1EFF">
      <w:pPr>
        <w:jc w:val="both"/>
      </w:pPr>
    </w:p>
    <w:p w:rsidR="002C1EFF" w:rsidRPr="00F261F1" w:rsidRDefault="00F261F1" w:rsidP="002C1EFF">
      <w:pPr>
        <w:autoSpaceDE w:val="0"/>
        <w:autoSpaceDN w:val="0"/>
        <w:adjustRightInd w:val="0"/>
        <w:jc w:val="both"/>
        <w:rPr>
          <w:i/>
        </w:rPr>
      </w:pPr>
      <w:r>
        <w:rPr>
          <w:i/>
        </w:rPr>
        <w:t xml:space="preserve">H. </w:t>
      </w:r>
      <w:r w:rsidR="002C1EFF" w:rsidRPr="00F261F1">
        <w:rPr>
          <w:i/>
        </w:rPr>
        <w:t>Working Capital Allowance</w:t>
      </w:r>
    </w:p>
    <w:p w:rsidR="00F261F1" w:rsidRDefault="00F261F1" w:rsidP="002C1EFF">
      <w:pPr>
        <w:autoSpaceDE w:val="0"/>
        <w:autoSpaceDN w:val="0"/>
        <w:adjustRightInd w:val="0"/>
        <w:jc w:val="both"/>
      </w:pPr>
    </w:p>
    <w:p w:rsidR="002C1EFF" w:rsidRPr="00321A1F" w:rsidRDefault="00F261F1" w:rsidP="002C1EFF">
      <w:pPr>
        <w:autoSpaceDE w:val="0"/>
        <w:autoSpaceDN w:val="0"/>
        <w:adjustRightInd w:val="0"/>
        <w:jc w:val="both"/>
      </w:pPr>
      <w:r>
        <w:tab/>
      </w:r>
      <w:r w:rsidR="002C1EFF" w:rsidRPr="00321A1F">
        <w:t xml:space="preserve">Working capital is defined as the short-term investor-supplied funds that are necessary to meet operating expenses. Consistent with Rule 25-30.433(2), F.A.C., </w:t>
      </w:r>
      <w:r w:rsidR="003148A6">
        <w:t>we</w:t>
      </w:r>
      <w:r w:rsidR="002C1EFF" w:rsidRPr="00321A1F">
        <w:t xml:space="preserve"> used the one-eighth of the operation and maintenance (O&amp;M) expense formula approach for calculating the working capital allowance. Applying this formula, </w:t>
      </w:r>
      <w:r w:rsidR="003148A6">
        <w:t xml:space="preserve">we approve </w:t>
      </w:r>
      <w:r w:rsidR="002C1EFF" w:rsidRPr="00321A1F">
        <w:t xml:space="preserve">a working capital allowance of $14,957 for potable water, $23,792 for non-potable water and $18,936 for wastewater. </w:t>
      </w:r>
    </w:p>
    <w:p w:rsidR="002C1EFF" w:rsidRPr="00321A1F" w:rsidRDefault="002C1EFF" w:rsidP="002C1EFF">
      <w:pPr>
        <w:autoSpaceDE w:val="0"/>
        <w:autoSpaceDN w:val="0"/>
        <w:adjustRightInd w:val="0"/>
        <w:jc w:val="both"/>
      </w:pPr>
    </w:p>
    <w:p w:rsidR="002C1EFF" w:rsidRPr="00F261F1" w:rsidRDefault="00F261F1" w:rsidP="002C1EFF">
      <w:pPr>
        <w:autoSpaceDE w:val="0"/>
        <w:autoSpaceDN w:val="0"/>
        <w:adjustRightInd w:val="0"/>
        <w:jc w:val="both"/>
        <w:rPr>
          <w:i/>
        </w:rPr>
      </w:pPr>
      <w:r w:rsidRPr="00F261F1">
        <w:rPr>
          <w:i/>
        </w:rPr>
        <w:t xml:space="preserve">I. </w:t>
      </w:r>
      <w:r w:rsidR="002C1EFF" w:rsidRPr="00F261F1">
        <w:rPr>
          <w:i/>
        </w:rPr>
        <w:t>Rate Base Summary</w:t>
      </w:r>
    </w:p>
    <w:p w:rsidR="00F261F1" w:rsidRDefault="00F261F1" w:rsidP="002C1EFF">
      <w:pPr>
        <w:jc w:val="both"/>
      </w:pPr>
    </w:p>
    <w:p w:rsidR="002C1EFF" w:rsidRPr="00321A1F" w:rsidRDefault="00F261F1" w:rsidP="002C1EFF">
      <w:pPr>
        <w:jc w:val="both"/>
      </w:pPr>
      <w:r>
        <w:tab/>
      </w:r>
      <w:r w:rsidR="002C1EFF" w:rsidRPr="00321A1F">
        <w:t xml:space="preserve">Based on the foregoing, </w:t>
      </w:r>
      <w:r w:rsidR="003148A6">
        <w:t xml:space="preserve">we find that the </w:t>
      </w:r>
      <w:r w:rsidR="002C1EFF" w:rsidRPr="00321A1F">
        <w:t>appropriate average test year rate base is $170,153 for potable water, $172,587 for non-potable water,</w:t>
      </w:r>
      <w:r w:rsidR="002C1EFF" w:rsidRPr="00321A1F">
        <w:rPr>
          <w:color w:val="FF0000"/>
        </w:rPr>
        <w:t xml:space="preserve"> </w:t>
      </w:r>
      <w:r w:rsidR="002C1EFF" w:rsidRPr="00321A1F">
        <w:t xml:space="preserve">and ($2,091) for wastewater. </w:t>
      </w:r>
      <w:r w:rsidR="00F318F2">
        <w:t>The approved p</w:t>
      </w:r>
      <w:r w:rsidR="002C1EFF" w:rsidRPr="00321A1F">
        <w:t>otable water, non-potable water, and wastewater rate bases are shown on Schedule Nos. 1-A, 1-B, and 1-C</w:t>
      </w:r>
      <w:r w:rsidR="003148A6">
        <w:t xml:space="preserve"> of this order.</w:t>
      </w:r>
      <w:r w:rsidR="002C1EFF" w:rsidRPr="00321A1F">
        <w:t xml:space="preserve"> The related adjustments are shown on Schedule No. 1-D</w:t>
      </w:r>
      <w:r w:rsidR="00F318F2">
        <w:t xml:space="preserve"> of this </w:t>
      </w:r>
      <w:r w:rsidR="00FB12B4">
        <w:t>o</w:t>
      </w:r>
      <w:r w:rsidR="00F318F2">
        <w:t>rder</w:t>
      </w:r>
      <w:r w:rsidR="002C1EFF" w:rsidRPr="00321A1F">
        <w:t>.</w:t>
      </w:r>
    </w:p>
    <w:p w:rsidR="00A83C7B" w:rsidRDefault="00A83C7B" w:rsidP="002C1EFF">
      <w:pPr>
        <w:spacing w:after="240"/>
        <w:jc w:val="both"/>
        <w:rPr>
          <w:u w:val="single"/>
        </w:rPr>
      </w:pPr>
    </w:p>
    <w:p w:rsidR="002C1EFF" w:rsidRPr="003148A6" w:rsidRDefault="003148A6" w:rsidP="002C1EFF">
      <w:pPr>
        <w:spacing w:after="240"/>
        <w:jc w:val="both"/>
        <w:rPr>
          <w:u w:val="single"/>
        </w:rPr>
      </w:pPr>
      <w:r w:rsidRPr="00F318F2">
        <w:rPr>
          <w:u w:val="single"/>
        </w:rPr>
        <w:t>4. Return on Equity and O</w:t>
      </w:r>
      <w:r w:rsidR="002C1EFF" w:rsidRPr="00F318F2">
        <w:rPr>
          <w:u w:val="single"/>
        </w:rPr>
        <w:t xml:space="preserve">verall </w:t>
      </w:r>
      <w:r w:rsidRPr="00F318F2">
        <w:rPr>
          <w:u w:val="single"/>
        </w:rPr>
        <w:t>R</w:t>
      </w:r>
      <w:r w:rsidR="002C1EFF" w:rsidRPr="00F318F2">
        <w:rPr>
          <w:u w:val="single"/>
        </w:rPr>
        <w:t xml:space="preserve">ate of </w:t>
      </w:r>
      <w:r w:rsidRPr="00F318F2">
        <w:rPr>
          <w:u w:val="single"/>
        </w:rPr>
        <w:t>R</w:t>
      </w:r>
      <w:r w:rsidR="002C1EFF" w:rsidRPr="00F318F2">
        <w:rPr>
          <w:u w:val="single"/>
        </w:rPr>
        <w:t>eturn</w:t>
      </w:r>
    </w:p>
    <w:p w:rsidR="002C1EFF" w:rsidRPr="00321A1F" w:rsidRDefault="00F318F2" w:rsidP="002C1EFF">
      <w:pPr>
        <w:spacing w:after="240"/>
        <w:jc w:val="both"/>
      </w:pPr>
      <w:r>
        <w:tab/>
      </w:r>
      <w:r w:rsidR="002C1EFF" w:rsidRPr="00321A1F">
        <w:t xml:space="preserve">Aquarina’s test year capital structure reflected negative common equity of $505,064 and a long-term debt balance of $863,346. </w:t>
      </w:r>
      <w:r>
        <w:t>We</w:t>
      </w:r>
      <w:r w:rsidR="002C1EFF" w:rsidRPr="00321A1F">
        <w:t xml:space="preserve"> increased long-term debt by $8,921 to correct the outstanding principal balance for a State Revolving Fund Loan on the Utility’s general ledger. </w:t>
      </w:r>
      <w:r>
        <w:t>We</w:t>
      </w:r>
      <w:r w:rsidR="002C1EFF" w:rsidRPr="00321A1F">
        <w:t xml:space="preserve"> reduced long-term debt by $425,516 and included it in common equity. This amount is </w:t>
      </w:r>
      <w:r w:rsidR="002C1EFF" w:rsidRPr="00321A1F">
        <w:lastRenderedPageBreak/>
        <w:t xml:space="preserve">included in the Utility’s Annual Reports as “Advances from Associated Companies” and represents deferred payments to or cash infusions by the Utility owners and related parties. In accordance </w:t>
      </w:r>
      <w:r>
        <w:t xml:space="preserve">our </w:t>
      </w:r>
      <w:r w:rsidR="002C1EFF" w:rsidRPr="00321A1F">
        <w:t xml:space="preserve">practice, </w:t>
      </w:r>
      <w:r>
        <w:t>we</w:t>
      </w:r>
      <w:r w:rsidR="002C1EFF" w:rsidRPr="00321A1F">
        <w:t xml:space="preserve"> reduced the negative common equity to set it to zero. The Utility recorded customer deposits of $193. </w:t>
      </w:r>
      <w:r>
        <w:t>We</w:t>
      </w:r>
      <w:r w:rsidR="002C1EFF" w:rsidRPr="00321A1F">
        <w:t xml:space="preserve"> reduced customer deposits by $32 to reflect an averaging adjustment. Therefore, </w:t>
      </w:r>
      <w:r>
        <w:t xml:space="preserve">we approve </w:t>
      </w:r>
      <w:r w:rsidR="002C1EFF" w:rsidRPr="00321A1F">
        <w:t xml:space="preserve">a customer deposit balance of $161 ($193 - $32) and a long-term debt balance of $446,751 ($863,346 + $8,921 - $425,516). Finally, the Utility’s capital structure was reconciled with </w:t>
      </w:r>
      <w:r>
        <w:t xml:space="preserve">the approved </w:t>
      </w:r>
      <w:r w:rsidR="002C1EFF" w:rsidRPr="00321A1F">
        <w:t xml:space="preserve">rate base. </w:t>
      </w:r>
    </w:p>
    <w:p w:rsidR="002C1EFF" w:rsidRPr="00321A1F" w:rsidRDefault="00FB12B4" w:rsidP="002C1EFF">
      <w:pPr>
        <w:spacing w:after="240"/>
        <w:jc w:val="both"/>
        <w:outlineLvl w:val="1"/>
      </w:pPr>
      <w:r>
        <w:tab/>
      </w:r>
      <w:r w:rsidR="002C1EFF" w:rsidRPr="00321A1F">
        <w:t>The appropriate ROE for the Utility is 11.16 percent based upon</w:t>
      </w:r>
      <w:r w:rsidR="00F318F2">
        <w:t xml:space="preserve"> our </w:t>
      </w:r>
      <w:r w:rsidR="002C1EFF" w:rsidRPr="00321A1F">
        <w:t xml:space="preserve">approved leverage formula currently in effect. </w:t>
      </w:r>
      <w:r w:rsidR="00F318F2">
        <w:t xml:space="preserve">We approve </w:t>
      </w:r>
      <w:r w:rsidR="002C1EFF" w:rsidRPr="00321A1F">
        <w:t>a R</w:t>
      </w:r>
      <w:r w:rsidR="00F318F2">
        <w:t xml:space="preserve">ate of Return (ROE) </w:t>
      </w:r>
      <w:r w:rsidR="002C1EFF" w:rsidRPr="00321A1F">
        <w:t xml:space="preserve">of 11.16 percent, with a range of 10.16 percent to 12.16 percent, and an overall rate of return of 3.66 percent. The </w:t>
      </w:r>
      <w:r w:rsidR="00F318F2">
        <w:t xml:space="preserve">approved </w:t>
      </w:r>
      <w:r w:rsidR="002C1EFF" w:rsidRPr="00321A1F">
        <w:t>ROE and overall rate of return are shown on Schedule No. 2</w:t>
      </w:r>
      <w:r w:rsidR="00F318F2">
        <w:t xml:space="preserve"> of this </w:t>
      </w:r>
      <w:r w:rsidR="00B6438C">
        <w:t xml:space="preserve">order. </w:t>
      </w:r>
    </w:p>
    <w:p w:rsidR="002C1EFF" w:rsidRPr="005F252E" w:rsidRDefault="003148A6" w:rsidP="002C1EFF">
      <w:pPr>
        <w:spacing w:after="240"/>
        <w:jc w:val="both"/>
        <w:rPr>
          <w:u w:val="single"/>
        </w:rPr>
      </w:pPr>
      <w:r w:rsidRPr="00F944CE">
        <w:rPr>
          <w:bCs/>
          <w:kern w:val="32"/>
          <w:u w:val="single"/>
        </w:rPr>
        <w:t>5</w:t>
      </w:r>
      <w:r w:rsidR="0084184D">
        <w:rPr>
          <w:bCs/>
          <w:kern w:val="32"/>
          <w:u w:val="single"/>
        </w:rPr>
        <w:t>.</w:t>
      </w:r>
      <w:r w:rsidR="00F318F2" w:rsidRPr="00F944CE">
        <w:rPr>
          <w:bCs/>
          <w:kern w:val="32"/>
          <w:u w:val="single"/>
        </w:rPr>
        <w:t xml:space="preserve"> </w:t>
      </w:r>
      <w:r w:rsidR="002C1EFF" w:rsidRPr="00F944CE">
        <w:rPr>
          <w:u w:val="single"/>
        </w:rPr>
        <w:t> </w:t>
      </w:r>
      <w:r w:rsidR="00F318F2" w:rsidRPr="005F252E">
        <w:rPr>
          <w:u w:val="single"/>
        </w:rPr>
        <w:t>Test Year R</w:t>
      </w:r>
      <w:r w:rsidR="002C1EFF" w:rsidRPr="005F252E">
        <w:rPr>
          <w:u w:val="single"/>
        </w:rPr>
        <w:t xml:space="preserve">evenues for </w:t>
      </w:r>
      <w:r w:rsidR="00F318F2" w:rsidRPr="005F252E">
        <w:rPr>
          <w:u w:val="single"/>
        </w:rPr>
        <w:t>Water and W</w:t>
      </w:r>
      <w:r w:rsidR="005F252E" w:rsidRPr="005F252E">
        <w:rPr>
          <w:u w:val="single"/>
        </w:rPr>
        <w:t>astewater S</w:t>
      </w:r>
      <w:r w:rsidR="002C1EFF" w:rsidRPr="005F252E">
        <w:rPr>
          <w:u w:val="single"/>
        </w:rPr>
        <w:t>ystem</w:t>
      </w:r>
      <w:r w:rsidR="00F318F2" w:rsidRPr="005F252E">
        <w:rPr>
          <w:u w:val="single"/>
        </w:rPr>
        <w:t>s</w:t>
      </w:r>
    </w:p>
    <w:p w:rsidR="002C1EFF" w:rsidRPr="00321A1F" w:rsidRDefault="005F252E" w:rsidP="002C1EFF">
      <w:pPr>
        <w:jc w:val="both"/>
      </w:pPr>
      <w:r>
        <w:tab/>
      </w:r>
      <w:r w:rsidR="002C1EFF" w:rsidRPr="00321A1F">
        <w:t xml:space="preserve">Aquarina recorded total test year revenues of $266,168 for water and $160,261 for wastewater. The water revenues included $263,949 of service revenues and $2,219 of miscellaneous revenues. The wastewater revenues included $159,976 of service revenues and $285 of miscellaneous revenues. In order to determine the appropriate test year service revenues, </w:t>
      </w:r>
      <w:r>
        <w:t>we</w:t>
      </w:r>
      <w:r w:rsidR="002C1EFF" w:rsidRPr="00321A1F">
        <w:t xml:space="preserve"> normalized the number of bills by adjusting for customers moving in and out during the test year to reflect 12 months of bills. Based on </w:t>
      </w:r>
      <w:r>
        <w:t>our</w:t>
      </w:r>
      <w:r w:rsidR="002C1EFF" w:rsidRPr="00321A1F">
        <w:t xml:space="preserve"> review of the Utility’s billing determinants and the service rates that were in effect during the test year, </w:t>
      </w:r>
      <w:r>
        <w:t>we</w:t>
      </w:r>
      <w:r w:rsidR="002C1EFF" w:rsidRPr="00321A1F">
        <w:t xml:space="preserve"> determined </w:t>
      </w:r>
      <w:r w:rsidR="00FB12B4">
        <w:t xml:space="preserve">that </w:t>
      </w:r>
      <w:r w:rsidR="002C1EFF" w:rsidRPr="00321A1F">
        <w:t xml:space="preserve">test year service revenues </w:t>
      </w:r>
      <w:r>
        <w:t>are</w:t>
      </w:r>
      <w:r w:rsidR="002C1EFF" w:rsidRPr="00321A1F">
        <w:t xml:space="preserve"> </w:t>
      </w:r>
      <w:r>
        <w:t xml:space="preserve">appropriately </w:t>
      </w:r>
      <w:r w:rsidR="002C1EFF" w:rsidRPr="00321A1F">
        <w:t xml:space="preserve">$264,604 for water and $161,166 for wastewater. This results in increases of $655 and $1,190 for water and wastewater test year service revenues, respectively. </w:t>
      </w:r>
    </w:p>
    <w:p w:rsidR="002C1EFF" w:rsidRPr="00321A1F" w:rsidRDefault="002C1EFF" w:rsidP="002C1EFF">
      <w:pPr>
        <w:jc w:val="both"/>
      </w:pPr>
    </w:p>
    <w:p w:rsidR="00A83C7B" w:rsidRDefault="005F252E" w:rsidP="002C1EFF">
      <w:pPr>
        <w:jc w:val="both"/>
      </w:pPr>
      <w:r>
        <w:tab/>
        <w:t>We</w:t>
      </w:r>
      <w:r w:rsidR="002C1EFF" w:rsidRPr="00321A1F">
        <w:t xml:space="preserve"> also made adjustments to miscellaneous revenues for water and wastewater. The Utility recorded unsupported revenues to miscellaneous water revenues and improperly recorded late payment charges for wastewater. As discussed </w:t>
      </w:r>
      <w:r>
        <w:t xml:space="preserve">below under the heading </w:t>
      </w:r>
      <w:r w:rsidRPr="005F252E">
        <w:t>“</w:t>
      </w:r>
      <w:r w:rsidRPr="005F252E">
        <w:rPr>
          <w:u w:val="single"/>
        </w:rPr>
        <w:t>12</w:t>
      </w:r>
      <w:r w:rsidR="005E745A">
        <w:rPr>
          <w:u w:val="single"/>
        </w:rPr>
        <w:t>.</w:t>
      </w:r>
      <w:r w:rsidRPr="005F252E">
        <w:rPr>
          <w:u w:val="single"/>
        </w:rPr>
        <w:t xml:space="preserve"> Miscellaneous Service Charges</w:t>
      </w:r>
      <w:r w:rsidRPr="005F252E">
        <w:t>,”</w:t>
      </w:r>
      <w:r w:rsidR="002C1EFF" w:rsidRPr="00321A1F">
        <w:t xml:space="preserve"> </w:t>
      </w:r>
      <w:r>
        <w:t>we</w:t>
      </w:r>
      <w:r w:rsidR="002C1EFF" w:rsidRPr="00321A1F">
        <w:t xml:space="preserve"> increased the Utility’s miscellaneous service charges for water and wastewater to allow the cost causer to pay the cost associated with those services; therefore, </w:t>
      </w:r>
      <w:r>
        <w:t>we</w:t>
      </w:r>
      <w:r w:rsidR="002C1EFF" w:rsidRPr="00321A1F">
        <w:t xml:space="preserve"> annualized the Utility’s miscellaneous service revenues. For this reason, </w:t>
      </w:r>
      <w:r>
        <w:t xml:space="preserve">we </w:t>
      </w:r>
      <w:r w:rsidR="002C1EFF" w:rsidRPr="00321A1F">
        <w:t xml:space="preserve">increased miscellaneous water service revenues by $1,853 and increased miscellaneous wastewater service revenues by $370. </w:t>
      </w:r>
      <w:r>
        <w:t>The t</w:t>
      </w:r>
      <w:r w:rsidR="002C1EFF" w:rsidRPr="00321A1F">
        <w:t>able</w:t>
      </w:r>
      <w:r>
        <w:t xml:space="preserve"> </w:t>
      </w:r>
      <w:r w:rsidR="002C1EFF" w:rsidRPr="00321A1F">
        <w:t xml:space="preserve">below represents a summary of </w:t>
      </w:r>
      <w:r>
        <w:t>our</w:t>
      </w:r>
      <w:r w:rsidR="002C1EFF" w:rsidRPr="00321A1F">
        <w:t xml:space="preserve"> adjustments for test year revenues.</w:t>
      </w:r>
    </w:p>
    <w:p w:rsidR="00A83C7B" w:rsidRDefault="00A83C7B">
      <w:r>
        <w:br w:type="page"/>
      </w:r>
    </w:p>
    <w:p w:rsidR="002C1EFF" w:rsidRPr="00321A1F" w:rsidRDefault="002C1EFF" w:rsidP="002C1EFF">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10"/>
        <w:gridCol w:w="1781"/>
      </w:tblGrid>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both"/>
            </w:pPr>
          </w:p>
        </w:tc>
        <w:tc>
          <w:tcPr>
            <w:tcW w:w="1710"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center"/>
              <w:rPr>
                <w:b/>
              </w:rPr>
            </w:pPr>
            <w:r w:rsidRPr="00321A1F">
              <w:rPr>
                <w:b/>
              </w:rPr>
              <w:t>Water*</w:t>
            </w:r>
          </w:p>
        </w:tc>
        <w:tc>
          <w:tcPr>
            <w:tcW w:w="1781"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center"/>
              <w:rPr>
                <w:b/>
              </w:rPr>
            </w:pPr>
            <w:r w:rsidRPr="00321A1F">
              <w:rPr>
                <w:b/>
              </w:rPr>
              <w:t>Wastewater</w:t>
            </w: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both"/>
              <w:rPr>
                <w:b/>
              </w:rPr>
            </w:pPr>
            <w:r w:rsidRPr="00321A1F">
              <w:rPr>
                <w:b/>
              </w:rPr>
              <w:t>Service Revenues</w:t>
            </w:r>
          </w:p>
        </w:tc>
        <w:tc>
          <w:tcPr>
            <w:tcW w:w="1710"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right"/>
            </w:pPr>
          </w:p>
        </w:tc>
        <w:tc>
          <w:tcPr>
            <w:tcW w:w="1781"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right"/>
            </w:pP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both"/>
            </w:pPr>
            <w:r w:rsidRPr="00321A1F">
              <w:t>Utility Recorded Service Revenues</w:t>
            </w:r>
          </w:p>
        </w:tc>
        <w:tc>
          <w:tcPr>
            <w:tcW w:w="1710"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$263,949</w:t>
            </w:r>
          </w:p>
        </w:tc>
        <w:tc>
          <w:tcPr>
            <w:tcW w:w="1781"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$159,976</w:t>
            </w: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hideMark/>
          </w:tcPr>
          <w:p w:rsidR="002C1EFF" w:rsidRPr="00321A1F" w:rsidRDefault="00E82418" w:rsidP="00E82418">
            <w:pPr>
              <w:jc w:val="both"/>
            </w:pPr>
            <w:r>
              <w:t>Commission</w:t>
            </w:r>
            <w:r w:rsidR="002C1EFF" w:rsidRPr="00321A1F">
              <w:t xml:space="preserve"> Adjustment</w:t>
            </w:r>
          </w:p>
        </w:tc>
        <w:tc>
          <w:tcPr>
            <w:tcW w:w="1710"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$ 655</w:t>
            </w:r>
          </w:p>
        </w:tc>
        <w:tc>
          <w:tcPr>
            <w:tcW w:w="1781"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$1,190</w:t>
            </w: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both"/>
              <w:rPr>
                <w:b/>
              </w:rPr>
            </w:pPr>
            <w:r w:rsidRPr="00321A1F">
              <w:rPr>
                <w:b/>
              </w:rPr>
              <w:t>Total Service Revenues</w:t>
            </w:r>
          </w:p>
        </w:tc>
        <w:tc>
          <w:tcPr>
            <w:tcW w:w="1710"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 xml:space="preserve">$264,605    </w:t>
            </w:r>
          </w:p>
        </w:tc>
        <w:tc>
          <w:tcPr>
            <w:tcW w:w="1781"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$161,166</w:t>
            </w: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both"/>
            </w:pPr>
          </w:p>
        </w:tc>
        <w:tc>
          <w:tcPr>
            <w:tcW w:w="1710"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right"/>
            </w:pPr>
          </w:p>
        </w:tc>
        <w:tc>
          <w:tcPr>
            <w:tcW w:w="1781"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right"/>
            </w:pP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both"/>
              <w:rPr>
                <w:b/>
              </w:rPr>
            </w:pPr>
            <w:r w:rsidRPr="00321A1F">
              <w:rPr>
                <w:b/>
              </w:rPr>
              <w:t>Miscellaneous Revenues</w:t>
            </w:r>
          </w:p>
        </w:tc>
        <w:tc>
          <w:tcPr>
            <w:tcW w:w="1710"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right"/>
            </w:pPr>
          </w:p>
        </w:tc>
        <w:tc>
          <w:tcPr>
            <w:tcW w:w="1781"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right"/>
            </w:pP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both"/>
            </w:pPr>
            <w:r w:rsidRPr="00321A1F">
              <w:t>Utility Recorded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$2,219</w:t>
            </w:r>
          </w:p>
        </w:tc>
        <w:tc>
          <w:tcPr>
            <w:tcW w:w="1781"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$285</w:t>
            </w: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hideMark/>
          </w:tcPr>
          <w:p w:rsidR="002C1EFF" w:rsidRPr="00321A1F" w:rsidRDefault="005E745A" w:rsidP="002C1EFF">
            <w:pPr>
              <w:jc w:val="both"/>
            </w:pPr>
            <w:r>
              <w:t xml:space="preserve">Approved </w:t>
            </w:r>
            <w:r w:rsidR="002C1EFF" w:rsidRPr="00321A1F">
              <w:t>Miscellaneous Revenue Adjustments</w:t>
            </w:r>
          </w:p>
        </w:tc>
        <w:tc>
          <w:tcPr>
            <w:tcW w:w="1710"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$1,853</w:t>
            </w:r>
          </w:p>
        </w:tc>
        <w:tc>
          <w:tcPr>
            <w:tcW w:w="1781"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$370</w:t>
            </w: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both"/>
              <w:rPr>
                <w:b/>
              </w:rPr>
            </w:pPr>
            <w:r w:rsidRPr="00321A1F">
              <w:rPr>
                <w:b/>
              </w:rPr>
              <w:t>Total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$4,072</w:t>
            </w:r>
          </w:p>
        </w:tc>
        <w:tc>
          <w:tcPr>
            <w:tcW w:w="1781"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$655</w:t>
            </w: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both"/>
              <w:rPr>
                <w:b/>
              </w:rPr>
            </w:pPr>
            <w:r w:rsidRPr="00321A1F">
              <w:rPr>
                <w:b/>
              </w:rPr>
              <w:t>Total Test Year Revenues</w:t>
            </w:r>
          </w:p>
        </w:tc>
        <w:tc>
          <w:tcPr>
            <w:tcW w:w="1710"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$ 268,677</w:t>
            </w:r>
          </w:p>
        </w:tc>
        <w:tc>
          <w:tcPr>
            <w:tcW w:w="1781" w:type="dxa"/>
            <w:tcBorders>
              <w:top w:val="single" w:sz="4" w:space="0" w:color="auto"/>
              <w:left w:val="single" w:sz="4" w:space="0" w:color="auto"/>
              <w:bottom w:val="single" w:sz="4" w:space="0" w:color="auto"/>
              <w:right w:val="single" w:sz="4" w:space="0" w:color="auto"/>
            </w:tcBorders>
            <w:hideMark/>
          </w:tcPr>
          <w:p w:rsidR="002C1EFF" w:rsidRPr="00321A1F" w:rsidRDefault="002C1EFF" w:rsidP="002C1EFF">
            <w:pPr>
              <w:jc w:val="right"/>
            </w:pPr>
            <w:r w:rsidRPr="00321A1F">
              <w:t>$161,821</w:t>
            </w:r>
          </w:p>
        </w:tc>
      </w:tr>
      <w:tr w:rsidR="002C1EFF" w:rsidRPr="00321A1F" w:rsidTr="00EC6608">
        <w:trPr>
          <w:jc w:val="center"/>
        </w:trPr>
        <w:tc>
          <w:tcPr>
            <w:tcW w:w="5108"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both"/>
            </w:pPr>
            <w:r w:rsidRPr="00321A1F">
              <w:rPr>
                <w:b/>
              </w:rPr>
              <w:t xml:space="preserve">* </w:t>
            </w:r>
            <w:r w:rsidRPr="00321A1F">
              <w:t>Includes both potable and non-potable revenues</w:t>
            </w:r>
          </w:p>
        </w:tc>
        <w:tc>
          <w:tcPr>
            <w:tcW w:w="1710"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right"/>
            </w:pPr>
          </w:p>
        </w:tc>
        <w:tc>
          <w:tcPr>
            <w:tcW w:w="1781" w:type="dxa"/>
            <w:tcBorders>
              <w:top w:val="single" w:sz="4" w:space="0" w:color="auto"/>
              <w:left w:val="single" w:sz="4" w:space="0" w:color="auto"/>
              <w:bottom w:val="single" w:sz="4" w:space="0" w:color="auto"/>
              <w:right w:val="single" w:sz="4" w:space="0" w:color="auto"/>
            </w:tcBorders>
          </w:tcPr>
          <w:p w:rsidR="002C1EFF" w:rsidRPr="00321A1F" w:rsidRDefault="002C1EFF" w:rsidP="002C1EFF">
            <w:pPr>
              <w:jc w:val="right"/>
            </w:pPr>
          </w:p>
        </w:tc>
      </w:tr>
    </w:tbl>
    <w:p w:rsidR="002C1EFF" w:rsidRPr="00321A1F" w:rsidRDefault="002C1EFF" w:rsidP="002C1EFF">
      <w:pPr>
        <w:jc w:val="both"/>
        <w:outlineLvl w:val="0"/>
        <w:rPr>
          <w:bCs/>
          <w:kern w:val="32"/>
        </w:rPr>
      </w:pPr>
      <w:r w:rsidRPr="00321A1F">
        <w:rPr>
          <w:bCs/>
          <w:kern w:val="32"/>
        </w:rPr>
        <w:t xml:space="preserve">    </w:t>
      </w:r>
    </w:p>
    <w:p w:rsidR="002C1EFF" w:rsidRPr="00321A1F" w:rsidRDefault="00FB12B4" w:rsidP="002C1EFF">
      <w:pPr>
        <w:spacing w:after="240"/>
        <w:jc w:val="both"/>
      </w:pPr>
      <w:r>
        <w:tab/>
      </w:r>
      <w:r w:rsidR="002C1EFF" w:rsidRPr="00321A1F">
        <w:t xml:space="preserve">Based on the </w:t>
      </w:r>
      <w:r w:rsidR="005F252E">
        <w:t xml:space="preserve">foregoing, </w:t>
      </w:r>
      <w:r w:rsidR="002C1EFF" w:rsidRPr="00321A1F">
        <w:t>the appropriate test year revenues for Aquarina’s water and wastewater systems, including miscellaneous revenues are $268,677 and $161,821, respectively.</w:t>
      </w:r>
    </w:p>
    <w:p w:rsidR="002C1EFF" w:rsidRPr="001266B1" w:rsidRDefault="001266B1" w:rsidP="002C1EFF">
      <w:pPr>
        <w:spacing w:after="240"/>
        <w:jc w:val="both"/>
        <w:rPr>
          <w:u w:val="single"/>
        </w:rPr>
      </w:pPr>
      <w:r w:rsidRPr="001266B1">
        <w:rPr>
          <w:u w:val="single"/>
        </w:rPr>
        <w:t>6. T</w:t>
      </w:r>
      <w:r w:rsidR="002C1EFF" w:rsidRPr="001266B1">
        <w:rPr>
          <w:u w:val="single"/>
        </w:rPr>
        <w:t xml:space="preserve">est </w:t>
      </w:r>
      <w:r w:rsidRPr="001266B1">
        <w:rPr>
          <w:u w:val="single"/>
        </w:rPr>
        <w:t>Y</w:t>
      </w:r>
      <w:r w:rsidR="002C1EFF" w:rsidRPr="001266B1">
        <w:rPr>
          <w:u w:val="single"/>
        </w:rPr>
        <w:t xml:space="preserve">ear </w:t>
      </w:r>
      <w:r w:rsidRPr="001266B1">
        <w:rPr>
          <w:u w:val="single"/>
        </w:rPr>
        <w:t>W</w:t>
      </w:r>
      <w:r w:rsidR="002C1EFF" w:rsidRPr="001266B1">
        <w:rPr>
          <w:u w:val="single"/>
        </w:rPr>
        <w:t xml:space="preserve">ater and </w:t>
      </w:r>
      <w:r w:rsidRPr="001266B1">
        <w:rPr>
          <w:u w:val="single"/>
        </w:rPr>
        <w:t>W</w:t>
      </w:r>
      <w:r w:rsidR="002C1EFF" w:rsidRPr="001266B1">
        <w:rPr>
          <w:u w:val="single"/>
        </w:rPr>
        <w:t xml:space="preserve">astewater </w:t>
      </w:r>
      <w:r w:rsidRPr="001266B1">
        <w:rPr>
          <w:u w:val="single"/>
        </w:rPr>
        <w:t>O</w:t>
      </w:r>
      <w:r w:rsidR="002C1EFF" w:rsidRPr="001266B1">
        <w:rPr>
          <w:u w:val="single"/>
        </w:rPr>
        <w:t xml:space="preserve">perating </w:t>
      </w:r>
      <w:r w:rsidRPr="001266B1">
        <w:rPr>
          <w:u w:val="single"/>
        </w:rPr>
        <w:t>E</w:t>
      </w:r>
      <w:r w:rsidR="002C1EFF" w:rsidRPr="001266B1">
        <w:rPr>
          <w:u w:val="single"/>
        </w:rPr>
        <w:t xml:space="preserve">xpenses </w:t>
      </w:r>
    </w:p>
    <w:p w:rsidR="002C1EFF" w:rsidRPr="00321A1F" w:rsidRDefault="001266B1" w:rsidP="002C1EFF">
      <w:pPr>
        <w:spacing w:after="240"/>
        <w:jc w:val="both"/>
        <w:outlineLvl w:val="1"/>
      </w:pPr>
      <w:r>
        <w:tab/>
        <w:t>A</w:t>
      </w:r>
      <w:r w:rsidR="002C1EFF" w:rsidRPr="00321A1F">
        <w:rPr>
          <w:bCs/>
        </w:rPr>
        <w:t xml:space="preserve">quarina </w:t>
      </w:r>
      <w:r w:rsidR="002C1EFF" w:rsidRPr="00321A1F">
        <w:t xml:space="preserve">recorded operating expense of $113,009 for potable water, $170,010 for non-potable water, and $146,926 for wastewater for the test year ended December 31, 2014. The test year O&amp;M expenses have been reviewed, including invoices, canceled checks, and other supporting documentation. </w:t>
      </w:r>
      <w:r>
        <w:t>We have made</w:t>
      </w:r>
      <w:r w:rsidR="002C1EFF" w:rsidRPr="00321A1F">
        <w:t xml:space="preserve"> several adjustments to the Utility’s operating expenses as summarized below.</w:t>
      </w:r>
    </w:p>
    <w:p w:rsidR="002C1EFF" w:rsidRPr="001266B1" w:rsidRDefault="001266B1" w:rsidP="002C1EFF">
      <w:pPr>
        <w:spacing w:after="240"/>
        <w:jc w:val="both"/>
        <w:outlineLvl w:val="1"/>
        <w:rPr>
          <w:bCs/>
          <w:i/>
          <w:iCs/>
        </w:rPr>
      </w:pPr>
      <w:r>
        <w:rPr>
          <w:bCs/>
          <w:i/>
          <w:iCs/>
        </w:rPr>
        <w:t xml:space="preserve">A. </w:t>
      </w:r>
      <w:r w:rsidR="002C1EFF" w:rsidRPr="001266B1">
        <w:rPr>
          <w:bCs/>
          <w:i/>
          <w:iCs/>
        </w:rPr>
        <w:t>Operation and Maintenance Expenses</w:t>
      </w:r>
    </w:p>
    <w:p w:rsidR="002C1EFF" w:rsidRPr="001266B1" w:rsidRDefault="001266B1" w:rsidP="002C1EFF">
      <w:pPr>
        <w:ind w:left="720"/>
        <w:jc w:val="both"/>
        <w:outlineLvl w:val="1"/>
        <w:rPr>
          <w:bCs/>
          <w:i/>
          <w:iCs/>
          <w:u w:val="single"/>
        </w:rPr>
      </w:pPr>
      <w:r>
        <w:rPr>
          <w:bCs/>
          <w:i/>
          <w:iCs/>
          <w:u w:val="single"/>
        </w:rPr>
        <w:t xml:space="preserve">i. </w:t>
      </w:r>
      <w:r w:rsidR="002C1EFF" w:rsidRPr="001266B1">
        <w:rPr>
          <w:bCs/>
          <w:i/>
          <w:iCs/>
          <w:u w:val="single"/>
        </w:rPr>
        <w:t xml:space="preserve">Salaries and Wages for Employees </w:t>
      </w:r>
    </w:p>
    <w:p w:rsidR="001266B1" w:rsidRDefault="001266B1" w:rsidP="002C1EFF">
      <w:pPr>
        <w:jc w:val="both"/>
        <w:outlineLvl w:val="1"/>
        <w:rPr>
          <w:bCs/>
        </w:rPr>
      </w:pPr>
    </w:p>
    <w:p w:rsidR="002C1EFF" w:rsidRPr="00321A1F" w:rsidRDefault="001266B1" w:rsidP="002C1EFF">
      <w:pPr>
        <w:jc w:val="both"/>
        <w:outlineLvl w:val="1"/>
      </w:pPr>
      <w:r>
        <w:rPr>
          <w:bCs/>
        </w:rPr>
        <w:tab/>
      </w:r>
      <w:r w:rsidR="002C1EFF" w:rsidRPr="00321A1F">
        <w:rPr>
          <w:bCs/>
        </w:rPr>
        <w:t>Aquarina</w:t>
      </w:r>
      <w:r w:rsidR="002C1EFF" w:rsidRPr="00321A1F">
        <w:t xml:space="preserve"> recorded Salaries and Wages for Employees expense of $48,832 for potable water, $74,014 for non-potable water, and $61,423 for wastewater. </w:t>
      </w:r>
      <w:r>
        <w:t>We</w:t>
      </w:r>
      <w:r w:rsidR="002C1EFF" w:rsidRPr="00321A1F">
        <w:t xml:space="preserve"> reduced potable water, non-potable water, and wastewater Salaries and Wages for Employees expense by $1,707, $2,587, and $2,147, respectively. The adjustments are to normalize Salaries and Wages for Employees expense by removing payroll associated with two former employees that were not replaced by the Utility. </w:t>
      </w:r>
      <w:r w:rsidR="00E928C7">
        <w:t>We</w:t>
      </w:r>
      <w:r w:rsidR="002C1EFF" w:rsidRPr="00321A1F">
        <w:t xml:space="preserve"> reduced potable water, non-potable water, and wastewater Salaries and Wages for Employees expense by $183, $278, and $231, respectively, in order to remove an insurance reimbursement</w:t>
      </w:r>
      <w:r w:rsidR="00E928C7">
        <w:t xml:space="preserve"> </w:t>
      </w:r>
      <w:r w:rsidR="002C1EFF" w:rsidRPr="00321A1F">
        <w:t xml:space="preserve">to an employee who no longer works for </w:t>
      </w:r>
      <w:r w:rsidR="002C1EFF" w:rsidRPr="00321A1F">
        <w:rPr>
          <w:bCs/>
        </w:rPr>
        <w:t>Aquarina</w:t>
      </w:r>
      <w:r w:rsidR="002C1EFF" w:rsidRPr="00321A1F">
        <w:t xml:space="preserve"> and was not replaced. In addition, </w:t>
      </w:r>
      <w:r w:rsidR="00E928C7">
        <w:t>we</w:t>
      </w:r>
      <w:r w:rsidR="002C1EFF" w:rsidRPr="00321A1F">
        <w:t xml:space="preserve"> reduced potable water, non-potable water, and wastewater Salaries and Wages for Employees expense by $4,807, $7,286, and $6,046, respectively, in order to remove unpaid salary accruals from outside the test year. </w:t>
      </w:r>
      <w:r w:rsidR="00E928C7">
        <w:t xml:space="preserve">We </w:t>
      </w:r>
      <w:r w:rsidR="002C1EFF" w:rsidRPr="00321A1F">
        <w:t>increased potable water, non-potable water, and wastewater Salaries and Wages for Employees expense by $28,663, $43,444, and $36,053, respectively, to include three new maintenance workers that were requested by the Utility. Aquarina’s facilities are more than 30 years old</w:t>
      </w:r>
      <w:r w:rsidR="00FB12B4">
        <w:t>; t</w:t>
      </w:r>
      <w:r w:rsidR="002C1EFF" w:rsidRPr="00321A1F">
        <w:t xml:space="preserve">he new employees are needed to help maintain the system and to respond to customer complaints. </w:t>
      </w:r>
      <w:r w:rsidR="00E928C7">
        <w:t xml:space="preserve">Upon review, we find </w:t>
      </w:r>
      <w:r w:rsidR="002C1EFF" w:rsidRPr="00321A1F">
        <w:t xml:space="preserve">the addition of three employees </w:t>
      </w:r>
      <w:r w:rsidR="00E928C7">
        <w:t xml:space="preserve">to be </w:t>
      </w:r>
      <w:r w:rsidR="002C1EFF" w:rsidRPr="00321A1F">
        <w:t xml:space="preserve">reasonable and necessary. </w:t>
      </w:r>
    </w:p>
    <w:p w:rsidR="002C1EFF" w:rsidRPr="00321A1F" w:rsidRDefault="00E928C7" w:rsidP="002C1EFF">
      <w:pPr>
        <w:spacing w:after="240"/>
        <w:jc w:val="both"/>
        <w:outlineLvl w:val="1"/>
      </w:pPr>
      <w:r>
        <w:lastRenderedPageBreak/>
        <w:tab/>
      </w:r>
      <w:r w:rsidR="002C1EFF" w:rsidRPr="00321A1F">
        <w:t xml:space="preserve">All common O&amp;M expenses were allocated between potable water and non-potable water based on the methodology described in the last rate case with the exception of accounts 632, 634, 635, 667, and 675. </w:t>
      </w:r>
      <w:r>
        <w:t xml:space="preserve">We find the </w:t>
      </w:r>
      <w:r w:rsidR="002C1EFF" w:rsidRPr="00321A1F">
        <w:t xml:space="preserve">expenses included in these accounts </w:t>
      </w:r>
      <w:r>
        <w:t xml:space="preserve">to be </w:t>
      </w:r>
      <w:r w:rsidR="002C1EFF" w:rsidRPr="00321A1F">
        <w:t xml:space="preserve">either directly allocable or </w:t>
      </w:r>
      <w:r w:rsidR="00FB12B4">
        <w:t xml:space="preserve">to </w:t>
      </w:r>
      <w:r w:rsidR="002C1EFF" w:rsidRPr="00321A1F">
        <w:t>reflect fixed costs and h</w:t>
      </w:r>
      <w:r>
        <w:t>ave</w:t>
      </w:r>
      <w:r w:rsidR="002C1EFF" w:rsidRPr="00321A1F">
        <w:t xml:space="preserve"> adjusted the percentages accordingly. The portions of the expenses that are fixed were allocated between potable water and non-potable water based on ERCs. The variable </w:t>
      </w:r>
      <w:r w:rsidR="00B6438C" w:rsidRPr="00321A1F">
        <w:t>portion of these expenses is</w:t>
      </w:r>
      <w:r w:rsidR="002C1EFF" w:rsidRPr="00321A1F">
        <w:t xml:space="preserve"> allocated based on gallons sold. This allocation method is shown on </w:t>
      </w:r>
      <w:r w:rsidR="002C1EFF" w:rsidRPr="003A2DD9">
        <w:t>Attachment A</w:t>
      </w:r>
      <w:r>
        <w:t xml:space="preserve"> of this order</w:t>
      </w:r>
      <w:r w:rsidR="002C1EFF" w:rsidRPr="00321A1F">
        <w:t xml:space="preserve">. </w:t>
      </w:r>
      <w:r>
        <w:t xml:space="preserve">Thus, we approve </w:t>
      </w:r>
      <w:r w:rsidR="002C1EFF" w:rsidRPr="00321A1F">
        <w:t>Salaries and Wages for Employees expenses of $70,798 ($48,832 - $1,707 - $183 - $4,807 + $28,663) for potable water, $107,308 ($74,014 - $2,587 - $278 - $7,286 + $43,444) for non-potable water, and $89,052 ($61,423 - $2,147 - $231 - $6,046 + $36,053) for wastewater.</w:t>
      </w:r>
    </w:p>
    <w:p w:rsidR="002C1EFF" w:rsidRPr="00E928C7" w:rsidRDefault="00E928C7" w:rsidP="002C1EFF">
      <w:pPr>
        <w:autoSpaceDE w:val="0"/>
        <w:autoSpaceDN w:val="0"/>
        <w:adjustRightInd w:val="0"/>
        <w:ind w:left="720"/>
        <w:jc w:val="both"/>
        <w:rPr>
          <w:i/>
          <w:u w:val="single"/>
        </w:rPr>
      </w:pPr>
      <w:r w:rsidRPr="00E928C7">
        <w:rPr>
          <w:i/>
          <w:u w:val="single"/>
        </w:rPr>
        <w:t xml:space="preserve">ii. </w:t>
      </w:r>
      <w:r w:rsidR="002C1EFF" w:rsidRPr="00E928C7">
        <w:rPr>
          <w:i/>
          <w:u w:val="single"/>
        </w:rPr>
        <w:t>Employee Pension and Benefits</w:t>
      </w:r>
    </w:p>
    <w:p w:rsidR="00E928C7" w:rsidRPr="00321A1F" w:rsidRDefault="00E928C7" w:rsidP="002C1EFF">
      <w:pPr>
        <w:autoSpaceDE w:val="0"/>
        <w:autoSpaceDN w:val="0"/>
        <w:adjustRightInd w:val="0"/>
        <w:ind w:left="720"/>
        <w:jc w:val="both"/>
      </w:pPr>
    </w:p>
    <w:p w:rsidR="002C1EFF" w:rsidRPr="00321A1F" w:rsidRDefault="00E928C7" w:rsidP="002C1EFF">
      <w:pPr>
        <w:autoSpaceDE w:val="0"/>
        <w:autoSpaceDN w:val="0"/>
        <w:adjustRightInd w:val="0"/>
        <w:jc w:val="both"/>
      </w:pPr>
      <w:r>
        <w:tab/>
      </w:r>
      <w:r w:rsidR="002C1EFF" w:rsidRPr="00321A1F">
        <w:t xml:space="preserve">The Utility did not record any Employee Pension and Benefits expense. </w:t>
      </w:r>
      <w:r>
        <w:t>We</w:t>
      </w:r>
      <w:r w:rsidR="002C1EFF" w:rsidRPr="00321A1F">
        <w:t xml:space="preserve"> increased potable water, non-potable water, and wastewater Employee Pension and Benefits expense by $5,670, $8,594, and $7,132, respectively. These adjustments reclassify $7,132 of insurance expense from Account 659/759 – Insurance Other and annualize that amount to provide health insurance for Aquarina’s two existing employees. The adjustments are based on an annualized premium of $21,396 ($7,132 / 4 months x 12 months). </w:t>
      </w:r>
      <w:r>
        <w:t>We</w:t>
      </w:r>
      <w:r w:rsidR="002C1EFF" w:rsidRPr="00321A1F">
        <w:t xml:space="preserve"> also increased potable water, non-potable water, and wastewater Employee Pension and Benefits expense by $5,446, $8,254, and $6,850, respectively, in order to include health insurance and workers compensation insurance for the three new maintenance employees. Therefore, </w:t>
      </w:r>
      <w:r>
        <w:t>we approve</w:t>
      </w:r>
      <w:r w:rsidR="002C1EFF" w:rsidRPr="00321A1F">
        <w:t xml:space="preserve"> Employee Pension and Benefits expenses of $11,116 ($5,670 + $5,446) for potable water, $16,848 ($8,594 + $8,254) for non-potable water, and $13,982 ($7,132 + $6,850) for wastewater.</w:t>
      </w:r>
    </w:p>
    <w:p w:rsidR="002C1EFF" w:rsidRPr="00321A1F" w:rsidRDefault="002C1EFF" w:rsidP="002C1EFF">
      <w:pPr>
        <w:autoSpaceDE w:val="0"/>
        <w:autoSpaceDN w:val="0"/>
        <w:adjustRightInd w:val="0"/>
        <w:jc w:val="both"/>
      </w:pPr>
    </w:p>
    <w:p w:rsidR="002C1EFF" w:rsidRPr="00E928C7" w:rsidRDefault="00E928C7" w:rsidP="002C1EFF">
      <w:pPr>
        <w:autoSpaceDE w:val="0"/>
        <w:autoSpaceDN w:val="0"/>
        <w:adjustRightInd w:val="0"/>
        <w:ind w:left="720"/>
        <w:jc w:val="both"/>
        <w:rPr>
          <w:i/>
          <w:u w:val="single"/>
        </w:rPr>
      </w:pPr>
      <w:r w:rsidRPr="00E928C7">
        <w:rPr>
          <w:i/>
          <w:u w:val="single"/>
        </w:rPr>
        <w:t xml:space="preserve">iii. </w:t>
      </w:r>
      <w:r w:rsidR="002C1EFF" w:rsidRPr="00E928C7">
        <w:rPr>
          <w:i/>
          <w:u w:val="single"/>
        </w:rPr>
        <w:t>Purchased Power</w:t>
      </w:r>
    </w:p>
    <w:p w:rsidR="003A2DD9" w:rsidRDefault="003A2DD9" w:rsidP="002C1EFF">
      <w:pPr>
        <w:autoSpaceDE w:val="0"/>
        <w:autoSpaceDN w:val="0"/>
        <w:adjustRightInd w:val="0"/>
        <w:jc w:val="both"/>
      </w:pPr>
    </w:p>
    <w:p w:rsidR="002C1EFF" w:rsidRPr="00321A1F" w:rsidRDefault="003A2DD9" w:rsidP="002C1EFF">
      <w:pPr>
        <w:autoSpaceDE w:val="0"/>
        <w:autoSpaceDN w:val="0"/>
        <w:adjustRightInd w:val="0"/>
        <w:jc w:val="both"/>
      </w:pPr>
      <w:r>
        <w:tab/>
      </w:r>
      <w:r w:rsidR="002C1EFF" w:rsidRPr="00321A1F">
        <w:t xml:space="preserve">The Utility recorded Purchased Power expense of $3,180 for potable water, $32,150 for non-potable water, and $17,665 for wastewater. </w:t>
      </w:r>
      <w:r>
        <w:t>We</w:t>
      </w:r>
      <w:r w:rsidR="002C1EFF" w:rsidRPr="00321A1F">
        <w:t xml:space="preserve"> increased the expense for potable and non-potable water by $357 and $3,609, respectively, and reduced wastewater expense by $4,254 to recognize the following adjustments. </w:t>
      </w:r>
      <w:r>
        <w:t>We</w:t>
      </w:r>
      <w:r w:rsidR="002C1EFF" w:rsidRPr="00321A1F">
        <w:t xml:space="preserve"> replaced the December 2013 electric bills that were included in the general ledger with the December 2014 electric bills</w:t>
      </w:r>
      <w:r w:rsidR="00FB12B4">
        <w:t>,</w:t>
      </w:r>
      <w:r w:rsidR="002C1EFF" w:rsidRPr="00321A1F">
        <w:t xml:space="preserve"> resulting in a net increase of $462, and removed a monthly allocation for office purchased power that ceased in May 2014 resulting in a decrease of $750. The adjustments result in a net reduction of $288 ($462 - $750) to Purchased Power expense. </w:t>
      </w:r>
      <w:r>
        <w:t>We</w:t>
      </w:r>
      <w:r w:rsidR="002C1EFF" w:rsidRPr="00321A1F">
        <w:t xml:space="preserve"> also directly charged a lift station power bill to wastewater Purchased Power expense and reallocated the total common purchased power from 66.67 percent for water and 33.33 percent for wastewater to 75 percent for water and 25 percent for wastewater based on </w:t>
      </w:r>
      <w:r>
        <w:t xml:space="preserve">the </w:t>
      </w:r>
      <w:r w:rsidR="002C1EFF" w:rsidRPr="00321A1F">
        <w:t xml:space="preserve">power usage allocation established </w:t>
      </w:r>
      <w:r>
        <w:t>by</w:t>
      </w:r>
      <w:r w:rsidR="002C1EFF" w:rsidRPr="00321A1F">
        <w:t xml:space="preserve"> Order No. PSC-03-1342-PAA-WS. </w:t>
      </w:r>
      <w:r>
        <w:t>Thus, we approve</w:t>
      </w:r>
      <w:r w:rsidR="002C1EFF" w:rsidRPr="00321A1F">
        <w:t xml:space="preserve"> Purchased Power expenses of $3,537 ($3,180 + $357) for potable water, $35,759 ($32,150 + $3,609) for non-potable water, and $13,411 ($17,665 - $4,254) for wastewater.</w:t>
      </w:r>
    </w:p>
    <w:p w:rsidR="002C1EFF" w:rsidRPr="00321A1F" w:rsidRDefault="002C1EFF" w:rsidP="002C1EFF">
      <w:pPr>
        <w:autoSpaceDE w:val="0"/>
        <w:autoSpaceDN w:val="0"/>
        <w:adjustRightInd w:val="0"/>
        <w:jc w:val="both"/>
      </w:pPr>
      <w:r w:rsidRPr="00321A1F">
        <w:t xml:space="preserve">    </w:t>
      </w:r>
    </w:p>
    <w:p w:rsidR="002C1EFF" w:rsidRPr="003A2DD9" w:rsidRDefault="003A2DD9" w:rsidP="002C1EFF">
      <w:pPr>
        <w:autoSpaceDE w:val="0"/>
        <w:autoSpaceDN w:val="0"/>
        <w:adjustRightInd w:val="0"/>
        <w:ind w:left="720"/>
        <w:jc w:val="both"/>
        <w:rPr>
          <w:i/>
          <w:u w:val="single"/>
        </w:rPr>
      </w:pPr>
      <w:r w:rsidRPr="003A2DD9">
        <w:rPr>
          <w:i/>
          <w:u w:val="single"/>
        </w:rPr>
        <w:t xml:space="preserve">iv. </w:t>
      </w:r>
      <w:r w:rsidR="002C1EFF" w:rsidRPr="003A2DD9">
        <w:rPr>
          <w:i/>
          <w:u w:val="single"/>
        </w:rPr>
        <w:t>Chemicals</w:t>
      </w:r>
    </w:p>
    <w:p w:rsidR="003A2DD9" w:rsidRDefault="003A2DD9" w:rsidP="002C1EFF">
      <w:pPr>
        <w:jc w:val="both"/>
      </w:pPr>
    </w:p>
    <w:p w:rsidR="002C1EFF" w:rsidRPr="00321A1F" w:rsidRDefault="003A2DD9" w:rsidP="002C1EFF">
      <w:pPr>
        <w:jc w:val="both"/>
      </w:pPr>
      <w:r>
        <w:tab/>
      </w:r>
      <w:r w:rsidR="002C1EFF" w:rsidRPr="00321A1F">
        <w:t xml:space="preserve">The Utility recorded Chemical expense of $1,564 for potable water, $48 for non-potable water, and $1,289 for wastewater. </w:t>
      </w:r>
      <w:r>
        <w:t xml:space="preserve">We have </w:t>
      </w:r>
      <w:r w:rsidR="002C1EFF" w:rsidRPr="00321A1F">
        <w:t xml:space="preserve">reviewed the invoices and charges to this account </w:t>
      </w:r>
      <w:r w:rsidR="002C1EFF" w:rsidRPr="00321A1F">
        <w:lastRenderedPageBreak/>
        <w:t xml:space="preserve">and find this amount to be reasonable. Therefore, </w:t>
      </w:r>
      <w:r>
        <w:t>we approve</w:t>
      </w:r>
      <w:r w:rsidR="002C1EFF" w:rsidRPr="00321A1F">
        <w:t xml:space="preserve"> Chemical expense of $1,564 for potable water, $48 for non-potable water, and $1,289 for wastewater.</w:t>
      </w:r>
    </w:p>
    <w:p w:rsidR="002C1EFF" w:rsidRPr="00321A1F" w:rsidRDefault="002C1EFF" w:rsidP="002C1EFF">
      <w:pPr>
        <w:jc w:val="both"/>
      </w:pPr>
    </w:p>
    <w:p w:rsidR="002C1EFF" w:rsidRPr="003A2DD9" w:rsidRDefault="003A2DD9" w:rsidP="002C1EFF">
      <w:pPr>
        <w:autoSpaceDE w:val="0"/>
        <w:autoSpaceDN w:val="0"/>
        <w:adjustRightInd w:val="0"/>
        <w:ind w:left="720"/>
        <w:jc w:val="both"/>
        <w:rPr>
          <w:i/>
          <w:u w:val="single"/>
        </w:rPr>
      </w:pPr>
      <w:r w:rsidRPr="003A2DD9">
        <w:rPr>
          <w:i/>
          <w:u w:val="single"/>
        </w:rPr>
        <w:t xml:space="preserve">v. </w:t>
      </w:r>
      <w:r w:rsidR="002C1EFF" w:rsidRPr="003A2DD9">
        <w:rPr>
          <w:i/>
          <w:u w:val="single"/>
        </w:rPr>
        <w:t>Materials and Supplies</w:t>
      </w:r>
    </w:p>
    <w:p w:rsidR="003A2DD9" w:rsidRDefault="003A2DD9" w:rsidP="002C1EFF">
      <w:pPr>
        <w:tabs>
          <w:tab w:val="left" w:pos="8550"/>
        </w:tabs>
        <w:jc w:val="both"/>
      </w:pPr>
    </w:p>
    <w:p w:rsidR="002C1EFF" w:rsidRPr="00321A1F" w:rsidRDefault="003B153B" w:rsidP="003B153B">
      <w:pPr>
        <w:jc w:val="both"/>
      </w:pPr>
      <w:r>
        <w:tab/>
      </w:r>
      <w:r w:rsidR="002C1EFF" w:rsidRPr="00321A1F">
        <w:t xml:space="preserve">The Utility recorded Materials and Supplies expense of $6,424 for potable water, $4,873 for non-potable water, and $6,023 for wastewater. </w:t>
      </w:r>
      <w:r>
        <w:t>We</w:t>
      </w:r>
      <w:r w:rsidR="002C1EFF" w:rsidRPr="00321A1F">
        <w:t xml:space="preserve"> increased Materials and Supplies expense for potable water, non-potable water, and wastewater by $705, $1,686, and $1,196, respectively, to include reimbursement for an October miscellaneous expense voucher that was not posted to the general ledger. </w:t>
      </w:r>
      <w:r>
        <w:t>We</w:t>
      </w:r>
      <w:r w:rsidR="002C1EFF" w:rsidRPr="00321A1F">
        <w:t xml:space="preserve"> also reduced Materials and Supplies expense for potable water by $1,079 and non-potable water by $2,578 to reclassify and capitalize to Account 311 – Pumping Equipment the cost to replace two 7 ½ horse power (hp) booster pumps at the water plant. </w:t>
      </w:r>
      <w:r>
        <w:t xml:space="preserve">We </w:t>
      </w:r>
      <w:r w:rsidR="002C1EFF" w:rsidRPr="00321A1F">
        <w:t xml:space="preserve">reduced Materials and Supplies expense for potable water, non-potable water and wastewater expense by $110, $263, and $186, respectively, to remove non-utility purchases in June and September of the test year. Therefore, </w:t>
      </w:r>
      <w:r>
        <w:t xml:space="preserve">we approve </w:t>
      </w:r>
      <w:r w:rsidR="002C1EFF" w:rsidRPr="00321A1F">
        <w:t xml:space="preserve">Materials and Supplies expense of $5,941 ($6,424 + $705 - $1,079 - $110) for potable water, $3,717 ($4,873 + $1,686 - $2,578 - $263) for non-potable water, and $7,033 ($6,023 + $1,196 - $186) for wastewater. </w:t>
      </w:r>
    </w:p>
    <w:p w:rsidR="002C1EFF" w:rsidRPr="00321A1F" w:rsidRDefault="002C1EFF" w:rsidP="002C1EFF">
      <w:pPr>
        <w:tabs>
          <w:tab w:val="left" w:pos="8550"/>
        </w:tabs>
        <w:jc w:val="both"/>
      </w:pPr>
    </w:p>
    <w:p w:rsidR="002C1EFF" w:rsidRPr="003B153B" w:rsidRDefault="003B153B" w:rsidP="002C1EFF">
      <w:pPr>
        <w:autoSpaceDE w:val="0"/>
        <w:autoSpaceDN w:val="0"/>
        <w:adjustRightInd w:val="0"/>
        <w:ind w:left="720"/>
        <w:jc w:val="both"/>
        <w:rPr>
          <w:i/>
          <w:u w:val="single"/>
        </w:rPr>
      </w:pPr>
      <w:r w:rsidRPr="003B153B">
        <w:rPr>
          <w:i/>
          <w:u w:val="single"/>
        </w:rPr>
        <w:t xml:space="preserve">vi. </w:t>
      </w:r>
      <w:r w:rsidR="002C1EFF" w:rsidRPr="003B153B">
        <w:rPr>
          <w:i/>
          <w:u w:val="single"/>
        </w:rPr>
        <w:t>Contractual Services - Profession</w:t>
      </w:r>
      <w:r w:rsidR="005E745A">
        <w:rPr>
          <w:i/>
          <w:u w:val="single"/>
        </w:rPr>
        <w:t>al</w:t>
      </w:r>
    </w:p>
    <w:p w:rsidR="003B153B" w:rsidRDefault="003B153B" w:rsidP="002C1EFF">
      <w:pPr>
        <w:jc w:val="both"/>
      </w:pPr>
    </w:p>
    <w:p w:rsidR="002C1EFF" w:rsidRPr="00321A1F" w:rsidRDefault="003B153B" w:rsidP="002C1EFF">
      <w:pPr>
        <w:jc w:val="both"/>
      </w:pPr>
      <w:r>
        <w:tab/>
      </w:r>
      <w:r w:rsidR="002C1EFF" w:rsidRPr="00321A1F">
        <w:t xml:space="preserve">Aquarina recorded Contractual Services – Professional expense of $3,807 for potable water, non-potable water, and wastewater. This account consists of expenses related to income tax and PSC Annual Report preparation. </w:t>
      </w:r>
      <w:r>
        <w:t>We</w:t>
      </w:r>
      <w:r w:rsidR="002C1EFF" w:rsidRPr="00321A1F">
        <w:t xml:space="preserve"> reduced this account by $533 ($666 - $133) for potable water, non-potable water, and wastewater to remove accounting expenses associated with filing an extension for income taxes. Since this expense is non-recurring, </w:t>
      </w:r>
      <w:r>
        <w:t>we</w:t>
      </w:r>
      <w:r w:rsidR="002C1EFF" w:rsidRPr="00321A1F">
        <w:t xml:space="preserve"> decreased this account by $666 for potable water, non-potable water, and wastewater </w:t>
      </w:r>
      <w:r w:rsidR="00FB12B4">
        <w:t>(</w:t>
      </w:r>
      <w:r w:rsidR="002C1EFF" w:rsidRPr="00321A1F">
        <w:t>to remove the expense</w:t>
      </w:r>
      <w:r w:rsidR="00FB12B4">
        <w:t>)</w:t>
      </w:r>
      <w:r w:rsidR="002C1EFF" w:rsidRPr="00321A1F">
        <w:t xml:space="preserve"> and increased this expense by $133 for potable water, non-potable water, and wastewater </w:t>
      </w:r>
      <w:r w:rsidR="00FB12B4">
        <w:t>(</w:t>
      </w:r>
      <w:r w:rsidR="002C1EFF" w:rsidRPr="00321A1F">
        <w:t>to amortize the amount over five years</w:t>
      </w:r>
      <w:r w:rsidR="00FB12B4">
        <w:t>)</w:t>
      </w:r>
      <w:r w:rsidR="002C1EFF" w:rsidRPr="00321A1F">
        <w:t>. Th</w:t>
      </w:r>
      <w:r>
        <w:t>us,</w:t>
      </w:r>
      <w:r w:rsidR="002C1EFF" w:rsidRPr="00321A1F">
        <w:t xml:space="preserve"> </w:t>
      </w:r>
      <w:r>
        <w:t xml:space="preserve">we approve </w:t>
      </w:r>
      <w:r w:rsidR="002C1EFF" w:rsidRPr="00321A1F">
        <w:t>Contractual Services Professional Expense</w:t>
      </w:r>
      <w:r w:rsidR="00FB12B4">
        <w:t>s</w:t>
      </w:r>
      <w:r w:rsidR="002C1EFF" w:rsidRPr="00321A1F">
        <w:t xml:space="preserve"> of $3,274 for potable water, non-potable water, and wastewater.</w:t>
      </w:r>
    </w:p>
    <w:p w:rsidR="002C1EFF" w:rsidRPr="00321A1F" w:rsidRDefault="002C1EFF" w:rsidP="002C1EFF">
      <w:pPr>
        <w:jc w:val="both"/>
      </w:pPr>
    </w:p>
    <w:p w:rsidR="002C1EFF" w:rsidRPr="003B153B" w:rsidRDefault="003B153B" w:rsidP="002C1EFF">
      <w:pPr>
        <w:ind w:firstLine="720"/>
        <w:jc w:val="both"/>
        <w:rPr>
          <w:i/>
          <w:u w:val="single"/>
        </w:rPr>
      </w:pPr>
      <w:r w:rsidRPr="003B153B">
        <w:rPr>
          <w:i/>
          <w:u w:val="single"/>
        </w:rPr>
        <w:t xml:space="preserve">vii. </w:t>
      </w:r>
      <w:r w:rsidR="002C1EFF" w:rsidRPr="003B153B">
        <w:rPr>
          <w:i/>
          <w:u w:val="single"/>
        </w:rPr>
        <w:t>Contractual Services – Management Fees</w:t>
      </w:r>
    </w:p>
    <w:p w:rsidR="003B153B" w:rsidRDefault="003B153B" w:rsidP="002C1EFF">
      <w:pPr>
        <w:jc w:val="both"/>
      </w:pPr>
    </w:p>
    <w:p w:rsidR="002C1EFF" w:rsidRDefault="003B153B" w:rsidP="002C1EFF">
      <w:pPr>
        <w:jc w:val="both"/>
      </w:pPr>
      <w:r>
        <w:tab/>
      </w:r>
      <w:r w:rsidR="002C1EFF" w:rsidRPr="00321A1F">
        <w:t xml:space="preserve">Aquarina recorded Contractual Services – Management Fees expense of $1,930 for potable water, non-potable water, and wastewater. </w:t>
      </w:r>
      <w:r>
        <w:t>Upon review, we find this amount to be reas</w:t>
      </w:r>
      <w:r w:rsidR="002C1EFF" w:rsidRPr="00321A1F">
        <w:t>onable</w:t>
      </w:r>
      <w:r>
        <w:t>; however, we do not approve</w:t>
      </w:r>
      <w:r w:rsidR="002C1EFF" w:rsidRPr="00321A1F">
        <w:t xml:space="preserve"> an increase related to payroll processing for the new employees requested by the Utility.</w:t>
      </w:r>
    </w:p>
    <w:p w:rsidR="003B153B" w:rsidRPr="00321A1F" w:rsidRDefault="003B153B" w:rsidP="002C1EFF">
      <w:pPr>
        <w:jc w:val="both"/>
      </w:pPr>
    </w:p>
    <w:p w:rsidR="002C1EFF" w:rsidRPr="003B153B" w:rsidRDefault="003B153B" w:rsidP="002C1EFF">
      <w:pPr>
        <w:ind w:firstLine="720"/>
        <w:jc w:val="both"/>
        <w:rPr>
          <w:i/>
          <w:u w:val="single"/>
        </w:rPr>
      </w:pPr>
      <w:r w:rsidRPr="003B153B">
        <w:rPr>
          <w:i/>
          <w:u w:val="single"/>
        </w:rPr>
        <w:t xml:space="preserve">viii. </w:t>
      </w:r>
      <w:r w:rsidR="002C1EFF" w:rsidRPr="003B153B">
        <w:rPr>
          <w:i/>
          <w:u w:val="single"/>
        </w:rPr>
        <w:t>Contractual Services - Testing</w:t>
      </w:r>
    </w:p>
    <w:p w:rsidR="003B153B" w:rsidRDefault="003B153B" w:rsidP="002C1EFF">
      <w:pPr>
        <w:jc w:val="both"/>
      </w:pPr>
    </w:p>
    <w:p w:rsidR="002C1EFF" w:rsidRDefault="003B153B" w:rsidP="002C1EFF">
      <w:pPr>
        <w:jc w:val="both"/>
      </w:pPr>
      <w:r>
        <w:tab/>
      </w:r>
      <w:r w:rsidR="002C1EFF" w:rsidRPr="00321A1F">
        <w:t xml:space="preserve">Aquarina recorded Contractual Services - Testing expense of $669 for potable water and $3,107 for wastewater. </w:t>
      </w:r>
      <w:r>
        <w:t>We</w:t>
      </w:r>
      <w:r w:rsidR="002C1EFF" w:rsidRPr="00321A1F">
        <w:t xml:space="preserve"> reduced potable water by $401 and wastewater by $1,106. These adjustments remove non-utility testing expenses that were identified during the review of the contract vendors’ invoices for testing services. Therefore, </w:t>
      </w:r>
      <w:r>
        <w:t>we approve</w:t>
      </w:r>
      <w:r w:rsidR="002C1EFF" w:rsidRPr="00321A1F">
        <w:t xml:space="preserve"> Contractual Services – Testing expenses of $268 ($669 - $401) for potable water and $2,001 ($3,107 - $1,106) for wastewater.</w:t>
      </w:r>
    </w:p>
    <w:p w:rsidR="002C1EFF" w:rsidRPr="00E253E6" w:rsidRDefault="00E253E6" w:rsidP="002C1EFF">
      <w:pPr>
        <w:ind w:left="720"/>
        <w:jc w:val="both"/>
        <w:rPr>
          <w:i/>
          <w:u w:val="single"/>
        </w:rPr>
      </w:pPr>
      <w:r w:rsidRPr="00DA2643">
        <w:rPr>
          <w:i/>
          <w:u w:val="single"/>
        </w:rPr>
        <w:lastRenderedPageBreak/>
        <w:t xml:space="preserve">ix. </w:t>
      </w:r>
      <w:r w:rsidR="002C1EFF" w:rsidRPr="00DA2643">
        <w:rPr>
          <w:i/>
          <w:u w:val="single"/>
        </w:rPr>
        <w:t>Contractual Services - Other</w:t>
      </w:r>
    </w:p>
    <w:p w:rsidR="00E253E6" w:rsidRDefault="00E253E6" w:rsidP="002C1EFF">
      <w:pPr>
        <w:jc w:val="both"/>
      </w:pPr>
    </w:p>
    <w:p w:rsidR="002C1EFF" w:rsidRPr="00321A1F" w:rsidRDefault="00E253E6" w:rsidP="002C1EFF">
      <w:pPr>
        <w:jc w:val="both"/>
      </w:pPr>
      <w:r>
        <w:tab/>
      </w:r>
      <w:r w:rsidR="002C1EFF" w:rsidRPr="00321A1F">
        <w:t xml:space="preserve">Aquarina recorded Contractual Services - Other expense of $2,737 for potable water, $6,541 for non-potable water, and $2,154 for wastewater. </w:t>
      </w:r>
      <w:r>
        <w:t>We</w:t>
      </w:r>
      <w:r w:rsidR="002C1EFF" w:rsidRPr="00321A1F">
        <w:t xml:space="preserve"> reduced non-potable water expense by $3,620 to reclassify and capitalize to Account 311 – Pumping Equipment, the cost to replace a 75-hp non-potable well pump at the water plant. </w:t>
      </w:r>
      <w:r>
        <w:t>We</w:t>
      </w:r>
      <w:r w:rsidR="002C1EFF" w:rsidRPr="00321A1F">
        <w:t xml:space="preserve"> increased potable water by $2,703 and non-potable water by $720 to include contract labor </w:t>
      </w:r>
      <w:r w:rsidR="00DA2643">
        <w:t>(</w:t>
      </w:r>
      <w:r w:rsidR="002C1EFF" w:rsidRPr="00321A1F">
        <w:t>to service the potable booster pumps</w:t>
      </w:r>
      <w:r w:rsidR="00DA2643">
        <w:t>)</w:t>
      </w:r>
      <w:r w:rsidR="002C1EFF" w:rsidRPr="00321A1F">
        <w:t xml:space="preserve"> </w:t>
      </w:r>
      <w:r w:rsidR="00DA2643">
        <w:t xml:space="preserve">that was </w:t>
      </w:r>
      <w:r w:rsidR="002C1EFF" w:rsidRPr="00321A1F">
        <w:t xml:space="preserve">shown on an October miscellaneous expense voucher </w:t>
      </w:r>
      <w:r w:rsidR="00DA2643">
        <w:t xml:space="preserve">but </w:t>
      </w:r>
      <w:r w:rsidR="002C1EFF" w:rsidRPr="00321A1F">
        <w:t xml:space="preserve">not posted to the general ledger. </w:t>
      </w:r>
    </w:p>
    <w:p w:rsidR="002C1EFF" w:rsidRPr="00321A1F" w:rsidRDefault="002C1EFF" w:rsidP="002C1EFF">
      <w:pPr>
        <w:jc w:val="both"/>
      </w:pPr>
    </w:p>
    <w:p w:rsidR="002C1EFF" w:rsidRPr="00321A1F" w:rsidRDefault="00E253E6" w:rsidP="002C1EFF">
      <w:pPr>
        <w:jc w:val="both"/>
      </w:pPr>
      <w:r>
        <w:tab/>
        <w:t>We</w:t>
      </w:r>
      <w:r w:rsidR="002C1EFF" w:rsidRPr="00321A1F">
        <w:t xml:space="preserve"> also increased this expense for potable water by $1,160, for non-potable water by $36, and wastewater by $298 to reflect an amortized amount of pro forma repairs. Since this increase is non-recurring, </w:t>
      </w:r>
      <w:r>
        <w:t>we have</w:t>
      </w:r>
      <w:r w:rsidR="002C1EFF" w:rsidRPr="00321A1F">
        <w:t xml:space="preserve"> amortized this amount over five years in accordance with Rule 25-30.433(8), F.A.C. </w:t>
      </w:r>
      <w:r>
        <w:t>We</w:t>
      </w:r>
      <w:r w:rsidR="002C1EFF" w:rsidRPr="00321A1F">
        <w:t xml:space="preserve"> also reduced this expense by $783 for potable water, $1,872 for non-potable water, and $390 for wastewater to remove charges for meter reading that will be performed by one of the new employees</w:t>
      </w:r>
      <w:r w:rsidR="00DA2643">
        <w:t>.</w:t>
      </w:r>
      <w:r w:rsidR="002C1EFF" w:rsidRPr="00321A1F">
        <w:t xml:space="preserve"> </w:t>
      </w:r>
    </w:p>
    <w:p w:rsidR="002C1EFF" w:rsidRPr="00321A1F" w:rsidRDefault="002C1EFF" w:rsidP="002C1EFF">
      <w:pPr>
        <w:jc w:val="both"/>
      </w:pPr>
    </w:p>
    <w:p w:rsidR="002C1EFF" w:rsidRPr="00321A1F" w:rsidRDefault="00E253E6" w:rsidP="002C1EFF">
      <w:pPr>
        <w:jc w:val="both"/>
      </w:pPr>
      <w:r>
        <w:tab/>
        <w:t>We</w:t>
      </w:r>
      <w:r w:rsidR="002C1EFF" w:rsidRPr="00321A1F">
        <w:t xml:space="preserve"> further reduced this expense by $183 for potable water, $437 for non-potable water, and $584 for wastewater to remove and amortize non-recurring expenses in this account. Th</w:t>
      </w:r>
      <w:r>
        <w:t>us, we approve</w:t>
      </w:r>
      <w:r w:rsidR="002C1EFF" w:rsidRPr="00321A1F">
        <w:t xml:space="preserve"> Contractual Services – Other expense of $5,634 ($2,737 + $2,703 + $1,160 - $783 - $183) for potable water, $1,368 ($6,541 - $3,620 + $720 + $36 - $1,872 - $437) for non-potable water, and $1,478 ($2,154 + $298 - $390 - $584) for wastewater.</w:t>
      </w:r>
    </w:p>
    <w:p w:rsidR="002C1EFF" w:rsidRPr="00321A1F" w:rsidRDefault="002C1EFF" w:rsidP="002C1EFF">
      <w:pPr>
        <w:jc w:val="both"/>
      </w:pPr>
    </w:p>
    <w:p w:rsidR="002C1EFF" w:rsidRPr="00E253E6" w:rsidRDefault="00E253E6" w:rsidP="002C1EFF">
      <w:pPr>
        <w:autoSpaceDE w:val="0"/>
        <w:autoSpaceDN w:val="0"/>
        <w:adjustRightInd w:val="0"/>
        <w:ind w:left="720"/>
        <w:jc w:val="both"/>
        <w:rPr>
          <w:i/>
          <w:u w:val="single"/>
        </w:rPr>
      </w:pPr>
      <w:r w:rsidRPr="00E253E6">
        <w:rPr>
          <w:i/>
          <w:u w:val="single"/>
        </w:rPr>
        <w:t xml:space="preserve">x. </w:t>
      </w:r>
      <w:r w:rsidR="002C1EFF" w:rsidRPr="00E253E6">
        <w:rPr>
          <w:i/>
          <w:u w:val="single"/>
        </w:rPr>
        <w:t>Rental of Building/Property</w:t>
      </w:r>
    </w:p>
    <w:p w:rsidR="00E253E6" w:rsidRDefault="00E253E6" w:rsidP="002C1EFF">
      <w:pPr>
        <w:autoSpaceDE w:val="0"/>
        <w:autoSpaceDN w:val="0"/>
        <w:adjustRightInd w:val="0"/>
        <w:jc w:val="both"/>
      </w:pPr>
    </w:p>
    <w:p w:rsidR="002C1EFF" w:rsidRPr="00321A1F" w:rsidRDefault="00E253E6" w:rsidP="002C1EFF">
      <w:pPr>
        <w:autoSpaceDE w:val="0"/>
        <w:autoSpaceDN w:val="0"/>
        <w:adjustRightInd w:val="0"/>
        <w:jc w:val="both"/>
      </w:pPr>
      <w:r>
        <w:tab/>
      </w:r>
      <w:r w:rsidR="002C1EFF" w:rsidRPr="00321A1F">
        <w:t xml:space="preserve">Aquarina recorded Rental of Building/Property expense of $334 for potable and non-potable water, and $333 for wastewater. </w:t>
      </w:r>
      <w:r>
        <w:t>We</w:t>
      </w:r>
      <w:r w:rsidR="002C1EFF" w:rsidRPr="00321A1F">
        <w:t xml:space="preserve"> decreased this expense for potable and non-potable water by $334, and wastewater expense by $333 for the test year. This adjustment removes the 2014 office rental expense for an office at the owner’s home</w:t>
      </w:r>
      <w:r>
        <w:t>; t</w:t>
      </w:r>
      <w:r w:rsidR="002C1EFF" w:rsidRPr="00321A1F">
        <w:t xml:space="preserve">hat office is no longer needed as the Utility now has an onsite office. </w:t>
      </w:r>
      <w:r>
        <w:t>We</w:t>
      </w:r>
      <w:r w:rsidR="002C1EFF" w:rsidRPr="00321A1F">
        <w:t xml:space="preserve"> then increased Rental of Building/Property expense by $3,000 for potable water, non-potable water, and wastewater to reflect the rental of 1,200 square feet of a 2,400 square foot maintenance/storage building on the owner’s property. This represents a price per square foot of $0.63. While related party transactions require close scrutiny, the fact that the transaction is between related parties does not mean that the transaction is unreasonable. However, it is a Utility’s burden to prove that its costs are reasonable. The burden is even greater when the transaction is between related parties. The Florida Supreme Court established that the standard to use in evaluating affiliate transactions is whether those transactions exceed the going market rate or are otherwise inherently unfair. Based on </w:t>
      </w:r>
      <w:r>
        <w:t>our review, we</w:t>
      </w:r>
      <w:r w:rsidR="002C1EFF" w:rsidRPr="00321A1F">
        <w:t xml:space="preserve"> reduced Rental of Building/Property expense by $396 for potable water, non-potable water, and wastewater to reflect a price per square foot of $0.54. This price was derived by taking the average rental price for seven similarly</w:t>
      </w:r>
      <w:r w:rsidR="00DA2643">
        <w:t>-</w:t>
      </w:r>
      <w:r w:rsidR="002C1EFF" w:rsidRPr="00321A1F">
        <w:t xml:space="preserve">sized warehouse rentals in the City of Melbourne. </w:t>
      </w:r>
      <w:r>
        <w:t>Based on the foregoing</w:t>
      </w:r>
      <w:r w:rsidR="00B6438C">
        <w:t xml:space="preserve">, </w:t>
      </w:r>
      <w:r w:rsidR="00B6438C" w:rsidRPr="00321A1F">
        <w:t>we</w:t>
      </w:r>
      <w:r>
        <w:t xml:space="preserve"> approve </w:t>
      </w:r>
      <w:r w:rsidR="002C1EFF" w:rsidRPr="00321A1F">
        <w:t>Rental of Building/Property expense of $2,604 ($334 - $334 + $3,000 - $396) for potable and non-potable water, and $2,604 ($333 - $333 + $3,000 - $396) for wastewater.</w:t>
      </w:r>
    </w:p>
    <w:p w:rsidR="002C1EFF" w:rsidRPr="00321A1F" w:rsidRDefault="002C1EFF" w:rsidP="002C1EFF">
      <w:pPr>
        <w:autoSpaceDE w:val="0"/>
        <w:autoSpaceDN w:val="0"/>
        <w:adjustRightInd w:val="0"/>
        <w:jc w:val="both"/>
      </w:pPr>
    </w:p>
    <w:p w:rsidR="00E253E6" w:rsidRDefault="00E253E6" w:rsidP="00E253E6">
      <w:pPr>
        <w:autoSpaceDE w:val="0"/>
        <w:autoSpaceDN w:val="0"/>
        <w:adjustRightInd w:val="0"/>
        <w:ind w:left="720"/>
        <w:jc w:val="both"/>
        <w:rPr>
          <w:i/>
          <w:u w:val="single"/>
        </w:rPr>
      </w:pPr>
    </w:p>
    <w:p w:rsidR="00E253E6" w:rsidRDefault="00E253E6" w:rsidP="00E253E6">
      <w:pPr>
        <w:autoSpaceDE w:val="0"/>
        <w:autoSpaceDN w:val="0"/>
        <w:adjustRightInd w:val="0"/>
        <w:ind w:left="720"/>
        <w:jc w:val="both"/>
        <w:rPr>
          <w:i/>
          <w:u w:val="single"/>
        </w:rPr>
      </w:pPr>
      <w:r w:rsidRPr="00E253E6">
        <w:rPr>
          <w:i/>
          <w:u w:val="single"/>
        </w:rPr>
        <w:lastRenderedPageBreak/>
        <w:t xml:space="preserve">xi. </w:t>
      </w:r>
      <w:r w:rsidR="002C1EFF" w:rsidRPr="00E253E6">
        <w:rPr>
          <w:i/>
          <w:u w:val="single"/>
        </w:rPr>
        <w:t>Rental of Equipment</w:t>
      </w:r>
    </w:p>
    <w:p w:rsidR="00E253E6" w:rsidRDefault="00E253E6" w:rsidP="00E253E6">
      <w:pPr>
        <w:autoSpaceDE w:val="0"/>
        <w:autoSpaceDN w:val="0"/>
        <w:adjustRightInd w:val="0"/>
        <w:ind w:left="720"/>
        <w:jc w:val="both"/>
        <w:rPr>
          <w:i/>
          <w:u w:val="single"/>
        </w:rPr>
      </w:pPr>
    </w:p>
    <w:p w:rsidR="002C1EFF" w:rsidRPr="00E253E6" w:rsidRDefault="00E253E6" w:rsidP="00DA2643">
      <w:pPr>
        <w:autoSpaceDE w:val="0"/>
        <w:autoSpaceDN w:val="0"/>
        <w:adjustRightInd w:val="0"/>
        <w:jc w:val="both"/>
        <w:rPr>
          <w:i/>
          <w:u w:val="single"/>
        </w:rPr>
      </w:pPr>
      <w:r w:rsidRPr="00E253E6">
        <w:tab/>
      </w:r>
      <w:r w:rsidR="002C1EFF" w:rsidRPr="00321A1F">
        <w:t xml:space="preserve">Aquarina recorded Rental of Equipment expense of $7,800 for potable water, non-potable water, and wastewater. The owners of the Utility own this equipment and lease it to the Utility. </w:t>
      </w:r>
      <w:r>
        <w:t>We</w:t>
      </w:r>
      <w:r w:rsidR="002C1EFF" w:rsidRPr="00321A1F">
        <w:t xml:space="preserve"> reduced this expense for potable water, non-potable water, and wastewater by $7,800 for the test year. These adjustments remove 2014 water and wastewater annual equipment lease expenses. </w:t>
      </w:r>
      <w:r>
        <w:t>We</w:t>
      </w:r>
      <w:r w:rsidR="002C1EFF" w:rsidRPr="00321A1F">
        <w:t xml:space="preserve"> then increased Rental of Equipment expense by $6,000 for potable water, non-potable water, and wastewater to include the 2015 water and wastewater lease expense. </w:t>
      </w:r>
      <w:r>
        <w:t>We</w:t>
      </w:r>
      <w:r w:rsidR="002C1EFF" w:rsidRPr="00321A1F">
        <w:t xml:space="preserve"> reduced Rental of Equipment expense by $1,200 for potable water, non-potable water, and wastewater. This adjustment removes the lease for a lawn mower </w:t>
      </w:r>
      <w:r w:rsidR="00543081">
        <w:t>(</w:t>
      </w:r>
      <w:r w:rsidR="002C1EFF" w:rsidRPr="00321A1F">
        <w:t>because Aquarina has purchased a mower</w:t>
      </w:r>
      <w:r w:rsidR="00543081">
        <w:t xml:space="preserve">), reduces </w:t>
      </w:r>
      <w:r w:rsidR="002C1EFF" w:rsidRPr="00321A1F">
        <w:t>a separate lawn equipment lease</w:t>
      </w:r>
      <w:r w:rsidR="00543081">
        <w:t xml:space="preserve">, and </w:t>
      </w:r>
      <w:r w:rsidR="002C1EFF" w:rsidRPr="00321A1F">
        <w:t xml:space="preserve">removes the electric golf cart and dump trailer </w:t>
      </w:r>
      <w:r w:rsidR="00543081">
        <w:t>(</w:t>
      </w:r>
      <w:r w:rsidR="002C1EFF" w:rsidRPr="00321A1F">
        <w:t xml:space="preserve">which </w:t>
      </w:r>
      <w:r w:rsidR="00543081">
        <w:t>are d</w:t>
      </w:r>
      <w:r w:rsidR="002C1EFF" w:rsidRPr="00321A1F">
        <w:t>uplicative given the other equipment already rented by the Utility</w:t>
      </w:r>
      <w:r w:rsidR="00543081">
        <w:t>)</w:t>
      </w:r>
      <w:r w:rsidR="002C1EFF" w:rsidRPr="00321A1F">
        <w:t xml:space="preserve">. Thus, </w:t>
      </w:r>
      <w:r w:rsidR="00543081">
        <w:t xml:space="preserve">we </w:t>
      </w:r>
      <w:r w:rsidR="00B6438C">
        <w:t xml:space="preserve">approve </w:t>
      </w:r>
      <w:r w:rsidR="00B6438C" w:rsidRPr="00321A1F">
        <w:t>Rental</w:t>
      </w:r>
      <w:r w:rsidR="002C1EFF" w:rsidRPr="00321A1F">
        <w:t xml:space="preserve"> of Equipment expense of $4,800 ($7,800 - $7,800 + $6,000 - $1,200) for potable water, non-potable water, and wastewater.</w:t>
      </w:r>
    </w:p>
    <w:p w:rsidR="002C1EFF" w:rsidRPr="00321A1F" w:rsidRDefault="002C1EFF" w:rsidP="002C1EFF">
      <w:pPr>
        <w:autoSpaceDE w:val="0"/>
        <w:autoSpaceDN w:val="0"/>
        <w:adjustRightInd w:val="0"/>
        <w:ind w:left="720"/>
        <w:jc w:val="both"/>
        <w:rPr>
          <w:b/>
        </w:rPr>
      </w:pPr>
      <w:r w:rsidRPr="00321A1F">
        <w:t xml:space="preserve"> </w:t>
      </w:r>
      <w:r w:rsidRPr="00321A1F">
        <w:tab/>
      </w:r>
    </w:p>
    <w:p w:rsidR="002C1EFF" w:rsidRPr="00543081" w:rsidRDefault="00543081" w:rsidP="002C1EFF">
      <w:pPr>
        <w:autoSpaceDE w:val="0"/>
        <w:autoSpaceDN w:val="0"/>
        <w:adjustRightInd w:val="0"/>
        <w:ind w:left="720"/>
        <w:jc w:val="both"/>
        <w:rPr>
          <w:i/>
          <w:u w:val="single"/>
        </w:rPr>
      </w:pPr>
      <w:r w:rsidRPr="00543081">
        <w:rPr>
          <w:i/>
          <w:u w:val="single"/>
        </w:rPr>
        <w:t xml:space="preserve">xii. </w:t>
      </w:r>
      <w:r w:rsidR="002C1EFF" w:rsidRPr="00543081">
        <w:rPr>
          <w:i/>
          <w:u w:val="single"/>
        </w:rPr>
        <w:t xml:space="preserve">Transportation Expense </w:t>
      </w:r>
    </w:p>
    <w:p w:rsidR="00543081" w:rsidRDefault="00543081" w:rsidP="002C1EFF">
      <w:pPr>
        <w:autoSpaceDE w:val="0"/>
        <w:autoSpaceDN w:val="0"/>
        <w:adjustRightInd w:val="0"/>
        <w:jc w:val="both"/>
      </w:pPr>
    </w:p>
    <w:p w:rsidR="002C1EFF" w:rsidRPr="00321A1F" w:rsidRDefault="00543081" w:rsidP="002C1EFF">
      <w:pPr>
        <w:autoSpaceDE w:val="0"/>
        <w:autoSpaceDN w:val="0"/>
        <w:adjustRightInd w:val="0"/>
        <w:jc w:val="both"/>
      </w:pPr>
      <w:r>
        <w:tab/>
      </w:r>
      <w:r w:rsidR="002C1EFF" w:rsidRPr="00321A1F">
        <w:t xml:space="preserve">Aquarina recorded Transportation expense of $3,731 for potable water, $8,917 for non-potable water, and $6,520 for wastewater. During the test year, Aquarina paid $3,518 for mileage reimbursements to its employees and contractors. </w:t>
      </w:r>
    </w:p>
    <w:p w:rsidR="002C1EFF" w:rsidRPr="00321A1F" w:rsidRDefault="002C1EFF" w:rsidP="002C1EFF">
      <w:pPr>
        <w:autoSpaceDE w:val="0"/>
        <w:autoSpaceDN w:val="0"/>
        <w:adjustRightInd w:val="0"/>
        <w:jc w:val="both"/>
      </w:pPr>
    </w:p>
    <w:p w:rsidR="002C1EFF" w:rsidRPr="00321A1F" w:rsidRDefault="00543081" w:rsidP="002C1EFF">
      <w:pPr>
        <w:autoSpaceDE w:val="0"/>
        <w:autoSpaceDN w:val="0"/>
        <w:adjustRightInd w:val="0"/>
        <w:jc w:val="both"/>
      </w:pPr>
      <w:r>
        <w:tab/>
      </w:r>
      <w:r w:rsidR="002C1EFF" w:rsidRPr="00321A1F">
        <w:t xml:space="preserve">The office manager uses her personal vehicle to travel to and from the bank, post office, and for other related duties. She estimated her monthly mileage to be 645 miles based on historical documents. </w:t>
      </w:r>
      <w:r>
        <w:t xml:space="preserve">Upon review, we find </w:t>
      </w:r>
      <w:r w:rsidR="002C1EFF" w:rsidRPr="00321A1F">
        <w:t xml:space="preserve">the mileage estimate </w:t>
      </w:r>
      <w:r>
        <w:t>to be</w:t>
      </w:r>
      <w:r w:rsidR="002C1EFF" w:rsidRPr="00321A1F">
        <w:t xml:space="preserve"> reasonable given the remote location of the Utility with respect to commercial centers of business, such as the bank and post office.</w:t>
      </w:r>
      <w:r>
        <w:t xml:space="preserve"> We approve reimbursement of </w:t>
      </w:r>
      <w:r w:rsidR="002C1EFF" w:rsidRPr="00321A1F">
        <w:t>the office manager for the business use of her personal vehicle at the IRS 2015 mileage rate of $0.575 applied to an annual estimate of 7,740 miles (645 miles per month x 12 months). This results in an annual amount of $4,451 (7,740 x $0.575). Th</w:t>
      </w:r>
      <w:r>
        <w:t xml:space="preserve">us, we </w:t>
      </w:r>
      <w:r w:rsidR="002C1EFF" w:rsidRPr="00321A1F">
        <w:t>made a net increase to Transportation expense of $933 ($4,451 - $3,518), allocated at $183 for potable water, $439 for non-potable water, and $311 for wastewater.</w:t>
      </w:r>
    </w:p>
    <w:p w:rsidR="002C1EFF" w:rsidRPr="00321A1F" w:rsidRDefault="002C1EFF" w:rsidP="002C1EFF">
      <w:pPr>
        <w:autoSpaceDE w:val="0"/>
        <w:autoSpaceDN w:val="0"/>
        <w:adjustRightInd w:val="0"/>
        <w:jc w:val="both"/>
      </w:pPr>
    </w:p>
    <w:p w:rsidR="002C1EFF" w:rsidRPr="00321A1F" w:rsidRDefault="00543081" w:rsidP="002C1EFF">
      <w:pPr>
        <w:autoSpaceDE w:val="0"/>
        <w:autoSpaceDN w:val="0"/>
        <w:adjustRightInd w:val="0"/>
        <w:jc w:val="both"/>
      </w:pPr>
      <w:r>
        <w:tab/>
      </w:r>
      <w:r w:rsidR="002C1EFF" w:rsidRPr="00321A1F">
        <w:t xml:space="preserve">The fuel portion of the Transportation expense was reduced by $733 for potable water, $1,752 for non-potable water, and $1,242 for wastewater to remove reimbursement for non-utility </w:t>
      </w:r>
      <w:r w:rsidR="00B6438C" w:rsidRPr="00321A1F">
        <w:t>purchases.</w:t>
      </w:r>
      <w:r w:rsidR="00B6438C">
        <w:t xml:space="preserve"> We</w:t>
      </w:r>
      <w:r w:rsidR="002C1EFF" w:rsidRPr="00321A1F">
        <w:t xml:space="preserve"> also reduced Transportation expense by $292 for potable water, $699 for non-potable water, and $496 for wastewater to remove repairs for non-utility vehicles. </w:t>
      </w:r>
      <w:r>
        <w:t>Finally, we</w:t>
      </w:r>
      <w:r w:rsidR="002C1EFF" w:rsidRPr="00321A1F">
        <w:t xml:space="preserve"> removed expenses of $148 for potable water, $352 for non-potable water, and $250 for wastewater related to unsupported costs for airline tickets. Th</w:t>
      </w:r>
      <w:r>
        <w:t xml:space="preserve">us, we approve </w:t>
      </w:r>
      <w:r w:rsidR="002C1EFF" w:rsidRPr="00321A1F">
        <w:t>Transportation expense of $2,742 ($3,731 + $183 - $733 - $292 - $148) for potable water, $6,552 ($8,917 + $439 - $1,752 - $699 - $352) for non-potable water, and $4,843 ($6,520 + $311 - $1,242 - $496 - $250) for wastewater.</w:t>
      </w:r>
    </w:p>
    <w:p w:rsidR="002C1EFF" w:rsidRPr="00321A1F" w:rsidRDefault="002C1EFF" w:rsidP="002C1EFF">
      <w:pPr>
        <w:autoSpaceDE w:val="0"/>
        <w:autoSpaceDN w:val="0"/>
        <w:adjustRightInd w:val="0"/>
        <w:jc w:val="both"/>
      </w:pPr>
    </w:p>
    <w:p w:rsidR="002C1EFF" w:rsidRPr="00543081" w:rsidRDefault="00543081" w:rsidP="002C1EFF">
      <w:pPr>
        <w:autoSpaceDE w:val="0"/>
        <w:autoSpaceDN w:val="0"/>
        <w:adjustRightInd w:val="0"/>
        <w:ind w:left="720"/>
        <w:jc w:val="both"/>
        <w:rPr>
          <w:i/>
          <w:u w:val="single"/>
        </w:rPr>
      </w:pPr>
      <w:r w:rsidRPr="00543081">
        <w:rPr>
          <w:i/>
          <w:u w:val="single"/>
        </w:rPr>
        <w:t xml:space="preserve">xiii. </w:t>
      </w:r>
      <w:r w:rsidR="002C1EFF" w:rsidRPr="00543081">
        <w:rPr>
          <w:i/>
          <w:u w:val="single"/>
        </w:rPr>
        <w:t>Insurance - Vehicles</w:t>
      </w:r>
    </w:p>
    <w:p w:rsidR="00543081" w:rsidRDefault="00543081" w:rsidP="002C1EFF">
      <w:pPr>
        <w:autoSpaceDE w:val="0"/>
        <w:autoSpaceDN w:val="0"/>
        <w:adjustRightInd w:val="0"/>
        <w:jc w:val="both"/>
      </w:pPr>
    </w:p>
    <w:p w:rsidR="002C1EFF" w:rsidRPr="00321A1F" w:rsidRDefault="00543081" w:rsidP="002C1EFF">
      <w:pPr>
        <w:autoSpaceDE w:val="0"/>
        <w:autoSpaceDN w:val="0"/>
        <w:adjustRightInd w:val="0"/>
        <w:jc w:val="both"/>
      </w:pPr>
      <w:r>
        <w:tab/>
      </w:r>
      <w:r w:rsidR="002C1EFF" w:rsidRPr="00321A1F">
        <w:t xml:space="preserve">Aquarina recorded Insurance - Vehicle expense of $1,728 for potable water, non-potable water, and wastewater. </w:t>
      </w:r>
      <w:r>
        <w:t xml:space="preserve">We </w:t>
      </w:r>
      <w:r w:rsidR="002C1EFF" w:rsidRPr="00321A1F">
        <w:t xml:space="preserve">reduced Insurance - Vehicle expense for potable water, non-potable </w:t>
      </w:r>
      <w:r w:rsidR="002C1EFF" w:rsidRPr="00321A1F">
        <w:lastRenderedPageBreak/>
        <w:t>water, and wastewater by $1,162 to remove the 2015 vehicle insurance premiums associated with the electric-powered golf cart and the dump trailer. Th</w:t>
      </w:r>
      <w:r>
        <w:t xml:space="preserve">us, we approve </w:t>
      </w:r>
      <w:r w:rsidR="002C1EFF" w:rsidRPr="00321A1F">
        <w:t>Insurance - Vehicle expense of $566 ($1,728 - $1,162) for potable water, non-potable water, and wastewater.</w:t>
      </w:r>
    </w:p>
    <w:p w:rsidR="002C1EFF" w:rsidRPr="00321A1F" w:rsidRDefault="002C1EFF" w:rsidP="002C1EFF">
      <w:pPr>
        <w:autoSpaceDE w:val="0"/>
        <w:autoSpaceDN w:val="0"/>
        <w:adjustRightInd w:val="0"/>
        <w:jc w:val="both"/>
      </w:pPr>
    </w:p>
    <w:p w:rsidR="00543081" w:rsidRDefault="00543081" w:rsidP="00D43389">
      <w:pPr>
        <w:autoSpaceDE w:val="0"/>
        <w:autoSpaceDN w:val="0"/>
        <w:adjustRightInd w:val="0"/>
        <w:ind w:left="720"/>
        <w:jc w:val="both"/>
        <w:rPr>
          <w:i/>
          <w:u w:val="single"/>
        </w:rPr>
      </w:pPr>
      <w:r w:rsidRPr="00543081">
        <w:rPr>
          <w:i/>
          <w:u w:val="single"/>
        </w:rPr>
        <w:t xml:space="preserve">xiv. </w:t>
      </w:r>
      <w:r w:rsidR="002C1EFF" w:rsidRPr="00543081">
        <w:rPr>
          <w:i/>
          <w:u w:val="single"/>
        </w:rPr>
        <w:t>Insurance - General Liability</w:t>
      </w:r>
    </w:p>
    <w:p w:rsidR="00D43389" w:rsidRDefault="00D43389" w:rsidP="00D43389">
      <w:pPr>
        <w:autoSpaceDE w:val="0"/>
        <w:autoSpaceDN w:val="0"/>
        <w:adjustRightInd w:val="0"/>
        <w:ind w:left="720"/>
        <w:jc w:val="both"/>
      </w:pPr>
    </w:p>
    <w:p w:rsidR="002C1EFF" w:rsidRPr="00321A1F" w:rsidRDefault="00543081" w:rsidP="002C1EFF">
      <w:pPr>
        <w:autoSpaceDE w:val="0"/>
        <w:autoSpaceDN w:val="0"/>
        <w:adjustRightInd w:val="0"/>
        <w:jc w:val="both"/>
      </w:pPr>
      <w:r>
        <w:tab/>
      </w:r>
      <w:r w:rsidR="002C1EFF" w:rsidRPr="00321A1F">
        <w:t xml:space="preserve">Aquarina recorded Insurance - General Liability expense of $2,624 for potable water, non-potable water, and wastewater. </w:t>
      </w:r>
      <w:r>
        <w:t>We</w:t>
      </w:r>
      <w:r w:rsidR="002C1EFF" w:rsidRPr="00321A1F">
        <w:t xml:space="preserve"> reduced potable water and non-potable water by $10, and wastewater expense by $11 to remove the 2014 premium and include the 2015 general liability insurance premiums to reflect the actual going-forward cost for Aquarina. Th</w:t>
      </w:r>
      <w:r>
        <w:t xml:space="preserve">us, we approve </w:t>
      </w:r>
      <w:r w:rsidR="002C1EFF" w:rsidRPr="00321A1F">
        <w:t>Insurance - General Liability expense of $2,614 ($2,624 - $10) for potable water and non-potable water, and $2,613 ($2,624 - $11) for wastewater.</w:t>
      </w:r>
    </w:p>
    <w:p w:rsidR="002C1EFF" w:rsidRPr="00321A1F" w:rsidRDefault="002C1EFF" w:rsidP="002C1EFF">
      <w:pPr>
        <w:autoSpaceDE w:val="0"/>
        <w:autoSpaceDN w:val="0"/>
        <w:adjustRightInd w:val="0"/>
        <w:jc w:val="both"/>
      </w:pPr>
    </w:p>
    <w:p w:rsidR="002C1EFF" w:rsidRPr="00543081" w:rsidRDefault="00543081" w:rsidP="002C1EFF">
      <w:pPr>
        <w:autoSpaceDE w:val="0"/>
        <w:autoSpaceDN w:val="0"/>
        <w:adjustRightInd w:val="0"/>
        <w:ind w:left="720"/>
        <w:jc w:val="both"/>
        <w:rPr>
          <w:i/>
          <w:u w:val="single"/>
        </w:rPr>
      </w:pPr>
      <w:r w:rsidRPr="00543081">
        <w:rPr>
          <w:i/>
          <w:u w:val="single"/>
        </w:rPr>
        <w:t xml:space="preserve">xv. </w:t>
      </w:r>
      <w:r w:rsidR="002C1EFF" w:rsidRPr="00543081">
        <w:rPr>
          <w:i/>
          <w:u w:val="single"/>
        </w:rPr>
        <w:t>Insurance - Other Expense</w:t>
      </w:r>
    </w:p>
    <w:p w:rsidR="00543081" w:rsidRDefault="00543081" w:rsidP="002C1EFF">
      <w:pPr>
        <w:autoSpaceDE w:val="0"/>
        <w:autoSpaceDN w:val="0"/>
        <w:adjustRightInd w:val="0"/>
        <w:jc w:val="both"/>
      </w:pPr>
    </w:p>
    <w:p w:rsidR="002C1EFF" w:rsidRPr="00321A1F" w:rsidRDefault="00543081" w:rsidP="002C1EFF">
      <w:pPr>
        <w:autoSpaceDE w:val="0"/>
        <w:autoSpaceDN w:val="0"/>
        <w:adjustRightInd w:val="0"/>
        <w:jc w:val="both"/>
      </w:pPr>
      <w:r>
        <w:tab/>
      </w:r>
      <w:r w:rsidR="002C1EFF" w:rsidRPr="00321A1F">
        <w:t xml:space="preserve">Aquarina recorded Insurance - Other expense of $2,378 for potable water and non-potable water, and $2,377 for wastewater. </w:t>
      </w:r>
      <w:r>
        <w:t>We</w:t>
      </w:r>
      <w:r w:rsidR="002C1EFF" w:rsidRPr="00321A1F">
        <w:t xml:space="preserve"> reduced Insurance - Other expense by $2,378 for potable water and non-potable water, and $2,377 for wastewater, to remove the 2014 employee health insurance premiums that were reclassified to Account 604/704 – Employee Pension and Benefits expense.</w:t>
      </w:r>
    </w:p>
    <w:p w:rsidR="002C1EFF" w:rsidRPr="00321A1F" w:rsidRDefault="002C1EFF" w:rsidP="002C1EFF">
      <w:pPr>
        <w:autoSpaceDE w:val="0"/>
        <w:autoSpaceDN w:val="0"/>
        <w:adjustRightInd w:val="0"/>
        <w:jc w:val="both"/>
      </w:pPr>
    </w:p>
    <w:p w:rsidR="002C1EFF" w:rsidRPr="00543081" w:rsidRDefault="00543081" w:rsidP="002C1EFF">
      <w:pPr>
        <w:autoSpaceDE w:val="0"/>
        <w:autoSpaceDN w:val="0"/>
        <w:adjustRightInd w:val="0"/>
        <w:ind w:left="720"/>
        <w:jc w:val="both"/>
        <w:rPr>
          <w:i/>
          <w:u w:val="single"/>
        </w:rPr>
      </w:pPr>
      <w:r w:rsidRPr="00543081">
        <w:rPr>
          <w:i/>
          <w:u w:val="single"/>
        </w:rPr>
        <w:t xml:space="preserve">xvi. </w:t>
      </w:r>
      <w:r w:rsidR="002C1EFF" w:rsidRPr="00543081">
        <w:rPr>
          <w:i/>
          <w:u w:val="single"/>
        </w:rPr>
        <w:t>Regulatory Commission Expense</w:t>
      </w:r>
    </w:p>
    <w:p w:rsidR="00543081" w:rsidRDefault="00543081" w:rsidP="002C1EFF">
      <w:pPr>
        <w:jc w:val="both"/>
      </w:pPr>
    </w:p>
    <w:p w:rsidR="002C1EFF" w:rsidRPr="00321A1F" w:rsidRDefault="00543081" w:rsidP="002C1EFF">
      <w:pPr>
        <w:jc w:val="both"/>
      </w:pPr>
      <w:r>
        <w:tab/>
      </w:r>
      <w:r w:rsidR="002C1EFF" w:rsidRPr="00321A1F">
        <w:t xml:space="preserve">Aquarina recorded Regulatory Commission expense of $25 for potable water and non-potable water, and $50 for wastewater. </w:t>
      </w:r>
      <w:r w:rsidR="00DA2643">
        <w:t>We</w:t>
      </w:r>
      <w:r w:rsidR="002C1EFF" w:rsidRPr="00321A1F">
        <w:t xml:space="preserve"> reduced potable water and non-potable water by $25 and reduced wastewater expense by $50 to reclassify the Department of Environmental Regulation (DEP) permit fees to Accounts 675/775 – Miscellaneous expense. By Rule 25-22.0407, F.A.C., the Utility is required to mail notices of the customer meeting and notices of the Phase I and final rates in this case to its customers. For these notices, </w:t>
      </w:r>
      <w:r w:rsidR="00DA2643">
        <w:t>we have</w:t>
      </w:r>
      <w:r w:rsidR="002C1EFF" w:rsidRPr="00321A1F">
        <w:t xml:space="preserve"> estimated $581 for postage, $406 for printing, and $61 for envelopes. Additionally, Aquarina paid a $2,000 rate case filing fee. The Utility also provided invoices and estimates for legal fees of $7,670. This work relates to data requests, reviewing </w:t>
      </w:r>
      <w:r w:rsidR="00DA2643">
        <w:t xml:space="preserve">our </w:t>
      </w:r>
      <w:r w:rsidR="002C1EFF" w:rsidRPr="00321A1F">
        <w:t xml:space="preserve">staff’s report and recommendation, and attending the agenda conference. </w:t>
      </w:r>
      <w:r w:rsidR="00DA2643">
        <w:t>We</w:t>
      </w:r>
      <w:r w:rsidR="002C1EFF" w:rsidRPr="00321A1F">
        <w:t xml:space="preserve"> reviewed the billing rates and hours for this expense. </w:t>
      </w:r>
      <w:r w:rsidR="00DA2643">
        <w:t>We</w:t>
      </w:r>
      <w:r w:rsidR="002C1EFF" w:rsidRPr="00321A1F">
        <w:t xml:space="preserve"> reduced the estimated attorney’s fees by $1,440 (4 hours at $360 per hour) to split the estimated driving time to attend </w:t>
      </w:r>
      <w:r w:rsidR="00B6438C" w:rsidRPr="00321A1F">
        <w:t>our</w:t>
      </w:r>
      <w:r w:rsidR="00DA2643">
        <w:t xml:space="preserve"> Agenda </w:t>
      </w:r>
      <w:r w:rsidR="002C1EFF" w:rsidRPr="00321A1F">
        <w:t>Conference with another</w:t>
      </w:r>
      <w:r w:rsidR="00B6438C">
        <w:t xml:space="preserve"> </w:t>
      </w:r>
      <w:r w:rsidR="002C1EFF" w:rsidRPr="00321A1F">
        <w:t xml:space="preserve">Utility </w:t>
      </w:r>
      <w:r w:rsidR="00B6438C">
        <w:t xml:space="preserve">that </w:t>
      </w:r>
      <w:r w:rsidR="00DA2643">
        <w:t xml:space="preserve">the attorney was </w:t>
      </w:r>
      <w:r w:rsidR="002C1EFF" w:rsidRPr="00321A1F">
        <w:t xml:space="preserve">representing </w:t>
      </w:r>
      <w:r w:rsidR="00DA2643">
        <w:t xml:space="preserve">at </w:t>
      </w:r>
      <w:r w:rsidR="002C1EFF" w:rsidRPr="00321A1F">
        <w:t xml:space="preserve">the same </w:t>
      </w:r>
      <w:r w:rsidR="00DA2643">
        <w:t xml:space="preserve">Agenda </w:t>
      </w:r>
      <w:r w:rsidR="002C1EFF" w:rsidRPr="00321A1F">
        <w:t xml:space="preserve">Conference. Based on the </w:t>
      </w:r>
      <w:r w:rsidR="00DA2643">
        <w:t>foregoing,</w:t>
      </w:r>
      <w:r w:rsidR="002C1EFF" w:rsidRPr="00321A1F">
        <w:t xml:space="preserve"> </w:t>
      </w:r>
      <w:r w:rsidR="00DA2643">
        <w:t>we approve a</w:t>
      </w:r>
      <w:r w:rsidR="002C1EFF" w:rsidRPr="00321A1F">
        <w:t xml:space="preserve"> total Regulatory Commission expense </w:t>
      </w:r>
      <w:r w:rsidR="00DA2643">
        <w:t>of</w:t>
      </w:r>
      <w:r w:rsidR="002C1EFF" w:rsidRPr="00321A1F">
        <w:t xml:space="preserve"> $9,277, which</w:t>
      </w:r>
      <w:r w:rsidR="00DA2643">
        <w:t>,</w:t>
      </w:r>
      <w:r w:rsidR="002C1EFF" w:rsidRPr="00321A1F">
        <w:t xml:space="preserve"> amortized over four years</w:t>
      </w:r>
      <w:r w:rsidR="00DA2643">
        <w:t>,</w:t>
      </w:r>
      <w:r w:rsidR="002C1EFF" w:rsidRPr="00321A1F">
        <w:t xml:space="preserve"> is $2,319. This results in a Regulatory Commission expense of $773 for potable water, non-potable water, and wastewater. </w:t>
      </w:r>
    </w:p>
    <w:p w:rsidR="002C1EFF" w:rsidRPr="00321A1F" w:rsidRDefault="002C1EFF" w:rsidP="002C1EFF">
      <w:pPr>
        <w:jc w:val="both"/>
      </w:pPr>
    </w:p>
    <w:p w:rsidR="002C1EFF" w:rsidRPr="007F08E9" w:rsidRDefault="007F08E9" w:rsidP="002C1EFF">
      <w:pPr>
        <w:autoSpaceDE w:val="0"/>
        <w:autoSpaceDN w:val="0"/>
        <w:adjustRightInd w:val="0"/>
        <w:ind w:left="720"/>
        <w:jc w:val="both"/>
        <w:rPr>
          <w:i/>
          <w:u w:val="single"/>
        </w:rPr>
      </w:pPr>
      <w:r w:rsidRPr="007F08E9">
        <w:rPr>
          <w:i/>
          <w:u w:val="single"/>
        </w:rPr>
        <w:t xml:space="preserve">xvii. </w:t>
      </w:r>
      <w:r w:rsidR="002C1EFF" w:rsidRPr="007F08E9">
        <w:rPr>
          <w:i/>
          <w:u w:val="single"/>
        </w:rPr>
        <w:t>Miscellaneous Expense</w:t>
      </w:r>
    </w:p>
    <w:p w:rsidR="007F08E9" w:rsidRDefault="007F08E9" w:rsidP="002C1EFF">
      <w:pPr>
        <w:jc w:val="both"/>
      </w:pPr>
    </w:p>
    <w:p w:rsidR="002C1EFF" w:rsidRPr="00321A1F" w:rsidRDefault="007F08E9" w:rsidP="002C1EFF">
      <w:pPr>
        <w:jc w:val="both"/>
      </w:pPr>
      <w:r>
        <w:tab/>
      </w:r>
      <w:r w:rsidR="002C1EFF" w:rsidRPr="00321A1F">
        <w:t xml:space="preserve">Aquarina recorded Miscellaneous expense of $4,239 for potable water, $4,239 for non-potable water, and $7,116 for wastewater, respectively. </w:t>
      </w:r>
      <w:r>
        <w:t>We</w:t>
      </w:r>
      <w:r w:rsidR="002C1EFF" w:rsidRPr="00321A1F">
        <w:t xml:space="preserve"> made a net reduction to Miscellaneous expense of $2,253 for potable water, non-potable water, and wastewater. This resulted from removing $9,835 currently in these accounts for telephone and internet expenses </w:t>
      </w:r>
      <w:r w:rsidR="002C1EFF" w:rsidRPr="00321A1F">
        <w:lastRenderedPageBreak/>
        <w:t>and including $2,760 for the going-forward annual cost of one internet and business telephone provider, as well as two cellular telephones used by Aquarina’s full-time employees.</w:t>
      </w:r>
    </w:p>
    <w:p w:rsidR="002C1EFF" w:rsidRPr="00321A1F" w:rsidRDefault="002C1EFF" w:rsidP="002C1EFF">
      <w:pPr>
        <w:jc w:val="both"/>
      </w:pPr>
    </w:p>
    <w:p w:rsidR="002C1EFF" w:rsidRPr="00321A1F" w:rsidRDefault="007F08E9" w:rsidP="002C1EFF">
      <w:pPr>
        <w:jc w:val="both"/>
      </w:pPr>
      <w:r>
        <w:tab/>
        <w:t xml:space="preserve">We </w:t>
      </w:r>
      <w:r w:rsidR="002C1EFF" w:rsidRPr="00321A1F">
        <w:t xml:space="preserve">also reduced wastewater expense by $2,872 to reclassify and capitalize to Account 360 – Collection Sewers – Force the cost to refurbish the master lift station pumps. </w:t>
      </w:r>
      <w:r>
        <w:t>We</w:t>
      </w:r>
      <w:r w:rsidR="002C1EFF" w:rsidRPr="00321A1F">
        <w:t xml:space="preserve"> increased this expense for potable water and non-potable water by $376 and wastewater by $375, to include reimbursements for an October miscellaneous expense voucher that was not posted to the general ledger. </w:t>
      </w:r>
      <w:r>
        <w:t>We</w:t>
      </w:r>
      <w:r w:rsidR="002C1EFF" w:rsidRPr="00321A1F">
        <w:t xml:space="preserve"> </w:t>
      </w:r>
      <w:r>
        <w:t xml:space="preserve">also </w:t>
      </w:r>
      <w:r w:rsidR="002C1EFF" w:rsidRPr="00321A1F">
        <w:t xml:space="preserve">reduced this expense for potable water, non-potable water, and wastewater by $970 to remove reimbursements for non-utility meal purchases. </w:t>
      </w:r>
      <w:r>
        <w:t>We</w:t>
      </w:r>
      <w:r w:rsidR="002C1EFF" w:rsidRPr="00321A1F">
        <w:t xml:space="preserve"> increased this expense by $34 for potable water, and by $33 for non-potable water and wastewater to reclassify DEP permit fees that were recorded in Accounts 667/767 – Regulatory Commission expense. </w:t>
      </w:r>
      <w:r>
        <w:t xml:space="preserve">Therefore, we approve </w:t>
      </w:r>
      <w:r w:rsidR="002C1EFF" w:rsidRPr="00321A1F">
        <w:t xml:space="preserve">a Miscellaneous Expense of $1,425 ($4,239 - $2,253 + $376 - $970 + $34) for potable water, $1,424 ($4,239 - $2,253 + $376 - $970 + $33) for non-potable water, and $1,429 ($7,116 - $2,253 - $2,872 + $375 - $970 + $33) for wastewater. </w:t>
      </w:r>
    </w:p>
    <w:p w:rsidR="002C1EFF" w:rsidRPr="00321A1F" w:rsidRDefault="002C1EFF" w:rsidP="002C1EFF">
      <w:pPr>
        <w:jc w:val="both"/>
      </w:pPr>
    </w:p>
    <w:p w:rsidR="002C1EFF" w:rsidRPr="0016326C" w:rsidRDefault="0016326C" w:rsidP="002C1EFF">
      <w:pPr>
        <w:autoSpaceDE w:val="0"/>
        <w:autoSpaceDN w:val="0"/>
        <w:adjustRightInd w:val="0"/>
        <w:jc w:val="both"/>
        <w:rPr>
          <w:i/>
        </w:rPr>
      </w:pPr>
      <w:r w:rsidRPr="0016326C">
        <w:rPr>
          <w:i/>
        </w:rPr>
        <w:t xml:space="preserve">B. </w:t>
      </w:r>
      <w:r w:rsidR="002C1EFF" w:rsidRPr="0016326C">
        <w:rPr>
          <w:i/>
        </w:rPr>
        <w:t>Operation and Maintenance Expenses Summary</w:t>
      </w:r>
    </w:p>
    <w:p w:rsidR="0016326C" w:rsidRDefault="0016326C" w:rsidP="002C1EFF">
      <w:pPr>
        <w:jc w:val="both"/>
      </w:pPr>
    </w:p>
    <w:p w:rsidR="002C1EFF" w:rsidRPr="00321A1F" w:rsidRDefault="0016326C" w:rsidP="002C1EFF">
      <w:pPr>
        <w:jc w:val="both"/>
      </w:pPr>
      <w:r>
        <w:tab/>
      </w:r>
      <w:r w:rsidR="002C1EFF" w:rsidRPr="00321A1F">
        <w:t xml:space="preserve">Based on the </w:t>
      </w:r>
      <w:r>
        <w:t xml:space="preserve">foregoing, we approve the following </w:t>
      </w:r>
      <w:r w:rsidR="002C1EFF" w:rsidRPr="00321A1F">
        <w:t>O&amp;M expense balances</w:t>
      </w:r>
      <w:r>
        <w:t>:</w:t>
      </w:r>
      <w:r w:rsidR="002C1EFF" w:rsidRPr="00321A1F">
        <w:t xml:space="preserve"> $119,658 for potable water</w:t>
      </w:r>
      <w:r>
        <w:t>;</w:t>
      </w:r>
      <w:r w:rsidR="002C1EFF" w:rsidRPr="00321A1F">
        <w:t xml:space="preserve"> $190,332 for non-potable water</w:t>
      </w:r>
      <w:r>
        <w:t xml:space="preserve">; </w:t>
      </w:r>
      <w:r w:rsidR="002C1EFF" w:rsidRPr="00321A1F">
        <w:t>and</w:t>
      </w:r>
      <w:r>
        <w:t>,</w:t>
      </w:r>
      <w:r w:rsidR="002C1EFF" w:rsidRPr="00321A1F">
        <w:t xml:space="preserve"> $151,489 for wastewater. </w:t>
      </w:r>
      <w:r>
        <w:t xml:space="preserve">Our approved adjustments are shown on </w:t>
      </w:r>
      <w:r w:rsidR="002C1EFF" w:rsidRPr="00321A1F">
        <w:t>Schedule Nos. 3-A through 3-E.</w:t>
      </w:r>
    </w:p>
    <w:p w:rsidR="002C1EFF" w:rsidRPr="00321A1F" w:rsidRDefault="002C1EFF" w:rsidP="002C1EFF">
      <w:pPr>
        <w:jc w:val="both"/>
        <w:rPr>
          <w:b/>
        </w:rPr>
      </w:pPr>
    </w:p>
    <w:p w:rsidR="002C1EFF" w:rsidRPr="0016326C" w:rsidRDefault="0016326C" w:rsidP="002C1EFF">
      <w:pPr>
        <w:autoSpaceDE w:val="0"/>
        <w:autoSpaceDN w:val="0"/>
        <w:adjustRightInd w:val="0"/>
        <w:jc w:val="both"/>
        <w:rPr>
          <w:i/>
        </w:rPr>
      </w:pPr>
      <w:r w:rsidRPr="0016326C">
        <w:rPr>
          <w:i/>
        </w:rPr>
        <w:t xml:space="preserve">C. </w:t>
      </w:r>
      <w:r w:rsidR="002C1EFF" w:rsidRPr="0016326C">
        <w:rPr>
          <w:i/>
        </w:rPr>
        <w:t xml:space="preserve">Depreciation Expense </w:t>
      </w:r>
    </w:p>
    <w:p w:rsidR="0016326C" w:rsidRDefault="0016326C" w:rsidP="002C1EFF">
      <w:pPr>
        <w:jc w:val="both"/>
      </w:pPr>
    </w:p>
    <w:p w:rsidR="002C1EFF" w:rsidRPr="00321A1F" w:rsidRDefault="0016326C" w:rsidP="002C1EFF">
      <w:pPr>
        <w:jc w:val="both"/>
      </w:pPr>
      <w:r>
        <w:tab/>
      </w:r>
      <w:r w:rsidR="002C1EFF" w:rsidRPr="00321A1F">
        <w:t xml:space="preserve">Aquarina did not record any Depreciation expense for the test year. </w:t>
      </w:r>
      <w:r w:rsidR="00E547E4">
        <w:t>We</w:t>
      </w:r>
      <w:r w:rsidR="002C1EFF" w:rsidRPr="00321A1F">
        <w:t xml:space="preserve"> recalculated Depreciation expense using the prescribed rates set forth in Rule 25-30.140, F.A.C.</w:t>
      </w:r>
      <w:r w:rsidR="00BC647C">
        <w:t>, for a</w:t>
      </w:r>
      <w:r w:rsidR="002C1EFF" w:rsidRPr="00321A1F">
        <w:t xml:space="preserve"> Depreciation expense of $45,851 for potable water, $601 for non-potable water, and $28,200 for wastewater, for the test year. </w:t>
      </w:r>
      <w:r w:rsidR="00BC647C">
        <w:t xml:space="preserve">We have </w:t>
      </w:r>
      <w:r w:rsidR="002C1EFF" w:rsidRPr="00321A1F">
        <w:t xml:space="preserve">decreased Depreciation expense for potable water and increased this expense for non-potable water by $9,782 to reflect the reclassification of UPIS from the potable to the non-potable water system. </w:t>
      </w:r>
      <w:r w:rsidR="00BC647C">
        <w:t xml:space="preserve">We also </w:t>
      </w:r>
      <w:r w:rsidR="002C1EFF" w:rsidRPr="00321A1F">
        <w:t xml:space="preserve">reduced this expense for potable water and increased it for non-potable by $3,576 to reflect the imputation of the </w:t>
      </w:r>
      <w:r w:rsidR="002C1EFF" w:rsidRPr="00BC647C">
        <w:t>T&amp;D Mains</w:t>
      </w:r>
      <w:r w:rsidR="002C1EFF" w:rsidRPr="00321A1F">
        <w:t xml:space="preserve"> discussed above.</w:t>
      </w:r>
    </w:p>
    <w:p w:rsidR="002C1EFF" w:rsidRPr="00321A1F" w:rsidRDefault="002C1EFF" w:rsidP="002C1EFF">
      <w:pPr>
        <w:jc w:val="both"/>
      </w:pPr>
    </w:p>
    <w:p w:rsidR="002C1EFF" w:rsidRPr="00321A1F" w:rsidRDefault="0016326C" w:rsidP="002C1EFF">
      <w:pPr>
        <w:jc w:val="both"/>
      </w:pPr>
      <w:r>
        <w:tab/>
      </w:r>
      <w:r w:rsidR="00BC647C">
        <w:t xml:space="preserve">We </w:t>
      </w:r>
      <w:r w:rsidR="002C1EFF" w:rsidRPr="00321A1F">
        <w:t xml:space="preserve">increased Depreciation expense for non-potable water and decreased this expense for wastewater by $12,820 to reflect the reclassification of the non-potable water tank. </w:t>
      </w:r>
      <w:r w:rsidR="00BC647C">
        <w:t>We</w:t>
      </w:r>
      <w:r w:rsidR="002C1EFF" w:rsidRPr="00321A1F">
        <w:t xml:space="preserve"> decreased Depreciation expense for potable water by $908 and non-potable by $2,150 to reflect the retirements associated with CIAC.</w:t>
      </w:r>
    </w:p>
    <w:p w:rsidR="002C1EFF" w:rsidRPr="00321A1F" w:rsidRDefault="002C1EFF" w:rsidP="002C1EFF">
      <w:pPr>
        <w:jc w:val="both"/>
      </w:pPr>
    </w:p>
    <w:p w:rsidR="002C1EFF" w:rsidRPr="00321A1F" w:rsidRDefault="0016326C" w:rsidP="002C1EFF">
      <w:pPr>
        <w:jc w:val="both"/>
      </w:pPr>
      <w:r>
        <w:tab/>
      </w:r>
      <w:r w:rsidR="00BC647C">
        <w:t xml:space="preserve">We have </w:t>
      </w:r>
      <w:r w:rsidR="002C1EFF" w:rsidRPr="00321A1F">
        <w:t xml:space="preserve">increased Depreciation expense by $163 for potable water, $127 for non-potable water, and $45 for wastewater, to reflect Depreciation expense related to pro forma plant additions. Based on the U&amp;U percentages addressed </w:t>
      </w:r>
      <w:r w:rsidR="00BC647C" w:rsidRPr="00BC647C">
        <w:t>under the heading “</w:t>
      </w:r>
      <w:r w:rsidR="00BC647C" w:rsidRPr="00BC647C">
        <w:rPr>
          <w:u w:val="single"/>
        </w:rPr>
        <w:t>2</w:t>
      </w:r>
      <w:r w:rsidR="00BC647C">
        <w:rPr>
          <w:u w:val="single"/>
        </w:rPr>
        <w:t>.</w:t>
      </w:r>
      <w:r w:rsidR="00BC647C" w:rsidRPr="00BC647C">
        <w:rPr>
          <w:u w:val="single"/>
        </w:rPr>
        <w:t xml:space="preserve"> Used and Useful</w:t>
      </w:r>
      <w:r w:rsidR="00BC647C">
        <w:rPr>
          <w:u w:val="single"/>
        </w:rPr>
        <w:t>,</w:t>
      </w:r>
      <w:r w:rsidR="00BC647C" w:rsidRPr="00BC647C">
        <w:t xml:space="preserve">” </w:t>
      </w:r>
      <w:r w:rsidR="00BC647C">
        <w:t xml:space="preserve">we have </w:t>
      </w:r>
      <w:r w:rsidR="002C1EFF" w:rsidRPr="00321A1F">
        <w:t xml:space="preserve">decreased Depreciation expense by $10,950 for potable water, and by $4,419 for wastewater. </w:t>
      </w:r>
      <w:r w:rsidR="00BC647C">
        <w:t xml:space="preserve">Thus, we approve a </w:t>
      </w:r>
      <w:r w:rsidR="002C1EFF" w:rsidRPr="00321A1F">
        <w:t xml:space="preserve">Depreciation expense </w:t>
      </w:r>
      <w:r w:rsidR="00BC647C">
        <w:t>of</w:t>
      </w:r>
      <w:r w:rsidR="002C1EFF" w:rsidRPr="00321A1F">
        <w:t xml:space="preserve"> $20,797 ($45,851 - $9,782 - $3,576 - $908 + $163 - $10,950) for potable water, $24,757 ($601 + $9,782 + $3,576 + $12,820 - $2,150 + $127) for non-potable water, and $11,006 ($28,200 - $12,820 + $45 - $4,419) for wastewater.</w:t>
      </w:r>
    </w:p>
    <w:p w:rsidR="002C1EFF" w:rsidRPr="00321A1F" w:rsidRDefault="002C1EFF" w:rsidP="002C1EFF">
      <w:pPr>
        <w:jc w:val="both"/>
      </w:pPr>
    </w:p>
    <w:p w:rsidR="002C1EFF" w:rsidRPr="0016326C" w:rsidRDefault="0016326C" w:rsidP="002C1EFF">
      <w:pPr>
        <w:jc w:val="both"/>
        <w:rPr>
          <w:i/>
        </w:rPr>
      </w:pPr>
      <w:r>
        <w:rPr>
          <w:i/>
        </w:rPr>
        <w:lastRenderedPageBreak/>
        <w:t xml:space="preserve">D. </w:t>
      </w:r>
      <w:r w:rsidR="002C1EFF" w:rsidRPr="0016326C">
        <w:rPr>
          <w:i/>
        </w:rPr>
        <w:t>CIAC Amortization Expense</w:t>
      </w:r>
    </w:p>
    <w:p w:rsidR="0016326C" w:rsidRDefault="0016326C" w:rsidP="002C1EFF">
      <w:pPr>
        <w:jc w:val="both"/>
      </w:pPr>
    </w:p>
    <w:p w:rsidR="002C1EFF" w:rsidRPr="00321A1F" w:rsidRDefault="0016326C" w:rsidP="0081743A">
      <w:pPr>
        <w:spacing w:after="240"/>
        <w:jc w:val="both"/>
        <w:outlineLvl w:val="0"/>
      </w:pPr>
      <w:r>
        <w:tab/>
      </w:r>
      <w:r w:rsidR="002C1EFF" w:rsidRPr="00321A1F">
        <w:t xml:space="preserve">Aquarina did not record any CIAC Amortization expense for the test year. Based on </w:t>
      </w:r>
      <w:r w:rsidR="00BC647C">
        <w:t xml:space="preserve">our </w:t>
      </w:r>
      <w:r w:rsidR="002C1EFF" w:rsidRPr="00321A1F">
        <w:t xml:space="preserve">staff’s audit calculations, the Utility CIAC Amortization expenses are $9,758 for potable water, $2,684 for non-potable water, and $15,514 for wastewater. As discussed </w:t>
      </w:r>
      <w:r w:rsidR="00BC647C">
        <w:t xml:space="preserve">under </w:t>
      </w:r>
      <w:r w:rsidR="00BC647C" w:rsidRPr="00BC647C">
        <w:t>the heading, “</w:t>
      </w:r>
      <w:r w:rsidR="00BC647C" w:rsidRPr="006C7FBE">
        <w:rPr>
          <w:bCs/>
          <w:kern w:val="32"/>
          <w:u w:val="single"/>
        </w:rPr>
        <w:t>3. Test Year</w:t>
      </w:r>
      <w:r w:rsidR="00BC647C">
        <w:rPr>
          <w:bCs/>
          <w:kern w:val="32"/>
          <w:u w:val="single"/>
        </w:rPr>
        <w:t xml:space="preserve"> Rate Bases</w:t>
      </w:r>
      <w:r w:rsidR="00BC647C">
        <w:rPr>
          <w:bCs/>
          <w:kern w:val="32"/>
        </w:rPr>
        <w:t xml:space="preserve">,” we have </w:t>
      </w:r>
      <w:r w:rsidR="002C1EFF" w:rsidRPr="00321A1F">
        <w:t>reduced these amounts by $908 for potable water and by $2,150 for non-potable water to reflect retirements. Th</w:t>
      </w:r>
      <w:r w:rsidR="00BC647C">
        <w:t>us, we approve</w:t>
      </w:r>
      <w:r w:rsidR="002C1EFF" w:rsidRPr="00321A1F">
        <w:t xml:space="preserve"> CIAC Amortization expense of $8,849 ($9,758 - $908) for potable water, $534 ($2,684 - $2,150) for non-potable water, and $15,514 for wastewater. </w:t>
      </w:r>
    </w:p>
    <w:p w:rsidR="002C1EFF" w:rsidRPr="0016326C" w:rsidRDefault="0016326C" w:rsidP="002C1EFF">
      <w:pPr>
        <w:jc w:val="both"/>
        <w:rPr>
          <w:i/>
        </w:rPr>
      </w:pPr>
      <w:r w:rsidRPr="0016326C">
        <w:rPr>
          <w:i/>
        </w:rPr>
        <w:t xml:space="preserve">E. </w:t>
      </w:r>
      <w:r w:rsidR="002C1EFF" w:rsidRPr="0016326C">
        <w:rPr>
          <w:i/>
        </w:rPr>
        <w:t>Taxes Other Than Income (TOTI)</w:t>
      </w:r>
    </w:p>
    <w:p w:rsidR="0016326C" w:rsidRDefault="0016326C" w:rsidP="002C1EFF">
      <w:pPr>
        <w:jc w:val="both"/>
      </w:pPr>
    </w:p>
    <w:p w:rsidR="002C1EFF" w:rsidRPr="00321A1F" w:rsidRDefault="0016326C" w:rsidP="002C1EFF">
      <w:pPr>
        <w:jc w:val="both"/>
      </w:pPr>
      <w:r>
        <w:tab/>
      </w:r>
      <w:r w:rsidR="002C1EFF" w:rsidRPr="00321A1F">
        <w:t xml:space="preserve">Aquarina recorded TOTI of $19,493 for potable water, $16,413 for non-potable water, and $19,126 for wastewater. </w:t>
      </w:r>
      <w:r w:rsidR="0081743A">
        <w:t xml:space="preserve">We have </w:t>
      </w:r>
      <w:r w:rsidR="002C1EFF" w:rsidRPr="00321A1F">
        <w:t>decreased property taxes by $118 for potable water, non-potable water, and wastewater</w:t>
      </w:r>
      <w:r w:rsidR="00DA2643">
        <w:t>,</w:t>
      </w:r>
      <w:r w:rsidR="002C1EFF" w:rsidRPr="00321A1F">
        <w:t xml:space="preserve"> to reflect the appropriate test year property taxes. </w:t>
      </w:r>
      <w:r w:rsidR="0081743A">
        <w:t xml:space="preserve">We </w:t>
      </w:r>
      <w:r w:rsidR="002C1EFF" w:rsidRPr="00321A1F">
        <w:t>decreased payroll taxes by $130 for potable water, $198 for non-potable water, and $164 for wastewater</w:t>
      </w:r>
      <w:r w:rsidR="00DA2643">
        <w:t>,</w:t>
      </w:r>
      <w:r w:rsidR="002C1EFF" w:rsidRPr="00321A1F">
        <w:t xml:space="preserve"> to remove the payroll taxes associated with the adjustment to salaries described in </w:t>
      </w:r>
      <w:r w:rsidR="0081743A">
        <w:t xml:space="preserve">our staff’s </w:t>
      </w:r>
      <w:r w:rsidR="002C1EFF" w:rsidRPr="00321A1F">
        <w:t xml:space="preserve">Audit Finding No. 8. </w:t>
      </w:r>
      <w:r w:rsidR="0081743A">
        <w:t xml:space="preserve">We also </w:t>
      </w:r>
      <w:r w:rsidR="002C1EFF" w:rsidRPr="00321A1F">
        <w:t>increased payroll taxes by $2,527 for potable water, $3,830 for non-potable water, and $3,178 for wastewater</w:t>
      </w:r>
      <w:r w:rsidR="00DA2643">
        <w:t>,</w:t>
      </w:r>
      <w:r w:rsidR="002C1EFF" w:rsidRPr="00321A1F">
        <w:t xml:space="preserve"> to reflect the payroll taxes associated with the new employees</w:t>
      </w:r>
      <w:r w:rsidR="0081743A">
        <w:t xml:space="preserve">. </w:t>
      </w:r>
    </w:p>
    <w:p w:rsidR="002C1EFF" w:rsidRPr="00321A1F" w:rsidRDefault="002C1EFF" w:rsidP="002C1EFF">
      <w:pPr>
        <w:jc w:val="both"/>
      </w:pPr>
    </w:p>
    <w:p w:rsidR="002C1EFF" w:rsidRPr="00321A1F" w:rsidRDefault="0016326C" w:rsidP="00D82D09">
      <w:pPr>
        <w:spacing w:after="240"/>
        <w:jc w:val="both"/>
        <w:outlineLvl w:val="0"/>
      </w:pPr>
      <w:r>
        <w:tab/>
      </w:r>
      <w:r w:rsidR="0081743A">
        <w:t xml:space="preserve">We </w:t>
      </w:r>
      <w:r w:rsidR="002C1EFF" w:rsidRPr="00321A1F">
        <w:t>increased regulatory assessment fees (RAFs) by $108 for potable water, $62 for non-potable water, and $134 for wastewater</w:t>
      </w:r>
      <w:r w:rsidR="00DA2643">
        <w:t>,</w:t>
      </w:r>
      <w:r w:rsidR="002C1EFF" w:rsidRPr="00321A1F">
        <w:t xml:space="preserve"> to reflect the 2014 RAFs. In addition, </w:t>
      </w:r>
      <w:r w:rsidR="0081743A">
        <w:t>we</w:t>
      </w:r>
      <w:r w:rsidR="002C1EFF" w:rsidRPr="00321A1F">
        <w:t xml:space="preserve"> increased property taxes by $91 for potable water, $43 for non-potable water, and $38 for wastewater</w:t>
      </w:r>
      <w:r w:rsidR="00DA2643">
        <w:t>,</w:t>
      </w:r>
      <w:r w:rsidR="002C1EFF" w:rsidRPr="00321A1F">
        <w:t xml:space="preserve"> to reflect pro forma property taxes. </w:t>
      </w:r>
      <w:r w:rsidR="0081743A">
        <w:t>We</w:t>
      </w:r>
      <w:r w:rsidR="002C1EFF" w:rsidRPr="00321A1F">
        <w:t xml:space="preserve"> reduced property taxes by $980 for potable water, by $825 for non-potable water, and $314 for wastewater associated with the </w:t>
      </w:r>
      <w:r w:rsidR="0081743A">
        <w:t>approved</w:t>
      </w:r>
      <w:r w:rsidR="002C1EFF" w:rsidRPr="00321A1F">
        <w:t xml:space="preserve"> non-U&amp;U components. Finally, </w:t>
      </w:r>
      <w:r w:rsidR="00DA2643">
        <w:t>c</w:t>
      </w:r>
      <w:r w:rsidR="00D82D09">
        <w:t xml:space="preserve">onsistent with our decision set forth </w:t>
      </w:r>
      <w:r w:rsidR="0081743A">
        <w:t xml:space="preserve">under the headings, </w:t>
      </w:r>
      <w:r w:rsidR="0081743A" w:rsidRPr="00D82D09">
        <w:t>“</w:t>
      </w:r>
      <w:r w:rsidR="0081743A" w:rsidRPr="00D82D09">
        <w:rPr>
          <w:u w:val="single"/>
        </w:rPr>
        <w:t>7.  Revenue Requirement for Potable and Non-Potable Water</w:t>
      </w:r>
      <w:r w:rsidR="0081743A" w:rsidRPr="00D82D09">
        <w:t>, “ and “</w:t>
      </w:r>
      <w:r w:rsidR="0081743A" w:rsidRPr="00D82D09">
        <w:rPr>
          <w:bCs/>
          <w:kern w:val="32"/>
          <w:u w:val="single"/>
        </w:rPr>
        <w:t>9</w:t>
      </w:r>
      <w:r w:rsidR="0081743A" w:rsidRPr="00D82D09">
        <w:rPr>
          <w:u w:val="single"/>
        </w:rPr>
        <w:t>.  Wastewater Revenue Requirement</w:t>
      </w:r>
      <w:r w:rsidR="0081743A" w:rsidRPr="00D82D09">
        <w:t>,”</w:t>
      </w:r>
      <w:r w:rsidR="0081743A">
        <w:t xml:space="preserve"> </w:t>
      </w:r>
      <w:r w:rsidR="002C1EFF" w:rsidRPr="00321A1F">
        <w:t xml:space="preserve">revenues have been decreased by $12,593 for potable water, increased by $148,954 for non-potable water and $17,842 for wastewater, to reflect the change in revenue required to cover expenses and allow an opportunity to earn the </w:t>
      </w:r>
      <w:r w:rsidR="0081743A">
        <w:t>approved</w:t>
      </w:r>
      <w:r w:rsidR="002C1EFF" w:rsidRPr="00321A1F">
        <w:t xml:space="preserve"> return on investment. As a result, RAFs sh</w:t>
      </w:r>
      <w:r w:rsidR="0081743A">
        <w:t>all</w:t>
      </w:r>
      <w:r w:rsidR="002C1EFF" w:rsidRPr="00321A1F">
        <w:t xml:space="preserve"> </w:t>
      </w:r>
      <w:r w:rsidR="00B6438C" w:rsidRPr="00321A1F">
        <w:t>decrease</w:t>
      </w:r>
      <w:r w:rsidR="002C1EFF" w:rsidRPr="00321A1F">
        <w:t xml:space="preserve"> by $567 for potable water, and increase by $6,703 for non-potable water and $803 for wastewater to reflect RAFs of 4.5 percent on the change in revenues. Based on these adjustments, the </w:t>
      </w:r>
      <w:r w:rsidR="0081743A">
        <w:t xml:space="preserve">approved </w:t>
      </w:r>
      <w:r w:rsidR="002C1EFF" w:rsidRPr="00321A1F">
        <w:t>TOTI expenses for potable water, non-potable water, and wastewater are $20,423, $25,911, and $22,683, respectively.</w:t>
      </w:r>
    </w:p>
    <w:p w:rsidR="002C1EFF" w:rsidRPr="0016326C" w:rsidRDefault="0016326C" w:rsidP="002C1EFF">
      <w:pPr>
        <w:jc w:val="both"/>
        <w:rPr>
          <w:i/>
        </w:rPr>
      </w:pPr>
      <w:r>
        <w:rPr>
          <w:i/>
        </w:rPr>
        <w:t xml:space="preserve">F. </w:t>
      </w:r>
      <w:r w:rsidR="002C1EFF" w:rsidRPr="0016326C">
        <w:rPr>
          <w:i/>
        </w:rPr>
        <w:t>Income Tax Expense</w:t>
      </w:r>
    </w:p>
    <w:p w:rsidR="0016326C" w:rsidRDefault="0016326C" w:rsidP="002C1EFF">
      <w:pPr>
        <w:jc w:val="both"/>
      </w:pPr>
    </w:p>
    <w:p w:rsidR="002C1EFF" w:rsidRPr="00321A1F" w:rsidRDefault="0016326C" w:rsidP="002C1EFF">
      <w:pPr>
        <w:jc w:val="both"/>
      </w:pPr>
      <w:r>
        <w:tab/>
      </w:r>
      <w:r w:rsidR="002C1EFF" w:rsidRPr="00321A1F">
        <w:t>Aquarina recorded $1,442 for Income Tax expense for potable water, non-potable water, and wastewater.</w:t>
      </w:r>
      <w:r w:rsidR="00D82D09">
        <w:t xml:space="preserve"> However, </w:t>
      </w:r>
      <w:r w:rsidR="002C1EFF" w:rsidRPr="00321A1F">
        <w:t>Aquarina has shown a net loss for the last several years in its Annual Reports and income tax returns. This tax loss carry-forward is in excess of the income tax provision on a going-forward basis, and is expected to continue to be so for at least the next 10 years. In</w:t>
      </w:r>
      <w:r w:rsidR="00D82D09">
        <w:t xml:space="preserve"> such a circumstance, </w:t>
      </w:r>
      <w:r w:rsidR="002C1EFF" w:rsidRPr="00321A1F">
        <w:t xml:space="preserve">it is </w:t>
      </w:r>
      <w:r w:rsidR="00D82D09">
        <w:t>our</w:t>
      </w:r>
      <w:r w:rsidR="002C1EFF" w:rsidRPr="00321A1F">
        <w:t xml:space="preserve"> practice to allow no provision for income tax. Therefore, </w:t>
      </w:r>
      <w:r w:rsidR="00D82D09">
        <w:t>we</w:t>
      </w:r>
      <w:r w:rsidR="00D82D09" w:rsidRPr="00321A1F">
        <w:t xml:space="preserve"> reduced </w:t>
      </w:r>
      <w:r w:rsidR="00D82D09">
        <w:t xml:space="preserve">Income Tax expense to zero. </w:t>
      </w:r>
    </w:p>
    <w:p w:rsidR="00A83C7B" w:rsidRDefault="00A83C7B" w:rsidP="002C1EFF">
      <w:pPr>
        <w:jc w:val="both"/>
        <w:rPr>
          <w:i/>
        </w:rPr>
      </w:pPr>
    </w:p>
    <w:p w:rsidR="002C1EFF" w:rsidRDefault="0016326C" w:rsidP="002C1EFF">
      <w:pPr>
        <w:jc w:val="both"/>
        <w:rPr>
          <w:i/>
        </w:rPr>
      </w:pPr>
      <w:r w:rsidRPr="0016326C">
        <w:rPr>
          <w:i/>
        </w:rPr>
        <w:lastRenderedPageBreak/>
        <w:t xml:space="preserve">G. </w:t>
      </w:r>
      <w:r w:rsidR="002C1EFF" w:rsidRPr="0016326C">
        <w:rPr>
          <w:i/>
        </w:rPr>
        <w:t>Operating Expenses Summary</w:t>
      </w:r>
    </w:p>
    <w:p w:rsidR="0084184D" w:rsidRPr="0016326C" w:rsidRDefault="0084184D" w:rsidP="002C1EFF">
      <w:pPr>
        <w:jc w:val="both"/>
        <w:rPr>
          <w:i/>
        </w:rPr>
      </w:pPr>
    </w:p>
    <w:p w:rsidR="002C1EFF" w:rsidRDefault="0016326C" w:rsidP="002C1EFF">
      <w:pPr>
        <w:spacing w:after="240"/>
        <w:jc w:val="both"/>
      </w:pPr>
      <w:r>
        <w:tab/>
      </w:r>
      <w:r w:rsidR="002C1EFF" w:rsidRPr="00321A1F">
        <w:t xml:space="preserve">The application of </w:t>
      </w:r>
      <w:r w:rsidR="00D82D09">
        <w:t xml:space="preserve">our adjustments </w:t>
      </w:r>
      <w:r w:rsidR="002C1EFF" w:rsidRPr="00321A1F">
        <w:t>to Aquarina’s test year operating expenses result</w:t>
      </w:r>
      <w:r w:rsidR="00D82D09">
        <w:t>s</w:t>
      </w:r>
      <w:r w:rsidR="002C1EFF" w:rsidRPr="00321A1F">
        <w:t xml:space="preserve"> in operating expenses of $152,028 for potable water, $240,466 for non-potable water, and $169,664 for wastewater. Operating expenses are shown on Schedule Nos. 3-A, 3-B, and 3-C. The related adjustments are shown on Schedule Nos. 3-D, 3-E, and 3-F.</w:t>
      </w:r>
    </w:p>
    <w:p w:rsidR="002C1EFF" w:rsidRPr="0081743A" w:rsidRDefault="0081743A" w:rsidP="0081743A">
      <w:pPr>
        <w:spacing w:after="240"/>
        <w:jc w:val="both"/>
        <w:rPr>
          <w:u w:val="single"/>
        </w:rPr>
      </w:pPr>
      <w:r w:rsidRPr="00445629">
        <w:rPr>
          <w:u w:val="single"/>
        </w:rPr>
        <w:t>7.  Revenue Requirement for P</w:t>
      </w:r>
      <w:r w:rsidR="002C1EFF" w:rsidRPr="00445629">
        <w:rPr>
          <w:u w:val="single"/>
        </w:rPr>
        <w:t xml:space="preserve">otable and </w:t>
      </w:r>
      <w:r w:rsidRPr="00445629">
        <w:rPr>
          <w:u w:val="single"/>
        </w:rPr>
        <w:t>N</w:t>
      </w:r>
      <w:r w:rsidR="002C1EFF" w:rsidRPr="00445629">
        <w:rPr>
          <w:u w:val="single"/>
        </w:rPr>
        <w:t>on-</w:t>
      </w:r>
      <w:r w:rsidRPr="00445629">
        <w:rPr>
          <w:u w:val="single"/>
        </w:rPr>
        <w:t>P</w:t>
      </w:r>
      <w:r w:rsidR="002C1EFF" w:rsidRPr="00445629">
        <w:rPr>
          <w:u w:val="single"/>
        </w:rPr>
        <w:t xml:space="preserve">otable </w:t>
      </w:r>
      <w:r w:rsidRPr="00445629">
        <w:rPr>
          <w:u w:val="single"/>
        </w:rPr>
        <w:t>W</w:t>
      </w:r>
      <w:r w:rsidR="002C1EFF" w:rsidRPr="00445629">
        <w:rPr>
          <w:u w:val="single"/>
        </w:rPr>
        <w:t>ater</w:t>
      </w:r>
    </w:p>
    <w:p w:rsidR="002C1EFF" w:rsidRPr="00321A1F" w:rsidRDefault="00445629" w:rsidP="002C1EFF">
      <w:pPr>
        <w:jc w:val="both"/>
      </w:pPr>
      <w:r>
        <w:tab/>
      </w:r>
      <w:r w:rsidR="002C1EFF" w:rsidRPr="00321A1F">
        <w:t xml:space="preserve">The appropriate revenue requirement for the potable system results in a decrease of $12,593 (or -7.37 percent). However, disposition of the revenue decrease will be addressed </w:t>
      </w:r>
      <w:r>
        <w:t>under the heading “</w:t>
      </w:r>
      <w:r w:rsidRPr="00445629">
        <w:rPr>
          <w:u w:val="single"/>
        </w:rPr>
        <w:t>10. Rate Structure for Water and Wastewater Systems.</w:t>
      </w:r>
      <w:r w:rsidRPr="00445629">
        <w:t>”</w:t>
      </w:r>
      <w:r>
        <w:t xml:space="preserve"> </w:t>
      </w:r>
      <w:r w:rsidR="002C1EFF" w:rsidRPr="00321A1F">
        <w:t xml:space="preserve">The calculations are shown </w:t>
      </w:r>
      <w:r>
        <w:t>below</w:t>
      </w:r>
      <w:r w:rsidR="002C1EFF" w:rsidRPr="00321A1F">
        <w:t>. Aquarina sh</w:t>
      </w:r>
      <w:r>
        <w:t>all</w:t>
      </w:r>
      <w:r w:rsidR="002C1EFF" w:rsidRPr="00321A1F">
        <w:t xml:space="preserve"> be allowed an annual increase of $148,954 (or 152.26 percent) for non-potable water. This increase will allow the Utility the opportunity to recover its expenses and earn a 3.66 percent return on the investment for the non-potable water system. </w:t>
      </w:r>
    </w:p>
    <w:p w:rsidR="002C1EFF" w:rsidRPr="00321A1F" w:rsidRDefault="002C1EFF" w:rsidP="002C1EFF">
      <w:pPr>
        <w:spacing w:before="240" w:after="120"/>
        <w:jc w:val="center"/>
        <w:rPr>
          <w:b/>
        </w:rPr>
      </w:pPr>
    </w:p>
    <w:tbl>
      <w:tblPr>
        <w:tblW w:w="5740" w:type="dxa"/>
        <w:jc w:val="center"/>
        <w:tblInd w:w="93" w:type="dxa"/>
        <w:tblLook w:val="04A0" w:firstRow="1" w:lastRow="0" w:firstColumn="1" w:lastColumn="0" w:noHBand="0" w:noVBand="1"/>
      </w:tblPr>
      <w:tblGrid>
        <w:gridCol w:w="3340"/>
        <w:gridCol w:w="1200"/>
        <w:gridCol w:w="1200"/>
      </w:tblGrid>
      <w:tr w:rsidR="002C1EFF" w:rsidRPr="00321A1F" w:rsidTr="00EC6608">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1EFF" w:rsidRPr="00321A1F" w:rsidRDefault="002C1EFF" w:rsidP="002C1EFF">
            <w:pPr>
              <w:jc w:val="center"/>
            </w:pPr>
            <w:r w:rsidRPr="00321A1F">
              <w:t>Potable Water Revenue Requirement</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Adjusted Rate Base</w:t>
            </w:r>
          </w:p>
        </w:tc>
        <w:tc>
          <w:tcPr>
            <w:tcW w:w="1200" w:type="dxa"/>
            <w:tcBorders>
              <w:top w:val="nil"/>
              <w:left w:val="nil"/>
              <w:bottom w:val="nil"/>
              <w:right w:val="nil"/>
            </w:tcBorders>
            <w:shd w:val="clear" w:color="auto" w:fill="auto"/>
            <w:vAlign w:val="center"/>
            <w:hideMark/>
          </w:tcPr>
          <w:p w:rsidR="002C1EFF" w:rsidRPr="00321A1F" w:rsidRDefault="002C1EFF" w:rsidP="002C1EFF">
            <w:r w:rsidRPr="00321A1F">
              <w:t> </w:t>
            </w:r>
          </w:p>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$170,153 </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Rate of Return</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x 3.66%</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Return on Rate Base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$6,226</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Adjusted O&amp;M Expense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119,658</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Depreciation Expense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20,797</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CIAC Amortization Expense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(8,849)</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Taxes Other Than Income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20,990</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Test Year RAFs</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(7,688)</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Revenue Before RAFs</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$151,134 </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RAF Gross-up Factor</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x 0.955</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Total Revenues</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$158,255 </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Less Adjusted Test Year Revenues</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170,848</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Annual Increase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double"/>
              </w:rPr>
            </w:pPr>
            <w:r w:rsidRPr="00321A1F">
              <w:rPr>
                <w:u w:val="double"/>
              </w:rPr>
              <w:t>($12,593)</w:t>
            </w:r>
          </w:p>
        </w:tc>
      </w:tr>
      <w:tr w:rsidR="002C1EFF" w:rsidRPr="00321A1F" w:rsidTr="00EC6608">
        <w:trPr>
          <w:trHeight w:val="402"/>
          <w:jc w:val="center"/>
        </w:trPr>
        <w:tc>
          <w:tcPr>
            <w:tcW w:w="3340" w:type="dxa"/>
            <w:tcBorders>
              <w:top w:val="nil"/>
              <w:left w:val="single" w:sz="4" w:space="0" w:color="auto"/>
              <w:bottom w:val="single" w:sz="4" w:space="0" w:color="auto"/>
              <w:right w:val="nil"/>
            </w:tcBorders>
            <w:shd w:val="clear" w:color="auto" w:fill="auto"/>
            <w:vAlign w:val="center"/>
            <w:hideMark/>
          </w:tcPr>
          <w:p w:rsidR="002C1EFF" w:rsidRPr="00321A1F" w:rsidRDefault="002C1EFF" w:rsidP="002C1EFF">
            <w:r w:rsidRPr="00321A1F">
              <w:t>Percent Increase</w:t>
            </w:r>
          </w:p>
        </w:tc>
        <w:tc>
          <w:tcPr>
            <w:tcW w:w="1200" w:type="dxa"/>
            <w:tcBorders>
              <w:top w:val="nil"/>
              <w:left w:val="nil"/>
              <w:bottom w:val="single" w:sz="4" w:space="0" w:color="auto"/>
              <w:right w:val="nil"/>
            </w:tcBorders>
            <w:shd w:val="clear" w:color="auto" w:fill="auto"/>
            <w:vAlign w:val="center"/>
            <w:hideMark/>
          </w:tcPr>
          <w:p w:rsidR="002C1EFF" w:rsidRPr="00321A1F" w:rsidRDefault="002C1EFF" w:rsidP="002C1EFF">
            <w:pPr>
              <w:jc w:val="center"/>
            </w:pPr>
            <w:r w:rsidRPr="00321A1F">
              <w:t> </w:t>
            </w:r>
          </w:p>
        </w:tc>
        <w:tc>
          <w:tcPr>
            <w:tcW w:w="1200" w:type="dxa"/>
            <w:tcBorders>
              <w:top w:val="nil"/>
              <w:left w:val="nil"/>
              <w:bottom w:val="single" w:sz="4" w:space="0" w:color="auto"/>
              <w:right w:val="single" w:sz="4" w:space="0" w:color="auto"/>
            </w:tcBorders>
            <w:shd w:val="clear" w:color="auto" w:fill="auto"/>
            <w:vAlign w:val="center"/>
            <w:hideMark/>
          </w:tcPr>
          <w:p w:rsidR="002C1EFF" w:rsidRPr="00321A1F" w:rsidRDefault="002C1EFF" w:rsidP="002C1EFF">
            <w:pPr>
              <w:jc w:val="right"/>
              <w:rPr>
                <w:u w:val="double"/>
              </w:rPr>
            </w:pPr>
            <w:r w:rsidRPr="00321A1F">
              <w:rPr>
                <w:u w:val="double"/>
              </w:rPr>
              <w:t>-7.37%</w:t>
            </w:r>
          </w:p>
        </w:tc>
      </w:tr>
    </w:tbl>
    <w:p w:rsidR="002C1EFF" w:rsidRPr="00321A1F" w:rsidRDefault="002C1EFF" w:rsidP="002C1EFF">
      <w:pPr>
        <w:jc w:val="center"/>
      </w:pPr>
    </w:p>
    <w:p w:rsidR="002C1EFF" w:rsidRPr="00321A1F" w:rsidRDefault="002C1EFF" w:rsidP="002C1EFF">
      <w:pPr>
        <w:spacing w:after="120"/>
      </w:pPr>
    </w:p>
    <w:p w:rsidR="002C1EFF" w:rsidRPr="00321A1F" w:rsidRDefault="002C1EFF" w:rsidP="002C1EFF">
      <w:pPr>
        <w:spacing w:after="120"/>
      </w:pPr>
    </w:p>
    <w:p w:rsidR="002C1EFF" w:rsidRPr="00321A1F" w:rsidRDefault="002C1EFF" w:rsidP="002C1EFF">
      <w:pPr>
        <w:spacing w:before="240" w:after="120"/>
        <w:jc w:val="center"/>
        <w:rPr>
          <w:b/>
        </w:rPr>
      </w:pPr>
    </w:p>
    <w:tbl>
      <w:tblPr>
        <w:tblW w:w="5740" w:type="dxa"/>
        <w:jc w:val="center"/>
        <w:tblInd w:w="93" w:type="dxa"/>
        <w:tblLook w:val="04A0" w:firstRow="1" w:lastRow="0" w:firstColumn="1" w:lastColumn="0" w:noHBand="0" w:noVBand="1"/>
      </w:tblPr>
      <w:tblGrid>
        <w:gridCol w:w="3340"/>
        <w:gridCol w:w="1200"/>
        <w:gridCol w:w="1200"/>
      </w:tblGrid>
      <w:tr w:rsidR="002C1EFF" w:rsidRPr="00321A1F" w:rsidTr="00EC6608">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1EFF" w:rsidRPr="00321A1F" w:rsidRDefault="002C1EFF" w:rsidP="002C1EFF">
            <w:pPr>
              <w:jc w:val="center"/>
            </w:pPr>
            <w:r w:rsidRPr="00321A1F">
              <w:lastRenderedPageBreak/>
              <w:t>Non-Potable Water Revenue Requirement</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Adjusted Rate Base</w:t>
            </w:r>
          </w:p>
        </w:tc>
        <w:tc>
          <w:tcPr>
            <w:tcW w:w="1200" w:type="dxa"/>
            <w:tcBorders>
              <w:top w:val="nil"/>
              <w:left w:val="nil"/>
              <w:bottom w:val="nil"/>
              <w:right w:val="nil"/>
            </w:tcBorders>
            <w:shd w:val="clear" w:color="auto" w:fill="auto"/>
            <w:vAlign w:val="center"/>
            <w:hideMark/>
          </w:tcPr>
          <w:p w:rsidR="002C1EFF" w:rsidRPr="00321A1F" w:rsidRDefault="002C1EFF" w:rsidP="002C1EFF">
            <w:r w:rsidRPr="00321A1F">
              <w:t> </w:t>
            </w:r>
          </w:p>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$172,587 </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Rate of Return</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x 3.66%</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Return on Rate Base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$6,317 </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Adjusted O&amp;M Expense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190,332</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Depreciation Expense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24,757</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CIAC Amortization Expense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(534)</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Taxes Other Than Income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19,208</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Test Year RAFs</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(4,402)</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Revenues Before RAFs</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$235,678 </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RAF Gross-up Factor</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x 0.955</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Total Revenues</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$246,783 </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Less Adjusted Test Year Revenues</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97,829</w:t>
            </w:r>
          </w:p>
        </w:tc>
      </w:tr>
      <w:tr w:rsidR="002C1EFF" w:rsidRPr="00321A1F" w:rsidTr="00EC6608">
        <w:trPr>
          <w:trHeight w:val="402"/>
          <w:jc w:val="center"/>
        </w:trPr>
        <w:tc>
          <w:tcPr>
            <w:tcW w:w="334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Annual Increase</w:t>
            </w:r>
          </w:p>
        </w:tc>
        <w:tc>
          <w:tcPr>
            <w:tcW w:w="1200" w:type="dxa"/>
            <w:tcBorders>
              <w:top w:val="nil"/>
              <w:left w:val="nil"/>
              <w:bottom w:val="nil"/>
              <w:right w:val="nil"/>
            </w:tcBorders>
            <w:shd w:val="clear" w:color="auto" w:fill="auto"/>
            <w:vAlign w:val="center"/>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double"/>
              </w:rPr>
            </w:pPr>
            <w:r w:rsidRPr="00321A1F">
              <w:rPr>
                <w:u w:val="double"/>
              </w:rPr>
              <w:t xml:space="preserve">$148,954 </w:t>
            </w:r>
          </w:p>
        </w:tc>
      </w:tr>
      <w:tr w:rsidR="002C1EFF" w:rsidRPr="00321A1F" w:rsidTr="00EC6608">
        <w:trPr>
          <w:trHeight w:val="402"/>
          <w:jc w:val="center"/>
        </w:trPr>
        <w:tc>
          <w:tcPr>
            <w:tcW w:w="3340" w:type="dxa"/>
            <w:tcBorders>
              <w:top w:val="nil"/>
              <w:left w:val="single" w:sz="4" w:space="0" w:color="auto"/>
              <w:bottom w:val="single" w:sz="4" w:space="0" w:color="auto"/>
              <w:right w:val="nil"/>
            </w:tcBorders>
            <w:shd w:val="clear" w:color="auto" w:fill="auto"/>
            <w:vAlign w:val="center"/>
            <w:hideMark/>
          </w:tcPr>
          <w:p w:rsidR="002C1EFF" w:rsidRPr="00321A1F" w:rsidRDefault="002C1EFF" w:rsidP="002C1EFF">
            <w:r w:rsidRPr="00321A1F">
              <w:t>Percent Increase</w:t>
            </w:r>
          </w:p>
        </w:tc>
        <w:tc>
          <w:tcPr>
            <w:tcW w:w="1200" w:type="dxa"/>
            <w:tcBorders>
              <w:top w:val="nil"/>
              <w:left w:val="nil"/>
              <w:bottom w:val="single" w:sz="4" w:space="0" w:color="auto"/>
              <w:right w:val="nil"/>
            </w:tcBorders>
            <w:shd w:val="clear" w:color="auto" w:fill="auto"/>
            <w:vAlign w:val="center"/>
            <w:hideMark/>
          </w:tcPr>
          <w:p w:rsidR="002C1EFF" w:rsidRPr="00321A1F" w:rsidRDefault="002C1EFF" w:rsidP="002C1EFF">
            <w:pPr>
              <w:jc w:val="center"/>
            </w:pPr>
            <w:r w:rsidRPr="00321A1F">
              <w:t> </w:t>
            </w:r>
          </w:p>
        </w:tc>
        <w:tc>
          <w:tcPr>
            <w:tcW w:w="1200" w:type="dxa"/>
            <w:tcBorders>
              <w:top w:val="nil"/>
              <w:left w:val="nil"/>
              <w:bottom w:val="single" w:sz="4" w:space="0" w:color="auto"/>
              <w:right w:val="single" w:sz="4" w:space="0" w:color="auto"/>
            </w:tcBorders>
            <w:shd w:val="clear" w:color="auto" w:fill="auto"/>
            <w:vAlign w:val="center"/>
            <w:hideMark/>
          </w:tcPr>
          <w:p w:rsidR="002C1EFF" w:rsidRPr="00321A1F" w:rsidRDefault="002C1EFF" w:rsidP="002C1EFF">
            <w:pPr>
              <w:jc w:val="right"/>
              <w:rPr>
                <w:u w:val="double"/>
              </w:rPr>
            </w:pPr>
            <w:r w:rsidRPr="00321A1F">
              <w:rPr>
                <w:u w:val="double"/>
              </w:rPr>
              <w:t>152.26%</w:t>
            </w:r>
          </w:p>
        </w:tc>
      </w:tr>
    </w:tbl>
    <w:p w:rsidR="002C1EFF" w:rsidRDefault="002C1EFF" w:rsidP="002C1EFF">
      <w:pPr>
        <w:spacing w:after="240"/>
        <w:ind w:left="360" w:hanging="360"/>
        <w:jc w:val="both"/>
        <w:outlineLvl w:val="0"/>
        <w:rPr>
          <w:b/>
          <w:bCs/>
          <w:i/>
          <w:kern w:val="32"/>
        </w:rPr>
      </w:pPr>
    </w:p>
    <w:p w:rsidR="00445629" w:rsidRPr="00445629" w:rsidRDefault="00445629" w:rsidP="002C1EFF">
      <w:pPr>
        <w:spacing w:after="240"/>
        <w:ind w:left="360" w:hanging="360"/>
        <w:jc w:val="both"/>
        <w:outlineLvl w:val="0"/>
        <w:rPr>
          <w:bCs/>
          <w:kern w:val="32"/>
          <w:u w:val="single"/>
        </w:rPr>
      </w:pPr>
      <w:r>
        <w:rPr>
          <w:bCs/>
          <w:kern w:val="32"/>
          <w:u w:val="single"/>
        </w:rPr>
        <w:t>8. Operating Ratio Methodology</w:t>
      </w:r>
      <w:r w:rsidR="007A16C4">
        <w:rPr>
          <w:bCs/>
          <w:kern w:val="32"/>
          <w:u w:val="single"/>
        </w:rPr>
        <w:t xml:space="preserve"> for</w:t>
      </w:r>
      <w:r>
        <w:rPr>
          <w:bCs/>
          <w:kern w:val="32"/>
          <w:u w:val="single"/>
        </w:rPr>
        <w:t xml:space="preserve"> Wastewater Revenue Requirement</w:t>
      </w:r>
      <w:r w:rsidR="007A16C4">
        <w:rPr>
          <w:bCs/>
          <w:kern w:val="32"/>
          <w:u w:val="single"/>
        </w:rPr>
        <w:t>;</w:t>
      </w:r>
      <w:r>
        <w:rPr>
          <w:bCs/>
          <w:kern w:val="32"/>
          <w:u w:val="single"/>
        </w:rPr>
        <w:t xml:space="preserve"> Appropriate </w:t>
      </w:r>
      <w:r w:rsidR="000E500A">
        <w:rPr>
          <w:bCs/>
          <w:kern w:val="32"/>
          <w:u w:val="single"/>
        </w:rPr>
        <w:t>Margin</w:t>
      </w:r>
    </w:p>
    <w:p w:rsidR="00603050" w:rsidRDefault="002C1EFF" w:rsidP="00603050">
      <w:pPr>
        <w:ind w:firstLine="720"/>
        <w:jc w:val="both"/>
      </w:pPr>
      <w:r w:rsidRPr="00321A1F">
        <w:t xml:space="preserve">Section 367.0814(9), F.S., provides that </w:t>
      </w:r>
      <w:r w:rsidR="00AD521A">
        <w:t>we</w:t>
      </w:r>
      <w:r w:rsidRPr="00321A1F">
        <w:t xml:space="preserve"> may, by rule, establish standards and procedures for setting rates and charges of small utilities using criteria other than those set forth in Sections 367.081(1), (2)(a), and (3), F.S. Rule 25-30.456, F.A.C., provides, in part</w:t>
      </w:r>
      <w:r w:rsidR="006809CF">
        <w:t>,</w:t>
      </w:r>
      <w:r w:rsidR="00C308D3">
        <w:t xml:space="preserve"> that</w:t>
      </w:r>
      <w:r w:rsidRPr="00321A1F">
        <w:t xml:space="preserve"> as an alternative to a staff-assisted rate case as described in Rule 25-30.455, F.A.C., water utilities whose total gross annual operating revenues are less than $275,000 per system may petition th</w:t>
      </w:r>
      <w:r w:rsidR="00C308D3">
        <w:t xml:space="preserve">is </w:t>
      </w:r>
      <w:r w:rsidRPr="00321A1F">
        <w:t>Commission for staff assistance using alternative rate setting.</w:t>
      </w:r>
      <w:r w:rsidR="00603050" w:rsidRPr="00603050">
        <w:t xml:space="preserve"> </w:t>
      </w:r>
    </w:p>
    <w:p w:rsidR="002C1EFF" w:rsidRPr="00321A1F" w:rsidRDefault="002C1EFF" w:rsidP="002C1EFF">
      <w:pPr>
        <w:jc w:val="both"/>
      </w:pPr>
    </w:p>
    <w:p w:rsidR="00603050" w:rsidRDefault="002C1EFF" w:rsidP="00603050">
      <w:pPr>
        <w:ind w:firstLine="720"/>
        <w:jc w:val="both"/>
      </w:pPr>
      <w:r w:rsidRPr="00321A1F">
        <w:t xml:space="preserve">Although the Utility did not petition </w:t>
      </w:r>
      <w:r w:rsidR="00C308D3">
        <w:t xml:space="preserve">us </w:t>
      </w:r>
      <w:r w:rsidRPr="00321A1F">
        <w:t xml:space="preserve">for alternative rate setting under the afore-mentioned rule, </w:t>
      </w:r>
      <w:r w:rsidR="00C308D3">
        <w:t xml:space="preserve">we shall exercise our discretion </w:t>
      </w:r>
      <w:r w:rsidRPr="00321A1F">
        <w:t xml:space="preserve">to employ the operating ratio methodology </w:t>
      </w:r>
      <w:r w:rsidR="00C308D3">
        <w:t xml:space="preserve">in setting </w:t>
      </w:r>
      <w:r w:rsidRPr="00321A1F">
        <w:t xml:space="preserve">wastewater rates in this case. The operating ratio methodology is an alternative to the traditional calculation of revenue requirements. Under this methodology, instead of applying a return on </w:t>
      </w:r>
      <w:r w:rsidR="00603050">
        <w:t>a u</w:t>
      </w:r>
      <w:r w:rsidRPr="00321A1F">
        <w:t xml:space="preserve">tility’s rate base, the revenue requirement is based on </w:t>
      </w:r>
      <w:r w:rsidR="00603050">
        <w:t xml:space="preserve">the utility’s </w:t>
      </w:r>
      <w:r w:rsidRPr="00321A1F">
        <w:t xml:space="preserve">O&amp;M expenses plus a margin. This methodology has been applied in </w:t>
      </w:r>
      <w:r w:rsidR="00072848">
        <w:t xml:space="preserve">various dockets including cases </w:t>
      </w:r>
      <w:r w:rsidRPr="00321A1F">
        <w:t xml:space="preserve">in which the traditional calculation of the revenue requirement </w:t>
      </w:r>
      <w:r w:rsidR="00C308D3">
        <w:t>do</w:t>
      </w:r>
      <w:r w:rsidR="00AD521A">
        <w:t>es</w:t>
      </w:r>
      <w:r w:rsidR="00C308D3">
        <w:t xml:space="preserve"> </w:t>
      </w:r>
      <w:r w:rsidRPr="00321A1F">
        <w:t>not provide sufficient protection against potential variances in revenues and expenses.</w:t>
      </w:r>
      <w:r w:rsidR="00072848" w:rsidRPr="00321A1F">
        <w:rPr>
          <w:vertAlign w:val="superscript"/>
        </w:rPr>
        <w:footnoteReference w:id="4"/>
      </w:r>
      <w:r w:rsidR="00072848">
        <w:t xml:space="preserve"> </w:t>
      </w:r>
      <w:r w:rsidR="00603050">
        <w:t>In this context, we have determined that</w:t>
      </w:r>
      <w:r w:rsidR="00603050" w:rsidRPr="00321A1F">
        <w:t xml:space="preserve"> a </w:t>
      </w:r>
      <w:r w:rsidR="00603050" w:rsidRPr="00321A1F">
        <w:lastRenderedPageBreak/>
        <w:t>margin of 10 percent sh</w:t>
      </w:r>
      <w:r w:rsidR="00603050">
        <w:t>ould</w:t>
      </w:r>
      <w:r w:rsidR="00603050" w:rsidRPr="00321A1F">
        <w:t xml:space="preserve"> be used</w:t>
      </w:r>
      <w:r w:rsidR="00275176">
        <w:t xml:space="preserve">, </w:t>
      </w:r>
      <w:r w:rsidR="00603050" w:rsidRPr="00321A1F">
        <w:t>unless unique circumstances justify the use of a greater or lesser margin</w:t>
      </w:r>
      <w:r w:rsidR="00275176">
        <w:t xml:space="preserve">, </w:t>
      </w:r>
      <w:r w:rsidR="00AD521A">
        <w:t xml:space="preserve">with a </w:t>
      </w:r>
      <w:r w:rsidR="00603050" w:rsidRPr="00321A1F">
        <w:t>suggested cap of $10,000.</w:t>
      </w:r>
      <w:r w:rsidR="00603050">
        <w:rPr>
          <w:rStyle w:val="FootnoteReference"/>
        </w:rPr>
        <w:footnoteReference w:id="5"/>
      </w:r>
      <w:r w:rsidR="00603050">
        <w:t xml:space="preserve"> </w:t>
      </w:r>
    </w:p>
    <w:p w:rsidR="00603050" w:rsidRDefault="00603050" w:rsidP="00603050">
      <w:pPr>
        <w:ind w:firstLine="720"/>
        <w:jc w:val="both"/>
      </w:pPr>
    </w:p>
    <w:p w:rsidR="00603050" w:rsidRDefault="00603050" w:rsidP="00603050">
      <w:pPr>
        <w:ind w:firstLine="720"/>
        <w:jc w:val="both"/>
      </w:pPr>
      <w:r>
        <w:t>T</w:t>
      </w:r>
      <w:r w:rsidRPr="00321A1F">
        <w:t xml:space="preserve">he use of the operating ratio methodology </w:t>
      </w:r>
      <w:r>
        <w:t xml:space="preserve">is based on the principle that the </w:t>
      </w:r>
      <w:r w:rsidRPr="00321A1F">
        <w:t xml:space="preserve">risk to a utility resides in operating costs rather than in cost of the plant. </w:t>
      </w:r>
      <w:r>
        <w:t>Stated differently, t</w:t>
      </w:r>
      <w:r w:rsidRPr="00321A1F">
        <w:t>he fair return on a small rate base may not adequately compensate a utility owner for incurring the risk associated with covering the much larger operating cost.</w:t>
      </w:r>
      <w:r>
        <w:t xml:space="preserve"> T</w:t>
      </w:r>
      <w:r w:rsidRPr="00321A1F">
        <w:t>he margin should adequately compensate the utility owner for the risk, which lies with the operating costs.</w:t>
      </w:r>
      <w:r>
        <w:t xml:space="preserve"> </w:t>
      </w:r>
    </w:p>
    <w:p w:rsidR="00FB4846" w:rsidRDefault="00FB4846" w:rsidP="00FB4846">
      <w:pPr>
        <w:ind w:firstLine="720"/>
        <w:jc w:val="both"/>
      </w:pPr>
    </w:p>
    <w:p w:rsidR="006809CF" w:rsidRDefault="00093725" w:rsidP="00603050">
      <w:pPr>
        <w:ind w:firstLine="720"/>
        <w:jc w:val="both"/>
      </w:pPr>
      <w:r>
        <w:t xml:space="preserve">Upon review, we find that </w:t>
      </w:r>
      <w:r w:rsidR="00AD521A">
        <w:t xml:space="preserve">use of </w:t>
      </w:r>
      <w:r w:rsidRPr="00321A1F">
        <w:t>the operating ratio methodology</w:t>
      </w:r>
      <w:r>
        <w:t xml:space="preserve"> </w:t>
      </w:r>
      <w:r w:rsidR="00AD521A">
        <w:t>is appropriate in this instance because</w:t>
      </w:r>
      <w:r w:rsidR="006809CF">
        <w:t>:</w:t>
      </w:r>
      <w:r w:rsidR="00AD521A">
        <w:t xml:space="preserve"> </w:t>
      </w:r>
    </w:p>
    <w:p w:rsidR="006809CF" w:rsidRDefault="006809CF" w:rsidP="00603050">
      <w:pPr>
        <w:ind w:firstLine="720"/>
        <w:jc w:val="both"/>
      </w:pPr>
    </w:p>
    <w:p w:rsidR="006809CF" w:rsidRDefault="00AD521A" w:rsidP="00603050">
      <w:pPr>
        <w:ind w:firstLine="720"/>
        <w:jc w:val="both"/>
      </w:pPr>
      <w:r>
        <w:t>Aquarina</w:t>
      </w:r>
      <w:r w:rsidR="00072848">
        <w:t xml:space="preserve"> </w:t>
      </w:r>
      <w:r w:rsidR="00072848" w:rsidRPr="00321A1F">
        <w:t>has a negative rate base and</w:t>
      </w:r>
      <w:r w:rsidR="00275176">
        <w:t>,</w:t>
      </w:r>
      <w:r w:rsidR="00072848" w:rsidRPr="00321A1F">
        <w:t xml:space="preserve"> under traditional rate base regulation, would not </w:t>
      </w:r>
      <w:r w:rsidR="006809CF">
        <w:tab/>
      </w:r>
      <w:r w:rsidR="00072848" w:rsidRPr="00321A1F">
        <w:t xml:space="preserve">be entitled to any return on investment. </w:t>
      </w:r>
      <w:r w:rsidR="00072848">
        <w:t>T</w:t>
      </w:r>
      <w:r w:rsidR="00072848" w:rsidRPr="00321A1F">
        <w:t xml:space="preserve">he adjusted wastewater rate base for the test </w:t>
      </w:r>
      <w:r w:rsidR="006809CF">
        <w:tab/>
      </w:r>
      <w:r w:rsidR="00072848" w:rsidRPr="00321A1F">
        <w:t xml:space="preserve">year is ($2,091), while adjusted wastewater O&amp;M expenses are $151,489. The Utility’s </w:t>
      </w:r>
      <w:r w:rsidR="006809CF">
        <w:tab/>
      </w:r>
      <w:r w:rsidR="00072848" w:rsidRPr="00321A1F">
        <w:t xml:space="preserve">primary risk </w:t>
      </w:r>
      <w:r w:rsidR="00072848">
        <w:t xml:space="preserve">is </w:t>
      </w:r>
      <w:r w:rsidR="00072848" w:rsidRPr="00321A1F">
        <w:t>covering its operating expense</w:t>
      </w:r>
      <w:r w:rsidR="00072848">
        <w:t xml:space="preserve">; </w:t>
      </w:r>
    </w:p>
    <w:p w:rsidR="006809CF" w:rsidRDefault="006809CF" w:rsidP="00603050">
      <w:pPr>
        <w:ind w:firstLine="720"/>
        <w:jc w:val="both"/>
      </w:pPr>
    </w:p>
    <w:p w:rsidR="006809CF" w:rsidRDefault="00072848" w:rsidP="00603050">
      <w:pPr>
        <w:ind w:firstLine="720"/>
        <w:jc w:val="both"/>
      </w:pPr>
      <w:r>
        <w:t xml:space="preserve">although </w:t>
      </w:r>
      <w:r w:rsidRPr="00321A1F">
        <w:t xml:space="preserve">Aquarina is a Class B </w:t>
      </w:r>
      <w:r w:rsidR="00AD521A">
        <w:t>u</w:t>
      </w:r>
      <w:r w:rsidRPr="00321A1F">
        <w:t xml:space="preserve">tility, the revenue requirement of $179,663 is well below </w:t>
      </w:r>
      <w:r w:rsidR="006809CF">
        <w:tab/>
      </w:r>
      <w:r w:rsidRPr="00321A1F">
        <w:t>the threshold level for Class B status ($200,000 per system)</w:t>
      </w:r>
      <w:r>
        <w:t xml:space="preserve">; </w:t>
      </w:r>
    </w:p>
    <w:p w:rsidR="006809CF" w:rsidRDefault="006809CF" w:rsidP="00603050">
      <w:pPr>
        <w:ind w:firstLine="720"/>
        <w:jc w:val="both"/>
      </w:pPr>
    </w:p>
    <w:p w:rsidR="006809CF" w:rsidRDefault="00AD521A" w:rsidP="00603050">
      <w:pPr>
        <w:ind w:firstLine="720"/>
        <w:jc w:val="both"/>
      </w:pPr>
      <w:r>
        <w:t>Aquarina’s</w:t>
      </w:r>
      <w:r w:rsidR="00072848">
        <w:t xml:space="preserve"> quality of service is marginal; </w:t>
      </w:r>
    </w:p>
    <w:p w:rsidR="006809CF" w:rsidRDefault="006809CF" w:rsidP="00603050">
      <w:pPr>
        <w:ind w:firstLine="720"/>
        <w:jc w:val="both"/>
      </w:pPr>
    </w:p>
    <w:p w:rsidR="006809CF" w:rsidRDefault="004443AA" w:rsidP="00603050">
      <w:pPr>
        <w:ind w:firstLine="720"/>
        <w:jc w:val="both"/>
      </w:pPr>
      <w:r>
        <w:t xml:space="preserve">the Utility </w:t>
      </w:r>
      <w:r w:rsidR="00072848">
        <w:t xml:space="preserve">is not developer owned and significant growth is not expected; </w:t>
      </w:r>
    </w:p>
    <w:p w:rsidR="006809CF" w:rsidRDefault="006809CF" w:rsidP="00603050">
      <w:pPr>
        <w:ind w:firstLine="720"/>
        <w:jc w:val="both"/>
      </w:pPr>
    </w:p>
    <w:p w:rsidR="00603050" w:rsidRDefault="00072848" w:rsidP="00603050">
      <w:pPr>
        <w:ind w:firstLine="720"/>
        <w:jc w:val="both"/>
      </w:pPr>
      <w:r w:rsidRPr="00321A1F">
        <w:t xml:space="preserve"> Aquarina operates the wastewater treatment plant</w:t>
      </w:r>
      <w:r>
        <w:t xml:space="preserve"> and thus,</w:t>
      </w:r>
      <w:r w:rsidR="00603050">
        <w:t xml:space="preserve"> </w:t>
      </w:r>
      <w:r w:rsidRPr="00321A1F">
        <w:t xml:space="preserve">there is no concern regarding </w:t>
      </w:r>
      <w:r w:rsidR="006809CF">
        <w:tab/>
      </w:r>
      <w:r w:rsidRPr="00321A1F">
        <w:t>excluding purchased wastewater costs.</w:t>
      </w:r>
      <w:r w:rsidR="00FB4846">
        <w:t xml:space="preserve"> </w:t>
      </w:r>
    </w:p>
    <w:p w:rsidR="00072848" w:rsidRDefault="00072848" w:rsidP="00072848">
      <w:pPr>
        <w:ind w:firstLine="720"/>
        <w:jc w:val="both"/>
      </w:pPr>
    </w:p>
    <w:p w:rsidR="00E90B57" w:rsidRDefault="00093725" w:rsidP="00E90B57">
      <w:pPr>
        <w:spacing w:after="240"/>
        <w:jc w:val="both"/>
      </w:pPr>
      <w:r>
        <w:tab/>
      </w:r>
      <w:r w:rsidR="002C1EFF" w:rsidRPr="00321A1F">
        <w:t xml:space="preserve">Aquarina’s capital structure </w:t>
      </w:r>
      <w:r w:rsidR="00603050">
        <w:t xml:space="preserve">is </w:t>
      </w:r>
      <w:r w:rsidR="002C1EFF" w:rsidRPr="00321A1F">
        <w:t>99.95 percent long-term debt, with an overall cost of capital of 3.66 percent</w:t>
      </w:r>
      <w:r w:rsidR="00603050">
        <w:t>. Upon review, w</w:t>
      </w:r>
      <w:r w:rsidR="00BB4206">
        <w:t xml:space="preserve">e </w:t>
      </w:r>
      <w:r>
        <w:t>f</w:t>
      </w:r>
      <w:r w:rsidR="00BB4206">
        <w:t xml:space="preserve">ind that </w:t>
      </w:r>
      <w:r w:rsidR="002C1EFF" w:rsidRPr="00321A1F">
        <w:t xml:space="preserve">an operating margin of 6.60 percent, which equates to the cap of $10,000, is appropriate. </w:t>
      </w:r>
      <w:r w:rsidR="00BB4206">
        <w:t>T</w:t>
      </w:r>
      <w:r w:rsidR="002C1EFF" w:rsidRPr="00321A1F">
        <w:t xml:space="preserve">his </w:t>
      </w:r>
      <w:r w:rsidR="00BB4206">
        <w:t>will</w:t>
      </w:r>
      <w:r w:rsidR="002C1EFF" w:rsidRPr="00321A1F">
        <w:t xml:space="preserve"> be sufficient to cover debt service obligations associated with regulated operations and provide protection against variability in revenues and expenses.</w:t>
      </w:r>
      <w:r w:rsidR="00E90B57">
        <w:t xml:space="preserve"> In sum</w:t>
      </w:r>
      <w:r w:rsidR="001907DE">
        <w:t>mation</w:t>
      </w:r>
      <w:r w:rsidR="00E90B57">
        <w:t xml:space="preserve">, we find that </w:t>
      </w:r>
      <w:r w:rsidR="00E90B57" w:rsidRPr="00321A1F">
        <w:t xml:space="preserve">the Utility needs a higher margin of revenue over operating expenses than the traditional return on rate base method would allow. Therefore, in order to provide Aquarina with adequate cash flow to provide some assurance of safe and reliable service, </w:t>
      </w:r>
      <w:r w:rsidR="00E90B57">
        <w:t xml:space="preserve">we shall apply the </w:t>
      </w:r>
      <w:r w:rsidR="00E90B57" w:rsidRPr="00321A1F">
        <w:t>operating ratio methodology at a margin of 6.60 percent of O&amp;M expenses for determining the wastewater revenue requirement</w:t>
      </w:r>
      <w:r w:rsidR="005D5509">
        <w:t>.</w:t>
      </w:r>
    </w:p>
    <w:p w:rsidR="0081743A" w:rsidRPr="0081743A" w:rsidRDefault="0081743A" w:rsidP="002C1EFF">
      <w:pPr>
        <w:spacing w:after="240"/>
        <w:ind w:left="360" w:hanging="360"/>
        <w:jc w:val="both"/>
        <w:outlineLvl w:val="0"/>
        <w:rPr>
          <w:b/>
          <w:bCs/>
          <w:kern w:val="32"/>
          <w:u w:val="single"/>
        </w:rPr>
      </w:pPr>
      <w:r w:rsidRPr="00121F10">
        <w:rPr>
          <w:bCs/>
          <w:kern w:val="32"/>
          <w:u w:val="single"/>
        </w:rPr>
        <w:t>9</w:t>
      </w:r>
      <w:r w:rsidRPr="00121F10">
        <w:rPr>
          <w:u w:val="single"/>
        </w:rPr>
        <w:t>.  Wastewater Revenue Requirement</w:t>
      </w:r>
    </w:p>
    <w:p w:rsidR="002C1EFF" w:rsidRPr="00321A1F" w:rsidRDefault="00121F10" w:rsidP="00121F10">
      <w:pPr>
        <w:spacing w:after="240"/>
        <w:jc w:val="both"/>
        <w:rPr>
          <w:b/>
          <w:i/>
        </w:rPr>
      </w:pPr>
      <w:r>
        <w:tab/>
        <w:t xml:space="preserve">Based upon the calculations below, we find that the </w:t>
      </w:r>
      <w:r w:rsidRPr="00321A1F">
        <w:t>appropriate wastewater revenue requirement is $179,094</w:t>
      </w:r>
      <w:r>
        <w:t xml:space="preserve">.  This represents </w:t>
      </w:r>
      <w:r w:rsidR="002C1EFF" w:rsidRPr="00321A1F">
        <w:t>an annual increase of $17,842 for wastewater</w:t>
      </w:r>
      <w:r>
        <w:t xml:space="preserve"> and will </w:t>
      </w:r>
      <w:r w:rsidR="002C1EFF" w:rsidRPr="00321A1F">
        <w:lastRenderedPageBreak/>
        <w:t xml:space="preserve">allow the Utility the opportunity to recover its expenses and earn a 6.60 percent margin over its wastewater system’s operating and maintenance expenses. </w:t>
      </w:r>
    </w:p>
    <w:p w:rsidR="002C1EFF" w:rsidRPr="00321A1F" w:rsidRDefault="002C1EFF" w:rsidP="002C1EFF">
      <w:pPr>
        <w:spacing w:after="120"/>
        <w:jc w:val="center"/>
        <w:rPr>
          <w:b/>
        </w:rPr>
      </w:pPr>
    </w:p>
    <w:tbl>
      <w:tblPr>
        <w:tblW w:w="5740" w:type="dxa"/>
        <w:jc w:val="center"/>
        <w:tblInd w:w="93" w:type="dxa"/>
        <w:tblLook w:val="04A0" w:firstRow="1" w:lastRow="0" w:firstColumn="1" w:lastColumn="0" w:noHBand="0" w:noVBand="1"/>
      </w:tblPr>
      <w:tblGrid>
        <w:gridCol w:w="3680"/>
        <w:gridCol w:w="860"/>
        <w:gridCol w:w="1200"/>
      </w:tblGrid>
      <w:tr w:rsidR="002C1EFF" w:rsidRPr="00321A1F" w:rsidTr="00EC6608">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1EFF" w:rsidRPr="00321A1F" w:rsidRDefault="002C1EFF" w:rsidP="002C1EFF">
            <w:pPr>
              <w:jc w:val="center"/>
            </w:pPr>
            <w:r w:rsidRPr="00321A1F">
              <w:t>Wastewater Revenue Requirement</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O&amp;M Expenses</w:t>
            </w:r>
          </w:p>
        </w:tc>
        <w:tc>
          <w:tcPr>
            <w:tcW w:w="860" w:type="dxa"/>
            <w:tcBorders>
              <w:top w:val="nil"/>
              <w:left w:val="nil"/>
              <w:bottom w:val="nil"/>
              <w:right w:val="nil"/>
            </w:tcBorders>
            <w:shd w:val="clear" w:color="auto" w:fill="auto"/>
            <w:vAlign w:val="center"/>
            <w:hideMark/>
          </w:tcPr>
          <w:p w:rsidR="002C1EFF" w:rsidRPr="00321A1F" w:rsidRDefault="002C1EFF" w:rsidP="002C1EFF">
            <w:r w:rsidRPr="00321A1F">
              <w:t> </w:t>
            </w:r>
          </w:p>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$151,489 </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Operating Ratio</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x 6.60%</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Operating Margin</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$10,000 </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Adjusted O&amp;M Expense</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151,489</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Depreciation Expense</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11,006</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CIAC Amortization Expense</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(15,514)</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Taxes Other Than Income</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21,880</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Test Year RAFs</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(7,282)</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Revenue Before RAFs</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$171,579 </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RAF Gross-Up Factor</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x 0.955</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Total Revenues</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pPr>
            <w:r w:rsidRPr="00321A1F">
              <w:t xml:space="preserve">$179,663 </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Less Adjusted Test Year Revenues</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single"/>
              </w:rPr>
            </w:pPr>
            <w:r w:rsidRPr="00321A1F">
              <w:rPr>
                <w:u w:val="single"/>
              </w:rPr>
              <w:t>161,821</w:t>
            </w:r>
          </w:p>
        </w:tc>
      </w:tr>
      <w:tr w:rsidR="002C1EFF" w:rsidRPr="00321A1F" w:rsidTr="00EC6608">
        <w:trPr>
          <w:trHeight w:val="402"/>
          <w:jc w:val="center"/>
        </w:trPr>
        <w:tc>
          <w:tcPr>
            <w:tcW w:w="3680" w:type="dxa"/>
            <w:tcBorders>
              <w:top w:val="nil"/>
              <w:left w:val="single" w:sz="4" w:space="0" w:color="auto"/>
              <w:bottom w:val="nil"/>
              <w:right w:val="nil"/>
            </w:tcBorders>
            <w:shd w:val="clear" w:color="auto" w:fill="auto"/>
            <w:vAlign w:val="center"/>
            <w:hideMark/>
          </w:tcPr>
          <w:p w:rsidR="002C1EFF" w:rsidRPr="00321A1F" w:rsidRDefault="002C1EFF" w:rsidP="002C1EFF">
            <w:r w:rsidRPr="00321A1F">
              <w:t>Annual Increase (Decrease)</w:t>
            </w:r>
          </w:p>
        </w:tc>
        <w:tc>
          <w:tcPr>
            <w:tcW w:w="860" w:type="dxa"/>
            <w:tcBorders>
              <w:top w:val="nil"/>
              <w:left w:val="nil"/>
              <w:bottom w:val="nil"/>
              <w:right w:val="nil"/>
            </w:tcBorders>
            <w:shd w:val="clear" w:color="auto" w:fill="auto"/>
            <w:hideMark/>
          </w:tcPr>
          <w:p w:rsidR="002C1EFF" w:rsidRPr="00321A1F" w:rsidRDefault="002C1EFF" w:rsidP="002C1EFF"/>
        </w:tc>
        <w:tc>
          <w:tcPr>
            <w:tcW w:w="1200" w:type="dxa"/>
            <w:tcBorders>
              <w:top w:val="nil"/>
              <w:left w:val="nil"/>
              <w:bottom w:val="nil"/>
              <w:right w:val="single" w:sz="4" w:space="0" w:color="auto"/>
            </w:tcBorders>
            <w:shd w:val="clear" w:color="auto" w:fill="auto"/>
            <w:vAlign w:val="center"/>
            <w:hideMark/>
          </w:tcPr>
          <w:p w:rsidR="002C1EFF" w:rsidRPr="00321A1F" w:rsidRDefault="002C1EFF" w:rsidP="002C1EFF">
            <w:pPr>
              <w:jc w:val="right"/>
              <w:rPr>
                <w:u w:val="double"/>
              </w:rPr>
            </w:pPr>
            <w:r w:rsidRPr="00321A1F">
              <w:rPr>
                <w:u w:val="double"/>
              </w:rPr>
              <w:t xml:space="preserve">$17,842 </w:t>
            </w:r>
          </w:p>
        </w:tc>
      </w:tr>
      <w:tr w:rsidR="002C1EFF" w:rsidRPr="00321A1F" w:rsidTr="00EC6608">
        <w:trPr>
          <w:trHeight w:val="402"/>
          <w:jc w:val="center"/>
        </w:trPr>
        <w:tc>
          <w:tcPr>
            <w:tcW w:w="3680" w:type="dxa"/>
            <w:tcBorders>
              <w:top w:val="nil"/>
              <w:left w:val="single" w:sz="4" w:space="0" w:color="auto"/>
              <w:bottom w:val="single" w:sz="4" w:space="0" w:color="auto"/>
              <w:right w:val="nil"/>
            </w:tcBorders>
            <w:shd w:val="clear" w:color="auto" w:fill="auto"/>
            <w:vAlign w:val="center"/>
            <w:hideMark/>
          </w:tcPr>
          <w:p w:rsidR="002C1EFF" w:rsidRPr="00321A1F" w:rsidRDefault="002C1EFF" w:rsidP="002C1EFF">
            <w:r w:rsidRPr="00321A1F">
              <w:t>Percent Increase (Decrease)</w:t>
            </w:r>
          </w:p>
        </w:tc>
        <w:tc>
          <w:tcPr>
            <w:tcW w:w="860" w:type="dxa"/>
            <w:tcBorders>
              <w:top w:val="nil"/>
              <w:left w:val="nil"/>
              <w:bottom w:val="single" w:sz="4" w:space="0" w:color="auto"/>
              <w:right w:val="nil"/>
            </w:tcBorders>
            <w:shd w:val="clear" w:color="auto" w:fill="auto"/>
            <w:vAlign w:val="center"/>
            <w:hideMark/>
          </w:tcPr>
          <w:p w:rsidR="002C1EFF" w:rsidRPr="00321A1F" w:rsidRDefault="002C1EFF" w:rsidP="002C1EFF">
            <w:r w:rsidRPr="00321A1F">
              <w:t> </w:t>
            </w:r>
          </w:p>
        </w:tc>
        <w:tc>
          <w:tcPr>
            <w:tcW w:w="1200" w:type="dxa"/>
            <w:tcBorders>
              <w:top w:val="nil"/>
              <w:left w:val="nil"/>
              <w:bottom w:val="single" w:sz="4" w:space="0" w:color="auto"/>
              <w:right w:val="single" w:sz="4" w:space="0" w:color="auto"/>
            </w:tcBorders>
            <w:shd w:val="clear" w:color="auto" w:fill="auto"/>
            <w:vAlign w:val="center"/>
            <w:hideMark/>
          </w:tcPr>
          <w:p w:rsidR="002C1EFF" w:rsidRPr="00321A1F" w:rsidRDefault="002C1EFF" w:rsidP="002C1EFF">
            <w:pPr>
              <w:jc w:val="right"/>
              <w:rPr>
                <w:u w:val="double"/>
              </w:rPr>
            </w:pPr>
            <w:r w:rsidRPr="00321A1F">
              <w:rPr>
                <w:u w:val="double"/>
              </w:rPr>
              <w:t>11.03%</w:t>
            </w:r>
          </w:p>
        </w:tc>
      </w:tr>
    </w:tbl>
    <w:p w:rsidR="002C1EFF" w:rsidRPr="00321A1F" w:rsidRDefault="002C1EFF" w:rsidP="002C1EFF">
      <w:pPr>
        <w:jc w:val="center"/>
        <w:rPr>
          <w:b/>
          <w:i/>
        </w:rPr>
      </w:pPr>
    </w:p>
    <w:p w:rsidR="002C1EFF" w:rsidRPr="00321A1F" w:rsidRDefault="002C1EFF" w:rsidP="002C1EFF">
      <w:pPr>
        <w:jc w:val="both"/>
      </w:pPr>
    </w:p>
    <w:p w:rsidR="002C1EFF" w:rsidRPr="00445629" w:rsidRDefault="00445629" w:rsidP="002C1EFF">
      <w:pPr>
        <w:spacing w:after="240"/>
        <w:jc w:val="both"/>
        <w:rPr>
          <w:u w:val="single"/>
        </w:rPr>
      </w:pPr>
      <w:r w:rsidRPr="00121F10">
        <w:rPr>
          <w:u w:val="single"/>
        </w:rPr>
        <w:t>10. Rate Structure for W</w:t>
      </w:r>
      <w:r w:rsidR="002C1EFF" w:rsidRPr="00121F10">
        <w:rPr>
          <w:u w:val="single"/>
        </w:rPr>
        <w:t xml:space="preserve">ater and </w:t>
      </w:r>
      <w:r w:rsidRPr="00121F10">
        <w:rPr>
          <w:u w:val="single"/>
        </w:rPr>
        <w:t>Wastewater S</w:t>
      </w:r>
      <w:r w:rsidR="002C1EFF" w:rsidRPr="00121F10">
        <w:rPr>
          <w:u w:val="single"/>
        </w:rPr>
        <w:t>ystems</w:t>
      </w:r>
    </w:p>
    <w:p w:rsidR="002C1EFF" w:rsidRPr="004555E1" w:rsidRDefault="004555E1" w:rsidP="002C1EFF">
      <w:pPr>
        <w:jc w:val="both"/>
        <w:rPr>
          <w:i/>
        </w:rPr>
      </w:pPr>
      <w:r w:rsidRPr="004555E1">
        <w:rPr>
          <w:i/>
        </w:rPr>
        <w:t xml:space="preserve">A. </w:t>
      </w:r>
      <w:r w:rsidR="002C1EFF" w:rsidRPr="004555E1">
        <w:rPr>
          <w:i/>
        </w:rPr>
        <w:t xml:space="preserve">Water Rates (Potable)  </w:t>
      </w:r>
    </w:p>
    <w:p w:rsidR="004555E1" w:rsidRDefault="004555E1" w:rsidP="002C1EFF">
      <w:pPr>
        <w:jc w:val="both"/>
      </w:pPr>
    </w:p>
    <w:p w:rsidR="002C1EFF" w:rsidRPr="00321A1F" w:rsidRDefault="004555E1" w:rsidP="002C1EFF">
      <w:pPr>
        <w:jc w:val="both"/>
      </w:pPr>
      <w:r>
        <w:tab/>
      </w:r>
      <w:r w:rsidR="002C1EFF" w:rsidRPr="00321A1F">
        <w:t xml:space="preserve">Aquarina is located in Brevard County within the St. Johns River Water Management District (SJRWMD). The Utility provides water service to approximately 271 residential customers and 25 general service customers including master-metered developments, clubhouses, and a fire station. Typically, </w:t>
      </w:r>
      <w:r>
        <w:t xml:space="preserve">we </w:t>
      </w:r>
      <w:r w:rsidR="002C1EFF" w:rsidRPr="00321A1F">
        <w:t xml:space="preserve">evaluate the seasonality of utility customers based on the percentage of bills at zero gallons, which is 13 percent. However, for this Utility, the customers are in residence periodically throughout each month rather than a few months out of the year. Therefore, </w:t>
      </w:r>
      <w:r>
        <w:t>we find that</w:t>
      </w:r>
      <w:r w:rsidR="002C1EFF" w:rsidRPr="00321A1F">
        <w:t xml:space="preserve"> it is appropriate to evaluate the seasonality based on the percentage of bills at the 1,000 gallon level, which is 36 percent. As a result, it appears that the customer base is somewhat seasonal. The average residential water demand is 2,150 gallons per month. The average water demand excluding zero gallon bills is 2,479 per month. Currently, the Utility’s water rate structure consists of a monthly base facility charge (BFC) and uniform gallonage charge for the residential and general service customers. </w:t>
      </w:r>
    </w:p>
    <w:p w:rsidR="002C1EFF" w:rsidRPr="00321A1F" w:rsidRDefault="002C1EFF" w:rsidP="002C1EFF">
      <w:pPr>
        <w:jc w:val="both"/>
      </w:pPr>
    </w:p>
    <w:p w:rsidR="002C1EFF" w:rsidRPr="00321A1F" w:rsidRDefault="004555E1" w:rsidP="002C1EFF">
      <w:pPr>
        <w:spacing w:after="240"/>
        <w:jc w:val="both"/>
      </w:pPr>
      <w:r>
        <w:lastRenderedPageBreak/>
        <w:tab/>
      </w:r>
      <w:r w:rsidR="002C1EFF" w:rsidRPr="00321A1F">
        <w:t xml:space="preserve">As </w:t>
      </w:r>
      <w:r>
        <w:t>discussed under the heading</w:t>
      </w:r>
      <w:r w:rsidR="00B26992">
        <w:t>,</w:t>
      </w:r>
      <w:r>
        <w:t xml:space="preserve"> </w:t>
      </w:r>
      <w:r w:rsidRPr="004555E1">
        <w:t>“</w:t>
      </w:r>
      <w:r w:rsidRPr="004555E1">
        <w:rPr>
          <w:u w:val="single"/>
        </w:rPr>
        <w:t>7.  Revenue Requirement for Potable and Non-Potable Water</w:t>
      </w:r>
      <w:r w:rsidRPr="004555E1">
        <w:t>,”</w:t>
      </w:r>
      <w:r>
        <w:t xml:space="preserve"> t</w:t>
      </w:r>
      <w:r w:rsidR="002C1EFF" w:rsidRPr="00321A1F">
        <w:t xml:space="preserve">he potable water system is overearning by 7.37 percent (or $12,593). To the extent possible, when there are overearnings for a water and wastewater system, </w:t>
      </w:r>
      <w:r>
        <w:t xml:space="preserve">we find that it </w:t>
      </w:r>
      <w:r w:rsidR="00B6438C">
        <w:t xml:space="preserve">is </w:t>
      </w:r>
      <w:r w:rsidR="00B6438C" w:rsidRPr="00321A1F">
        <w:t>appropriate</w:t>
      </w:r>
      <w:r w:rsidR="002C1EFF" w:rsidRPr="00321A1F">
        <w:t xml:space="preserve"> to avoid decreasing water rates by netting the revenues of the systems if the customer bases are similar. </w:t>
      </w:r>
      <w:r>
        <w:t>D</w:t>
      </w:r>
      <w:r w:rsidR="002C1EFF" w:rsidRPr="00321A1F">
        <w:t>ecreasing the potable water rates undermine</w:t>
      </w:r>
      <w:r>
        <w:t>s</w:t>
      </w:r>
      <w:r w:rsidR="002C1EFF" w:rsidRPr="00321A1F">
        <w:t xml:space="preserve"> conservation efforts. In this case, there is a minimal difference in the potable water and wastewater customer bases. There are 296 potable customers and 311 wastewater customers, which is a difference of 15 customers (approximately 5 percent). Due to the low percentage difference between potable water and wastewater customers, </w:t>
      </w:r>
      <w:r>
        <w:t xml:space="preserve">we find that </w:t>
      </w:r>
      <w:r w:rsidR="002C1EFF" w:rsidRPr="00321A1F">
        <w:t xml:space="preserve">it is appropriate to net the water system overearnings against the wastewater system increase. This will allow the water rates to remain unchanged rather than decrease. </w:t>
      </w:r>
      <w:r>
        <w:t xml:space="preserve">Because </w:t>
      </w:r>
      <w:r w:rsidR="002C1EFF" w:rsidRPr="00321A1F">
        <w:t xml:space="preserve">the rates </w:t>
      </w:r>
      <w:r>
        <w:t xml:space="preserve">will </w:t>
      </w:r>
      <w:r w:rsidR="002C1EFF" w:rsidRPr="00321A1F">
        <w:t xml:space="preserve">remain unchanged, a repression adjustment is not appropriate in this case. </w:t>
      </w:r>
    </w:p>
    <w:p w:rsidR="002C1EFF" w:rsidRPr="004555E1" w:rsidRDefault="004555E1" w:rsidP="002C1EFF">
      <w:pPr>
        <w:jc w:val="both"/>
        <w:rPr>
          <w:i/>
        </w:rPr>
      </w:pPr>
      <w:r w:rsidRPr="004555E1">
        <w:rPr>
          <w:i/>
        </w:rPr>
        <w:t xml:space="preserve">B. </w:t>
      </w:r>
      <w:r w:rsidR="002C1EFF" w:rsidRPr="004555E1">
        <w:rPr>
          <w:i/>
        </w:rPr>
        <w:t>Irrigation Rates (Non-Potable)</w:t>
      </w:r>
    </w:p>
    <w:p w:rsidR="004555E1" w:rsidRDefault="004555E1" w:rsidP="002C1EFF">
      <w:pPr>
        <w:jc w:val="both"/>
      </w:pPr>
    </w:p>
    <w:p w:rsidR="002C1EFF" w:rsidRPr="00321A1F" w:rsidRDefault="004555E1" w:rsidP="002C1EFF">
      <w:pPr>
        <w:jc w:val="both"/>
      </w:pPr>
      <w:r>
        <w:tab/>
      </w:r>
      <w:r w:rsidR="002C1EFF" w:rsidRPr="00321A1F">
        <w:t xml:space="preserve">The Utility provides irrigation service to approximately 107 residential and general service customers including a golf course and master-metered irrigation systems through a non-potable system. Although the customer base is seasonal, the customers irrigate while out of residence. The average non-potable water demand is 97,325 gallons per month. The groundwater is pumped from a dedicated well and piped directly to irrigation customers without treatment. The current rate structure consists of a gallonage charge only and no base facility charge because the Utility </w:t>
      </w:r>
      <w:r w:rsidR="00B26992">
        <w:t xml:space="preserve">previously </w:t>
      </w:r>
      <w:r w:rsidR="002C1EFF" w:rsidRPr="00321A1F">
        <w:t xml:space="preserve">was unable to locate the various meters. </w:t>
      </w:r>
    </w:p>
    <w:p w:rsidR="002C1EFF" w:rsidRPr="00321A1F" w:rsidRDefault="002C1EFF" w:rsidP="002C1EFF">
      <w:pPr>
        <w:jc w:val="both"/>
      </w:pPr>
    </w:p>
    <w:p w:rsidR="002C1EFF" w:rsidRPr="00321A1F" w:rsidRDefault="004555E1" w:rsidP="002C1EFF">
      <w:pPr>
        <w:jc w:val="both"/>
      </w:pPr>
      <w:r>
        <w:tab/>
      </w:r>
      <w:r w:rsidR="00B26992">
        <w:t xml:space="preserve">We </w:t>
      </w:r>
      <w:r w:rsidR="002C1EFF" w:rsidRPr="00321A1F">
        <w:t xml:space="preserve">evaluated whether a gallonage charge only rate structure is appropriate on a going-forward basis. In this case, the Utility was able to locate all irrigation meters. </w:t>
      </w:r>
      <w:r w:rsidR="00B26992">
        <w:t xml:space="preserve">Upon review, we find that </w:t>
      </w:r>
      <w:r w:rsidR="002C1EFF" w:rsidRPr="00321A1F">
        <w:t xml:space="preserve">it is appropriate to implement a BFC and uniform gallonage charge for irrigation customers to provide a fixed revenue stream while sending the appropriate pricing signals to target those customers with high levels of consumption. Therefore, 30 percent of the non-potable revenues </w:t>
      </w:r>
      <w:r w:rsidR="00B26992">
        <w:t xml:space="preserve">shall </w:t>
      </w:r>
      <w:r w:rsidR="002C1EFF" w:rsidRPr="00321A1F">
        <w:t>be allocated to the BFC for rate</w:t>
      </w:r>
      <w:r w:rsidR="00B6438C">
        <w:t xml:space="preserve"> </w:t>
      </w:r>
      <w:r w:rsidR="002C1EFF" w:rsidRPr="00321A1F">
        <w:t>setting purposes. This will allow lower bills for irrigation and promote the continued use of non-potable water for irrigation purposes.</w:t>
      </w:r>
    </w:p>
    <w:p w:rsidR="002C1EFF" w:rsidRPr="00321A1F" w:rsidRDefault="002C1EFF" w:rsidP="002C1EFF">
      <w:pPr>
        <w:jc w:val="both"/>
      </w:pPr>
    </w:p>
    <w:p w:rsidR="002C1EFF" w:rsidRPr="004555E1" w:rsidRDefault="004555E1" w:rsidP="002C1EFF">
      <w:pPr>
        <w:jc w:val="both"/>
        <w:rPr>
          <w:i/>
        </w:rPr>
      </w:pPr>
      <w:r w:rsidRPr="004555E1">
        <w:rPr>
          <w:i/>
        </w:rPr>
        <w:t xml:space="preserve">C. </w:t>
      </w:r>
      <w:r w:rsidR="002C1EFF" w:rsidRPr="004555E1">
        <w:rPr>
          <w:i/>
        </w:rPr>
        <w:t>Wastewater Rates</w:t>
      </w:r>
    </w:p>
    <w:p w:rsidR="004555E1" w:rsidRDefault="004555E1" w:rsidP="002C1EFF">
      <w:pPr>
        <w:jc w:val="both"/>
        <w:outlineLvl w:val="0"/>
      </w:pPr>
    </w:p>
    <w:p w:rsidR="002C1EFF" w:rsidRPr="00321A1F" w:rsidRDefault="004555E1" w:rsidP="002C1EFF">
      <w:pPr>
        <w:jc w:val="both"/>
        <w:outlineLvl w:val="0"/>
      </w:pPr>
      <w:r>
        <w:tab/>
      </w:r>
      <w:r w:rsidR="002C1EFF" w:rsidRPr="00321A1F">
        <w:t xml:space="preserve">The Utility provides wastewater service to approximately 269 residential customers and 19 general service customers who also receive water service from Aquarina. The Utility also provides wastewater only service to 23 residential customers who receive their water service from the South Brevard Water Cooperative. Currently, the wastewater rate structure for residential customers consists of a monthly uniform BFC for all meter sizes and a gallonage charge with an 8,000 gallon cap. The wastewater-only customers are billed a flat rate, which reflects approximately 2,622 gallons per month of demand. General service customers are billed a BFC by meter size and a gallonage charge that is 1.2 times higher than the residential gallonage charge. </w:t>
      </w:r>
    </w:p>
    <w:p w:rsidR="002C1EFF" w:rsidRPr="00321A1F" w:rsidRDefault="002C1EFF" w:rsidP="002C1EFF">
      <w:pPr>
        <w:jc w:val="both"/>
        <w:outlineLvl w:val="0"/>
      </w:pPr>
    </w:p>
    <w:p w:rsidR="002C1EFF" w:rsidRPr="00321A1F" w:rsidRDefault="004555E1" w:rsidP="002C1EFF">
      <w:pPr>
        <w:jc w:val="both"/>
      </w:pPr>
      <w:r>
        <w:tab/>
      </w:r>
      <w:r w:rsidR="002C1EFF" w:rsidRPr="00321A1F">
        <w:t xml:space="preserve">As discussed </w:t>
      </w:r>
      <w:r w:rsidR="00BA687E">
        <w:t>above we approve netting</w:t>
      </w:r>
      <w:r w:rsidR="002C1EFF" w:rsidRPr="00321A1F">
        <w:t xml:space="preserve"> the potable water system’s overearnings against the wastewater system’s increase to avoid a decrease in rates. Netting the potable water and </w:t>
      </w:r>
      <w:r w:rsidR="002C1EFF" w:rsidRPr="00321A1F">
        <w:lastRenderedPageBreak/>
        <w:t xml:space="preserve">wastewater systems’ revenues results in an increase of 3.25 percent for the wastewater system. However, a 3.15 percent increase reflects the </w:t>
      </w:r>
      <w:r w:rsidR="00BA687E">
        <w:t>approved</w:t>
      </w:r>
      <w:r w:rsidR="002C1EFF" w:rsidRPr="00321A1F">
        <w:t xml:space="preserve"> revenue increase excluding miscellaneous revenue. </w:t>
      </w:r>
      <w:r w:rsidR="00BA687E">
        <w:t>Because of t</w:t>
      </w:r>
      <w:r w:rsidR="002C1EFF" w:rsidRPr="00321A1F">
        <w:t xml:space="preserve">he low overall increase for wastewater, </w:t>
      </w:r>
      <w:r w:rsidR="00BA687E">
        <w:t>we approve</w:t>
      </w:r>
      <w:r w:rsidR="002C1EFF" w:rsidRPr="00321A1F">
        <w:t xml:space="preserve"> an across-the-board increase of 3.15 to the existing rates.</w:t>
      </w:r>
    </w:p>
    <w:p w:rsidR="002C1EFF" w:rsidRPr="00321A1F" w:rsidRDefault="002C1EFF" w:rsidP="002C1EFF">
      <w:pPr>
        <w:jc w:val="both"/>
      </w:pPr>
    </w:p>
    <w:p w:rsidR="002C1EFF" w:rsidRPr="004555E1" w:rsidRDefault="004555E1" w:rsidP="002C1EFF">
      <w:pPr>
        <w:jc w:val="both"/>
        <w:rPr>
          <w:i/>
        </w:rPr>
      </w:pPr>
      <w:r w:rsidRPr="004555E1">
        <w:rPr>
          <w:i/>
        </w:rPr>
        <w:t xml:space="preserve">D. </w:t>
      </w:r>
      <w:r w:rsidR="002C1EFF" w:rsidRPr="004555E1">
        <w:rPr>
          <w:i/>
        </w:rPr>
        <w:t>Summary</w:t>
      </w:r>
    </w:p>
    <w:p w:rsidR="004555E1" w:rsidRDefault="004555E1" w:rsidP="002C1EFF">
      <w:pPr>
        <w:jc w:val="both"/>
      </w:pPr>
    </w:p>
    <w:p w:rsidR="002C1EFF" w:rsidRPr="00321A1F" w:rsidRDefault="004555E1" w:rsidP="002C1EFF">
      <w:pPr>
        <w:jc w:val="both"/>
      </w:pPr>
      <w:r>
        <w:tab/>
      </w:r>
      <w:r w:rsidR="00407D76">
        <w:t>T</w:t>
      </w:r>
      <w:r w:rsidR="002C1EFF" w:rsidRPr="00321A1F">
        <w:t xml:space="preserve">he potable water system overearnings </w:t>
      </w:r>
      <w:r w:rsidR="00BA687E">
        <w:t xml:space="preserve">shall be </w:t>
      </w:r>
      <w:r w:rsidR="002C1EFF" w:rsidRPr="00321A1F">
        <w:t>netted against the wastewater system increase. The potable water rate structure and rates sh</w:t>
      </w:r>
      <w:r w:rsidR="00BA687E">
        <w:t>all</w:t>
      </w:r>
      <w:r w:rsidR="002C1EFF" w:rsidRPr="00321A1F">
        <w:t xml:space="preserve"> remain unchanged. </w:t>
      </w:r>
      <w:r w:rsidR="00BA687E">
        <w:t>We approve a</w:t>
      </w:r>
      <w:r w:rsidR="002C1EFF" w:rsidRPr="00321A1F">
        <w:t xml:space="preserve"> BFC and uniform gallonage charge rate structure with 30 percent of the revenues allocated to the BFC for non-potable water. The wastewater rate structure sh</w:t>
      </w:r>
      <w:r w:rsidR="00BA687E">
        <w:t>all</w:t>
      </w:r>
      <w:r w:rsidR="002C1EFF" w:rsidRPr="00321A1F">
        <w:t xml:space="preserve"> be an across-the-board increase to the existing rates.</w:t>
      </w:r>
    </w:p>
    <w:p w:rsidR="002C1EFF" w:rsidRPr="00321A1F" w:rsidRDefault="002C1EFF" w:rsidP="002C1EFF">
      <w:pPr>
        <w:jc w:val="both"/>
      </w:pPr>
      <w:r w:rsidRPr="00321A1F">
        <w:t xml:space="preserve"> </w:t>
      </w:r>
    </w:p>
    <w:p w:rsidR="002C1EFF" w:rsidRPr="00321A1F" w:rsidRDefault="002C1EFF" w:rsidP="002C1EFF">
      <w:pPr>
        <w:jc w:val="both"/>
      </w:pPr>
    </w:p>
    <w:p w:rsidR="002C1EFF" w:rsidRDefault="00BA687E" w:rsidP="002C1EFF">
      <w:pPr>
        <w:spacing w:after="240"/>
        <w:jc w:val="both"/>
      </w:pPr>
      <w:r>
        <w:tab/>
      </w:r>
      <w:r w:rsidR="002C1EFF" w:rsidRPr="00321A1F">
        <w:t xml:space="preserve">The </w:t>
      </w:r>
      <w:r>
        <w:t xml:space="preserve">approved </w:t>
      </w:r>
      <w:r w:rsidR="002C1EFF" w:rsidRPr="00321A1F">
        <w:t>rate structures and monthly water and wastewater rates are shown on Schedule Nos. 4-A and 4-B. The Utility sh</w:t>
      </w:r>
      <w:r>
        <w:t>all</w:t>
      </w:r>
      <w:r w:rsidR="002C1EFF" w:rsidRPr="00321A1F">
        <w:t xml:space="preserve"> file revised tariff sheets and a proposed customer notice to reflect </w:t>
      </w:r>
      <w:r>
        <w:t xml:space="preserve">the </w:t>
      </w:r>
      <w:r w:rsidR="002C1EFF" w:rsidRPr="00321A1F">
        <w:t>approved rates. The approved rates sh</w:t>
      </w:r>
      <w:r>
        <w:t>all</w:t>
      </w:r>
      <w:r w:rsidR="002C1EFF" w:rsidRPr="00321A1F">
        <w:t xml:space="preserve"> be effective for service rendered on or after the stamped approval date on the tariff sheet pursuant to Rule 25-30.475(1), F.A.C. In addition, the approved rates sh</w:t>
      </w:r>
      <w:r>
        <w:t>all</w:t>
      </w:r>
      <w:r w:rsidR="002C1EFF" w:rsidRPr="00321A1F">
        <w:t xml:space="preserve"> not be implemented until </w:t>
      </w:r>
      <w:r>
        <w:t xml:space="preserve">our </w:t>
      </w:r>
      <w:r w:rsidR="002C1EFF" w:rsidRPr="00321A1F">
        <w:t>staff has approved the proposed customer notice and the notice has been received by the customers. The Utility sh</w:t>
      </w:r>
      <w:r>
        <w:t>all</w:t>
      </w:r>
      <w:r w:rsidR="002C1EFF" w:rsidRPr="00321A1F">
        <w:t xml:space="preserve"> provide proof of the date notice was given within 10 days of the date of the notice.</w:t>
      </w:r>
    </w:p>
    <w:p w:rsidR="00BA687E" w:rsidRPr="000412AA" w:rsidRDefault="000412AA" w:rsidP="002C1EFF">
      <w:pPr>
        <w:spacing w:after="240"/>
        <w:jc w:val="both"/>
        <w:rPr>
          <w:u w:val="single"/>
        </w:rPr>
      </w:pPr>
      <w:r>
        <w:rPr>
          <w:u w:val="single"/>
        </w:rPr>
        <w:t>11. Rate Case Expense</w:t>
      </w:r>
    </w:p>
    <w:p w:rsidR="002C1EFF" w:rsidRPr="00321A1F" w:rsidRDefault="00B962A6" w:rsidP="00407D76">
      <w:pPr>
        <w:spacing w:after="240"/>
        <w:jc w:val="both"/>
      </w:pPr>
      <w:r>
        <w:tab/>
      </w:r>
      <w:r w:rsidR="002C1EFF" w:rsidRPr="00321A1F">
        <w:t>Section 367.0816, F.S.</w:t>
      </w:r>
      <w:r w:rsidR="00B63C28">
        <w:t>,</w:t>
      </w:r>
      <w:r w:rsidR="00B63C28" w:rsidRPr="00321A1F">
        <w:rPr>
          <w:vertAlign w:val="superscript"/>
        </w:rPr>
        <w:footnoteReference w:id="6"/>
      </w:r>
      <w:r w:rsidR="00B63C28">
        <w:rPr>
          <w:vertAlign w:val="superscript"/>
        </w:rPr>
        <w:t xml:space="preserve"> </w:t>
      </w:r>
      <w:r w:rsidR="002C1EFF" w:rsidRPr="00321A1F">
        <w:t xml:space="preserve">requires that rates be reduced immediately following the expiration of the four-year period by the amount of the rate case expense previously included in </w:t>
      </w:r>
      <w:r>
        <w:t xml:space="preserve">the </w:t>
      </w:r>
      <w:r w:rsidR="002C1EFF" w:rsidRPr="00321A1F">
        <w:t xml:space="preserve">rates. The reduction will reflect the removal of revenue associated with the amortization of rate case expense, the associated return in working capital, and the gross-up for RAFs. This results in a reduction of $813 for potable water, $813 for non-potable water, and $810 for wastewater. </w:t>
      </w:r>
    </w:p>
    <w:p w:rsidR="002C1EFF" w:rsidRPr="00321A1F" w:rsidRDefault="00B962A6" w:rsidP="002C1EFF">
      <w:pPr>
        <w:jc w:val="both"/>
      </w:pPr>
      <w:r>
        <w:tab/>
      </w:r>
      <w:r w:rsidR="002C1EFF" w:rsidRPr="00321A1F">
        <w:t>The water and wastewater rates sh</w:t>
      </w:r>
      <w:r>
        <w:t>all</w:t>
      </w:r>
      <w:r w:rsidR="002C1EFF" w:rsidRPr="00321A1F">
        <w:t xml:space="preserve"> be reduced as shown on Schedule Nos. 4-A and 4-B to remove rate case expense grossed-up for RAFs and amortized over a four-year period. The decrease in rates sh</w:t>
      </w:r>
      <w:r>
        <w:t>all</w:t>
      </w:r>
      <w:r w:rsidR="002C1EFF" w:rsidRPr="00321A1F">
        <w:t xml:space="preserve"> become effective immediately following the expiration of the four-year rate case expense recovery period, pursuant to Section 367.0816, F.S. Aquarina sh</w:t>
      </w:r>
      <w:r>
        <w:t>all</w:t>
      </w:r>
      <w:r w:rsidR="002C1EFF" w:rsidRPr="00321A1F">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t>all</w:t>
      </w:r>
      <w:r w:rsidR="002C1EFF" w:rsidRPr="00321A1F">
        <w:t xml:space="preserve"> be filed for the price index and/or pass-through increase or decrease and the reduction in the rates due to the amortized rate case expense.</w:t>
      </w:r>
    </w:p>
    <w:p w:rsidR="002C1EFF" w:rsidRPr="00321A1F" w:rsidRDefault="002C1EFF" w:rsidP="002C1EFF">
      <w:pPr>
        <w:spacing w:after="240"/>
        <w:ind w:left="360" w:hanging="360"/>
        <w:jc w:val="both"/>
        <w:outlineLvl w:val="0"/>
        <w:rPr>
          <w:b/>
          <w:bCs/>
          <w:i/>
          <w:kern w:val="32"/>
        </w:rPr>
      </w:pPr>
    </w:p>
    <w:p w:rsidR="002C1EFF" w:rsidRDefault="002C1EFF" w:rsidP="002C1EFF">
      <w:pPr>
        <w:spacing w:after="240"/>
        <w:ind w:left="360" w:hanging="360"/>
        <w:jc w:val="both"/>
        <w:outlineLvl w:val="0"/>
        <w:rPr>
          <w:b/>
          <w:bCs/>
          <w:i/>
          <w:kern w:val="32"/>
          <w:u w:val="single"/>
        </w:rPr>
      </w:pPr>
    </w:p>
    <w:p w:rsidR="002C1EFF" w:rsidRPr="00124783" w:rsidRDefault="002C1EFF" w:rsidP="002C1EFF">
      <w:pPr>
        <w:spacing w:after="240"/>
        <w:jc w:val="both"/>
        <w:rPr>
          <w:u w:val="single"/>
        </w:rPr>
      </w:pPr>
      <w:r w:rsidRPr="005F252E">
        <w:rPr>
          <w:u w:val="single"/>
        </w:rPr>
        <w:lastRenderedPageBreak/>
        <w:t> </w:t>
      </w:r>
      <w:r w:rsidR="005F252E" w:rsidRPr="00124783">
        <w:rPr>
          <w:u w:val="single"/>
        </w:rPr>
        <w:t>12</w:t>
      </w:r>
      <w:r w:rsidR="00407D76">
        <w:rPr>
          <w:u w:val="single"/>
        </w:rPr>
        <w:t>.</w:t>
      </w:r>
      <w:r w:rsidR="005F252E" w:rsidRPr="00124783">
        <w:rPr>
          <w:u w:val="single"/>
        </w:rPr>
        <w:t xml:space="preserve"> M</w:t>
      </w:r>
      <w:r w:rsidRPr="00124783">
        <w:rPr>
          <w:u w:val="single"/>
        </w:rPr>
        <w:t xml:space="preserve">iscellaneous </w:t>
      </w:r>
      <w:r w:rsidR="005F252E" w:rsidRPr="00124783">
        <w:rPr>
          <w:u w:val="single"/>
        </w:rPr>
        <w:t>S</w:t>
      </w:r>
      <w:r w:rsidRPr="00124783">
        <w:rPr>
          <w:u w:val="single"/>
        </w:rPr>
        <w:t xml:space="preserve">ervice </w:t>
      </w:r>
      <w:r w:rsidR="005F252E" w:rsidRPr="00124783">
        <w:rPr>
          <w:u w:val="single"/>
        </w:rPr>
        <w:t>C</w:t>
      </w:r>
      <w:r w:rsidRPr="00124783">
        <w:rPr>
          <w:u w:val="single"/>
        </w:rPr>
        <w:t xml:space="preserve">harges </w:t>
      </w:r>
    </w:p>
    <w:p w:rsidR="002C1EFF" w:rsidRPr="00321A1F" w:rsidRDefault="002C1EFF" w:rsidP="002C1EFF">
      <w:pPr>
        <w:jc w:val="both"/>
        <w:outlineLvl w:val="1"/>
      </w:pPr>
      <w:r w:rsidRPr="00124783">
        <w:t> </w:t>
      </w:r>
      <w:r w:rsidR="00124783">
        <w:tab/>
        <w:t>T</w:t>
      </w:r>
      <w:r w:rsidRPr="00124783">
        <w:t>he Utility requested a $25 meter box maintenance charge, $40 meter lock-off charge, and a $200 emergency call out charge. The Utility provided cost justification in support of its requested charges. Although titled differently by the Utility,</w:t>
      </w:r>
      <w:r w:rsidR="00407D76">
        <w:t xml:space="preserve"> </w:t>
      </w:r>
      <w:r w:rsidR="00124783">
        <w:t xml:space="preserve">we find that the </w:t>
      </w:r>
      <w:r w:rsidRPr="00124783">
        <w:t>proposed charges are consistent with the services provided under its existing miscellaneous service charges as provided in Rule 25-30.460, F.A.C.</w:t>
      </w:r>
    </w:p>
    <w:p w:rsidR="002C1EFF" w:rsidRPr="00321A1F" w:rsidRDefault="002C1EFF" w:rsidP="002C1EFF">
      <w:pPr>
        <w:jc w:val="both"/>
        <w:outlineLvl w:val="1"/>
      </w:pPr>
    </w:p>
    <w:p w:rsidR="002C1EFF" w:rsidRPr="00321A1F" w:rsidRDefault="00124783" w:rsidP="002C1EFF">
      <w:pPr>
        <w:spacing w:after="240"/>
        <w:jc w:val="both"/>
        <w:rPr>
          <w:bCs/>
          <w:iCs/>
        </w:rPr>
      </w:pPr>
      <w:r>
        <w:rPr>
          <w:bCs/>
          <w:iCs/>
        </w:rPr>
        <w:tab/>
      </w:r>
      <w:r w:rsidR="002C1EFF" w:rsidRPr="00321A1F">
        <w:rPr>
          <w:bCs/>
          <w:iCs/>
        </w:rPr>
        <w:t xml:space="preserve">Aquarina’s current initial connection, normal reconnection, premises visit, and violation reconnection charges were last established </w:t>
      </w:r>
      <w:r>
        <w:rPr>
          <w:bCs/>
          <w:iCs/>
        </w:rPr>
        <w:t xml:space="preserve">in </w:t>
      </w:r>
      <w:r w:rsidR="002C1EFF" w:rsidRPr="00321A1F">
        <w:rPr>
          <w:bCs/>
          <w:iCs/>
        </w:rPr>
        <w:t>1990</w:t>
      </w:r>
      <w:r>
        <w:rPr>
          <w:bCs/>
          <w:iCs/>
        </w:rPr>
        <w:t xml:space="preserve">, when the system was owned by </w:t>
      </w:r>
      <w:r w:rsidRPr="00124783">
        <w:t>Aquarina Developments, Inc.</w:t>
      </w:r>
      <w:r w:rsidRPr="00124783">
        <w:rPr>
          <w:bCs/>
          <w:iCs/>
        </w:rPr>
        <w:t xml:space="preserve"> </w:t>
      </w:r>
      <w:r>
        <w:rPr>
          <w:bCs/>
          <w:iCs/>
        </w:rPr>
        <w:t>I</w:t>
      </w:r>
      <w:r w:rsidR="002C1EFF" w:rsidRPr="00321A1F">
        <w:rPr>
          <w:bCs/>
          <w:iCs/>
        </w:rPr>
        <w:t xml:space="preserve">n reviewing the Utility’s cost justification for the proposed charges, </w:t>
      </w:r>
      <w:r w:rsidR="00B6438C">
        <w:rPr>
          <w:bCs/>
          <w:iCs/>
        </w:rPr>
        <w:t xml:space="preserve">we </w:t>
      </w:r>
      <w:r w:rsidR="00B6438C" w:rsidRPr="00321A1F">
        <w:rPr>
          <w:bCs/>
          <w:iCs/>
        </w:rPr>
        <w:t>determined</w:t>
      </w:r>
      <w:r w:rsidR="002C1EFF" w:rsidRPr="00321A1F">
        <w:rPr>
          <w:bCs/>
          <w:iCs/>
        </w:rPr>
        <w:t xml:space="preserve"> that the existing miscellaneous service charges may not adequately recover the cost of the respective service. </w:t>
      </w:r>
      <w:r>
        <w:rPr>
          <w:bCs/>
          <w:iCs/>
        </w:rPr>
        <w:t xml:space="preserve">We find that the </w:t>
      </w:r>
      <w:r w:rsidR="002C1EFF" w:rsidRPr="00321A1F">
        <w:rPr>
          <w:bCs/>
          <w:iCs/>
        </w:rPr>
        <w:t xml:space="preserve">cost justification provided for the requested charges is consistent with the information needed to update the Utility’s existing miscellaneous service charges. The charges are designed to ensure that </w:t>
      </w:r>
      <w:r>
        <w:rPr>
          <w:bCs/>
          <w:iCs/>
        </w:rPr>
        <w:t>when</w:t>
      </w:r>
      <w:r w:rsidR="002C1EFF" w:rsidRPr="00321A1F">
        <w:rPr>
          <w:bCs/>
          <w:iCs/>
        </w:rPr>
        <w:t xml:space="preserve"> these services are provided by the Utility, the cost burden is placed on the cost causer</w:t>
      </w:r>
      <w:r>
        <w:rPr>
          <w:bCs/>
          <w:iCs/>
        </w:rPr>
        <w:t xml:space="preserve">. </w:t>
      </w:r>
      <w:r w:rsidR="002C1EFF" w:rsidRPr="00321A1F">
        <w:rPr>
          <w:bCs/>
          <w:iCs/>
        </w:rPr>
        <w:t xml:space="preserve">The changes and additions to the Utility’s miscellaneous service charges are discussed below. </w:t>
      </w:r>
    </w:p>
    <w:p w:rsidR="002C1EFF" w:rsidRPr="00124783" w:rsidRDefault="00124783" w:rsidP="002C1EFF">
      <w:pPr>
        <w:jc w:val="both"/>
        <w:rPr>
          <w:bCs/>
          <w:i/>
          <w:iCs/>
        </w:rPr>
      </w:pPr>
      <w:r>
        <w:rPr>
          <w:bCs/>
          <w:i/>
          <w:iCs/>
        </w:rPr>
        <w:t xml:space="preserve">A. </w:t>
      </w:r>
      <w:r w:rsidR="002C1EFF" w:rsidRPr="00124783">
        <w:rPr>
          <w:bCs/>
          <w:i/>
          <w:iCs/>
        </w:rPr>
        <w:t>Initial Connection Charge</w:t>
      </w:r>
    </w:p>
    <w:p w:rsidR="00124783" w:rsidRDefault="00124783" w:rsidP="002C1EFF">
      <w:pPr>
        <w:jc w:val="both"/>
        <w:rPr>
          <w:bCs/>
          <w:iCs/>
        </w:rPr>
      </w:pPr>
    </w:p>
    <w:p w:rsidR="002C1EFF" w:rsidRPr="00321A1F" w:rsidRDefault="00124783" w:rsidP="002C1EFF">
      <w:pPr>
        <w:jc w:val="both"/>
        <w:rPr>
          <w:bCs/>
          <w:iCs/>
        </w:rPr>
      </w:pPr>
      <w:r>
        <w:rPr>
          <w:bCs/>
          <w:iCs/>
        </w:rPr>
        <w:tab/>
      </w:r>
      <w:r w:rsidR="002C1EFF" w:rsidRPr="00321A1F">
        <w:rPr>
          <w:bCs/>
          <w:iCs/>
        </w:rPr>
        <w:t xml:space="preserve">Currently, the Utility’s initial connection charge is $15 for water and wastewater. The initial connection charge is levied for service initiation at a location where service did not exist previously. The Utility representative makes one trip when performing the service of an initial connection. While the Utility did not specifically request an increase in the initial connection charge, based on labor and transportation to and from the service territory, </w:t>
      </w:r>
      <w:r w:rsidR="0053353B">
        <w:rPr>
          <w:bCs/>
          <w:iCs/>
        </w:rPr>
        <w:t xml:space="preserve">we approve </w:t>
      </w:r>
      <w:r w:rsidR="002C1EFF" w:rsidRPr="00321A1F">
        <w:rPr>
          <w:bCs/>
          <w:iCs/>
        </w:rPr>
        <w:t xml:space="preserve">initial connection charges of $26 and $32 for normal and after hours, respectively for water and wastewater service. </w:t>
      </w:r>
      <w:r w:rsidR="0053353B">
        <w:rPr>
          <w:bCs/>
          <w:iCs/>
        </w:rPr>
        <w:t xml:space="preserve">Our </w:t>
      </w:r>
      <w:r w:rsidR="002C1EFF" w:rsidRPr="00321A1F">
        <w:rPr>
          <w:bCs/>
          <w:iCs/>
        </w:rPr>
        <w:t>calculation is shown below</w:t>
      </w:r>
      <w:r w:rsidR="0053353B">
        <w:rPr>
          <w:bCs/>
          <w:iCs/>
        </w:rPr>
        <w:t>.</w:t>
      </w:r>
      <w:r w:rsidR="002C1EFF" w:rsidRPr="00321A1F">
        <w:rPr>
          <w:bCs/>
          <w:iCs/>
        </w:rPr>
        <w:t xml:space="preserve"> </w:t>
      </w:r>
    </w:p>
    <w:p w:rsidR="00EC6608" w:rsidRPr="00321A1F" w:rsidRDefault="00EC6608" w:rsidP="002C1EFF">
      <w:pPr>
        <w:spacing w:after="200" w:line="276" w:lineRule="auto"/>
        <w:jc w:val="center"/>
        <w:rPr>
          <w:b/>
          <w:bCs/>
          <w:iCs/>
        </w:rPr>
      </w:pPr>
    </w:p>
    <w:p w:rsidR="002C1EFF" w:rsidRPr="00321A1F" w:rsidRDefault="002C1EFF" w:rsidP="002C1EFF">
      <w:pPr>
        <w:jc w:val="center"/>
        <w:rPr>
          <w:b/>
          <w:bCs/>
          <w:iCs/>
        </w:rPr>
      </w:pPr>
      <w:r w:rsidRPr="00321A1F">
        <w:rPr>
          <w:b/>
          <w:bCs/>
          <w:iCs/>
        </w:rPr>
        <w:t>Initial Connection Charge Calculation</w:t>
      </w:r>
    </w:p>
    <w:tbl>
      <w:tblPr>
        <w:tblW w:w="938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489"/>
        <w:gridCol w:w="245"/>
        <w:gridCol w:w="3172"/>
        <w:gridCol w:w="1314"/>
      </w:tblGrid>
      <w:tr w:rsidR="002C1EFF" w:rsidRPr="00321A1F" w:rsidTr="00EC6608">
        <w:trPr>
          <w:trHeight w:val="247"/>
          <w:jc w:val="center"/>
        </w:trPr>
        <w:tc>
          <w:tcPr>
            <w:tcW w:w="3169" w:type="dxa"/>
            <w:shd w:val="clear" w:color="auto" w:fill="auto"/>
            <w:vAlign w:val="bottom"/>
          </w:tcPr>
          <w:p w:rsidR="002C1EFF" w:rsidRPr="00321A1F" w:rsidRDefault="002C1EFF" w:rsidP="002C1EFF">
            <w:pPr>
              <w:jc w:val="center"/>
            </w:pPr>
            <w:r w:rsidRPr="00321A1F">
              <w:t>Activity</w:t>
            </w:r>
          </w:p>
        </w:tc>
        <w:tc>
          <w:tcPr>
            <w:tcW w:w="1489" w:type="dxa"/>
            <w:shd w:val="clear" w:color="auto" w:fill="auto"/>
            <w:vAlign w:val="bottom"/>
          </w:tcPr>
          <w:p w:rsidR="002C1EFF" w:rsidRPr="00321A1F" w:rsidRDefault="002C1EFF" w:rsidP="002C1EFF">
            <w:pPr>
              <w:jc w:val="center"/>
            </w:pPr>
            <w:r w:rsidRPr="00321A1F">
              <w:t>Normal Hours Cost</w:t>
            </w:r>
          </w:p>
        </w:tc>
        <w:tc>
          <w:tcPr>
            <w:tcW w:w="245" w:type="dxa"/>
          </w:tcPr>
          <w:p w:rsidR="002C1EFF" w:rsidRPr="00321A1F" w:rsidRDefault="002C1EFF" w:rsidP="002C1EFF">
            <w:pPr>
              <w:jc w:val="center"/>
            </w:pPr>
          </w:p>
        </w:tc>
        <w:tc>
          <w:tcPr>
            <w:tcW w:w="3172" w:type="dxa"/>
            <w:vAlign w:val="bottom"/>
          </w:tcPr>
          <w:p w:rsidR="002C1EFF" w:rsidRPr="00321A1F" w:rsidRDefault="002C1EFF" w:rsidP="002C1EFF">
            <w:pPr>
              <w:jc w:val="center"/>
            </w:pPr>
            <w:r w:rsidRPr="00321A1F">
              <w:t>Activity</w:t>
            </w:r>
          </w:p>
        </w:tc>
        <w:tc>
          <w:tcPr>
            <w:tcW w:w="1314" w:type="dxa"/>
            <w:vAlign w:val="bottom"/>
          </w:tcPr>
          <w:p w:rsidR="002C1EFF" w:rsidRPr="00321A1F" w:rsidRDefault="002C1EFF" w:rsidP="002C1EFF">
            <w:pPr>
              <w:jc w:val="center"/>
            </w:pPr>
            <w:r w:rsidRPr="00321A1F">
              <w:t>After Hours Cost</w:t>
            </w:r>
          </w:p>
        </w:tc>
      </w:tr>
      <w:tr w:rsidR="002C1EFF" w:rsidRPr="00321A1F" w:rsidTr="00EC6608">
        <w:trPr>
          <w:trHeight w:val="423"/>
          <w:jc w:val="center"/>
        </w:trPr>
        <w:tc>
          <w:tcPr>
            <w:tcW w:w="3169" w:type="dxa"/>
            <w:shd w:val="clear" w:color="auto" w:fill="auto"/>
          </w:tcPr>
          <w:p w:rsidR="002C1EFF" w:rsidRPr="00321A1F" w:rsidRDefault="002C1EFF" w:rsidP="002C1EFF">
            <w:pPr>
              <w:jc w:val="both"/>
            </w:pPr>
            <w:r w:rsidRPr="00321A1F">
              <w:t>Labor (Administrative)</w:t>
            </w:r>
          </w:p>
          <w:p w:rsidR="002C1EFF" w:rsidRPr="00321A1F" w:rsidRDefault="002C1EFF" w:rsidP="002C1EFF">
            <w:pPr>
              <w:jc w:val="both"/>
            </w:pPr>
            <w:r w:rsidRPr="00321A1F">
              <w:t>($36/hr x1/4hr)</w:t>
            </w:r>
          </w:p>
        </w:tc>
        <w:tc>
          <w:tcPr>
            <w:tcW w:w="1489" w:type="dxa"/>
            <w:shd w:val="clear" w:color="auto" w:fill="auto"/>
          </w:tcPr>
          <w:p w:rsidR="002C1EFF" w:rsidRPr="00321A1F" w:rsidRDefault="002C1EFF" w:rsidP="002C1EFF">
            <w:pPr>
              <w:jc w:val="right"/>
            </w:pPr>
          </w:p>
          <w:p w:rsidR="002C1EFF" w:rsidRPr="00321A1F" w:rsidRDefault="002C1EFF" w:rsidP="002C1EFF">
            <w:pPr>
              <w:jc w:val="right"/>
            </w:pPr>
            <w:r w:rsidRPr="00321A1F">
              <w:t>$9.00</w:t>
            </w:r>
          </w:p>
        </w:tc>
        <w:tc>
          <w:tcPr>
            <w:tcW w:w="245" w:type="dxa"/>
          </w:tcPr>
          <w:p w:rsidR="002C1EFF" w:rsidRPr="00321A1F" w:rsidRDefault="002C1EFF" w:rsidP="002C1EFF">
            <w:pPr>
              <w:jc w:val="right"/>
            </w:pPr>
          </w:p>
        </w:tc>
        <w:tc>
          <w:tcPr>
            <w:tcW w:w="3172" w:type="dxa"/>
          </w:tcPr>
          <w:p w:rsidR="002C1EFF" w:rsidRPr="00321A1F" w:rsidRDefault="002C1EFF" w:rsidP="002C1EFF">
            <w:pPr>
              <w:jc w:val="both"/>
            </w:pPr>
            <w:r w:rsidRPr="00321A1F">
              <w:t>Labor (Administrative)</w:t>
            </w:r>
          </w:p>
          <w:p w:rsidR="002C1EFF" w:rsidRPr="00321A1F" w:rsidRDefault="002C1EFF" w:rsidP="002C1EFF">
            <w:pPr>
              <w:jc w:val="both"/>
            </w:pPr>
            <w:r w:rsidRPr="00321A1F">
              <w:t>($36/hr x1/4hr)</w:t>
            </w:r>
          </w:p>
        </w:tc>
        <w:tc>
          <w:tcPr>
            <w:tcW w:w="1314" w:type="dxa"/>
          </w:tcPr>
          <w:p w:rsidR="002C1EFF" w:rsidRPr="00321A1F" w:rsidRDefault="002C1EFF" w:rsidP="002C1EFF">
            <w:pPr>
              <w:jc w:val="right"/>
            </w:pPr>
          </w:p>
          <w:p w:rsidR="002C1EFF" w:rsidRPr="00321A1F" w:rsidRDefault="002C1EFF" w:rsidP="002C1EFF">
            <w:pPr>
              <w:jc w:val="right"/>
            </w:pPr>
            <w:r w:rsidRPr="00321A1F">
              <w:t>$9.00</w:t>
            </w:r>
          </w:p>
        </w:tc>
      </w:tr>
      <w:tr w:rsidR="002C1EFF" w:rsidRPr="00321A1F" w:rsidTr="00EC6608">
        <w:trPr>
          <w:trHeight w:val="436"/>
          <w:jc w:val="center"/>
        </w:trPr>
        <w:tc>
          <w:tcPr>
            <w:tcW w:w="3169" w:type="dxa"/>
            <w:shd w:val="clear" w:color="auto" w:fill="auto"/>
          </w:tcPr>
          <w:p w:rsidR="002C1EFF" w:rsidRPr="00321A1F" w:rsidRDefault="002C1EFF" w:rsidP="002C1EFF">
            <w:pPr>
              <w:jc w:val="both"/>
            </w:pPr>
            <w:r w:rsidRPr="00321A1F">
              <w:t>Labor (Field)</w:t>
            </w:r>
          </w:p>
          <w:p w:rsidR="002C1EFF" w:rsidRPr="00321A1F" w:rsidRDefault="002C1EFF" w:rsidP="002C1EFF">
            <w:pPr>
              <w:jc w:val="both"/>
            </w:pPr>
            <w:r w:rsidRPr="00321A1F">
              <w:t>($36/hr x 1/3 hr)</w:t>
            </w:r>
          </w:p>
        </w:tc>
        <w:tc>
          <w:tcPr>
            <w:tcW w:w="1489" w:type="dxa"/>
            <w:shd w:val="clear" w:color="auto" w:fill="auto"/>
          </w:tcPr>
          <w:p w:rsidR="002C1EFF" w:rsidRPr="00321A1F" w:rsidRDefault="002C1EFF" w:rsidP="002C1EFF">
            <w:pPr>
              <w:jc w:val="center"/>
            </w:pPr>
          </w:p>
          <w:p w:rsidR="002C1EFF" w:rsidRPr="00321A1F" w:rsidRDefault="002C1EFF" w:rsidP="002C1EFF">
            <w:pPr>
              <w:jc w:val="right"/>
            </w:pPr>
            <w:r w:rsidRPr="00321A1F">
              <w:t>$12.00</w:t>
            </w:r>
          </w:p>
        </w:tc>
        <w:tc>
          <w:tcPr>
            <w:tcW w:w="245" w:type="dxa"/>
          </w:tcPr>
          <w:p w:rsidR="002C1EFF" w:rsidRPr="00321A1F" w:rsidRDefault="002C1EFF" w:rsidP="002C1EFF">
            <w:pPr>
              <w:jc w:val="right"/>
            </w:pPr>
          </w:p>
        </w:tc>
        <w:tc>
          <w:tcPr>
            <w:tcW w:w="3172" w:type="dxa"/>
          </w:tcPr>
          <w:p w:rsidR="002C1EFF" w:rsidRPr="00321A1F" w:rsidRDefault="002C1EFF" w:rsidP="002C1EFF">
            <w:pPr>
              <w:jc w:val="both"/>
            </w:pPr>
            <w:r w:rsidRPr="00321A1F">
              <w:t>Labor (Field)</w:t>
            </w:r>
          </w:p>
          <w:p w:rsidR="002C1EFF" w:rsidRPr="00321A1F" w:rsidRDefault="002C1EFF" w:rsidP="002C1EFF">
            <w:pPr>
              <w:jc w:val="both"/>
            </w:pPr>
            <w:r w:rsidRPr="00321A1F">
              <w:t xml:space="preserve"> ($54/hr x1/3hr)</w:t>
            </w:r>
          </w:p>
        </w:tc>
        <w:tc>
          <w:tcPr>
            <w:tcW w:w="1314" w:type="dxa"/>
          </w:tcPr>
          <w:p w:rsidR="002C1EFF" w:rsidRPr="00321A1F" w:rsidRDefault="002C1EFF" w:rsidP="002C1EFF">
            <w:pPr>
              <w:jc w:val="right"/>
            </w:pPr>
          </w:p>
          <w:p w:rsidR="002C1EFF" w:rsidRPr="00321A1F" w:rsidRDefault="002C1EFF" w:rsidP="002C1EFF">
            <w:pPr>
              <w:jc w:val="right"/>
            </w:pPr>
            <w:r w:rsidRPr="00321A1F">
              <w:t>$18.00</w:t>
            </w:r>
          </w:p>
        </w:tc>
      </w:tr>
      <w:tr w:rsidR="002C1EFF" w:rsidRPr="00321A1F" w:rsidTr="00EC6608">
        <w:trPr>
          <w:trHeight w:val="423"/>
          <w:jc w:val="center"/>
        </w:trPr>
        <w:tc>
          <w:tcPr>
            <w:tcW w:w="3169" w:type="dxa"/>
            <w:shd w:val="clear" w:color="auto" w:fill="auto"/>
          </w:tcPr>
          <w:p w:rsidR="002C1EFF" w:rsidRPr="00321A1F" w:rsidRDefault="002C1EFF" w:rsidP="002C1EFF">
            <w:pPr>
              <w:jc w:val="both"/>
            </w:pPr>
            <w:r w:rsidRPr="00321A1F">
              <w:t xml:space="preserve">Transportation </w:t>
            </w:r>
          </w:p>
          <w:p w:rsidR="002C1EFF" w:rsidRPr="00321A1F" w:rsidRDefault="002C1EFF" w:rsidP="002C1EFF">
            <w:pPr>
              <w:jc w:val="both"/>
            </w:pPr>
            <w:r w:rsidRPr="00321A1F">
              <w:t>($.54/mile x 10 miles-to/from)</w:t>
            </w:r>
          </w:p>
        </w:tc>
        <w:tc>
          <w:tcPr>
            <w:tcW w:w="1489" w:type="dxa"/>
            <w:shd w:val="clear" w:color="auto" w:fill="auto"/>
          </w:tcPr>
          <w:p w:rsidR="002C1EFF" w:rsidRPr="00321A1F" w:rsidRDefault="002C1EFF" w:rsidP="002C1EFF">
            <w:pPr>
              <w:jc w:val="right"/>
            </w:pPr>
          </w:p>
          <w:p w:rsidR="002C1EFF" w:rsidRPr="00321A1F" w:rsidRDefault="002C1EFF" w:rsidP="002C1EFF">
            <w:pPr>
              <w:jc w:val="right"/>
              <w:rPr>
                <w:u w:val="single"/>
              </w:rPr>
            </w:pPr>
            <w:r w:rsidRPr="00321A1F">
              <w:rPr>
                <w:u w:val="single"/>
              </w:rPr>
              <w:t>$5.40</w:t>
            </w:r>
          </w:p>
        </w:tc>
        <w:tc>
          <w:tcPr>
            <w:tcW w:w="245" w:type="dxa"/>
          </w:tcPr>
          <w:p w:rsidR="002C1EFF" w:rsidRPr="00321A1F" w:rsidRDefault="002C1EFF" w:rsidP="002C1EFF">
            <w:pPr>
              <w:jc w:val="right"/>
            </w:pPr>
          </w:p>
        </w:tc>
        <w:tc>
          <w:tcPr>
            <w:tcW w:w="3172" w:type="dxa"/>
          </w:tcPr>
          <w:p w:rsidR="002C1EFF" w:rsidRPr="00321A1F" w:rsidRDefault="002C1EFF" w:rsidP="002C1EFF">
            <w:pPr>
              <w:jc w:val="both"/>
            </w:pPr>
            <w:r w:rsidRPr="00321A1F">
              <w:t>Transportation</w:t>
            </w:r>
          </w:p>
          <w:p w:rsidR="002C1EFF" w:rsidRPr="00321A1F" w:rsidRDefault="002C1EFF" w:rsidP="002C1EFF">
            <w:pPr>
              <w:jc w:val="both"/>
            </w:pPr>
            <w:r w:rsidRPr="00321A1F">
              <w:t>($.54/mile x 10 miles-to/from)</w:t>
            </w:r>
          </w:p>
        </w:tc>
        <w:tc>
          <w:tcPr>
            <w:tcW w:w="1314" w:type="dxa"/>
          </w:tcPr>
          <w:p w:rsidR="002C1EFF" w:rsidRPr="00321A1F" w:rsidRDefault="002C1EFF" w:rsidP="002C1EFF">
            <w:pPr>
              <w:jc w:val="right"/>
            </w:pPr>
          </w:p>
          <w:p w:rsidR="002C1EFF" w:rsidRPr="00321A1F" w:rsidRDefault="002C1EFF" w:rsidP="002C1EFF">
            <w:pPr>
              <w:jc w:val="right"/>
              <w:rPr>
                <w:u w:val="single"/>
              </w:rPr>
            </w:pPr>
            <w:r w:rsidRPr="00321A1F">
              <w:rPr>
                <w:u w:val="single"/>
              </w:rPr>
              <w:t>$5.40</w:t>
            </w:r>
          </w:p>
        </w:tc>
      </w:tr>
      <w:tr w:rsidR="002C1EFF" w:rsidRPr="00321A1F" w:rsidTr="00EC6608">
        <w:trPr>
          <w:trHeight w:val="267"/>
          <w:jc w:val="center"/>
        </w:trPr>
        <w:tc>
          <w:tcPr>
            <w:tcW w:w="3169" w:type="dxa"/>
            <w:shd w:val="clear" w:color="auto" w:fill="auto"/>
          </w:tcPr>
          <w:p w:rsidR="002C1EFF" w:rsidRPr="00321A1F" w:rsidRDefault="002C1EFF" w:rsidP="002C1EFF">
            <w:pPr>
              <w:jc w:val="both"/>
            </w:pPr>
            <w:r w:rsidRPr="00321A1F">
              <w:t>Total</w:t>
            </w:r>
          </w:p>
        </w:tc>
        <w:tc>
          <w:tcPr>
            <w:tcW w:w="1489" w:type="dxa"/>
            <w:shd w:val="clear" w:color="auto" w:fill="auto"/>
          </w:tcPr>
          <w:p w:rsidR="002C1EFF" w:rsidRPr="00321A1F" w:rsidRDefault="002C1EFF" w:rsidP="002C1EFF">
            <w:pPr>
              <w:jc w:val="right"/>
            </w:pPr>
            <w:r w:rsidRPr="00321A1F">
              <w:t>$26.40</w:t>
            </w:r>
          </w:p>
        </w:tc>
        <w:tc>
          <w:tcPr>
            <w:tcW w:w="245" w:type="dxa"/>
          </w:tcPr>
          <w:p w:rsidR="002C1EFF" w:rsidRPr="00321A1F" w:rsidRDefault="002C1EFF" w:rsidP="002C1EFF">
            <w:pPr>
              <w:jc w:val="right"/>
              <w:rPr>
                <w:u w:val="double"/>
              </w:rPr>
            </w:pPr>
          </w:p>
        </w:tc>
        <w:tc>
          <w:tcPr>
            <w:tcW w:w="3172" w:type="dxa"/>
          </w:tcPr>
          <w:p w:rsidR="002C1EFF" w:rsidRPr="00321A1F" w:rsidRDefault="002C1EFF" w:rsidP="002C1EFF">
            <w:pPr>
              <w:jc w:val="both"/>
            </w:pPr>
            <w:r w:rsidRPr="00321A1F">
              <w:t>Total</w:t>
            </w:r>
          </w:p>
        </w:tc>
        <w:tc>
          <w:tcPr>
            <w:tcW w:w="1314" w:type="dxa"/>
          </w:tcPr>
          <w:p w:rsidR="002C1EFF" w:rsidRPr="00321A1F" w:rsidRDefault="002C1EFF" w:rsidP="002C1EFF">
            <w:pPr>
              <w:jc w:val="right"/>
            </w:pPr>
            <w:r w:rsidRPr="00321A1F">
              <w:t>$32.40</w:t>
            </w:r>
          </w:p>
        </w:tc>
      </w:tr>
    </w:tbl>
    <w:p w:rsidR="002C1EFF" w:rsidRPr="00321A1F" w:rsidRDefault="002C1EFF" w:rsidP="002C1EFF">
      <w:pPr>
        <w:rPr>
          <w:b/>
          <w:bCs/>
          <w:iCs/>
        </w:rPr>
      </w:pPr>
    </w:p>
    <w:p w:rsidR="002C1EFF" w:rsidRPr="0053353B" w:rsidRDefault="0053353B" w:rsidP="002C1EFF">
      <w:pPr>
        <w:jc w:val="both"/>
        <w:rPr>
          <w:bCs/>
          <w:i/>
          <w:iCs/>
        </w:rPr>
      </w:pPr>
      <w:r w:rsidRPr="0053353B">
        <w:rPr>
          <w:bCs/>
          <w:i/>
          <w:iCs/>
        </w:rPr>
        <w:t xml:space="preserve">B. </w:t>
      </w:r>
      <w:r w:rsidR="002C1EFF" w:rsidRPr="0053353B">
        <w:rPr>
          <w:bCs/>
          <w:i/>
          <w:iCs/>
        </w:rPr>
        <w:t>Normal Reconnection Charge</w:t>
      </w:r>
    </w:p>
    <w:p w:rsidR="0053353B" w:rsidRDefault="0053353B" w:rsidP="002C1EFF">
      <w:pPr>
        <w:jc w:val="both"/>
        <w:rPr>
          <w:bCs/>
          <w:iCs/>
        </w:rPr>
      </w:pPr>
    </w:p>
    <w:p w:rsidR="002C1EFF" w:rsidRPr="00321A1F" w:rsidRDefault="0053353B" w:rsidP="002C1EFF">
      <w:pPr>
        <w:jc w:val="both"/>
        <w:rPr>
          <w:bCs/>
          <w:iCs/>
        </w:rPr>
      </w:pPr>
      <w:r>
        <w:rPr>
          <w:bCs/>
          <w:iCs/>
        </w:rPr>
        <w:tab/>
      </w:r>
      <w:r w:rsidR="002C1EFF" w:rsidRPr="00321A1F">
        <w:rPr>
          <w:bCs/>
          <w:iCs/>
        </w:rPr>
        <w:t xml:space="preserve">The Utility’s existing normal reconnection charge is $15 for water and wastewater. Normal reconnection is a charge to be levied for the transfer of service to a new customer account at a previously served location, or reconnection of service subsequent to a customer </w:t>
      </w:r>
      <w:r w:rsidR="002C1EFF" w:rsidRPr="00321A1F">
        <w:rPr>
          <w:bCs/>
          <w:iCs/>
        </w:rPr>
        <w:lastRenderedPageBreak/>
        <w:t>requested disconnection. A normal reconnection requires two trips</w:t>
      </w:r>
      <w:r>
        <w:rPr>
          <w:bCs/>
          <w:iCs/>
        </w:rPr>
        <w:t xml:space="preserve">; </w:t>
      </w:r>
      <w:r w:rsidR="002C1EFF" w:rsidRPr="00321A1F">
        <w:rPr>
          <w:bCs/>
          <w:iCs/>
        </w:rPr>
        <w:t>one to turn service on</w:t>
      </w:r>
      <w:r>
        <w:rPr>
          <w:bCs/>
          <w:iCs/>
        </w:rPr>
        <w:t>,</w:t>
      </w:r>
      <w:r w:rsidR="002C1EFF" w:rsidRPr="00321A1F">
        <w:rPr>
          <w:bCs/>
          <w:iCs/>
        </w:rPr>
        <w:t xml:space="preserve"> and the other to turn service off. </w:t>
      </w:r>
    </w:p>
    <w:p w:rsidR="002C1EFF" w:rsidRPr="00321A1F" w:rsidRDefault="002C1EFF" w:rsidP="002C1EFF">
      <w:pPr>
        <w:jc w:val="both"/>
        <w:rPr>
          <w:bCs/>
          <w:iCs/>
        </w:rPr>
      </w:pPr>
    </w:p>
    <w:p w:rsidR="002C1EFF" w:rsidRPr="00321A1F" w:rsidRDefault="0053353B" w:rsidP="002C1EFF">
      <w:pPr>
        <w:jc w:val="both"/>
      </w:pPr>
      <w:r>
        <w:rPr>
          <w:bCs/>
          <w:iCs/>
        </w:rPr>
        <w:tab/>
      </w:r>
      <w:r w:rsidR="002C1EFF" w:rsidRPr="00321A1F">
        <w:rPr>
          <w:bCs/>
          <w:iCs/>
        </w:rPr>
        <w:t xml:space="preserve">The Utility requested a $40 meter lock-off charge. </w:t>
      </w:r>
      <w:r w:rsidR="002C1EFF" w:rsidRPr="00321A1F">
        <w:t>The majority of Aquarina’s customer base is seasonal and the Utility encourages the customers to have their meter locked off to avoid any potential excessive water losses when the</w:t>
      </w:r>
      <w:r w:rsidR="00407D76">
        <w:t xml:space="preserve"> customer is</w:t>
      </w:r>
      <w:r w:rsidR="002C1EFF" w:rsidRPr="00321A1F">
        <w:t xml:space="preserve"> not in residence. The Utility indicated that there is a fair amount of water </w:t>
      </w:r>
      <w:r w:rsidR="00407D76">
        <w:t xml:space="preserve">loss </w:t>
      </w:r>
      <w:r w:rsidR="002C1EFF" w:rsidRPr="00321A1F">
        <w:t xml:space="preserve">from theft, running toilets, and damaged water heaters. The Utility believes it is a legitimate service to offer and requested a charge of $25, which includes a premises visit and its existing normal reconnection charge. Subsequent to its original requested charge of $25, Aquarina revised its requested meter box lock-off charge to $40, which includes two premises visits of $10, a normal reconnection charge of $15, and $5 to cover the expense of the lock. </w:t>
      </w:r>
    </w:p>
    <w:p w:rsidR="002C1EFF" w:rsidRPr="00321A1F" w:rsidRDefault="002C1EFF" w:rsidP="002C1EFF">
      <w:pPr>
        <w:jc w:val="both"/>
      </w:pPr>
    </w:p>
    <w:p w:rsidR="002C1EFF" w:rsidRPr="00321A1F" w:rsidRDefault="0053353B" w:rsidP="002C1EFF">
      <w:pPr>
        <w:jc w:val="both"/>
      </w:pPr>
      <w:r>
        <w:tab/>
        <w:t>Upon review, we find that t</w:t>
      </w:r>
      <w:r w:rsidR="002C1EFF" w:rsidRPr="00321A1F">
        <w:t xml:space="preserve">he Utility could use its normal reconnection charge to achieve the same result without any special designation for meter box lock-off. As </w:t>
      </w:r>
      <w:r>
        <w:t xml:space="preserve">discussed above, </w:t>
      </w:r>
      <w:r w:rsidR="002C1EFF" w:rsidRPr="00321A1F">
        <w:t xml:space="preserve">a normal reconnection charge includes two trips, which would cover the Utility turning off the service and subsequently turning on the service when the customer returns. </w:t>
      </w:r>
      <w:r>
        <w:t xml:space="preserve">We do not find </w:t>
      </w:r>
      <w:r w:rsidR="00B6438C">
        <w:t xml:space="preserve">the </w:t>
      </w:r>
      <w:r w:rsidR="00B6438C" w:rsidRPr="00321A1F">
        <w:t>$</w:t>
      </w:r>
      <w:r w:rsidR="002C1EFF" w:rsidRPr="00321A1F">
        <w:t xml:space="preserve">5 lock charge </w:t>
      </w:r>
      <w:r>
        <w:t>to be</w:t>
      </w:r>
      <w:r w:rsidR="002C1EFF" w:rsidRPr="00321A1F">
        <w:t xml:space="preserve"> appropriate. The Utility indicated that the locks will be re-useable. Therefore, </w:t>
      </w:r>
      <w:r>
        <w:t xml:space="preserve">we find that the </w:t>
      </w:r>
      <w:r w:rsidR="002C1EFF" w:rsidRPr="00321A1F">
        <w:t xml:space="preserve">lock </w:t>
      </w:r>
      <w:r>
        <w:t>is a</w:t>
      </w:r>
      <w:r w:rsidR="002C1EFF" w:rsidRPr="00321A1F">
        <w:t xml:space="preserve"> cost of doing business.</w:t>
      </w:r>
    </w:p>
    <w:p w:rsidR="002C1EFF" w:rsidRPr="00321A1F" w:rsidRDefault="002C1EFF" w:rsidP="002C1EFF">
      <w:pPr>
        <w:jc w:val="both"/>
      </w:pPr>
      <w:r w:rsidRPr="00321A1F">
        <w:t xml:space="preserve"> </w:t>
      </w:r>
    </w:p>
    <w:p w:rsidR="002C1EFF" w:rsidRPr="00321A1F" w:rsidRDefault="0053353B" w:rsidP="002C1EFF">
      <w:pPr>
        <w:jc w:val="both"/>
        <w:rPr>
          <w:bCs/>
          <w:iCs/>
        </w:rPr>
      </w:pPr>
      <w:r>
        <w:rPr>
          <w:bCs/>
          <w:iCs/>
        </w:rPr>
        <w:tab/>
      </w:r>
      <w:r w:rsidR="002C1EFF" w:rsidRPr="00321A1F">
        <w:rPr>
          <w:bCs/>
          <w:iCs/>
        </w:rPr>
        <w:t xml:space="preserve">Based on labor and transportation to and from the service territory, </w:t>
      </w:r>
      <w:r>
        <w:rPr>
          <w:bCs/>
          <w:iCs/>
        </w:rPr>
        <w:t>we fin</w:t>
      </w:r>
      <w:r w:rsidR="00407D76">
        <w:rPr>
          <w:bCs/>
          <w:iCs/>
        </w:rPr>
        <w:t>d</w:t>
      </w:r>
      <w:r>
        <w:rPr>
          <w:bCs/>
          <w:iCs/>
        </w:rPr>
        <w:t xml:space="preserve"> that </w:t>
      </w:r>
      <w:r w:rsidR="002C1EFF" w:rsidRPr="00321A1F">
        <w:rPr>
          <w:bCs/>
          <w:iCs/>
        </w:rPr>
        <w:t>the normal reconnection charge sh</w:t>
      </w:r>
      <w:r>
        <w:rPr>
          <w:bCs/>
          <w:iCs/>
        </w:rPr>
        <w:t>all</w:t>
      </w:r>
      <w:r w:rsidR="002C1EFF" w:rsidRPr="00321A1F">
        <w:rPr>
          <w:bCs/>
          <w:iCs/>
        </w:rPr>
        <w:t xml:space="preserve"> be $38 and $47 for normal and after hours, respectively for water and wastewater service. </w:t>
      </w:r>
      <w:r w:rsidR="00B6438C">
        <w:rPr>
          <w:bCs/>
          <w:iCs/>
        </w:rPr>
        <w:t xml:space="preserve">Our </w:t>
      </w:r>
      <w:r w:rsidR="00B6438C" w:rsidRPr="00321A1F">
        <w:rPr>
          <w:bCs/>
          <w:iCs/>
        </w:rPr>
        <w:t>calculations</w:t>
      </w:r>
      <w:r w:rsidR="002C1EFF" w:rsidRPr="00321A1F">
        <w:rPr>
          <w:bCs/>
          <w:iCs/>
        </w:rPr>
        <w:t xml:space="preserve"> are shown below</w:t>
      </w:r>
      <w:r>
        <w:rPr>
          <w:bCs/>
          <w:iCs/>
        </w:rPr>
        <w:t xml:space="preserve">. </w:t>
      </w:r>
      <w:r w:rsidR="002C1EFF" w:rsidRPr="00321A1F">
        <w:rPr>
          <w:bCs/>
          <w:iCs/>
        </w:rPr>
        <w:t xml:space="preserve"> </w:t>
      </w:r>
    </w:p>
    <w:p w:rsidR="002C1EFF" w:rsidRPr="00321A1F" w:rsidRDefault="002C1EFF" w:rsidP="002C1EFF">
      <w:pPr>
        <w:spacing w:after="200" w:line="276" w:lineRule="auto"/>
        <w:rPr>
          <w:bCs/>
          <w:iCs/>
        </w:rPr>
      </w:pPr>
    </w:p>
    <w:p w:rsidR="002C1EFF" w:rsidRPr="00321A1F" w:rsidRDefault="002C1EFF" w:rsidP="002C1EFF">
      <w:pPr>
        <w:jc w:val="center"/>
        <w:rPr>
          <w:b/>
          <w:bCs/>
          <w:iCs/>
        </w:rPr>
      </w:pPr>
      <w:r w:rsidRPr="00321A1F">
        <w:rPr>
          <w:b/>
          <w:bCs/>
          <w:iCs/>
        </w:rPr>
        <w:t>Normal Reconnection Charge Calculation</w:t>
      </w:r>
    </w:p>
    <w:tbl>
      <w:tblPr>
        <w:tblW w:w="1003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267"/>
        <w:gridCol w:w="3442"/>
        <w:gridCol w:w="1425"/>
      </w:tblGrid>
      <w:tr w:rsidR="002C1EFF" w:rsidRPr="00321A1F" w:rsidTr="00EC6608">
        <w:trPr>
          <w:trHeight w:val="266"/>
          <w:jc w:val="center"/>
        </w:trPr>
        <w:tc>
          <w:tcPr>
            <w:tcW w:w="3562" w:type="dxa"/>
            <w:shd w:val="clear" w:color="auto" w:fill="auto"/>
            <w:vAlign w:val="bottom"/>
          </w:tcPr>
          <w:p w:rsidR="002C1EFF" w:rsidRPr="00321A1F" w:rsidRDefault="002C1EFF" w:rsidP="002C1EFF">
            <w:pPr>
              <w:jc w:val="center"/>
            </w:pPr>
            <w:r w:rsidRPr="00321A1F">
              <w:t>Activity</w:t>
            </w:r>
          </w:p>
        </w:tc>
        <w:tc>
          <w:tcPr>
            <w:tcW w:w="1336" w:type="dxa"/>
            <w:shd w:val="clear" w:color="auto" w:fill="auto"/>
            <w:vAlign w:val="bottom"/>
          </w:tcPr>
          <w:p w:rsidR="002C1EFF" w:rsidRPr="00321A1F" w:rsidRDefault="002C1EFF" w:rsidP="002C1EFF">
            <w:pPr>
              <w:jc w:val="center"/>
            </w:pPr>
            <w:r w:rsidRPr="00321A1F">
              <w:t>Normal Hours Cost</w:t>
            </w:r>
          </w:p>
        </w:tc>
        <w:tc>
          <w:tcPr>
            <w:tcW w:w="267" w:type="dxa"/>
          </w:tcPr>
          <w:p w:rsidR="002C1EFF" w:rsidRPr="00321A1F" w:rsidRDefault="002C1EFF" w:rsidP="002C1EFF">
            <w:pPr>
              <w:jc w:val="center"/>
            </w:pPr>
          </w:p>
        </w:tc>
        <w:tc>
          <w:tcPr>
            <w:tcW w:w="3442" w:type="dxa"/>
            <w:vAlign w:val="bottom"/>
          </w:tcPr>
          <w:p w:rsidR="002C1EFF" w:rsidRPr="00321A1F" w:rsidRDefault="002C1EFF" w:rsidP="002C1EFF">
            <w:pPr>
              <w:jc w:val="center"/>
            </w:pPr>
            <w:r w:rsidRPr="00321A1F">
              <w:t>Activity</w:t>
            </w:r>
          </w:p>
        </w:tc>
        <w:tc>
          <w:tcPr>
            <w:tcW w:w="1425" w:type="dxa"/>
            <w:vAlign w:val="bottom"/>
          </w:tcPr>
          <w:p w:rsidR="002C1EFF" w:rsidRPr="00321A1F" w:rsidRDefault="002C1EFF" w:rsidP="002C1EFF">
            <w:pPr>
              <w:jc w:val="center"/>
            </w:pPr>
            <w:r w:rsidRPr="00321A1F">
              <w:t>After Hours Cost</w:t>
            </w:r>
          </w:p>
        </w:tc>
      </w:tr>
      <w:tr w:rsidR="002C1EFF" w:rsidRPr="00321A1F" w:rsidTr="00EC6608">
        <w:trPr>
          <w:trHeight w:val="457"/>
          <w:jc w:val="center"/>
        </w:trPr>
        <w:tc>
          <w:tcPr>
            <w:tcW w:w="3562" w:type="dxa"/>
            <w:shd w:val="clear" w:color="auto" w:fill="auto"/>
          </w:tcPr>
          <w:p w:rsidR="002C1EFF" w:rsidRPr="00321A1F" w:rsidRDefault="002C1EFF" w:rsidP="002C1EFF">
            <w:pPr>
              <w:jc w:val="both"/>
            </w:pPr>
            <w:r w:rsidRPr="00321A1F">
              <w:t>Labor (Administrative)</w:t>
            </w:r>
          </w:p>
          <w:p w:rsidR="002C1EFF" w:rsidRPr="00321A1F" w:rsidRDefault="002C1EFF" w:rsidP="002C1EFF">
            <w:pPr>
              <w:jc w:val="both"/>
            </w:pPr>
            <w:r w:rsidRPr="00321A1F">
              <w:t>($36/hr x1/4hr)</w:t>
            </w:r>
          </w:p>
        </w:tc>
        <w:tc>
          <w:tcPr>
            <w:tcW w:w="1336" w:type="dxa"/>
            <w:shd w:val="clear" w:color="auto" w:fill="auto"/>
          </w:tcPr>
          <w:p w:rsidR="002C1EFF" w:rsidRPr="00321A1F" w:rsidRDefault="002C1EFF" w:rsidP="002C1EFF">
            <w:pPr>
              <w:jc w:val="right"/>
            </w:pPr>
          </w:p>
          <w:p w:rsidR="002C1EFF" w:rsidRPr="00321A1F" w:rsidRDefault="002C1EFF" w:rsidP="002C1EFF">
            <w:pPr>
              <w:jc w:val="right"/>
            </w:pPr>
            <w:r w:rsidRPr="00321A1F">
              <w:t>$9.00</w:t>
            </w:r>
          </w:p>
        </w:tc>
        <w:tc>
          <w:tcPr>
            <w:tcW w:w="267" w:type="dxa"/>
          </w:tcPr>
          <w:p w:rsidR="002C1EFF" w:rsidRPr="00321A1F" w:rsidRDefault="002C1EFF" w:rsidP="002C1EFF">
            <w:pPr>
              <w:jc w:val="right"/>
            </w:pPr>
          </w:p>
        </w:tc>
        <w:tc>
          <w:tcPr>
            <w:tcW w:w="3442" w:type="dxa"/>
          </w:tcPr>
          <w:p w:rsidR="002C1EFF" w:rsidRPr="00321A1F" w:rsidRDefault="002C1EFF" w:rsidP="002C1EFF">
            <w:pPr>
              <w:jc w:val="both"/>
            </w:pPr>
            <w:r w:rsidRPr="00321A1F">
              <w:t>Labor (Administrative)</w:t>
            </w:r>
          </w:p>
          <w:p w:rsidR="002C1EFF" w:rsidRPr="00321A1F" w:rsidRDefault="002C1EFF" w:rsidP="002C1EFF">
            <w:pPr>
              <w:jc w:val="both"/>
            </w:pPr>
            <w:r w:rsidRPr="00321A1F">
              <w:t>($36/hr x1/4hr)</w:t>
            </w:r>
          </w:p>
        </w:tc>
        <w:tc>
          <w:tcPr>
            <w:tcW w:w="1425" w:type="dxa"/>
          </w:tcPr>
          <w:p w:rsidR="002C1EFF" w:rsidRPr="00321A1F" w:rsidRDefault="002C1EFF" w:rsidP="002C1EFF">
            <w:pPr>
              <w:jc w:val="right"/>
            </w:pPr>
          </w:p>
          <w:p w:rsidR="002C1EFF" w:rsidRPr="00321A1F" w:rsidRDefault="002C1EFF" w:rsidP="002C1EFF">
            <w:pPr>
              <w:jc w:val="right"/>
            </w:pPr>
            <w:r w:rsidRPr="00321A1F">
              <w:t>$9.00</w:t>
            </w:r>
          </w:p>
        </w:tc>
      </w:tr>
      <w:tr w:rsidR="002C1EFF" w:rsidRPr="00321A1F" w:rsidTr="00EC6608">
        <w:trPr>
          <w:trHeight w:val="470"/>
          <w:jc w:val="center"/>
        </w:trPr>
        <w:tc>
          <w:tcPr>
            <w:tcW w:w="3562" w:type="dxa"/>
            <w:shd w:val="clear" w:color="auto" w:fill="auto"/>
          </w:tcPr>
          <w:p w:rsidR="002C1EFF" w:rsidRPr="00321A1F" w:rsidRDefault="002C1EFF" w:rsidP="002C1EFF">
            <w:pPr>
              <w:jc w:val="both"/>
            </w:pPr>
            <w:r w:rsidRPr="00321A1F">
              <w:t>Labor (Field)</w:t>
            </w:r>
          </w:p>
          <w:p w:rsidR="002C1EFF" w:rsidRPr="00321A1F" w:rsidRDefault="002C1EFF" w:rsidP="002C1EFF">
            <w:pPr>
              <w:jc w:val="both"/>
            </w:pPr>
            <w:r w:rsidRPr="00321A1F">
              <w:t>($36/hr x 1/4 hr x 2)</w:t>
            </w:r>
          </w:p>
        </w:tc>
        <w:tc>
          <w:tcPr>
            <w:tcW w:w="1336" w:type="dxa"/>
            <w:shd w:val="clear" w:color="auto" w:fill="auto"/>
          </w:tcPr>
          <w:p w:rsidR="002C1EFF" w:rsidRPr="00321A1F" w:rsidRDefault="002C1EFF" w:rsidP="002C1EFF">
            <w:pPr>
              <w:jc w:val="center"/>
            </w:pPr>
          </w:p>
          <w:p w:rsidR="002C1EFF" w:rsidRPr="00321A1F" w:rsidRDefault="002C1EFF" w:rsidP="002C1EFF">
            <w:pPr>
              <w:jc w:val="right"/>
            </w:pPr>
            <w:r w:rsidRPr="00321A1F">
              <w:t>$18.00</w:t>
            </w:r>
          </w:p>
        </w:tc>
        <w:tc>
          <w:tcPr>
            <w:tcW w:w="267" w:type="dxa"/>
          </w:tcPr>
          <w:p w:rsidR="002C1EFF" w:rsidRPr="00321A1F" w:rsidRDefault="002C1EFF" w:rsidP="002C1EFF">
            <w:pPr>
              <w:jc w:val="right"/>
            </w:pPr>
          </w:p>
        </w:tc>
        <w:tc>
          <w:tcPr>
            <w:tcW w:w="3442" w:type="dxa"/>
          </w:tcPr>
          <w:p w:rsidR="002C1EFF" w:rsidRPr="00321A1F" w:rsidRDefault="002C1EFF" w:rsidP="002C1EFF">
            <w:pPr>
              <w:jc w:val="both"/>
            </w:pPr>
            <w:r w:rsidRPr="00321A1F">
              <w:t>Labor (Field)</w:t>
            </w:r>
          </w:p>
          <w:p w:rsidR="002C1EFF" w:rsidRPr="00321A1F" w:rsidRDefault="002C1EFF" w:rsidP="002C1EFF">
            <w:pPr>
              <w:jc w:val="both"/>
            </w:pPr>
            <w:r w:rsidRPr="00321A1F">
              <w:t xml:space="preserve"> ($54/hr x 1/4hr x 2)</w:t>
            </w:r>
          </w:p>
        </w:tc>
        <w:tc>
          <w:tcPr>
            <w:tcW w:w="1425" w:type="dxa"/>
          </w:tcPr>
          <w:p w:rsidR="002C1EFF" w:rsidRPr="00321A1F" w:rsidRDefault="002C1EFF" w:rsidP="002C1EFF">
            <w:pPr>
              <w:jc w:val="right"/>
            </w:pPr>
          </w:p>
          <w:p w:rsidR="002C1EFF" w:rsidRPr="00321A1F" w:rsidRDefault="002C1EFF" w:rsidP="002C1EFF">
            <w:pPr>
              <w:jc w:val="right"/>
            </w:pPr>
            <w:r w:rsidRPr="00321A1F">
              <w:t>$27.00</w:t>
            </w:r>
          </w:p>
        </w:tc>
      </w:tr>
      <w:tr w:rsidR="002C1EFF" w:rsidRPr="00321A1F" w:rsidTr="00EC6608">
        <w:trPr>
          <w:trHeight w:val="457"/>
          <w:jc w:val="center"/>
        </w:trPr>
        <w:tc>
          <w:tcPr>
            <w:tcW w:w="3562" w:type="dxa"/>
            <w:shd w:val="clear" w:color="auto" w:fill="auto"/>
          </w:tcPr>
          <w:p w:rsidR="002C1EFF" w:rsidRPr="00321A1F" w:rsidRDefault="002C1EFF" w:rsidP="002C1EFF">
            <w:pPr>
              <w:jc w:val="both"/>
            </w:pPr>
            <w:r w:rsidRPr="00321A1F">
              <w:t>Transportation</w:t>
            </w:r>
          </w:p>
          <w:p w:rsidR="002C1EFF" w:rsidRPr="00321A1F" w:rsidRDefault="002C1EFF" w:rsidP="002C1EFF">
            <w:pPr>
              <w:jc w:val="both"/>
            </w:pPr>
            <w:r w:rsidRPr="00321A1F">
              <w:t>($.54/mile x 10 miles-to/from x 2)</w:t>
            </w:r>
          </w:p>
        </w:tc>
        <w:tc>
          <w:tcPr>
            <w:tcW w:w="1336" w:type="dxa"/>
            <w:shd w:val="clear" w:color="auto" w:fill="auto"/>
          </w:tcPr>
          <w:p w:rsidR="002C1EFF" w:rsidRPr="00321A1F" w:rsidRDefault="002C1EFF" w:rsidP="002C1EFF">
            <w:pPr>
              <w:jc w:val="right"/>
            </w:pPr>
          </w:p>
          <w:p w:rsidR="002C1EFF" w:rsidRPr="00321A1F" w:rsidRDefault="002C1EFF" w:rsidP="002C1EFF">
            <w:pPr>
              <w:jc w:val="right"/>
              <w:rPr>
                <w:u w:val="single"/>
              </w:rPr>
            </w:pPr>
            <w:r w:rsidRPr="00321A1F">
              <w:rPr>
                <w:u w:val="single"/>
              </w:rPr>
              <w:t>$10.80</w:t>
            </w:r>
          </w:p>
        </w:tc>
        <w:tc>
          <w:tcPr>
            <w:tcW w:w="267" w:type="dxa"/>
          </w:tcPr>
          <w:p w:rsidR="002C1EFF" w:rsidRPr="00321A1F" w:rsidRDefault="002C1EFF" w:rsidP="002C1EFF">
            <w:pPr>
              <w:jc w:val="right"/>
            </w:pPr>
          </w:p>
        </w:tc>
        <w:tc>
          <w:tcPr>
            <w:tcW w:w="3442" w:type="dxa"/>
          </w:tcPr>
          <w:p w:rsidR="002C1EFF" w:rsidRPr="00321A1F" w:rsidRDefault="002C1EFF" w:rsidP="002C1EFF">
            <w:pPr>
              <w:jc w:val="both"/>
            </w:pPr>
            <w:r w:rsidRPr="00321A1F">
              <w:t>Transportation</w:t>
            </w:r>
          </w:p>
          <w:p w:rsidR="002C1EFF" w:rsidRPr="00321A1F" w:rsidRDefault="002C1EFF" w:rsidP="002C1EFF">
            <w:pPr>
              <w:jc w:val="both"/>
            </w:pPr>
            <w:r w:rsidRPr="00321A1F">
              <w:t>($.54/mile x 10 miles-to/from x 2</w:t>
            </w:r>
          </w:p>
        </w:tc>
        <w:tc>
          <w:tcPr>
            <w:tcW w:w="1425" w:type="dxa"/>
          </w:tcPr>
          <w:p w:rsidR="002C1EFF" w:rsidRPr="00321A1F" w:rsidRDefault="002C1EFF" w:rsidP="002C1EFF">
            <w:pPr>
              <w:jc w:val="right"/>
            </w:pPr>
          </w:p>
          <w:p w:rsidR="002C1EFF" w:rsidRPr="00321A1F" w:rsidRDefault="002C1EFF" w:rsidP="002C1EFF">
            <w:pPr>
              <w:jc w:val="right"/>
              <w:rPr>
                <w:u w:val="single"/>
              </w:rPr>
            </w:pPr>
            <w:r w:rsidRPr="00321A1F">
              <w:rPr>
                <w:u w:val="single"/>
              </w:rPr>
              <w:t>$10.80</w:t>
            </w:r>
          </w:p>
        </w:tc>
      </w:tr>
      <w:tr w:rsidR="002C1EFF" w:rsidRPr="00321A1F" w:rsidTr="00EC6608">
        <w:trPr>
          <w:trHeight w:val="288"/>
          <w:jc w:val="center"/>
        </w:trPr>
        <w:tc>
          <w:tcPr>
            <w:tcW w:w="3562" w:type="dxa"/>
            <w:shd w:val="clear" w:color="auto" w:fill="auto"/>
          </w:tcPr>
          <w:p w:rsidR="002C1EFF" w:rsidRPr="00321A1F" w:rsidRDefault="002C1EFF" w:rsidP="002C1EFF">
            <w:pPr>
              <w:jc w:val="both"/>
            </w:pPr>
            <w:r w:rsidRPr="00321A1F">
              <w:t>Total</w:t>
            </w:r>
          </w:p>
        </w:tc>
        <w:tc>
          <w:tcPr>
            <w:tcW w:w="1336" w:type="dxa"/>
            <w:shd w:val="clear" w:color="auto" w:fill="auto"/>
          </w:tcPr>
          <w:p w:rsidR="002C1EFF" w:rsidRPr="00321A1F" w:rsidRDefault="002C1EFF" w:rsidP="002C1EFF">
            <w:pPr>
              <w:jc w:val="right"/>
            </w:pPr>
            <w:r w:rsidRPr="00321A1F">
              <w:t>$37.80</w:t>
            </w:r>
          </w:p>
        </w:tc>
        <w:tc>
          <w:tcPr>
            <w:tcW w:w="267" w:type="dxa"/>
          </w:tcPr>
          <w:p w:rsidR="002C1EFF" w:rsidRPr="00321A1F" w:rsidRDefault="002C1EFF" w:rsidP="002C1EFF">
            <w:pPr>
              <w:jc w:val="right"/>
              <w:rPr>
                <w:u w:val="double"/>
              </w:rPr>
            </w:pPr>
          </w:p>
        </w:tc>
        <w:tc>
          <w:tcPr>
            <w:tcW w:w="3442" w:type="dxa"/>
          </w:tcPr>
          <w:p w:rsidR="002C1EFF" w:rsidRPr="00321A1F" w:rsidRDefault="002C1EFF" w:rsidP="002C1EFF">
            <w:pPr>
              <w:jc w:val="both"/>
            </w:pPr>
            <w:r w:rsidRPr="00321A1F">
              <w:t>Total</w:t>
            </w:r>
          </w:p>
        </w:tc>
        <w:tc>
          <w:tcPr>
            <w:tcW w:w="1425" w:type="dxa"/>
          </w:tcPr>
          <w:p w:rsidR="002C1EFF" w:rsidRPr="00321A1F" w:rsidRDefault="002C1EFF" w:rsidP="002C1EFF">
            <w:pPr>
              <w:jc w:val="right"/>
            </w:pPr>
            <w:r w:rsidRPr="00321A1F">
              <w:t>$46.80</w:t>
            </w:r>
          </w:p>
        </w:tc>
      </w:tr>
    </w:tbl>
    <w:p w:rsidR="002C1EFF" w:rsidRPr="00321A1F" w:rsidRDefault="002C1EFF" w:rsidP="002C1EFF">
      <w:pPr>
        <w:jc w:val="both"/>
        <w:rPr>
          <w:bCs/>
          <w:iCs/>
        </w:rPr>
      </w:pPr>
    </w:p>
    <w:p w:rsidR="002C1EFF" w:rsidRPr="00321A1F" w:rsidRDefault="002C1EFF" w:rsidP="002C1EFF">
      <w:pPr>
        <w:jc w:val="both"/>
        <w:rPr>
          <w:bCs/>
          <w:iCs/>
        </w:rPr>
      </w:pPr>
    </w:p>
    <w:p w:rsidR="002C1EFF" w:rsidRPr="0053353B" w:rsidRDefault="0053353B" w:rsidP="002C1EFF">
      <w:pPr>
        <w:jc w:val="both"/>
        <w:rPr>
          <w:bCs/>
          <w:i/>
          <w:iCs/>
        </w:rPr>
      </w:pPr>
      <w:r w:rsidRPr="0053353B">
        <w:rPr>
          <w:bCs/>
          <w:i/>
          <w:iCs/>
        </w:rPr>
        <w:t xml:space="preserve">C. </w:t>
      </w:r>
      <w:r w:rsidR="002C1EFF" w:rsidRPr="0053353B">
        <w:rPr>
          <w:bCs/>
          <w:i/>
          <w:iCs/>
        </w:rPr>
        <w:t>Violation Reconnection Charge</w:t>
      </w:r>
    </w:p>
    <w:p w:rsidR="00407D76" w:rsidRDefault="00407D76" w:rsidP="0053353B">
      <w:pPr>
        <w:spacing w:after="240"/>
        <w:jc w:val="both"/>
        <w:rPr>
          <w:bCs/>
          <w:iCs/>
        </w:rPr>
      </w:pPr>
    </w:p>
    <w:p w:rsidR="002C1EFF" w:rsidRPr="00321A1F" w:rsidRDefault="0053353B" w:rsidP="0053353B">
      <w:pPr>
        <w:spacing w:after="240"/>
        <w:jc w:val="both"/>
        <w:rPr>
          <w:b/>
          <w:bCs/>
          <w:iCs/>
        </w:rPr>
      </w:pPr>
      <w:r>
        <w:rPr>
          <w:bCs/>
          <w:iCs/>
        </w:rPr>
        <w:tab/>
      </w:r>
      <w:r w:rsidR="002C1EFF" w:rsidRPr="00321A1F">
        <w:rPr>
          <w:bCs/>
          <w:iCs/>
        </w:rPr>
        <w:t xml:space="preserve">The Utility’s existing violation reconnection charge is $15 for water and actual cost for wastewater. The violation reconnection charge is levied prior to reconnection of an existing customer after discontinuance of service for cause. The service performed for violation reconnection requires two trips, which include one trip to turn off service and a subsequent trip to turn on service once the violation has been remedied. Based on labor and transportation to and </w:t>
      </w:r>
      <w:r w:rsidR="002C1EFF" w:rsidRPr="00321A1F">
        <w:rPr>
          <w:bCs/>
          <w:iCs/>
        </w:rPr>
        <w:lastRenderedPageBreak/>
        <w:t xml:space="preserve">from the service territory, </w:t>
      </w:r>
      <w:r>
        <w:rPr>
          <w:bCs/>
          <w:iCs/>
        </w:rPr>
        <w:t xml:space="preserve">we approve </w:t>
      </w:r>
      <w:r w:rsidR="002C1EFF" w:rsidRPr="00321A1F">
        <w:rPr>
          <w:bCs/>
          <w:iCs/>
        </w:rPr>
        <w:t>water violation reconnection charges of $38 and $47 for normal and after hours, respectively. Due to the labor intensive nature of a wastewater disconnection and pursuant to Rule 25-30.460, F.A.C., wastewater violation reconnection is and sh</w:t>
      </w:r>
      <w:r>
        <w:rPr>
          <w:bCs/>
          <w:iCs/>
        </w:rPr>
        <w:t>all</w:t>
      </w:r>
      <w:r w:rsidR="002C1EFF" w:rsidRPr="00321A1F">
        <w:rPr>
          <w:bCs/>
          <w:iCs/>
        </w:rPr>
        <w:t xml:space="preserve"> remain at actual cost. </w:t>
      </w:r>
      <w:r>
        <w:rPr>
          <w:bCs/>
          <w:iCs/>
        </w:rPr>
        <w:t>Our</w:t>
      </w:r>
      <w:r w:rsidR="002C1EFF" w:rsidRPr="00321A1F">
        <w:rPr>
          <w:bCs/>
          <w:iCs/>
        </w:rPr>
        <w:t xml:space="preserve"> calculations for water violation reconnection charges are shown below</w:t>
      </w:r>
      <w:r>
        <w:rPr>
          <w:bCs/>
          <w:iCs/>
        </w:rPr>
        <w:t xml:space="preserve">. </w:t>
      </w:r>
    </w:p>
    <w:p w:rsidR="002C1EFF" w:rsidRPr="00321A1F" w:rsidRDefault="002C1EFF" w:rsidP="002C1EFF">
      <w:pPr>
        <w:jc w:val="center"/>
        <w:rPr>
          <w:bCs/>
          <w:iCs/>
        </w:rPr>
      </w:pPr>
      <w:r w:rsidRPr="00321A1F">
        <w:rPr>
          <w:b/>
          <w:bCs/>
          <w:iCs/>
        </w:rPr>
        <w:t>Violation Reconnection Charge Calculation</w:t>
      </w:r>
    </w:p>
    <w:tbl>
      <w:tblPr>
        <w:tblW w:w="1003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267"/>
        <w:gridCol w:w="3541"/>
        <w:gridCol w:w="1326"/>
      </w:tblGrid>
      <w:tr w:rsidR="002C1EFF" w:rsidRPr="00321A1F" w:rsidTr="00EC6608">
        <w:trPr>
          <w:trHeight w:val="279"/>
          <w:jc w:val="center"/>
        </w:trPr>
        <w:tc>
          <w:tcPr>
            <w:tcW w:w="3562" w:type="dxa"/>
            <w:shd w:val="clear" w:color="auto" w:fill="auto"/>
            <w:vAlign w:val="bottom"/>
          </w:tcPr>
          <w:p w:rsidR="002C1EFF" w:rsidRPr="00321A1F" w:rsidRDefault="002C1EFF" w:rsidP="002C1EFF">
            <w:pPr>
              <w:jc w:val="center"/>
            </w:pPr>
            <w:r w:rsidRPr="00321A1F">
              <w:t>Activity</w:t>
            </w:r>
          </w:p>
        </w:tc>
        <w:tc>
          <w:tcPr>
            <w:tcW w:w="1336" w:type="dxa"/>
            <w:shd w:val="clear" w:color="auto" w:fill="auto"/>
            <w:vAlign w:val="bottom"/>
          </w:tcPr>
          <w:p w:rsidR="002C1EFF" w:rsidRPr="00321A1F" w:rsidRDefault="002C1EFF" w:rsidP="002C1EFF">
            <w:pPr>
              <w:jc w:val="center"/>
            </w:pPr>
            <w:r w:rsidRPr="00321A1F">
              <w:t>Normal Hours Cost</w:t>
            </w:r>
          </w:p>
        </w:tc>
        <w:tc>
          <w:tcPr>
            <w:tcW w:w="267" w:type="dxa"/>
          </w:tcPr>
          <w:p w:rsidR="002C1EFF" w:rsidRPr="00321A1F" w:rsidRDefault="002C1EFF" w:rsidP="002C1EFF">
            <w:pPr>
              <w:jc w:val="center"/>
            </w:pPr>
          </w:p>
        </w:tc>
        <w:tc>
          <w:tcPr>
            <w:tcW w:w="3541" w:type="dxa"/>
            <w:vAlign w:val="bottom"/>
          </w:tcPr>
          <w:p w:rsidR="002C1EFF" w:rsidRPr="00321A1F" w:rsidRDefault="002C1EFF" w:rsidP="002C1EFF">
            <w:pPr>
              <w:jc w:val="center"/>
            </w:pPr>
            <w:r w:rsidRPr="00321A1F">
              <w:t>Activity</w:t>
            </w:r>
          </w:p>
        </w:tc>
        <w:tc>
          <w:tcPr>
            <w:tcW w:w="1326" w:type="dxa"/>
            <w:vAlign w:val="bottom"/>
          </w:tcPr>
          <w:p w:rsidR="002C1EFF" w:rsidRPr="00321A1F" w:rsidRDefault="002C1EFF" w:rsidP="002C1EFF">
            <w:pPr>
              <w:jc w:val="center"/>
            </w:pPr>
            <w:r w:rsidRPr="00321A1F">
              <w:t>After Hours Cost</w:t>
            </w:r>
          </w:p>
        </w:tc>
      </w:tr>
      <w:tr w:rsidR="002C1EFF" w:rsidRPr="00321A1F" w:rsidTr="00EC6608">
        <w:trPr>
          <w:trHeight w:val="480"/>
          <w:jc w:val="center"/>
        </w:trPr>
        <w:tc>
          <w:tcPr>
            <w:tcW w:w="3562" w:type="dxa"/>
            <w:shd w:val="clear" w:color="auto" w:fill="auto"/>
          </w:tcPr>
          <w:p w:rsidR="002C1EFF" w:rsidRPr="00321A1F" w:rsidRDefault="002C1EFF" w:rsidP="002C1EFF">
            <w:pPr>
              <w:jc w:val="both"/>
            </w:pPr>
            <w:r w:rsidRPr="00321A1F">
              <w:t>Labor (Administrative)</w:t>
            </w:r>
          </w:p>
          <w:p w:rsidR="002C1EFF" w:rsidRPr="00321A1F" w:rsidRDefault="002C1EFF" w:rsidP="002C1EFF">
            <w:pPr>
              <w:jc w:val="both"/>
            </w:pPr>
            <w:r w:rsidRPr="00321A1F">
              <w:t>($36/hr x1/4hr)</w:t>
            </w:r>
          </w:p>
        </w:tc>
        <w:tc>
          <w:tcPr>
            <w:tcW w:w="1336" w:type="dxa"/>
            <w:shd w:val="clear" w:color="auto" w:fill="auto"/>
          </w:tcPr>
          <w:p w:rsidR="002C1EFF" w:rsidRPr="00321A1F" w:rsidRDefault="002C1EFF" w:rsidP="002C1EFF">
            <w:pPr>
              <w:jc w:val="right"/>
            </w:pPr>
          </w:p>
          <w:p w:rsidR="002C1EFF" w:rsidRPr="00321A1F" w:rsidRDefault="002C1EFF" w:rsidP="002C1EFF">
            <w:pPr>
              <w:jc w:val="right"/>
            </w:pPr>
            <w:r w:rsidRPr="00321A1F">
              <w:t>$9.00</w:t>
            </w:r>
          </w:p>
        </w:tc>
        <w:tc>
          <w:tcPr>
            <w:tcW w:w="267" w:type="dxa"/>
          </w:tcPr>
          <w:p w:rsidR="002C1EFF" w:rsidRPr="00321A1F" w:rsidRDefault="002C1EFF" w:rsidP="002C1EFF">
            <w:pPr>
              <w:jc w:val="right"/>
            </w:pPr>
          </w:p>
        </w:tc>
        <w:tc>
          <w:tcPr>
            <w:tcW w:w="3541" w:type="dxa"/>
          </w:tcPr>
          <w:p w:rsidR="002C1EFF" w:rsidRPr="00321A1F" w:rsidRDefault="002C1EFF" w:rsidP="002C1EFF">
            <w:pPr>
              <w:jc w:val="both"/>
            </w:pPr>
            <w:r w:rsidRPr="00321A1F">
              <w:t>Labor (Administrative)</w:t>
            </w:r>
          </w:p>
          <w:p w:rsidR="002C1EFF" w:rsidRPr="00321A1F" w:rsidRDefault="002C1EFF" w:rsidP="002C1EFF">
            <w:pPr>
              <w:jc w:val="both"/>
            </w:pPr>
            <w:r w:rsidRPr="00321A1F">
              <w:t>($36/hr x1/4hr)</w:t>
            </w:r>
          </w:p>
        </w:tc>
        <w:tc>
          <w:tcPr>
            <w:tcW w:w="1326" w:type="dxa"/>
          </w:tcPr>
          <w:p w:rsidR="002C1EFF" w:rsidRPr="00321A1F" w:rsidRDefault="002C1EFF" w:rsidP="002C1EFF">
            <w:pPr>
              <w:jc w:val="right"/>
            </w:pPr>
          </w:p>
          <w:p w:rsidR="002C1EFF" w:rsidRPr="00321A1F" w:rsidRDefault="002C1EFF" w:rsidP="002C1EFF">
            <w:pPr>
              <w:jc w:val="right"/>
            </w:pPr>
            <w:r w:rsidRPr="00321A1F">
              <w:t>$9.00</w:t>
            </w:r>
          </w:p>
        </w:tc>
      </w:tr>
      <w:tr w:rsidR="002C1EFF" w:rsidRPr="00321A1F" w:rsidTr="00EC6608">
        <w:trPr>
          <w:trHeight w:val="493"/>
          <w:jc w:val="center"/>
        </w:trPr>
        <w:tc>
          <w:tcPr>
            <w:tcW w:w="3562" w:type="dxa"/>
            <w:shd w:val="clear" w:color="auto" w:fill="auto"/>
          </w:tcPr>
          <w:p w:rsidR="002C1EFF" w:rsidRPr="00321A1F" w:rsidRDefault="002C1EFF" w:rsidP="002C1EFF">
            <w:pPr>
              <w:jc w:val="both"/>
            </w:pPr>
            <w:r w:rsidRPr="00321A1F">
              <w:t>Labor (Field)</w:t>
            </w:r>
          </w:p>
          <w:p w:rsidR="002C1EFF" w:rsidRPr="00321A1F" w:rsidRDefault="002C1EFF" w:rsidP="002C1EFF">
            <w:pPr>
              <w:jc w:val="both"/>
            </w:pPr>
            <w:r w:rsidRPr="00321A1F">
              <w:t>($36/hr x 1/4 hr x 2)</w:t>
            </w:r>
          </w:p>
        </w:tc>
        <w:tc>
          <w:tcPr>
            <w:tcW w:w="1336" w:type="dxa"/>
            <w:shd w:val="clear" w:color="auto" w:fill="auto"/>
          </w:tcPr>
          <w:p w:rsidR="002C1EFF" w:rsidRPr="00321A1F" w:rsidRDefault="002C1EFF" w:rsidP="002C1EFF">
            <w:pPr>
              <w:jc w:val="center"/>
            </w:pPr>
          </w:p>
          <w:p w:rsidR="002C1EFF" w:rsidRPr="00321A1F" w:rsidRDefault="002C1EFF" w:rsidP="002C1EFF">
            <w:pPr>
              <w:jc w:val="right"/>
            </w:pPr>
            <w:r w:rsidRPr="00321A1F">
              <w:t>$18.00</w:t>
            </w:r>
          </w:p>
        </w:tc>
        <w:tc>
          <w:tcPr>
            <w:tcW w:w="267" w:type="dxa"/>
          </w:tcPr>
          <w:p w:rsidR="002C1EFF" w:rsidRPr="00321A1F" w:rsidRDefault="002C1EFF" w:rsidP="002C1EFF">
            <w:pPr>
              <w:jc w:val="right"/>
            </w:pPr>
          </w:p>
        </w:tc>
        <w:tc>
          <w:tcPr>
            <w:tcW w:w="3541" w:type="dxa"/>
          </w:tcPr>
          <w:p w:rsidR="002C1EFF" w:rsidRPr="00321A1F" w:rsidRDefault="002C1EFF" w:rsidP="002C1EFF">
            <w:pPr>
              <w:jc w:val="both"/>
            </w:pPr>
            <w:r w:rsidRPr="00321A1F">
              <w:t>Labor (Field)</w:t>
            </w:r>
          </w:p>
          <w:p w:rsidR="002C1EFF" w:rsidRPr="00321A1F" w:rsidRDefault="002C1EFF" w:rsidP="002C1EFF">
            <w:pPr>
              <w:jc w:val="both"/>
            </w:pPr>
            <w:r w:rsidRPr="00321A1F">
              <w:t xml:space="preserve"> ($54/hr x 1/4hr x 2)</w:t>
            </w:r>
          </w:p>
        </w:tc>
        <w:tc>
          <w:tcPr>
            <w:tcW w:w="1326" w:type="dxa"/>
          </w:tcPr>
          <w:p w:rsidR="002C1EFF" w:rsidRPr="00321A1F" w:rsidRDefault="002C1EFF" w:rsidP="002C1EFF">
            <w:pPr>
              <w:jc w:val="right"/>
            </w:pPr>
          </w:p>
          <w:p w:rsidR="002C1EFF" w:rsidRPr="00321A1F" w:rsidRDefault="002C1EFF" w:rsidP="002C1EFF">
            <w:pPr>
              <w:jc w:val="right"/>
            </w:pPr>
            <w:r w:rsidRPr="00321A1F">
              <w:t>$27.00</w:t>
            </w:r>
          </w:p>
        </w:tc>
      </w:tr>
      <w:tr w:rsidR="002C1EFF" w:rsidRPr="00321A1F" w:rsidTr="00EC6608">
        <w:trPr>
          <w:trHeight w:val="480"/>
          <w:jc w:val="center"/>
        </w:trPr>
        <w:tc>
          <w:tcPr>
            <w:tcW w:w="3562" w:type="dxa"/>
            <w:shd w:val="clear" w:color="auto" w:fill="auto"/>
          </w:tcPr>
          <w:p w:rsidR="002C1EFF" w:rsidRPr="00321A1F" w:rsidRDefault="002C1EFF" w:rsidP="002C1EFF">
            <w:pPr>
              <w:jc w:val="both"/>
            </w:pPr>
            <w:r w:rsidRPr="00321A1F">
              <w:t>Transportation</w:t>
            </w:r>
          </w:p>
          <w:p w:rsidR="002C1EFF" w:rsidRPr="00321A1F" w:rsidRDefault="002C1EFF" w:rsidP="002C1EFF">
            <w:pPr>
              <w:jc w:val="both"/>
            </w:pPr>
            <w:r w:rsidRPr="00321A1F">
              <w:t>($.54/mile x 10 miles-to/from x 2)</w:t>
            </w:r>
          </w:p>
        </w:tc>
        <w:tc>
          <w:tcPr>
            <w:tcW w:w="1336" w:type="dxa"/>
            <w:shd w:val="clear" w:color="auto" w:fill="auto"/>
          </w:tcPr>
          <w:p w:rsidR="002C1EFF" w:rsidRPr="00321A1F" w:rsidRDefault="002C1EFF" w:rsidP="002C1EFF">
            <w:pPr>
              <w:jc w:val="right"/>
            </w:pPr>
          </w:p>
          <w:p w:rsidR="002C1EFF" w:rsidRPr="00321A1F" w:rsidRDefault="002C1EFF" w:rsidP="002C1EFF">
            <w:pPr>
              <w:jc w:val="right"/>
              <w:rPr>
                <w:u w:val="single"/>
              </w:rPr>
            </w:pPr>
            <w:r w:rsidRPr="00321A1F">
              <w:rPr>
                <w:u w:val="single"/>
              </w:rPr>
              <w:t>$10.80</w:t>
            </w:r>
          </w:p>
        </w:tc>
        <w:tc>
          <w:tcPr>
            <w:tcW w:w="267" w:type="dxa"/>
          </w:tcPr>
          <w:p w:rsidR="002C1EFF" w:rsidRPr="00321A1F" w:rsidRDefault="002C1EFF" w:rsidP="002C1EFF">
            <w:pPr>
              <w:jc w:val="right"/>
            </w:pPr>
          </w:p>
        </w:tc>
        <w:tc>
          <w:tcPr>
            <w:tcW w:w="3541" w:type="dxa"/>
          </w:tcPr>
          <w:p w:rsidR="002C1EFF" w:rsidRPr="00321A1F" w:rsidRDefault="002C1EFF" w:rsidP="002C1EFF">
            <w:pPr>
              <w:jc w:val="both"/>
            </w:pPr>
            <w:r w:rsidRPr="00321A1F">
              <w:t>Transportation</w:t>
            </w:r>
          </w:p>
          <w:p w:rsidR="002C1EFF" w:rsidRPr="00321A1F" w:rsidRDefault="002C1EFF" w:rsidP="002C1EFF">
            <w:pPr>
              <w:jc w:val="both"/>
            </w:pPr>
            <w:r w:rsidRPr="00321A1F">
              <w:t>($.54/mile x 10 miles-to/from x 2)</w:t>
            </w:r>
          </w:p>
        </w:tc>
        <w:tc>
          <w:tcPr>
            <w:tcW w:w="1326" w:type="dxa"/>
          </w:tcPr>
          <w:p w:rsidR="002C1EFF" w:rsidRPr="00321A1F" w:rsidRDefault="002C1EFF" w:rsidP="002C1EFF">
            <w:pPr>
              <w:jc w:val="right"/>
            </w:pPr>
          </w:p>
          <w:p w:rsidR="002C1EFF" w:rsidRPr="00321A1F" w:rsidRDefault="002C1EFF" w:rsidP="002C1EFF">
            <w:pPr>
              <w:jc w:val="right"/>
              <w:rPr>
                <w:u w:val="single"/>
              </w:rPr>
            </w:pPr>
            <w:r w:rsidRPr="00321A1F">
              <w:rPr>
                <w:u w:val="single"/>
              </w:rPr>
              <w:t>$10.80</w:t>
            </w:r>
          </w:p>
        </w:tc>
      </w:tr>
      <w:tr w:rsidR="002C1EFF" w:rsidRPr="00321A1F" w:rsidTr="00EC6608">
        <w:trPr>
          <w:trHeight w:val="303"/>
          <w:jc w:val="center"/>
        </w:trPr>
        <w:tc>
          <w:tcPr>
            <w:tcW w:w="3562" w:type="dxa"/>
            <w:shd w:val="clear" w:color="auto" w:fill="auto"/>
          </w:tcPr>
          <w:p w:rsidR="002C1EFF" w:rsidRPr="00321A1F" w:rsidRDefault="002C1EFF" w:rsidP="002C1EFF">
            <w:pPr>
              <w:jc w:val="both"/>
            </w:pPr>
            <w:r w:rsidRPr="00321A1F">
              <w:t>Total</w:t>
            </w:r>
          </w:p>
        </w:tc>
        <w:tc>
          <w:tcPr>
            <w:tcW w:w="1336" w:type="dxa"/>
            <w:shd w:val="clear" w:color="auto" w:fill="auto"/>
          </w:tcPr>
          <w:p w:rsidR="002C1EFF" w:rsidRPr="00321A1F" w:rsidRDefault="002C1EFF" w:rsidP="002C1EFF">
            <w:pPr>
              <w:jc w:val="right"/>
            </w:pPr>
            <w:r w:rsidRPr="00321A1F">
              <w:t>$37.80</w:t>
            </w:r>
          </w:p>
        </w:tc>
        <w:tc>
          <w:tcPr>
            <w:tcW w:w="267" w:type="dxa"/>
          </w:tcPr>
          <w:p w:rsidR="002C1EFF" w:rsidRPr="00321A1F" w:rsidRDefault="002C1EFF" w:rsidP="002C1EFF">
            <w:pPr>
              <w:jc w:val="right"/>
              <w:rPr>
                <w:u w:val="double"/>
              </w:rPr>
            </w:pPr>
          </w:p>
        </w:tc>
        <w:tc>
          <w:tcPr>
            <w:tcW w:w="3541" w:type="dxa"/>
          </w:tcPr>
          <w:p w:rsidR="002C1EFF" w:rsidRPr="00321A1F" w:rsidRDefault="002C1EFF" w:rsidP="002C1EFF">
            <w:pPr>
              <w:jc w:val="both"/>
            </w:pPr>
            <w:r w:rsidRPr="00321A1F">
              <w:t>Total</w:t>
            </w:r>
          </w:p>
        </w:tc>
        <w:tc>
          <w:tcPr>
            <w:tcW w:w="1326" w:type="dxa"/>
          </w:tcPr>
          <w:p w:rsidR="002C1EFF" w:rsidRPr="00321A1F" w:rsidRDefault="002C1EFF" w:rsidP="002C1EFF">
            <w:pPr>
              <w:jc w:val="right"/>
            </w:pPr>
            <w:r w:rsidRPr="00321A1F">
              <w:t>$46.80</w:t>
            </w:r>
          </w:p>
        </w:tc>
      </w:tr>
    </w:tbl>
    <w:p w:rsidR="002C1EFF" w:rsidRPr="00321A1F" w:rsidRDefault="002C1EFF" w:rsidP="002C1EFF">
      <w:pPr>
        <w:jc w:val="both"/>
      </w:pPr>
    </w:p>
    <w:p w:rsidR="002C1EFF" w:rsidRPr="00321A1F" w:rsidRDefault="002C1EFF" w:rsidP="002C1EFF">
      <w:pPr>
        <w:jc w:val="both"/>
      </w:pPr>
    </w:p>
    <w:p w:rsidR="002C1EFF" w:rsidRPr="0053353B" w:rsidRDefault="0053353B" w:rsidP="002C1EFF">
      <w:pPr>
        <w:jc w:val="both"/>
        <w:rPr>
          <w:bCs/>
          <w:i/>
          <w:iCs/>
        </w:rPr>
      </w:pPr>
      <w:r w:rsidRPr="0053353B">
        <w:rPr>
          <w:bCs/>
          <w:i/>
          <w:iCs/>
        </w:rPr>
        <w:t xml:space="preserve">D. </w:t>
      </w:r>
      <w:r w:rsidR="002C1EFF" w:rsidRPr="0053353B">
        <w:rPr>
          <w:bCs/>
          <w:i/>
          <w:iCs/>
        </w:rPr>
        <w:t>Premises Visit</w:t>
      </w:r>
    </w:p>
    <w:p w:rsidR="00407D76" w:rsidRDefault="00407D76" w:rsidP="002C1EFF">
      <w:pPr>
        <w:spacing w:after="240"/>
        <w:jc w:val="both"/>
        <w:rPr>
          <w:bCs/>
          <w:iCs/>
        </w:rPr>
      </w:pPr>
    </w:p>
    <w:p w:rsidR="002C1EFF" w:rsidRPr="00321A1F" w:rsidRDefault="0053353B" w:rsidP="002C1EFF">
      <w:pPr>
        <w:spacing w:after="240"/>
        <w:jc w:val="both"/>
        <w:rPr>
          <w:bCs/>
          <w:iCs/>
        </w:rPr>
      </w:pPr>
      <w:r>
        <w:rPr>
          <w:bCs/>
          <w:iCs/>
        </w:rPr>
        <w:tab/>
      </w:r>
      <w:r w:rsidR="002C1EFF" w:rsidRPr="00321A1F">
        <w:rPr>
          <w:bCs/>
          <w:iCs/>
        </w:rPr>
        <w:t xml:space="preserve">The Utility’s existing premises visit is $10 for water and wastewater. The premises visit charge is levied when a service representative visits a premises at the customer’s request for complaint resolution and the problem is found to be the customer’s responsibility. </w:t>
      </w:r>
      <w:r w:rsidR="00407D76">
        <w:rPr>
          <w:bCs/>
          <w:iCs/>
        </w:rPr>
        <w:t>T</w:t>
      </w:r>
      <w:r w:rsidR="002C1EFF" w:rsidRPr="00321A1F">
        <w:rPr>
          <w:bCs/>
          <w:iCs/>
        </w:rPr>
        <w:t xml:space="preserve">he premises visit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 </w:t>
      </w:r>
    </w:p>
    <w:p w:rsidR="002C1EFF" w:rsidRPr="00321A1F" w:rsidRDefault="0053353B" w:rsidP="002C1EFF">
      <w:pPr>
        <w:jc w:val="both"/>
        <w:rPr>
          <w:bCs/>
          <w:iCs/>
        </w:rPr>
      </w:pPr>
      <w:r>
        <w:tab/>
      </w:r>
      <w:r w:rsidR="002C1EFF" w:rsidRPr="00321A1F">
        <w:t>Aquarina requested a $200 emergency hours call out charge to cover costs incurred when the Utility owners travel from their home after hours and on holidays at the customer’s request. The Utility’s proposed charge included two hours of labor for two people and mileage to and from the service area.</w:t>
      </w:r>
      <w:r w:rsidR="00407D76">
        <w:t xml:space="preserve"> </w:t>
      </w:r>
      <w:r w:rsidR="007E6086">
        <w:t xml:space="preserve">Upon review, we do not </w:t>
      </w:r>
      <w:r w:rsidR="00407D76">
        <w:t>approve</w:t>
      </w:r>
      <w:r w:rsidR="007E6086">
        <w:t xml:space="preserve"> </w:t>
      </w:r>
      <w:r w:rsidR="002C1EFF" w:rsidRPr="00321A1F">
        <w:t xml:space="preserve">labor for two people. </w:t>
      </w:r>
      <w:r w:rsidR="007E6086">
        <w:t xml:space="preserve">We find </w:t>
      </w:r>
      <w:r w:rsidR="00B6438C">
        <w:t>that</w:t>
      </w:r>
      <w:r w:rsidR="007E6086">
        <w:t xml:space="preserve"> the </w:t>
      </w:r>
      <w:r w:rsidR="002C1EFF" w:rsidRPr="00321A1F">
        <w:t xml:space="preserve">Utility could use its premises visit charge to achieve the same result without any special designation for an emergency call out charge. </w:t>
      </w:r>
      <w:r w:rsidR="007E6086">
        <w:t xml:space="preserve">We find that the </w:t>
      </w:r>
      <w:r w:rsidR="002C1EFF" w:rsidRPr="00321A1F">
        <w:t xml:space="preserve">after hours premises visit charge recovers the appropriate cost incurred for after hours emergency calls. </w:t>
      </w:r>
      <w:r w:rsidR="002C1EFF" w:rsidRPr="00321A1F">
        <w:rPr>
          <w:bCs/>
          <w:iCs/>
        </w:rPr>
        <w:t xml:space="preserve">For the after hours calculation, </w:t>
      </w:r>
      <w:r w:rsidR="007E6086">
        <w:rPr>
          <w:bCs/>
          <w:iCs/>
        </w:rPr>
        <w:t>we</w:t>
      </w:r>
      <w:r w:rsidR="002C1EFF" w:rsidRPr="00321A1F">
        <w:rPr>
          <w:bCs/>
          <w:iCs/>
        </w:rPr>
        <w:t xml:space="preserve"> included additional labor time and miles since the Utility representative would be traveling from a location other than the Utility’s office. Based on labor and transportation to and from the service territory, </w:t>
      </w:r>
      <w:r w:rsidR="007E6086">
        <w:rPr>
          <w:bCs/>
          <w:iCs/>
        </w:rPr>
        <w:t>we approve</w:t>
      </w:r>
      <w:r w:rsidR="002C1EFF" w:rsidRPr="00321A1F">
        <w:rPr>
          <w:bCs/>
          <w:iCs/>
        </w:rPr>
        <w:t xml:space="preserve"> premises visit charges of $26 and $99 for normal and after hours, respectively for water and wastewater service. </w:t>
      </w:r>
      <w:r w:rsidR="007E6086">
        <w:rPr>
          <w:bCs/>
          <w:iCs/>
        </w:rPr>
        <w:t>Our</w:t>
      </w:r>
      <w:r w:rsidR="002C1EFF" w:rsidRPr="00321A1F">
        <w:rPr>
          <w:bCs/>
          <w:iCs/>
        </w:rPr>
        <w:t xml:space="preserve"> calculations are shown below</w:t>
      </w:r>
      <w:r w:rsidR="007E6086">
        <w:rPr>
          <w:bCs/>
          <w:iCs/>
        </w:rPr>
        <w:t xml:space="preserve">. </w:t>
      </w:r>
    </w:p>
    <w:p w:rsidR="002C1EFF" w:rsidRPr="00321A1F" w:rsidRDefault="002C1EFF" w:rsidP="002C1EFF">
      <w:pPr>
        <w:jc w:val="both"/>
        <w:rPr>
          <w:bCs/>
          <w:iCs/>
        </w:rPr>
      </w:pPr>
    </w:p>
    <w:p w:rsidR="002C1EFF" w:rsidRDefault="002C1EFF" w:rsidP="002C1EFF">
      <w:pPr>
        <w:jc w:val="both"/>
        <w:rPr>
          <w:bCs/>
          <w:iCs/>
        </w:rPr>
      </w:pPr>
    </w:p>
    <w:p w:rsidR="008A2D65" w:rsidRDefault="008A2D65" w:rsidP="002C1EFF">
      <w:pPr>
        <w:jc w:val="both"/>
        <w:rPr>
          <w:bCs/>
          <w:iCs/>
        </w:rPr>
      </w:pPr>
    </w:p>
    <w:p w:rsidR="008A2D65" w:rsidRDefault="008A2D65" w:rsidP="002C1EFF">
      <w:pPr>
        <w:jc w:val="both"/>
        <w:rPr>
          <w:bCs/>
          <w:iCs/>
        </w:rPr>
      </w:pPr>
    </w:p>
    <w:p w:rsidR="008A2D65" w:rsidRPr="00321A1F" w:rsidRDefault="008A2D65" w:rsidP="002C1EFF">
      <w:pPr>
        <w:jc w:val="both"/>
        <w:rPr>
          <w:bCs/>
          <w:iCs/>
        </w:rPr>
      </w:pPr>
    </w:p>
    <w:p w:rsidR="002C1EFF" w:rsidRPr="00321A1F" w:rsidRDefault="002C1EFF" w:rsidP="002C1EFF">
      <w:pPr>
        <w:jc w:val="center"/>
      </w:pPr>
      <w:r w:rsidRPr="00321A1F">
        <w:rPr>
          <w:b/>
          <w:bCs/>
          <w:iCs/>
        </w:rPr>
        <w:lastRenderedPageBreak/>
        <w:t>Premises Visit Charge Calculation</w:t>
      </w:r>
    </w:p>
    <w:tbl>
      <w:tblPr>
        <w:tblW w:w="948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504"/>
        <w:gridCol w:w="248"/>
        <w:gridCol w:w="3202"/>
        <w:gridCol w:w="1327"/>
      </w:tblGrid>
      <w:tr w:rsidR="002C1EFF" w:rsidRPr="00321A1F" w:rsidTr="00EC6608">
        <w:trPr>
          <w:trHeight w:val="264"/>
          <w:jc w:val="center"/>
        </w:trPr>
        <w:tc>
          <w:tcPr>
            <w:tcW w:w="3199" w:type="dxa"/>
            <w:shd w:val="clear" w:color="auto" w:fill="auto"/>
            <w:vAlign w:val="bottom"/>
          </w:tcPr>
          <w:p w:rsidR="002C1EFF" w:rsidRPr="00321A1F" w:rsidRDefault="002C1EFF" w:rsidP="002C1EFF">
            <w:pPr>
              <w:jc w:val="center"/>
            </w:pPr>
            <w:r w:rsidRPr="00321A1F">
              <w:t>Activity</w:t>
            </w:r>
          </w:p>
        </w:tc>
        <w:tc>
          <w:tcPr>
            <w:tcW w:w="1504" w:type="dxa"/>
            <w:shd w:val="clear" w:color="auto" w:fill="auto"/>
            <w:vAlign w:val="bottom"/>
          </w:tcPr>
          <w:p w:rsidR="002C1EFF" w:rsidRPr="00321A1F" w:rsidRDefault="002C1EFF" w:rsidP="002C1EFF">
            <w:pPr>
              <w:jc w:val="center"/>
            </w:pPr>
            <w:r w:rsidRPr="00321A1F">
              <w:t>Normal Hours Cost</w:t>
            </w:r>
          </w:p>
        </w:tc>
        <w:tc>
          <w:tcPr>
            <w:tcW w:w="248" w:type="dxa"/>
          </w:tcPr>
          <w:p w:rsidR="002C1EFF" w:rsidRPr="00321A1F" w:rsidRDefault="002C1EFF" w:rsidP="002C1EFF">
            <w:pPr>
              <w:jc w:val="center"/>
            </w:pPr>
          </w:p>
        </w:tc>
        <w:tc>
          <w:tcPr>
            <w:tcW w:w="3202" w:type="dxa"/>
            <w:vAlign w:val="bottom"/>
          </w:tcPr>
          <w:p w:rsidR="002C1EFF" w:rsidRPr="00321A1F" w:rsidRDefault="002C1EFF" w:rsidP="002C1EFF">
            <w:pPr>
              <w:jc w:val="center"/>
            </w:pPr>
            <w:r w:rsidRPr="00321A1F">
              <w:t>Activity</w:t>
            </w:r>
          </w:p>
        </w:tc>
        <w:tc>
          <w:tcPr>
            <w:tcW w:w="1327" w:type="dxa"/>
            <w:vAlign w:val="bottom"/>
          </w:tcPr>
          <w:p w:rsidR="002C1EFF" w:rsidRPr="00321A1F" w:rsidRDefault="002C1EFF" w:rsidP="002C1EFF">
            <w:pPr>
              <w:jc w:val="center"/>
            </w:pPr>
            <w:r w:rsidRPr="00321A1F">
              <w:t>After Hours Cost</w:t>
            </w:r>
          </w:p>
        </w:tc>
      </w:tr>
      <w:tr w:rsidR="002C1EFF" w:rsidRPr="00321A1F" w:rsidTr="00EC6608">
        <w:trPr>
          <w:trHeight w:val="453"/>
          <w:jc w:val="center"/>
        </w:trPr>
        <w:tc>
          <w:tcPr>
            <w:tcW w:w="3199" w:type="dxa"/>
            <w:shd w:val="clear" w:color="auto" w:fill="auto"/>
          </w:tcPr>
          <w:p w:rsidR="002C1EFF" w:rsidRPr="00321A1F" w:rsidRDefault="002C1EFF" w:rsidP="002C1EFF">
            <w:pPr>
              <w:jc w:val="both"/>
            </w:pPr>
            <w:r w:rsidRPr="00321A1F">
              <w:t>Labor (Administrative)</w:t>
            </w:r>
          </w:p>
          <w:p w:rsidR="002C1EFF" w:rsidRPr="00321A1F" w:rsidRDefault="002C1EFF" w:rsidP="002C1EFF">
            <w:pPr>
              <w:jc w:val="both"/>
            </w:pPr>
            <w:r w:rsidRPr="00321A1F">
              <w:t>($36/hr x1/4hr)</w:t>
            </w:r>
          </w:p>
        </w:tc>
        <w:tc>
          <w:tcPr>
            <w:tcW w:w="1504" w:type="dxa"/>
            <w:shd w:val="clear" w:color="auto" w:fill="auto"/>
          </w:tcPr>
          <w:p w:rsidR="002C1EFF" w:rsidRPr="00321A1F" w:rsidRDefault="002C1EFF" w:rsidP="002C1EFF">
            <w:pPr>
              <w:jc w:val="right"/>
            </w:pPr>
          </w:p>
          <w:p w:rsidR="002C1EFF" w:rsidRPr="00321A1F" w:rsidRDefault="002C1EFF" w:rsidP="002C1EFF">
            <w:pPr>
              <w:jc w:val="right"/>
            </w:pPr>
            <w:r w:rsidRPr="00321A1F">
              <w:t>$9.00</w:t>
            </w:r>
          </w:p>
        </w:tc>
        <w:tc>
          <w:tcPr>
            <w:tcW w:w="248" w:type="dxa"/>
          </w:tcPr>
          <w:p w:rsidR="002C1EFF" w:rsidRPr="00321A1F" w:rsidRDefault="002C1EFF" w:rsidP="002C1EFF">
            <w:pPr>
              <w:jc w:val="right"/>
            </w:pPr>
          </w:p>
        </w:tc>
        <w:tc>
          <w:tcPr>
            <w:tcW w:w="3202" w:type="dxa"/>
          </w:tcPr>
          <w:p w:rsidR="002C1EFF" w:rsidRPr="00321A1F" w:rsidRDefault="002C1EFF" w:rsidP="002C1EFF">
            <w:pPr>
              <w:jc w:val="both"/>
            </w:pPr>
            <w:r w:rsidRPr="00321A1F">
              <w:t>Labor (Administrative)</w:t>
            </w:r>
          </w:p>
          <w:p w:rsidR="002C1EFF" w:rsidRPr="00321A1F" w:rsidRDefault="002C1EFF" w:rsidP="002C1EFF">
            <w:pPr>
              <w:jc w:val="both"/>
            </w:pPr>
            <w:r w:rsidRPr="00321A1F">
              <w:t>($36/hr x1/4hr)</w:t>
            </w:r>
          </w:p>
        </w:tc>
        <w:tc>
          <w:tcPr>
            <w:tcW w:w="1327" w:type="dxa"/>
          </w:tcPr>
          <w:p w:rsidR="002C1EFF" w:rsidRPr="00321A1F" w:rsidRDefault="002C1EFF" w:rsidP="002C1EFF">
            <w:pPr>
              <w:jc w:val="right"/>
            </w:pPr>
          </w:p>
          <w:p w:rsidR="002C1EFF" w:rsidRPr="00321A1F" w:rsidRDefault="002C1EFF" w:rsidP="002C1EFF">
            <w:pPr>
              <w:jc w:val="right"/>
            </w:pPr>
            <w:r w:rsidRPr="00321A1F">
              <w:t>$9.00</w:t>
            </w:r>
          </w:p>
        </w:tc>
      </w:tr>
      <w:tr w:rsidR="002C1EFF" w:rsidRPr="00321A1F" w:rsidTr="00EC6608">
        <w:trPr>
          <w:trHeight w:val="466"/>
          <w:jc w:val="center"/>
        </w:trPr>
        <w:tc>
          <w:tcPr>
            <w:tcW w:w="3199" w:type="dxa"/>
            <w:shd w:val="clear" w:color="auto" w:fill="auto"/>
          </w:tcPr>
          <w:p w:rsidR="002C1EFF" w:rsidRPr="00321A1F" w:rsidRDefault="002C1EFF" w:rsidP="002C1EFF">
            <w:pPr>
              <w:jc w:val="both"/>
            </w:pPr>
            <w:r w:rsidRPr="00321A1F">
              <w:t>Labor (Field)</w:t>
            </w:r>
          </w:p>
          <w:p w:rsidR="002C1EFF" w:rsidRPr="00321A1F" w:rsidRDefault="002C1EFF" w:rsidP="002C1EFF">
            <w:pPr>
              <w:jc w:val="both"/>
            </w:pPr>
            <w:r w:rsidRPr="00321A1F">
              <w:t>($36/hr x 1/3 hr)</w:t>
            </w:r>
          </w:p>
        </w:tc>
        <w:tc>
          <w:tcPr>
            <w:tcW w:w="1504" w:type="dxa"/>
            <w:shd w:val="clear" w:color="auto" w:fill="auto"/>
          </w:tcPr>
          <w:p w:rsidR="002C1EFF" w:rsidRPr="00321A1F" w:rsidRDefault="002C1EFF" w:rsidP="002C1EFF">
            <w:pPr>
              <w:jc w:val="center"/>
            </w:pPr>
          </w:p>
          <w:p w:rsidR="002C1EFF" w:rsidRPr="00321A1F" w:rsidRDefault="002C1EFF" w:rsidP="002C1EFF">
            <w:pPr>
              <w:jc w:val="right"/>
            </w:pPr>
            <w:r w:rsidRPr="00321A1F">
              <w:t>$12.00</w:t>
            </w:r>
          </w:p>
        </w:tc>
        <w:tc>
          <w:tcPr>
            <w:tcW w:w="248" w:type="dxa"/>
          </w:tcPr>
          <w:p w:rsidR="002C1EFF" w:rsidRPr="00321A1F" w:rsidRDefault="002C1EFF" w:rsidP="002C1EFF">
            <w:pPr>
              <w:jc w:val="right"/>
            </w:pPr>
          </w:p>
        </w:tc>
        <w:tc>
          <w:tcPr>
            <w:tcW w:w="3202" w:type="dxa"/>
          </w:tcPr>
          <w:p w:rsidR="002C1EFF" w:rsidRPr="00321A1F" w:rsidRDefault="002C1EFF" w:rsidP="002C1EFF">
            <w:pPr>
              <w:jc w:val="both"/>
            </w:pPr>
            <w:r w:rsidRPr="00321A1F">
              <w:t>Labor (Field)</w:t>
            </w:r>
          </w:p>
          <w:p w:rsidR="002C1EFF" w:rsidRPr="00321A1F" w:rsidRDefault="002C1EFF" w:rsidP="002C1EFF">
            <w:pPr>
              <w:jc w:val="both"/>
            </w:pPr>
            <w:r w:rsidRPr="00321A1F">
              <w:t xml:space="preserve"> ($54/hr x1.10 hr)</w:t>
            </w:r>
          </w:p>
        </w:tc>
        <w:tc>
          <w:tcPr>
            <w:tcW w:w="1327" w:type="dxa"/>
          </w:tcPr>
          <w:p w:rsidR="002C1EFF" w:rsidRPr="00321A1F" w:rsidRDefault="002C1EFF" w:rsidP="002C1EFF">
            <w:pPr>
              <w:jc w:val="right"/>
            </w:pPr>
          </w:p>
          <w:p w:rsidR="002C1EFF" w:rsidRPr="00321A1F" w:rsidRDefault="002C1EFF" w:rsidP="002C1EFF">
            <w:pPr>
              <w:jc w:val="right"/>
            </w:pPr>
            <w:r w:rsidRPr="00321A1F">
              <w:t>$59.40</w:t>
            </w:r>
          </w:p>
        </w:tc>
      </w:tr>
      <w:tr w:rsidR="002C1EFF" w:rsidRPr="00321A1F" w:rsidTr="00EC6608">
        <w:trPr>
          <w:trHeight w:val="453"/>
          <w:jc w:val="center"/>
        </w:trPr>
        <w:tc>
          <w:tcPr>
            <w:tcW w:w="3199" w:type="dxa"/>
            <w:shd w:val="clear" w:color="auto" w:fill="auto"/>
          </w:tcPr>
          <w:p w:rsidR="002C1EFF" w:rsidRPr="00321A1F" w:rsidRDefault="002C1EFF" w:rsidP="002C1EFF">
            <w:pPr>
              <w:jc w:val="both"/>
            </w:pPr>
            <w:r w:rsidRPr="00321A1F">
              <w:t xml:space="preserve">Transportation </w:t>
            </w:r>
          </w:p>
          <w:p w:rsidR="002C1EFF" w:rsidRPr="00321A1F" w:rsidRDefault="002C1EFF" w:rsidP="002C1EFF">
            <w:pPr>
              <w:jc w:val="both"/>
            </w:pPr>
            <w:r w:rsidRPr="00321A1F">
              <w:t>($.54/mile x 10 miles-to/from)</w:t>
            </w:r>
          </w:p>
        </w:tc>
        <w:tc>
          <w:tcPr>
            <w:tcW w:w="1504" w:type="dxa"/>
            <w:shd w:val="clear" w:color="auto" w:fill="auto"/>
          </w:tcPr>
          <w:p w:rsidR="002C1EFF" w:rsidRPr="00321A1F" w:rsidRDefault="002C1EFF" w:rsidP="002C1EFF">
            <w:pPr>
              <w:jc w:val="right"/>
            </w:pPr>
          </w:p>
          <w:p w:rsidR="002C1EFF" w:rsidRPr="00321A1F" w:rsidRDefault="002C1EFF" w:rsidP="002C1EFF">
            <w:pPr>
              <w:jc w:val="right"/>
              <w:rPr>
                <w:u w:val="single"/>
              </w:rPr>
            </w:pPr>
            <w:r w:rsidRPr="00321A1F">
              <w:rPr>
                <w:u w:val="single"/>
              </w:rPr>
              <w:t>$5.40</w:t>
            </w:r>
          </w:p>
        </w:tc>
        <w:tc>
          <w:tcPr>
            <w:tcW w:w="248" w:type="dxa"/>
          </w:tcPr>
          <w:p w:rsidR="002C1EFF" w:rsidRPr="00321A1F" w:rsidRDefault="002C1EFF" w:rsidP="002C1EFF">
            <w:pPr>
              <w:jc w:val="right"/>
            </w:pPr>
          </w:p>
        </w:tc>
        <w:tc>
          <w:tcPr>
            <w:tcW w:w="3202" w:type="dxa"/>
          </w:tcPr>
          <w:p w:rsidR="002C1EFF" w:rsidRPr="00321A1F" w:rsidRDefault="002C1EFF" w:rsidP="002C1EFF">
            <w:pPr>
              <w:jc w:val="both"/>
            </w:pPr>
            <w:r w:rsidRPr="00321A1F">
              <w:t>Transportation</w:t>
            </w:r>
          </w:p>
          <w:p w:rsidR="002C1EFF" w:rsidRPr="00321A1F" w:rsidRDefault="002C1EFF" w:rsidP="002C1EFF">
            <w:pPr>
              <w:jc w:val="both"/>
            </w:pPr>
            <w:r w:rsidRPr="00321A1F">
              <w:t>($.54/mile x 28 miles-to/from)</w:t>
            </w:r>
          </w:p>
        </w:tc>
        <w:tc>
          <w:tcPr>
            <w:tcW w:w="1327" w:type="dxa"/>
          </w:tcPr>
          <w:p w:rsidR="002C1EFF" w:rsidRPr="00321A1F" w:rsidRDefault="002C1EFF" w:rsidP="002C1EFF">
            <w:pPr>
              <w:jc w:val="right"/>
            </w:pPr>
          </w:p>
          <w:p w:rsidR="002C1EFF" w:rsidRPr="00321A1F" w:rsidRDefault="002C1EFF" w:rsidP="002C1EFF">
            <w:pPr>
              <w:jc w:val="right"/>
              <w:rPr>
                <w:u w:val="single"/>
              </w:rPr>
            </w:pPr>
            <w:r w:rsidRPr="00321A1F">
              <w:rPr>
                <w:u w:val="single"/>
              </w:rPr>
              <w:t>$30.24</w:t>
            </w:r>
          </w:p>
        </w:tc>
      </w:tr>
      <w:tr w:rsidR="002C1EFF" w:rsidRPr="00321A1F" w:rsidTr="00EC6608">
        <w:trPr>
          <w:trHeight w:val="286"/>
          <w:jc w:val="center"/>
        </w:trPr>
        <w:tc>
          <w:tcPr>
            <w:tcW w:w="3199" w:type="dxa"/>
            <w:shd w:val="clear" w:color="auto" w:fill="auto"/>
          </w:tcPr>
          <w:p w:rsidR="002C1EFF" w:rsidRPr="00321A1F" w:rsidRDefault="002C1EFF" w:rsidP="002C1EFF">
            <w:pPr>
              <w:jc w:val="both"/>
            </w:pPr>
            <w:r w:rsidRPr="00321A1F">
              <w:t>Total</w:t>
            </w:r>
          </w:p>
        </w:tc>
        <w:tc>
          <w:tcPr>
            <w:tcW w:w="1504" w:type="dxa"/>
            <w:shd w:val="clear" w:color="auto" w:fill="auto"/>
          </w:tcPr>
          <w:p w:rsidR="002C1EFF" w:rsidRPr="00321A1F" w:rsidRDefault="002C1EFF" w:rsidP="002C1EFF">
            <w:pPr>
              <w:jc w:val="right"/>
            </w:pPr>
            <w:r w:rsidRPr="00321A1F">
              <w:t>$26.40</w:t>
            </w:r>
          </w:p>
        </w:tc>
        <w:tc>
          <w:tcPr>
            <w:tcW w:w="248" w:type="dxa"/>
          </w:tcPr>
          <w:p w:rsidR="002C1EFF" w:rsidRPr="00321A1F" w:rsidRDefault="002C1EFF" w:rsidP="002C1EFF">
            <w:pPr>
              <w:jc w:val="right"/>
              <w:rPr>
                <w:u w:val="double"/>
              </w:rPr>
            </w:pPr>
          </w:p>
        </w:tc>
        <w:tc>
          <w:tcPr>
            <w:tcW w:w="3202" w:type="dxa"/>
          </w:tcPr>
          <w:p w:rsidR="002C1EFF" w:rsidRPr="00321A1F" w:rsidRDefault="002C1EFF" w:rsidP="002C1EFF">
            <w:pPr>
              <w:jc w:val="both"/>
            </w:pPr>
            <w:r w:rsidRPr="00321A1F">
              <w:t>Total</w:t>
            </w:r>
          </w:p>
        </w:tc>
        <w:tc>
          <w:tcPr>
            <w:tcW w:w="1327" w:type="dxa"/>
          </w:tcPr>
          <w:p w:rsidR="002C1EFF" w:rsidRPr="00321A1F" w:rsidRDefault="002C1EFF" w:rsidP="002C1EFF">
            <w:pPr>
              <w:jc w:val="right"/>
            </w:pPr>
            <w:r w:rsidRPr="00321A1F">
              <w:t>$98.64</w:t>
            </w:r>
          </w:p>
        </w:tc>
      </w:tr>
    </w:tbl>
    <w:p w:rsidR="002C1EFF" w:rsidRPr="00321A1F" w:rsidRDefault="002C1EFF" w:rsidP="002C1EFF">
      <w:pPr>
        <w:spacing w:line="276" w:lineRule="auto"/>
        <w:ind w:left="-90"/>
      </w:pPr>
    </w:p>
    <w:p w:rsidR="002C1EFF" w:rsidRPr="00321A1F" w:rsidRDefault="007E6086" w:rsidP="002C1EFF">
      <w:pPr>
        <w:jc w:val="both"/>
      </w:pPr>
      <w:r>
        <w:tab/>
      </w:r>
      <w:r w:rsidR="002C1EFF" w:rsidRPr="00321A1F">
        <w:t xml:space="preserve">The Utility </w:t>
      </w:r>
      <w:r>
        <w:t xml:space="preserve">also </w:t>
      </w:r>
      <w:r w:rsidR="002C1EFF" w:rsidRPr="00321A1F">
        <w:t>requested a $25 meter box maintenance charge</w:t>
      </w:r>
      <w:r>
        <w:t xml:space="preserve">. This </w:t>
      </w:r>
      <w:r w:rsidR="002C1EFF" w:rsidRPr="00321A1F">
        <w:t>charge sh</w:t>
      </w:r>
      <w:r>
        <w:t>all</w:t>
      </w:r>
      <w:r w:rsidR="002C1EFF" w:rsidRPr="00321A1F">
        <w:t xml:space="preserve"> not be approved because it is the Utility’s responsibility to maintain the customer’s meters as provided by Rules 25-30.230 and 25-30.231, F.A.C. </w:t>
      </w:r>
      <w:r w:rsidR="00407D76">
        <w:t>The</w:t>
      </w:r>
      <w:r>
        <w:t xml:space="preserve"> approved </w:t>
      </w:r>
      <w:r w:rsidR="002C1EFF" w:rsidRPr="00321A1F">
        <w:t>miscellaneous service charges</w:t>
      </w:r>
      <w:r>
        <w:t xml:space="preserve"> are set forth below.</w:t>
      </w:r>
    </w:p>
    <w:p w:rsidR="002C1EFF" w:rsidRPr="00321A1F" w:rsidRDefault="002C1EFF" w:rsidP="002C1EFF">
      <w:pPr>
        <w:jc w:val="both"/>
      </w:pPr>
    </w:p>
    <w:p w:rsidR="002C1EFF" w:rsidRPr="00321A1F" w:rsidRDefault="002C1EFF" w:rsidP="002C1EFF">
      <w:pPr>
        <w:jc w:val="center"/>
        <w:rPr>
          <w:b/>
        </w:rPr>
      </w:pPr>
      <w:r w:rsidRPr="00321A1F">
        <w:rPr>
          <w:b/>
        </w:rPr>
        <w:t xml:space="preserve">Summary of </w:t>
      </w:r>
      <w:r w:rsidR="007F5037">
        <w:rPr>
          <w:b/>
        </w:rPr>
        <w:t>Approved</w:t>
      </w:r>
      <w:r w:rsidRPr="00321A1F">
        <w:rPr>
          <w:b/>
        </w:rPr>
        <w:t xml:space="preserve"> Miscellaneous Service Charges</w:t>
      </w:r>
    </w:p>
    <w:tbl>
      <w:tblPr>
        <w:tblW w:w="106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358"/>
        <w:gridCol w:w="1260"/>
        <w:gridCol w:w="1491"/>
        <w:gridCol w:w="1440"/>
      </w:tblGrid>
      <w:tr w:rsidR="002C1EFF" w:rsidRPr="00321A1F" w:rsidTr="00EC6608">
        <w:trPr>
          <w:trHeight w:val="315"/>
          <w:jc w:val="center"/>
        </w:trPr>
        <w:tc>
          <w:tcPr>
            <w:tcW w:w="5076" w:type="dxa"/>
            <w:shd w:val="clear" w:color="auto" w:fill="auto"/>
            <w:noWrap/>
            <w:vAlign w:val="bottom"/>
          </w:tcPr>
          <w:p w:rsidR="002C1EFF" w:rsidRPr="00321A1F" w:rsidRDefault="002C1EFF" w:rsidP="002C1EFF">
            <w:pPr>
              <w:jc w:val="center"/>
              <w:rPr>
                <w:color w:val="000000"/>
              </w:rPr>
            </w:pPr>
          </w:p>
        </w:tc>
        <w:tc>
          <w:tcPr>
            <w:tcW w:w="2618" w:type="dxa"/>
            <w:gridSpan w:val="2"/>
            <w:shd w:val="clear" w:color="auto" w:fill="auto"/>
            <w:vAlign w:val="bottom"/>
          </w:tcPr>
          <w:p w:rsidR="002C1EFF" w:rsidRPr="00321A1F" w:rsidRDefault="002C1EFF" w:rsidP="002C1EFF">
            <w:pPr>
              <w:jc w:val="center"/>
              <w:rPr>
                <w:color w:val="000000"/>
              </w:rPr>
            </w:pPr>
            <w:r w:rsidRPr="00321A1F">
              <w:rPr>
                <w:color w:val="000000"/>
              </w:rPr>
              <w:t>Water</w:t>
            </w:r>
          </w:p>
        </w:tc>
        <w:tc>
          <w:tcPr>
            <w:tcW w:w="2931" w:type="dxa"/>
            <w:gridSpan w:val="2"/>
            <w:vAlign w:val="bottom"/>
          </w:tcPr>
          <w:p w:rsidR="002C1EFF" w:rsidRPr="00321A1F" w:rsidRDefault="002C1EFF" w:rsidP="002C1EFF">
            <w:pPr>
              <w:jc w:val="center"/>
              <w:rPr>
                <w:color w:val="000000"/>
              </w:rPr>
            </w:pPr>
            <w:r w:rsidRPr="00321A1F">
              <w:rPr>
                <w:color w:val="000000"/>
              </w:rPr>
              <w:t>Wastewater</w:t>
            </w:r>
          </w:p>
        </w:tc>
      </w:tr>
      <w:tr w:rsidR="002C1EFF" w:rsidRPr="00321A1F" w:rsidTr="00EC6608">
        <w:trPr>
          <w:trHeight w:val="315"/>
          <w:jc w:val="center"/>
        </w:trPr>
        <w:tc>
          <w:tcPr>
            <w:tcW w:w="5076" w:type="dxa"/>
            <w:shd w:val="clear" w:color="auto" w:fill="auto"/>
            <w:noWrap/>
            <w:vAlign w:val="bottom"/>
            <w:hideMark/>
          </w:tcPr>
          <w:p w:rsidR="002C1EFF" w:rsidRPr="00321A1F" w:rsidRDefault="002C1EFF" w:rsidP="002C1EFF">
            <w:pPr>
              <w:jc w:val="center"/>
              <w:rPr>
                <w:color w:val="000000"/>
              </w:rPr>
            </w:pPr>
            <w:r w:rsidRPr="00321A1F">
              <w:rPr>
                <w:color w:val="000000"/>
              </w:rPr>
              <w:t>Miscellaneous Service Charges</w:t>
            </w:r>
          </w:p>
        </w:tc>
        <w:tc>
          <w:tcPr>
            <w:tcW w:w="1358" w:type="dxa"/>
            <w:shd w:val="clear" w:color="auto" w:fill="auto"/>
            <w:vAlign w:val="bottom"/>
            <w:hideMark/>
          </w:tcPr>
          <w:p w:rsidR="002C1EFF" w:rsidRPr="00321A1F" w:rsidRDefault="002C1EFF" w:rsidP="002C1EFF">
            <w:pPr>
              <w:jc w:val="center"/>
              <w:rPr>
                <w:color w:val="000000"/>
              </w:rPr>
            </w:pPr>
            <w:r w:rsidRPr="00321A1F">
              <w:rPr>
                <w:color w:val="000000"/>
              </w:rPr>
              <w:t>During Hours</w:t>
            </w:r>
          </w:p>
        </w:tc>
        <w:tc>
          <w:tcPr>
            <w:tcW w:w="1260" w:type="dxa"/>
            <w:shd w:val="clear" w:color="auto" w:fill="auto"/>
            <w:vAlign w:val="bottom"/>
            <w:hideMark/>
          </w:tcPr>
          <w:p w:rsidR="002C1EFF" w:rsidRPr="00321A1F" w:rsidRDefault="002C1EFF" w:rsidP="002C1EFF">
            <w:pPr>
              <w:jc w:val="center"/>
              <w:rPr>
                <w:color w:val="000000"/>
              </w:rPr>
            </w:pPr>
            <w:r w:rsidRPr="00321A1F">
              <w:rPr>
                <w:color w:val="000000"/>
              </w:rPr>
              <w:t>After Hours</w:t>
            </w:r>
          </w:p>
        </w:tc>
        <w:tc>
          <w:tcPr>
            <w:tcW w:w="1491" w:type="dxa"/>
            <w:vAlign w:val="bottom"/>
          </w:tcPr>
          <w:p w:rsidR="002C1EFF" w:rsidRPr="00321A1F" w:rsidRDefault="002C1EFF" w:rsidP="002C1EFF">
            <w:pPr>
              <w:jc w:val="center"/>
              <w:rPr>
                <w:color w:val="000000"/>
              </w:rPr>
            </w:pPr>
            <w:r w:rsidRPr="00321A1F">
              <w:rPr>
                <w:color w:val="000000"/>
              </w:rPr>
              <w:t>During Hours</w:t>
            </w:r>
          </w:p>
        </w:tc>
        <w:tc>
          <w:tcPr>
            <w:tcW w:w="1440" w:type="dxa"/>
            <w:vAlign w:val="bottom"/>
          </w:tcPr>
          <w:p w:rsidR="002C1EFF" w:rsidRPr="00321A1F" w:rsidRDefault="002C1EFF" w:rsidP="002C1EFF">
            <w:pPr>
              <w:jc w:val="center"/>
              <w:rPr>
                <w:color w:val="000000"/>
              </w:rPr>
            </w:pPr>
            <w:r w:rsidRPr="00321A1F">
              <w:rPr>
                <w:color w:val="000000"/>
              </w:rPr>
              <w:t>After Hours</w:t>
            </w:r>
          </w:p>
        </w:tc>
      </w:tr>
      <w:tr w:rsidR="002C1EFF" w:rsidRPr="00321A1F" w:rsidTr="00EC6608">
        <w:trPr>
          <w:trHeight w:val="315"/>
          <w:jc w:val="center"/>
        </w:trPr>
        <w:tc>
          <w:tcPr>
            <w:tcW w:w="5076" w:type="dxa"/>
            <w:shd w:val="clear" w:color="auto" w:fill="auto"/>
            <w:noWrap/>
            <w:vAlign w:val="bottom"/>
            <w:hideMark/>
          </w:tcPr>
          <w:p w:rsidR="002C1EFF" w:rsidRPr="00321A1F" w:rsidRDefault="002C1EFF" w:rsidP="002C1EFF">
            <w:pPr>
              <w:rPr>
                <w:color w:val="000000"/>
              </w:rPr>
            </w:pPr>
            <w:r w:rsidRPr="00321A1F">
              <w:rPr>
                <w:color w:val="000000"/>
              </w:rPr>
              <w:t>Initial Connection Charge</w:t>
            </w:r>
          </w:p>
        </w:tc>
        <w:tc>
          <w:tcPr>
            <w:tcW w:w="1358"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$26 </w:t>
            </w:r>
          </w:p>
        </w:tc>
        <w:tc>
          <w:tcPr>
            <w:tcW w:w="12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$32 </w:t>
            </w:r>
          </w:p>
        </w:tc>
        <w:tc>
          <w:tcPr>
            <w:tcW w:w="1491" w:type="dxa"/>
          </w:tcPr>
          <w:p w:rsidR="002C1EFF" w:rsidRPr="00321A1F" w:rsidRDefault="002C1EFF" w:rsidP="002C1EFF">
            <w:pPr>
              <w:jc w:val="right"/>
              <w:rPr>
                <w:color w:val="000000"/>
              </w:rPr>
            </w:pPr>
            <w:r w:rsidRPr="00321A1F">
              <w:rPr>
                <w:color w:val="000000"/>
              </w:rPr>
              <w:t>$26</w:t>
            </w:r>
          </w:p>
        </w:tc>
        <w:tc>
          <w:tcPr>
            <w:tcW w:w="1440" w:type="dxa"/>
          </w:tcPr>
          <w:p w:rsidR="002C1EFF" w:rsidRPr="00321A1F" w:rsidRDefault="002C1EFF" w:rsidP="002C1EFF">
            <w:pPr>
              <w:jc w:val="right"/>
              <w:rPr>
                <w:color w:val="000000"/>
              </w:rPr>
            </w:pPr>
            <w:r w:rsidRPr="00321A1F">
              <w:rPr>
                <w:color w:val="000000"/>
              </w:rPr>
              <w:t>$32</w:t>
            </w:r>
          </w:p>
        </w:tc>
      </w:tr>
      <w:tr w:rsidR="002C1EFF" w:rsidRPr="00321A1F" w:rsidTr="00EC6608">
        <w:trPr>
          <w:trHeight w:val="315"/>
          <w:jc w:val="center"/>
        </w:trPr>
        <w:tc>
          <w:tcPr>
            <w:tcW w:w="5076" w:type="dxa"/>
            <w:shd w:val="clear" w:color="auto" w:fill="auto"/>
            <w:noWrap/>
            <w:vAlign w:val="bottom"/>
            <w:hideMark/>
          </w:tcPr>
          <w:p w:rsidR="002C1EFF" w:rsidRPr="00321A1F" w:rsidRDefault="002C1EFF" w:rsidP="002C1EFF">
            <w:pPr>
              <w:rPr>
                <w:color w:val="000000"/>
              </w:rPr>
            </w:pPr>
            <w:r w:rsidRPr="00321A1F">
              <w:rPr>
                <w:color w:val="000000"/>
              </w:rPr>
              <w:t>Normal Reconnection Charge</w:t>
            </w:r>
          </w:p>
        </w:tc>
        <w:tc>
          <w:tcPr>
            <w:tcW w:w="1358"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$38 </w:t>
            </w:r>
          </w:p>
        </w:tc>
        <w:tc>
          <w:tcPr>
            <w:tcW w:w="12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$47 </w:t>
            </w:r>
          </w:p>
        </w:tc>
        <w:tc>
          <w:tcPr>
            <w:tcW w:w="1491" w:type="dxa"/>
          </w:tcPr>
          <w:p w:rsidR="002C1EFF" w:rsidRPr="00321A1F" w:rsidRDefault="002C1EFF" w:rsidP="002C1EFF">
            <w:pPr>
              <w:jc w:val="right"/>
              <w:rPr>
                <w:color w:val="000000"/>
              </w:rPr>
            </w:pPr>
            <w:r w:rsidRPr="00321A1F">
              <w:rPr>
                <w:color w:val="000000"/>
              </w:rPr>
              <w:t>$38</w:t>
            </w:r>
          </w:p>
        </w:tc>
        <w:tc>
          <w:tcPr>
            <w:tcW w:w="1440" w:type="dxa"/>
          </w:tcPr>
          <w:p w:rsidR="002C1EFF" w:rsidRPr="00321A1F" w:rsidRDefault="002C1EFF" w:rsidP="002C1EFF">
            <w:pPr>
              <w:jc w:val="right"/>
              <w:rPr>
                <w:color w:val="000000"/>
              </w:rPr>
            </w:pPr>
            <w:r w:rsidRPr="00321A1F">
              <w:rPr>
                <w:color w:val="000000"/>
              </w:rPr>
              <w:t>$47</w:t>
            </w:r>
          </w:p>
        </w:tc>
      </w:tr>
      <w:tr w:rsidR="002C1EFF" w:rsidRPr="00321A1F" w:rsidTr="00EC6608">
        <w:trPr>
          <w:trHeight w:val="315"/>
          <w:jc w:val="center"/>
        </w:trPr>
        <w:tc>
          <w:tcPr>
            <w:tcW w:w="5076" w:type="dxa"/>
            <w:shd w:val="clear" w:color="auto" w:fill="auto"/>
            <w:noWrap/>
            <w:vAlign w:val="bottom"/>
            <w:hideMark/>
          </w:tcPr>
          <w:p w:rsidR="002C1EFF" w:rsidRPr="00321A1F" w:rsidRDefault="002C1EFF" w:rsidP="002C1EFF">
            <w:pPr>
              <w:rPr>
                <w:color w:val="000000"/>
              </w:rPr>
            </w:pPr>
            <w:r w:rsidRPr="00321A1F">
              <w:rPr>
                <w:color w:val="000000"/>
              </w:rPr>
              <w:t>Violation Reconnection Charge</w:t>
            </w:r>
          </w:p>
        </w:tc>
        <w:tc>
          <w:tcPr>
            <w:tcW w:w="1358"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$38 </w:t>
            </w:r>
          </w:p>
        </w:tc>
        <w:tc>
          <w:tcPr>
            <w:tcW w:w="12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$47 </w:t>
            </w:r>
          </w:p>
        </w:tc>
        <w:tc>
          <w:tcPr>
            <w:tcW w:w="1491" w:type="dxa"/>
          </w:tcPr>
          <w:p w:rsidR="002C1EFF" w:rsidRPr="00321A1F" w:rsidRDefault="002C1EFF" w:rsidP="002C1EFF">
            <w:pPr>
              <w:jc w:val="right"/>
              <w:rPr>
                <w:color w:val="000000"/>
              </w:rPr>
            </w:pPr>
            <w:r w:rsidRPr="00321A1F">
              <w:rPr>
                <w:color w:val="000000"/>
              </w:rPr>
              <w:t>Actual Cost</w:t>
            </w:r>
          </w:p>
        </w:tc>
        <w:tc>
          <w:tcPr>
            <w:tcW w:w="1440" w:type="dxa"/>
          </w:tcPr>
          <w:p w:rsidR="002C1EFF" w:rsidRPr="00321A1F" w:rsidRDefault="002C1EFF" w:rsidP="002C1EFF">
            <w:pPr>
              <w:jc w:val="right"/>
              <w:rPr>
                <w:color w:val="000000"/>
              </w:rPr>
            </w:pPr>
            <w:r w:rsidRPr="00321A1F">
              <w:rPr>
                <w:color w:val="000000"/>
              </w:rPr>
              <w:t>Actual Cost</w:t>
            </w:r>
          </w:p>
        </w:tc>
      </w:tr>
      <w:tr w:rsidR="002C1EFF" w:rsidRPr="00321A1F" w:rsidTr="00EC6608">
        <w:trPr>
          <w:trHeight w:val="315"/>
          <w:jc w:val="center"/>
        </w:trPr>
        <w:tc>
          <w:tcPr>
            <w:tcW w:w="5076" w:type="dxa"/>
            <w:shd w:val="clear" w:color="auto" w:fill="auto"/>
            <w:noWrap/>
            <w:vAlign w:val="bottom"/>
            <w:hideMark/>
          </w:tcPr>
          <w:p w:rsidR="002C1EFF" w:rsidRPr="00321A1F" w:rsidRDefault="002C1EFF" w:rsidP="002C1EFF">
            <w:pPr>
              <w:rPr>
                <w:color w:val="000000"/>
              </w:rPr>
            </w:pPr>
            <w:r w:rsidRPr="00321A1F">
              <w:rPr>
                <w:color w:val="000000"/>
              </w:rPr>
              <w:t>Premises Visit  Charge (in lieu of Disconnection)</w:t>
            </w:r>
          </w:p>
        </w:tc>
        <w:tc>
          <w:tcPr>
            <w:tcW w:w="1358"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$26 </w:t>
            </w:r>
          </w:p>
        </w:tc>
        <w:tc>
          <w:tcPr>
            <w:tcW w:w="12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$99 </w:t>
            </w:r>
          </w:p>
        </w:tc>
        <w:tc>
          <w:tcPr>
            <w:tcW w:w="1491" w:type="dxa"/>
          </w:tcPr>
          <w:p w:rsidR="002C1EFF" w:rsidRPr="00321A1F" w:rsidRDefault="002C1EFF" w:rsidP="002C1EFF">
            <w:pPr>
              <w:jc w:val="right"/>
              <w:rPr>
                <w:color w:val="000000"/>
              </w:rPr>
            </w:pPr>
            <w:r w:rsidRPr="00321A1F">
              <w:rPr>
                <w:color w:val="000000"/>
              </w:rPr>
              <w:t>$26</w:t>
            </w:r>
          </w:p>
        </w:tc>
        <w:tc>
          <w:tcPr>
            <w:tcW w:w="1440" w:type="dxa"/>
          </w:tcPr>
          <w:p w:rsidR="002C1EFF" w:rsidRPr="00321A1F" w:rsidRDefault="002C1EFF" w:rsidP="002C1EFF">
            <w:pPr>
              <w:jc w:val="right"/>
              <w:rPr>
                <w:color w:val="000000"/>
              </w:rPr>
            </w:pPr>
            <w:r w:rsidRPr="00321A1F">
              <w:rPr>
                <w:color w:val="000000"/>
              </w:rPr>
              <w:t>$99</w:t>
            </w:r>
          </w:p>
        </w:tc>
      </w:tr>
    </w:tbl>
    <w:p w:rsidR="002C1EFF" w:rsidRPr="00321A1F" w:rsidRDefault="002C1EFF" w:rsidP="002C1EFF">
      <w:pPr>
        <w:jc w:val="both"/>
        <w:rPr>
          <w:b/>
        </w:rPr>
      </w:pPr>
    </w:p>
    <w:p w:rsidR="007E6086" w:rsidRDefault="007E6086" w:rsidP="002C1EFF">
      <w:pPr>
        <w:jc w:val="both"/>
        <w:rPr>
          <w:i/>
        </w:rPr>
      </w:pPr>
    </w:p>
    <w:p w:rsidR="002C1EFF" w:rsidRPr="007E6086" w:rsidRDefault="007E6086" w:rsidP="002C1EFF">
      <w:pPr>
        <w:jc w:val="both"/>
        <w:rPr>
          <w:i/>
        </w:rPr>
      </w:pPr>
      <w:r w:rsidRPr="007E6086">
        <w:rPr>
          <w:i/>
        </w:rPr>
        <w:t xml:space="preserve">E. </w:t>
      </w:r>
      <w:r w:rsidR="002C1EFF" w:rsidRPr="007E6086">
        <w:rPr>
          <w:i/>
        </w:rPr>
        <w:t>Summary</w:t>
      </w:r>
    </w:p>
    <w:p w:rsidR="00407D76" w:rsidRDefault="00407D76" w:rsidP="002C1EFF">
      <w:pPr>
        <w:spacing w:after="240"/>
        <w:jc w:val="both"/>
      </w:pPr>
    </w:p>
    <w:p w:rsidR="002C1EFF" w:rsidRPr="00321A1F" w:rsidRDefault="007E6086" w:rsidP="002C1EFF">
      <w:pPr>
        <w:spacing w:after="240"/>
        <w:jc w:val="both"/>
      </w:pPr>
      <w:r>
        <w:tab/>
      </w:r>
      <w:r w:rsidR="002C1EFF" w:rsidRPr="00321A1F">
        <w:t xml:space="preserve">Aquarina’s </w:t>
      </w:r>
      <w:r w:rsidR="00407D76">
        <w:t>approved</w:t>
      </w:r>
      <w:r>
        <w:t xml:space="preserve"> </w:t>
      </w:r>
      <w:r w:rsidR="002C1EFF" w:rsidRPr="00321A1F">
        <w:t>miscellaneous service charges sh</w:t>
      </w:r>
      <w:r>
        <w:t>all</w:t>
      </w:r>
      <w:r w:rsidR="002C1EFF" w:rsidRPr="00321A1F">
        <w:t xml:space="preserve"> be effective on or after the stamped approval date on the tariff pursuant to Rule 25-30.475, F.A.C. In addition, the approved charges sh</w:t>
      </w:r>
      <w:r>
        <w:t>all</w:t>
      </w:r>
      <w:r w:rsidR="002C1EFF" w:rsidRPr="00321A1F">
        <w:t xml:space="preserve"> not be implemented until </w:t>
      </w:r>
      <w:r>
        <w:t xml:space="preserve">our </w:t>
      </w:r>
      <w:r w:rsidR="002C1EFF" w:rsidRPr="00321A1F">
        <w:t>staff has approved the proposed customer notice and the notice has been received by the customers. The Utility sh</w:t>
      </w:r>
      <w:r>
        <w:t>all</w:t>
      </w:r>
      <w:r w:rsidR="002C1EFF" w:rsidRPr="00321A1F">
        <w:t xml:space="preserve"> provide proof of the date notice was given within 10 days of the date of the notice.</w:t>
      </w:r>
    </w:p>
    <w:p w:rsidR="007E6086" w:rsidRDefault="007E6086" w:rsidP="002C1EFF">
      <w:pPr>
        <w:spacing w:after="240"/>
        <w:ind w:left="360" w:hanging="360"/>
        <w:jc w:val="both"/>
        <w:outlineLvl w:val="0"/>
        <w:rPr>
          <w:b/>
          <w:bCs/>
          <w:i/>
          <w:kern w:val="32"/>
        </w:rPr>
      </w:pPr>
    </w:p>
    <w:p w:rsidR="002C1EFF" w:rsidRPr="007E6086" w:rsidRDefault="007E6086" w:rsidP="007E6086">
      <w:pPr>
        <w:spacing w:after="240"/>
        <w:ind w:left="360" w:hanging="360"/>
        <w:jc w:val="both"/>
        <w:outlineLvl w:val="0"/>
        <w:rPr>
          <w:u w:val="single"/>
        </w:rPr>
      </w:pPr>
      <w:r w:rsidRPr="007E6086">
        <w:rPr>
          <w:bCs/>
          <w:kern w:val="32"/>
          <w:u w:val="single"/>
        </w:rPr>
        <w:t>13. D</w:t>
      </w:r>
      <w:r w:rsidR="002C1EFF" w:rsidRPr="007E6086">
        <w:rPr>
          <w:u w:val="single"/>
        </w:rPr>
        <w:t xml:space="preserve">irect </w:t>
      </w:r>
      <w:r w:rsidRPr="007E6086">
        <w:rPr>
          <w:u w:val="single"/>
        </w:rPr>
        <w:t>D</w:t>
      </w:r>
      <w:r w:rsidR="002C1EFF" w:rsidRPr="007E6086">
        <w:rPr>
          <w:u w:val="single"/>
        </w:rPr>
        <w:t xml:space="preserve">ebit </w:t>
      </w:r>
      <w:r w:rsidRPr="007E6086">
        <w:rPr>
          <w:u w:val="single"/>
        </w:rPr>
        <w:t>C</w:t>
      </w:r>
      <w:r w:rsidR="002C1EFF" w:rsidRPr="007E6086">
        <w:rPr>
          <w:u w:val="single"/>
        </w:rPr>
        <w:t>harge</w:t>
      </w:r>
    </w:p>
    <w:p w:rsidR="002C1EFF" w:rsidRPr="00321A1F" w:rsidRDefault="00A631E6" w:rsidP="00A631E6">
      <w:pPr>
        <w:jc w:val="both"/>
        <w:outlineLvl w:val="1"/>
      </w:pPr>
      <w:r>
        <w:t>T</w:t>
      </w:r>
      <w:r w:rsidR="002C1EFF" w:rsidRPr="00321A1F">
        <w:t xml:space="preserve">he Utility </w:t>
      </w:r>
      <w:r>
        <w:t xml:space="preserve">has </w:t>
      </w:r>
      <w:r w:rsidR="002C1EFF" w:rsidRPr="00321A1F">
        <w:t>requested a direct debit charge</w:t>
      </w:r>
      <w:r>
        <w:t xml:space="preserve"> and </w:t>
      </w:r>
      <w:r w:rsidR="002C1EFF" w:rsidRPr="00321A1F">
        <w:t xml:space="preserve">provided cost justification in support of the requested charge. The purpose of the charge is to cover the costs of Aquarina’s bank debiting the bank account of a customer for </w:t>
      </w:r>
      <w:r>
        <w:t xml:space="preserve">the customer’s </w:t>
      </w:r>
      <w:r w:rsidR="002C1EFF" w:rsidRPr="00321A1F">
        <w:t xml:space="preserve">utility bill. </w:t>
      </w:r>
      <w:r>
        <w:t xml:space="preserve">Aquarina </w:t>
      </w:r>
      <w:r w:rsidR="002C1EFF" w:rsidRPr="00321A1F">
        <w:t xml:space="preserve">mailed response cards to its customers to determine how many would actually use this method of payment and 55 customers provided the information required to use this payment option. For 40 or more debit items, </w:t>
      </w:r>
      <w:r w:rsidR="002C1EFF" w:rsidRPr="00321A1F">
        <w:lastRenderedPageBreak/>
        <w:t xml:space="preserve">Aquarina’s bank charges a $10 monthly maintenance charge, $45 for an automatic clearing house (ACH) Module (monthly service charge), $12 per file sent (batch), and $.14 per debit item. </w:t>
      </w:r>
      <w:r>
        <w:t xml:space="preserve">Upon review, we find </w:t>
      </w:r>
      <w:r w:rsidR="002C1EFF" w:rsidRPr="00321A1F">
        <w:t xml:space="preserve">a direct debit charge </w:t>
      </w:r>
      <w:r>
        <w:t>to be</w:t>
      </w:r>
      <w:r w:rsidR="002C1EFF" w:rsidRPr="00321A1F">
        <w:t xml:space="preserve"> appropriate because it places the cost on the cost causer. </w:t>
      </w:r>
      <w:r>
        <w:t>T</w:t>
      </w:r>
      <w:r w:rsidR="002C1EFF" w:rsidRPr="00321A1F">
        <w:t xml:space="preserve">he calculation </w:t>
      </w:r>
      <w:r>
        <w:t xml:space="preserve">for our approved </w:t>
      </w:r>
      <w:r w:rsidR="002C1EFF" w:rsidRPr="00321A1F">
        <w:t>direct debit charge</w:t>
      </w:r>
      <w:r>
        <w:t xml:space="preserve"> is below</w:t>
      </w:r>
      <w:r w:rsidR="002C1EFF" w:rsidRPr="00321A1F">
        <w:t xml:space="preserve">. </w:t>
      </w:r>
    </w:p>
    <w:p w:rsidR="00EC6608" w:rsidRPr="00321A1F" w:rsidRDefault="00EC6608" w:rsidP="002C1EFF"/>
    <w:p w:rsidR="002C1EFF" w:rsidRPr="00321A1F" w:rsidRDefault="002C1EFF" w:rsidP="002C1EFF">
      <w:pPr>
        <w:jc w:val="center"/>
        <w:rPr>
          <w:b/>
        </w:rPr>
      </w:pPr>
      <w:r w:rsidRPr="00321A1F">
        <w:rPr>
          <w:b/>
        </w:rPr>
        <w:t>Direct Debit Charge Calculation</w:t>
      </w:r>
    </w:p>
    <w:tbl>
      <w:tblPr>
        <w:tblW w:w="4800" w:type="dxa"/>
        <w:jc w:val="center"/>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30"/>
        <w:gridCol w:w="810"/>
        <w:gridCol w:w="960"/>
      </w:tblGrid>
      <w:tr w:rsidR="002C1EFF" w:rsidRPr="00321A1F" w:rsidTr="00EC6608">
        <w:trPr>
          <w:trHeight w:val="315"/>
          <w:jc w:val="center"/>
        </w:trPr>
        <w:tc>
          <w:tcPr>
            <w:tcW w:w="4800" w:type="dxa"/>
            <w:gridSpan w:val="3"/>
            <w:shd w:val="clear" w:color="auto" w:fill="auto"/>
            <w:noWrap/>
            <w:vAlign w:val="bottom"/>
            <w:hideMark/>
          </w:tcPr>
          <w:p w:rsidR="002C1EFF" w:rsidRPr="00321A1F" w:rsidRDefault="002C1EFF" w:rsidP="002C1EFF">
            <w:pPr>
              <w:jc w:val="center"/>
              <w:rPr>
                <w:color w:val="000000"/>
              </w:rPr>
            </w:pPr>
            <w:r w:rsidRPr="00321A1F">
              <w:rPr>
                <w:color w:val="000000"/>
              </w:rPr>
              <w:t>Aquarina Bank Charges</w:t>
            </w:r>
          </w:p>
        </w:tc>
      </w:tr>
      <w:tr w:rsidR="002C1EFF" w:rsidRPr="00321A1F" w:rsidTr="00EC6608">
        <w:trPr>
          <w:trHeight w:val="315"/>
          <w:jc w:val="center"/>
        </w:trPr>
        <w:tc>
          <w:tcPr>
            <w:tcW w:w="3030" w:type="dxa"/>
            <w:shd w:val="clear" w:color="auto" w:fill="auto"/>
            <w:noWrap/>
            <w:vAlign w:val="bottom"/>
            <w:hideMark/>
          </w:tcPr>
          <w:p w:rsidR="002C1EFF" w:rsidRPr="00321A1F" w:rsidRDefault="002C1EFF" w:rsidP="002C1EFF">
            <w:pPr>
              <w:rPr>
                <w:color w:val="000000"/>
              </w:rPr>
            </w:pPr>
            <w:r w:rsidRPr="00321A1F">
              <w:rPr>
                <w:color w:val="000000"/>
              </w:rPr>
              <w:t>Monthly Maintenance</w:t>
            </w:r>
          </w:p>
        </w:tc>
        <w:tc>
          <w:tcPr>
            <w:tcW w:w="810" w:type="dxa"/>
            <w:shd w:val="clear" w:color="auto" w:fill="auto"/>
            <w:noWrap/>
            <w:vAlign w:val="bottom"/>
            <w:hideMark/>
          </w:tcPr>
          <w:p w:rsidR="002C1EFF" w:rsidRPr="00321A1F" w:rsidRDefault="002C1EFF" w:rsidP="002C1EFF">
            <w:pPr>
              <w:rPr>
                <w:color w:val="000000"/>
              </w:rPr>
            </w:pPr>
          </w:p>
        </w:tc>
        <w:tc>
          <w:tcPr>
            <w:tcW w:w="9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$10.00 </w:t>
            </w:r>
          </w:p>
        </w:tc>
      </w:tr>
      <w:tr w:rsidR="002C1EFF" w:rsidRPr="00321A1F" w:rsidTr="00EC6608">
        <w:trPr>
          <w:trHeight w:val="315"/>
          <w:jc w:val="center"/>
        </w:trPr>
        <w:tc>
          <w:tcPr>
            <w:tcW w:w="3030" w:type="dxa"/>
            <w:shd w:val="clear" w:color="auto" w:fill="auto"/>
            <w:noWrap/>
            <w:vAlign w:val="bottom"/>
            <w:hideMark/>
          </w:tcPr>
          <w:p w:rsidR="002C1EFF" w:rsidRPr="00321A1F" w:rsidRDefault="002C1EFF" w:rsidP="002C1EFF">
            <w:pPr>
              <w:rPr>
                <w:color w:val="000000"/>
              </w:rPr>
            </w:pPr>
            <w:r w:rsidRPr="00321A1F">
              <w:rPr>
                <w:color w:val="000000"/>
              </w:rPr>
              <w:t>ACH Module</w:t>
            </w:r>
          </w:p>
        </w:tc>
        <w:tc>
          <w:tcPr>
            <w:tcW w:w="810" w:type="dxa"/>
            <w:shd w:val="clear" w:color="auto" w:fill="auto"/>
            <w:noWrap/>
            <w:vAlign w:val="bottom"/>
            <w:hideMark/>
          </w:tcPr>
          <w:p w:rsidR="002C1EFF" w:rsidRPr="00321A1F" w:rsidRDefault="002C1EFF" w:rsidP="002C1EFF">
            <w:pPr>
              <w:rPr>
                <w:color w:val="000000"/>
              </w:rPr>
            </w:pPr>
          </w:p>
        </w:tc>
        <w:tc>
          <w:tcPr>
            <w:tcW w:w="9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$45.00 </w:t>
            </w:r>
          </w:p>
        </w:tc>
      </w:tr>
      <w:tr w:rsidR="002C1EFF" w:rsidRPr="00321A1F" w:rsidTr="00EC6608">
        <w:trPr>
          <w:trHeight w:val="315"/>
          <w:jc w:val="center"/>
        </w:trPr>
        <w:tc>
          <w:tcPr>
            <w:tcW w:w="3030" w:type="dxa"/>
            <w:shd w:val="clear" w:color="auto" w:fill="auto"/>
            <w:noWrap/>
            <w:vAlign w:val="bottom"/>
            <w:hideMark/>
          </w:tcPr>
          <w:p w:rsidR="002C1EFF" w:rsidRPr="00321A1F" w:rsidRDefault="002C1EFF" w:rsidP="002C1EFF">
            <w:pPr>
              <w:rPr>
                <w:color w:val="000000"/>
              </w:rPr>
            </w:pPr>
            <w:r w:rsidRPr="00321A1F">
              <w:rPr>
                <w:color w:val="000000"/>
              </w:rPr>
              <w:t xml:space="preserve">Charge Per File </w:t>
            </w:r>
          </w:p>
        </w:tc>
        <w:tc>
          <w:tcPr>
            <w:tcW w:w="810" w:type="dxa"/>
            <w:shd w:val="clear" w:color="auto" w:fill="auto"/>
            <w:noWrap/>
            <w:vAlign w:val="bottom"/>
            <w:hideMark/>
          </w:tcPr>
          <w:p w:rsidR="002C1EFF" w:rsidRPr="00321A1F" w:rsidRDefault="002C1EFF" w:rsidP="002C1EFF">
            <w:pPr>
              <w:rPr>
                <w:color w:val="000000"/>
              </w:rPr>
            </w:pPr>
          </w:p>
        </w:tc>
        <w:tc>
          <w:tcPr>
            <w:tcW w:w="960" w:type="dxa"/>
            <w:shd w:val="clear" w:color="auto" w:fill="auto"/>
            <w:noWrap/>
            <w:vAlign w:val="bottom"/>
            <w:hideMark/>
          </w:tcPr>
          <w:p w:rsidR="002C1EFF" w:rsidRPr="00321A1F" w:rsidRDefault="002C1EFF" w:rsidP="002C1EFF">
            <w:pPr>
              <w:jc w:val="right"/>
              <w:rPr>
                <w:color w:val="000000"/>
                <w:u w:val="single"/>
              </w:rPr>
            </w:pPr>
            <w:r w:rsidRPr="00321A1F">
              <w:rPr>
                <w:color w:val="000000"/>
                <w:u w:val="single"/>
              </w:rPr>
              <w:t xml:space="preserve">$12.00 </w:t>
            </w:r>
          </w:p>
        </w:tc>
      </w:tr>
      <w:tr w:rsidR="002C1EFF" w:rsidRPr="00321A1F" w:rsidTr="00EC6608">
        <w:trPr>
          <w:trHeight w:val="315"/>
          <w:jc w:val="center"/>
        </w:trPr>
        <w:tc>
          <w:tcPr>
            <w:tcW w:w="3030" w:type="dxa"/>
            <w:shd w:val="clear" w:color="auto" w:fill="auto"/>
            <w:noWrap/>
            <w:vAlign w:val="bottom"/>
            <w:hideMark/>
          </w:tcPr>
          <w:p w:rsidR="002C1EFF" w:rsidRPr="00321A1F" w:rsidRDefault="002C1EFF" w:rsidP="002C1EFF">
            <w:pPr>
              <w:rPr>
                <w:color w:val="000000"/>
              </w:rPr>
            </w:pPr>
            <w:r w:rsidRPr="00321A1F">
              <w:rPr>
                <w:color w:val="000000"/>
              </w:rPr>
              <w:t xml:space="preserve">  Total Fixed Charges</w:t>
            </w:r>
          </w:p>
        </w:tc>
        <w:tc>
          <w:tcPr>
            <w:tcW w:w="810" w:type="dxa"/>
            <w:shd w:val="clear" w:color="auto" w:fill="auto"/>
            <w:noWrap/>
            <w:vAlign w:val="bottom"/>
            <w:hideMark/>
          </w:tcPr>
          <w:p w:rsidR="002C1EFF" w:rsidRPr="00321A1F" w:rsidRDefault="002C1EFF" w:rsidP="002C1EFF">
            <w:pPr>
              <w:rPr>
                <w:color w:val="000000"/>
              </w:rPr>
            </w:pPr>
          </w:p>
        </w:tc>
        <w:tc>
          <w:tcPr>
            <w:tcW w:w="9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$67.00 </w:t>
            </w:r>
          </w:p>
        </w:tc>
      </w:tr>
      <w:tr w:rsidR="002C1EFF" w:rsidRPr="00321A1F" w:rsidTr="00EC6608">
        <w:trPr>
          <w:trHeight w:val="315"/>
          <w:jc w:val="center"/>
        </w:trPr>
        <w:tc>
          <w:tcPr>
            <w:tcW w:w="3030" w:type="dxa"/>
            <w:shd w:val="clear" w:color="auto" w:fill="auto"/>
            <w:noWrap/>
            <w:vAlign w:val="bottom"/>
            <w:hideMark/>
          </w:tcPr>
          <w:p w:rsidR="002C1EFF" w:rsidRPr="00321A1F" w:rsidRDefault="002C1EFF" w:rsidP="002C1EFF">
            <w:pPr>
              <w:rPr>
                <w:color w:val="000000"/>
              </w:rPr>
            </w:pPr>
            <w:r w:rsidRPr="00321A1F">
              <w:rPr>
                <w:color w:val="000000"/>
              </w:rPr>
              <w:t># of customers per month</w:t>
            </w:r>
          </w:p>
        </w:tc>
        <w:tc>
          <w:tcPr>
            <w:tcW w:w="810" w:type="dxa"/>
            <w:shd w:val="clear" w:color="auto" w:fill="auto"/>
            <w:noWrap/>
            <w:vAlign w:val="bottom"/>
            <w:hideMark/>
          </w:tcPr>
          <w:p w:rsidR="002C1EFF" w:rsidRPr="00321A1F" w:rsidRDefault="002C1EFF" w:rsidP="002C1EFF">
            <w:pPr>
              <w:rPr>
                <w:color w:val="000000"/>
              </w:rPr>
            </w:pPr>
          </w:p>
        </w:tc>
        <w:tc>
          <w:tcPr>
            <w:tcW w:w="9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55 </w:t>
            </w:r>
          </w:p>
        </w:tc>
      </w:tr>
      <w:tr w:rsidR="002C1EFF" w:rsidRPr="00321A1F" w:rsidTr="00EC6608">
        <w:trPr>
          <w:trHeight w:val="315"/>
          <w:jc w:val="center"/>
        </w:trPr>
        <w:tc>
          <w:tcPr>
            <w:tcW w:w="3030" w:type="dxa"/>
            <w:shd w:val="clear" w:color="auto" w:fill="auto"/>
            <w:noWrap/>
            <w:vAlign w:val="bottom"/>
            <w:hideMark/>
          </w:tcPr>
          <w:p w:rsidR="002C1EFF" w:rsidRPr="00321A1F" w:rsidRDefault="002C1EFF" w:rsidP="002C1EFF">
            <w:pPr>
              <w:rPr>
                <w:color w:val="000000"/>
              </w:rPr>
            </w:pPr>
            <w:r w:rsidRPr="00321A1F">
              <w:rPr>
                <w:color w:val="000000"/>
              </w:rPr>
              <w:t>Per Customer Fixed Charge</w:t>
            </w:r>
          </w:p>
        </w:tc>
        <w:tc>
          <w:tcPr>
            <w:tcW w:w="810" w:type="dxa"/>
            <w:shd w:val="clear" w:color="auto" w:fill="auto"/>
            <w:noWrap/>
            <w:vAlign w:val="bottom"/>
            <w:hideMark/>
          </w:tcPr>
          <w:p w:rsidR="002C1EFF" w:rsidRPr="00321A1F" w:rsidRDefault="002C1EFF" w:rsidP="002C1EFF">
            <w:pPr>
              <w:rPr>
                <w:color w:val="000000"/>
              </w:rPr>
            </w:pPr>
          </w:p>
        </w:tc>
        <w:tc>
          <w:tcPr>
            <w:tcW w:w="9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$1.22 </w:t>
            </w:r>
          </w:p>
        </w:tc>
      </w:tr>
      <w:tr w:rsidR="002C1EFF" w:rsidRPr="00321A1F" w:rsidTr="00EC6608">
        <w:trPr>
          <w:trHeight w:val="315"/>
          <w:jc w:val="center"/>
        </w:trPr>
        <w:tc>
          <w:tcPr>
            <w:tcW w:w="3030" w:type="dxa"/>
            <w:shd w:val="clear" w:color="auto" w:fill="auto"/>
            <w:noWrap/>
            <w:vAlign w:val="bottom"/>
            <w:hideMark/>
          </w:tcPr>
          <w:p w:rsidR="002C1EFF" w:rsidRPr="00321A1F" w:rsidRDefault="002C1EFF" w:rsidP="002C1EFF">
            <w:pPr>
              <w:rPr>
                <w:color w:val="000000"/>
              </w:rPr>
            </w:pPr>
            <w:r w:rsidRPr="00321A1F">
              <w:rPr>
                <w:color w:val="000000"/>
              </w:rPr>
              <w:t>Charge Per Debit Sent</w:t>
            </w:r>
          </w:p>
        </w:tc>
        <w:tc>
          <w:tcPr>
            <w:tcW w:w="810" w:type="dxa"/>
            <w:shd w:val="clear" w:color="auto" w:fill="auto"/>
            <w:noWrap/>
            <w:vAlign w:val="bottom"/>
            <w:hideMark/>
          </w:tcPr>
          <w:p w:rsidR="002C1EFF" w:rsidRPr="00321A1F" w:rsidRDefault="002C1EFF" w:rsidP="002C1EFF">
            <w:pPr>
              <w:rPr>
                <w:color w:val="000000"/>
              </w:rPr>
            </w:pPr>
          </w:p>
        </w:tc>
        <w:tc>
          <w:tcPr>
            <w:tcW w:w="960" w:type="dxa"/>
            <w:shd w:val="clear" w:color="auto" w:fill="auto"/>
            <w:noWrap/>
            <w:vAlign w:val="bottom"/>
            <w:hideMark/>
          </w:tcPr>
          <w:p w:rsidR="002C1EFF" w:rsidRPr="00321A1F" w:rsidRDefault="002C1EFF" w:rsidP="002C1EFF">
            <w:pPr>
              <w:jc w:val="right"/>
              <w:rPr>
                <w:color w:val="000000"/>
                <w:u w:val="single"/>
              </w:rPr>
            </w:pPr>
            <w:r w:rsidRPr="00321A1F">
              <w:rPr>
                <w:color w:val="000000"/>
                <w:u w:val="single"/>
              </w:rPr>
              <w:t xml:space="preserve">$0.14 </w:t>
            </w:r>
          </w:p>
        </w:tc>
      </w:tr>
      <w:tr w:rsidR="002C1EFF" w:rsidRPr="00321A1F" w:rsidTr="00EC6608">
        <w:trPr>
          <w:trHeight w:val="306"/>
          <w:jc w:val="center"/>
        </w:trPr>
        <w:tc>
          <w:tcPr>
            <w:tcW w:w="3030" w:type="dxa"/>
            <w:shd w:val="clear" w:color="auto" w:fill="auto"/>
            <w:noWrap/>
            <w:vAlign w:val="bottom"/>
            <w:hideMark/>
          </w:tcPr>
          <w:p w:rsidR="002C1EFF" w:rsidRPr="00321A1F" w:rsidRDefault="002C1EFF" w:rsidP="002C1EFF">
            <w:pPr>
              <w:rPr>
                <w:color w:val="000000"/>
              </w:rPr>
            </w:pPr>
            <w:r w:rsidRPr="00321A1F">
              <w:rPr>
                <w:color w:val="000000"/>
              </w:rPr>
              <w:t>Direct Debit Charge</w:t>
            </w:r>
          </w:p>
        </w:tc>
        <w:tc>
          <w:tcPr>
            <w:tcW w:w="810" w:type="dxa"/>
            <w:shd w:val="clear" w:color="auto" w:fill="auto"/>
            <w:noWrap/>
            <w:vAlign w:val="bottom"/>
            <w:hideMark/>
          </w:tcPr>
          <w:p w:rsidR="002C1EFF" w:rsidRPr="00321A1F" w:rsidRDefault="002C1EFF" w:rsidP="002C1EFF">
            <w:pPr>
              <w:rPr>
                <w:color w:val="000000"/>
              </w:rPr>
            </w:pPr>
          </w:p>
        </w:tc>
        <w:tc>
          <w:tcPr>
            <w:tcW w:w="960" w:type="dxa"/>
            <w:shd w:val="clear" w:color="auto" w:fill="auto"/>
            <w:noWrap/>
            <w:vAlign w:val="bottom"/>
            <w:hideMark/>
          </w:tcPr>
          <w:p w:rsidR="002C1EFF" w:rsidRPr="00321A1F" w:rsidRDefault="002C1EFF" w:rsidP="002C1EFF">
            <w:pPr>
              <w:jc w:val="right"/>
              <w:rPr>
                <w:color w:val="000000"/>
              </w:rPr>
            </w:pPr>
            <w:r w:rsidRPr="00321A1F">
              <w:rPr>
                <w:color w:val="000000"/>
              </w:rPr>
              <w:t xml:space="preserve">$1.36 </w:t>
            </w:r>
          </w:p>
        </w:tc>
      </w:tr>
    </w:tbl>
    <w:p w:rsidR="002C1EFF" w:rsidRPr="00321A1F" w:rsidRDefault="002C1EFF" w:rsidP="002C1EFF">
      <w:pPr>
        <w:spacing w:line="276" w:lineRule="auto"/>
      </w:pPr>
      <w:r w:rsidRPr="00321A1F">
        <w:tab/>
      </w:r>
      <w:r w:rsidRPr="00321A1F">
        <w:tab/>
      </w:r>
      <w:r w:rsidRPr="00321A1F">
        <w:tab/>
        <w:t>.</w:t>
      </w:r>
    </w:p>
    <w:p w:rsidR="002C1EFF" w:rsidRPr="00321A1F" w:rsidRDefault="002C1EFF" w:rsidP="002C1EFF">
      <w:pPr>
        <w:spacing w:line="276" w:lineRule="auto"/>
      </w:pPr>
    </w:p>
    <w:p w:rsidR="002C1EFF" w:rsidRPr="00321A1F" w:rsidRDefault="00A631E6" w:rsidP="002C1EFF">
      <w:pPr>
        <w:spacing w:after="240"/>
        <w:jc w:val="both"/>
      </w:pPr>
      <w:r>
        <w:tab/>
        <w:t xml:space="preserve">The approved </w:t>
      </w:r>
      <w:r w:rsidR="002C1EFF" w:rsidRPr="00321A1F">
        <w:t>direct debit charge sh</w:t>
      </w:r>
      <w:r>
        <w:t>all</w:t>
      </w:r>
      <w:r w:rsidR="002C1EFF" w:rsidRPr="00321A1F">
        <w:t xml:space="preserve"> be effective on or after the stamped approval date on the tariff pursuant to Rule 25-30.475, F.A.C. In addition, the approved charge sh</w:t>
      </w:r>
      <w:r>
        <w:t>all</w:t>
      </w:r>
      <w:r w:rsidR="002C1EFF" w:rsidRPr="00321A1F">
        <w:t xml:space="preserve"> not be implemented until </w:t>
      </w:r>
      <w:r>
        <w:t xml:space="preserve">our </w:t>
      </w:r>
      <w:r w:rsidR="002C1EFF" w:rsidRPr="00321A1F">
        <w:t>staff has approved the proposed customer notice and the notice has been received by the customers. The Utility sh</w:t>
      </w:r>
      <w:r>
        <w:t>all</w:t>
      </w:r>
      <w:r w:rsidR="002C1EFF" w:rsidRPr="00321A1F">
        <w:t xml:space="preserve"> provide proof of the date notice was given within 10 days of the date of the notice.</w:t>
      </w:r>
    </w:p>
    <w:p w:rsidR="002C1EFF" w:rsidRPr="007E6086" w:rsidRDefault="007E6086" w:rsidP="002C1EFF">
      <w:pPr>
        <w:spacing w:after="240"/>
        <w:jc w:val="both"/>
        <w:rPr>
          <w:u w:val="single"/>
        </w:rPr>
      </w:pPr>
      <w:r w:rsidRPr="007135C0">
        <w:rPr>
          <w:u w:val="single"/>
        </w:rPr>
        <w:t>14. Non-Sufficient Funds (NSF) C</w:t>
      </w:r>
      <w:r w:rsidR="002C1EFF" w:rsidRPr="007135C0">
        <w:rPr>
          <w:u w:val="single"/>
        </w:rPr>
        <w:t>harges</w:t>
      </w:r>
    </w:p>
    <w:p w:rsidR="002C1EFF" w:rsidRDefault="007135C0" w:rsidP="002C1EFF">
      <w:pPr>
        <w:ind w:firstLine="720"/>
        <w:jc w:val="both"/>
      </w:pPr>
      <w:r>
        <w:t xml:space="preserve">Aquarina is hereby </w:t>
      </w:r>
      <w:r w:rsidR="002C1EFF" w:rsidRPr="00321A1F">
        <w:t>authorized to collect NSF charges consistent with Section 68.065, F.S., which allows the assessment of charges for the collection of worthless checks, drafts, or orders of payment. As currently set forth in Section 68.065(2), F.S., the following NSF charges may be assessed:</w:t>
      </w:r>
    </w:p>
    <w:p w:rsidR="00407D76" w:rsidRPr="00321A1F" w:rsidRDefault="00407D76" w:rsidP="002C1EFF">
      <w:pPr>
        <w:ind w:firstLine="720"/>
        <w:jc w:val="both"/>
      </w:pPr>
    </w:p>
    <w:p w:rsidR="002C1EFF" w:rsidRPr="00321A1F" w:rsidRDefault="002C1EFF" w:rsidP="002C1EFF">
      <w:pPr>
        <w:ind w:left="720"/>
        <w:jc w:val="both"/>
      </w:pPr>
      <w:r w:rsidRPr="00321A1F">
        <w:t xml:space="preserve"> $25, if the face value does not exceed $50</w:t>
      </w:r>
      <w:r w:rsidR="00407D76">
        <w:t>;</w:t>
      </w:r>
      <w:r w:rsidRPr="00321A1F">
        <w:t xml:space="preserve"> </w:t>
      </w:r>
    </w:p>
    <w:p w:rsidR="002C1EFF" w:rsidRPr="00321A1F" w:rsidRDefault="002C1EFF" w:rsidP="002C1EFF">
      <w:pPr>
        <w:ind w:firstLine="720"/>
        <w:jc w:val="both"/>
      </w:pPr>
      <w:r w:rsidRPr="00321A1F">
        <w:t xml:space="preserve"> $30, if the face value exceeds $50 but does not exceed $300</w:t>
      </w:r>
      <w:r w:rsidR="00407D76">
        <w:t>;</w:t>
      </w:r>
    </w:p>
    <w:p w:rsidR="00407D76" w:rsidRDefault="002C1EFF" w:rsidP="002C1EFF">
      <w:pPr>
        <w:ind w:firstLine="720"/>
        <w:jc w:val="both"/>
      </w:pPr>
      <w:r w:rsidRPr="00321A1F">
        <w:t xml:space="preserve"> $40, if the face value exceeds $300</w:t>
      </w:r>
      <w:r w:rsidR="00407D76">
        <w:t>; or</w:t>
      </w:r>
      <w:r w:rsidRPr="00321A1F">
        <w:t xml:space="preserve"> </w:t>
      </w:r>
    </w:p>
    <w:p w:rsidR="002C1EFF" w:rsidRPr="00321A1F" w:rsidRDefault="002C1EFF" w:rsidP="002C1EFF">
      <w:pPr>
        <w:ind w:firstLine="720"/>
        <w:jc w:val="both"/>
      </w:pPr>
      <w:r w:rsidRPr="00321A1F">
        <w:t xml:space="preserve">5 percent of the face amount of the check, whichever is greater. </w:t>
      </w:r>
    </w:p>
    <w:p w:rsidR="002C1EFF" w:rsidRPr="00321A1F" w:rsidRDefault="002C1EFF" w:rsidP="002C1EFF">
      <w:pPr>
        <w:ind w:firstLine="720"/>
        <w:jc w:val="both"/>
      </w:pPr>
    </w:p>
    <w:p w:rsidR="002C1EFF" w:rsidRDefault="007135C0" w:rsidP="002C1EFF">
      <w:pPr>
        <w:spacing w:after="240"/>
        <w:jc w:val="both"/>
      </w:pPr>
      <w:r>
        <w:tab/>
      </w:r>
      <w:r w:rsidR="002C1EFF" w:rsidRPr="00321A1F">
        <w:t xml:space="preserve">Approval of NSF charges is consistent with </w:t>
      </w:r>
      <w:r>
        <w:t xml:space="preserve">our </w:t>
      </w:r>
      <w:r w:rsidR="002C1EFF" w:rsidRPr="00321A1F">
        <w:t>prior</w:t>
      </w:r>
      <w:r>
        <w:t xml:space="preserve"> d</w:t>
      </w:r>
      <w:r w:rsidR="002C1EFF" w:rsidRPr="00321A1F">
        <w:t>ecisions.</w:t>
      </w:r>
      <w:r>
        <w:t xml:space="preserve"> </w:t>
      </w:r>
      <w:r w:rsidR="002C1EFF" w:rsidRPr="00321A1F">
        <w:t xml:space="preserve">NSF charges place the cost on the cost-causer, rather than requiring that the costs associated with the return of the NSF checks </w:t>
      </w:r>
      <w:r w:rsidR="00B6438C">
        <w:t xml:space="preserve">to </w:t>
      </w:r>
      <w:r w:rsidR="002C1EFF" w:rsidRPr="00321A1F">
        <w:t xml:space="preserve">be spread across the general body of ratepayers. As such, Aquarina </w:t>
      </w:r>
      <w:r>
        <w:t xml:space="preserve">is </w:t>
      </w:r>
      <w:r w:rsidR="002C1EFF" w:rsidRPr="00321A1F">
        <w:t>authorized to collect NSF charges</w:t>
      </w:r>
      <w:r w:rsidR="004A7667">
        <w:t xml:space="preserve"> for both systems.</w:t>
      </w:r>
      <w:r w:rsidR="002C1EFF" w:rsidRPr="00321A1F">
        <w:t xml:space="preserve"> Aquarina </w:t>
      </w:r>
      <w:r>
        <w:t xml:space="preserve">shall </w:t>
      </w:r>
      <w:r w:rsidR="002C1EFF" w:rsidRPr="00321A1F">
        <w:t>revise its tariff sheet to reflect the NSF charges currently set forth in Section 68.065, F.S. The NSF charges sh</w:t>
      </w:r>
      <w:r>
        <w:t>all</w:t>
      </w:r>
      <w:r w:rsidR="002C1EFF" w:rsidRPr="00321A1F">
        <w:t xml:space="preserve"> be effective on or after the stamped approval date on the tariff sheet pursuant to Rule 25-30.475(1), F.A.C. </w:t>
      </w:r>
      <w:r w:rsidR="00332603">
        <w:t>T</w:t>
      </w:r>
      <w:r w:rsidR="002C1EFF" w:rsidRPr="00321A1F">
        <w:t>he NSF charges sh</w:t>
      </w:r>
      <w:r w:rsidR="00332603">
        <w:t>all</w:t>
      </w:r>
      <w:r w:rsidR="002C1EFF" w:rsidRPr="00321A1F">
        <w:t xml:space="preserve"> not be implemented until </w:t>
      </w:r>
      <w:r w:rsidR="00332603">
        <w:t xml:space="preserve">our </w:t>
      </w:r>
      <w:r w:rsidR="002C1EFF" w:rsidRPr="00321A1F">
        <w:t>staff has approved the proposed customer notice. The Utility sh</w:t>
      </w:r>
      <w:r w:rsidR="00332603">
        <w:t>all</w:t>
      </w:r>
      <w:r w:rsidR="002C1EFF" w:rsidRPr="00321A1F">
        <w:t xml:space="preserve"> provide proof of the date the notice was given within 10 days of the date of the notice.</w:t>
      </w:r>
    </w:p>
    <w:p w:rsidR="00332603" w:rsidRPr="00332603" w:rsidRDefault="00332603" w:rsidP="002C1EFF">
      <w:pPr>
        <w:spacing w:after="240"/>
        <w:jc w:val="both"/>
        <w:rPr>
          <w:u w:val="single"/>
        </w:rPr>
      </w:pPr>
      <w:r w:rsidRPr="00332603">
        <w:rPr>
          <w:u w:val="single"/>
        </w:rPr>
        <w:lastRenderedPageBreak/>
        <w:t>15. Service Availability Charges</w:t>
      </w:r>
    </w:p>
    <w:p w:rsidR="002C1EFF" w:rsidRPr="00321A1F" w:rsidRDefault="005B2E47" w:rsidP="002C1EFF">
      <w:pPr>
        <w:spacing w:after="240"/>
        <w:jc w:val="both"/>
        <w:rPr>
          <w:bCs/>
          <w:iCs/>
        </w:rPr>
      </w:pPr>
      <w:r>
        <w:rPr>
          <w:bCs/>
          <w:iCs/>
        </w:rPr>
        <w:tab/>
      </w:r>
      <w:r w:rsidR="002C1EFF" w:rsidRPr="00321A1F">
        <w:rPr>
          <w:bCs/>
          <w:iCs/>
        </w:rPr>
        <w:t>The Utility’s existing service availability charges</w:t>
      </w:r>
      <w:r w:rsidR="004A7667">
        <w:rPr>
          <w:bCs/>
          <w:iCs/>
        </w:rPr>
        <w:t>,</w:t>
      </w:r>
      <w:r w:rsidR="002C1EFF" w:rsidRPr="00321A1F">
        <w:rPr>
          <w:bCs/>
          <w:iCs/>
        </w:rPr>
        <w:t xml:space="preserve"> for the potable water system</w:t>
      </w:r>
      <w:r w:rsidR="004A7667">
        <w:rPr>
          <w:bCs/>
          <w:iCs/>
        </w:rPr>
        <w:t>,</w:t>
      </w:r>
      <w:r w:rsidR="002C1EFF" w:rsidRPr="00321A1F">
        <w:rPr>
          <w:bCs/>
          <w:iCs/>
        </w:rPr>
        <w:t xml:space="preserve"> consist of a $500 main extension charge, a $780 plant capacity charge, and a $150 meter installation charge. The non-potable water system’s existing service availability charges consist of a $50 main extension charge, $250 plant capacity charge, and a $150 meter installation charge. For the wastewater system, the existing service availability charge is a $635 main extension charge.</w:t>
      </w:r>
    </w:p>
    <w:p w:rsidR="002C1EFF" w:rsidRPr="00321A1F" w:rsidRDefault="005B2E47" w:rsidP="002C1EFF">
      <w:pPr>
        <w:jc w:val="both"/>
      </w:pPr>
      <w:r>
        <w:rPr>
          <w:bCs/>
          <w:iCs/>
        </w:rPr>
        <w:tab/>
      </w:r>
      <w:r w:rsidR="002C1EFF" w:rsidRPr="00321A1F">
        <w:rPr>
          <w:bCs/>
          <w:iCs/>
        </w:rPr>
        <w:t xml:space="preserve">Service availability charges are one-time charges applicable to new connections, which allow a customer to pay </w:t>
      </w:r>
      <w:r>
        <w:rPr>
          <w:bCs/>
          <w:iCs/>
        </w:rPr>
        <w:t xml:space="preserve">their </w:t>
      </w:r>
      <w:r w:rsidR="002C1EFF" w:rsidRPr="00321A1F">
        <w:rPr>
          <w:bCs/>
          <w:iCs/>
        </w:rPr>
        <w:t>pro rata share of the facilities and plant cost</w:t>
      </w:r>
      <w:r>
        <w:rPr>
          <w:bCs/>
          <w:iCs/>
        </w:rPr>
        <w:t>s</w:t>
      </w:r>
      <w:r w:rsidR="002C1EFF" w:rsidRPr="00321A1F">
        <w:rPr>
          <w:bCs/>
          <w:iCs/>
        </w:rPr>
        <w:t xml:space="preserve">. </w:t>
      </w:r>
      <w:r w:rsidR="002C1EFF" w:rsidRPr="00321A1F">
        <w:t>Rule 25-30.580, F.A.C., establishes guidelines for designing service availability charges</w:t>
      </w:r>
      <w:r>
        <w:t xml:space="preserve">. The Rule provides that </w:t>
      </w:r>
      <w:r w:rsidR="002C1EFF" w:rsidRPr="00321A1F">
        <w:t>the maximum amount of contributions-in-aid-of construction (CIAC), net of amortization, sh</w:t>
      </w:r>
      <w:r w:rsidR="004A7667">
        <w:t>all</w:t>
      </w:r>
      <w:r w:rsidR="002C1EFF" w:rsidRPr="00321A1F">
        <w:t xml:space="preserve"> not exceed 75 percent of the total original cost, net of accumulated depreciation, of the utility’s facilities and plant when the facilities and plant are at their designed capacity. The minimum amount of CIAC sh</w:t>
      </w:r>
      <w:r w:rsidR="004A7667">
        <w:t>all</w:t>
      </w:r>
      <w:r w:rsidR="002C1EFF" w:rsidRPr="00321A1F">
        <w:t xml:space="preserve"> not be less than the percentage of such facilities and plant that is represented by the water transmission and distribution system or wastewater collection system. The existing contribution levels are 63 percent, 7 percent, and 97 percent for potable water, non-potable water, and wastewater, respectively. </w:t>
      </w:r>
      <w:r>
        <w:t>A</w:t>
      </w:r>
      <w:r w:rsidR="002C1EFF" w:rsidRPr="00321A1F">
        <w:t xml:space="preserve"> summary of the contributions-in-aid-of contribution levels for each system</w:t>
      </w:r>
      <w:r w:rsidR="00062CEC">
        <w:t>,</w:t>
      </w:r>
      <w:r w:rsidR="002C1EFF" w:rsidRPr="00321A1F">
        <w:t xml:space="preserve"> based on the </w:t>
      </w:r>
      <w:r>
        <w:t>approved</w:t>
      </w:r>
      <w:r w:rsidR="002C1EFF" w:rsidRPr="00321A1F">
        <w:t xml:space="preserve"> base</w:t>
      </w:r>
      <w:r w:rsidR="00062CEC">
        <w:t>, is below</w:t>
      </w:r>
      <w:r w:rsidR="002C1EFF" w:rsidRPr="00321A1F">
        <w:t>.</w:t>
      </w:r>
    </w:p>
    <w:p w:rsidR="002C1EFF" w:rsidRPr="00321A1F" w:rsidRDefault="002C1EFF" w:rsidP="002C1EFF">
      <w:pPr>
        <w:jc w:val="both"/>
      </w:pPr>
    </w:p>
    <w:p w:rsidR="002C1EFF" w:rsidRPr="00321A1F" w:rsidRDefault="002C1EFF" w:rsidP="002C1EFF">
      <w:pPr>
        <w:jc w:val="both"/>
      </w:pPr>
    </w:p>
    <w:p w:rsidR="002C1EFF" w:rsidRPr="00321A1F" w:rsidRDefault="002C1EFF" w:rsidP="002C1EFF">
      <w:pPr>
        <w:jc w:val="center"/>
      </w:pPr>
      <w:r w:rsidRPr="00321A1F">
        <w:rPr>
          <w:b/>
        </w:rPr>
        <w:t>Contributions-in- Aid-of-Construction Levels</w:t>
      </w:r>
    </w:p>
    <w:tbl>
      <w:tblPr>
        <w:tblStyle w:val="TableGrid120"/>
        <w:tblW w:w="0" w:type="auto"/>
        <w:tblLook w:val="04A0" w:firstRow="1" w:lastRow="0" w:firstColumn="1" w:lastColumn="0" w:noHBand="0" w:noVBand="1"/>
      </w:tblPr>
      <w:tblGrid>
        <w:gridCol w:w="2898"/>
        <w:gridCol w:w="1710"/>
        <w:gridCol w:w="2574"/>
        <w:gridCol w:w="2196"/>
      </w:tblGrid>
      <w:tr w:rsidR="002C1EFF" w:rsidRPr="00321A1F" w:rsidTr="00EC6608">
        <w:tc>
          <w:tcPr>
            <w:tcW w:w="2898" w:type="dxa"/>
          </w:tcPr>
          <w:p w:rsidR="002C1EFF" w:rsidRPr="00321A1F" w:rsidRDefault="002C1EFF" w:rsidP="002C1EFF">
            <w:pPr>
              <w:spacing w:after="240"/>
              <w:jc w:val="both"/>
              <w:rPr>
                <w:rFonts w:ascii="Times New Roman" w:hAnsi="Times New Roman"/>
              </w:rPr>
            </w:pPr>
          </w:p>
        </w:tc>
        <w:tc>
          <w:tcPr>
            <w:tcW w:w="1710" w:type="dxa"/>
          </w:tcPr>
          <w:p w:rsidR="002C1EFF" w:rsidRPr="00321A1F" w:rsidRDefault="002C1EFF" w:rsidP="002C1EFF">
            <w:pPr>
              <w:spacing w:after="240"/>
              <w:jc w:val="both"/>
              <w:rPr>
                <w:rFonts w:ascii="Times New Roman" w:hAnsi="Times New Roman"/>
              </w:rPr>
            </w:pPr>
            <w:r w:rsidRPr="00321A1F">
              <w:rPr>
                <w:rFonts w:ascii="Times New Roman" w:hAnsi="Times New Roman"/>
              </w:rPr>
              <w:t>Potable Water</w:t>
            </w:r>
          </w:p>
        </w:tc>
        <w:tc>
          <w:tcPr>
            <w:tcW w:w="2574" w:type="dxa"/>
          </w:tcPr>
          <w:p w:rsidR="002C1EFF" w:rsidRPr="00321A1F" w:rsidRDefault="002C1EFF" w:rsidP="002C1EFF">
            <w:pPr>
              <w:spacing w:after="240"/>
              <w:jc w:val="both"/>
              <w:rPr>
                <w:rFonts w:ascii="Times New Roman" w:hAnsi="Times New Roman"/>
              </w:rPr>
            </w:pPr>
            <w:r w:rsidRPr="00321A1F">
              <w:rPr>
                <w:rFonts w:ascii="Times New Roman" w:hAnsi="Times New Roman"/>
              </w:rPr>
              <w:t>Non-Potable Water</w:t>
            </w:r>
          </w:p>
        </w:tc>
        <w:tc>
          <w:tcPr>
            <w:tcW w:w="2196" w:type="dxa"/>
          </w:tcPr>
          <w:p w:rsidR="002C1EFF" w:rsidRPr="00321A1F" w:rsidRDefault="002C1EFF" w:rsidP="002C1EFF">
            <w:pPr>
              <w:spacing w:after="240"/>
              <w:jc w:val="both"/>
              <w:rPr>
                <w:rFonts w:ascii="Times New Roman" w:hAnsi="Times New Roman"/>
              </w:rPr>
            </w:pPr>
            <w:r w:rsidRPr="00321A1F">
              <w:rPr>
                <w:rFonts w:ascii="Times New Roman" w:hAnsi="Times New Roman"/>
              </w:rPr>
              <w:t>Wastewater</w:t>
            </w:r>
          </w:p>
        </w:tc>
      </w:tr>
      <w:tr w:rsidR="002C1EFF" w:rsidRPr="00321A1F" w:rsidTr="00EC6608">
        <w:tc>
          <w:tcPr>
            <w:tcW w:w="2898" w:type="dxa"/>
          </w:tcPr>
          <w:p w:rsidR="002C1EFF" w:rsidRPr="00321A1F" w:rsidRDefault="002C1EFF" w:rsidP="002C1EFF">
            <w:pPr>
              <w:spacing w:after="240"/>
              <w:jc w:val="both"/>
              <w:rPr>
                <w:rFonts w:ascii="Times New Roman" w:hAnsi="Times New Roman"/>
              </w:rPr>
            </w:pPr>
            <w:r w:rsidRPr="00321A1F">
              <w:rPr>
                <w:rFonts w:ascii="Times New Roman" w:hAnsi="Times New Roman"/>
              </w:rPr>
              <w:t>Utility Plant in Service</w:t>
            </w:r>
          </w:p>
        </w:tc>
        <w:tc>
          <w:tcPr>
            <w:tcW w:w="1710" w:type="dxa"/>
          </w:tcPr>
          <w:p w:rsidR="002C1EFF" w:rsidRPr="00321A1F" w:rsidRDefault="002C1EFF" w:rsidP="002C1EFF">
            <w:pPr>
              <w:spacing w:after="240"/>
              <w:jc w:val="right"/>
              <w:rPr>
                <w:rFonts w:ascii="Times New Roman" w:hAnsi="Times New Roman"/>
              </w:rPr>
            </w:pPr>
            <w:r w:rsidRPr="00321A1F">
              <w:rPr>
                <w:rFonts w:ascii="Times New Roman" w:hAnsi="Times New Roman"/>
              </w:rPr>
              <w:t>$1,300,669</w:t>
            </w:r>
          </w:p>
        </w:tc>
        <w:tc>
          <w:tcPr>
            <w:tcW w:w="2574" w:type="dxa"/>
          </w:tcPr>
          <w:p w:rsidR="002C1EFF" w:rsidRPr="00321A1F" w:rsidRDefault="002C1EFF" w:rsidP="002C1EFF">
            <w:pPr>
              <w:spacing w:after="240"/>
              <w:jc w:val="right"/>
              <w:rPr>
                <w:rFonts w:ascii="Times New Roman" w:hAnsi="Times New Roman"/>
              </w:rPr>
            </w:pPr>
            <w:r w:rsidRPr="00321A1F">
              <w:rPr>
                <w:rFonts w:ascii="Times New Roman" w:hAnsi="Times New Roman"/>
              </w:rPr>
              <w:t>$1,094,903</w:t>
            </w:r>
          </w:p>
        </w:tc>
        <w:tc>
          <w:tcPr>
            <w:tcW w:w="2196" w:type="dxa"/>
          </w:tcPr>
          <w:p w:rsidR="002C1EFF" w:rsidRPr="00321A1F" w:rsidRDefault="002C1EFF" w:rsidP="002C1EFF">
            <w:pPr>
              <w:spacing w:after="240"/>
              <w:jc w:val="right"/>
              <w:rPr>
                <w:rFonts w:ascii="Times New Roman" w:hAnsi="Times New Roman"/>
              </w:rPr>
            </w:pPr>
            <w:r w:rsidRPr="00321A1F">
              <w:rPr>
                <w:rFonts w:ascii="Times New Roman" w:hAnsi="Times New Roman"/>
              </w:rPr>
              <w:t>$1,612,043</w:t>
            </w:r>
          </w:p>
        </w:tc>
      </w:tr>
      <w:tr w:rsidR="002C1EFF" w:rsidRPr="00321A1F" w:rsidTr="00EC6608">
        <w:tc>
          <w:tcPr>
            <w:tcW w:w="2898" w:type="dxa"/>
          </w:tcPr>
          <w:p w:rsidR="002C1EFF" w:rsidRPr="00321A1F" w:rsidRDefault="002C1EFF" w:rsidP="002C1EFF">
            <w:pPr>
              <w:spacing w:after="240"/>
              <w:jc w:val="both"/>
              <w:rPr>
                <w:rFonts w:ascii="Times New Roman" w:hAnsi="Times New Roman"/>
              </w:rPr>
            </w:pPr>
            <w:r w:rsidRPr="00321A1F">
              <w:rPr>
                <w:rFonts w:ascii="Times New Roman" w:hAnsi="Times New Roman"/>
              </w:rPr>
              <w:t>Accumulated Depreciation</w:t>
            </w:r>
          </w:p>
        </w:tc>
        <w:tc>
          <w:tcPr>
            <w:tcW w:w="1710" w:type="dxa"/>
          </w:tcPr>
          <w:p w:rsidR="002C1EFF" w:rsidRPr="00321A1F" w:rsidRDefault="002C1EFF" w:rsidP="002C1EFF">
            <w:pPr>
              <w:spacing w:after="240"/>
              <w:jc w:val="right"/>
              <w:rPr>
                <w:rFonts w:ascii="Times New Roman" w:hAnsi="Times New Roman"/>
              </w:rPr>
            </w:pPr>
            <w:r w:rsidRPr="00321A1F">
              <w:rPr>
                <w:rFonts w:ascii="Times New Roman" w:hAnsi="Times New Roman"/>
              </w:rPr>
              <w:t>$1,003,525</w:t>
            </w:r>
          </w:p>
        </w:tc>
        <w:tc>
          <w:tcPr>
            <w:tcW w:w="2574" w:type="dxa"/>
          </w:tcPr>
          <w:p w:rsidR="002C1EFF" w:rsidRPr="00321A1F" w:rsidRDefault="002C1EFF" w:rsidP="002C1EFF">
            <w:pPr>
              <w:spacing w:after="240"/>
              <w:jc w:val="right"/>
              <w:rPr>
                <w:rFonts w:ascii="Times New Roman" w:hAnsi="Times New Roman"/>
              </w:rPr>
            </w:pPr>
            <w:r w:rsidRPr="00321A1F">
              <w:rPr>
                <w:rFonts w:ascii="Times New Roman" w:hAnsi="Times New Roman"/>
              </w:rPr>
              <w:t>$872,742</w:t>
            </w:r>
          </w:p>
        </w:tc>
        <w:tc>
          <w:tcPr>
            <w:tcW w:w="2196" w:type="dxa"/>
          </w:tcPr>
          <w:p w:rsidR="002C1EFF" w:rsidRPr="00321A1F" w:rsidRDefault="002C1EFF" w:rsidP="002C1EFF">
            <w:pPr>
              <w:spacing w:after="240"/>
              <w:jc w:val="right"/>
              <w:rPr>
                <w:rFonts w:ascii="Times New Roman" w:hAnsi="Times New Roman"/>
              </w:rPr>
            </w:pPr>
            <w:r w:rsidRPr="00321A1F">
              <w:rPr>
                <w:rFonts w:ascii="Times New Roman" w:hAnsi="Times New Roman"/>
              </w:rPr>
              <w:t>$1,357,193</w:t>
            </w:r>
          </w:p>
        </w:tc>
      </w:tr>
      <w:tr w:rsidR="002C1EFF" w:rsidRPr="00321A1F" w:rsidTr="00EC6608">
        <w:tc>
          <w:tcPr>
            <w:tcW w:w="2898" w:type="dxa"/>
          </w:tcPr>
          <w:p w:rsidR="002C1EFF" w:rsidRPr="00321A1F" w:rsidRDefault="002C1EFF" w:rsidP="002C1EFF">
            <w:pPr>
              <w:spacing w:after="240"/>
              <w:jc w:val="both"/>
              <w:rPr>
                <w:rFonts w:ascii="Times New Roman" w:hAnsi="Times New Roman"/>
              </w:rPr>
            </w:pPr>
            <w:r w:rsidRPr="00321A1F">
              <w:rPr>
                <w:rFonts w:ascii="Times New Roman" w:hAnsi="Times New Roman"/>
              </w:rPr>
              <w:t>CIAC</w:t>
            </w:r>
          </w:p>
        </w:tc>
        <w:tc>
          <w:tcPr>
            <w:tcW w:w="1710" w:type="dxa"/>
          </w:tcPr>
          <w:p w:rsidR="002C1EFF" w:rsidRPr="00321A1F" w:rsidRDefault="002C1EFF" w:rsidP="002C1EFF">
            <w:pPr>
              <w:spacing w:after="240"/>
              <w:jc w:val="right"/>
              <w:rPr>
                <w:rFonts w:ascii="Times New Roman" w:hAnsi="Times New Roman"/>
              </w:rPr>
            </w:pPr>
            <w:r w:rsidRPr="00321A1F">
              <w:rPr>
                <w:rFonts w:ascii="Times New Roman" w:hAnsi="Times New Roman"/>
              </w:rPr>
              <w:t>$337,868</w:t>
            </w:r>
          </w:p>
        </w:tc>
        <w:tc>
          <w:tcPr>
            <w:tcW w:w="2574" w:type="dxa"/>
          </w:tcPr>
          <w:p w:rsidR="002C1EFF" w:rsidRPr="00321A1F" w:rsidRDefault="002C1EFF" w:rsidP="002C1EFF">
            <w:pPr>
              <w:spacing w:after="240"/>
              <w:jc w:val="right"/>
              <w:rPr>
                <w:rFonts w:ascii="Times New Roman" w:hAnsi="Times New Roman"/>
              </w:rPr>
            </w:pPr>
            <w:r w:rsidRPr="00321A1F">
              <w:rPr>
                <w:rFonts w:ascii="Times New Roman" w:hAnsi="Times New Roman"/>
              </w:rPr>
              <w:t>$35,785</w:t>
            </w:r>
          </w:p>
        </w:tc>
        <w:tc>
          <w:tcPr>
            <w:tcW w:w="2196" w:type="dxa"/>
          </w:tcPr>
          <w:p w:rsidR="002C1EFF" w:rsidRPr="00321A1F" w:rsidRDefault="002C1EFF" w:rsidP="002C1EFF">
            <w:pPr>
              <w:spacing w:after="240"/>
              <w:jc w:val="right"/>
              <w:rPr>
                <w:rFonts w:ascii="Times New Roman" w:hAnsi="Times New Roman"/>
              </w:rPr>
            </w:pPr>
            <w:r w:rsidRPr="00321A1F">
              <w:rPr>
                <w:rFonts w:ascii="Times New Roman" w:hAnsi="Times New Roman"/>
              </w:rPr>
              <w:t>$597,343</w:t>
            </w:r>
          </w:p>
        </w:tc>
      </w:tr>
      <w:tr w:rsidR="002C1EFF" w:rsidRPr="00321A1F" w:rsidTr="00EC6608">
        <w:tc>
          <w:tcPr>
            <w:tcW w:w="2898" w:type="dxa"/>
          </w:tcPr>
          <w:p w:rsidR="002C1EFF" w:rsidRPr="00321A1F" w:rsidRDefault="002C1EFF" w:rsidP="002C1EFF">
            <w:pPr>
              <w:spacing w:after="240"/>
              <w:jc w:val="both"/>
              <w:rPr>
                <w:rFonts w:ascii="Times New Roman" w:hAnsi="Times New Roman"/>
              </w:rPr>
            </w:pPr>
            <w:r w:rsidRPr="00321A1F">
              <w:rPr>
                <w:rFonts w:ascii="Times New Roman" w:hAnsi="Times New Roman"/>
              </w:rPr>
              <w:t>Amortization of CIAC</w:t>
            </w:r>
          </w:p>
        </w:tc>
        <w:tc>
          <w:tcPr>
            <w:tcW w:w="1710" w:type="dxa"/>
          </w:tcPr>
          <w:p w:rsidR="002C1EFF" w:rsidRPr="00321A1F" w:rsidRDefault="002C1EFF" w:rsidP="002C1EFF">
            <w:pPr>
              <w:spacing w:after="240"/>
              <w:jc w:val="right"/>
              <w:rPr>
                <w:rFonts w:ascii="Times New Roman" w:hAnsi="Times New Roman"/>
              </w:rPr>
            </w:pPr>
            <w:r w:rsidRPr="00321A1F">
              <w:rPr>
                <w:rFonts w:ascii="Times New Roman" w:hAnsi="Times New Roman"/>
              </w:rPr>
              <w:t>$149,343</w:t>
            </w:r>
          </w:p>
        </w:tc>
        <w:tc>
          <w:tcPr>
            <w:tcW w:w="2574" w:type="dxa"/>
          </w:tcPr>
          <w:p w:rsidR="002C1EFF" w:rsidRPr="00321A1F" w:rsidRDefault="002C1EFF" w:rsidP="002C1EFF">
            <w:pPr>
              <w:spacing w:after="240"/>
              <w:jc w:val="right"/>
              <w:rPr>
                <w:rFonts w:ascii="Times New Roman" w:hAnsi="Times New Roman"/>
              </w:rPr>
            </w:pPr>
            <w:r w:rsidRPr="00321A1F">
              <w:rPr>
                <w:rFonts w:ascii="Times New Roman" w:hAnsi="Times New Roman"/>
              </w:rPr>
              <w:t>$20,111</w:t>
            </w:r>
          </w:p>
        </w:tc>
        <w:tc>
          <w:tcPr>
            <w:tcW w:w="2196" w:type="dxa"/>
          </w:tcPr>
          <w:p w:rsidR="002C1EFF" w:rsidRPr="00321A1F" w:rsidRDefault="002C1EFF" w:rsidP="002C1EFF">
            <w:pPr>
              <w:spacing w:after="240"/>
              <w:jc w:val="right"/>
              <w:rPr>
                <w:rFonts w:ascii="Times New Roman" w:hAnsi="Times New Roman"/>
              </w:rPr>
            </w:pPr>
            <w:r w:rsidRPr="00321A1F">
              <w:rPr>
                <w:rFonts w:ascii="Times New Roman" w:hAnsi="Times New Roman"/>
              </w:rPr>
              <w:t>$350,109</w:t>
            </w:r>
          </w:p>
        </w:tc>
      </w:tr>
      <w:tr w:rsidR="002C1EFF" w:rsidRPr="00321A1F" w:rsidTr="00EC6608">
        <w:tc>
          <w:tcPr>
            <w:tcW w:w="2898" w:type="dxa"/>
          </w:tcPr>
          <w:p w:rsidR="002C1EFF" w:rsidRPr="00321A1F" w:rsidRDefault="002C1EFF" w:rsidP="002C1EFF">
            <w:pPr>
              <w:jc w:val="both"/>
              <w:rPr>
                <w:rFonts w:ascii="Times New Roman" w:hAnsi="Times New Roman"/>
              </w:rPr>
            </w:pPr>
            <w:r w:rsidRPr="00321A1F">
              <w:rPr>
                <w:rFonts w:ascii="Times New Roman" w:hAnsi="Times New Roman"/>
              </w:rPr>
              <w:t>Contribution Level</w:t>
            </w:r>
          </w:p>
        </w:tc>
        <w:tc>
          <w:tcPr>
            <w:tcW w:w="1710" w:type="dxa"/>
          </w:tcPr>
          <w:p w:rsidR="002C1EFF" w:rsidRPr="00321A1F" w:rsidRDefault="002C1EFF" w:rsidP="002C1EFF">
            <w:pPr>
              <w:jc w:val="right"/>
              <w:rPr>
                <w:rFonts w:ascii="Times New Roman" w:hAnsi="Times New Roman"/>
              </w:rPr>
            </w:pPr>
            <w:r w:rsidRPr="00321A1F">
              <w:rPr>
                <w:rFonts w:ascii="Times New Roman" w:hAnsi="Times New Roman"/>
              </w:rPr>
              <w:t>63%</w:t>
            </w:r>
          </w:p>
        </w:tc>
        <w:tc>
          <w:tcPr>
            <w:tcW w:w="2574" w:type="dxa"/>
          </w:tcPr>
          <w:p w:rsidR="002C1EFF" w:rsidRPr="00321A1F" w:rsidRDefault="002C1EFF" w:rsidP="002C1EFF">
            <w:pPr>
              <w:jc w:val="right"/>
              <w:rPr>
                <w:rFonts w:ascii="Times New Roman" w:hAnsi="Times New Roman"/>
              </w:rPr>
            </w:pPr>
            <w:r w:rsidRPr="00321A1F">
              <w:rPr>
                <w:rFonts w:ascii="Times New Roman" w:hAnsi="Times New Roman"/>
              </w:rPr>
              <w:t>7%</w:t>
            </w:r>
          </w:p>
        </w:tc>
        <w:tc>
          <w:tcPr>
            <w:tcW w:w="2196" w:type="dxa"/>
          </w:tcPr>
          <w:p w:rsidR="002C1EFF" w:rsidRPr="00321A1F" w:rsidRDefault="002C1EFF" w:rsidP="002C1EFF">
            <w:pPr>
              <w:jc w:val="right"/>
              <w:rPr>
                <w:rFonts w:ascii="Times New Roman" w:hAnsi="Times New Roman"/>
              </w:rPr>
            </w:pPr>
            <w:r w:rsidRPr="00321A1F">
              <w:rPr>
                <w:rFonts w:ascii="Times New Roman" w:hAnsi="Times New Roman"/>
              </w:rPr>
              <w:t>97%</w:t>
            </w:r>
          </w:p>
        </w:tc>
      </w:tr>
    </w:tbl>
    <w:p w:rsidR="002C1EFF" w:rsidRPr="00321A1F" w:rsidRDefault="002C1EFF" w:rsidP="002C1EFF">
      <w:pPr>
        <w:jc w:val="both"/>
      </w:pPr>
    </w:p>
    <w:p w:rsidR="002C1EFF" w:rsidRPr="00321A1F" w:rsidRDefault="002C1EFF" w:rsidP="002C1EFF">
      <w:pPr>
        <w:jc w:val="both"/>
      </w:pPr>
    </w:p>
    <w:p w:rsidR="002C1EFF" w:rsidRPr="00321A1F" w:rsidRDefault="00062CEC" w:rsidP="002C1EFF">
      <w:pPr>
        <w:jc w:val="both"/>
      </w:pPr>
      <w:r>
        <w:rPr>
          <w:bCs/>
          <w:iCs/>
        </w:rPr>
        <w:tab/>
      </w:r>
      <w:r w:rsidR="002C1EFF" w:rsidRPr="00321A1F">
        <w:rPr>
          <w:bCs/>
          <w:iCs/>
        </w:rPr>
        <w:t xml:space="preserve">The Utility </w:t>
      </w:r>
      <w:r>
        <w:rPr>
          <w:bCs/>
          <w:iCs/>
        </w:rPr>
        <w:t xml:space="preserve">asked for our staff to </w:t>
      </w:r>
      <w:r w:rsidR="002C1EFF" w:rsidRPr="00321A1F">
        <w:rPr>
          <w:bCs/>
          <w:iCs/>
        </w:rPr>
        <w:t xml:space="preserve">evaluate </w:t>
      </w:r>
      <w:r>
        <w:rPr>
          <w:bCs/>
          <w:iCs/>
        </w:rPr>
        <w:t xml:space="preserve">the Utility’s </w:t>
      </w:r>
      <w:r w:rsidR="002C1EFF" w:rsidRPr="00321A1F">
        <w:rPr>
          <w:bCs/>
          <w:iCs/>
        </w:rPr>
        <w:t xml:space="preserve">existing service availability charges, including any appropriate charges for irrigation service for new connections. </w:t>
      </w:r>
      <w:r w:rsidR="002C1EFF" w:rsidRPr="00321A1F">
        <w:t xml:space="preserve">Aquarina </w:t>
      </w:r>
      <w:r>
        <w:t xml:space="preserve">asked that </w:t>
      </w:r>
      <w:r w:rsidR="004A7667">
        <w:t>i</w:t>
      </w:r>
      <w:r w:rsidR="002C1EFF" w:rsidRPr="00321A1F">
        <w:t xml:space="preserve">ts service availability charges be increased to account for </w:t>
      </w:r>
      <w:r>
        <w:t xml:space="preserve">stalled </w:t>
      </w:r>
      <w:r w:rsidR="002C1EFF" w:rsidRPr="00321A1F">
        <w:t xml:space="preserve">growth </w:t>
      </w:r>
      <w:r>
        <w:t xml:space="preserve">in the area.  The </w:t>
      </w:r>
      <w:r w:rsidR="002C1EFF" w:rsidRPr="00321A1F">
        <w:t xml:space="preserve">Utility is </w:t>
      </w:r>
      <w:r>
        <w:t xml:space="preserve">also </w:t>
      </w:r>
      <w:r w:rsidR="002C1EFF" w:rsidRPr="00321A1F">
        <w:t>concern</w:t>
      </w:r>
      <w:r>
        <w:t>ed</w:t>
      </w:r>
      <w:r w:rsidR="002C1EFF" w:rsidRPr="00321A1F">
        <w:t xml:space="preserve"> that its existing service availability charges do not reflect </w:t>
      </w:r>
      <w:r>
        <w:t xml:space="preserve">the </w:t>
      </w:r>
      <w:r w:rsidR="002C1EFF" w:rsidRPr="00321A1F">
        <w:t>current costs of maintaining the plant</w:t>
      </w:r>
      <w:r>
        <w:t xml:space="preserve">. </w:t>
      </w:r>
    </w:p>
    <w:p w:rsidR="002C1EFF" w:rsidRPr="00321A1F" w:rsidRDefault="002C1EFF" w:rsidP="002C1EFF">
      <w:pPr>
        <w:jc w:val="both"/>
      </w:pPr>
    </w:p>
    <w:p w:rsidR="002C1EFF" w:rsidRPr="00321A1F" w:rsidRDefault="008C0496" w:rsidP="002C1EFF">
      <w:pPr>
        <w:spacing w:after="240"/>
        <w:jc w:val="both"/>
        <w:rPr>
          <w:bCs/>
          <w:iCs/>
        </w:rPr>
      </w:pPr>
      <w:r>
        <w:tab/>
      </w:r>
      <w:r w:rsidR="002C1EFF" w:rsidRPr="00321A1F">
        <w:t>The design and development plans of Aquarina’s certificated territory have changed over time. According to the Utility, various lines have been constructed, connected, interconnected, and abandoned. The Utility requested</w:t>
      </w:r>
      <w:r w:rsidR="004A7667">
        <w:t>,</w:t>
      </w:r>
      <w:r w:rsidR="002C1EFF" w:rsidRPr="00321A1F">
        <w:t xml:space="preserve"> and </w:t>
      </w:r>
      <w:r>
        <w:t>we have approved</w:t>
      </w:r>
      <w:r w:rsidR="004A7667">
        <w:t xml:space="preserve">, </w:t>
      </w:r>
      <w:r w:rsidR="002C1EFF" w:rsidRPr="00321A1F">
        <w:t xml:space="preserve">pro forma revenue for GIS mapping. The GIS mapping will allow the Utility to delineate the potable, non-potable, and wastewater distribution and collection systems. At that time, </w:t>
      </w:r>
      <w:r>
        <w:t xml:space="preserve">we </w:t>
      </w:r>
      <w:r w:rsidR="002C1EFF" w:rsidRPr="00321A1F">
        <w:t>w</w:t>
      </w:r>
      <w:r>
        <w:t>ill</w:t>
      </w:r>
      <w:r w:rsidR="002C1EFF" w:rsidRPr="00321A1F">
        <w:t xml:space="preserve"> be able to determine the </w:t>
      </w:r>
      <w:r w:rsidR="002C1EFF" w:rsidRPr="00321A1F">
        <w:lastRenderedPageBreak/>
        <w:t xml:space="preserve">appropriate number of equivalent residential connections to use in development of revised service availability charges. </w:t>
      </w:r>
      <w:r>
        <w:t xml:space="preserve">We find that </w:t>
      </w:r>
      <w:r w:rsidR="002C1EFF" w:rsidRPr="00321A1F">
        <w:t>the existing potable and non-potable service availability charges are sufficient within the guidelines of Rule 25-30.580 F.A.C., and sh</w:t>
      </w:r>
      <w:r>
        <w:t>all</w:t>
      </w:r>
      <w:r w:rsidR="002C1EFF" w:rsidRPr="00321A1F">
        <w:t xml:space="preserve"> remain unchanged at this time. However, the wastewater </w:t>
      </w:r>
      <w:r w:rsidR="002C1EFF" w:rsidRPr="00321A1F">
        <w:rPr>
          <w:bCs/>
          <w:iCs/>
        </w:rPr>
        <w:t xml:space="preserve">system’s contribution level exceeds the maximum amount of 75 percent </w:t>
      </w:r>
      <w:r>
        <w:rPr>
          <w:bCs/>
          <w:iCs/>
        </w:rPr>
        <w:t xml:space="preserve">established by </w:t>
      </w:r>
      <w:r w:rsidR="002C1EFF" w:rsidRPr="00321A1F">
        <w:rPr>
          <w:bCs/>
          <w:iCs/>
        </w:rPr>
        <w:t>Rule 25-30.580, F.A.C.; therefore, the Utility’s existing main extension charge for wastewater sh</w:t>
      </w:r>
      <w:r>
        <w:rPr>
          <w:bCs/>
          <w:iCs/>
        </w:rPr>
        <w:t>all</w:t>
      </w:r>
      <w:r w:rsidR="002C1EFF" w:rsidRPr="00321A1F">
        <w:rPr>
          <w:bCs/>
          <w:iCs/>
        </w:rPr>
        <w:t xml:space="preserve"> be discontinued. </w:t>
      </w:r>
      <w:r>
        <w:rPr>
          <w:bCs/>
          <w:iCs/>
        </w:rPr>
        <w:t xml:space="preserve">Once </w:t>
      </w:r>
      <w:r w:rsidR="002C1EFF" w:rsidRPr="00321A1F">
        <w:rPr>
          <w:bCs/>
          <w:iCs/>
        </w:rPr>
        <w:t>the GIS mapping is completed the Utility can file a service availability application and have its service availability charges evaluated.</w:t>
      </w:r>
    </w:p>
    <w:p w:rsidR="002C1EFF" w:rsidRPr="00321A1F" w:rsidRDefault="008C0496" w:rsidP="002C1EFF">
      <w:pPr>
        <w:jc w:val="both"/>
      </w:pPr>
      <w:r>
        <w:tab/>
        <w:t>In summation, t</w:t>
      </w:r>
      <w:r w:rsidR="002C1EFF" w:rsidRPr="00321A1F">
        <w:t>he appropriate service availability charges are the Utility’s existing charges for the potable and non-potable water systems. The wastewater main extension charge sh</w:t>
      </w:r>
      <w:r>
        <w:t>all</w:t>
      </w:r>
      <w:r w:rsidR="002C1EFF" w:rsidRPr="00321A1F">
        <w:t xml:space="preserve"> be discontinued.</w:t>
      </w:r>
    </w:p>
    <w:p w:rsidR="002C1EFF" w:rsidRPr="00321A1F" w:rsidRDefault="002C1EFF" w:rsidP="002C1EFF">
      <w:pPr>
        <w:jc w:val="both"/>
      </w:pPr>
    </w:p>
    <w:p w:rsidR="002C1EFF" w:rsidRPr="00321A1F" w:rsidRDefault="002C1EFF" w:rsidP="002C1EFF">
      <w:pPr>
        <w:jc w:val="both"/>
      </w:pPr>
    </w:p>
    <w:p w:rsidR="002C1EFF" w:rsidRPr="00321A1F" w:rsidRDefault="002C1EFF" w:rsidP="002C1EFF">
      <w:pPr>
        <w:jc w:val="center"/>
      </w:pPr>
      <w:r w:rsidRPr="00321A1F">
        <w:rPr>
          <w:b/>
        </w:rPr>
        <w:t xml:space="preserve">Current and </w:t>
      </w:r>
      <w:r w:rsidR="007F5037">
        <w:rPr>
          <w:b/>
        </w:rPr>
        <w:t>Approved</w:t>
      </w:r>
      <w:r w:rsidRPr="00321A1F">
        <w:rPr>
          <w:b/>
        </w:rPr>
        <w:t xml:space="preserve"> Service Availability Charges</w:t>
      </w:r>
    </w:p>
    <w:tbl>
      <w:tblPr>
        <w:tblStyle w:val="TableGrid"/>
        <w:tblW w:w="0" w:type="auto"/>
        <w:jc w:val="center"/>
        <w:tblInd w:w="-974" w:type="dxa"/>
        <w:tblLook w:val="04A0" w:firstRow="1" w:lastRow="0" w:firstColumn="1" w:lastColumn="0" w:noHBand="0" w:noVBand="1"/>
      </w:tblPr>
      <w:tblGrid>
        <w:gridCol w:w="2972"/>
        <w:gridCol w:w="1440"/>
        <w:gridCol w:w="1800"/>
        <w:gridCol w:w="1620"/>
        <w:gridCol w:w="1440"/>
      </w:tblGrid>
      <w:tr w:rsidR="002C1EFF" w:rsidRPr="00321A1F" w:rsidTr="00EC6608">
        <w:trPr>
          <w:trHeight w:val="377"/>
          <w:jc w:val="center"/>
        </w:trPr>
        <w:tc>
          <w:tcPr>
            <w:tcW w:w="2972" w:type="dxa"/>
          </w:tcPr>
          <w:p w:rsidR="002C1EFF" w:rsidRPr="00321A1F" w:rsidRDefault="002C1EFF" w:rsidP="002C1EFF">
            <w:pPr>
              <w:spacing w:after="240"/>
              <w:jc w:val="both"/>
              <w:outlineLvl w:val="0"/>
              <w:rPr>
                <w:bCs/>
                <w:kern w:val="32"/>
              </w:rPr>
            </w:pPr>
          </w:p>
        </w:tc>
        <w:tc>
          <w:tcPr>
            <w:tcW w:w="3240" w:type="dxa"/>
            <w:gridSpan w:val="2"/>
            <w:vAlign w:val="bottom"/>
          </w:tcPr>
          <w:p w:rsidR="002C1EFF" w:rsidRPr="00321A1F" w:rsidRDefault="002C1EFF" w:rsidP="00DD429C">
            <w:pPr>
              <w:jc w:val="center"/>
              <w:outlineLvl w:val="0"/>
              <w:rPr>
                <w:b/>
                <w:bCs/>
                <w:i/>
                <w:kern w:val="32"/>
              </w:rPr>
            </w:pPr>
            <w:r w:rsidRPr="00321A1F">
              <w:rPr>
                <w:bCs/>
                <w:kern w:val="32"/>
              </w:rPr>
              <w:t xml:space="preserve">Current and </w:t>
            </w:r>
            <w:r w:rsidR="00DD429C">
              <w:rPr>
                <w:bCs/>
                <w:kern w:val="32"/>
              </w:rPr>
              <w:t>Approved</w:t>
            </w:r>
          </w:p>
        </w:tc>
        <w:tc>
          <w:tcPr>
            <w:tcW w:w="3060" w:type="dxa"/>
            <w:gridSpan w:val="2"/>
            <w:vAlign w:val="bottom"/>
          </w:tcPr>
          <w:p w:rsidR="002C1EFF" w:rsidRPr="00321A1F" w:rsidRDefault="002C1EFF" w:rsidP="00DD429C">
            <w:pPr>
              <w:jc w:val="center"/>
              <w:outlineLvl w:val="0"/>
              <w:rPr>
                <w:b/>
                <w:bCs/>
                <w:i/>
                <w:kern w:val="32"/>
              </w:rPr>
            </w:pPr>
            <w:r w:rsidRPr="00321A1F">
              <w:rPr>
                <w:bCs/>
                <w:kern w:val="32"/>
              </w:rPr>
              <w:t xml:space="preserve">Current and </w:t>
            </w:r>
            <w:r w:rsidR="00DD429C">
              <w:rPr>
                <w:bCs/>
                <w:kern w:val="32"/>
              </w:rPr>
              <w:t>Approved</w:t>
            </w:r>
          </w:p>
        </w:tc>
      </w:tr>
      <w:tr w:rsidR="002C1EFF" w:rsidRPr="00321A1F" w:rsidTr="00EC6608">
        <w:trPr>
          <w:trHeight w:val="296"/>
          <w:jc w:val="center"/>
        </w:trPr>
        <w:tc>
          <w:tcPr>
            <w:tcW w:w="2972" w:type="dxa"/>
          </w:tcPr>
          <w:p w:rsidR="002C1EFF" w:rsidRPr="00321A1F" w:rsidRDefault="002C1EFF" w:rsidP="002C1EFF">
            <w:pPr>
              <w:jc w:val="both"/>
              <w:outlineLvl w:val="0"/>
              <w:rPr>
                <w:bCs/>
                <w:kern w:val="32"/>
              </w:rPr>
            </w:pPr>
          </w:p>
        </w:tc>
        <w:tc>
          <w:tcPr>
            <w:tcW w:w="1440" w:type="dxa"/>
            <w:vAlign w:val="bottom"/>
          </w:tcPr>
          <w:p w:rsidR="002C1EFF" w:rsidRPr="00321A1F" w:rsidRDefault="002C1EFF" w:rsidP="002C1EFF">
            <w:pPr>
              <w:spacing w:after="240"/>
              <w:jc w:val="center"/>
              <w:outlineLvl w:val="0"/>
              <w:rPr>
                <w:bCs/>
                <w:kern w:val="32"/>
              </w:rPr>
            </w:pPr>
            <w:r w:rsidRPr="00321A1F">
              <w:rPr>
                <w:bCs/>
                <w:kern w:val="32"/>
              </w:rPr>
              <w:t>Potable</w:t>
            </w:r>
          </w:p>
        </w:tc>
        <w:tc>
          <w:tcPr>
            <w:tcW w:w="1800" w:type="dxa"/>
            <w:vAlign w:val="bottom"/>
          </w:tcPr>
          <w:p w:rsidR="002C1EFF" w:rsidRPr="00321A1F" w:rsidRDefault="002C1EFF" w:rsidP="002C1EFF">
            <w:pPr>
              <w:spacing w:after="240"/>
              <w:jc w:val="center"/>
              <w:outlineLvl w:val="0"/>
              <w:rPr>
                <w:bCs/>
                <w:kern w:val="32"/>
              </w:rPr>
            </w:pPr>
            <w:r w:rsidRPr="00321A1F">
              <w:rPr>
                <w:bCs/>
                <w:kern w:val="32"/>
              </w:rPr>
              <w:t>Non Potable</w:t>
            </w:r>
          </w:p>
        </w:tc>
        <w:tc>
          <w:tcPr>
            <w:tcW w:w="3060" w:type="dxa"/>
            <w:gridSpan w:val="2"/>
            <w:vAlign w:val="bottom"/>
          </w:tcPr>
          <w:p w:rsidR="002C1EFF" w:rsidRPr="00321A1F" w:rsidRDefault="002C1EFF" w:rsidP="002C1EFF">
            <w:pPr>
              <w:spacing w:after="240"/>
              <w:jc w:val="center"/>
              <w:outlineLvl w:val="0"/>
              <w:rPr>
                <w:bCs/>
                <w:kern w:val="32"/>
              </w:rPr>
            </w:pPr>
            <w:r w:rsidRPr="00321A1F">
              <w:rPr>
                <w:bCs/>
                <w:kern w:val="32"/>
              </w:rPr>
              <w:t>Wastewater</w:t>
            </w:r>
          </w:p>
        </w:tc>
      </w:tr>
      <w:tr w:rsidR="002C1EFF" w:rsidRPr="00321A1F" w:rsidTr="00EC6608">
        <w:trPr>
          <w:jc w:val="center"/>
        </w:trPr>
        <w:tc>
          <w:tcPr>
            <w:tcW w:w="2972" w:type="dxa"/>
          </w:tcPr>
          <w:p w:rsidR="002C1EFF" w:rsidRPr="00321A1F" w:rsidRDefault="002C1EFF" w:rsidP="002C1EFF">
            <w:pPr>
              <w:jc w:val="both"/>
              <w:outlineLvl w:val="0"/>
              <w:rPr>
                <w:bCs/>
                <w:kern w:val="32"/>
              </w:rPr>
            </w:pPr>
            <w:r w:rsidRPr="00321A1F">
              <w:rPr>
                <w:bCs/>
                <w:kern w:val="32"/>
              </w:rPr>
              <w:t>Meter Extension Charge</w:t>
            </w:r>
          </w:p>
        </w:tc>
        <w:tc>
          <w:tcPr>
            <w:tcW w:w="1440" w:type="dxa"/>
          </w:tcPr>
          <w:p w:rsidR="002C1EFF" w:rsidRPr="00321A1F" w:rsidRDefault="002C1EFF" w:rsidP="002C1EFF">
            <w:pPr>
              <w:spacing w:after="240"/>
              <w:jc w:val="right"/>
              <w:outlineLvl w:val="0"/>
              <w:rPr>
                <w:bCs/>
                <w:kern w:val="32"/>
              </w:rPr>
            </w:pPr>
            <w:r w:rsidRPr="00321A1F">
              <w:rPr>
                <w:bCs/>
                <w:kern w:val="32"/>
              </w:rPr>
              <w:t>$500</w:t>
            </w:r>
          </w:p>
        </w:tc>
        <w:tc>
          <w:tcPr>
            <w:tcW w:w="1800" w:type="dxa"/>
          </w:tcPr>
          <w:p w:rsidR="002C1EFF" w:rsidRPr="00321A1F" w:rsidRDefault="002C1EFF" w:rsidP="002C1EFF">
            <w:pPr>
              <w:spacing w:after="240"/>
              <w:jc w:val="right"/>
              <w:outlineLvl w:val="0"/>
              <w:rPr>
                <w:bCs/>
                <w:kern w:val="32"/>
              </w:rPr>
            </w:pPr>
            <w:r w:rsidRPr="00321A1F">
              <w:rPr>
                <w:bCs/>
                <w:kern w:val="32"/>
              </w:rPr>
              <w:t>$50</w:t>
            </w:r>
          </w:p>
        </w:tc>
        <w:tc>
          <w:tcPr>
            <w:tcW w:w="1620" w:type="dxa"/>
          </w:tcPr>
          <w:p w:rsidR="002C1EFF" w:rsidRPr="00321A1F" w:rsidRDefault="002C1EFF" w:rsidP="002C1EFF">
            <w:pPr>
              <w:spacing w:after="240"/>
              <w:jc w:val="right"/>
              <w:outlineLvl w:val="0"/>
              <w:rPr>
                <w:bCs/>
                <w:kern w:val="32"/>
              </w:rPr>
            </w:pPr>
            <w:r w:rsidRPr="00321A1F">
              <w:rPr>
                <w:bCs/>
                <w:kern w:val="32"/>
              </w:rPr>
              <w:t>$635</w:t>
            </w:r>
          </w:p>
        </w:tc>
        <w:tc>
          <w:tcPr>
            <w:tcW w:w="1440" w:type="dxa"/>
          </w:tcPr>
          <w:p w:rsidR="002C1EFF" w:rsidRPr="00321A1F" w:rsidRDefault="002C1EFF" w:rsidP="002C1EFF">
            <w:pPr>
              <w:spacing w:after="240"/>
              <w:jc w:val="right"/>
              <w:outlineLvl w:val="0"/>
              <w:rPr>
                <w:bCs/>
                <w:kern w:val="32"/>
              </w:rPr>
            </w:pPr>
            <w:r w:rsidRPr="00321A1F">
              <w:rPr>
                <w:bCs/>
                <w:kern w:val="32"/>
              </w:rPr>
              <w:t>$0</w:t>
            </w:r>
          </w:p>
        </w:tc>
      </w:tr>
      <w:tr w:rsidR="002C1EFF" w:rsidRPr="00321A1F" w:rsidTr="00EC6608">
        <w:trPr>
          <w:jc w:val="center"/>
        </w:trPr>
        <w:tc>
          <w:tcPr>
            <w:tcW w:w="2972" w:type="dxa"/>
          </w:tcPr>
          <w:p w:rsidR="002C1EFF" w:rsidRPr="00321A1F" w:rsidRDefault="002C1EFF" w:rsidP="002C1EFF">
            <w:pPr>
              <w:jc w:val="both"/>
              <w:outlineLvl w:val="0"/>
              <w:rPr>
                <w:bCs/>
                <w:kern w:val="32"/>
              </w:rPr>
            </w:pPr>
            <w:r w:rsidRPr="00321A1F">
              <w:rPr>
                <w:bCs/>
                <w:kern w:val="32"/>
              </w:rPr>
              <w:t>Plant Capacity Charge</w:t>
            </w:r>
          </w:p>
        </w:tc>
        <w:tc>
          <w:tcPr>
            <w:tcW w:w="1440" w:type="dxa"/>
          </w:tcPr>
          <w:p w:rsidR="002C1EFF" w:rsidRPr="00321A1F" w:rsidRDefault="002C1EFF" w:rsidP="002C1EFF">
            <w:pPr>
              <w:spacing w:after="240"/>
              <w:jc w:val="right"/>
              <w:outlineLvl w:val="0"/>
              <w:rPr>
                <w:bCs/>
                <w:kern w:val="32"/>
              </w:rPr>
            </w:pPr>
            <w:r w:rsidRPr="00321A1F">
              <w:rPr>
                <w:bCs/>
                <w:kern w:val="32"/>
              </w:rPr>
              <w:t>$780</w:t>
            </w:r>
          </w:p>
        </w:tc>
        <w:tc>
          <w:tcPr>
            <w:tcW w:w="1800" w:type="dxa"/>
          </w:tcPr>
          <w:p w:rsidR="002C1EFF" w:rsidRPr="00321A1F" w:rsidRDefault="002C1EFF" w:rsidP="002C1EFF">
            <w:pPr>
              <w:spacing w:after="240"/>
              <w:jc w:val="right"/>
              <w:outlineLvl w:val="0"/>
              <w:rPr>
                <w:bCs/>
                <w:kern w:val="32"/>
              </w:rPr>
            </w:pPr>
            <w:r w:rsidRPr="00321A1F">
              <w:rPr>
                <w:bCs/>
                <w:kern w:val="32"/>
              </w:rPr>
              <w:t>$250</w:t>
            </w:r>
          </w:p>
        </w:tc>
        <w:tc>
          <w:tcPr>
            <w:tcW w:w="1620" w:type="dxa"/>
          </w:tcPr>
          <w:p w:rsidR="002C1EFF" w:rsidRPr="00321A1F" w:rsidRDefault="002C1EFF" w:rsidP="002C1EFF">
            <w:pPr>
              <w:spacing w:after="240"/>
              <w:jc w:val="right"/>
              <w:outlineLvl w:val="0"/>
              <w:rPr>
                <w:bCs/>
                <w:kern w:val="32"/>
              </w:rPr>
            </w:pPr>
            <w:r w:rsidRPr="00321A1F">
              <w:rPr>
                <w:bCs/>
                <w:kern w:val="32"/>
              </w:rPr>
              <w:t>N/A</w:t>
            </w:r>
          </w:p>
        </w:tc>
        <w:tc>
          <w:tcPr>
            <w:tcW w:w="1440" w:type="dxa"/>
          </w:tcPr>
          <w:p w:rsidR="002C1EFF" w:rsidRPr="00321A1F" w:rsidRDefault="002C1EFF" w:rsidP="002C1EFF">
            <w:pPr>
              <w:spacing w:after="240"/>
              <w:jc w:val="right"/>
              <w:outlineLvl w:val="0"/>
              <w:rPr>
                <w:bCs/>
                <w:kern w:val="32"/>
              </w:rPr>
            </w:pPr>
            <w:r w:rsidRPr="00321A1F">
              <w:rPr>
                <w:bCs/>
                <w:kern w:val="32"/>
              </w:rPr>
              <w:t>N/A</w:t>
            </w:r>
          </w:p>
        </w:tc>
      </w:tr>
      <w:tr w:rsidR="002C1EFF" w:rsidRPr="00321A1F" w:rsidTr="00EC6608">
        <w:trPr>
          <w:jc w:val="center"/>
        </w:trPr>
        <w:tc>
          <w:tcPr>
            <w:tcW w:w="2972" w:type="dxa"/>
          </w:tcPr>
          <w:p w:rsidR="002C1EFF" w:rsidRPr="00321A1F" w:rsidRDefault="002C1EFF" w:rsidP="002C1EFF">
            <w:pPr>
              <w:jc w:val="both"/>
              <w:outlineLvl w:val="0"/>
              <w:rPr>
                <w:bCs/>
                <w:kern w:val="32"/>
              </w:rPr>
            </w:pPr>
            <w:r w:rsidRPr="00321A1F">
              <w:rPr>
                <w:bCs/>
                <w:kern w:val="32"/>
              </w:rPr>
              <w:t>Meter Installation Charge</w:t>
            </w:r>
          </w:p>
        </w:tc>
        <w:tc>
          <w:tcPr>
            <w:tcW w:w="1440" w:type="dxa"/>
          </w:tcPr>
          <w:p w:rsidR="002C1EFF" w:rsidRPr="00321A1F" w:rsidRDefault="002C1EFF" w:rsidP="002C1EFF">
            <w:pPr>
              <w:spacing w:after="240"/>
              <w:jc w:val="right"/>
              <w:outlineLvl w:val="0"/>
              <w:rPr>
                <w:bCs/>
                <w:kern w:val="32"/>
              </w:rPr>
            </w:pPr>
            <w:r w:rsidRPr="00321A1F">
              <w:rPr>
                <w:bCs/>
                <w:kern w:val="32"/>
              </w:rPr>
              <w:t>$150</w:t>
            </w:r>
          </w:p>
        </w:tc>
        <w:tc>
          <w:tcPr>
            <w:tcW w:w="1800" w:type="dxa"/>
          </w:tcPr>
          <w:p w:rsidR="002C1EFF" w:rsidRPr="00321A1F" w:rsidRDefault="002C1EFF" w:rsidP="002C1EFF">
            <w:pPr>
              <w:spacing w:after="240"/>
              <w:jc w:val="right"/>
              <w:outlineLvl w:val="0"/>
              <w:rPr>
                <w:bCs/>
                <w:kern w:val="32"/>
              </w:rPr>
            </w:pPr>
            <w:r w:rsidRPr="00321A1F">
              <w:rPr>
                <w:bCs/>
                <w:kern w:val="32"/>
              </w:rPr>
              <w:t>$150</w:t>
            </w:r>
          </w:p>
        </w:tc>
        <w:tc>
          <w:tcPr>
            <w:tcW w:w="1620" w:type="dxa"/>
          </w:tcPr>
          <w:p w:rsidR="002C1EFF" w:rsidRPr="00321A1F" w:rsidRDefault="002C1EFF" w:rsidP="002C1EFF">
            <w:pPr>
              <w:spacing w:after="240"/>
              <w:jc w:val="right"/>
              <w:outlineLvl w:val="0"/>
              <w:rPr>
                <w:bCs/>
                <w:kern w:val="32"/>
              </w:rPr>
            </w:pPr>
            <w:r w:rsidRPr="00321A1F">
              <w:rPr>
                <w:bCs/>
                <w:kern w:val="32"/>
              </w:rPr>
              <w:t>N/A</w:t>
            </w:r>
          </w:p>
        </w:tc>
        <w:tc>
          <w:tcPr>
            <w:tcW w:w="1440" w:type="dxa"/>
          </w:tcPr>
          <w:p w:rsidR="002C1EFF" w:rsidRPr="00321A1F" w:rsidRDefault="002C1EFF" w:rsidP="002C1EFF">
            <w:pPr>
              <w:spacing w:after="240"/>
              <w:jc w:val="right"/>
              <w:outlineLvl w:val="0"/>
              <w:rPr>
                <w:bCs/>
                <w:kern w:val="32"/>
              </w:rPr>
            </w:pPr>
            <w:r w:rsidRPr="00321A1F">
              <w:rPr>
                <w:bCs/>
                <w:kern w:val="32"/>
              </w:rPr>
              <w:t>N/A</w:t>
            </w:r>
          </w:p>
        </w:tc>
      </w:tr>
    </w:tbl>
    <w:p w:rsidR="00EC6608" w:rsidRPr="00321A1F" w:rsidRDefault="00EC6608" w:rsidP="002C1EFF">
      <w:pPr>
        <w:spacing w:after="240"/>
        <w:jc w:val="both"/>
        <w:rPr>
          <w:b/>
          <w:i/>
        </w:rPr>
      </w:pPr>
    </w:p>
    <w:p w:rsidR="008C0496" w:rsidRPr="008C0496" w:rsidRDefault="008C0496" w:rsidP="002C1EFF">
      <w:pPr>
        <w:spacing w:after="240"/>
        <w:jc w:val="both"/>
        <w:rPr>
          <w:u w:val="single"/>
        </w:rPr>
      </w:pPr>
      <w:r w:rsidRPr="00CA5232">
        <w:rPr>
          <w:u w:val="single"/>
        </w:rPr>
        <w:t>16. Phase II Proforma Rates</w:t>
      </w:r>
    </w:p>
    <w:p w:rsidR="002C1EFF" w:rsidRPr="00321A1F" w:rsidRDefault="00CD58F9" w:rsidP="00CA5232">
      <w:pPr>
        <w:spacing w:after="240"/>
        <w:ind w:hanging="360"/>
        <w:jc w:val="both"/>
        <w:outlineLvl w:val="0"/>
      </w:pPr>
      <w:r>
        <w:tab/>
      </w:r>
      <w:r>
        <w:tab/>
      </w:r>
      <w:r w:rsidR="002C1EFF" w:rsidRPr="00321A1F">
        <w:t xml:space="preserve">As discussed </w:t>
      </w:r>
      <w:r>
        <w:t>under the heading, “</w:t>
      </w:r>
      <w:r w:rsidRPr="006C7FBE">
        <w:rPr>
          <w:bCs/>
          <w:kern w:val="32"/>
          <w:u w:val="single"/>
        </w:rPr>
        <w:t>3.</w:t>
      </w:r>
      <w:r w:rsidR="0009791D">
        <w:rPr>
          <w:bCs/>
          <w:kern w:val="32"/>
          <w:u w:val="single"/>
        </w:rPr>
        <w:t xml:space="preserve"> </w:t>
      </w:r>
      <w:r w:rsidRPr="006C7FBE">
        <w:rPr>
          <w:bCs/>
          <w:kern w:val="32"/>
          <w:u w:val="single"/>
        </w:rPr>
        <w:t>Test Year</w:t>
      </w:r>
      <w:r>
        <w:rPr>
          <w:bCs/>
          <w:kern w:val="32"/>
          <w:u w:val="single"/>
        </w:rPr>
        <w:t xml:space="preserve"> Rate Bases</w:t>
      </w:r>
      <w:r>
        <w:rPr>
          <w:bCs/>
          <w:kern w:val="32"/>
        </w:rPr>
        <w:t xml:space="preserve">,” </w:t>
      </w:r>
      <w:r w:rsidR="002C1EFF" w:rsidRPr="00321A1F">
        <w:t>the Utility has requested recognition of several pro forma plant items</w:t>
      </w:r>
      <w:r>
        <w:t xml:space="preserve">. </w:t>
      </w:r>
      <w:r w:rsidR="002C1EFF" w:rsidRPr="00321A1F">
        <w:t>Several of the pro forma items either have been</w:t>
      </w:r>
      <w:r w:rsidR="004A7667">
        <w:t>,</w:t>
      </w:r>
      <w:r w:rsidR="002C1EFF" w:rsidRPr="00321A1F">
        <w:t xml:space="preserve"> or will be</w:t>
      </w:r>
      <w:r w:rsidR="004A7667">
        <w:t>,</w:t>
      </w:r>
      <w:r w:rsidR="002C1EFF" w:rsidRPr="00321A1F">
        <w:t xml:space="preserve"> completed before implementation of the Phase I rates</w:t>
      </w:r>
      <w:r w:rsidR="004A7667">
        <w:t>;</w:t>
      </w:r>
      <w:r w:rsidR="002C1EFF" w:rsidRPr="00321A1F">
        <w:t xml:space="preserve"> therefore, </w:t>
      </w:r>
      <w:r>
        <w:t>these items have been in</w:t>
      </w:r>
      <w:r w:rsidR="002C1EFF" w:rsidRPr="00321A1F">
        <w:t>cluded in the Phase I revenue requirement</w:t>
      </w:r>
      <w:r>
        <w:t>. T</w:t>
      </w:r>
      <w:r w:rsidR="002C1EFF" w:rsidRPr="00321A1F">
        <w:t xml:space="preserve">he Utility has additional pro forma items that are to be completed after Phase I rates become effective. </w:t>
      </w:r>
      <w:r>
        <w:t>T</w:t>
      </w:r>
      <w:r w:rsidR="002C1EFF" w:rsidRPr="00321A1F">
        <w:t>he Phase II pro forma plant items and estimated cost</w:t>
      </w:r>
      <w:r>
        <w:t xml:space="preserve"> are set forth </w:t>
      </w:r>
      <w:r w:rsidR="00CA5232">
        <w:t>in</w:t>
      </w:r>
      <w:r>
        <w:t xml:space="preserve"> the table below</w:t>
      </w:r>
      <w:r w:rsidR="00CA5232">
        <w:t xml:space="preserve"> under the heading, “</w:t>
      </w:r>
      <w:r w:rsidR="00CA5232" w:rsidRPr="00321A1F">
        <w:t>Phase II Pro Forma Adjustments</w:t>
      </w:r>
      <w:r>
        <w:t>.</w:t>
      </w:r>
      <w:r w:rsidR="00CA5232">
        <w:t>”</w:t>
      </w:r>
    </w:p>
    <w:p w:rsidR="002C1EFF" w:rsidRPr="00321A1F" w:rsidRDefault="00CD58F9" w:rsidP="002C1EFF">
      <w:pPr>
        <w:spacing w:after="240"/>
        <w:jc w:val="both"/>
      </w:pPr>
      <w:r>
        <w:tab/>
      </w:r>
      <w:r w:rsidR="00CA5232" w:rsidRPr="002815DF">
        <w:t xml:space="preserve">We have approved a Phase-In approach in other dockets for a number of reasons. This approach </w:t>
      </w:r>
      <w:r w:rsidR="002C1EFF" w:rsidRPr="002815DF">
        <w:t>assures that the pro forma items are completed prior to the Utility’s recovery of the investment in rates</w:t>
      </w:r>
      <w:r w:rsidR="002815DF">
        <w:t>. A</w:t>
      </w:r>
      <w:r w:rsidRPr="002815DF">
        <w:t>d</w:t>
      </w:r>
      <w:r w:rsidR="002C1EFF" w:rsidRPr="002815DF">
        <w:t xml:space="preserve">dressing the pro forma items in a single case saves additional rate case expense to the customers because the Utility </w:t>
      </w:r>
      <w:r w:rsidRPr="002815DF">
        <w:t>does</w:t>
      </w:r>
      <w:r w:rsidR="002C1EFF" w:rsidRPr="002815DF">
        <w:t xml:space="preserve"> not need to file another rate case or limited proceeding to seek recovery for these items.</w:t>
      </w:r>
      <w:r w:rsidRPr="002815DF">
        <w:tab/>
      </w:r>
      <w:r w:rsidR="00CA5232" w:rsidRPr="002815DF">
        <w:t>Our a</w:t>
      </w:r>
      <w:r w:rsidR="002C1EFF" w:rsidRPr="002815DF">
        <w:t xml:space="preserve">djustment to the Phase II UPIS balances results in increases of $13,434 for potable water and $11,005 for wastewater. </w:t>
      </w:r>
      <w:r w:rsidR="00CA5232" w:rsidRPr="002815DF">
        <w:t>We</w:t>
      </w:r>
      <w:r w:rsidR="002C1EFF" w:rsidRPr="002815DF">
        <w:t xml:space="preserve"> reduced accumulated depreciation by $37,859 for potable water and $30,431 for wastewater for retirements. </w:t>
      </w:r>
      <w:r w:rsidR="00CA5232" w:rsidRPr="002815DF">
        <w:t xml:space="preserve">We also </w:t>
      </w:r>
      <w:r w:rsidR="002C1EFF" w:rsidRPr="002815DF">
        <w:t xml:space="preserve">reduced wastewater plant and accumulated depreciation by $3,784 and </w:t>
      </w:r>
      <w:r w:rsidR="002C1EFF" w:rsidRPr="002815DF">
        <w:lastRenderedPageBreak/>
        <w:t xml:space="preserve">$245, respectively, for non-U&amp;U components. </w:t>
      </w:r>
      <w:r w:rsidR="00CA5232" w:rsidRPr="002815DF">
        <w:t xml:space="preserve">We </w:t>
      </w:r>
      <w:r w:rsidR="002C1EFF" w:rsidRPr="002815DF">
        <w:t>increased the working capital allowance by $1,221 for potable water, $640 for non-potable water, and $640 for wastewater.</w:t>
      </w:r>
    </w:p>
    <w:p w:rsidR="002C1EFF" w:rsidRPr="00321A1F" w:rsidRDefault="00CD58F9" w:rsidP="002C1EFF">
      <w:pPr>
        <w:jc w:val="both"/>
      </w:pPr>
      <w:r>
        <w:tab/>
      </w:r>
      <w:r w:rsidR="00CA5232">
        <w:t xml:space="preserve">Our </w:t>
      </w:r>
      <w:r w:rsidR="002C1EFF" w:rsidRPr="00321A1F">
        <w:t xml:space="preserve">adjustments for Phase II include an increase in O&amp;M expenses of $9,769 for potable water, $5,117 for non-potable water, and $5,117 for wastewater. </w:t>
      </w:r>
      <w:r w:rsidR="00CA5232">
        <w:t>We</w:t>
      </w:r>
      <w:r w:rsidR="002C1EFF" w:rsidRPr="00321A1F">
        <w:t xml:space="preserve"> adjusted depreciation expense to reflect the pro forma additions, retirements, and U&amp;U adjustments resulting in increases of $610 for potable water and $436 for wastewater. </w:t>
      </w:r>
      <w:r w:rsidR="00CA5232">
        <w:t>We</w:t>
      </w:r>
      <w:r w:rsidR="002C1EFF" w:rsidRPr="00321A1F">
        <w:t xml:space="preserve"> increased TOTI by $208 for potable water and $170 for wastewater to reflect the increase in property taxes related to pro forma additions. </w:t>
      </w:r>
      <w:r w:rsidR="00CA5232">
        <w:t>Our</w:t>
      </w:r>
      <w:r w:rsidR="002C1EFF" w:rsidRPr="00321A1F">
        <w:t xml:space="preserve"> total adjustment to operating expenses, including additional RAFs, results in increases of $11,173 for potable water, $5,360 for non-potable water, and $5,993 for wastewater. The resulting operating expenses are $163,201 for potable water, $245,825 for non-potable water, and $175,657 for wastewater.</w:t>
      </w:r>
    </w:p>
    <w:p w:rsidR="002C1EFF" w:rsidRPr="00321A1F" w:rsidRDefault="002C1EFF" w:rsidP="002C1EFF">
      <w:pPr>
        <w:jc w:val="both"/>
      </w:pPr>
    </w:p>
    <w:p w:rsidR="002C1EFF" w:rsidRPr="00321A1F" w:rsidRDefault="002C1EFF" w:rsidP="002C1EFF">
      <w:pPr>
        <w:jc w:val="both"/>
      </w:pPr>
    </w:p>
    <w:p w:rsidR="002C1EFF" w:rsidRPr="00321A1F" w:rsidRDefault="002C1EFF" w:rsidP="002C1EFF">
      <w:pPr>
        <w:jc w:val="center"/>
        <w:rPr>
          <w:b/>
        </w:rPr>
      </w:pPr>
    </w:p>
    <w:tbl>
      <w:tblPr>
        <w:tblW w:w="5780" w:type="dxa"/>
        <w:jc w:val="center"/>
        <w:tblInd w:w="93" w:type="dxa"/>
        <w:tblLook w:val="04A0" w:firstRow="1" w:lastRow="0" w:firstColumn="1" w:lastColumn="0" w:noHBand="0" w:noVBand="1"/>
      </w:tblPr>
      <w:tblGrid>
        <w:gridCol w:w="2674"/>
        <w:gridCol w:w="1038"/>
        <w:gridCol w:w="1038"/>
        <w:gridCol w:w="1030"/>
      </w:tblGrid>
      <w:tr w:rsidR="002C1EFF" w:rsidRPr="00321A1F" w:rsidTr="00EC6608">
        <w:trPr>
          <w:trHeight w:val="315"/>
          <w:jc w:val="center"/>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EFF" w:rsidRPr="00321A1F" w:rsidRDefault="002C1EFF" w:rsidP="002C1EFF">
            <w:pPr>
              <w:jc w:val="center"/>
            </w:pPr>
            <w:r w:rsidRPr="00321A1F">
              <w:t>Phase II Pro Forma Adjustments</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 </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center"/>
            </w:pPr>
            <w:r w:rsidRPr="00321A1F">
              <w:t> </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center"/>
            </w:pPr>
            <w:r w:rsidRPr="00321A1F">
              <w:t>Accum</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center"/>
            </w:pPr>
            <w:r w:rsidRPr="00321A1F">
              <w:t>Depr.</w:t>
            </w:r>
          </w:p>
        </w:tc>
      </w:tr>
      <w:tr w:rsidR="002C1EFF" w:rsidRPr="00321A1F" w:rsidTr="00EC6608">
        <w:trPr>
          <w:trHeight w:val="315"/>
          <w:jc w:val="center"/>
        </w:trPr>
        <w:tc>
          <w:tcPr>
            <w:tcW w:w="2674" w:type="dxa"/>
            <w:tcBorders>
              <w:top w:val="nil"/>
              <w:left w:val="single" w:sz="4" w:space="0" w:color="auto"/>
              <w:bottom w:val="single" w:sz="4" w:space="0" w:color="auto"/>
              <w:right w:val="nil"/>
            </w:tcBorders>
            <w:shd w:val="clear" w:color="auto" w:fill="auto"/>
            <w:noWrap/>
            <w:vAlign w:val="bottom"/>
            <w:hideMark/>
          </w:tcPr>
          <w:p w:rsidR="002C1EFF" w:rsidRPr="00321A1F" w:rsidRDefault="002C1EFF" w:rsidP="002C1EFF">
            <w:r w:rsidRPr="00321A1F">
              <w:t>Description</w:t>
            </w:r>
          </w:p>
        </w:tc>
        <w:tc>
          <w:tcPr>
            <w:tcW w:w="1038" w:type="dxa"/>
            <w:tcBorders>
              <w:top w:val="nil"/>
              <w:left w:val="nil"/>
              <w:bottom w:val="single" w:sz="4" w:space="0" w:color="auto"/>
              <w:right w:val="nil"/>
            </w:tcBorders>
            <w:shd w:val="clear" w:color="auto" w:fill="auto"/>
            <w:noWrap/>
            <w:vAlign w:val="bottom"/>
            <w:hideMark/>
          </w:tcPr>
          <w:p w:rsidR="002C1EFF" w:rsidRPr="00321A1F" w:rsidRDefault="002C1EFF" w:rsidP="002C1EFF">
            <w:pPr>
              <w:jc w:val="center"/>
            </w:pPr>
            <w:r w:rsidRPr="00321A1F">
              <w:t>UPIS</w:t>
            </w:r>
          </w:p>
        </w:tc>
        <w:tc>
          <w:tcPr>
            <w:tcW w:w="1038" w:type="dxa"/>
            <w:tcBorders>
              <w:top w:val="nil"/>
              <w:left w:val="nil"/>
              <w:bottom w:val="single" w:sz="4" w:space="0" w:color="auto"/>
              <w:right w:val="nil"/>
            </w:tcBorders>
            <w:shd w:val="clear" w:color="auto" w:fill="auto"/>
            <w:noWrap/>
            <w:vAlign w:val="bottom"/>
            <w:hideMark/>
          </w:tcPr>
          <w:p w:rsidR="002C1EFF" w:rsidRPr="00321A1F" w:rsidRDefault="002C1EFF" w:rsidP="002C1EFF">
            <w:pPr>
              <w:jc w:val="center"/>
            </w:pPr>
            <w:r w:rsidRPr="00321A1F">
              <w:t>Depr.</w:t>
            </w:r>
          </w:p>
        </w:tc>
        <w:tc>
          <w:tcPr>
            <w:tcW w:w="1030" w:type="dxa"/>
            <w:tcBorders>
              <w:top w:val="nil"/>
              <w:left w:val="nil"/>
              <w:bottom w:val="single" w:sz="4" w:space="0" w:color="auto"/>
              <w:right w:val="single" w:sz="4" w:space="0" w:color="auto"/>
            </w:tcBorders>
            <w:shd w:val="clear" w:color="auto" w:fill="auto"/>
            <w:noWrap/>
            <w:vAlign w:val="bottom"/>
            <w:hideMark/>
          </w:tcPr>
          <w:p w:rsidR="002C1EFF" w:rsidRPr="00321A1F" w:rsidRDefault="002C1EFF" w:rsidP="002C1EFF">
            <w:pPr>
              <w:jc w:val="center"/>
            </w:pPr>
            <w:r w:rsidRPr="00321A1F">
              <w:t>Expense</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pPr>
              <w:rPr>
                <w:u w:val="single"/>
              </w:rPr>
            </w:pPr>
            <w:r w:rsidRPr="00321A1F">
              <w:rPr>
                <w:u w:val="single"/>
              </w:rPr>
              <w:t>Potable Water</w:t>
            </w:r>
          </w:p>
        </w:tc>
        <w:tc>
          <w:tcPr>
            <w:tcW w:w="1038" w:type="dxa"/>
            <w:tcBorders>
              <w:top w:val="nil"/>
              <w:left w:val="nil"/>
              <w:bottom w:val="nil"/>
              <w:right w:val="nil"/>
            </w:tcBorders>
            <w:shd w:val="clear" w:color="auto" w:fill="auto"/>
            <w:noWrap/>
            <w:vAlign w:val="bottom"/>
            <w:hideMark/>
          </w:tcPr>
          <w:p w:rsidR="002C1EFF" w:rsidRPr="00321A1F" w:rsidRDefault="002C1EFF" w:rsidP="002C1EFF">
            <w:r w:rsidRPr="00321A1F">
              <w:t> </w:t>
            </w:r>
          </w:p>
        </w:tc>
        <w:tc>
          <w:tcPr>
            <w:tcW w:w="1038" w:type="dxa"/>
            <w:tcBorders>
              <w:top w:val="nil"/>
              <w:left w:val="nil"/>
              <w:bottom w:val="nil"/>
              <w:right w:val="nil"/>
            </w:tcBorders>
            <w:shd w:val="clear" w:color="auto" w:fill="auto"/>
            <w:noWrap/>
            <w:vAlign w:val="bottom"/>
            <w:hideMark/>
          </w:tcPr>
          <w:p w:rsidR="002C1EFF" w:rsidRPr="00321A1F" w:rsidRDefault="002C1EFF" w:rsidP="002C1EFF">
            <w:r w:rsidRPr="00321A1F">
              <w:t> </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r w:rsidRPr="00321A1F">
              <w:t> </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Reverse Osmosis Skid</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pPr>
            <w:r w:rsidRPr="00321A1F">
              <w:t xml:space="preserve">$53,736 </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pPr>
            <w:r w:rsidRPr="00321A1F">
              <w:t>($2,443)</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right"/>
            </w:pPr>
            <w:r w:rsidRPr="00321A1F">
              <w:t xml:space="preserve">$2,443 </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 xml:space="preserve">    Retirement</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rPr>
                <w:u w:val="single"/>
              </w:rPr>
            </w:pPr>
            <w:r w:rsidRPr="00321A1F">
              <w:rPr>
                <w:u w:val="single"/>
              </w:rPr>
              <w:t>(40,302)</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rPr>
                <w:u w:val="single"/>
              </w:rPr>
            </w:pPr>
            <w:r w:rsidRPr="00321A1F">
              <w:rPr>
                <w:u w:val="single"/>
              </w:rPr>
              <w:t xml:space="preserve">40,302 </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right"/>
              <w:rPr>
                <w:u w:val="single"/>
              </w:rPr>
            </w:pPr>
            <w:r w:rsidRPr="00321A1F">
              <w:rPr>
                <w:u w:val="single"/>
              </w:rPr>
              <w:t>(1,832)</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 xml:space="preserve">      Total</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rPr>
                <w:u w:val="double"/>
              </w:rPr>
            </w:pPr>
            <w:r w:rsidRPr="00321A1F">
              <w:rPr>
                <w:u w:val="double"/>
              </w:rPr>
              <w:t xml:space="preserve">$13,434 </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rPr>
                <w:u w:val="double"/>
              </w:rPr>
            </w:pPr>
            <w:r w:rsidRPr="00321A1F">
              <w:rPr>
                <w:u w:val="double"/>
              </w:rPr>
              <w:t xml:space="preserve">$37,859 </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right"/>
              <w:rPr>
                <w:u w:val="double"/>
              </w:rPr>
            </w:pPr>
            <w:r w:rsidRPr="00321A1F">
              <w:rPr>
                <w:u w:val="double"/>
              </w:rPr>
              <w:t xml:space="preserve">$611 </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 </w:t>
            </w:r>
          </w:p>
        </w:tc>
        <w:tc>
          <w:tcPr>
            <w:tcW w:w="1038" w:type="dxa"/>
            <w:tcBorders>
              <w:top w:val="nil"/>
              <w:left w:val="nil"/>
              <w:bottom w:val="nil"/>
              <w:right w:val="nil"/>
            </w:tcBorders>
            <w:shd w:val="clear" w:color="auto" w:fill="auto"/>
            <w:noWrap/>
            <w:vAlign w:val="bottom"/>
            <w:hideMark/>
          </w:tcPr>
          <w:p w:rsidR="002C1EFF" w:rsidRPr="00321A1F" w:rsidRDefault="002C1EFF" w:rsidP="002C1EFF"/>
        </w:tc>
        <w:tc>
          <w:tcPr>
            <w:tcW w:w="1038" w:type="dxa"/>
            <w:tcBorders>
              <w:top w:val="nil"/>
              <w:left w:val="nil"/>
              <w:bottom w:val="nil"/>
              <w:right w:val="nil"/>
            </w:tcBorders>
            <w:shd w:val="clear" w:color="auto" w:fill="auto"/>
            <w:noWrap/>
            <w:vAlign w:val="bottom"/>
            <w:hideMark/>
          </w:tcPr>
          <w:p w:rsidR="002C1EFF" w:rsidRPr="00321A1F" w:rsidRDefault="002C1EFF" w:rsidP="002C1EFF"/>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r w:rsidRPr="00321A1F">
              <w:t> </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pPr>
              <w:rPr>
                <w:u w:val="single"/>
              </w:rPr>
            </w:pPr>
            <w:r w:rsidRPr="00321A1F">
              <w:rPr>
                <w:u w:val="single"/>
              </w:rPr>
              <w:t>Wastewater</w:t>
            </w:r>
          </w:p>
        </w:tc>
        <w:tc>
          <w:tcPr>
            <w:tcW w:w="1038" w:type="dxa"/>
            <w:tcBorders>
              <w:top w:val="nil"/>
              <w:left w:val="nil"/>
              <w:bottom w:val="nil"/>
              <w:right w:val="nil"/>
            </w:tcBorders>
            <w:shd w:val="clear" w:color="auto" w:fill="auto"/>
            <w:noWrap/>
            <w:vAlign w:val="bottom"/>
            <w:hideMark/>
          </w:tcPr>
          <w:p w:rsidR="002C1EFF" w:rsidRPr="00321A1F" w:rsidRDefault="002C1EFF" w:rsidP="002C1EFF"/>
        </w:tc>
        <w:tc>
          <w:tcPr>
            <w:tcW w:w="1038" w:type="dxa"/>
            <w:tcBorders>
              <w:top w:val="nil"/>
              <w:left w:val="nil"/>
              <w:bottom w:val="nil"/>
              <w:right w:val="nil"/>
            </w:tcBorders>
            <w:shd w:val="clear" w:color="auto" w:fill="auto"/>
            <w:noWrap/>
            <w:vAlign w:val="bottom"/>
            <w:hideMark/>
          </w:tcPr>
          <w:p w:rsidR="002C1EFF" w:rsidRPr="00321A1F" w:rsidRDefault="002C1EFF" w:rsidP="002C1EFF"/>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r w:rsidRPr="00321A1F">
              <w:t> </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Catwalks at Plant</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pPr>
            <w:r w:rsidRPr="00321A1F">
              <w:t xml:space="preserve">$9,703 </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pPr>
            <w:r w:rsidRPr="00321A1F">
              <w:t>($359)</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right"/>
            </w:pPr>
            <w:r w:rsidRPr="00321A1F">
              <w:t xml:space="preserve">$359 </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Blower</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pPr>
            <w:r w:rsidRPr="00321A1F">
              <w:t xml:space="preserve">28,716 </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pPr>
            <w:r w:rsidRPr="00321A1F">
              <w:t>(1,914)</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right"/>
            </w:pPr>
            <w:r w:rsidRPr="00321A1F">
              <w:t xml:space="preserve">1,914 </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Sand Filters</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pPr>
            <w:r w:rsidRPr="00321A1F">
              <w:t xml:space="preserve">5,603 </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pPr>
            <w:r w:rsidRPr="00321A1F">
              <w:t>(311)</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right"/>
            </w:pPr>
            <w:r w:rsidRPr="00321A1F">
              <w:t xml:space="preserve">311 </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 xml:space="preserve">   Retirements</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rPr>
                <w:u w:val="single"/>
              </w:rPr>
            </w:pPr>
            <w:r w:rsidRPr="00321A1F">
              <w:rPr>
                <w:u w:val="single"/>
              </w:rPr>
              <w:t>(33,016)</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rPr>
                <w:u w:val="single"/>
              </w:rPr>
            </w:pPr>
            <w:r w:rsidRPr="00321A1F">
              <w:rPr>
                <w:u w:val="single"/>
              </w:rPr>
              <w:t xml:space="preserve">33,016 </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right"/>
              <w:rPr>
                <w:u w:val="single"/>
              </w:rPr>
            </w:pPr>
            <w:r w:rsidRPr="00321A1F">
              <w:rPr>
                <w:u w:val="single"/>
              </w:rPr>
              <w:t>(1,939)</w:t>
            </w:r>
          </w:p>
        </w:tc>
      </w:tr>
      <w:tr w:rsidR="002C1EFF" w:rsidRPr="00321A1F" w:rsidTr="00EC6608">
        <w:trPr>
          <w:trHeight w:val="315"/>
          <w:jc w:val="center"/>
        </w:trPr>
        <w:tc>
          <w:tcPr>
            <w:tcW w:w="2674" w:type="dxa"/>
            <w:tcBorders>
              <w:top w:val="nil"/>
              <w:left w:val="single" w:sz="4" w:space="0" w:color="auto"/>
              <w:bottom w:val="nil"/>
              <w:right w:val="nil"/>
            </w:tcBorders>
            <w:shd w:val="clear" w:color="auto" w:fill="auto"/>
            <w:noWrap/>
            <w:vAlign w:val="bottom"/>
            <w:hideMark/>
          </w:tcPr>
          <w:p w:rsidR="002C1EFF" w:rsidRPr="00321A1F" w:rsidRDefault="002C1EFF" w:rsidP="002C1EFF">
            <w:r w:rsidRPr="00321A1F">
              <w:t xml:space="preserve">      Total</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rPr>
                <w:u w:val="double"/>
              </w:rPr>
            </w:pPr>
            <w:r w:rsidRPr="00321A1F">
              <w:rPr>
                <w:u w:val="double"/>
              </w:rPr>
              <w:t xml:space="preserve">$11,005 </w:t>
            </w:r>
          </w:p>
        </w:tc>
        <w:tc>
          <w:tcPr>
            <w:tcW w:w="1038" w:type="dxa"/>
            <w:tcBorders>
              <w:top w:val="nil"/>
              <w:left w:val="nil"/>
              <w:bottom w:val="nil"/>
              <w:right w:val="nil"/>
            </w:tcBorders>
            <w:shd w:val="clear" w:color="auto" w:fill="auto"/>
            <w:noWrap/>
            <w:vAlign w:val="bottom"/>
            <w:hideMark/>
          </w:tcPr>
          <w:p w:rsidR="002C1EFF" w:rsidRPr="00321A1F" w:rsidRDefault="002C1EFF" w:rsidP="002C1EFF">
            <w:pPr>
              <w:jc w:val="right"/>
              <w:rPr>
                <w:u w:val="double"/>
              </w:rPr>
            </w:pPr>
            <w:r w:rsidRPr="00321A1F">
              <w:rPr>
                <w:u w:val="double"/>
              </w:rPr>
              <w:t xml:space="preserve">$30,431 </w:t>
            </w:r>
          </w:p>
        </w:tc>
        <w:tc>
          <w:tcPr>
            <w:tcW w:w="1030" w:type="dxa"/>
            <w:tcBorders>
              <w:top w:val="nil"/>
              <w:left w:val="nil"/>
              <w:bottom w:val="nil"/>
              <w:right w:val="single" w:sz="4" w:space="0" w:color="auto"/>
            </w:tcBorders>
            <w:shd w:val="clear" w:color="auto" w:fill="auto"/>
            <w:noWrap/>
            <w:vAlign w:val="bottom"/>
            <w:hideMark/>
          </w:tcPr>
          <w:p w:rsidR="002C1EFF" w:rsidRPr="00321A1F" w:rsidRDefault="002C1EFF" w:rsidP="002C1EFF">
            <w:pPr>
              <w:jc w:val="right"/>
              <w:rPr>
                <w:u w:val="double"/>
              </w:rPr>
            </w:pPr>
            <w:r w:rsidRPr="00321A1F">
              <w:rPr>
                <w:u w:val="double"/>
              </w:rPr>
              <w:t xml:space="preserve">$646 </w:t>
            </w:r>
          </w:p>
        </w:tc>
      </w:tr>
      <w:tr w:rsidR="002C1EFF" w:rsidRPr="00321A1F" w:rsidTr="00EC6608">
        <w:trPr>
          <w:trHeight w:val="315"/>
          <w:jc w:val="center"/>
        </w:trPr>
        <w:tc>
          <w:tcPr>
            <w:tcW w:w="2674" w:type="dxa"/>
            <w:tcBorders>
              <w:top w:val="nil"/>
              <w:left w:val="single" w:sz="4" w:space="0" w:color="auto"/>
              <w:bottom w:val="single" w:sz="4" w:space="0" w:color="auto"/>
              <w:right w:val="nil"/>
            </w:tcBorders>
            <w:shd w:val="clear" w:color="auto" w:fill="auto"/>
            <w:noWrap/>
            <w:vAlign w:val="bottom"/>
            <w:hideMark/>
          </w:tcPr>
          <w:p w:rsidR="002C1EFF" w:rsidRPr="00321A1F" w:rsidRDefault="002C1EFF" w:rsidP="002C1EFF">
            <w:r w:rsidRPr="00321A1F">
              <w:t> </w:t>
            </w:r>
          </w:p>
        </w:tc>
        <w:tc>
          <w:tcPr>
            <w:tcW w:w="1038" w:type="dxa"/>
            <w:tcBorders>
              <w:top w:val="nil"/>
              <w:left w:val="nil"/>
              <w:bottom w:val="single" w:sz="4" w:space="0" w:color="auto"/>
              <w:right w:val="nil"/>
            </w:tcBorders>
            <w:shd w:val="clear" w:color="auto" w:fill="auto"/>
            <w:noWrap/>
            <w:vAlign w:val="bottom"/>
            <w:hideMark/>
          </w:tcPr>
          <w:p w:rsidR="002C1EFF" w:rsidRPr="00321A1F" w:rsidRDefault="002C1EFF" w:rsidP="002C1EFF">
            <w:r w:rsidRPr="00321A1F">
              <w:t> </w:t>
            </w:r>
          </w:p>
        </w:tc>
        <w:tc>
          <w:tcPr>
            <w:tcW w:w="1038" w:type="dxa"/>
            <w:tcBorders>
              <w:top w:val="nil"/>
              <w:left w:val="nil"/>
              <w:bottom w:val="single" w:sz="4" w:space="0" w:color="auto"/>
              <w:right w:val="nil"/>
            </w:tcBorders>
            <w:shd w:val="clear" w:color="auto" w:fill="auto"/>
            <w:noWrap/>
            <w:vAlign w:val="bottom"/>
            <w:hideMark/>
          </w:tcPr>
          <w:p w:rsidR="002C1EFF" w:rsidRPr="00321A1F" w:rsidRDefault="002C1EFF" w:rsidP="002C1EFF">
            <w:r w:rsidRPr="00321A1F">
              <w:t> </w:t>
            </w:r>
          </w:p>
        </w:tc>
        <w:tc>
          <w:tcPr>
            <w:tcW w:w="1030" w:type="dxa"/>
            <w:tcBorders>
              <w:top w:val="nil"/>
              <w:left w:val="nil"/>
              <w:bottom w:val="single" w:sz="4" w:space="0" w:color="auto"/>
              <w:right w:val="single" w:sz="4" w:space="0" w:color="auto"/>
            </w:tcBorders>
            <w:shd w:val="clear" w:color="auto" w:fill="auto"/>
            <w:noWrap/>
            <w:vAlign w:val="bottom"/>
            <w:hideMark/>
          </w:tcPr>
          <w:p w:rsidR="002C1EFF" w:rsidRPr="00321A1F" w:rsidRDefault="002C1EFF" w:rsidP="002C1EFF">
            <w:r w:rsidRPr="00321A1F">
              <w:t> </w:t>
            </w:r>
          </w:p>
        </w:tc>
      </w:tr>
    </w:tbl>
    <w:p w:rsidR="002C1EFF" w:rsidRPr="00321A1F" w:rsidRDefault="002C1EFF" w:rsidP="002C1EFF">
      <w:pPr>
        <w:jc w:val="center"/>
      </w:pPr>
    </w:p>
    <w:p w:rsidR="002C1EFF" w:rsidRPr="00321A1F" w:rsidRDefault="002C1EFF" w:rsidP="002C1EFF">
      <w:pPr>
        <w:spacing w:after="240"/>
        <w:jc w:val="both"/>
      </w:pPr>
    </w:p>
    <w:p w:rsidR="002C1EFF" w:rsidRPr="00321A1F" w:rsidRDefault="00CD58F9" w:rsidP="00CA5232">
      <w:pPr>
        <w:spacing w:after="240"/>
        <w:jc w:val="both"/>
      </w:pPr>
      <w:r>
        <w:tab/>
      </w:r>
      <w:r w:rsidR="002C1EFF" w:rsidRPr="00321A1F">
        <w:t xml:space="preserve">The Utility’s Phase II revenue requirement </w:t>
      </w:r>
      <w:r w:rsidR="00CA5232">
        <w:t>is</w:t>
      </w:r>
      <w:r w:rsidR="002C1EFF" w:rsidRPr="00321A1F">
        <w:t xml:space="preserve"> $171,277 for potable water, $252,165 for non-potable water, and $185,657 for wastewater. These totals represent increases of 8.23 percent, 2.18 percent, and 3.34 percent for potable water, non-potable water, and wastewater, respectively, over the </w:t>
      </w:r>
      <w:r w:rsidR="00CA5232">
        <w:t>approved</w:t>
      </w:r>
      <w:r w:rsidR="002C1EFF" w:rsidRPr="00321A1F">
        <w:t xml:space="preserve"> Phase I revenue requirements. As </w:t>
      </w:r>
      <w:r w:rsidR="00CA5232">
        <w:t>discussed under the heading, “</w:t>
      </w:r>
      <w:r w:rsidR="00CA5232" w:rsidRPr="00121F10">
        <w:rPr>
          <w:u w:val="single"/>
        </w:rPr>
        <w:t>10. Rate Structure for Water and Wastewater Systems</w:t>
      </w:r>
      <w:r w:rsidR="00CA5232">
        <w:t xml:space="preserve">,” we approved </w:t>
      </w:r>
      <w:r w:rsidR="002C1EFF" w:rsidRPr="00321A1F">
        <w:t>netting the Phase I potable water system</w:t>
      </w:r>
      <w:r w:rsidR="002815DF">
        <w:t xml:space="preserve"> </w:t>
      </w:r>
      <w:r w:rsidR="002C1EFF" w:rsidRPr="00321A1F">
        <w:t>overearnings and wastewater system revenues. The netting of wastewater revenues to potable water revenues avoided a reduction to Phase I potable water rates. Including miscellaneous revenues, the Phase I rates generate 99.7 percent of the Phase II potable water revenue requirement. As a result, the potable water rates sh</w:t>
      </w:r>
      <w:r w:rsidR="00CA5232">
        <w:t>all</w:t>
      </w:r>
      <w:r w:rsidR="002C1EFF" w:rsidRPr="00321A1F">
        <w:t xml:space="preserve"> remain unchanged for Phase II. The wastewater rates </w:t>
      </w:r>
      <w:r w:rsidR="00CA5232">
        <w:t>are</w:t>
      </w:r>
      <w:r w:rsidR="002C1EFF" w:rsidRPr="00321A1F">
        <w:t xml:space="preserve"> design</w:t>
      </w:r>
      <w:r w:rsidR="00CA5232">
        <w:t>ed</w:t>
      </w:r>
      <w:r w:rsidR="002C1EFF" w:rsidRPr="00321A1F">
        <w:t xml:space="preserve"> to generate revenues of $185,002, excluding miscellaneous </w:t>
      </w:r>
      <w:r w:rsidR="002C1EFF" w:rsidRPr="00321A1F">
        <w:lastRenderedPageBreak/>
        <w:t>revenues. The BFC allocation sh</w:t>
      </w:r>
      <w:r w:rsidR="00CA5232">
        <w:t>all</w:t>
      </w:r>
      <w:r w:rsidR="002C1EFF" w:rsidRPr="00321A1F">
        <w:t xml:space="preserve"> remain the same as the test year revenue allocation of 60 percent. The residential gallonage cap sh</w:t>
      </w:r>
      <w:r w:rsidR="00CA5232">
        <w:t xml:space="preserve">all </w:t>
      </w:r>
      <w:r w:rsidR="002C1EFF" w:rsidRPr="00321A1F">
        <w:t xml:space="preserve">remain at 8,000 gallons. </w:t>
      </w:r>
      <w:r w:rsidR="00CA5232">
        <w:t>C</w:t>
      </w:r>
      <w:r w:rsidR="00CA5232" w:rsidRPr="00321A1F">
        <w:t xml:space="preserve">onsistent with </w:t>
      </w:r>
      <w:r w:rsidR="00CA5232">
        <w:t>our</w:t>
      </w:r>
      <w:r w:rsidR="00CA5232" w:rsidRPr="00321A1F">
        <w:t xml:space="preserve"> practice</w:t>
      </w:r>
      <w:r w:rsidR="00CA5232">
        <w:t>, t</w:t>
      </w:r>
      <w:r w:rsidR="002C1EFF" w:rsidRPr="00321A1F">
        <w:t>he general service gallonage charge sh</w:t>
      </w:r>
      <w:r w:rsidR="00CA5232">
        <w:t>all</w:t>
      </w:r>
      <w:r w:rsidR="002C1EFF" w:rsidRPr="00321A1F">
        <w:t xml:space="preserve"> continue at 1.2 times the residential gallonage charge</w:t>
      </w:r>
      <w:r w:rsidR="00CA5232">
        <w:t>.</w:t>
      </w:r>
      <w:r w:rsidR="002C1EFF" w:rsidRPr="00321A1F">
        <w:t xml:space="preserve"> </w:t>
      </w:r>
    </w:p>
    <w:p w:rsidR="002C1EFF" w:rsidRPr="00321A1F" w:rsidRDefault="00CD58F9" w:rsidP="002C1EFF">
      <w:pPr>
        <w:spacing w:after="240"/>
        <w:jc w:val="both"/>
      </w:pPr>
      <w:r>
        <w:tab/>
      </w:r>
      <w:r w:rsidR="002C1EFF" w:rsidRPr="00321A1F">
        <w:t>Phase II rate bases are shown on Schedule Nos. 5-A, 5-B, and 5-C. The capital structure for Phase II is shown on Schedule No. 6. The revenue requirements are shown on Schedule Nos. 7-A, 7-B, and 7-C. The resulting rates are shown on Schedule Nos. 8-A, 8-B, and 8-C.</w:t>
      </w:r>
    </w:p>
    <w:p w:rsidR="002C1EFF" w:rsidRPr="00321A1F" w:rsidRDefault="00CD58F9" w:rsidP="002C1EFF">
      <w:pPr>
        <w:spacing w:after="240"/>
        <w:jc w:val="both"/>
      </w:pPr>
      <w:r>
        <w:tab/>
      </w:r>
      <w:r w:rsidR="002C1EFF" w:rsidRPr="00321A1F">
        <w:t xml:space="preserve">Implementation of the Phase II rates is conditioned upon Aquarina completing the pro forma items within 12 months of the issuance of a consummating order in this docket. The Utility </w:t>
      </w:r>
      <w:r w:rsidR="00C83728">
        <w:t>is</w:t>
      </w:r>
      <w:r w:rsidR="002C1EFF" w:rsidRPr="00321A1F">
        <w:t xml:space="preserve"> required to submit a copy of the final invoices and cancelled checks for all pro forma plant items. The Utility </w:t>
      </w:r>
      <w:r w:rsidR="00C83728">
        <w:t xml:space="preserve">is </w:t>
      </w:r>
      <w:r w:rsidR="002C1EFF" w:rsidRPr="00321A1F">
        <w:t>allowed to implement the</w:t>
      </w:r>
      <w:r w:rsidR="00C83728">
        <w:t>se</w:t>
      </w:r>
      <w:r w:rsidR="002C1EFF" w:rsidRPr="00321A1F">
        <w:t xml:space="preserve"> rates once all pro forma items have been completed and documentation provided showing that the improvements have been made. Once verified by </w:t>
      </w:r>
      <w:r w:rsidR="00C83728">
        <w:t xml:space="preserve">our </w:t>
      </w:r>
      <w:r w:rsidR="002C1EFF" w:rsidRPr="00321A1F">
        <w:t>staff, the rates sh</w:t>
      </w:r>
      <w:r w:rsidR="00C83728">
        <w:t>all</w:t>
      </w:r>
      <w:r w:rsidR="002C1EFF" w:rsidRPr="00321A1F">
        <w:t xml:space="preserve"> be effective for service rendered on or after the stamped approval date on the tariff sheet, pursuant to Rule 25-30.475(1), F.A.C. The rates sh</w:t>
      </w:r>
      <w:r w:rsidR="00C83728">
        <w:t>all</w:t>
      </w:r>
      <w:r w:rsidR="002C1EFF" w:rsidRPr="00321A1F">
        <w:t xml:space="preserve"> not be implemented until notice has been received by the customers. Aquarina sh</w:t>
      </w:r>
      <w:r w:rsidR="00C83728">
        <w:t>all</w:t>
      </w:r>
      <w:r w:rsidR="002C1EFF" w:rsidRPr="00321A1F">
        <w:t xml:space="preserve"> provide proof of the date notice was given within 10 days of the date of the notice. If the Utility encounters any unforeseen events that will impede the completion of the pro forma items, the Utility sh</w:t>
      </w:r>
      <w:r w:rsidR="00C83728">
        <w:t>all</w:t>
      </w:r>
      <w:r w:rsidR="002C1EFF" w:rsidRPr="00321A1F">
        <w:t xml:space="preserve"> immediately notify th</w:t>
      </w:r>
      <w:r w:rsidR="00C83728">
        <w:t xml:space="preserve">is Commission </w:t>
      </w:r>
      <w:r w:rsidR="002C1EFF" w:rsidRPr="00321A1F">
        <w:t>in writing.</w:t>
      </w:r>
    </w:p>
    <w:p w:rsidR="0009791D" w:rsidRPr="00C26A39" w:rsidRDefault="0009791D" w:rsidP="002C1EFF">
      <w:pPr>
        <w:spacing w:after="240"/>
        <w:ind w:left="360" w:hanging="360"/>
        <w:jc w:val="both"/>
        <w:outlineLvl w:val="0"/>
        <w:rPr>
          <w:bCs/>
          <w:kern w:val="32"/>
          <w:u w:val="single"/>
        </w:rPr>
      </w:pPr>
      <w:r w:rsidRPr="00C26A39">
        <w:rPr>
          <w:bCs/>
          <w:kern w:val="32"/>
          <w:u w:val="single"/>
        </w:rPr>
        <w:t xml:space="preserve">17. Temporary Rates </w:t>
      </w:r>
    </w:p>
    <w:p w:rsidR="002C1EFF" w:rsidRPr="00321A1F" w:rsidRDefault="00C26A39" w:rsidP="002C1EFF">
      <w:pPr>
        <w:jc w:val="both"/>
      </w:pPr>
      <w:r>
        <w:tab/>
        <w:t>By this order we</w:t>
      </w:r>
      <w:r w:rsidR="002C1EFF" w:rsidRPr="00321A1F">
        <w:t xml:space="preserve"> propose an increase in water and wastewater rates. A timely protest might delay what may be a justified rate increase resulting in an unrecoverable loss of revenue to the Utility. Therefore, pursuant to Section 367.0814(7), F.S., in the event of a protest filed by a party other than the Utility, </w:t>
      </w:r>
      <w:r>
        <w:t xml:space="preserve">the </w:t>
      </w:r>
      <w:r w:rsidR="002C1EFF" w:rsidRPr="00321A1F">
        <w:t xml:space="preserve">rates </w:t>
      </w:r>
      <w:r>
        <w:t>are</w:t>
      </w:r>
      <w:r w:rsidR="002C1EFF" w:rsidRPr="00321A1F">
        <w:t xml:space="preserve"> approved as temporary rates. Aquarina sh</w:t>
      </w:r>
      <w:r>
        <w:t>all</w:t>
      </w:r>
      <w:r w:rsidR="002C1EFF" w:rsidRPr="00321A1F">
        <w:t xml:space="preserve"> file revised tariff sheets and a proposed customer notice to reflect the </w:t>
      </w:r>
      <w:r>
        <w:t>a</w:t>
      </w:r>
      <w:r w:rsidR="002C1EFF" w:rsidRPr="00321A1F">
        <w:t>pproved rates. The approved rates sh</w:t>
      </w:r>
      <w:r>
        <w:t>all</w:t>
      </w:r>
      <w:r w:rsidR="002C1EFF" w:rsidRPr="00321A1F">
        <w:t xml:space="preserve"> be effective for service rendered on or after the stamped approval date on the tariff sheet, pursuant to Rule 25-30.475(1), F.A.C. In addition, the temporary rates sh</w:t>
      </w:r>
      <w:r>
        <w:t>all</w:t>
      </w:r>
      <w:r w:rsidR="002C1EFF" w:rsidRPr="00321A1F">
        <w:t xml:space="preserve"> not be implemented until </w:t>
      </w:r>
      <w:r>
        <w:t xml:space="preserve">our </w:t>
      </w:r>
      <w:r w:rsidR="002C1EFF" w:rsidRPr="00321A1F">
        <w:t xml:space="preserve">staff has approved the proposed notice, and the notice has been received by the customers. The rates collected by the Utility </w:t>
      </w:r>
      <w:r>
        <w:t>are</w:t>
      </w:r>
      <w:r w:rsidR="002C1EFF" w:rsidRPr="00321A1F">
        <w:t xml:space="preserve"> subject to the refund provisions discussed below.</w:t>
      </w:r>
    </w:p>
    <w:p w:rsidR="002C1EFF" w:rsidRPr="00321A1F" w:rsidRDefault="002C1EFF" w:rsidP="002C1EFF">
      <w:pPr>
        <w:jc w:val="both"/>
      </w:pPr>
    </w:p>
    <w:p w:rsidR="002C1EFF" w:rsidRDefault="00C26A39" w:rsidP="002C1EFF">
      <w:pPr>
        <w:jc w:val="both"/>
      </w:pPr>
      <w:r>
        <w:tab/>
      </w:r>
      <w:r w:rsidR="002C1EFF" w:rsidRPr="00321A1F">
        <w:t xml:space="preserve">The Utility </w:t>
      </w:r>
      <w:r>
        <w:t xml:space="preserve">is </w:t>
      </w:r>
      <w:r w:rsidR="002C1EFF" w:rsidRPr="00321A1F">
        <w:t xml:space="preserve">authorized to collect the temporary rates upon </w:t>
      </w:r>
      <w:r>
        <w:t xml:space="preserve">our </w:t>
      </w:r>
      <w:r w:rsidR="002C1EFF" w:rsidRPr="00321A1F">
        <w:t>staff’s approval of an appropriate security for the potential refund and the proposed customer notice. Security sh</w:t>
      </w:r>
      <w:r>
        <w:t>all</w:t>
      </w:r>
      <w:r w:rsidR="002C1EFF" w:rsidRPr="00321A1F">
        <w:t xml:space="preserve"> be in the form of a bond or letter of credit in the amount of $102,802. Alternatively, the Utility c</w:t>
      </w:r>
      <w:r>
        <w:t>an</w:t>
      </w:r>
      <w:r w:rsidR="002C1EFF" w:rsidRPr="00321A1F">
        <w:t xml:space="preserve"> establish an escrow agreement with an independent financial institution.</w:t>
      </w:r>
    </w:p>
    <w:p w:rsidR="00C26A39" w:rsidRPr="00321A1F" w:rsidRDefault="00C26A39" w:rsidP="002C1EFF">
      <w:pPr>
        <w:jc w:val="both"/>
      </w:pPr>
    </w:p>
    <w:p w:rsidR="002C1EFF" w:rsidRDefault="00C26A39" w:rsidP="002C1EFF">
      <w:pPr>
        <w:jc w:val="both"/>
      </w:pPr>
      <w:r>
        <w:tab/>
      </w:r>
      <w:r w:rsidR="002C1EFF" w:rsidRPr="00321A1F">
        <w:t>If the Utility chooses a bond as security, the bond sh</w:t>
      </w:r>
      <w:r>
        <w:t>all</w:t>
      </w:r>
      <w:r w:rsidR="002C1EFF" w:rsidRPr="00321A1F">
        <w:t xml:space="preserve"> contain wording to the effect that it will be terminated only under the following conditions:</w:t>
      </w:r>
    </w:p>
    <w:p w:rsidR="002815DF" w:rsidRPr="00321A1F" w:rsidRDefault="002815DF" w:rsidP="002C1EFF">
      <w:pPr>
        <w:jc w:val="both"/>
      </w:pPr>
    </w:p>
    <w:p w:rsidR="002C1EFF" w:rsidRPr="00321A1F" w:rsidRDefault="002C1EFF" w:rsidP="002C1EFF">
      <w:pPr>
        <w:numPr>
          <w:ilvl w:val="0"/>
          <w:numId w:val="21"/>
        </w:numPr>
        <w:jc w:val="both"/>
      </w:pPr>
      <w:r w:rsidRPr="00321A1F">
        <w:t>The Commission approves the rate increase; or,</w:t>
      </w:r>
    </w:p>
    <w:p w:rsidR="002C1EFF" w:rsidRPr="00321A1F" w:rsidRDefault="002C1EFF" w:rsidP="002C1EFF">
      <w:pPr>
        <w:numPr>
          <w:ilvl w:val="0"/>
          <w:numId w:val="21"/>
        </w:numPr>
        <w:jc w:val="both"/>
      </w:pPr>
      <w:r w:rsidRPr="00321A1F">
        <w:t>If the Commission denies the increase, the Utility shall refund the amount collected that is attributable to the increase.</w:t>
      </w:r>
    </w:p>
    <w:p w:rsidR="002815DF" w:rsidRDefault="00C26A39" w:rsidP="002C1EFF">
      <w:pPr>
        <w:jc w:val="both"/>
      </w:pPr>
      <w:r>
        <w:tab/>
      </w:r>
    </w:p>
    <w:p w:rsidR="002C1EFF" w:rsidRPr="00321A1F" w:rsidRDefault="002815DF" w:rsidP="002C1EFF">
      <w:pPr>
        <w:jc w:val="both"/>
      </w:pPr>
      <w:r>
        <w:lastRenderedPageBreak/>
        <w:tab/>
      </w:r>
      <w:r w:rsidR="002C1EFF" w:rsidRPr="00321A1F">
        <w:t>If the Utility chooses a letter of credit as a security, it sh</w:t>
      </w:r>
      <w:r w:rsidR="00C26A39">
        <w:t>all</w:t>
      </w:r>
      <w:r w:rsidR="002C1EFF" w:rsidRPr="00321A1F">
        <w:t xml:space="preserve"> contain the following conditions:</w:t>
      </w:r>
    </w:p>
    <w:p w:rsidR="002C1EFF" w:rsidRPr="00321A1F" w:rsidRDefault="002C1EFF" w:rsidP="002C1EFF">
      <w:pPr>
        <w:tabs>
          <w:tab w:val="left" w:pos="720"/>
          <w:tab w:val="left" w:pos="1440"/>
          <w:tab w:val="left" w:pos="2160"/>
        </w:tabs>
        <w:ind w:left="1080" w:hanging="360"/>
        <w:jc w:val="both"/>
      </w:pPr>
      <w:r w:rsidRPr="00321A1F">
        <w:t>1)</w:t>
      </w:r>
      <w:r w:rsidRPr="00321A1F">
        <w:tab/>
        <w:t>The letter of credit is irrevocable for the period it is in effect, and,</w:t>
      </w:r>
    </w:p>
    <w:p w:rsidR="002C1EFF" w:rsidRPr="00321A1F" w:rsidRDefault="002C1EFF" w:rsidP="002C1EFF">
      <w:pPr>
        <w:ind w:left="1080" w:hanging="360"/>
        <w:jc w:val="both"/>
      </w:pPr>
      <w:r w:rsidRPr="00321A1F">
        <w:t>2)</w:t>
      </w:r>
      <w:r w:rsidRPr="00321A1F">
        <w:tab/>
        <w:t>The letter of credit will be in effect until a final Commission order is rendered, either approving or denying the rate increase.</w:t>
      </w:r>
    </w:p>
    <w:p w:rsidR="002C1EFF" w:rsidRPr="00321A1F" w:rsidRDefault="002C1EFF" w:rsidP="002C1EFF">
      <w:pPr>
        <w:ind w:left="1080" w:hanging="360"/>
        <w:jc w:val="both"/>
      </w:pPr>
    </w:p>
    <w:p w:rsidR="002C1EFF" w:rsidRPr="00321A1F" w:rsidRDefault="00C26A39" w:rsidP="002C1EFF">
      <w:pPr>
        <w:jc w:val="both"/>
      </w:pPr>
      <w:r>
        <w:tab/>
      </w:r>
      <w:r w:rsidR="002C1EFF" w:rsidRPr="00321A1F">
        <w:t>If security is provided through an escrow agreement, the following conditions sh</w:t>
      </w:r>
      <w:r>
        <w:t>all</w:t>
      </w:r>
      <w:r w:rsidR="002C1EFF" w:rsidRPr="00321A1F">
        <w:t xml:space="preserve"> be part of the agreement:</w:t>
      </w:r>
    </w:p>
    <w:p w:rsidR="002815DF" w:rsidRDefault="002815DF" w:rsidP="002C1EFF">
      <w:pPr>
        <w:ind w:left="1080" w:hanging="360"/>
        <w:jc w:val="both"/>
      </w:pPr>
    </w:p>
    <w:p w:rsidR="002C1EFF" w:rsidRPr="00321A1F" w:rsidRDefault="002C1EFF" w:rsidP="002C1EFF">
      <w:pPr>
        <w:ind w:left="1080" w:hanging="360"/>
        <w:jc w:val="both"/>
      </w:pPr>
      <w:r w:rsidRPr="00321A1F">
        <w:t>1)</w:t>
      </w:r>
      <w:r w:rsidRPr="00321A1F">
        <w:tab/>
        <w:t>The Commission Clerk, or his or her designee, must be a signatory to the escrow agreement.</w:t>
      </w:r>
    </w:p>
    <w:p w:rsidR="002C1EFF" w:rsidRPr="00321A1F" w:rsidRDefault="002C1EFF" w:rsidP="002C1EFF">
      <w:pPr>
        <w:ind w:left="1080" w:hanging="360"/>
        <w:jc w:val="both"/>
      </w:pPr>
      <w:r w:rsidRPr="00321A1F">
        <w:t>2)</w:t>
      </w:r>
      <w:r w:rsidRPr="00321A1F">
        <w:tab/>
        <w:t xml:space="preserve">No monies in the escrow account may be withdrawn by the Utility without the prior written authorization of the Commission Clerk, or his or her designee. </w:t>
      </w:r>
    </w:p>
    <w:p w:rsidR="002C1EFF" w:rsidRPr="00321A1F" w:rsidRDefault="002C1EFF" w:rsidP="002C1EFF">
      <w:pPr>
        <w:ind w:left="1080" w:hanging="360"/>
        <w:jc w:val="both"/>
      </w:pPr>
      <w:r w:rsidRPr="00321A1F">
        <w:t>3)</w:t>
      </w:r>
      <w:r w:rsidRPr="00321A1F">
        <w:tab/>
        <w:t>The escrow account shall be an interest bearing account.</w:t>
      </w:r>
    </w:p>
    <w:p w:rsidR="002C1EFF" w:rsidRPr="00321A1F" w:rsidRDefault="002C1EFF" w:rsidP="002C1EFF">
      <w:pPr>
        <w:ind w:left="1080" w:hanging="360"/>
        <w:jc w:val="both"/>
      </w:pPr>
      <w:r w:rsidRPr="00321A1F">
        <w:t>4)</w:t>
      </w:r>
      <w:r w:rsidRPr="00321A1F">
        <w:tab/>
        <w:t>If a refund to the customers is required, all interest earned by the escrow account shall be distributed to the customers.</w:t>
      </w:r>
    </w:p>
    <w:p w:rsidR="002C1EFF" w:rsidRPr="00321A1F" w:rsidRDefault="002C1EFF" w:rsidP="002C1EFF">
      <w:pPr>
        <w:ind w:left="1080" w:hanging="360"/>
        <w:jc w:val="both"/>
      </w:pPr>
      <w:r w:rsidRPr="00321A1F">
        <w:t>5)</w:t>
      </w:r>
      <w:r w:rsidRPr="00321A1F">
        <w:tab/>
        <w:t>If a refund to the customers is not required, the interest earned by the escrow account shall revert to the Utility.</w:t>
      </w:r>
    </w:p>
    <w:p w:rsidR="002C1EFF" w:rsidRPr="00321A1F" w:rsidRDefault="002C1EFF" w:rsidP="002C1EFF">
      <w:pPr>
        <w:ind w:left="1080" w:hanging="360"/>
        <w:jc w:val="both"/>
      </w:pPr>
      <w:r w:rsidRPr="00321A1F">
        <w:t>6)</w:t>
      </w:r>
      <w:r w:rsidRPr="00321A1F">
        <w:tab/>
        <w:t>All information on the escrow account shall be available from the holder of the escrow account to a Commission representative at all times.</w:t>
      </w:r>
    </w:p>
    <w:p w:rsidR="002C1EFF" w:rsidRPr="00321A1F" w:rsidRDefault="002C1EFF" w:rsidP="002C1EFF">
      <w:pPr>
        <w:ind w:left="1080" w:hanging="360"/>
        <w:jc w:val="both"/>
      </w:pPr>
      <w:r w:rsidRPr="00321A1F">
        <w:t>7)</w:t>
      </w:r>
      <w:r w:rsidRPr="00321A1F">
        <w:tab/>
        <w:t>The amount of revenue subject to refund shall be deposited in the escrow account within seven days of receipt.</w:t>
      </w:r>
    </w:p>
    <w:p w:rsidR="002C1EFF" w:rsidRPr="00321A1F" w:rsidRDefault="002C1EFF" w:rsidP="002C1EFF">
      <w:pPr>
        <w:ind w:left="1080" w:hanging="360"/>
        <w:jc w:val="both"/>
      </w:pPr>
      <w:r w:rsidRPr="00321A1F">
        <w:t>8)</w:t>
      </w:r>
      <w:r w:rsidRPr="00321A1F">
        <w:tab/>
        <w:t xml:space="preserve">This escrow account is established by the direction of the Florida Public Service Commission for the purpose(s) set forth in its order requiring such account. Pursuant to </w:t>
      </w:r>
      <w:r w:rsidRPr="00C26A39">
        <w:rPr>
          <w:i/>
        </w:rPr>
        <w:t>Cosentino v. Elson</w:t>
      </w:r>
      <w:r w:rsidRPr="00321A1F">
        <w:t>, 263 So. 2d 253 (Fla. 3d DCA 1972), escrow accounts are not subject to garnishments.</w:t>
      </w:r>
    </w:p>
    <w:p w:rsidR="002C1EFF" w:rsidRPr="00321A1F" w:rsidRDefault="002C1EFF" w:rsidP="002C1EFF">
      <w:pPr>
        <w:ind w:firstLine="720"/>
        <w:jc w:val="both"/>
      </w:pPr>
      <w:r w:rsidRPr="00321A1F">
        <w:t>9)  The account must specify by whom and on whose behalf such monies were paid.</w:t>
      </w:r>
    </w:p>
    <w:p w:rsidR="002C1EFF" w:rsidRPr="00321A1F" w:rsidRDefault="002C1EFF" w:rsidP="002C1EFF">
      <w:pPr>
        <w:ind w:firstLine="720"/>
        <w:jc w:val="both"/>
      </w:pPr>
    </w:p>
    <w:p w:rsidR="002C1EFF" w:rsidRPr="00321A1F" w:rsidRDefault="00C26A39" w:rsidP="002C1EFF">
      <w:pPr>
        <w:jc w:val="both"/>
      </w:pPr>
      <w:r>
        <w:tab/>
      </w:r>
      <w:r w:rsidR="002C1EFF" w:rsidRPr="00321A1F">
        <w:t>In no instance sh</w:t>
      </w:r>
      <w:r>
        <w:t>all</w:t>
      </w:r>
      <w:r w:rsidR="002C1EFF" w:rsidRPr="00321A1F">
        <w:t xml:space="preserve"> the maintenance and administrative costs associated with the refund be borne by the customers. These costs are the responsibility of, and sh</w:t>
      </w:r>
      <w:r>
        <w:t>all</w:t>
      </w:r>
      <w:r w:rsidR="002C1EFF" w:rsidRPr="00321A1F">
        <w:t xml:space="preserve"> be borne by, the Utility. Irrespective of the form of security chosen by the Utility, an account of all monies received as a result of the rate increase sh</w:t>
      </w:r>
      <w:r>
        <w:t>all</w:t>
      </w:r>
      <w:r w:rsidR="002C1EFF" w:rsidRPr="00321A1F">
        <w:t xml:space="preserve"> be maintained by the Utility. If a refund is ultimately required, it sh</w:t>
      </w:r>
      <w:r>
        <w:t>all</w:t>
      </w:r>
      <w:r w:rsidR="002C1EFF" w:rsidRPr="00321A1F">
        <w:t xml:space="preserve"> be paid with interest calculated pursuant to Rule 25-30.360(4), F.A.C.</w:t>
      </w:r>
    </w:p>
    <w:p w:rsidR="002C1EFF" w:rsidRPr="00321A1F" w:rsidRDefault="002C1EFF" w:rsidP="002C1EFF">
      <w:pPr>
        <w:jc w:val="both"/>
      </w:pPr>
    </w:p>
    <w:p w:rsidR="002C1EFF" w:rsidRPr="00321A1F" w:rsidRDefault="00C26A39" w:rsidP="002C1EFF">
      <w:pPr>
        <w:jc w:val="both"/>
      </w:pPr>
      <w:r>
        <w:rPr>
          <w:bCs/>
          <w:kern w:val="32"/>
        </w:rPr>
        <w:tab/>
      </w:r>
      <w:r w:rsidR="002C1EFF" w:rsidRPr="00321A1F">
        <w:rPr>
          <w:bCs/>
          <w:kern w:val="32"/>
        </w:rPr>
        <w:t>The Utility sh</w:t>
      </w:r>
      <w:r>
        <w:rPr>
          <w:bCs/>
          <w:kern w:val="32"/>
        </w:rPr>
        <w:t>all</w:t>
      </w:r>
      <w:r w:rsidR="002C1EFF" w:rsidRPr="00321A1F">
        <w:rPr>
          <w:bCs/>
          <w:kern w:val="32"/>
        </w:rPr>
        <w:t xml:space="preserve"> maintain a record of the amount of the security, and the amount of revenues that are subject to refund. In addition, after the increased rates are in effect, pursuant to Rule 25-30.360(6), F.A.C., the Utility sh</w:t>
      </w:r>
      <w:r>
        <w:rPr>
          <w:bCs/>
          <w:kern w:val="32"/>
        </w:rPr>
        <w:t>all</w:t>
      </w:r>
      <w:r w:rsidR="002C1EFF" w:rsidRPr="00321A1F">
        <w:rPr>
          <w:bCs/>
          <w:kern w:val="32"/>
        </w:rPr>
        <w:t xml:space="preserve"> file reports with the </w:t>
      </w:r>
      <w:r>
        <w:rPr>
          <w:bCs/>
          <w:kern w:val="32"/>
        </w:rPr>
        <w:t>our</w:t>
      </w:r>
      <w:r w:rsidR="002C1EFF" w:rsidRPr="00321A1F">
        <w:rPr>
          <w:bCs/>
          <w:kern w:val="32"/>
        </w:rPr>
        <w:t xml:space="preserve"> Office of Commission Clerk no later than the 20th of each month indicating the monthly and total amount of money subject to refund at the end of the preceding month. The report filed sh</w:t>
      </w:r>
      <w:r>
        <w:rPr>
          <w:bCs/>
          <w:kern w:val="32"/>
        </w:rPr>
        <w:t>all</w:t>
      </w:r>
      <w:r w:rsidR="002C1EFF" w:rsidRPr="00321A1F">
        <w:rPr>
          <w:bCs/>
          <w:kern w:val="32"/>
        </w:rPr>
        <w:t xml:space="preserve"> also indicate the status of the security being used to guarantee repayment of any potential refund.</w:t>
      </w:r>
    </w:p>
    <w:p w:rsidR="002C1EFF" w:rsidRDefault="002C1EFF" w:rsidP="002C1EFF">
      <w:pPr>
        <w:spacing w:after="240"/>
        <w:ind w:left="360" w:hanging="360"/>
        <w:jc w:val="both"/>
        <w:outlineLvl w:val="0"/>
        <w:rPr>
          <w:b/>
          <w:bCs/>
          <w:i/>
          <w:kern w:val="32"/>
        </w:rPr>
      </w:pPr>
    </w:p>
    <w:p w:rsidR="0084184D" w:rsidRDefault="0084184D" w:rsidP="002C1EFF">
      <w:pPr>
        <w:spacing w:after="240"/>
        <w:ind w:left="360" w:hanging="360"/>
        <w:jc w:val="both"/>
        <w:outlineLvl w:val="0"/>
        <w:rPr>
          <w:bCs/>
          <w:kern w:val="32"/>
          <w:u w:val="single"/>
        </w:rPr>
      </w:pPr>
    </w:p>
    <w:p w:rsidR="00C26A39" w:rsidRPr="00C26A39" w:rsidRDefault="00C26A39" w:rsidP="002C1EFF">
      <w:pPr>
        <w:spacing w:after="240"/>
        <w:ind w:left="360" w:hanging="360"/>
        <w:jc w:val="both"/>
        <w:outlineLvl w:val="0"/>
        <w:rPr>
          <w:bCs/>
          <w:kern w:val="32"/>
          <w:u w:val="single"/>
        </w:rPr>
      </w:pPr>
      <w:r>
        <w:rPr>
          <w:bCs/>
          <w:kern w:val="32"/>
          <w:u w:val="single"/>
        </w:rPr>
        <w:lastRenderedPageBreak/>
        <w:t>18.</w:t>
      </w:r>
      <w:r w:rsidRPr="00C26A39">
        <w:rPr>
          <w:u w:val="single"/>
        </w:rPr>
        <w:t xml:space="preserve"> National Association of Regulatory Utility Commissioners (NARUC) Uniform System of Accounts (USOA</w:t>
      </w:r>
      <w:r>
        <w:rPr>
          <w:u w:val="single"/>
        </w:rPr>
        <w:t xml:space="preserve">) </w:t>
      </w:r>
      <w:r w:rsidRPr="00C26A39">
        <w:rPr>
          <w:u w:val="single"/>
        </w:rPr>
        <w:t xml:space="preserve"> </w:t>
      </w:r>
      <w:r w:rsidRPr="00C26A39">
        <w:rPr>
          <w:bCs/>
          <w:kern w:val="32"/>
          <w:u w:val="single"/>
        </w:rPr>
        <w:t xml:space="preserve"> </w:t>
      </w:r>
    </w:p>
    <w:p w:rsidR="002C1EFF" w:rsidRPr="00321A1F" w:rsidRDefault="00A11505" w:rsidP="002C1EFF">
      <w:pPr>
        <w:spacing w:after="240"/>
        <w:jc w:val="both"/>
      </w:pPr>
      <w:r>
        <w:tab/>
      </w:r>
      <w:r w:rsidR="002C1EFF" w:rsidRPr="00321A1F">
        <w:t>The Utility sh</w:t>
      </w:r>
      <w:r>
        <w:t xml:space="preserve">all </w:t>
      </w:r>
      <w:r w:rsidR="002C1EFF" w:rsidRPr="00321A1F">
        <w:t>notify th</w:t>
      </w:r>
      <w:r>
        <w:t>is</w:t>
      </w:r>
      <w:r w:rsidR="002C1EFF" w:rsidRPr="00321A1F">
        <w:t xml:space="preserve"> Commission, in writing that it has adjusted its books in accordance with </w:t>
      </w:r>
      <w:r>
        <w:t xml:space="preserve">our </w:t>
      </w:r>
      <w:r w:rsidR="002C1EFF" w:rsidRPr="00321A1F">
        <w:t>decision. Aquarina sh</w:t>
      </w:r>
      <w:r>
        <w:t>all</w:t>
      </w:r>
      <w:r w:rsidR="002C1EFF" w:rsidRPr="00321A1F">
        <w:t xml:space="preserve"> submit a letter within 90 days of the final order in this docket, confirming that the adjustments to all the applicable NARUC USOA accounts have been made to the Utility’s books and records. In the event the Utility needs additional time to complete the adjustments, notice sh</w:t>
      </w:r>
      <w:r>
        <w:t>all</w:t>
      </w:r>
      <w:r w:rsidR="002C1EFF" w:rsidRPr="00321A1F">
        <w:t xml:space="preserve"> be provided within seven days prior to deadline. Upon providing good cause, </w:t>
      </w:r>
      <w:r>
        <w:t>our s</w:t>
      </w:r>
      <w:r w:rsidR="002C1EFF" w:rsidRPr="00321A1F">
        <w:t xml:space="preserve">taff </w:t>
      </w:r>
      <w:r>
        <w:t xml:space="preserve">has </w:t>
      </w:r>
      <w:r w:rsidR="002C1EFF" w:rsidRPr="00321A1F">
        <w:t>administrative authority to grant an extension of up to 60 days.</w:t>
      </w:r>
    </w:p>
    <w:p w:rsidR="00EC6608" w:rsidRPr="00321A1F" w:rsidRDefault="00EC6608" w:rsidP="00EC6608">
      <w:pPr>
        <w:pStyle w:val="OrderBody"/>
      </w:pPr>
      <w:r w:rsidRPr="00321A1F">
        <w:tab/>
        <w:t>Based on the foregoing, it is</w:t>
      </w:r>
    </w:p>
    <w:p w:rsidR="00EC6608" w:rsidRPr="00321A1F" w:rsidRDefault="00EC6608" w:rsidP="00EC6608">
      <w:pPr>
        <w:pStyle w:val="OrderBody"/>
      </w:pPr>
    </w:p>
    <w:p w:rsidR="00D43389" w:rsidRDefault="00EC6608" w:rsidP="00B44103">
      <w:pPr>
        <w:spacing w:after="240"/>
        <w:jc w:val="both"/>
      </w:pPr>
      <w:r w:rsidRPr="00321A1F">
        <w:tab/>
        <w:t>ORDERED by the Florida Public Service Commission that</w:t>
      </w:r>
      <w:r w:rsidR="00B44103" w:rsidRPr="00B44103">
        <w:t xml:space="preserve"> </w:t>
      </w:r>
      <w:r w:rsidR="00D43389">
        <w:t>the application for staff assisted rate case by Aquarina Utilities, Inc. is approved as set forth in the body of this Order. It is further</w:t>
      </w:r>
    </w:p>
    <w:p w:rsidR="00D43389" w:rsidRDefault="00D43389" w:rsidP="00B44103">
      <w:pPr>
        <w:spacing w:after="240"/>
        <w:jc w:val="both"/>
      </w:pPr>
      <w:r>
        <w:tab/>
        <w:t>ORDERED that each of the findings made in the body of this Order is hereby approved in every respect. It is further</w:t>
      </w:r>
    </w:p>
    <w:p w:rsidR="00D43389" w:rsidRDefault="00D43389" w:rsidP="00B44103">
      <w:pPr>
        <w:spacing w:after="240"/>
        <w:jc w:val="both"/>
      </w:pPr>
      <w:r>
        <w:tab/>
        <w:t xml:space="preserve">ORDERED that the Schedules and Attachments to this Order are incorporated by reference herein. It is further </w:t>
      </w:r>
    </w:p>
    <w:p w:rsidR="00B44103" w:rsidRDefault="00D43389" w:rsidP="00B44103">
      <w:pPr>
        <w:spacing w:after="240"/>
        <w:jc w:val="both"/>
      </w:pPr>
      <w:r>
        <w:tab/>
        <w:t xml:space="preserve">ORDERED that </w:t>
      </w:r>
      <w:r w:rsidR="00B44103">
        <w:t>t</w:t>
      </w:r>
      <w:r w:rsidR="00B44103" w:rsidRPr="00321A1F">
        <w:t xml:space="preserve">he overall quality of service provided by Aquarina </w:t>
      </w:r>
      <w:r w:rsidR="00B44103">
        <w:t>Utilities, Inc. is marginal</w:t>
      </w:r>
      <w:r w:rsidR="002815DF">
        <w:t>.</w:t>
      </w:r>
      <w:r w:rsidR="00B44103">
        <w:t xml:space="preserve"> It is further </w:t>
      </w:r>
    </w:p>
    <w:p w:rsidR="00B44103" w:rsidRDefault="00B44103" w:rsidP="00B44103">
      <w:pPr>
        <w:spacing w:after="240"/>
        <w:jc w:val="both"/>
      </w:pPr>
      <w:r>
        <w:tab/>
        <w:t xml:space="preserve">ORDERED that a management audit of the Aquarina Utilities, Inc. shall be conducted by our </w:t>
      </w:r>
      <w:r w:rsidR="00C54788">
        <w:t>staff as set forth in the body of this order</w:t>
      </w:r>
      <w:r>
        <w:t>. It is further</w:t>
      </w:r>
    </w:p>
    <w:p w:rsidR="004D1E51" w:rsidRDefault="004D1E51" w:rsidP="004D1E51">
      <w:pPr>
        <w:jc w:val="both"/>
      </w:pPr>
      <w:r>
        <w:tab/>
        <w:t>ORDERED that</w:t>
      </w:r>
      <w:r w:rsidRPr="004D1E51">
        <w:t xml:space="preserve"> </w:t>
      </w:r>
      <w:r>
        <w:t xml:space="preserve">the used and useful percentages set forth in the body of this </w:t>
      </w:r>
      <w:r w:rsidR="00E82418">
        <w:t>o</w:t>
      </w:r>
      <w:r>
        <w:t xml:space="preserve">rder for </w:t>
      </w:r>
      <w:r w:rsidRPr="00321A1F">
        <w:t>water, wastewater, and non-potable systems</w:t>
      </w:r>
      <w:r>
        <w:t xml:space="preserve"> are hereby approved. No adjustments to operating expenses are made for </w:t>
      </w:r>
      <w:r w:rsidRPr="00321A1F">
        <w:t>excessive unaccounted for water or excessive inflow &amp; infiltration</w:t>
      </w:r>
      <w:r>
        <w:t>. It is further</w:t>
      </w:r>
      <w:r w:rsidRPr="00321A1F">
        <w:t xml:space="preserve"> </w:t>
      </w:r>
    </w:p>
    <w:p w:rsidR="00F261F1" w:rsidRDefault="00F261F1" w:rsidP="004D1E51">
      <w:pPr>
        <w:jc w:val="both"/>
      </w:pPr>
    </w:p>
    <w:p w:rsidR="00F261F1" w:rsidRDefault="00F261F1" w:rsidP="004D1E51">
      <w:pPr>
        <w:jc w:val="both"/>
      </w:pPr>
      <w:r>
        <w:tab/>
        <w:t xml:space="preserve">ORDERED that the </w:t>
      </w:r>
      <w:r w:rsidRPr="00321A1F">
        <w:t>appropriate average test year potable water, non-potable water, and wastewater rate bases are $170,153, $172,587, and ($2,091), respectively.</w:t>
      </w:r>
      <w:r>
        <w:t xml:space="preserve"> It is further </w:t>
      </w:r>
    </w:p>
    <w:p w:rsidR="00F261F1" w:rsidRDefault="00F261F1" w:rsidP="004D1E51">
      <w:pPr>
        <w:jc w:val="both"/>
      </w:pPr>
    </w:p>
    <w:p w:rsidR="003148A6" w:rsidRDefault="00F261F1" w:rsidP="003148A6">
      <w:pPr>
        <w:spacing w:after="240"/>
        <w:jc w:val="both"/>
        <w:outlineLvl w:val="1"/>
      </w:pPr>
      <w:r>
        <w:tab/>
        <w:t xml:space="preserve">ORDERED that </w:t>
      </w:r>
      <w:r w:rsidR="003148A6">
        <w:t>t</w:t>
      </w:r>
      <w:r w:rsidR="003148A6" w:rsidRPr="00321A1F">
        <w:t xml:space="preserve">he appropriate return on equity is 11.16 percent with a range of 10.16 percent to 12.16 percent. The appropriate overall rate of return is 3.66 percent. </w:t>
      </w:r>
      <w:r w:rsidR="003148A6">
        <w:t>It is further</w:t>
      </w:r>
    </w:p>
    <w:p w:rsidR="00F318F2" w:rsidRDefault="00F318F2" w:rsidP="003148A6">
      <w:pPr>
        <w:spacing w:after="240"/>
        <w:jc w:val="both"/>
        <w:outlineLvl w:val="1"/>
      </w:pPr>
      <w:r>
        <w:tab/>
        <w:t>ORDERED that</w:t>
      </w:r>
      <w:r w:rsidR="005F252E" w:rsidRPr="005F252E">
        <w:t xml:space="preserve"> </w:t>
      </w:r>
      <w:r w:rsidR="005F252E">
        <w:t>t</w:t>
      </w:r>
      <w:r w:rsidR="005F252E" w:rsidRPr="00321A1F">
        <w:t xml:space="preserve">he appropriate test year revenues for Aquarina </w:t>
      </w:r>
      <w:r w:rsidR="005F252E">
        <w:t>Utilities, Inc.’s</w:t>
      </w:r>
      <w:r w:rsidR="005F252E" w:rsidRPr="00321A1F">
        <w:t xml:space="preserve"> water and wastewater systems are $268,677 ($170,848 potable + $97,829 non-potable) and $161,821, respectively.</w:t>
      </w:r>
      <w:r w:rsidR="005F252E">
        <w:t xml:space="preserve"> It is further, </w:t>
      </w:r>
    </w:p>
    <w:p w:rsidR="001266B1" w:rsidRDefault="005F252E" w:rsidP="001266B1">
      <w:pPr>
        <w:spacing w:after="240"/>
        <w:jc w:val="both"/>
      </w:pPr>
      <w:r>
        <w:lastRenderedPageBreak/>
        <w:tab/>
        <w:t xml:space="preserve">ORDERED that </w:t>
      </w:r>
      <w:r w:rsidR="001266B1">
        <w:t>t</w:t>
      </w:r>
      <w:r w:rsidR="001266B1" w:rsidRPr="00321A1F">
        <w:t xml:space="preserve">he appropriate amount of operating expense for Aquarina </w:t>
      </w:r>
      <w:r w:rsidR="001266B1">
        <w:t xml:space="preserve">Utilities, Inc. </w:t>
      </w:r>
      <w:r w:rsidR="001266B1" w:rsidRPr="00321A1F">
        <w:t xml:space="preserve"> is $152,028 for potable water, $240,466 for non-potable water, and $169,664 for wastewater. </w:t>
      </w:r>
      <w:r w:rsidR="001266B1">
        <w:t>It is further</w:t>
      </w:r>
    </w:p>
    <w:p w:rsidR="001266B1" w:rsidRDefault="001266B1" w:rsidP="001266B1">
      <w:pPr>
        <w:spacing w:after="240"/>
        <w:jc w:val="both"/>
      </w:pPr>
      <w:r>
        <w:tab/>
        <w:t xml:space="preserve">ORDERED that </w:t>
      </w:r>
      <w:r w:rsidR="00445629">
        <w:t>t</w:t>
      </w:r>
      <w:r w:rsidR="00445629" w:rsidRPr="00321A1F">
        <w:t>he revenue requirement is $158,255 for potable water</w:t>
      </w:r>
      <w:r w:rsidR="00445629">
        <w:t xml:space="preserve"> and </w:t>
      </w:r>
      <w:r w:rsidR="00445629" w:rsidRPr="00321A1F">
        <w:t>$246,783 for non-potable water</w:t>
      </w:r>
      <w:r w:rsidR="00445629">
        <w:t>.  It is further</w:t>
      </w:r>
    </w:p>
    <w:p w:rsidR="00445629" w:rsidRDefault="00445629" w:rsidP="001266B1">
      <w:pPr>
        <w:spacing w:after="240"/>
        <w:jc w:val="both"/>
      </w:pPr>
      <w:r>
        <w:tab/>
        <w:t>ORDERED that</w:t>
      </w:r>
      <w:r w:rsidRPr="00445629">
        <w:t xml:space="preserve"> </w:t>
      </w:r>
      <w:r w:rsidRPr="00321A1F">
        <w:t xml:space="preserve">the operating ratio methodology </w:t>
      </w:r>
      <w:r>
        <w:t xml:space="preserve">shall be used for </w:t>
      </w:r>
      <w:r w:rsidRPr="00321A1F">
        <w:t xml:space="preserve">calculating </w:t>
      </w:r>
      <w:r>
        <w:t xml:space="preserve">the </w:t>
      </w:r>
      <w:r w:rsidRPr="00321A1F">
        <w:t xml:space="preserve">wastewater revenue requirement for </w:t>
      </w:r>
      <w:r w:rsidR="00121F10" w:rsidRPr="00321A1F">
        <w:t xml:space="preserve">Aquarina </w:t>
      </w:r>
      <w:r w:rsidR="00121F10">
        <w:t>Utilities, Inc.</w:t>
      </w:r>
      <w:r w:rsidRPr="00321A1F">
        <w:t xml:space="preserve"> The margin sh</w:t>
      </w:r>
      <w:r>
        <w:t>all</w:t>
      </w:r>
      <w:r w:rsidRPr="00321A1F">
        <w:t xml:space="preserve"> be 6.60 percent of O&amp;M expenses.</w:t>
      </w:r>
      <w:r>
        <w:t xml:space="preserve"> It is further</w:t>
      </w:r>
    </w:p>
    <w:p w:rsidR="00445629" w:rsidRDefault="00445629" w:rsidP="001266B1">
      <w:pPr>
        <w:spacing w:after="240"/>
        <w:jc w:val="both"/>
      </w:pPr>
      <w:r>
        <w:tab/>
        <w:t>ORDERED that</w:t>
      </w:r>
      <w:r w:rsidR="00121F10" w:rsidRPr="00121F10">
        <w:t xml:space="preserve"> </w:t>
      </w:r>
      <w:r w:rsidR="00121F10">
        <w:t>t</w:t>
      </w:r>
      <w:r w:rsidR="00121F10" w:rsidRPr="00321A1F">
        <w:t>he appropriate wastewater revenue requirement is $179,094</w:t>
      </w:r>
      <w:r w:rsidR="00121F10">
        <w:t>.  It is further</w:t>
      </w:r>
    </w:p>
    <w:p w:rsidR="00121F10" w:rsidRDefault="00121F10" w:rsidP="00121F10">
      <w:pPr>
        <w:spacing w:after="240"/>
        <w:jc w:val="both"/>
      </w:pPr>
      <w:r>
        <w:tab/>
        <w:t>ORDERED that t</w:t>
      </w:r>
      <w:r w:rsidRPr="00321A1F">
        <w:t xml:space="preserve">he </w:t>
      </w:r>
      <w:r>
        <w:t>approved</w:t>
      </w:r>
      <w:r w:rsidRPr="00321A1F">
        <w:t xml:space="preserve"> rate structures and monthly water and wastewater rates are shown on Schedule Nos. 4-A and 4-B. Aquarina </w:t>
      </w:r>
      <w:r>
        <w:t>Utilities, Inc.</w:t>
      </w:r>
      <w:r w:rsidRPr="00321A1F">
        <w:t xml:space="preserve"> sh</w:t>
      </w:r>
      <w:r>
        <w:t>all</w:t>
      </w:r>
      <w:r w:rsidRPr="00321A1F">
        <w:t xml:space="preserve"> file revised tariff sheets and a proposed customer notice to reflect the approved rates. The approved rates sh</w:t>
      </w:r>
      <w:r>
        <w:t xml:space="preserve">all </w:t>
      </w:r>
      <w:r w:rsidRPr="00321A1F">
        <w:t>be effective for service rendered on or after the stamped approval date on the tariff sheet pursuant to Rule 25-30.475(1), F.A.C. In addition, the approved rates sh</w:t>
      </w:r>
      <w:r>
        <w:t>all</w:t>
      </w:r>
      <w:r w:rsidRPr="00321A1F">
        <w:t xml:space="preserve"> not be implemented until </w:t>
      </w:r>
      <w:r>
        <w:t xml:space="preserve">our </w:t>
      </w:r>
      <w:r w:rsidRPr="00321A1F">
        <w:t xml:space="preserve">staff has approved the proposed customer notice and the notice has been received by the customers. Aquarina </w:t>
      </w:r>
      <w:r>
        <w:t>Utilities, Inc.</w:t>
      </w:r>
      <w:r w:rsidRPr="00321A1F">
        <w:t xml:space="preserve"> sh</w:t>
      </w:r>
      <w:r>
        <w:t>all</w:t>
      </w:r>
      <w:r w:rsidRPr="00321A1F">
        <w:t xml:space="preserve"> provide proof of the date notice was given within 10 days of the date of the notice. </w:t>
      </w:r>
      <w:r>
        <w:t>It is further</w:t>
      </w:r>
    </w:p>
    <w:p w:rsidR="00121F10" w:rsidRDefault="00121F10" w:rsidP="00121F10">
      <w:pPr>
        <w:spacing w:after="240"/>
        <w:jc w:val="both"/>
      </w:pPr>
      <w:r>
        <w:tab/>
        <w:t xml:space="preserve">ORDERED that </w:t>
      </w:r>
      <w:r w:rsidR="00B63C28">
        <w:t>t</w:t>
      </w:r>
      <w:r w:rsidR="00B63C28" w:rsidRPr="00321A1F">
        <w:t>he water and wastewater rates sh</w:t>
      </w:r>
      <w:r w:rsidR="00B63C28">
        <w:t>all</w:t>
      </w:r>
      <w:r w:rsidR="00B63C28" w:rsidRPr="00321A1F">
        <w:t xml:space="preserve"> be reduced as shown on Schedule Nos. 4-A and 4-B, to remove rate case expense grossed-up for RAFs and amortized over a four-year period. The decrease in rates sh</w:t>
      </w:r>
      <w:r w:rsidR="00B63C28">
        <w:t>all</w:t>
      </w:r>
      <w:r w:rsidR="00B63C28" w:rsidRPr="00321A1F">
        <w:t xml:space="preserve"> become effective immediately following the expiration of the four-year rate case expense recovery period, pursuant to Section 367.0816, F.S. Aquarina </w:t>
      </w:r>
      <w:r w:rsidR="00B63C28">
        <w:t>Utilities, Inc.</w:t>
      </w:r>
      <w:r w:rsidR="00B63C28" w:rsidRPr="00321A1F">
        <w:t xml:space="preserve"> sh</w:t>
      </w:r>
      <w:r w:rsidR="00B63C28">
        <w:t>all</w:t>
      </w:r>
      <w:r w:rsidR="00B63C28" w:rsidRPr="00321A1F">
        <w:t xml:space="preserve"> file revised tariffs and a proposed customer notice setting forth the lower rates and the reason for the reduction no later than one month prior to the actual date of the required rate reduction. If the Aquarina </w:t>
      </w:r>
      <w:r w:rsidR="00B63C28">
        <w:t>Utilities, Inc.</w:t>
      </w:r>
      <w:r w:rsidR="00B63C28" w:rsidRPr="00321A1F">
        <w:t xml:space="preserve"> files this reduction in conjunction with a price index or pass-through rate adjustment, separate data sh</w:t>
      </w:r>
      <w:r w:rsidR="00B63C28">
        <w:t>all</w:t>
      </w:r>
      <w:r w:rsidR="00B63C28" w:rsidRPr="00321A1F">
        <w:t xml:space="preserve"> be filed for the price index and/or pass-through increase or decrease and the reduction in the rates due to the amortized rate case expense.</w:t>
      </w:r>
      <w:r w:rsidR="00B63C28">
        <w:t xml:space="preserve"> (F</w:t>
      </w:r>
      <w:r w:rsidR="00C26A39">
        <w:t>inal)</w:t>
      </w:r>
      <w:r w:rsidR="00B63C28">
        <w:t xml:space="preserve"> It is further</w:t>
      </w:r>
    </w:p>
    <w:p w:rsidR="00B63C28" w:rsidRDefault="00B63C28" w:rsidP="00121F10">
      <w:pPr>
        <w:spacing w:after="240"/>
        <w:jc w:val="both"/>
      </w:pPr>
      <w:r>
        <w:tab/>
        <w:t xml:space="preserve">ORDERED that </w:t>
      </w:r>
      <w:r w:rsidR="00537C6D" w:rsidRPr="00321A1F">
        <w:t xml:space="preserve">Aquarina </w:t>
      </w:r>
      <w:r w:rsidR="00537C6D">
        <w:t>Utilities, Inc.</w:t>
      </w:r>
      <w:r w:rsidR="00537C6D" w:rsidRPr="00321A1F">
        <w:t>’s miscellaneous service charges sh</w:t>
      </w:r>
      <w:r w:rsidR="00537C6D">
        <w:t>all</w:t>
      </w:r>
      <w:r w:rsidR="00537C6D" w:rsidRPr="00321A1F">
        <w:t xml:space="preserve"> be revised</w:t>
      </w:r>
      <w:r w:rsidR="00537C6D">
        <w:t xml:space="preserve"> as set forth in the body of this order</w:t>
      </w:r>
      <w:r w:rsidR="00537C6D" w:rsidRPr="00321A1F">
        <w:t>. The charges sh</w:t>
      </w:r>
      <w:r w:rsidR="00537C6D">
        <w:t>all</w:t>
      </w:r>
      <w:r w:rsidR="00537C6D" w:rsidRPr="00321A1F">
        <w:t xml:space="preserve"> be effective on or after the stamped approval date on the tariff pursuant to Rule 25-30.475, F.A.C. In addition, the approved charges sh</w:t>
      </w:r>
      <w:r w:rsidR="00537C6D">
        <w:t>all</w:t>
      </w:r>
      <w:r w:rsidR="00537C6D" w:rsidRPr="00321A1F">
        <w:t xml:space="preserve"> not be implemented until </w:t>
      </w:r>
      <w:r w:rsidR="00537C6D">
        <w:t xml:space="preserve">our </w:t>
      </w:r>
      <w:r w:rsidR="00537C6D" w:rsidRPr="00321A1F">
        <w:t xml:space="preserve">staff has approved the proposed customer notice and the notice has been received by the customers. Aquarina </w:t>
      </w:r>
      <w:r w:rsidR="00537C6D">
        <w:t>Utilities, Inc.</w:t>
      </w:r>
      <w:r w:rsidR="00537C6D" w:rsidRPr="00321A1F">
        <w:t xml:space="preserve"> sh</w:t>
      </w:r>
      <w:r w:rsidR="00537C6D">
        <w:t>all</w:t>
      </w:r>
      <w:r w:rsidR="00537C6D" w:rsidRPr="00321A1F">
        <w:t xml:space="preserve"> provide proof of the date notice was given within 10 days of the date of the notice.</w:t>
      </w:r>
      <w:r w:rsidR="00537C6D">
        <w:t xml:space="preserve"> It is further</w:t>
      </w:r>
    </w:p>
    <w:p w:rsidR="00A631E6" w:rsidRDefault="00537C6D" w:rsidP="00A631E6">
      <w:pPr>
        <w:spacing w:after="240"/>
        <w:jc w:val="both"/>
        <w:outlineLvl w:val="1"/>
      </w:pPr>
      <w:r>
        <w:tab/>
      </w:r>
      <w:r w:rsidRPr="00130284">
        <w:t>ORDERED that</w:t>
      </w:r>
      <w:r w:rsidR="00A631E6" w:rsidRPr="00130284">
        <w:t xml:space="preserve"> Aquarina Utilities, Inc.’s request for a direct debit charge is approved. The direct debit charge shall be effective on or after the stamped approval date on the tariff pursuant to Rule 25-30.475, F.A.C. In addition, the approved charge shall not be implemented until our staff has approved the proposed customer notice and the notice has been received by the </w:t>
      </w:r>
      <w:r w:rsidR="00A631E6" w:rsidRPr="00130284">
        <w:lastRenderedPageBreak/>
        <w:t>customers. The Aquarina Utilities, Inc. shall provide proof of the date notice was given within 10 days of the date of the notice.  It is further</w:t>
      </w:r>
    </w:p>
    <w:p w:rsidR="007135C0" w:rsidRDefault="00A631E6" w:rsidP="007135C0">
      <w:pPr>
        <w:spacing w:after="240"/>
        <w:jc w:val="both"/>
      </w:pPr>
      <w:r>
        <w:tab/>
        <w:t xml:space="preserve">ORDERED that </w:t>
      </w:r>
      <w:r w:rsidR="007135C0" w:rsidRPr="00321A1F">
        <w:t xml:space="preserve">Aquarina </w:t>
      </w:r>
      <w:r w:rsidR="007135C0">
        <w:t xml:space="preserve">Utilities, Inc. is hereby </w:t>
      </w:r>
      <w:r w:rsidR="007135C0" w:rsidRPr="00321A1F">
        <w:t xml:space="preserve">authorized to collect NSF charges for both systems. </w:t>
      </w:r>
      <w:r w:rsidR="00332603">
        <w:t xml:space="preserve">As set forth in the body of this order, </w:t>
      </w:r>
      <w:r w:rsidR="007135C0" w:rsidRPr="00321A1F">
        <w:t xml:space="preserve">Aquarina </w:t>
      </w:r>
      <w:r w:rsidR="00332603">
        <w:t xml:space="preserve">Utilities, Inc. </w:t>
      </w:r>
      <w:r w:rsidR="007135C0">
        <w:t xml:space="preserve">shall </w:t>
      </w:r>
      <w:r w:rsidR="007135C0" w:rsidRPr="00321A1F">
        <w:t>revise its tariffs to reflect the NSF charges currently set forth in Section 68.065, F.S. The NSF charges sh</w:t>
      </w:r>
      <w:r w:rsidR="007135C0">
        <w:t>all</w:t>
      </w:r>
      <w:r w:rsidR="007135C0" w:rsidRPr="00321A1F">
        <w:t xml:space="preserve"> be effective on or after the stamped approval date on the tariff sheets pursuant to Rule 25-30.475(1), F.A.C. </w:t>
      </w:r>
      <w:r w:rsidR="007135C0">
        <w:t>T</w:t>
      </w:r>
      <w:r w:rsidR="007135C0" w:rsidRPr="00321A1F">
        <w:t>he charges sh</w:t>
      </w:r>
      <w:r w:rsidR="007135C0">
        <w:t>all</w:t>
      </w:r>
      <w:r w:rsidR="007135C0" w:rsidRPr="00321A1F">
        <w:t xml:space="preserve"> not be implemented until </w:t>
      </w:r>
      <w:r w:rsidR="007135C0">
        <w:t xml:space="preserve">our </w:t>
      </w:r>
      <w:r w:rsidR="007135C0" w:rsidRPr="00321A1F">
        <w:t>staff has approved the proposed customer notice</w:t>
      </w:r>
      <w:r w:rsidR="00130284">
        <w:t xml:space="preserve"> </w:t>
      </w:r>
      <w:r w:rsidR="00130284" w:rsidRPr="00321A1F">
        <w:t>and the notice has been received by the customers.</w:t>
      </w:r>
      <w:r w:rsidR="00130284">
        <w:t xml:space="preserve"> </w:t>
      </w:r>
      <w:r w:rsidR="007135C0" w:rsidRPr="00321A1F">
        <w:t>The Utility sh</w:t>
      </w:r>
      <w:r w:rsidR="007135C0">
        <w:t>all</w:t>
      </w:r>
      <w:r w:rsidR="007135C0" w:rsidRPr="00321A1F">
        <w:t xml:space="preserve"> provide proof of the date the notice was given within 10 days of the date of the notice. </w:t>
      </w:r>
      <w:r w:rsidR="007135C0">
        <w:t>It is further</w:t>
      </w:r>
    </w:p>
    <w:p w:rsidR="007135C0" w:rsidRDefault="007135C0" w:rsidP="007135C0">
      <w:pPr>
        <w:spacing w:after="240"/>
        <w:jc w:val="both"/>
      </w:pPr>
      <w:r>
        <w:tab/>
        <w:t xml:space="preserve">ORDERED that </w:t>
      </w:r>
      <w:r w:rsidR="00332603" w:rsidRPr="00321A1F">
        <w:t xml:space="preserve">Aquarina </w:t>
      </w:r>
      <w:r w:rsidR="00332603">
        <w:t xml:space="preserve">Utilities, Inc.’s existing </w:t>
      </w:r>
      <w:r w:rsidR="00332603" w:rsidRPr="00321A1F">
        <w:t xml:space="preserve">service availability charges </w:t>
      </w:r>
      <w:r w:rsidR="00332603">
        <w:t xml:space="preserve">for its </w:t>
      </w:r>
      <w:r w:rsidR="00332603" w:rsidRPr="00321A1F">
        <w:t>potable and non-potable water systems</w:t>
      </w:r>
      <w:r w:rsidR="00332603">
        <w:t xml:space="preserve"> are appropriate</w:t>
      </w:r>
      <w:r w:rsidR="00332603" w:rsidRPr="00321A1F">
        <w:t xml:space="preserve">. </w:t>
      </w:r>
      <w:r w:rsidR="00332603">
        <w:t>However, its wa</w:t>
      </w:r>
      <w:r w:rsidR="00332603" w:rsidRPr="00321A1F">
        <w:t>stewater main extension charge sh</w:t>
      </w:r>
      <w:r w:rsidR="00332603">
        <w:t xml:space="preserve">all be </w:t>
      </w:r>
      <w:r w:rsidR="00332603" w:rsidRPr="00321A1F">
        <w:t xml:space="preserve"> discontinued.</w:t>
      </w:r>
      <w:r w:rsidR="00332603">
        <w:t xml:space="preserve"> It is further</w:t>
      </w:r>
    </w:p>
    <w:p w:rsidR="008C0496" w:rsidRDefault="00332603" w:rsidP="008C0496">
      <w:pPr>
        <w:spacing w:after="240"/>
        <w:jc w:val="both"/>
        <w:outlineLvl w:val="1"/>
        <w:rPr>
          <w:bCs/>
          <w:iCs/>
        </w:rPr>
      </w:pPr>
      <w:r>
        <w:tab/>
        <w:t xml:space="preserve">ORDERED that </w:t>
      </w:r>
      <w:r w:rsidR="008C0496" w:rsidRPr="00321A1F">
        <w:rPr>
          <w:bCs/>
          <w:iCs/>
        </w:rPr>
        <w:t>a Phase II revenue requirement associated with pro forma items</w:t>
      </w:r>
      <w:r w:rsidR="008C0496">
        <w:rPr>
          <w:bCs/>
          <w:iCs/>
        </w:rPr>
        <w:t xml:space="preserve"> is hereby approved. </w:t>
      </w:r>
      <w:r w:rsidR="008C0496" w:rsidRPr="00321A1F">
        <w:t xml:space="preserve">Aquarina </w:t>
      </w:r>
      <w:r w:rsidR="008C0496">
        <w:t xml:space="preserve">Utilities, Inc.’s </w:t>
      </w:r>
      <w:r w:rsidR="008C0496" w:rsidRPr="00321A1F">
        <w:rPr>
          <w:bCs/>
          <w:iCs/>
        </w:rPr>
        <w:t xml:space="preserve"> Phase II revenue requirement is $171,277 for potable water, $252,165 for non-potable water, and $185,657 for wastewater, which equates to increases of 8.23 percent, 2.18 percent, and 3.34 percent, respectively, over the Phase I revenue requirements.</w:t>
      </w:r>
      <w:r w:rsidR="00CD58F9">
        <w:rPr>
          <w:bCs/>
          <w:iCs/>
        </w:rPr>
        <w:t xml:space="preserve"> P</w:t>
      </w:r>
      <w:r w:rsidR="008C0496" w:rsidRPr="00321A1F">
        <w:rPr>
          <w:bCs/>
          <w:iCs/>
        </w:rPr>
        <w:t xml:space="preserve">otable water rates </w:t>
      </w:r>
      <w:r w:rsidR="00CD58F9">
        <w:rPr>
          <w:bCs/>
          <w:iCs/>
        </w:rPr>
        <w:t xml:space="preserve">shall </w:t>
      </w:r>
      <w:r w:rsidR="008C0496" w:rsidRPr="00321A1F">
        <w:rPr>
          <w:bCs/>
          <w:iCs/>
        </w:rPr>
        <w:t xml:space="preserve">remain unchanged for Phase II. The Phase II wastewater rates </w:t>
      </w:r>
      <w:r w:rsidR="00130284">
        <w:rPr>
          <w:bCs/>
          <w:iCs/>
        </w:rPr>
        <w:t>are</w:t>
      </w:r>
      <w:r w:rsidR="008C0496" w:rsidRPr="00321A1F">
        <w:rPr>
          <w:bCs/>
          <w:iCs/>
        </w:rPr>
        <w:t xml:space="preserve"> designed to produce revenues of $185,002, excluding miscellaneous revenues.</w:t>
      </w:r>
      <w:r w:rsidR="00CD58F9">
        <w:rPr>
          <w:bCs/>
          <w:iCs/>
        </w:rPr>
        <w:t xml:space="preserve"> It is further </w:t>
      </w:r>
    </w:p>
    <w:p w:rsidR="008C0496" w:rsidRDefault="00CD58F9" w:rsidP="008C0496">
      <w:pPr>
        <w:spacing w:after="240"/>
        <w:jc w:val="both"/>
        <w:outlineLvl w:val="1"/>
        <w:rPr>
          <w:bCs/>
          <w:iCs/>
        </w:rPr>
      </w:pPr>
      <w:r>
        <w:rPr>
          <w:bCs/>
          <w:iCs/>
        </w:rPr>
        <w:tab/>
        <w:t>ORDERED that i</w:t>
      </w:r>
      <w:r w:rsidR="008C0496" w:rsidRPr="00321A1F">
        <w:rPr>
          <w:bCs/>
          <w:iCs/>
        </w:rPr>
        <w:t xml:space="preserve">mplementation of the Phase II rates is conditioned upon </w:t>
      </w:r>
      <w:r w:rsidRPr="00321A1F">
        <w:t xml:space="preserve">Aquarina </w:t>
      </w:r>
      <w:r>
        <w:t xml:space="preserve">Utilities, Inc. </w:t>
      </w:r>
      <w:r w:rsidR="008C0496" w:rsidRPr="00321A1F">
        <w:rPr>
          <w:bCs/>
          <w:iCs/>
        </w:rPr>
        <w:t xml:space="preserve">completing the pro forma items within 12 months of the issuance of a consummating order in this docket. The </w:t>
      </w:r>
      <w:r w:rsidRPr="00321A1F">
        <w:t xml:space="preserve">Aquarina </w:t>
      </w:r>
      <w:r>
        <w:t>Utilities, Inc.</w:t>
      </w:r>
      <w:r w:rsidR="008C0496" w:rsidRPr="00321A1F">
        <w:rPr>
          <w:bCs/>
          <w:iCs/>
        </w:rPr>
        <w:t xml:space="preserve"> </w:t>
      </w:r>
      <w:r>
        <w:rPr>
          <w:bCs/>
          <w:iCs/>
        </w:rPr>
        <w:t>is</w:t>
      </w:r>
      <w:r w:rsidR="008C0496" w:rsidRPr="00321A1F">
        <w:rPr>
          <w:bCs/>
          <w:iCs/>
        </w:rPr>
        <w:t xml:space="preserve"> required to submit a copy of the final invoices and cancelled checks or other payment confirmation documentation for all pro forma plant items. </w:t>
      </w:r>
      <w:r w:rsidRPr="00321A1F">
        <w:t xml:space="preserve">Aquarina </w:t>
      </w:r>
      <w:r>
        <w:t xml:space="preserve">Utilities, Inc. is </w:t>
      </w:r>
      <w:r w:rsidR="008C0496" w:rsidRPr="00321A1F">
        <w:rPr>
          <w:bCs/>
          <w:iCs/>
        </w:rPr>
        <w:t>allowed to implement the</w:t>
      </w:r>
      <w:r>
        <w:rPr>
          <w:bCs/>
          <w:iCs/>
        </w:rPr>
        <w:t xml:space="preserve"> proforma rates</w:t>
      </w:r>
      <w:r w:rsidR="008C0496" w:rsidRPr="00321A1F">
        <w:rPr>
          <w:bCs/>
          <w:iCs/>
        </w:rPr>
        <w:t xml:space="preserve"> once all pro forma items have been completed and documentation provided showing that the improvements have been made. Once verified by </w:t>
      </w:r>
      <w:r>
        <w:rPr>
          <w:bCs/>
          <w:iCs/>
        </w:rPr>
        <w:t xml:space="preserve">our </w:t>
      </w:r>
      <w:r w:rsidR="008C0496" w:rsidRPr="00321A1F">
        <w:rPr>
          <w:bCs/>
          <w:iCs/>
        </w:rPr>
        <w:t>staff, the rates sh</w:t>
      </w:r>
      <w:r>
        <w:rPr>
          <w:bCs/>
          <w:iCs/>
        </w:rPr>
        <w:t>all</w:t>
      </w:r>
      <w:r w:rsidR="008C0496" w:rsidRPr="00321A1F">
        <w:rPr>
          <w:bCs/>
          <w:iCs/>
        </w:rPr>
        <w:t xml:space="preserve"> be effective for service rendered on or after the stamped approval date on the tariff sheet, pursuant to Rule 25-30.475(1), F.A.C. The rates sh</w:t>
      </w:r>
      <w:r>
        <w:rPr>
          <w:bCs/>
          <w:iCs/>
        </w:rPr>
        <w:t>all</w:t>
      </w:r>
      <w:r w:rsidR="008C0496" w:rsidRPr="00321A1F">
        <w:rPr>
          <w:bCs/>
          <w:iCs/>
        </w:rPr>
        <w:t xml:space="preserve"> not be implemented until notice has been received by the customers. Aquarina sh</w:t>
      </w:r>
      <w:r>
        <w:rPr>
          <w:bCs/>
          <w:iCs/>
        </w:rPr>
        <w:t>all</w:t>
      </w:r>
      <w:r w:rsidR="008C0496" w:rsidRPr="00321A1F">
        <w:rPr>
          <w:bCs/>
          <w:iCs/>
        </w:rPr>
        <w:t xml:space="preserve"> provide proof of the date notice was given within 10 days of the date of the notice. If </w:t>
      </w:r>
      <w:r w:rsidRPr="00321A1F">
        <w:t xml:space="preserve">Aquarina </w:t>
      </w:r>
      <w:r>
        <w:t xml:space="preserve">Utilities, Inc. </w:t>
      </w:r>
      <w:r w:rsidR="008C0496" w:rsidRPr="00321A1F">
        <w:rPr>
          <w:bCs/>
          <w:iCs/>
        </w:rPr>
        <w:t xml:space="preserve">encounters any unforeseen events that will impede the completion of the pro forma items, </w:t>
      </w:r>
      <w:r>
        <w:rPr>
          <w:bCs/>
          <w:iCs/>
        </w:rPr>
        <w:t xml:space="preserve">it </w:t>
      </w:r>
      <w:r w:rsidR="008C0496" w:rsidRPr="00321A1F">
        <w:rPr>
          <w:bCs/>
          <w:iCs/>
        </w:rPr>
        <w:t>sh</w:t>
      </w:r>
      <w:r>
        <w:rPr>
          <w:bCs/>
          <w:iCs/>
        </w:rPr>
        <w:t>all</w:t>
      </w:r>
      <w:r w:rsidR="008C0496" w:rsidRPr="00321A1F">
        <w:rPr>
          <w:bCs/>
          <w:iCs/>
        </w:rPr>
        <w:t xml:space="preserve"> immediately notify the Commission in writing. </w:t>
      </w:r>
      <w:r>
        <w:rPr>
          <w:bCs/>
          <w:iCs/>
        </w:rPr>
        <w:t xml:space="preserve"> It is further</w:t>
      </w:r>
    </w:p>
    <w:p w:rsidR="00060D2D" w:rsidRDefault="00CD58F9" w:rsidP="00060D2D">
      <w:pPr>
        <w:spacing w:after="240"/>
        <w:jc w:val="both"/>
      </w:pPr>
      <w:r>
        <w:rPr>
          <w:bCs/>
          <w:iCs/>
        </w:rPr>
        <w:tab/>
        <w:t>ORDERED that</w:t>
      </w:r>
      <w:r w:rsidR="00060D2D">
        <w:rPr>
          <w:bCs/>
          <w:iCs/>
        </w:rPr>
        <w:t xml:space="preserve"> </w:t>
      </w:r>
      <w:r w:rsidR="00060D2D" w:rsidRPr="00321A1F">
        <w:t xml:space="preserve">the </w:t>
      </w:r>
      <w:r w:rsidR="00060D2D">
        <w:t>approved</w:t>
      </w:r>
      <w:r w:rsidR="00060D2D" w:rsidRPr="00321A1F">
        <w:t xml:space="preserve"> rates </w:t>
      </w:r>
      <w:r w:rsidR="00060D2D">
        <w:t>are</w:t>
      </w:r>
      <w:r w:rsidR="00060D2D" w:rsidRPr="00321A1F">
        <w:t xml:space="preserve"> approved for the Aquarina </w:t>
      </w:r>
      <w:r w:rsidR="00060D2D">
        <w:t xml:space="preserve">Utilities, Inc. </w:t>
      </w:r>
      <w:r w:rsidR="00130284">
        <w:t xml:space="preserve">on </w:t>
      </w:r>
      <w:r w:rsidR="00060D2D" w:rsidRPr="00321A1F">
        <w:t xml:space="preserve">a temporary basis, subject to refund with interest, in the event of a protest filed by a party other than the Utility.  Aquarina </w:t>
      </w:r>
      <w:r w:rsidR="00060D2D">
        <w:t xml:space="preserve">Utilities, Inc. </w:t>
      </w:r>
      <w:r w:rsidR="00060D2D" w:rsidRPr="00321A1F">
        <w:t>sh</w:t>
      </w:r>
      <w:r w:rsidR="00060D2D">
        <w:t>all</w:t>
      </w:r>
      <w:r w:rsidR="00060D2D" w:rsidRPr="00321A1F">
        <w:t xml:space="preserve"> file revised tariff sheets and a proposed customer notice to reflect the approved rates. The approved rates sh</w:t>
      </w:r>
      <w:r w:rsidR="00060D2D">
        <w:t>all</w:t>
      </w:r>
      <w:r w:rsidR="00060D2D" w:rsidRPr="00321A1F">
        <w:t xml:space="preserve"> be effective for service rendered on or after the stamped approval date on the tariff sheet, pursuant to Rule 25-30.475(1), F.A.C. In addition, the temporary rates sh</w:t>
      </w:r>
      <w:r w:rsidR="00060D2D">
        <w:t>all</w:t>
      </w:r>
      <w:r w:rsidR="00060D2D" w:rsidRPr="00321A1F">
        <w:t xml:space="preserve"> not be implemented until </w:t>
      </w:r>
      <w:r w:rsidR="00060D2D">
        <w:t xml:space="preserve">our </w:t>
      </w:r>
      <w:r w:rsidR="00060D2D" w:rsidRPr="00321A1F">
        <w:t xml:space="preserve">staff has approved the proposed notice, and the notice has been received by the customers. Prior to implementation of any temporary rates, Aquarina </w:t>
      </w:r>
      <w:r w:rsidR="00060D2D">
        <w:t xml:space="preserve">Utilities, Inc. </w:t>
      </w:r>
      <w:r w:rsidR="00060D2D" w:rsidRPr="00321A1F">
        <w:t>sh</w:t>
      </w:r>
      <w:r w:rsidR="00060D2D">
        <w:t>all</w:t>
      </w:r>
      <w:r w:rsidR="00060D2D" w:rsidRPr="00321A1F">
        <w:t xml:space="preserve"> provide appropriate security. </w:t>
      </w:r>
      <w:r w:rsidR="00060D2D">
        <w:t>Temporary r</w:t>
      </w:r>
      <w:r w:rsidR="00060D2D" w:rsidRPr="00321A1F">
        <w:t xml:space="preserve">ates collected by Aquarina </w:t>
      </w:r>
      <w:r w:rsidR="00060D2D">
        <w:t>Utilities, Inc.</w:t>
      </w:r>
      <w:r w:rsidR="00060D2D" w:rsidRPr="00321A1F">
        <w:t xml:space="preserve"> sh</w:t>
      </w:r>
      <w:r w:rsidR="00060D2D">
        <w:t>all</w:t>
      </w:r>
      <w:r w:rsidR="00060D2D" w:rsidRPr="00321A1F">
        <w:t xml:space="preserve"> be subject to the refund provisions </w:t>
      </w:r>
      <w:r w:rsidR="00060D2D">
        <w:t xml:space="preserve">set forth in the body </w:t>
      </w:r>
      <w:r w:rsidR="00060D2D">
        <w:lastRenderedPageBreak/>
        <w:t>of this order. P</w:t>
      </w:r>
      <w:r w:rsidR="00060D2D" w:rsidRPr="00321A1F">
        <w:t xml:space="preserve">ursuant to Rule 25-30.360(6), F.A.C., Aquarina </w:t>
      </w:r>
      <w:r w:rsidR="00060D2D">
        <w:t>Utilities, Inc.</w:t>
      </w:r>
      <w:r w:rsidR="00060D2D" w:rsidRPr="00321A1F">
        <w:t xml:space="preserve"> sh</w:t>
      </w:r>
      <w:r w:rsidR="00060D2D">
        <w:t>all</w:t>
      </w:r>
      <w:r w:rsidR="00060D2D" w:rsidRPr="00321A1F">
        <w:t xml:space="preserve"> file reports with </w:t>
      </w:r>
      <w:r w:rsidR="00060D2D">
        <w:t>our</w:t>
      </w:r>
      <w:r w:rsidR="00060D2D" w:rsidRPr="00321A1F">
        <w:t xml:space="preserve"> Office of Commission Clerk no later than the 20th of each month indicating the monthly and total amount of money subject to refund at the end of the preceding month. </w:t>
      </w:r>
      <w:r w:rsidR="00060D2D">
        <w:t xml:space="preserve">Such reports </w:t>
      </w:r>
      <w:r w:rsidR="00060D2D" w:rsidRPr="00321A1F">
        <w:t>sh</w:t>
      </w:r>
      <w:r w:rsidR="00060D2D">
        <w:t>all</w:t>
      </w:r>
      <w:r w:rsidR="00060D2D" w:rsidRPr="00321A1F">
        <w:t xml:space="preserve"> also indicate the status of the security being used to guarantee repayment of any potential refund. </w:t>
      </w:r>
      <w:r w:rsidR="00C26A39">
        <w:t xml:space="preserve">(Final) </w:t>
      </w:r>
      <w:r w:rsidR="00060D2D">
        <w:t xml:space="preserve">It is further, </w:t>
      </w:r>
    </w:p>
    <w:p w:rsidR="00C26A39" w:rsidRDefault="00060D2D" w:rsidP="00C26A39">
      <w:pPr>
        <w:spacing w:after="240"/>
        <w:jc w:val="both"/>
      </w:pPr>
      <w:r>
        <w:tab/>
        <w:t xml:space="preserve">ORDERED that </w:t>
      </w:r>
      <w:r w:rsidR="00C26A39" w:rsidRPr="00321A1F">
        <w:t xml:space="preserve">Aquarina </w:t>
      </w:r>
      <w:r w:rsidR="00C26A39">
        <w:t xml:space="preserve">Utilities, Inc. is required </w:t>
      </w:r>
      <w:r w:rsidR="00C26A39" w:rsidRPr="00321A1F">
        <w:t>to notify th</w:t>
      </w:r>
      <w:r w:rsidR="00C26A39">
        <w:t>is</w:t>
      </w:r>
      <w:r w:rsidR="00C26A39" w:rsidRPr="00321A1F">
        <w:t xml:space="preserve"> Commission, in writing, that it has adjusted its books in accordance with </w:t>
      </w:r>
      <w:r w:rsidR="00A11505">
        <w:t xml:space="preserve">our </w:t>
      </w:r>
      <w:r w:rsidR="00C26A39" w:rsidRPr="00321A1F">
        <w:t xml:space="preserve">decision. </w:t>
      </w:r>
      <w:r w:rsidR="00A11505" w:rsidRPr="00321A1F">
        <w:t xml:space="preserve">Aquarina </w:t>
      </w:r>
      <w:r w:rsidR="00A11505">
        <w:t xml:space="preserve">Utilities, Inc. </w:t>
      </w:r>
      <w:r w:rsidR="00C26A39" w:rsidRPr="00321A1F">
        <w:t>sh</w:t>
      </w:r>
      <w:r w:rsidR="00A11505">
        <w:t>all</w:t>
      </w:r>
      <w:r w:rsidR="00C26A39" w:rsidRPr="00321A1F">
        <w:t xml:space="preserve"> submit a letter within 90 days of the final order in this docket, confirming that the adjustments to all the applicable NARUC USOA accounts have been made to </w:t>
      </w:r>
      <w:r w:rsidR="00130284">
        <w:t>its</w:t>
      </w:r>
      <w:r w:rsidR="00A11505">
        <w:t xml:space="preserve"> </w:t>
      </w:r>
      <w:r w:rsidR="00C26A39" w:rsidRPr="00321A1F">
        <w:t xml:space="preserve">books and records. In the event </w:t>
      </w:r>
      <w:r w:rsidR="00A11505" w:rsidRPr="00321A1F">
        <w:t xml:space="preserve">Aquarina </w:t>
      </w:r>
      <w:r w:rsidR="00A11505">
        <w:t xml:space="preserve">Utilities, Inc. </w:t>
      </w:r>
      <w:r w:rsidR="00C26A39" w:rsidRPr="00321A1F">
        <w:t>needs additional time to complete the adjustments, notice sh</w:t>
      </w:r>
      <w:r w:rsidR="00A11505">
        <w:t>all</w:t>
      </w:r>
      <w:r w:rsidR="00C26A39" w:rsidRPr="00321A1F">
        <w:t xml:space="preserve"> be provided within seven days prior to deadline. Upon providing good cause, </w:t>
      </w:r>
      <w:r w:rsidR="00A11505">
        <w:t xml:space="preserve">our </w:t>
      </w:r>
      <w:r w:rsidR="00C26A39" w:rsidRPr="00321A1F">
        <w:t xml:space="preserve">staff </w:t>
      </w:r>
      <w:r w:rsidR="00A11505">
        <w:t xml:space="preserve">is </w:t>
      </w:r>
      <w:r w:rsidR="00C26A39" w:rsidRPr="00321A1F">
        <w:t xml:space="preserve">given administrative authority to grant an extension of up to 60 days. </w:t>
      </w:r>
      <w:r w:rsidR="00A11505">
        <w:t>(Final). It is further</w:t>
      </w:r>
    </w:p>
    <w:p w:rsidR="00911D90" w:rsidRPr="00321A1F" w:rsidRDefault="00A11505" w:rsidP="00911D90">
      <w:pPr>
        <w:pStyle w:val="OrderBody"/>
      </w:pPr>
      <w:r>
        <w:tab/>
        <w:t xml:space="preserve">ORDERED that </w:t>
      </w:r>
      <w:r w:rsidR="00911D90" w:rsidRPr="00911D90">
        <w:t xml:space="preserve">the provisions of this </w:t>
      </w:r>
      <w:r w:rsidR="00E82418">
        <w:t>o</w:t>
      </w:r>
      <w:r w:rsidR="00911D90" w:rsidRPr="00911D90">
        <w:t>rder, issued as proposed agency action, shall become final and effective upon the issuance of a Consummating Order unless an appropriate petition, in the form provided by Rule 28-106.201, Florida Administrative Code, is received</w:t>
      </w:r>
      <w:r w:rsidR="00911D90" w:rsidRPr="00321A1F">
        <w:t xml:space="preserve"> by the Commission Clerk, 2540 Shumard Oak Boulevard, Tallahassee, Florida 32399-0850, by the close of business on the date set forth in the “Notice of Further Proceedings” attached hereto.  It is further</w:t>
      </w:r>
    </w:p>
    <w:p w:rsidR="00911D90" w:rsidRDefault="00911D90" w:rsidP="00C26A39">
      <w:pPr>
        <w:spacing w:after="240"/>
        <w:jc w:val="both"/>
      </w:pPr>
    </w:p>
    <w:p w:rsidR="00EC6608" w:rsidRDefault="00911D90" w:rsidP="00911D90">
      <w:pPr>
        <w:spacing w:after="240"/>
        <w:jc w:val="both"/>
      </w:pPr>
      <w:r>
        <w:tab/>
        <w:t>ORDERED that t</w:t>
      </w:r>
      <w:r w:rsidRPr="00321A1F">
        <w:t>h</w:t>
      </w:r>
      <w:r w:rsidR="000F0CB2">
        <w:t>is</w:t>
      </w:r>
      <w:r w:rsidRPr="00321A1F">
        <w:t xml:space="preserve"> docket sh</w:t>
      </w:r>
      <w:r>
        <w:t>all</w:t>
      </w:r>
      <w:r w:rsidRPr="00321A1F">
        <w:t xml:space="preserve"> remain open for </w:t>
      </w:r>
      <w:r>
        <w:t xml:space="preserve">our </w:t>
      </w:r>
      <w:r w:rsidRPr="00321A1F">
        <w:t xml:space="preserve">staff’s verification that the outstanding Phase I pro forma items have been completed, the revised tariff sheets and customer notice have been filed by Aquarina </w:t>
      </w:r>
      <w:r>
        <w:t>Utilities, Inc.</w:t>
      </w:r>
      <w:r w:rsidRPr="00321A1F">
        <w:t xml:space="preserve"> and approved by </w:t>
      </w:r>
      <w:r>
        <w:t xml:space="preserve">our </w:t>
      </w:r>
      <w:r w:rsidRPr="00321A1F">
        <w:t xml:space="preserve">staff, and Aquarina </w:t>
      </w:r>
      <w:r>
        <w:t>Utilities, Inc.</w:t>
      </w:r>
      <w:r w:rsidRPr="00321A1F">
        <w:t xml:space="preserve"> has provided </w:t>
      </w:r>
      <w:r>
        <w:t xml:space="preserve">our </w:t>
      </w:r>
      <w:r w:rsidRPr="00321A1F">
        <w:t xml:space="preserve">staff with proof that the adjustments for all the applicable NARUC USOA primary accounts have been made. </w:t>
      </w:r>
      <w:r>
        <w:t>T</w:t>
      </w:r>
      <w:r w:rsidRPr="00321A1F">
        <w:t>he docket sh</w:t>
      </w:r>
      <w:r w:rsidR="00130284">
        <w:t>all</w:t>
      </w:r>
      <w:r w:rsidRPr="00321A1F">
        <w:t xml:space="preserve"> </w:t>
      </w:r>
      <w:r>
        <w:t xml:space="preserve">also </w:t>
      </w:r>
      <w:r w:rsidRPr="00321A1F">
        <w:t xml:space="preserve">remain open to allow </w:t>
      </w:r>
      <w:r>
        <w:t xml:space="preserve">our </w:t>
      </w:r>
      <w:r w:rsidRPr="00321A1F">
        <w:t>staff to verify that the Phase II pro forma items have been completed, and the Phase II rates properly implemented. Once these actions are complete, this docket sh</w:t>
      </w:r>
      <w:r>
        <w:t>all</w:t>
      </w:r>
      <w:r w:rsidRPr="00321A1F">
        <w:t xml:space="preserve"> be closed administratively.</w:t>
      </w:r>
      <w:r>
        <w:t xml:space="preserve"> </w:t>
      </w:r>
    </w:p>
    <w:p w:rsidR="002E3503" w:rsidRDefault="002E3503" w:rsidP="002E3503">
      <w:pPr>
        <w:pStyle w:val="OrderBody"/>
        <w:keepNext/>
        <w:keepLines/>
      </w:pPr>
      <w:r>
        <w:lastRenderedPageBreak/>
        <w:tab/>
        <w:t xml:space="preserve">By ORDER of the Florida Public Service Commission this </w:t>
      </w:r>
      <w:bookmarkStart w:id="7" w:name="replaceDate"/>
      <w:bookmarkEnd w:id="7"/>
      <w:r w:rsidR="004E730C">
        <w:rPr>
          <w:u w:val="single"/>
        </w:rPr>
        <w:t>29th</w:t>
      </w:r>
      <w:r w:rsidR="004E730C">
        <w:t xml:space="preserve"> day of </w:t>
      </w:r>
      <w:r w:rsidR="004E730C">
        <w:rPr>
          <w:u w:val="single"/>
        </w:rPr>
        <w:t>December</w:t>
      </w:r>
      <w:r w:rsidR="004E730C">
        <w:t xml:space="preserve">, </w:t>
      </w:r>
      <w:r w:rsidR="004E730C">
        <w:rPr>
          <w:u w:val="single"/>
        </w:rPr>
        <w:t>2016</w:t>
      </w:r>
      <w:r w:rsidR="004E730C">
        <w:t>.</w:t>
      </w:r>
    </w:p>
    <w:p w:rsidR="004E730C" w:rsidRPr="004E730C" w:rsidRDefault="004E730C" w:rsidP="002E3503">
      <w:pPr>
        <w:pStyle w:val="OrderBody"/>
        <w:keepNext/>
        <w:keepLines/>
      </w:pPr>
    </w:p>
    <w:p w:rsidR="002E3503" w:rsidRDefault="002E3503" w:rsidP="002E350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3503" w:rsidTr="00E46AC5">
        <w:tc>
          <w:tcPr>
            <w:tcW w:w="720" w:type="dxa"/>
            <w:shd w:val="clear" w:color="auto" w:fill="auto"/>
          </w:tcPr>
          <w:p w:rsidR="002E3503" w:rsidRDefault="002E3503" w:rsidP="00E46AC5">
            <w:pPr>
              <w:pStyle w:val="OrderBody"/>
              <w:keepNext/>
              <w:keepLines/>
            </w:pPr>
            <w:bookmarkStart w:id="8" w:name="bkmrkSignature"/>
            <w:bookmarkEnd w:id="8"/>
          </w:p>
        </w:tc>
        <w:tc>
          <w:tcPr>
            <w:tcW w:w="4320" w:type="dxa"/>
            <w:tcBorders>
              <w:bottom w:val="single" w:sz="4" w:space="0" w:color="auto"/>
            </w:tcBorders>
            <w:shd w:val="clear" w:color="auto" w:fill="auto"/>
          </w:tcPr>
          <w:p w:rsidR="002E3503" w:rsidRDefault="004E730C" w:rsidP="00E46AC5">
            <w:pPr>
              <w:pStyle w:val="OrderBody"/>
              <w:keepNext/>
              <w:keepLines/>
            </w:pPr>
            <w:r>
              <w:t>/s/ Hong Wang</w:t>
            </w:r>
          </w:p>
        </w:tc>
      </w:tr>
      <w:tr w:rsidR="002E3503" w:rsidTr="00E46AC5">
        <w:tc>
          <w:tcPr>
            <w:tcW w:w="720" w:type="dxa"/>
            <w:shd w:val="clear" w:color="auto" w:fill="auto"/>
          </w:tcPr>
          <w:p w:rsidR="002E3503" w:rsidRDefault="002E3503" w:rsidP="00E46AC5">
            <w:pPr>
              <w:pStyle w:val="OrderBody"/>
              <w:keepNext/>
              <w:keepLines/>
            </w:pPr>
          </w:p>
        </w:tc>
        <w:tc>
          <w:tcPr>
            <w:tcW w:w="4320" w:type="dxa"/>
            <w:tcBorders>
              <w:top w:val="single" w:sz="4" w:space="0" w:color="auto"/>
            </w:tcBorders>
            <w:shd w:val="clear" w:color="auto" w:fill="auto"/>
          </w:tcPr>
          <w:p w:rsidR="004E730C" w:rsidRDefault="004E730C" w:rsidP="00E46AC5">
            <w:pPr>
              <w:pStyle w:val="OrderBody"/>
              <w:keepNext/>
              <w:keepLines/>
            </w:pPr>
            <w:r>
              <w:t>HONG WANG</w:t>
            </w:r>
          </w:p>
          <w:p w:rsidR="002E3503" w:rsidRDefault="004E730C" w:rsidP="00E46AC5">
            <w:pPr>
              <w:pStyle w:val="OrderBody"/>
              <w:keepNext/>
              <w:keepLines/>
            </w:pPr>
            <w:r>
              <w:t>Chief Deputy Commission Clerk</w:t>
            </w:r>
            <w:bookmarkStart w:id="9" w:name="_GoBack"/>
            <w:bookmarkEnd w:id="9"/>
          </w:p>
        </w:tc>
      </w:tr>
    </w:tbl>
    <w:p w:rsidR="002E3503" w:rsidRDefault="002E3503" w:rsidP="002E3503">
      <w:pPr>
        <w:pStyle w:val="OrderSigInfo"/>
        <w:keepNext/>
        <w:keepLines/>
      </w:pPr>
      <w:r>
        <w:t>Florida Public Service Commission</w:t>
      </w:r>
    </w:p>
    <w:p w:rsidR="002E3503" w:rsidRDefault="002E3503" w:rsidP="002E3503">
      <w:pPr>
        <w:pStyle w:val="OrderSigInfo"/>
        <w:keepNext/>
        <w:keepLines/>
      </w:pPr>
      <w:r>
        <w:t>2540 Shumard Oak Boulevard</w:t>
      </w:r>
    </w:p>
    <w:p w:rsidR="002E3503" w:rsidRDefault="002E3503" w:rsidP="002E3503">
      <w:pPr>
        <w:pStyle w:val="OrderSigInfo"/>
        <w:keepNext/>
        <w:keepLines/>
      </w:pPr>
      <w:r>
        <w:t>Tallahassee, Florida  32399</w:t>
      </w:r>
    </w:p>
    <w:p w:rsidR="002E3503" w:rsidRDefault="002E3503" w:rsidP="002E3503">
      <w:pPr>
        <w:pStyle w:val="OrderSigInfo"/>
        <w:keepNext/>
        <w:keepLines/>
      </w:pPr>
      <w:r>
        <w:t>(850) 413</w:t>
      </w:r>
      <w:r>
        <w:noBreakHyphen/>
        <w:t>6770</w:t>
      </w:r>
    </w:p>
    <w:p w:rsidR="002E3503" w:rsidRDefault="002E3503" w:rsidP="002E3503">
      <w:pPr>
        <w:pStyle w:val="OrderSigInfo"/>
        <w:keepNext/>
        <w:keepLines/>
      </w:pPr>
      <w:r>
        <w:t>www.floridapsc.com</w:t>
      </w:r>
    </w:p>
    <w:p w:rsidR="002E3503" w:rsidRDefault="002E3503" w:rsidP="002E3503">
      <w:pPr>
        <w:pStyle w:val="OrderSigInfo"/>
        <w:keepNext/>
        <w:keepLines/>
      </w:pPr>
    </w:p>
    <w:p w:rsidR="002E3503" w:rsidRDefault="002E3503" w:rsidP="002E3503">
      <w:pPr>
        <w:pStyle w:val="OrderSigInfo"/>
        <w:keepNext/>
        <w:keepLines/>
      </w:pPr>
      <w:r>
        <w:t>Copies furnished:  A copy of this document is provided to the parties of record at the time of issuance and, if applicable, interested persons.</w:t>
      </w:r>
    </w:p>
    <w:p w:rsidR="002E3503" w:rsidRDefault="002E3503" w:rsidP="002E3503">
      <w:pPr>
        <w:pStyle w:val="OrderBody"/>
        <w:keepNext/>
        <w:keepLines/>
      </w:pPr>
    </w:p>
    <w:p w:rsidR="002E3503" w:rsidRDefault="002E3503" w:rsidP="002E3503">
      <w:pPr>
        <w:pStyle w:val="OrderBody"/>
        <w:keepNext/>
        <w:keepLines/>
      </w:pPr>
    </w:p>
    <w:p w:rsidR="002E3503" w:rsidRDefault="002E3503" w:rsidP="002E3503">
      <w:pPr>
        <w:pStyle w:val="OrderBody"/>
        <w:keepNext/>
        <w:keepLines/>
      </w:pPr>
      <w:r>
        <w:t>CWM</w:t>
      </w:r>
    </w:p>
    <w:p w:rsidR="002E3503" w:rsidRDefault="002E3503" w:rsidP="002E3503">
      <w:pPr>
        <w:pStyle w:val="OrderBody"/>
      </w:pPr>
    </w:p>
    <w:p w:rsidR="002E3503" w:rsidRDefault="002E3503" w:rsidP="002E3503">
      <w:pPr>
        <w:pStyle w:val="OrderBody"/>
      </w:pPr>
    </w:p>
    <w:p w:rsidR="00AE5D34" w:rsidRDefault="00AE5D34" w:rsidP="002E3503">
      <w:pPr>
        <w:pStyle w:val="OrderBody"/>
      </w:pPr>
    </w:p>
    <w:p w:rsidR="00AE5D34" w:rsidRDefault="00AE5D34" w:rsidP="002E3503">
      <w:pPr>
        <w:pStyle w:val="OrderBody"/>
      </w:pPr>
    </w:p>
    <w:p w:rsidR="002E3503" w:rsidRPr="007676EC" w:rsidRDefault="002E3503" w:rsidP="002E3503">
      <w:pPr>
        <w:keepNext/>
        <w:jc w:val="center"/>
        <w:rPr>
          <w:u w:val="single"/>
        </w:rPr>
      </w:pPr>
      <w:r w:rsidRPr="007676EC">
        <w:rPr>
          <w:u w:val="single"/>
        </w:rPr>
        <w:t>NOTICE OF FURTHER PROCEEDINGS OR JUDICIAL REVIEW</w:t>
      </w:r>
    </w:p>
    <w:p w:rsidR="002E3503" w:rsidRPr="007676EC" w:rsidRDefault="002E3503" w:rsidP="002E3503">
      <w:pPr>
        <w:jc w:val="both"/>
      </w:pPr>
    </w:p>
    <w:p w:rsidR="002E3503" w:rsidRPr="007676EC" w:rsidRDefault="002E3503" w:rsidP="002E3503">
      <w:pPr>
        <w:jc w:val="both"/>
      </w:pPr>
      <w:r w:rsidRPr="007676E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E3503" w:rsidRPr="007676EC" w:rsidRDefault="002E3503" w:rsidP="002E3503">
      <w:pPr>
        <w:jc w:val="both"/>
      </w:pPr>
    </w:p>
    <w:p w:rsidR="002E3503" w:rsidRPr="007676EC" w:rsidRDefault="002E3503" w:rsidP="002E3503">
      <w:pPr>
        <w:jc w:val="both"/>
      </w:pPr>
      <w:r w:rsidRPr="007676EC">
        <w:tab/>
        <w:t>As identified in the body of this order, our actio</w:t>
      </w:r>
      <w:r>
        <w:t>n</w:t>
      </w:r>
      <w:r w:rsidRPr="007676EC">
        <w:t xml:space="preserve">s </w:t>
      </w:r>
      <w:r>
        <w:t xml:space="preserve">are </w:t>
      </w:r>
      <w:r w:rsidRPr="007676EC">
        <w:t>preliminary in nature</w:t>
      </w:r>
      <w:r>
        <w:t xml:space="preserve">, with the exception of our decisions regarding </w:t>
      </w:r>
      <w:r w:rsidRPr="00F56B0E">
        <w:t>the granting of temporary rates in the event of a protest</w:t>
      </w:r>
      <w:r>
        <w:t xml:space="preserve">, </w:t>
      </w:r>
      <w:r w:rsidRPr="00F56B0E">
        <w:t>addressing rate case expense</w:t>
      </w:r>
      <w:r>
        <w:t>, and requiring specified accounting practices which are final agency action</w:t>
      </w:r>
      <w:r w:rsidR="00130284">
        <w:t>s</w:t>
      </w:r>
      <w:r>
        <w:t xml:space="preserve">. </w:t>
      </w:r>
      <w:r w:rsidRPr="007676EC">
        <w:t>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w:t>
      </w:r>
      <w:r w:rsidR="004E730C">
        <w:t xml:space="preserve"> </w:t>
      </w:r>
      <w:r w:rsidR="004E730C" w:rsidRPr="004E730C">
        <w:rPr>
          <w:u w:val="single"/>
        </w:rPr>
        <w:t>January</w:t>
      </w:r>
      <w:r w:rsidR="004E730C">
        <w:t xml:space="preserve"> </w:t>
      </w:r>
      <w:r w:rsidR="004E730C" w:rsidRPr="004E730C">
        <w:rPr>
          <w:u w:val="single"/>
        </w:rPr>
        <w:t>19, 2017</w:t>
      </w:r>
      <w:r w:rsidRPr="007676EC">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2E3503" w:rsidRPr="007676EC" w:rsidRDefault="002E3503" w:rsidP="002E3503">
      <w:pPr>
        <w:jc w:val="both"/>
      </w:pPr>
    </w:p>
    <w:p w:rsidR="002E3503" w:rsidRPr="007676EC" w:rsidRDefault="002E3503" w:rsidP="002E3503">
      <w:pPr>
        <w:jc w:val="both"/>
      </w:pPr>
      <w:r w:rsidRPr="007676EC">
        <w:tab/>
        <w:t>Any objection or protest filed in this docket before the issuance date of this order is considered abandoned unless it satisfies the foregoing conditions and is renewed within the specified protest period.</w:t>
      </w:r>
    </w:p>
    <w:p w:rsidR="002E3503" w:rsidRPr="007676EC" w:rsidRDefault="002E3503" w:rsidP="002E3503">
      <w:pPr>
        <w:jc w:val="both"/>
      </w:pPr>
    </w:p>
    <w:p w:rsidR="002E3503" w:rsidRPr="004006FE" w:rsidRDefault="002E3503" w:rsidP="002E3503">
      <w:pPr>
        <w:jc w:val="both"/>
        <w:sectPr w:rsidR="002E3503" w:rsidRPr="004006FE">
          <w:headerReference w:type="even" r:id="rId11"/>
          <w:headerReference w:type="default" r:id="rId12"/>
          <w:footerReference w:type="first" r:id="rId13"/>
          <w:pgSz w:w="12240" w:h="15840" w:code="1"/>
          <w:pgMar w:top="1440" w:right="1440" w:bottom="1440" w:left="1440" w:header="720" w:footer="720" w:gutter="0"/>
          <w:cols w:space="720"/>
          <w:titlePg/>
          <w:docGrid w:linePitch="360"/>
        </w:sectPr>
      </w:pPr>
      <w:r w:rsidRPr="007676EC">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w:t>
      </w:r>
      <w:r>
        <w:t>da Rules of Appellate Procedure.</w:t>
      </w:r>
    </w:p>
    <w:p w:rsidR="002C1EFF" w:rsidRPr="00321A1F" w:rsidRDefault="00CB1B72" w:rsidP="002C1EFF">
      <w:pPr>
        <w:spacing w:after="240"/>
        <w:jc w:val="center"/>
      </w:pPr>
      <w:r w:rsidRPr="00CB1B72">
        <w:rPr>
          <w:noProof/>
        </w:rPr>
        <w:lastRenderedPageBreak/>
        <w:drawing>
          <wp:inline distT="0" distB="0" distL="0" distR="0">
            <wp:extent cx="5090160" cy="4427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0160" cy="4427220"/>
                    </a:xfrm>
                    <a:prstGeom prst="rect">
                      <a:avLst/>
                    </a:prstGeom>
                    <a:noFill/>
                    <a:ln>
                      <a:noFill/>
                    </a:ln>
                  </pic:spPr>
                </pic:pic>
              </a:graphicData>
            </a:graphic>
          </wp:inline>
        </w:drawing>
      </w:r>
    </w:p>
    <w:p w:rsidR="002C1EFF" w:rsidRPr="00321A1F" w:rsidRDefault="002C1EFF"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r w:rsidRPr="00321A1F">
        <w:fldChar w:fldCharType="begin"/>
      </w:r>
      <w:r w:rsidRPr="00321A1F">
        <w:instrText xml:space="preserve"> TC "</w:instrText>
      </w:r>
      <w:bookmarkStart w:id="11" w:name="_Toc468863850"/>
      <w:r w:rsidRPr="00321A1F">
        <w:instrText>Schedule No. 1-A Potable Water Rate Base Phase I</w:instrText>
      </w:r>
      <w:bookmarkEnd w:id="11"/>
      <w:r w:rsidRPr="00321A1F">
        <w:instrText xml:space="preserve">" \l 1 </w:instrText>
      </w:r>
      <w:r w:rsidRPr="00321A1F">
        <w:fldChar w:fldCharType="end"/>
      </w:r>
    </w:p>
    <w:p w:rsidR="002C1EFF" w:rsidRPr="00321A1F" w:rsidRDefault="002C1EFF" w:rsidP="002C1EFF">
      <w:pPr>
        <w:spacing w:after="240"/>
        <w:jc w:val="center"/>
      </w:pPr>
    </w:p>
    <w:p w:rsidR="002C1EFF" w:rsidRPr="00321A1F" w:rsidRDefault="00CB1B72" w:rsidP="002C1EFF">
      <w:pPr>
        <w:spacing w:after="240"/>
        <w:jc w:val="center"/>
        <w:rPr>
          <w:noProof/>
        </w:rPr>
      </w:pPr>
      <w:r w:rsidRPr="00CB1B72">
        <w:rPr>
          <w:noProof/>
        </w:rPr>
        <w:drawing>
          <wp:inline distT="0" distB="0" distL="0" distR="0">
            <wp:extent cx="5105400" cy="4427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4427220"/>
                    </a:xfrm>
                    <a:prstGeom prst="rect">
                      <a:avLst/>
                    </a:prstGeom>
                    <a:noFill/>
                    <a:ln>
                      <a:noFill/>
                    </a:ln>
                  </pic:spPr>
                </pic:pic>
              </a:graphicData>
            </a:graphic>
          </wp:inline>
        </w:drawing>
      </w:r>
    </w:p>
    <w:p w:rsidR="002C1EFF" w:rsidRPr="00321A1F" w:rsidRDefault="002C1EFF" w:rsidP="002C1EFF">
      <w:pPr>
        <w:spacing w:after="240"/>
        <w:jc w:val="center"/>
        <w:rPr>
          <w:noProof/>
        </w:rPr>
      </w:pPr>
    </w:p>
    <w:p w:rsidR="002C1EFF" w:rsidRPr="00321A1F" w:rsidRDefault="002C1EFF"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CB1B72" w:rsidP="002C1EFF">
      <w:pPr>
        <w:spacing w:after="240"/>
        <w:jc w:val="center"/>
        <w:rPr>
          <w:noProof/>
        </w:rPr>
      </w:pPr>
      <w:r w:rsidRPr="00CB1B72">
        <w:rPr>
          <w:noProof/>
        </w:rPr>
        <w:lastRenderedPageBreak/>
        <w:drawing>
          <wp:inline distT="0" distB="0" distL="0" distR="0">
            <wp:extent cx="5074920" cy="438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4920" cy="4389120"/>
                    </a:xfrm>
                    <a:prstGeom prst="rect">
                      <a:avLst/>
                    </a:prstGeom>
                    <a:noFill/>
                    <a:ln>
                      <a:noFill/>
                    </a:ln>
                  </pic:spPr>
                </pic:pic>
              </a:graphicData>
            </a:graphic>
          </wp:inline>
        </w:drawing>
      </w:r>
    </w:p>
    <w:p w:rsidR="002C1EFF" w:rsidRPr="00321A1F" w:rsidRDefault="002C1EFF"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r w:rsidRPr="00321A1F">
        <w:rPr>
          <w:noProof/>
        </w:rPr>
        <w:lastRenderedPageBreak/>
        <w:drawing>
          <wp:inline distT="0" distB="0" distL="0" distR="0" wp14:anchorId="3360D996" wp14:editId="25882609">
            <wp:extent cx="5943600" cy="7620000"/>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620000"/>
                    </a:xfrm>
                    <a:prstGeom prst="rect">
                      <a:avLst/>
                    </a:prstGeom>
                    <a:noFill/>
                    <a:ln>
                      <a:noFill/>
                    </a:ln>
                  </pic:spPr>
                </pic:pic>
              </a:graphicData>
            </a:graphic>
          </wp:inline>
        </w:drawing>
      </w:r>
    </w:p>
    <w:p w:rsidR="002C1EFF" w:rsidRPr="00321A1F" w:rsidRDefault="00CB1B72" w:rsidP="004C24D0">
      <w:pPr>
        <w:spacing w:after="240"/>
        <w:jc w:val="center"/>
      </w:pPr>
      <w:r w:rsidRPr="00CB1B72">
        <w:rPr>
          <w:noProof/>
        </w:rPr>
        <w:lastRenderedPageBreak/>
        <w:drawing>
          <wp:inline distT="0" distB="0" distL="0" distR="0" wp14:anchorId="30D6B3A1" wp14:editId="37B5E634">
            <wp:extent cx="8138160" cy="4831397"/>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38160" cy="4831397"/>
                    </a:xfrm>
                    <a:prstGeom prst="rect">
                      <a:avLst/>
                    </a:prstGeom>
                    <a:noFill/>
                    <a:ln>
                      <a:noFill/>
                    </a:ln>
                  </pic:spPr>
                </pic:pic>
              </a:graphicData>
            </a:graphic>
          </wp:inline>
        </w:drawing>
      </w:r>
    </w:p>
    <w:p w:rsidR="002C1EFF" w:rsidRPr="00321A1F" w:rsidRDefault="002C1EFF" w:rsidP="002C1EFF">
      <w:pPr>
        <w:spacing w:after="240"/>
        <w:jc w:val="both"/>
      </w:pPr>
    </w:p>
    <w:p w:rsidR="002C1EFF" w:rsidRPr="00321A1F" w:rsidRDefault="002C1EFF" w:rsidP="002C1EFF">
      <w:pPr>
        <w:spacing w:after="240"/>
        <w:jc w:val="both"/>
        <w:sectPr w:rsidR="002C1EFF" w:rsidRPr="00321A1F" w:rsidSect="00EC6608">
          <w:pgSz w:w="15840" w:h="12240" w:orient="landscape" w:code="1"/>
          <w:pgMar w:top="1440" w:right="1584" w:bottom="1440" w:left="1440" w:header="720" w:footer="720" w:gutter="0"/>
          <w:cols w:space="720"/>
          <w:formProt w:val="0"/>
          <w:docGrid w:linePitch="360"/>
        </w:sectPr>
      </w:pPr>
    </w:p>
    <w:p w:rsidR="002C1EFF" w:rsidRPr="00321A1F" w:rsidRDefault="00E82418" w:rsidP="002C1EFF">
      <w:pPr>
        <w:spacing w:after="240"/>
        <w:jc w:val="both"/>
        <w:sectPr w:rsidR="002C1EFF" w:rsidRPr="00321A1F" w:rsidSect="00EC6608">
          <w:pgSz w:w="12240" w:h="15840" w:code="1"/>
          <w:pgMar w:top="1584" w:right="1440" w:bottom="1440" w:left="1440" w:header="720" w:footer="720" w:gutter="0"/>
          <w:cols w:space="720"/>
          <w:formProt w:val="0"/>
          <w:docGrid w:linePitch="360"/>
        </w:sectPr>
      </w:pPr>
      <w:r w:rsidRPr="00B01B6F">
        <w:rPr>
          <w:noProof/>
        </w:rPr>
        <w:lastRenderedPageBreak/>
        <w:drawing>
          <wp:inline distT="0" distB="0" distL="0" distR="0" wp14:anchorId="7E443754" wp14:editId="1A0B85A8">
            <wp:extent cx="5943600" cy="4479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479925"/>
                    </a:xfrm>
                    <a:prstGeom prst="rect">
                      <a:avLst/>
                    </a:prstGeom>
                    <a:noFill/>
                    <a:ln>
                      <a:noFill/>
                    </a:ln>
                  </pic:spPr>
                </pic:pic>
              </a:graphicData>
            </a:graphic>
          </wp:inline>
        </w:drawing>
      </w:r>
    </w:p>
    <w:p w:rsidR="002C1EFF" w:rsidRDefault="004C24D0" w:rsidP="004C24D0">
      <w:pPr>
        <w:spacing w:after="240"/>
        <w:jc w:val="center"/>
      </w:pPr>
      <w:r w:rsidRPr="004C24D0">
        <w:rPr>
          <w:noProof/>
        </w:rPr>
        <w:lastRenderedPageBreak/>
        <w:drawing>
          <wp:inline distT="0" distB="0" distL="0" distR="0" wp14:anchorId="661373AD" wp14:editId="1349970E">
            <wp:extent cx="5943600" cy="474000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740004"/>
                    </a:xfrm>
                    <a:prstGeom prst="rect">
                      <a:avLst/>
                    </a:prstGeom>
                    <a:noFill/>
                    <a:ln>
                      <a:noFill/>
                    </a:ln>
                  </pic:spPr>
                </pic:pic>
              </a:graphicData>
            </a:graphic>
          </wp:inline>
        </w:drawing>
      </w:r>
    </w:p>
    <w:p w:rsidR="004C24D0" w:rsidRDefault="004C24D0" w:rsidP="004C24D0">
      <w:pPr>
        <w:spacing w:after="240"/>
        <w:jc w:val="center"/>
      </w:pPr>
    </w:p>
    <w:p w:rsidR="004C24D0" w:rsidRDefault="004C24D0" w:rsidP="004C24D0">
      <w:pPr>
        <w:spacing w:after="240"/>
        <w:jc w:val="center"/>
      </w:pPr>
    </w:p>
    <w:p w:rsidR="004C24D0" w:rsidRDefault="004C24D0">
      <w:r>
        <w:br w:type="page"/>
      </w:r>
    </w:p>
    <w:p w:rsidR="002C1EFF" w:rsidRPr="00321A1F" w:rsidRDefault="004C24D0" w:rsidP="002C1EFF">
      <w:pPr>
        <w:spacing w:after="240"/>
        <w:jc w:val="center"/>
      </w:pPr>
      <w:r w:rsidRPr="004C24D0">
        <w:rPr>
          <w:noProof/>
        </w:rPr>
        <w:lastRenderedPageBreak/>
        <w:drawing>
          <wp:inline distT="0" distB="0" distL="0" distR="0" wp14:anchorId="57D12EE6" wp14:editId="0F01255E">
            <wp:extent cx="5943600" cy="44800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80068"/>
                    </a:xfrm>
                    <a:prstGeom prst="rect">
                      <a:avLst/>
                    </a:prstGeom>
                    <a:noFill/>
                    <a:ln>
                      <a:noFill/>
                    </a:ln>
                  </pic:spPr>
                </pic:pic>
              </a:graphicData>
            </a:graphic>
          </wp:inline>
        </w:drawing>
      </w:r>
    </w:p>
    <w:p w:rsidR="002C1EFF" w:rsidRPr="00321A1F" w:rsidRDefault="002C1EFF" w:rsidP="002C1EFF">
      <w:pPr>
        <w:spacing w:after="240"/>
        <w:jc w:val="both"/>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center"/>
        <w:sectPr w:rsidR="002C1EFF" w:rsidRPr="00321A1F" w:rsidSect="00EC6608">
          <w:footerReference w:type="default" r:id="rId22"/>
          <w:pgSz w:w="12240" w:h="15840" w:code="1"/>
          <w:pgMar w:top="1584" w:right="1440" w:bottom="1440" w:left="1440" w:header="720" w:footer="720" w:gutter="0"/>
          <w:cols w:space="720"/>
          <w:formProt w:val="0"/>
          <w:docGrid w:linePitch="360"/>
        </w:sectPr>
      </w:pPr>
      <w:r w:rsidRPr="00321A1F">
        <w:rPr>
          <w:noProof/>
        </w:rPr>
        <w:lastRenderedPageBreak/>
        <w:drawing>
          <wp:inline distT="0" distB="0" distL="0" distR="0" wp14:anchorId="5ED9966A" wp14:editId="5C6C4E5A">
            <wp:extent cx="5943600" cy="8145780"/>
            <wp:effectExtent l="0" t="0" r="0" b="762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145780"/>
                    </a:xfrm>
                    <a:prstGeom prst="rect">
                      <a:avLst/>
                    </a:prstGeom>
                    <a:noFill/>
                    <a:ln>
                      <a:noFill/>
                    </a:ln>
                  </pic:spPr>
                </pic:pic>
              </a:graphicData>
            </a:graphic>
          </wp:inline>
        </w:drawing>
      </w:r>
    </w:p>
    <w:p w:rsidR="002C1EFF" w:rsidRPr="00321A1F" w:rsidRDefault="002C1EFF" w:rsidP="002C1EFF">
      <w:pPr>
        <w:spacing w:after="240"/>
        <w:jc w:val="center"/>
        <w:rPr>
          <w:noProof/>
        </w:rPr>
      </w:pPr>
      <w:r w:rsidRPr="00321A1F">
        <w:rPr>
          <w:noProof/>
        </w:rPr>
        <w:lastRenderedPageBreak/>
        <w:drawing>
          <wp:inline distT="0" distB="0" distL="0" distR="0" wp14:anchorId="4206B779" wp14:editId="16B98290">
            <wp:extent cx="5943600" cy="7589520"/>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7589520"/>
                    </a:xfrm>
                    <a:prstGeom prst="rect">
                      <a:avLst/>
                    </a:prstGeom>
                    <a:noFill/>
                    <a:ln>
                      <a:noFill/>
                    </a:ln>
                  </pic:spPr>
                </pic:pic>
              </a:graphicData>
            </a:graphic>
          </wp:inline>
        </w:drawing>
      </w:r>
    </w:p>
    <w:p w:rsidR="002C1EFF" w:rsidRPr="00321A1F" w:rsidRDefault="002C1EFF"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center"/>
      </w:pPr>
      <w:r w:rsidRPr="00321A1F">
        <w:rPr>
          <w:noProof/>
        </w:rPr>
        <w:lastRenderedPageBreak/>
        <w:drawing>
          <wp:inline distT="0" distB="0" distL="0" distR="0" wp14:anchorId="65D28D7A" wp14:editId="598A5FE1">
            <wp:extent cx="5943600" cy="2331720"/>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331720"/>
                    </a:xfrm>
                    <a:prstGeom prst="rect">
                      <a:avLst/>
                    </a:prstGeom>
                    <a:noFill/>
                    <a:ln>
                      <a:noFill/>
                    </a:ln>
                  </pic:spPr>
                </pic:pic>
              </a:graphicData>
            </a:graphic>
          </wp:inline>
        </w:drawing>
      </w:r>
    </w:p>
    <w:p w:rsidR="002C1EFF" w:rsidRPr="00321A1F" w:rsidRDefault="002C1EFF"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CB1B72" w:rsidP="002C1EFF">
      <w:pPr>
        <w:spacing w:after="240"/>
        <w:jc w:val="center"/>
        <w:rPr>
          <w:noProof/>
        </w:rPr>
      </w:pPr>
      <w:r w:rsidRPr="00CB1B72">
        <w:rPr>
          <w:noProof/>
        </w:rPr>
        <w:lastRenderedPageBreak/>
        <w:drawing>
          <wp:inline distT="0" distB="0" distL="0" distR="0">
            <wp:extent cx="5623560" cy="5913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3560" cy="5913120"/>
                    </a:xfrm>
                    <a:prstGeom prst="rect">
                      <a:avLst/>
                    </a:prstGeom>
                    <a:noFill/>
                    <a:ln>
                      <a:noFill/>
                    </a:ln>
                  </pic:spPr>
                </pic:pic>
              </a:graphicData>
            </a:graphic>
          </wp:inline>
        </w:drawing>
      </w:r>
    </w:p>
    <w:p w:rsidR="002C1EFF" w:rsidRPr="00321A1F" w:rsidRDefault="002C1EFF"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center"/>
        <w:rPr>
          <w:noProof/>
        </w:rPr>
      </w:pPr>
    </w:p>
    <w:p w:rsidR="002C1EFF" w:rsidRPr="00321A1F" w:rsidRDefault="004C24D0"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r w:rsidRPr="004C24D0">
        <w:rPr>
          <w:noProof/>
        </w:rPr>
        <w:drawing>
          <wp:inline distT="0" distB="0" distL="0" distR="0">
            <wp:extent cx="5897880" cy="59131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7880" cy="5913120"/>
                    </a:xfrm>
                    <a:prstGeom prst="rect">
                      <a:avLst/>
                    </a:prstGeom>
                    <a:noFill/>
                    <a:ln>
                      <a:noFill/>
                    </a:ln>
                  </pic:spPr>
                </pic:pic>
              </a:graphicData>
            </a:graphic>
          </wp:inline>
        </w:drawing>
      </w:r>
    </w:p>
    <w:p w:rsidR="002C1EFF" w:rsidRPr="00321A1F" w:rsidRDefault="004C24D0" w:rsidP="002C1EFF">
      <w:pPr>
        <w:spacing w:after="240"/>
        <w:jc w:val="center"/>
        <w:rPr>
          <w:noProof/>
        </w:rPr>
      </w:pPr>
      <w:r w:rsidRPr="004C24D0">
        <w:rPr>
          <w:noProof/>
        </w:rPr>
        <w:lastRenderedPageBreak/>
        <w:drawing>
          <wp:inline distT="0" distB="0" distL="0" distR="0">
            <wp:extent cx="5753100" cy="6339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6339840"/>
                    </a:xfrm>
                    <a:prstGeom prst="rect">
                      <a:avLst/>
                    </a:prstGeom>
                    <a:noFill/>
                    <a:ln>
                      <a:noFill/>
                    </a:ln>
                  </pic:spPr>
                </pic:pic>
              </a:graphicData>
            </a:graphic>
          </wp:inline>
        </w:drawing>
      </w:r>
    </w:p>
    <w:p w:rsidR="002C1EFF" w:rsidRPr="00321A1F" w:rsidRDefault="002C1EFF" w:rsidP="002C1EFF">
      <w:pPr>
        <w:spacing w:after="240"/>
        <w:jc w:val="center"/>
        <w:sectPr w:rsidR="002C1EFF" w:rsidRPr="00321A1F" w:rsidSect="00EC6608">
          <w:pgSz w:w="12240" w:h="15840" w:code="1"/>
          <w:pgMar w:top="1584" w:right="1440" w:bottom="1440" w:left="1440" w:header="720" w:footer="720" w:gutter="0"/>
          <w:cols w:space="720"/>
          <w:formProt w:val="0"/>
          <w:docGrid w:linePitch="360"/>
        </w:sectPr>
      </w:pPr>
    </w:p>
    <w:tbl>
      <w:tblPr>
        <w:tblW w:w="11023" w:type="dxa"/>
        <w:jc w:val="center"/>
        <w:tblInd w:w="93" w:type="dxa"/>
        <w:tblLook w:val="04A0" w:firstRow="1" w:lastRow="0" w:firstColumn="1" w:lastColumn="0" w:noHBand="0" w:noVBand="1"/>
      </w:tblPr>
      <w:tblGrid>
        <w:gridCol w:w="4960"/>
        <w:gridCol w:w="1540"/>
        <w:gridCol w:w="1880"/>
        <w:gridCol w:w="2643"/>
      </w:tblGrid>
      <w:tr w:rsidR="005A2B6B" w:rsidRPr="006B3656" w:rsidTr="00E46AC5">
        <w:trPr>
          <w:trHeight w:val="315"/>
          <w:jc w:val="center"/>
        </w:trPr>
        <w:tc>
          <w:tcPr>
            <w:tcW w:w="4960" w:type="dxa"/>
            <w:tcBorders>
              <w:top w:val="single" w:sz="8" w:space="0" w:color="000000"/>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rPr>
            </w:pPr>
            <w:bookmarkStart w:id="12" w:name="RANGE!A1:D38"/>
            <w:r w:rsidRPr="006B3656">
              <w:rPr>
                <w:b/>
                <w:bCs/>
                <w:color w:val="000000"/>
                <w:sz w:val="20"/>
                <w:szCs w:val="20"/>
              </w:rPr>
              <w:lastRenderedPageBreak/>
              <w:t>AQUARINA UTILITIES, INC.</w:t>
            </w:r>
            <w:bookmarkEnd w:id="12"/>
          </w:p>
        </w:tc>
        <w:tc>
          <w:tcPr>
            <w:tcW w:w="1540" w:type="dxa"/>
            <w:tcBorders>
              <w:top w:val="single" w:sz="8" w:space="0" w:color="000000"/>
              <w:left w:val="nil"/>
              <w:bottom w:val="nil"/>
              <w:right w:val="nil"/>
            </w:tcBorders>
            <w:shd w:val="clear" w:color="auto" w:fill="auto"/>
            <w:noWrap/>
            <w:vAlign w:val="bottom"/>
            <w:hideMark/>
          </w:tcPr>
          <w:p w:rsidR="005A2B6B" w:rsidRPr="006B3656" w:rsidRDefault="005A2B6B" w:rsidP="00E46AC5">
            <w:r w:rsidRPr="006B3656">
              <w:t> </w:t>
            </w:r>
          </w:p>
        </w:tc>
        <w:tc>
          <w:tcPr>
            <w:tcW w:w="1880" w:type="dxa"/>
            <w:tcBorders>
              <w:top w:val="single" w:sz="8" w:space="0" w:color="000000"/>
              <w:left w:val="nil"/>
              <w:bottom w:val="nil"/>
              <w:right w:val="nil"/>
            </w:tcBorders>
            <w:shd w:val="clear" w:color="auto" w:fill="auto"/>
            <w:noWrap/>
            <w:vAlign w:val="bottom"/>
            <w:hideMark/>
          </w:tcPr>
          <w:p w:rsidR="005A2B6B" w:rsidRPr="006B3656" w:rsidRDefault="005A2B6B" w:rsidP="00E46AC5">
            <w:r w:rsidRPr="006B3656">
              <w:t> </w:t>
            </w:r>
          </w:p>
        </w:tc>
        <w:tc>
          <w:tcPr>
            <w:tcW w:w="2643" w:type="dxa"/>
            <w:tcBorders>
              <w:top w:val="single" w:sz="8" w:space="0" w:color="000000"/>
              <w:left w:val="nil"/>
              <w:bottom w:val="nil"/>
              <w:right w:val="single" w:sz="8" w:space="0" w:color="000000"/>
            </w:tcBorders>
            <w:shd w:val="clear" w:color="auto" w:fill="auto"/>
            <w:noWrap/>
            <w:vAlign w:val="bottom"/>
            <w:hideMark/>
          </w:tcPr>
          <w:p w:rsidR="005A2B6B" w:rsidRPr="006B3656" w:rsidRDefault="005A2B6B" w:rsidP="00E46AC5">
            <w:pPr>
              <w:jc w:val="right"/>
              <w:rPr>
                <w:b/>
                <w:bCs/>
                <w:sz w:val="20"/>
                <w:szCs w:val="20"/>
              </w:rPr>
            </w:pPr>
            <w:r w:rsidRPr="006B3656">
              <w:rPr>
                <w:b/>
                <w:bCs/>
                <w:sz w:val="20"/>
                <w:szCs w:val="20"/>
              </w:rPr>
              <w:t>SCHEDULE NO. 4-A</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rPr>
            </w:pPr>
            <w:r w:rsidRPr="006B3656">
              <w:rPr>
                <w:b/>
                <w:bCs/>
                <w:color w:val="000000"/>
                <w:sz w:val="20"/>
                <w:szCs w:val="20"/>
              </w:rPr>
              <w:t>TEST YEAR ENDED SEPTEMBER 30, 2014</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rPr>
                <w:b/>
                <w:bCs/>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rPr>
                <w:rFonts w:ascii="Arial" w:hAnsi="Arial" w:cs="Arial"/>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b/>
                <w:bCs/>
                <w:color w:val="000000"/>
                <w:sz w:val="20"/>
                <w:szCs w:val="20"/>
              </w:rPr>
            </w:pPr>
            <w:r w:rsidRPr="006B3656">
              <w:rPr>
                <w:b/>
                <w:bCs/>
                <w:color w:val="000000"/>
                <w:sz w:val="20"/>
                <w:szCs w:val="20"/>
              </w:rPr>
              <w:t>DOCKET NO. 150010-WS</w:t>
            </w:r>
          </w:p>
        </w:tc>
      </w:tr>
      <w:tr w:rsidR="005A2B6B" w:rsidRPr="006B3656" w:rsidTr="00E46AC5">
        <w:trPr>
          <w:trHeight w:val="315"/>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rPr>
            </w:pPr>
            <w:r w:rsidRPr="006B3656">
              <w:rPr>
                <w:b/>
                <w:bCs/>
                <w:color w:val="000000"/>
                <w:sz w:val="20"/>
                <w:szCs w:val="20"/>
              </w:rPr>
              <w:t>MONTHLY WATER RATES (Phase I)</w:t>
            </w:r>
          </w:p>
        </w:tc>
        <w:tc>
          <w:tcPr>
            <w:tcW w:w="1540" w:type="dxa"/>
            <w:tcBorders>
              <w:top w:val="nil"/>
              <w:left w:val="nil"/>
              <w:bottom w:val="single" w:sz="8" w:space="0" w:color="auto"/>
              <w:right w:val="nil"/>
            </w:tcBorders>
            <w:shd w:val="clear" w:color="auto" w:fill="auto"/>
            <w:noWrap/>
            <w:vAlign w:val="bottom"/>
            <w:hideMark/>
          </w:tcPr>
          <w:p w:rsidR="005A2B6B" w:rsidRPr="006B3656" w:rsidRDefault="005A2B6B" w:rsidP="00E46AC5">
            <w:pPr>
              <w:rPr>
                <w:b/>
                <w:bCs/>
                <w:color w:val="000000"/>
                <w:sz w:val="20"/>
                <w:szCs w:val="20"/>
              </w:rPr>
            </w:pPr>
            <w:r w:rsidRPr="006B3656">
              <w:rPr>
                <w:b/>
                <w:bCs/>
                <w:color w:val="000000"/>
                <w:sz w:val="20"/>
                <w:szCs w:val="20"/>
              </w:rPr>
              <w:t> </w:t>
            </w:r>
          </w:p>
        </w:tc>
        <w:tc>
          <w:tcPr>
            <w:tcW w:w="1880" w:type="dxa"/>
            <w:tcBorders>
              <w:top w:val="nil"/>
              <w:left w:val="nil"/>
              <w:bottom w:val="single" w:sz="8" w:space="0" w:color="auto"/>
              <w:right w:val="nil"/>
            </w:tcBorders>
            <w:shd w:val="clear" w:color="auto" w:fill="auto"/>
            <w:noWrap/>
            <w:vAlign w:val="bottom"/>
            <w:hideMark/>
          </w:tcPr>
          <w:p w:rsidR="005A2B6B" w:rsidRPr="006B3656" w:rsidRDefault="005A2B6B" w:rsidP="00E46AC5">
            <w:pPr>
              <w:jc w:val="right"/>
              <w:rPr>
                <w:b/>
                <w:bCs/>
                <w:color w:val="000000"/>
                <w:sz w:val="20"/>
                <w:szCs w:val="20"/>
              </w:rPr>
            </w:pPr>
            <w:r w:rsidRPr="006B3656">
              <w:rPr>
                <w:b/>
                <w:bCs/>
                <w:color w:val="000000"/>
                <w:sz w:val="20"/>
                <w:szCs w:val="20"/>
              </w:rPr>
              <w:t> </w:t>
            </w:r>
          </w:p>
        </w:tc>
        <w:tc>
          <w:tcPr>
            <w:tcW w:w="2643" w:type="dxa"/>
            <w:tcBorders>
              <w:top w:val="nil"/>
              <w:left w:val="nil"/>
              <w:bottom w:val="single" w:sz="8" w:space="0" w:color="auto"/>
              <w:right w:val="single" w:sz="8" w:space="0" w:color="000000"/>
            </w:tcBorders>
            <w:shd w:val="clear" w:color="auto" w:fill="auto"/>
            <w:noWrap/>
            <w:vAlign w:val="bottom"/>
            <w:hideMark/>
          </w:tcPr>
          <w:p w:rsidR="005A2B6B" w:rsidRPr="006B3656" w:rsidRDefault="005A2B6B" w:rsidP="00E46AC5">
            <w:pPr>
              <w:jc w:val="right"/>
              <w:rPr>
                <w:b/>
                <w:bCs/>
                <w:color w:val="000000"/>
                <w:sz w:val="20"/>
                <w:szCs w:val="20"/>
              </w:rPr>
            </w:pPr>
            <w:r w:rsidRPr="006B3656">
              <w:rPr>
                <w:b/>
                <w:bCs/>
                <w:color w:val="000000"/>
                <w:sz w:val="20"/>
                <w:szCs w:val="20"/>
              </w:rPr>
              <w:t> </w:t>
            </w:r>
          </w:p>
        </w:tc>
      </w:tr>
      <w:tr w:rsidR="005A2B6B" w:rsidRPr="006B3656" w:rsidTr="00E46AC5">
        <w:trPr>
          <w:trHeight w:val="315"/>
          <w:jc w:val="center"/>
        </w:trPr>
        <w:tc>
          <w:tcPr>
            <w:tcW w:w="4960" w:type="dxa"/>
            <w:tcBorders>
              <w:top w:val="single" w:sz="8" w:space="0" w:color="000000"/>
              <w:left w:val="single" w:sz="8" w:space="0" w:color="000000"/>
              <w:bottom w:val="nil"/>
              <w:right w:val="nil"/>
            </w:tcBorders>
            <w:shd w:val="clear" w:color="000000" w:fill="D9D9D9"/>
            <w:noWrap/>
            <w:vAlign w:val="bottom"/>
            <w:hideMark/>
          </w:tcPr>
          <w:p w:rsidR="005A2B6B" w:rsidRPr="006B3656" w:rsidRDefault="005A2B6B" w:rsidP="00E46AC5">
            <w:pPr>
              <w:rPr>
                <w:b/>
                <w:bCs/>
                <w:sz w:val="20"/>
                <w:szCs w:val="20"/>
              </w:rPr>
            </w:pPr>
            <w:r w:rsidRPr="006B3656">
              <w:rPr>
                <w:b/>
                <w:bCs/>
                <w:sz w:val="20"/>
                <w:szCs w:val="20"/>
              </w:rPr>
              <w:t> </w:t>
            </w:r>
          </w:p>
        </w:tc>
        <w:tc>
          <w:tcPr>
            <w:tcW w:w="1540" w:type="dxa"/>
            <w:tcBorders>
              <w:top w:val="nil"/>
              <w:left w:val="nil"/>
              <w:bottom w:val="nil"/>
              <w:right w:val="nil"/>
            </w:tcBorders>
            <w:shd w:val="clear" w:color="000000" w:fill="D9D9D9"/>
            <w:noWrap/>
            <w:vAlign w:val="bottom"/>
            <w:hideMark/>
          </w:tcPr>
          <w:p w:rsidR="005A2B6B" w:rsidRPr="006B3656" w:rsidRDefault="005A2B6B" w:rsidP="00E46AC5">
            <w:r w:rsidRPr="006B3656">
              <w:t> </w:t>
            </w:r>
          </w:p>
        </w:tc>
        <w:tc>
          <w:tcPr>
            <w:tcW w:w="1880" w:type="dxa"/>
            <w:tcBorders>
              <w:top w:val="nil"/>
              <w:left w:val="nil"/>
              <w:bottom w:val="nil"/>
              <w:right w:val="nil"/>
            </w:tcBorders>
            <w:shd w:val="clear" w:color="000000" w:fill="D9D9D9"/>
            <w:noWrap/>
            <w:vAlign w:val="bottom"/>
            <w:hideMark/>
          </w:tcPr>
          <w:p w:rsidR="005A2B6B" w:rsidRPr="006B3656" w:rsidRDefault="009B0623" w:rsidP="00E46AC5">
            <w:pPr>
              <w:jc w:val="center"/>
              <w:rPr>
                <w:b/>
                <w:bCs/>
                <w:color w:val="000000"/>
                <w:sz w:val="20"/>
                <w:szCs w:val="20"/>
              </w:rPr>
            </w:pPr>
            <w:r>
              <w:rPr>
                <w:b/>
                <w:bCs/>
                <w:color w:val="000000"/>
                <w:sz w:val="20"/>
                <w:szCs w:val="20"/>
              </w:rPr>
              <w:t>COMMISSION</w:t>
            </w:r>
          </w:p>
        </w:tc>
        <w:tc>
          <w:tcPr>
            <w:tcW w:w="2643" w:type="dxa"/>
            <w:tcBorders>
              <w:top w:val="nil"/>
              <w:left w:val="nil"/>
              <w:bottom w:val="nil"/>
              <w:right w:val="single" w:sz="8" w:space="0" w:color="000000"/>
            </w:tcBorders>
            <w:shd w:val="clear" w:color="000000" w:fill="D9D9D9"/>
            <w:noWrap/>
            <w:vAlign w:val="bottom"/>
            <w:hideMark/>
          </w:tcPr>
          <w:p w:rsidR="005A2B6B" w:rsidRPr="006B3656" w:rsidRDefault="005A2B6B" w:rsidP="00E46AC5">
            <w:pPr>
              <w:jc w:val="center"/>
              <w:rPr>
                <w:b/>
                <w:bCs/>
                <w:sz w:val="20"/>
                <w:szCs w:val="20"/>
              </w:rPr>
            </w:pPr>
            <w:r w:rsidRPr="006B3656">
              <w:rPr>
                <w:b/>
                <w:bCs/>
                <w:sz w:val="20"/>
                <w:szCs w:val="20"/>
              </w:rPr>
              <w:t> </w:t>
            </w:r>
          </w:p>
        </w:tc>
      </w:tr>
      <w:tr w:rsidR="005A2B6B" w:rsidRPr="006B3656" w:rsidTr="00E46AC5">
        <w:trPr>
          <w:trHeight w:val="300"/>
          <w:jc w:val="center"/>
        </w:trPr>
        <w:tc>
          <w:tcPr>
            <w:tcW w:w="4960" w:type="dxa"/>
            <w:tcBorders>
              <w:top w:val="nil"/>
              <w:left w:val="single" w:sz="8" w:space="0" w:color="000000"/>
              <w:bottom w:val="nil"/>
              <w:right w:val="nil"/>
            </w:tcBorders>
            <w:shd w:val="clear" w:color="000000" w:fill="D9D9D9"/>
            <w:noWrap/>
            <w:vAlign w:val="bottom"/>
            <w:hideMark/>
          </w:tcPr>
          <w:p w:rsidR="005A2B6B" w:rsidRPr="006B3656" w:rsidRDefault="005A2B6B" w:rsidP="00E46AC5">
            <w:pPr>
              <w:rPr>
                <w:b/>
                <w:bCs/>
                <w:sz w:val="20"/>
                <w:szCs w:val="20"/>
              </w:rPr>
            </w:pPr>
            <w:r w:rsidRPr="006B3656">
              <w:rPr>
                <w:b/>
                <w:bCs/>
                <w:sz w:val="20"/>
                <w:szCs w:val="20"/>
              </w:rPr>
              <w:t> </w:t>
            </w:r>
          </w:p>
        </w:tc>
        <w:tc>
          <w:tcPr>
            <w:tcW w:w="1540" w:type="dxa"/>
            <w:tcBorders>
              <w:top w:val="nil"/>
              <w:left w:val="nil"/>
              <w:bottom w:val="nil"/>
              <w:right w:val="nil"/>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RATES AT</w:t>
            </w:r>
          </w:p>
        </w:tc>
        <w:tc>
          <w:tcPr>
            <w:tcW w:w="1880" w:type="dxa"/>
            <w:tcBorders>
              <w:top w:val="nil"/>
              <w:left w:val="nil"/>
              <w:bottom w:val="nil"/>
              <w:right w:val="nil"/>
            </w:tcBorders>
            <w:shd w:val="clear" w:color="000000" w:fill="D9D9D9"/>
            <w:noWrap/>
            <w:vAlign w:val="bottom"/>
            <w:hideMark/>
          </w:tcPr>
          <w:p w:rsidR="005A2B6B" w:rsidRPr="006B3656" w:rsidRDefault="009B0623" w:rsidP="00E46AC5">
            <w:pPr>
              <w:jc w:val="center"/>
              <w:rPr>
                <w:b/>
                <w:bCs/>
                <w:color w:val="000000"/>
                <w:sz w:val="20"/>
                <w:szCs w:val="20"/>
              </w:rPr>
            </w:pPr>
            <w:r>
              <w:rPr>
                <w:b/>
                <w:bCs/>
                <w:color w:val="000000"/>
                <w:sz w:val="20"/>
                <w:szCs w:val="20"/>
              </w:rPr>
              <w:t>APPROVED</w:t>
            </w:r>
          </w:p>
        </w:tc>
        <w:tc>
          <w:tcPr>
            <w:tcW w:w="2643" w:type="dxa"/>
            <w:tcBorders>
              <w:top w:val="nil"/>
              <w:left w:val="nil"/>
              <w:bottom w:val="nil"/>
              <w:right w:val="single" w:sz="8" w:space="0" w:color="000000"/>
            </w:tcBorders>
            <w:shd w:val="clear" w:color="000000" w:fill="D9D9D9"/>
            <w:noWrap/>
            <w:vAlign w:val="bottom"/>
            <w:hideMark/>
          </w:tcPr>
          <w:p w:rsidR="005A2B6B" w:rsidRPr="006B3656" w:rsidRDefault="005A2B6B" w:rsidP="00E46AC5">
            <w:pPr>
              <w:jc w:val="center"/>
              <w:rPr>
                <w:b/>
                <w:bCs/>
                <w:sz w:val="20"/>
                <w:szCs w:val="20"/>
              </w:rPr>
            </w:pPr>
            <w:r w:rsidRPr="006B3656">
              <w:rPr>
                <w:b/>
                <w:bCs/>
                <w:sz w:val="20"/>
                <w:szCs w:val="20"/>
              </w:rPr>
              <w:t>4 YEAR</w:t>
            </w:r>
          </w:p>
        </w:tc>
      </w:tr>
      <w:tr w:rsidR="005A2B6B" w:rsidRPr="006B3656" w:rsidTr="00E46AC5">
        <w:trPr>
          <w:trHeight w:val="300"/>
          <w:jc w:val="center"/>
        </w:trPr>
        <w:tc>
          <w:tcPr>
            <w:tcW w:w="4960" w:type="dxa"/>
            <w:tcBorders>
              <w:top w:val="nil"/>
              <w:left w:val="single" w:sz="8" w:space="0" w:color="000000"/>
              <w:bottom w:val="nil"/>
              <w:right w:val="nil"/>
            </w:tcBorders>
            <w:shd w:val="clear" w:color="000000" w:fill="D9D9D9"/>
            <w:noWrap/>
            <w:vAlign w:val="bottom"/>
            <w:hideMark/>
          </w:tcPr>
          <w:p w:rsidR="005A2B6B" w:rsidRPr="006B3656" w:rsidRDefault="005A2B6B" w:rsidP="00E46AC5">
            <w:pPr>
              <w:rPr>
                <w:b/>
                <w:bCs/>
                <w:sz w:val="20"/>
                <w:szCs w:val="20"/>
                <w:u w:val="single"/>
              </w:rPr>
            </w:pPr>
          </w:p>
        </w:tc>
        <w:tc>
          <w:tcPr>
            <w:tcW w:w="1540" w:type="dxa"/>
            <w:tcBorders>
              <w:top w:val="nil"/>
              <w:left w:val="nil"/>
              <w:bottom w:val="nil"/>
              <w:right w:val="nil"/>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TIME OF</w:t>
            </w:r>
          </w:p>
        </w:tc>
        <w:tc>
          <w:tcPr>
            <w:tcW w:w="1880" w:type="dxa"/>
            <w:tcBorders>
              <w:top w:val="nil"/>
              <w:left w:val="nil"/>
              <w:bottom w:val="nil"/>
              <w:right w:val="nil"/>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PHASE I</w:t>
            </w:r>
          </w:p>
        </w:tc>
        <w:tc>
          <w:tcPr>
            <w:tcW w:w="2643" w:type="dxa"/>
            <w:tcBorders>
              <w:top w:val="nil"/>
              <w:left w:val="nil"/>
              <w:bottom w:val="nil"/>
              <w:right w:val="single" w:sz="8" w:space="0" w:color="000000"/>
            </w:tcBorders>
            <w:shd w:val="clear" w:color="000000" w:fill="D9D9D9"/>
            <w:noWrap/>
            <w:vAlign w:val="bottom"/>
            <w:hideMark/>
          </w:tcPr>
          <w:p w:rsidR="005A2B6B" w:rsidRPr="006B3656" w:rsidRDefault="005A2B6B" w:rsidP="00E46AC5">
            <w:pPr>
              <w:jc w:val="center"/>
              <w:rPr>
                <w:b/>
                <w:bCs/>
                <w:sz w:val="20"/>
                <w:szCs w:val="20"/>
              </w:rPr>
            </w:pPr>
            <w:r w:rsidRPr="006B3656">
              <w:rPr>
                <w:b/>
                <w:bCs/>
                <w:sz w:val="20"/>
                <w:szCs w:val="20"/>
              </w:rPr>
              <w:t>RATE</w:t>
            </w:r>
          </w:p>
        </w:tc>
      </w:tr>
      <w:tr w:rsidR="005A2B6B" w:rsidRPr="006B3656" w:rsidTr="00E46AC5">
        <w:trPr>
          <w:trHeight w:val="315"/>
          <w:jc w:val="center"/>
        </w:trPr>
        <w:tc>
          <w:tcPr>
            <w:tcW w:w="4960" w:type="dxa"/>
            <w:tcBorders>
              <w:top w:val="nil"/>
              <w:left w:val="single" w:sz="8" w:space="0" w:color="000000"/>
              <w:bottom w:val="single" w:sz="8" w:space="0" w:color="000000"/>
              <w:right w:val="nil"/>
            </w:tcBorders>
            <w:shd w:val="clear" w:color="000000" w:fill="D9D9D9"/>
            <w:noWrap/>
            <w:vAlign w:val="bottom"/>
            <w:hideMark/>
          </w:tcPr>
          <w:p w:rsidR="005A2B6B" w:rsidRPr="006B3656" w:rsidRDefault="005A2B6B" w:rsidP="00E46AC5">
            <w:pPr>
              <w:rPr>
                <w:b/>
                <w:bCs/>
                <w:sz w:val="20"/>
                <w:szCs w:val="20"/>
                <w:u w:val="single"/>
              </w:rPr>
            </w:pPr>
          </w:p>
        </w:tc>
        <w:tc>
          <w:tcPr>
            <w:tcW w:w="1540" w:type="dxa"/>
            <w:tcBorders>
              <w:top w:val="nil"/>
              <w:left w:val="nil"/>
              <w:bottom w:val="single" w:sz="8" w:space="0" w:color="000000"/>
              <w:right w:val="nil"/>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FILING</w:t>
            </w:r>
          </w:p>
        </w:tc>
        <w:tc>
          <w:tcPr>
            <w:tcW w:w="1880" w:type="dxa"/>
            <w:tcBorders>
              <w:top w:val="nil"/>
              <w:left w:val="nil"/>
              <w:bottom w:val="single" w:sz="8" w:space="0" w:color="000000"/>
              <w:right w:val="nil"/>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RATES</w:t>
            </w:r>
          </w:p>
        </w:tc>
        <w:tc>
          <w:tcPr>
            <w:tcW w:w="2643" w:type="dxa"/>
            <w:tcBorders>
              <w:top w:val="nil"/>
              <w:left w:val="nil"/>
              <w:bottom w:val="single" w:sz="8" w:space="0" w:color="auto"/>
              <w:right w:val="single" w:sz="8" w:space="0" w:color="000000"/>
            </w:tcBorders>
            <w:shd w:val="clear" w:color="000000" w:fill="D9D9D9"/>
            <w:noWrap/>
            <w:vAlign w:val="bottom"/>
            <w:hideMark/>
          </w:tcPr>
          <w:p w:rsidR="005A2B6B" w:rsidRPr="006B3656" w:rsidRDefault="005A2B6B" w:rsidP="00E46AC5">
            <w:pPr>
              <w:jc w:val="center"/>
              <w:rPr>
                <w:b/>
                <w:bCs/>
                <w:sz w:val="20"/>
                <w:szCs w:val="20"/>
              </w:rPr>
            </w:pPr>
            <w:r w:rsidRPr="006B3656">
              <w:rPr>
                <w:b/>
                <w:bCs/>
                <w:sz w:val="20"/>
                <w:szCs w:val="20"/>
              </w:rPr>
              <w:t>REDUCTION</w:t>
            </w:r>
          </w:p>
        </w:tc>
      </w:tr>
      <w:tr w:rsidR="005A2B6B" w:rsidRPr="006B3656" w:rsidTr="00E46AC5">
        <w:trPr>
          <w:trHeight w:val="315"/>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u w:val="single"/>
              </w:rPr>
            </w:pPr>
            <w:r w:rsidRPr="006B3656">
              <w:rPr>
                <w:b/>
                <w:bCs/>
                <w:color w:val="000000"/>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 </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r w:rsidRPr="006B3656">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5/8" x 3/4"</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$19.16</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$19.16</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$0.10</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3/4"</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$28.74</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$28.74</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$0.15</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1"</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$47.90</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$47.90</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$0.25</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1-1/2"</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$95.79</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$95.79</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$0.50</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2"</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$153.27</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$153.27</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$0.80</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3"</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$306.55</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$306.55</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$1.61</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4"</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$478.96</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$478.96</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$2.52</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6"</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$957.93</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$957.93</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$5.03</w:t>
            </w:r>
          </w:p>
        </w:tc>
      </w:tr>
      <w:tr w:rsidR="005A2B6B" w:rsidRPr="006B3656" w:rsidTr="00E46AC5">
        <w:trPr>
          <w:trHeight w:val="315"/>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 </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Charge per 1,000 gallons  - Residential and General Service</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$6.95</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$6.95</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$0.04</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 </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E46AC5">
        <w:trPr>
          <w:trHeight w:val="315"/>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u w:val="single"/>
              </w:rPr>
            </w:pPr>
            <w:r w:rsidRPr="006B3656">
              <w:rPr>
                <w:b/>
                <w:bCs/>
                <w:color w:val="000000"/>
                <w:sz w:val="20"/>
                <w:szCs w:val="20"/>
                <w:u w:val="single"/>
              </w:rPr>
              <w:t>Irrigation Service - Non-Potable</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r w:rsidRPr="006B3656">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rPr>
                <w:rFonts w:ascii="Arial" w:hAnsi="Arial" w:cs="Arial"/>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rPr>
                <w:rFonts w:ascii="Arial" w:hAnsi="Arial" w:cs="Arial"/>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rPr>
                <w:rFonts w:ascii="Arial" w:hAnsi="Arial" w:cs="Arial"/>
              </w:rPr>
            </w:pPr>
            <w:r w:rsidRPr="006B3656">
              <w:rPr>
                <w:rFonts w:ascii="Arial" w:hAnsi="Arial" w:cs="Arial"/>
              </w:rPr>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5/8" x 3/4"</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$13.86</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$0.05</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3/4"</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$20.79</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$0.07</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1"</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$34.65</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$0.11</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1-1/2"</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$69.30</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$0.23</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2"</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$110.88</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$0.37</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3"</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$221.76</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$0.73</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4"</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$346.50</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$1.14</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6"</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$693.00</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$2.29</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8"</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$1,108.80</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$3.66</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 </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Charge per 1,000 gallons - Irrigation Service</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$0.78</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$1.38</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sz w:val="20"/>
                <w:szCs w:val="20"/>
              </w:rPr>
            </w:pPr>
            <w:r w:rsidRPr="006B3656">
              <w:rPr>
                <w:sz w:val="20"/>
                <w:szCs w:val="20"/>
              </w:rPr>
              <w:t>$0.00</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rFonts w:ascii="Arial" w:hAnsi="Arial" w:cs="Arial"/>
              </w:rPr>
            </w:pPr>
            <w:r w:rsidRPr="006B3656">
              <w:rPr>
                <w:rFonts w:ascii="Arial" w:hAnsi="Arial" w:cs="Arial"/>
              </w:rPr>
              <w:t> </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rPr>
                <w:rFonts w:ascii="Arial" w:hAnsi="Arial" w:cs="Arial"/>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rPr>
                <w:rFonts w:ascii="Arial" w:hAnsi="Arial" w:cs="Arial"/>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rPr>
                <w:rFonts w:ascii="Arial" w:hAnsi="Arial" w:cs="Arial"/>
              </w:rPr>
            </w:pPr>
            <w:r w:rsidRPr="006B3656">
              <w:rPr>
                <w:rFonts w:ascii="Arial" w:hAnsi="Arial" w:cs="Arial"/>
              </w:rPr>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u w:val="single"/>
              </w:rPr>
            </w:pPr>
            <w:r w:rsidRPr="006B3656">
              <w:rPr>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2,000 Gallons</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$33.06 </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$33.06 </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w:t>
            </w:r>
          </w:p>
        </w:tc>
      </w:tr>
      <w:tr w:rsidR="005A2B6B" w:rsidRPr="006B3656" w:rsidTr="00E46AC5">
        <w:trPr>
          <w:trHeight w:val="300"/>
          <w:jc w:val="center"/>
        </w:trPr>
        <w:tc>
          <w:tcPr>
            <w:tcW w:w="4960"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6,000 Gallons</w:t>
            </w:r>
          </w:p>
        </w:tc>
        <w:tc>
          <w:tcPr>
            <w:tcW w:w="154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$60.86 </w:t>
            </w:r>
          </w:p>
        </w:tc>
        <w:tc>
          <w:tcPr>
            <w:tcW w:w="188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$60.86 </w:t>
            </w:r>
          </w:p>
        </w:tc>
        <w:tc>
          <w:tcPr>
            <w:tcW w:w="2643" w:type="dxa"/>
            <w:tcBorders>
              <w:top w:val="nil"/>
              <w:left w:val="nil"/>
              <w:bottom w:val="nil"/>
              <w:right w:val="single" w:sz="8" w:space="0" w:color="000000"/>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w:t>
            </w:r>
          </w:p>
        </w:tc>
      </w:tr>
      <w:tr w:rsidR="005A2B6B" w:rsidRPr="006B3656" w:rsidTr="00E46AC5">
        <w:trPr>
          <w:trHeight w:val="315"/>
          <w:jc w:val="center"/>
        </w:trPr>
        <w:tc>
          <w:tcPr>
            <w:tcW w:w="4960" w:type="dxa"/>
            <w:tcBorders>
              <w:top w:val="nil"/>
              <w:left w:val="single" w:sz="8" w:space="0" w:color="000000"/>
              <w:bottom w:val="single" w:sz="8" w:space="0" w:color="000000"/>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8,000 Gallons</w:t>
            </w:r>
          </w:p>
        </w:tc>
        <w:tc>
          <w:tcPr>
            <w:tcW w:w="1540" w:type="dxa"/>
            <w:tcBorders>
              <w:top w:val="nil"/>
              <w:left w:val="nil"/>
              <w:bottom w:val="single" w:sz="8" w:space="0" w:color="000000"/>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$74.76 </w:t>
            </w:r>
          </w:p>
        </w:tc>
        <w:tc>
          <w:tcPr>
            <w:tcW w:w="1880" w:type="dxa"/>
            <w:tcBorders>
              <w:top w:val="nil"/>
              <w:left w:val="nil"/>
              <w:bottom w:val="single" w:sz="8" w:space="0" w:color="000000"/>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$74.76 </w:t>
            </w:r>
          </w:p>
        </w:tc>
        <w:tc>
          <w:tcPr>
            <w:tcW w:w="2643" w:type="dxa"/>
            <w:tcBorders>
              <w:top w:val="nil"/>
              <w:left w:val="nil"/>
              <w:bottom w:val="single" w:sz="8" w:space="0" w:color="000000"/>
              <w:right w:val="single" w:sz="8" w:space="0" w:color="000000"/>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w:t>
            </w:r>
          </w:p>
        </w:tc>
      </w:tr>
    </w:tbl>
    <w:p w:rsidR="002C1EFF" w:rsidRPr="00321A1F" w:rsidRDefault="002C1EFF" w:rsidP="002C1EFF">
      <w:pPr>
        <w:spacing w:after="240"/>
        <w:jc w:val="both"/>
      </w:pPr>
    </w:p>
    <w:p w:rsidR="002C1EFF" w:rsidRPr="00321A1F" w:rsidRDefault="002C1EFF" w:rsidP="002C1EFF">
      <w:pPr>
        <w:spacing w:after="240"/>
        <w:jc w:val="both"/>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both"/>
      </w:pPr>
    </w:p>
    <w:tbl>
      <w:tblPr>
        <w:tblW w:w="10365" w:type="dxa"/>
        <w:tblInd w:w="93" w:type="dxa"/>
        <w:tblLook w:val="04A0" w:firstRow="1" w:lastRow="0" w:firstColumn="1" w:lastColumn="0" w:noHBand="0" w:noVBand="1"/>
      </w:tblPr>
      <w:tblGrid>
        <w:gridCol w:w="4515"/>
        <w:gridCol w:w="540"/>
        <w:gridCol w:w="1196"/>
        <w:gridCol w:w="1890"/>
        <w:gridCol w:w="2224"/>
      </w:tblGrid>
      <w:tr w:rsidR="005A2B6B" w:rsidRPr="006B3656" w:rsidTr="00951364">
        <w:trPr>
          <w:trHeight w:val="315"/>
        </w:trPr>
        <w:tc>
          <w:tcPr>
            <w:tcW w:w="4515" w:type="dxa"/>
            <w:tcBorders>
              <w:top w:val="single" w:sz="8" w:space="0" w:color="000000"/>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rPr>
            </w:pPr>
            <w:r w:rsidRPr="006B3656">
              <w:rPr>
                <w:b/>
                <w:bCs/>
                <w:color w:val="000000"/>
                <w:sz w:val="20"/>
                <w:szCs w:val="20"/>
              </w:rPr>
              <w:t>AQUARINA UTILITIES, INC.</w:t>
            </w:r>
          </w:p>
        </w:tc>
        <w:tc>
          <w:tcPr>
            <w:tcW w:w="1736" w:type="dxa"/>
            <w:gridSpan w:val="2"/>
            <w:tcBorders>
              <w:top w:val="single" w:sz="8" w:space="0" w:color="000000"/>
              <w:left w:val="nil"/>
              <w:bottom w:val="nil"/>
              <w:right w:val="nil"/>
            </w:tcBorders>
            <w:shd w:val="clear" w:color="auto" w:fill="auto"/>
            <w:noWrap/>
            <w:vAlign w:val="bottom"/>
            <w:hideMark/>
          </w:tcPr>
          <w:p w:rsidR="005A2B6B" w:rsidRPr="006B3656" w:rsidRDefault="005A2B6B" w:rsidP="00E46AC5">
            <w:r w:rsidRPr="006B3656">
              <w:t> </w:t>
            </w:r>
          </w:p>
        </w:tc>
        <w:tc>
          <w:tcPr>
            <w:tcW w:w="1890" w:type="dxa"/>
            <w:tcBorders>
              <w:top w:val="single" w:sz="8" w:space="0" w:color="000000"/>
              <w:left w:val="nil"/>
              <w:bottom w:val="nil"/>
              <w:right w:val="nil"/>
            </w:tcBorders>
            <w:shd w:val="clear" w:color="auto" w:fill="auto"/>
            <w:noWrap/>
            <w:vAlign w:val="bottom"/>
            <w:hideMark/>
          </w:tcPr>
          <w:p w:rsidR="005A2B6B" w:rsidRPr="006B3656" w:rsidRDefault="005A2B6B" w:rsidP="00E46AC5">
            <w:r w:rsidRPr="006B3656">
              <w:t> </w:t>
            </w:r>
          </w:p>
        </w:tc>
        <w:tc>
          <w:tcPr>
            <w:tcW w:w="2224" w:type="dxa"/>
            <w:tcBorders>
              <w:top w:val="single" w:sz="8" w:space="0" w:color="000000"/>
              <w:left w:val="nil"/>
              <w:bottom w:val="nil"/>
              <w:right w:val="single" w:sz="8" w:space="0" w:color="000000"/>
            </w:tcBorders>
            <w:shd w:val="clear" w:color="auto" w:fill="auto"/>
            <w:noWrap/>
            <w:vAlign w:val="bottom"/>
            <w:hideMark/>
          </w:tcPr>
          <w:p w:rsidR="005A2B6B" w:rsidRPr="006B3656" w:rsidRDefault="005A2B6B" w:rsidP="00E46AC5">
            <w:pPr>
              <w:jc w:val="right"/>
              <w:rPr>
                <w:b/>
                <w:bCs/>
                <w:sz w:val="20"/>
                <w:szCs w:val="20"/>
              </w:rPr>
            </w:pPr>
            <w:r w:rsidRPr="006B3656">
              <w:rPr>
                <w:b/>
                <w:bCs/>
                <w:sz w:val="20"/>
                <w:szCs w:val="20"/>
              </w:rPr>
              <w:t>SCHEDULE NO. 4-B</w:t>
            </w:r>
          </w:p>
        </w:tc>
      </w:tr>
      <w:tr w:rsidR="00951364" w:rsidRPr="006B3656" w:rsidTr="00951364">
        <w:trPr>
          <w:trHeight w:val="300"/>
        </w:trPr>
        <w:tc>
          <w:tcPr>
            <w:tcW w:w="4515" w:type="dxa"/>
            <w:tcBorders>
              <w:top w:val="nil"/>
              <w:left w:val="single" w:sz="8" w:space="0" w:color="000000"/>
              <w:right w:val="nil"/>
            </w:tcBorders>
            <w:shd w:val="clear" w:color="auto" w:fill="auto"/>
            <w:noWrap/>
            <w:vAlign w:val="bottom"/>
            <w:hideMark/>
          </w:tcPr>
          <w:p w:rsidR="00951364" w:rsidRDefault="00951364" w:rsidP="00E46AC5">
            <w:pPr>
              <w:rPr>
                <w:b/>
                <w:bCs/>
                <w:color w:val="000000"/>
                <w:sz w:val="20"/>
                <w:szCs w:val="20"/>
              </w:rPr>
            </w:pPr>
            <w:r w:rsidRPr="006B3656">
              <w:rPr>
                <w:b/>
                <w:bCs/>
                <w:color w:val="000000"/>
                <w:sz w:val="20"/>
                <w:szCs w:val="20"/>
              </w:rPr>
              <w:t>TEST YEAR ENDED SEPTEMBER 30, 2014</w:t>
            </w:r>
          </w:p>
          <w:p w:rsidR="00951364" w:rsidRPr="006B3656" w:rsidRDefault="00951364" w:rsidP="00951364">
            <w:pPr>
              <w:rPr>
                <w:b/>
                <w:bCs/>
                <w:color w:val="000000"/>
                <w:sz w:val="20"/>
                <w:szCs w:val="20"/>
              </w:rPr>
            </w:pPr>
            <w:r w:rsidRPr="006B3656">
              <w:rPr>
                <w:b/>
                <w:bCs/>
                <w:color w:val="000000"/>
                <w:sz w:val="20"/>
                <w:szCs w:val="20"/>
              </w:rPr>
              <w:t>MONTHLY WASTEWATER RATES (PHASE I)</w:t>
            </w:r>
          </w:p>
          <w:p w:rsidR="00951364" w:rsidRPr="006B3656" w:rsidRDefault="00951364" w:rsidP="00E46AC5">
            <w:pPr>
              <w:rPr>
                <w:b/>
                <w:bCs/>
                <w:color w:val="000000"/>
                <w:sz w:val="20"/>
                <w:szCs w:val="20"/>
              </w:rPr>
            </w:pPr>
          </w:p>
        </w:tc>
        <w:tc>
          <w:tcPr>
            <w:tcW w:w="1736" w:type="dxa"/>
            <w:gridSpan w:val="2"/>
            <w:tcBorders>
              <w:top w:val="nil"/>
              <w:left w:val="nil"/>
              <w:right w:val="nil"/>
            </w:tcBorders>
            <w:shd w:val="clear" w:color="auto" w:fill="auto"/>
            <w:noWrap/>
            <w:vAlign w:val="bottom"/>
            <w:hideMark/>
          </w:tcPr>
          <w:p w:rsidR="00951364" w:rsidRPr="006B3656" w:rsidRDefault="00951364" w:rsidP="00E46AC5">
            <w:pPr>
              <w:rPr>
                <w:b/>
                <w:bCs/>
                <w:color w:val="000000"/>
                <w:sz w:val="20"/>
                <w:szCs w:val="20"/>
              </w:rPr>
            </w:pPr>
          </w:p>
        </w:tc>
        <w:tc>
          <w:tcPr>
            <w:tcW w:w="4114" w:type="dxa"/>
            <w:gridSpan w:val="2"/>
            <w:tcBorders>
              <w:top w:val="nil"/>
              <w:left w:val="nil"/>
              <w:right w:val="single" w:sz="8" w:space="0" w:color="auto"/>
            </w:tcBorders>
            <w:shd w:val="clear" w:color="auto" w:fill="auto"/>
            <w:noWrap/>
            <w:vAlign w:val="bottom"/>
            <w:hideMark/>
          </w:tcPr>
          <w:p w:rsidR="00951364" w:rsidRDefault="00951364" w:rsidP="00951364">
            <w:pPr>
              <w:jc w:val="right"/>
              <w:rPr>
                <w:b/>
                <w:bCs/>
                <w:color w:val="000000"/>
                <w:sz w:val="20"/>
                <w:szCs w:val="20"/>
              </w:rPr>
            </w:pPr>
            <w:r w:rsidRPr="006B3656">
              <w:rPr>
                <w:b/>
                <w:bCs/>
                <w:color w:val="000000"/>
                <w:sz w:val="20"/>
                <w:szCs w:val="20"/>
              </w:rPr>
              <w:t>DOCKET NO. 150010-WS</w:t>
            </w:r>
          </w:p>
          <w:p w:rsidR="00951364" w:rsidRDefault="00951364" w:rsidP="00951364">
            <w:pPr>
              <w:jc w:val="right"/>
              <w:rPr>
                <w:b/>
                <w:bCs/>
                <w:color w:val="000000"/>
                <w:sz w:val="20"/>
                <w:szCs w:val="20"/>
              </w:rPr>
            </w:pPr>
          </w:p>
          <w:p w:rsidR="00951364" w:rsidRPr="006B3656" w:rsidRDefault="00951364" w:rsidP="00951364">
            <w:pPr>
              <w:jc w:val="right"/>
              <w:rPr>
                <w:b/>
                <w:bCs/>
                <w:color w:val="000000"/>
                <w:sz w:val="20"/>
                <w:szCs w:val="20"/>
              </w:rPr>
            </w:pPr>
          </w:p>
        </w:tc>
      </w:tr>
      <w:tr w:rsidR="005A2B6B" w:rsidRPr="006B3656" w:rsidTr="00951364">
        <w:trPr>
          <w:trHeight w:val="315"/>
        </w:trPr>
        <w:tc>
          <w:tcPr>
            <w:tcW w:w="6251" w:type="dxa"/>
            <w:gridSpan w:val="3"/>
            <w:tcBorders>
              <w:top w:val="nil"/>
              <w:left w:val="single" w:sz="8" w:space="0" w:color="000000"/>
              <w:bottom w:val="single" w:sz="8" w:space="0" w:color="auto"/>
              <w:right w:val="nil"/>
            </w:tcBorders>
            <w:shd w:val="clear" w:color="auto" w:fill="auto"/>
            <w:noWrap/>
            <w:vAlign w:val="bottom"/>
            <w:hideMark/>
          </w:tcPr>
          <w:p w:rsidR="005A2B6B" w:rsidRPr="006B3656" w:rsidRDefault="005A2B6B" w:rsidP="00E46AC5">
            <w:pPr>
              <w:rPr>
                <w:b/>
                <w:bCs/>
                <w:color w:val="000000"/>
                <w:sz w:val="20"/>
                <w:szCs w:val="20"/>
              </w:rPr>
            </w:pPr>
            <w:r w:rsidRPr="006B3656">
              <w:rPr>
                <w:b/>
                <w:bCs/>
                <w:color w:val="000000"/>
                <w:sz w:val="20"/>
                <w:szCs w:val="20"/>
              </w:rPr>
              <w:t> </w:t>
            </w:r>
          </w:p>
        </w:tc>
        <w:tc>
          <w:tcPr>
            <w:tcW w:w="1890" w:type="dxa"/>
            <w:tcBorders>
              <w:top w:val="nil"/>
              <w:left w:val="nil"/>
              <w:bottom w:val="single" w:sz="8" w:space="0" w:color="auto"/>
              <w:right w:val="nil"/>
            </w:tcBorders>
            <w:shd w:val="clear" w:color="auto" w:fill="auto"/>
            <w:noWrap/>
            <w:vAlign w:val="bottom"/>
            <w:hideMark/>
          </w:tcPr>
          <w:p w:rsidR="005A2B6B" w:rsidRPr="006B3656" w:rsidRDefault="005A2B6B" w:rsidP="00E46AC5">
            <w:pPr>
              <w:jc w:val="right"/>
              <w:rPr>
                <w:b/>
                <w:bCs/>
                <w:color w:val="000000"/>
                <w:sz w:val="20"/>
                <w:szCs w:val="20"/>
              </w:rPr>
            </w:pPr>
            <w:r w:rsidRPr="006B3656">
              <w:rPr>
                <w:b/>
                <w:bCs/>
                <w:color w:val="000000"/>
                <w:sz w:val="20"/>
                <w:szCs w:val="20"/>
              </w:rPr>
              <w:t> </w:t>
            </w:r>
          </w:p>
        </w:tc>
        <w:tc>
          <w:tcPr>
            <w:tcW w:w="2224" w:type="dxa"/>
            <w:tcBorders>
              <w:top w:val="nil"/>
              <w:left w:val="nil"/>
              <w:bottom w:val="single" w:sz="8" w:space="0" w:color="auto"/>
              <w:right w:val="single" w:sz="8" w:space="0" w:color="auto"/>
            </w:tcBorders>
            <w:shd w:val="clear" w:color="auto" w:fill="auto"/>
            <w:noWrap/>
            <w:vAlign w:val="bottom"/>
            <w:hideMark/>
          </w:tcPr>
          <w:p w:rsidR="005A2B6B" w:rsidRPr="006B3656" w:rsidRDefault="005A2B6B" w:rsidP="00E46AC5">
            <w:pPr>
              <w:jc w:val="right"/>
              <w:rPr>
                <w:b/>
                <w:bCs/>
                <w:color w:val="000000"/>
                <w:sz w:val="20"/>
                <w:szCs w:val="20"/>
              </w:rPr>
            </w:pPr>
            <w:r w:rsidRPr="006B3656">
              <w:rPr>
                <w:b/>
                <w:bCs/>
                <w:color w:val="000000"/>
                <w:sz w:val="20"/>
                <w:szCs w:val="20"/>
              </w:rPr>
              <w:t> </w:t>
            </w:r>
          </w:p>
        </w:tc>
      </w:tr>
      <w:tr w:rsidR="005A2B6B" w:rsidRPr="006B3656" w:rsidTr="008A2D65">
        <w:trPr>
          <w:trHeight w:val="315"/>
        </w:trPr>
        <w:tc>
          <w:tcPr>
            <w:tcW w:w="5055" w:type="dxa"/>
            <w:gridSpan w:val="2"/>
            <w:tcBorders>
              <w:top w:val="single" w:sz="8" w:space="0" w:color="auto"/>
              <w:left w:val="single" w:sz="8" w:space="0" w:color="000000"/>
              <w:bottom w:val="nil"/>
              <w:right w:val="nil"/>
            </w:tcBorders>
            <w:shd w:val="clear" w:color="000000" w:fill="D9D9D9"/>
            <w:noWrap/>
            <w:vAlign w:val="bottom"/>
            <w:hideMark/>
          </w:tcPr>
          <w:p w:rsidR="005A2B6B" w:rsidRPr="00F40682" w:rsidRDefault="005A2B6B" w:rsidP="00E46AC5">
            <w:pPr>
              <w:rPr>
                <w:bCs/>
                <w:sz w:val="20"/>
                <w:szCs w:val="20"/>
              </w:rPr>
            </w:pPr>
            <w:r w:rsidRPr="00F40682">
              <w:rPr>
                <w:bCs/>
                <w:sz w:val="20"/>
                <w:szCs w:val="20"/>
              </w:rPr>
              <w:t> </w:t>
            </w:r>
          </w:p>
        </w:tc>
        <w:tc>
          <w:tcPr>
            <w:tcW w:w="1196" w:type="dxa"/>
            <w:tcBorders>
              <w:top w:val="single" w:sz="8" w:space="0" w:color="auto"/>
              <w:left w:val="nil"/>
              <w:bottom w:val="nil"/>
              <w:right w:val="nil"/>
            </w:tcBorders>
            <w:shd w:val="clear" w:color="000000" w:fill="D9D9D9"/>
            <w:noWrap/>
            <w:vAlign w:val="bottom"/>
            <w:hideMark/>
          </w:tcPr>
          <w:p w:rsidR="005A2B6B" w:rsidRPr="006B3656" w:rsidRDefault="005A2B6B" w:rsidP="00E46AC5">
            <w:r w:rsidRPr="006B3656">
              <w:t> </w:t>
            </w:r>
          </w:p>
        </w:tc>
        <w:tc>
          <w:tcPr>
            <w:tcW w:w="1890" w:type="dxa"/>
            <w:tcBorders>
              <w:top w:val="single" w:sz="8" w:space="0" w:color="auto"/>
              <w:left w:val="nil"/>
              <w:bottom w:val="nil"/>
              <w:right w:val="nil"/>
            </w:tcBorders>
            <w:shd w:val="clear" w:color="000000" w:fill="D9D9D9"/>
            <w:noWrap/>
            <w:vAlign w:val="bottom"/>
            <w:hideMark/>
          </w:tcPr>
          <w:p w:rsidR="005A2B6B" w:rsidRPr="006B3656" w:rsidRDefault="005A2B6B" w:rsidP="00E46AC5">
            <w:pPr>
              <w:jc w:val="center"/>
              <w:rPr>
                <w:b/>
                <w:bCs/>
                <w:color w:val="000000"/>
                <w:sz w:val="20"/>
                <w:szCs w:val="20"/>
              </w:rPr>
            </w:pPr>
          </w:p>
        </w:tc>
        <w:tc>
          <w:tcPr>
            <w:tcW w:w="2224" w:type="dxa"/>
            <w:tcBorders>
              <w:top w:val="single" w:sz="8" w:space="0" w:color="auto"/>
              <w:left w:val="nil"/>
              <w:bottom w:val="nil"/>
              <w:right w:val="single" w:sz="8" w:space="0" w:color="auto"/>
            </w:tcBorders>
            <w:shd w:val="clear" w:color="000000" w:fill="D9D9D9"/>
            <w:noWrap/>
            <w:vAlign w:val="bottom"/>
            <w:hideMark/>
          </w:tcPr>
          <w:p w:rsidR="005A2B6B" w:rsidRPr="006B3656" w:rsidRDefault="005A2B6B" w:rsidP="00E46AC5">
            <w:pPr>
              <w:jc w:val="center"/>
              <w:rPr>
                <w:b/>
                <w:bCs/>
                <w:sz w:val="20"/>
                <w:szCs w:val="20"/>
              </w:rPr>
            </w:pPr>
            <w:r w:rsidRPr="006B3656">
              <w:rPr>
                <w:b/>
                <w:bCs/>
                <w:sz w:val="20"/>
                <w:szCs w:val="20"/>
              </w:rPr>
              <w:t> </w:t>
            </w:r>
          </w:p>
        </w:tc>
      </w:tr>
      <w:tr w:rsidR="005A2B6B" w:rsidRPr="006B3656" w:rsidTr="008A2D65">
        <w:trPr>
          <w:trHeight w:val="513"/>
        </w:trPr>
        <w:tc>
          <w:tcPr>
            <w:tcW w:w="5055" w:type="dxa"/>
            <w:gridSpan w:val="2"/>
            <w:tcBorders>
              <w:top w:val="nil"/>
              <w:left w:val="single" w:sz="8" w:space="0" w:color="000000"/>
              <w:bottom w:val="nil"/>
              <w:right w:val="nil"/>
            </w:tcBorders>
            <w:shd w:val="clear" w:color="000000" w:fill="D9D9D9"/>
            <w:noWrap/>
            <w:vAlign w:val="bottom"/>
            <w:hideMark/>
          </w:tcPr>
          <w:p w:rsidR="005A2B6B" w:rsidRPr="006B3656" w:rsidRDefault="005A2B6B" w:rsidP="00E46AC5">
            <w:pPr>
              <w:rPr>
                <w:b/>
                <w:bCs/>
                <w:sz w:val="20"/>
                <w:szCs w:val="20"/>
              </w:rPr>
            </w:pPr>
            <w:r w:rsidRPr="006B3656">
              <w:rPr>
                <w:b/>
                <w:bCs/>
                <w:sz w:val="20"/>
                <w:szCs w:val="20"/>
              </w:rPr>
              <w:t> </w:t>
            </w:r>
          </w:p>
        </w:tc>
        <w:tc>
          <w:tcPr>
            <w:tcW w:w="1196" w:type="dxa"/>
            <w:tcBorders>
              <w:top w:val="nil"/>
              <w:left w:val="nil"/>
              <w:bottom w:val="nil"/>
              <w:right w:val="nil"/>
            </w:tcBorders>
            <w:shd w:val="clear" w:color="000000" w:fill="D9D9D9"/>
            <w:noWrap/>
            <w:vAlign w:val="bottom"/>
            <w:hideMark/>
          </w:tcPr>
          <w:p w:rsidR="005A2B6B" w:rsidRPr="006B3656" w:rsidRDefault="005A2B6B" w:rsidP="008A2D65">
            <w:pPr>
              <w:jc w:val="center"/>
              <w:rPr>
                <w:b/>
                <w:bCs/>
                <w:color w:val="000000"/>
                <w:sz w:val="20"/>
                <w:szCs w:val="20"/>
              </w:rPr>
            </w:pPr>
            <w:r w:rsidRPr="006B3656">
              <w:rPr>
                <w:b/>
                <w:bCs/>
                <w:color w:val="000000"/>
                <w:sz w:val="20"/>
                <w:szCs w:val="20"/>
              </w:rPr>
              <w:t xml:space="preserve">RATES </w:t>
            </w:r>
          </w:p>
        </w:tc>
        <w:tc>
          <w:tcPr>
            <w:tcW w:w="1890" w:type="dxa"/>
            <w:tcBorders>
              <w:top w:val="nil"/>
              <w:left w:val="nil"/>
              <w:bottom w:val="nil"/>
              <w:right w:val="nil"/>
            </w:tcBorders>
            <w:shd w:val="clear" w:color="000000" w:fill="D9D9D9"/>
            <w:noWrap/>
            <w:vAlign w:val="bottom"/>
            <w:hideMark/>
          </w:tcPr>
          <w:p w:rsidR="005A2B6B" w:rsidRPr="006B3656" w:rsidRDefault="00605A2D" w:rsidP="00E46AC5">
            <w:pPr>
              <w:jc w:val="center"/>
              <w:rPr>
                <w:b/>
                <w:bCs/>
                <w:color w:val="000000"/>
                <w:sz w:val="20"/>
                <w:szCs w:val="20"/>
              </w:rPr>
            </w:pPr>
            <w:r>
              <w:rPr>
                <w:b/>
                <w:bCs/>
                <w:color w:val="000000"/>
                <w:sz w:val="20"/>
                <w:szCs w:val="20"/>
              </w:rPr>
              <w:t>COMMISSION</w:t>
            </w:r>
          </w:p>
        </w:tc>
        <w:tc>
          <w:tcPr>
            <w:tcW w:w="2224" w:type="dxa"/>
            <w:tcBorders>
              <w:top w:val="nil"/>
              <w:left w:val="nil"/>
              <w:bottom w:val="nil"/>
              <w:right w:val="single" w:sz="8" w:space="0" w:color="auto"/>
            </w:tcBorders>
            <w:shd w:val="clear" w:color="000000" w:fill="D9D9D9"/>
            <w:noWrap/>
            <w:vAlign w:val="bottom"/>
            <w:hideMark/>
          </w:tcPr>
          <w:p w:rsidR="005A2B6B" w:rsidRPr="006B3656" w:rsidRDefault="005A2B6B" w:rsidP="00E46AC5">
            <w:pPr>
              <w:jc w:val="center"/>
              <w:rPr>
                <w:b/>
                <w:bCs/>
                <w:sz w:val="20"/>
                <w:szCs w:val="20"/>
              </w:rPr>
            </w:pPr>
          </w:p>
        </w:tc>
      </w:tr>
      <w:tr w:rsidR="005A2B6B" w:rsidRPr="006B3656" w:rsidTr="008A2D65">
        <w:trPr>
          <w:trHeight w:val="300"/>
        </w:trPr>
        <w:tc>
          <w:tcPr>
            <w:tcW w:w="5055" w:type="dxa"/>
            <w:gridSpan w:val="2"/>
            <w:tcBorders>
              <w:top w:val="nil"/>
              <w:left w:val="single" w:sz="8" w:space="0" w:color="000000"/>
              <w:bottom w:val="nil"/>
              <w:right w:val="nil"/>
            </w:tcBorders>
            <w:shd w:val="clear" w:color="000000" w:fill="D9D9D9"/>
            <w:noWrap/>
            <w:vAlign w:val="bottom"/>
            <w:hideMark/>
          </w:tcPr>
          <w:p w:rsidR="005A2B6B" w:rsidRPr="006B3656" w:rsidRDefault="005A2B6B" w:rsidP="00E46AC5">
            <w:pPr>
              <w:rPr>
                <w:b/>
                <w:bCs/>
                <w:sz w:val="20"/>
                <w:szCs w:val="20"/>
                <w:u w:val="single"/>
              </w:rPr>
            </w:pPr>
          </w:p>
        </w:tc>
        <w:tc>
          <w:tcPr>
            <w:tcW w:w="1196" w:type="dxa"/>
            <w:tcBorders>
              <w:top w:val="nil"/>
              <w:left w:val="nil"/>
              <w:bottom w:val="nil"/>
              <w:right w:val="nil"/>
            </w:tcBorders>
            <w:shd w:val="clear" w:color="000000" w:fill="D9D9D9"/>
            <w:noWrap/>
            <w:vAlign w:val="bottom"/>
            <w:hideMark/>
          </w:tcPr>
          <w:p w:rsidR="008A2D65" w:rsidRDefault="008A2D65" w:rsidP="00E46AC5">
            <w:pPr>
              <w:jc w:val="center"/>
              <w:rPr>
                <w:b/>
                <w:bCs/>
                <w:color w:val="000000"/>
                <w:sz w:val="20"/>
                <w:szCs w:val="20"/>
              </w:rPr>
            </w:pPr>
            <w:r>
              <w:rPr>
                <w:b/>
                <w:bCs/>
                <w:color w:val="000000"/>
                <w:sz w:val="20"/>
                <w:szCs w:val="20"/>
              </w:rPr>
              <w:t>AT</w:t>
            </w:r>
          </w:p>
          <w:p w:rsidR="005A2B6B" w:rsidRPr="006B3656" w:rsidRDefault="005A2B6B" w:rsidP="00E46AC5">
            <w:pPr>
              <w:jc w:val="center"/>
              <w:rPr>
                <w:b/>
                <w:bCs/>
                <w:color w:val="000000"/>
                <w:sz w:val="20"/>
                <w:szCs w:val="20"/>
              </w:rPr>
            </w:pPr>
            <w:r w:rsidRPr="006B3656">
              <w:rPr>
                <w:b/>
                <w:bCs/>
                <w:color w:val="000000"/>
                <w:sz w:val="20"/>
                <w:szCs w:val="20"/>
              </w:rPr>
              <w:t>TIME OF</w:t>
            </w:r>
          </w:p>
        </w:tc>
        <w:tc>
          <w:tcPr>
            <w:tcW w:w="1890" w:type="dxa"/>
            <w:tcBorders>
              <w:top w:val="nil"/>
              <w:left w:val="nil"/>
              <w:bottom w:val="nil"/>
              <w:right w:val="nil"/>
            </w:tcBorders>
            <w:shd w:val="clear" w:color="000000" w:fill="D9D9D9"/>
            <w:noWrap/>
            <w:vAlign w:val="bottom"/>
            <w:hideMark/>
          </w:tcPr>
          <w:p w:rsidR="005A2B6B" w:rsidRDefault="00605A2D" w:rsidP="00E46AC5">
            <w:pPr>
              <w:jc w:val="center"/>
              <w:rPr>
                <w:b/>
                <w:bCs/>
                <w:color w:val="000000"/>
                <w:sz w:val="20"/>
                <w:szCs w:val="20"/>
              </w:rPr>
            </w:pPr>
            <w:r>
              <w:rPr>
                <w:b/>
                <w:bCs/>
                <w:color w:val="000000"/>
                <w:sz w:val="20"/>
                <w:szCs w:val="20"/>
              </w:rPr>
              <w:t>APPROVED</w:t>
            </w:r>
          </w:p>
          <w:p w:rsidR="00951364" w:rsidRPr="006B3656" w:rsidRDefault="00605A2D" w:rsidP="00E46AC5">
            <w:pPr>
              <w:jc w:val="center"/>
              <w:rPr>
                <w:b/>
                <w:bCs/>
                <w:color w:val="000000"/>
                <w:sz w:val="20"/>
                <w:szCs w:val="20"/>
              </w:rPr>
            </w:pPr>
            <w:r>
              <w:rPr>
                <w:b/>
                <w:bCs/>
                <w:color w:val="000000"/>
                <w:sz w:val="20"/>
                <w:szCs w:val="20"/>
              </w:rPr>
              <w:t>PHASE I</w:t>
            </w:r>
          </w:p>
        </w:tc>
        <w:tc>
          <w:tcPr>
            <w:tcW w:w="2224" w:type="dxa"/>
            <w:tcBorders>
              <w:top w:val="nil"/>
              <w:left w:val="nil"/>
              <w:bottom w:val="nil"/>
              <w:right w:val="single" w:sz="8" w:space="0" w:color="auto"/>
            </w:tcBorders>
            <w:shd w:val="clear" w:color="000000" w:fill="D9D9D9"/>
            <w:noWrap/>
            <w:vAlign w:val="bottom"/>
            <w:hideMark/>
          </w:tcPr>
          <w:p w:rsidR="00605A2D" w:rsidRDefault="00605A2D" w:rsidP="00E46AC5">
            <w:pPr>
              <w:jc w:val="center"/>
              <w:rPr>
                <w:b/>
                <w:bCs/>
                <w:sz w:val="20"/>
                <w:szCs w:val="20"/>
              </w:rPr>
            </w:pPr>
            <w:r>
              <w:rPr>
                <w:b/>
                <w:bCs/>
                <w:sz w:val="20"/>
                <w:szCs w:val="20"/>
              </w:rPr>
              <w:t>4 YEAR</w:t>
            </w:r>
          </w:p>
          <w:p w:rsidR="005A2B6B" w:rsidRPr="006B3656" w:rsidRDefault="005A2B6B" w:rsidP="00E46AC5">
            <w:pPr>
              <w:jc w:val="center"/>
              <w:rPr>
                <w:b/>
                <w:bCs/>
                <w:sz w:val="20"/>
                <w:szCs w:val="20"/>
              </w:rPr>
            </w:pPr>
            <w:r w:rsidRPr="006B3656">
              <w:rPr>
                <w:b/>
                <w:bCs/>
                <w:sz w:val="20"/>
                <w:szCs w:val="20"/>
              </w:rPr>
              <w:t>RATE</w:t>
            </w:r>
          </w:p>
        </w:tc>
      </w:tr>
      <w:tr w:rsidR="005A2B6B" w:rsidRPr="006B3656" w:rsidTr="008A2D65">
        <w:trPr>
          <w:trHeight w:val="315"/>
        </w:trPr>
        <w:tc>
          <w:tcPr>
            <w:tcW w:w="5055" w:type="dxa"/>
            <w:gridSpan w:val="2"/>
            <w:tcBorders>
              <w:top w:val="nil"/>
              <w:left w:val="single" w:sz="8" w:space="0" w:color="000000"/>
              <w:bottom w:val="single" w:sz="8" w:space="0" w:color="000000"/>
              <w:right w:val="nil"/>
            </w:tcBorders>
            <w:shd w:val="clear" w:color="000000" w:fill="D9D9D9"/>
            <w:noWrap/>
            <w:vAlign w:val="bottom"/>
            <w:hideMark/>
          </w:tcPr>
          <w:p w:rsidR="005A2B6B" w:rsidRPr="006B3656" w:rsidRDefault="005A2B6B" w:rsidP="00E46AC5">
            <w:pPr>
              <w:rPr>
                <w:b/>
                <w:bCs/>
                <w:sz w:val="20"/>
                <w:szCs w:val="20"/>
                <w:u w:val="single"/>
              </w:rPr>
            </w:pPr>
          </w:p>
        </w:tc>
        <w:tc>
          <w:tcPr>
            <w:tcW w:w="1196" w:type="dxa"/>
            <w:tcBorders>
              <w:top w:val="nil"/>
              <w:left w:val="nil"/>
              <w:bottom w:val="single" w:sz="8" w:space="0" w:color="000000"/>
              <w:right w:val="nil"/>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FILING</w:t>
            </w:r>
          </w:p>
        </w:tc>
        <w:tc>
          <w:tcPr>
            <w:tcW w:w="1890" w:type="dxa"/>
            <w:tcBorders>
              <w:top w:val="nil"/>
              <w:left w:val="nil"/>
              <w:bottom w:val="single" w:sz="8" w:space="0" w:color="000000"/>
              <w:right w:val="nil"/>
            </w:tcBorders>
            <w:shd w:val="clear" w:color="000000" w:fill="D9D9D9"/>
            <w:noWrap/>
            <w:vAlign w:val="bottom"/>
            <w:hideMark/>
          </w:tcPr>
          <w:p w:rsidR="005A2B6B" w:rsidRPr="006B3656" w:rsidRDefault="00951364" w:rsidP="00E46AC5">
            <w:pPr>
              <w:jc w:val="center"/>
              <w:rPr>
                <w:b/>
                <w:bCs/>
                <w:color w:val="000000"/>
                <w:sz w:val="20"/>
                <w:szCs w:val="20"/>
              </w:rPr>
            </w:pPr>
            <w:r>
              <w:rPr>
                <w:b/>
                <w:bCs/>
                <w:color w:val="000000"/>
                <w:sz w:val="20"/>
                <w:szCs w:val="20"/>
              </w:rPr>
              <w:t>RATES</w:t>
            </w:r>
          </w:p>
        </w:tc>
        <w:tc>
          <w:tcPr>
            <w:tcW w:w="2224" w:type="dxa"/>
            <w:tcBorders>
              <w:top w:val="nil"/>
              <w:left w:val="nil"/>
              <w:bottom w:val="single" w:sz="8" w:space="0" w:color="auto"/>
              <w:right w:val="single" w:sz="8" w:space="0" w:color="auto"/>
            </w:tcBorders>
            <w:shd w:val="clear" w:color="000000" w:fill="D9D9D9"/>
            <w:noWrap/>
            <w:vAlign w:val="bottom"/>
            <w:hideMark/>
          </w:tcPr>
          <w:p w:rsidR="005A2B6B" w:rsidRPr="006B3656" w:rsidRDefault="005A2B6B" w:rsidP="00E46AC5">
            <w:pPr>
              <w:jc w:val="center"/>
              <w:rPr>
                <w:b/>
                <w:bCs/>
                <w:sz w:val="20"/>
                <w:szCs w:val="20"/>
              </w:rPr>
            </w:pPr>
            <w:r w:rsidRPr="006B3656">
              <w:rPr>
                <w:b/>
                <w:bCs/>
                <w:sz w:val="20"/>
                <w:szCs w:val="20"/>
              </w:rPr>
              <w:t>REDUCTION</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sz w:val="20"/>
                <w:szCs w:val="20"/>
                <w:u w:val="single"/>
              </w:rPr>
            </w:pPr>
            <w:r w:rsidRPr="006B3656">
              <w:rPr>
                <w:b/>
                <w:bCs/>
                <w:sz w:val="20"/>
                <w:szCs w:val="20"/>
                <w:u w:val="single"/>
              </w:rPr>
              <w:t>Residential</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 </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Base Facility Charge - All Meter Sizes</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 xml:space="preserve">Charge Per 1,000 gallons </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$22.13 </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$22.83 </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$0.11</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8,000 gallon cap</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$4.79 </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$4.94 </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 </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Flat Rate Service</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$34.69 </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$35.78 </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$0.18</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u w:val="single"/>
              </w:rPr>
            </w:pPr>
            <w:r w:rsidRPr="006B3656">
              <w:rPr>
                <w:color w:val="000000"/>
                <w:sz w:val="20"/>
                <w:szCs w:val="20"/>
                <w:u w:val="single"/>
              </w:rPr>
              <w:t> </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u w:val="single"/>
              </w:rPr>
            </w:pPr>
            <w:r w:rsidRPr="006B3656">
              <w:rPr>
                <w:b/>
                <w:bCs/>
                <w:color w:val="000000"/>
                <w:sz w:val="20"/>
                <w:szCs w:val="20"/>
                <w:u w:val="single"/>
              </w:rPr>
              <w:t>General Service</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Base Facility Charge by Meter Size</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5/8" x 3/4"</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$22.13</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$22.83</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$0.11</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3/4"</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$33.16</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$34.25</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$0.17</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1"</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$55.28</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$57.08</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$0.28</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1-1/2"</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$110.56</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$114.15</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$0.56</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2"</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$176.90</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$182.64</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$0.90</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3"</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$353.81</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$365.28</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$1.79</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4"</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$552.83</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$570.75</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$2.80</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6"</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$1,105.67</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$1,141.50</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$5.60</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 </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Charge per 1,000 gallons - General Service</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$5.76</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$5.94</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$0.03</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 </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15"/>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r w:rsidRPr="006B3656">
              <w:t> </w:t>
            </w:r>
          </w:p>
        </w:tc>
        <w:tc>
          <w:tcPr>
            <w:tcW w:w="1196" w:type="dxa"/>
            <w:tcBorders>
              <w:top w:val="nil"/>
              <w:left w:val="nil"/>
              <w:bottom w:val="nil"/>
              <w:right w:val="nil"/>
            </w:tcBorders>
            <w:shd w:val="clear" w:color="auto" w:fill="auto"/>
            <w:noWrap/>
            <w:vAlign w:val="bottom"/>
            <w:hideMark/>
          </w:tcPr>
          <w:p w:rsidR="005A2B6B" w:rsidRPr="006B3656" w:rsidRDefault="005A2B6B" w:rsidP="00E46AC5"/>
        </w:tc>
        <w:tc>
          <w:tcPr>
            <w:tcW w:w="1890" w:type="dxa"/>
            <w:tcBorders>
              <w:top w:val="nil"/>
              <w:left w:val="nil"/>
              <w:bottom w:val="nil"/>
              <w:right w:val="nil"/>
            </w:tcBorders>
            <w:shd w:val="clear" w:color="auto" w:fill="auto"/>
            <w:noWrap/>
            <w:vAlign w:val="bottom"/>
            <w:hideMark/>
          </w:tcPr>
          <w:p w:rsidR="005A2B6B" w:rsidRPr="006B3656" w:rsidRDefault="005A2B6B" w:rsidP="00E46AC5"/>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r w:rsidRPr="006B3656">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u w:val="single"/>
              </w:rPr>
            </w:pPr>
            <w:r w:rsidRPr="006B3656">
              <w:rPr>
                <w:b/>
                <w:bCs/>
                <w:color w:val="000000"/>
                <w:sz w:val="20"/>
                <w:szCs w:val="20"/>
                <w:u w:val="single"/>
              </w:rPr>
              <w:t>Typical Residential 5/8" x 3/4" Meter Bill</w:t>
            </w:r>
            <w:r w:rsidR="00951364">
              <w:rPr>
                <w:b/>
                <w:bCs/>
                <w:color w:val="000000"/>
                <w:sz w:val="20"/>
                <w:szCs w:val="20"/>
                <w:u w:val="single"/>
              </w:rPr>
              <w:t xml:space="preserve"> </w:t>
            </w:r>
            <w:r w:rsidRPr="006B3656">
              <w:rPr>
                <w:b/>
                <w:bCs/>
                <w:color w:val="000000"/>
                <w:sz w:val="20"/>
                <w:szCs w:val="20"/>
                <w:u w:val="single"/>
              </w:rPr>
              <w:t xml:space="preserve"> Comparison</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2,000 Gallons</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$31.71 </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$32.71 </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w:t>
            </w:r>
          </w:p>
        </w:tc>
      </w:tr>
      <w:tr w:rsidR="005A2B6B" w:rsidRPr="006B3656" w:rsidTr="008A2D65">
        <w:trPr>
          <w:trHeight w:val="300"/>
        </w:trPr>
        <w:tc>
          <w:tcPr>
            <w:tcW w:w="5055" w:type="dxa"/>
            <w:gridSpan w:val="2"/>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6,000 Gallons</w:t>
            </w:r>
          </w:p>
        </w:tc>
        <w:tc>
          <w:tcPr>
            <w:tcW w:w="119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$50.87 </w:t>
            </w:r>
          </w:p>
        </w:tc>
        <w:tc>
          <w:tcPr>
            <w:tcW w:w="1890"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$52.47 </w:t>
            </w:r>
          </w:p>
        </w:tc>
        <w:tc>
          <w:tcPr>
            <w:tcW w:w="222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w:t>
            </w:r>
          </w:p>
        </w:tc>
      </w:tr>
      <w:tr w:rsidR="005A2B6B" w:rsidRPr="006B3656" w:rsidTr="008A2D65">
        <w:trPr>
          <w:trHeight w:val="315"/>
        </w:trPr>
        <w:tc>
          <w:tcPr>
            <w:tcW w:w="5055" w:type="dxa"/>
            <w:gridSpan w:val="2"/>
            <w:tcBorders>
              <w:top w:val="nil"/>
              <w:left w:val="single" w:sz="8" w:space="0" w:color="000000"/>
              <w:bottom w:val="single" w:sz="8" w:space="0" w:color="000000"/>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8,000 Gallons</w:t>
            </w:r>
          </w:p>
        </w:tc>
        <w:tc>
          <w:tcPr>
            <w:tcW w:w="1196" w:type="dxa"/>
            <w:tcBorders>
              <w:top w:val="nil"/>
              <w:left w:val="nil"/>
              <w:bottom w:val="single" w:sz="8" w:space="0" w:color="000000"/>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$60.45 </w:t>
            </w:r>
          </w:p>
        </w:tc>
        <w:tc>
          <w:tcPr>
            <w:tcW w:w="1890" w:type="dxa"/>
            <w:tcBorders>
              <w:top w:val="nil"/>
              <w:left w:val="nil"/>
              <w:bottom w:val="single" w:sz="8" w:space="0" w:color="000000"/>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$62.35 </w:t>
            </w:r>
          </w:p>
        </w:tc>
        <w:tc>
          <w:tcPr>
            <w:tcW w:w="2224" w:type="dxa"/>
            <w:tcBorders>
              <w:top w:val="nil"/>
              <w:left w:val="nil"/>
              <w:bottom w:val="single" w:sz="8" w:space="0" w:color="000000"/>
              <w:right w:val="single" w:sz="8" w:space="0" w:color="auto"/>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w:t>
            </w:r>
          </w:p>
        </w:tc>
      </w:tr>
    </w:tbl>
    <w:p w:rsidR="002C1EFF" w:rsidRPr="00321A1F" w:rsidRDefault="002C1EFF" w:rsidP="002C1EFF">
      <w:pPr>
        <w:spacing w:after="240"/>
        <w:jc w:val="both"/>
      </w:pPr>
    </w:p>
    <w:p w:rsidR="002C1EFF" w:rsidRPr="00321A1F" w:rsidRDefault="002C1EFF" w:rsidP="002C1EFF">
      <w:pPr>
        <w:spacing w:after="240"/>
        <w:jc w:val="both"/>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center"/>
      </w:pPr>
    </w:p>
    <w:p w:rsidR="002C1EFF" w:rsidRPr="00321A1F" w:rsidRDefault="004C24D0" w:rsidP="002C1EFF">
      <w:pPr>
        <w:spacing w:after="240"/>
        <w:jc w:val="center"/>
      </w:pPr>
      <w:r w:rsidRPr="004C24D0">
        <w:rPr>
          <w:noProof/>
        </w:rPr>
        <w:drawing>
          <wp:inline distT="0" distB="0" distL="0" distR="0">
            <wp:extent cx="5280660" cy="44272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0660" cy="4427220"/>
                    </a:xfrm>
                    <a:prstGeom prst="rect">
                      <a:avLst/>
                    </a:prstGeom>
                    <a:noFill/>
                    <a:ln>
                      <a:noFill/>
                    </a:ln>
                  </pic:spPr>
                </pic:pic>
              </a:graphicData>
            </a:graphic>
          </wp:inline>
        </w:drawing>
      </w:r>
    </w:p>
    <w:p w:rsidR="002C1EFF" w:rsidRPr="00321A1F" w:rsidRDefault="002C1EFF" w:rsidP="002C1EFF">
      <w:pPr>
        <w:spacing w:after="240"/>
        <w:jc w:val="both"/>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both"/>
      </w:pPr>
    </w:p>
    <w:p w:rsidR="002C1EFF" w:rsidRPr="00321A1F" w:rsidRDefault="004C24D0" w:rsidP="002C1EFF">
      <w:pPr>
        <w:spacing w:after="240"/>
        <w:jc w:val="center"/>
      </w:pPr>
      <w:r w:rsidRPr="004C24D0">
        <w:rPr>
          <w:noProof/>
        </w:rPr>
        <w:drawing>
          <wp:inline distT="0" distB="0" distL="0" distR="0">
            <wp:extent cx="5295900" cy="441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95900" cy="4419600"/>
                    </a:xfrm>
                    <a:prstGeom prst="rect">
                      <a:avLst/>
                    </a:prstGeom>
                    <a:noFill/>
                    <a:ln>
                      <a:noFill/>
                    </a:ln>
                  </pic:spPr>
                </pic:pic>
              </a:graphicData>
            </a:graphic>
          </wp:inline>
        </w:drawing>
      </w:r>
    </w:p>
    <w:p w:rsidR="002C1EFF" w:rsidRPr="00321A1F" w:rsidRDefault="002C1EFF" w:rsidP="002C1EFF">
      <w:pPr>
        <w:spacing w:after="240"/>
        <w:jc w:val="both"/>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 w:rsidR="002C1EFF" w:rsidRPr="00321A1F" w:rsidRDefault="002C1EFF" w:rsidP="002C1EFF"/>
    <w:p w:rsidR="002C1EFF" w:rsidRPr="00321A1F" w:rsidRDefault="004C24D0" w:rsidP="002C1EFF">
      <w:r w:rsidRPr="004C24D0">
        <w:rPr>
          <w:noProof/>
        </w:rPr>
        <w:drawing>
          <wp:inline distT="0" distB="0" distL="0" distR="0">
            <wp:extent cx="5890260" cy="4389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90260" cy="4389120"/>
                    </a:xfrm>
                    <a:prstGeom prst="rect">
                      <a:avLst/>
                    </a:prstGeom>
                    <a:noFill/>
                    <a:ln>
                      <a:noFill/>
                    </a:ln>
                  </pic:spPr>
                </pic:pic>
              </a:graphicData>
            </a:graphic>
          </wp:inline>
        </w:drawing>
      </w:r>
    </w:p>
    <w:p w:rsidR="002C1EFF" w:rsidRPr="00321A1F" w:rsidRDefault="002C1EFF" w:rsidP="002C1EFF">
      <w:pP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center"/>
      </w:pPr>
    </w:p>
    <w:p w:rsidR="002C1EFF" w:rsidRPr="00321A1F" w:rsidRDefault="002C1EFF" w:rsidP="002C1EFF">
      <w:pPr>
        <w:spacing w:after="240"/>
        <w:jc w:val="center"/>
      </w:pPr>
      <w:r w:rsidRPr="00321A1F">
        <w:rPr>
          <w:noProof/>
        </w:rPr>
        <w:drawing>
          <wp:inline distT="0" distB="0" distL="0" distR="0" wp14:anchorId="2FFB83AA" wp14:editId="5EF6E6C6">
            <wp:extent cx="5943600" cy="3101340"/>
            <wp:effectExtent l="0" t="0" r="0" b="3810"/>
            <wp:docPr id="3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3101340"/>
                    </a:xfrm>
                    <a:prstGeom prst="rect">
                      <a:avLst/>
                    </a:prstGeom>
                    <a:noFill/>
                    <a:ln>
                      <a:noFill/>
                    </a:ln>
                  </pic:spPr>
                </pic:pic>
              </a:graphicData>
            </a:graphic>
          </wp:inline>
        </w:drawing>
      </w:r>
    </w:p>
    <w:p w:rsidR="002C1EFF" w:rsidRPr="00321A1F" w:rsidRDefault="002C1EFF" w:rsidP="002C1EFF">
      <w:pPr>
        <w:spacing w:after="240"/>
        <w:jc w:val="both"/>
      </w:pPr>
    </w:p>
    <w:p w:rsidR="002C1EFF" w:rsidRPr="00321A1F" w:rsidRDefault="002C1EFF" w:rsidP="002C1EFF">
      <w:pPr>
        <w:spacing w:after="240"/>
        <w:jc w:val="both"/>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4C24D0" w:rsidP="002C1EFF">
      <w:pPr>
        <w:spacing w:after="240"/>
        <w:jc w:val="center"/>
        <w:rPr>
          <w:noProof/>
        </w:rPr>
      </w:pPr>
      <w:r w:rsidRPr="004C24D0">
        <w:rPr>
          <w:noProof/>
        </w:rPr>
        <w:lastRenderedPageBreak/>
        <w:drawing>
          <wp:inline distT="0" distB="0" distL="0" distR="0" wp14:anchorId="2AFFD2AB" wp14:editId="3341A949">
            <wp:extent cx="8138160" cy="4823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138160" cy="4823365"/>
                    </a:xfrm>
                    <a:prstGeom prst="rect">
                      <a:avLst/>
                    </a:prstGeom>
                    <a:noFill/>
                    <a:ln>
                      <a:noFill/>
                    </a:ln>
                  </pic:spPr>
                </pic:pic>
              </a:graphicData>
            </a:graphic>
          </wp:inline>
        </w:drawing>
      </w:r>
    </w:p>
    <w:p w:rsidR="002C1EFF" w:rsidRPr="00321A1F" w:rsidRDefault="002C1EFF" w:rsidP="002C1EFF">
      <w:pPr>
        <w:spacing w:after="240"/>
        <w:jc w:val="center"/>
        <w:sectPr w:rsidR="002C1EFF" w:rsidRPr="00321A1F" w:rsidSect="00EC6608">
          <w:pgSz w:w="15840" w:h="12240" w:orient="landscape" w:code="1"/>
          <w:pgMar w:top="1440" w:right="1584" w:bottom="1440" w:left="1440" w:header="720" w:footer="720" w:gutter="0"/>
          <w:cols w:space="720"/>
          <w:formProt w:val="0"/>
          <w:docGrid w:linePitch="360"/>
        </w:sectPr>
      </w:pPr>
    </w:p>
    <w:p w:rsidR="002C1EFF" w:rsidRPr="00321A1F" w:rsidRDefault="002C1EFF" w:rsidP="002C1EFF">
      <w:pPr>
        <w:spacing w:after="240"/>
        <w:jc w:val="center"/>
      </w:pPr>
    </w:p>
    <w:p w:rsidR="002C1EFF" w:rsidRPr="00321A1F" w:rsidRDefault="000E2929" w:rsidP="002C1EFF">
      <w:r w:rsidRPr="002A6305">
        <w:rPr>
          <w:noProof/>
        </w:rPr>
        <w:drawing>
          <wp:inline distT="0" distB="0" distL="0" distR="0" wp14:anchorId="19683151" wp14:editId="4D38A566">
            <wp:extent cx="5943600" cy="5013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013960"/>
                    </a:xfrm>
                    <a:prstGeom prst="rect">
                      <a:avLst/>
                    </a:prstGeom>
                    <a:noFill/>
                    <a:ln>
                      <a:noFill/>
                    </a:ln>
                  </pic:spPr>
                </pic:pic>
              </a:graphicData>
            </a:graphic>
          </wp:inline>
        </w:drawing>
      </w:r>
    </w:p>
    <w:p w:rsidR="002C1EFF" w:rsidRPr="00321A1F" w:rsidRDefault="002C1EFF" w:rsidP="002C1EFF">
      <w:pP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both"/>
      </w:pPr>
    </w:p>
    <w:p w:rsidR="002C1EFF" w:rsidRPr="00321A1F" w:rsidRDefault="003040F4" w:rsidP="002C1EFF">
      <w:pPr>
        <w:spacing w:after="240"/>
        <w:jc w:val="center"/>
      </w:pPr>
      <w:r w:rsidRPr="003040F4">
        <w:rPr>
          <w:noProof/>
        </w:rPr>
        <w:drawing>
          <wp:inline distT="0" distB="0" distL="0" distR="0" wp14:anchorId="2916DB1E" wp14:editId="6CE0CF9C">
            <wp:extent cx="5943600" cy="4756237"/>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4756237"/>
                    </a:xfrm>
                    <a:prstGeom prst="rect">
                      <a:avLst/>
                    </a:prstGeom>
                    <a:noFill/>
                    <a:ln>
                      <a:noFill/>
                    </a:ln>
                  </pic:spPr>
                </pic:pic>
              </a:graphicData>
            </a:graphic>
          </wp:inline>
        </w:drawing>
      </w:r>
    </w:p>
    <w:p w:rsidR="002C1EFF" w:rsidRPr="00321A1F" w:rsidRDefault="002C1EFF" w:rsidP="002C1EFF"/>
    <w:p w:rsidR="002C1EFF" w:rsidRPr="00321A1F" w:rsidRDefault="002C1EFF" w:rsidP="002C1EFF">
      <w:pP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both"/>
      </w:pPr>
    </w:p>
    <w:p w:rsidR="002C1EFF" w:rsidRPr="00321A1F" w:rsidRDefault="003040F4" w:rsidP="002C1EFF">
      <w:pPr>
        <w:spacing w:after="240"/>
        <w:jc w:val="center"/>
      </w:pPr>
      <w:r w:rsidRPr="003040F4">
        <w:rPr>
          <w:noProof/>
        </w:rPr>
        <w:drawing>
          <wp:inline distT="0" distB="0" distL="0" distR="0" wp14:anchorId="7780E8CA" wp14:editId="276F8F89">
            <wp:extent cx="5943600" cy="4660474"/>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4660474"/>
                    </a:xfrm>
                    <a:prstGeom prst="rect">
                      <a:avLst/>
                    </a:prstGeom>
                    <a:noFill/>
                    <a:ln>
                      <a:noFill/>
                    </a:ln>
                  </pic:spPr>
                </pic:pic>
              </a:graphicData>
            </a:graphic>
          </wp:inline>
        </w:drawing>
      </w:r>
    </w:p>
    <w:p w:rsidR="002C1EFF" w:rsidRPr="00321A1F" w:rsidRDefault="002C1EFF" w:rsidP="002C1EFF"/>
    <w:p w:rsidR="002C1EFF" w:rsidRPr="00321A1F" w:rsidRDefault="002C1EFF" w:rsidP="002C1EFF"/>
    <w:p w:rsidR="002C1EFF" w:rsidRPr="00321A1F" w:rsidRDefault="002C1EFF" w:rsidP="002C1EFF">
      <w:pPr>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2C1EFF" w:rsidP="002C1EFF">
      <w:pPr>
        <w:spacing w:after="240"/>
        <w:jc w:val="center"/>
      </w:pPr>
    </w:p>
    <w:p w:rsidR="002C1EFF" w:rsidRPr="00321A1F" w:rsidRDefault="002C1EFF" w:rsidP="002C1EFF">
      <w:pPr>
        <w:spacing w:after="240"/>
        <w:jc w:val="center"/>
      </w:pPr>
      <w:r w:rsidRPr="00321A1F">
        <w:rPr>
          <w:noProof/>
        </w:rPr>
        <w:drawing>
          <wp:inline distT="0" distB="0" distL="0" distR="0" wp14:anchorId="4AB61F21" wp14:editId="47D50696">
            <wp:extent cx="5943600" cy="4312920"/>
            <wp:effectExtent l="0" t="0" r="0" b="0"/>
            <wp:docPr id="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4312920"/>
                    </a:xfrm>
                    <a:prstGeom prst="rect">
                      <a:avLst/>
                    </a:prstGeom>
                    <a:noFill/>
                    <a:ln>
                      <a:noFill/>
                    </a:ln>
                  </pic:spPr>
                </pic:pic>
              </a:graphicData>
            </a:graphic>
          </wp:inline>
        </w:drawing>
      </w:r>
    </w:p>
    <w:p w:rsidR="002C1EFF" w:rsidRPr="00321A1F" w:rsidRDefault="002C1EFF" w:rsidP="002C1EFF"/>
    <w:p w:rsidR="002C1EFF" w:rsidRPr="00321A1F" w:rsidRDefault="002C1EFF" w:rsidP="002C1EFF"/>
    <w:p w:rsidR="002C1EFF" w:rsidRPr="00321A1F" w:rsidRDefault="002C1EFF" w:rsidP="002C1EFF">
      <w:pPr>
        <w:sectPr w:rsidR="002C1EFF" w:rsidRPr="00321A1F" w:rsidSect="00EC6608">
          <w:pgSz w:w="12240" w:h="15840" w:code="1"/>
          <w:pgMar w:top="1584" w:right="1440" w:bottom="1440" w:left="1440" w:header="720" w:footer="720" w:gutter="0"/>
          <w:cols w:space="720"/>
          <w:formProt w:val="0"/>
          <w:docGrid w:linePitch="360"/>
        </w:sectPr>
      </w:pPr>
    </w:p>
    <w:tbl>
      <w:tblPr>
        <w:tblW w:w="10005" w:type="dxa"/>
        <w:tblInd w:w="93" w:type="dxa"/>
        <w:tblLook w:val="04A0" w:firstRow="1" w:lastRow="0" w:firstColumn="1" w:lastColumn="0" w:noHBand="0" w:noVBand="1"/>
      </w:tblPr>
      <w:tblGrid>
        <w:gridCol w:w="5240"/>
        <w:gridCol w:w="1872"/>
        <w:gridCol w:w="2893"/>
      </w:tblGrid>
      <w:tr w:rsidR="00951364" w:rsidRPr="006B3656" w:rsidTr="00951364">
        <w:trPr>
          <w:trHeight w:val="315"/>
        </w:trPr>
        <w:tc>
          <w:tcPr>
            <w:tcW w:w="5240" w:type="dxa"/>
            <w:tcBorders>
              <w:top w:val="single" w:sz="8" w:space="0" w:color="000000"/>
              <w:left w:val="single" w:sz="8" w:space="0" w:color="000000"/>
              <w:bottom w:val="nil"/>
              <w:right w:val="nil"/>
            </w:tcBorders>
            <w:shd w:val="clear" w:color="auto" w:fill="auto"/>
            <w:noWrap/>
            <w:vAlign w:val="bottom"/>
            <w:hideMark/>
          </w:tcPr>
          <w:p w:rsidR="00951364" w:rsidRPr="006B3656" w:rsidRDefault="00951364" w:rsidP="00951364">
            <w:pPr>
              <w:rPr>
                <w:b/>
                <w:bCs/>
                <w:color w:val="000000"/>
                <w:sz w:val="20"/>
                <w:szCs w:val="20"/>
              </w:rPr>
            </w:pPr>
            <w:r w:rsidRPr="006B3656">
              <w:rPr>
                <w:b/>
                <w:bCs/>
                <w:color w:val="000000"/>
                <w:sz w:val="20"/>
                <w:szCs w:val="20"/>
              </w:rPr>
              <w:lastRenderedPageBreak/>
              <w:t>AQUARINA UTILITIES, INC.</w:t>
            </w:r>
          </w:p>
        </w:tc>
        <w:tc>
          <w:tcPr>
            <w:tcW w:w="1872" w:type="dxa"/>
            <w:tcBorders>
              <w:top w:val="single" w:sz="8" w:space="0" w:color="000000"/>
              <w:left w:val="nil"/>
              <w:bottom w:val="nil"/>
              <w:right w:val="nil"/>
            </w:tcBorders>
            <w:shd w:val="clear" w:color="auto" w:fill="auto"/>
            <w:noWrap/>
            <w:vAlign w:val="bottom"/>
            <w:hideMark/>
          </w:tcPr>
          <w:p w:rsidR="00951364" w:rsidRPr="006B3656" w:rsidRDefault="00951364" w:rsidP="00951364">
            <w:r w:rsidRPr="006B3656">
              <w:t> </w:t>
            </w:r>
          </w:p>
        </w:tc>
        <w:tc>
          <w:tcPr>
            <w:tcW w:w="2893" w:type="dxa"/>
            <w:tcBorders>
              <w:top w:val="single" w:sz="8" w:space="0" w:color="000000"/>
              <w:left w:val="nil"/>
              <w:bottom w:val="nil"/>
              <w:right w:val="single" w:sz="8" w:space="0" w:color="000000"/>
            </w:tcBorders>
            <w:shd w:val="clear" w:color="auto" w:fill="auto"/>
            <w:noWrap/>
            <w:vAlign w:val="bottom"/>
            <w:hideMark/>
          </w:tcPr>
          <w:p w:rsidR="00951364" w:rsidRPr="006B3656" w:rsidRDefault="00951364" w:rsidP="00951364">
            <w:pPr>
              <w:jc w:val="right"/>
              <w:rPr>
                <w:b/>
                <w:bCs/>
                <w:sz w:val="20"/>
                <w:szCs w:val="20"/>
              </w:rPr>
            </w:pPr>
            <w:r w:rsidRPr="006B3656">
              <w:rPr>
                <w:b/>
                <w:bCs/>
                <w:sz w:val="20"/>
                <w:szCs w:val="20"/>
              </w:rPr>
              <w:t xml:space="preserve">SCHEDULE NO. </w:t>
            </w:r>
            <w:r>
              <w:rPr>
                <w:b/>
                <w:bCs/>
                <w:sz w:val="20"/>
                <w:szCs w:val="20"/>
              </w:rPr>
              <w:t>8</w:t>
            </w:r>
            <w:r w:rsidRPr="006B3656">
              <w:rPr>
                <w:b/>
                <w:bCs/>
                <w:sz w:val="20"/>
                <w:szCs w:val="20"/>
              </w:rPr>
              <w:t>-A</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b/>
                <w:bCs/>
                <w:color w:val="000000"/>
                <w:sz w:val="20"/>
                <w:szCs w:val="20"/>
              </w:rPr>
            </w:pPr>
            <w:r w:rsidRPr="006B3656">
              <w:rPr>
                <w:b/>
                <w:bCs/>
                <w:color w:val="000000"/>
                <w:sz w:val="20"/>
                <w:szCs w:val="20"/>
              </w:rPr>
              <w:t>TEST YEAR ENDED SEPTEMBER 30, 2014</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rPr>
                <w:rFonts w:ascii="Arial" w:hAnsi="Arial" w:cs="Arial"/>
              </w:rPr>
            </w:pP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b/>
                <w:bCs/>
                <w:color w:val="000000"/>
                <w:sz w:val="20"/>
                <w:szCs w:val="20"/>
              </w:rPr>
            </w:pPr>
            <w:r w:rsidRPr="006B3656">
              <w:rPr>
                <w:b/>
                <w:bCs/>
                <w:color w:val="000000"/>
                <w:sz w:val="20"/>
                <w:szCs w:val="20"/>
              </w:rPr>
              <w:t>DOCKET NO. 150010-WS</w:t>
            </w:r>
          </w:p>
        </w:tc>
      </w:tr>
      <w:tr w:rsidR="00951364" w:rsidRPr="006B3656" w:rsidTr="00951364">
        <w:trPr>
          <w:trHeight w:val="315"/>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b/>
                <w:bCs/>
                <w:color w:val="000000"/>
                <w:sz w:val="20"/>
                <w:szCs w:val="20"/>
              </w:rPr>
            </w:pPr>
            <w:r w:rsidRPr="006B3656">
              <w:rPr>
                <w:b/>
                <w:bCs/>
                <w:color w:val="000000"/>
                <w:sz w:val="20"/>
                <w:szCs w:val="20"/>
              </w:rPr>
              <w:t>MONTHLY WATER RATES (Phase II)</w:t>
            </w:r>
          </w:p>
        </w:tc>
        <w:tc>
          <w:tcPr>
            <w:tcW w:w="1872" w:type="dxa"/>
            <w:tcBorders>
              <w:top w:val="nil"/>
              <w:left w:val="nil"/>
              <w:bottom w:val="single" w:sz="8" w:space="0" w:color="auto"/>
              <w:right w:val="nil"/>
            </w:tcBorders>
            <w:shd w:val="clear" w:color="auto" w:fill="auto"/>
            <w:noWrap/>
            <w:vAlign w:val="bottom"/>
            <w:hideMark/>
          </w:tcPr>
          <w:p w:rsidR="00951364" w:rsidRPr="006B3656" w:rsidRDefault="00951364" w:rsidP="00951364">
            <w:pPr>
              <w:jc w:val="right"/>
              <w:rPr>
                <w:b/>
                <w:bCs/>
                <w:color w:val="000000"/>
                <w:sz w:val="20"/>
                <w:szCs w:val="20"/>
              </w:rPr>
            </w:pPr>
            <w:r w:rsidRPr="006B3656">
              <w:rPr>
                <w:b/>
                <w:bCs/>
                <w:color w:val="000000"/>
                <w:sz w:val="20"/>
                <w:szCs w:val="20"/>
              </w:rPr>
              <w:t> </w:t>
            </w:r>
          </w:p>
        </w:tc>
        <w:tc>
          <w:tcPr>
            <w:tcW w:w="2893" w:type="dxa"/>
            <w:tcBorders>
              <w:top w:val="nil"/>
              <w:left w:val="nil"/>
              <w:bottom w:val="single" w:sz="8" w:space="0" w:color="auto"/>
              <w:right w:val="single" w:sz="8" w:space="0" w:color="000000"/>
            </w:tcBorders>
            <w:shd w:val="clear" w:color="auto" w:fill="auto"/>
            <w:noWrap/>
            <w:vAlign w:val="bottom"/>
            <w:hideMark/>
          </w:tcPr>
          <w:p w:rsidR="00951364" w:rsidRPr="006B3656" w:rsidRDefault="00951364" w:rsidP="00951364">
            <w:pPr>
              <w:jc w:val="right"/>
              <w:rPr>
                <w:b/>
                <w:bCs/>
                <w:color w:val="000000"/>
                <w:sz w:val="20"/>
                <w:szCs w:val="20"/>
              </w:rPr>
            </w:pPr>
            <w:r w:rsidRPr="006B3656">
              <w:rPr>
                <w:b/>
                <w:bCs/>
                <w:color w:val="000000"/>
                <w:sz w:val="20"/>
                <w:szCs w:val="20"/>
              </w:rPr>
              <w:t> </w:t>
            </w:r>
          </w:p>
        </w:tc>
      </w:tr>
      <w:tr w:rsidR="00951364" w:rsidRPr="006B3656" w:rsidTr="00951364">
        <w:trPr>
          <w:trHeight w:val="300"/>
        </w:trPr>
        <w:tc>
          <w:tcPr>
            <w:tcW w:w="5240" w:type="dxa"/>
            <w:tcBorders>
              <w:top w:val="single" w:sz="8" w:space="0" w:color="000000"/>
              <w:left w:val="single" w:sz="8" w:space="0" w:color="000000"/>
              <w:bottom w:val="nil"/>
              <w:right w:val="nil"/>
            </w:tcBorders>
            <w:shd w:val="clear" w:color="000000" w:fill="D9D9D9"/>
            <w:noWrap/>
            <w:vAlign w:val="bottom"/>
            <w:hideMark/>
          </w:tcPr>
          <w:p w:rsidR="00951364" w:rsidRPr="006B3656" w:rsidRDefault="00951364" w:rsidP="00951364">
            <w:pPr>
              <w:rPr>
                <w:b/>
                <w:bCs/>
                <w:sz w:val="20"/>
                <w:szCs w:val="20"/>
              </w:rPr>
            </w:pPr>
            <w:r w:rsidRPr="006B3656">
              <w:rPr>
                <w:b/>
                <w:bCs/>
                <w:sz w:val="20"/>
                <w:szCs w:val="20"/>
              </w:rPr>
              <w:t> </w:t>
            </w:r>
          </w:p>
        </w:tc>
        <w:tc>
          <w:tcPr>
            <w:tcW w:w="1872" w:type="dxa"/>
            <w:tcBorders>
              <w:top w:val="nil"/>
              <w:left w:val="nil"/>
              <w:bottom w:val="nil"/>
              <w:right w:val="nil"/>
            </w:tcBorders>
            <w:shd w:val="clear" w:color="000000" w:fill="D9D9D9"/>
            <w:noWrap/>
            <w:vAlign w:val="bottom"/>
            <w:hideMark/>
          </w:tcPr>
          <w:p w:rsidR="00951364" w:rsidRPr="006B3656" w:rsidRDefault="00951364" w:rsidP="00951364">
            <w:pPr>
              <w:jc w:val="center"/>
              <w:rPr>
                <w:b/>
                <w:bCs/>
                <w:color w:val="000000"/>
                <w:sz w:val="20"/>
                <w:szCs w:val="20"/>
              </w:rPr>
            </w:pPr>
            <w:r>
              <w:rPr>
                <w:b/>
                <w:bCs/>
                <w:color w:val="000000"/>
                <w:sz w:val="20"/>
                <w:szCs w:val="20"/>
              </w:rPr>
              <w:t>COMMISSION</w:t>
            </w:r>
          </w:p>
        </w:tc>
        <w:tc>
          <w:tcPr>
            <w:tcW w:w="2893" w:type="dxa"/>
            <w:tcBorders>
              <w:top w:val="nil"/>
              <w:left w:val="nil"/>
              <w:bottom w:val="nil"/>
              <w:right w:val="single" w:sz="8" w:space="0" w:color="000000"/>
            </w:tcBorders>
            <w:shd w:val="clear" w:color="000000" w:fill="D9D9D9"/>
            <w:noWrap/>
            <w:vAlign w:val="bottom"/>
            <w:hideMark/>
          </w:tcPr>
          <w:p w:rsidR="00951364" w:rsidRPr="006B3656" w:rsidRDefault="00951364" w:rsidP="00951364">
            <w:pPr>
              <w:jc w:val="center"/>
              <w:rPr>
                <w:b/>
                <w:bCs/>
                <w:sz w:val="20"/>
                <w:szCs w:val="20"/>
              </w:rPr>
            </w:pPr>
            <w:r>
              <w:rPr>
                <w:b/>
                <w:bCs/>
                <w:sz w:val="20"/>
                <w:szCs w:val="20"/>
              </w:rPr>
              <w:t>COMMISSION</w:t>
            </w:r>
          </w:p>
        </w:tc>
      </w:tr>
      <w:tr w:rsidR="00951364" w:rsidRPr="006B3656" w:rsidTr="00951364">
        <w:trPr>
          <w:trHeight w:val="300"/>
        </w:trPr>
        <w:tc>
          <w:tcPr>
            <w:tcW w:w="5240" w:type="dxa"/>
            <w:tcBorders>
              <w:top w:val="nil"/>
              <w:left w:val="single" w:sz="8" w:space="0" w:color="000000"/>
              <w:bottom w:val="nil"/>
              <w:right w:val="nil"/>
            </w:tcBorders>
            <w:shd w:val="clear" w:color="000000" w:fill="D9D9D9"/>
            <w:noWrap/>
            <w:vAlign w:val="bottom"/>
            <w:hideMark/>
          </w:tcPr>
          <w:p w:rsidR="00951364" w:rsidRPr="006B3656" w:rsidRDefault="00951364" w:rsidP="00951364">
            <w:pPr>
              <w:rPr>
                <w:b/>
                <w:bCs/>
                <w:sz w:val="20"/>
                <w:szCs w:val="20"/>
              </w:rPr>
            </w:pPr>
            <w:r w:rsidRPr="006B3656">
              <w:rPr>
                <w:b/>
                <w:bCs/>
                <w:sz w:val="20"/>
                <w:szCs w:val="20"/>
              </w:rPr>
              <w:t> </w:t>
            </w:r>
          </w:p>
        </w:tc>
        <w:tc>
          <w:tcPr>
            <w:tcW w:w="1872" w:type="dxa"/>
            <w:tcBorders>
              <w:top w:val="nil"/>
              <w:left w:val="nil"/>
              <w:bottom w:val="nil"/>
              <w:right w:val="nil"/>
            </w:tcBorders>
            <w:shd w:val="clear" w:color="000000" w:fill="D9D9D9"/>
            <w:noWrap/>
            <w:vAlign w:val="bottom"/>
            <w:hideMark/>
          </w:tcPr>
          <w:p w:rsidR="00951364" w:rsidRPr="006B3656" w:rsidRDefault="00951364" w:rsidP="00951364">
            <w:pPr>
              <w:jc w:val="center"/>
              <w:rPr>
                <w:b/>
                <w:bCs/>
                <w:color w:val="000000"/>
                <w:sz w:val="20"/>
                <w:szCs w:val="20"/>
              </w:rPr>
            </w:pPr>
            <w:r>
              <w:rPr>
                <w:b/>
                <w:bCs/>
                <w:color w:val="000000"/>
                <w:sz w:val="20"/>
                <w:szCs w:val="20"/>
              </w:rPr>
              <w:t>APPROVED</w:t>
            </w:r>
          </w:p>
        </w:tc>
        <w:tc>
          <w:tcPr>
            <w:tcW w:w="2893" w:type="dxa"/>
            <w:tcBorders>
              <w:top w:val="nil"/>
              <w:left w:val="nil"/>
              <w:bottom w:val="nil"/>
              <w:right w:val="single" w:sz="8" w:space="0" w:color="000000"/>
            </w:tcBorders>
            <w:shd w:val="clear" w:color="000000" w:fill="D9D9D9"/>
            <w:noWrap/>
            <w:vAlign w:val="bottom"/>
            <w:hideMark/>
          </w:tcPr>
          <w:p w:rsidR="00951364" w:rsidRPr="006B3656" w:rsidRDefault="00951364" w:rsidP="00951364">
            <w:pPr>
              <w:jc w:val="center"/>
              <w:rPr>
                <w:b/>
                <w:bCs/>
                <w:sz w:val="20"/>
                <w:szCs w:val="20"/>
              </w:rPr>
            </w:pPr>
            <w:r>
              <w:rPr>
                <w:b/>
                <w:bCs/>
                <w:sz w:val="20"/>
                <w:szCs w:val="20"/>
              </w:rPr>
              <w:t>APPROVED</w:t>
            </w:r>
          </w:p>
        </w:tc>
      </w:tr>
      <w:tr w:rsidR="00951364" w:rsidRPr="006B3656" w:rsidTr="00951364">
        <w:trPr>
          <w:trHeight w:val="300"/>
        </w:trPr>
        <w:tc>
          <w:tcPr>
            <w:tcW w:w="5240" w:type="dxa"/>
            <w:tcBorders>
              <w:top w:val="nil"/>
              <w:left w:val="single" w:sz="8" w:space="0" w:color="000000"/>
              <w:bottom w:val="nil"/>
              <w:right w:val="nil"/>
            </w:tcBorders>
            <w:shd w:val="clear" w:color="000000" w:fill="D9D9D9"/>
            <w:noWrap/>
            <w:vAlign w:val="bottom"/>
            <w:hideMark/>
          </w:tcPr>
          <w:p w:rsidR="00951364" w:rsidRPr="006B3656" w:rsidRDefault="00951364" w:rsidP="00951364">
            <w:pPr>
              <w:rPr>
                <w:b/>
                <w:bCs/>
                <w:sz w:val="20"/>
                <w:szCs w:val="20"/>
                <w:u w:val="single"/>
              </w:rPr>
            </w:pPr>
          </w:p>
        </w:tc>
        <w:tc>
          <w:tcPr>
            <w:tcW w:w="1872" w:type="dxa"/>
            <w:tcBorders>
              <w:top w:val="nil"/>
              <w:left w:val="nil"/>
              <w:bottom w:val="nil"/>
              <w:right w:val="nil"/>
            </w:tcBorders>
            <w:shd w:val="clear" w:color="000000" w:fill="D9D9D9"/>
            <w:noWrap/>
            <w:vAlign w:val="bottom"/>
            <w:hideMark/>
          </w:tcPr>
          <w:p w:rsidR="00951364" w:rsidRPr="006B3656" w:rsidRDefault="00951364" w:rsidP="00951364">
            <w:pPr>
              <w:jc w:val="center"/>
              <w:rPr>
                <w:b/>
                <w:bCs/>
                <w:color w:val="000000"/>
                <w:sz w:val="20"/>
                <w:szCs w:val="20"/>
              </w:rPr>
            </w:pPr>
            <w:r w:rsidRPr="006B3656">
              <w:rPr>
                <w:b/>
                <w:bCs/>
                <w:color w:val="000000"/>
                <w:sz w:val="20"/>
                <w:szCs w:val="20"/>
              </w:rPr>
              <w:t>PHASE I</w:t>
            </w:r>
          </w:p>
        </w:tc>
        <w:tc>
          <w:tcPr>
            <w:tcW w:w="2893" w:type="dxa"/>
            <w:tcBorders>
              <w:top w:val="nil"/>
              <w:left w:val="nil"/>
              <w:bottom w:val="nil"/>
              <w:right w:val="single" w:sz="8" w:space="0" w:color="000000"/>
            </w:tcBorders>
            <w:shd w:val="clear" w:color="000000" w:fill="D9D9D9"/>
            <w:noWrap/>
            <w:vAlign w:val="bottom"/>
            <w:hideMark/>
          </w:tcPr>
          <w:p w:rsidR="00951364" w:rsidRPr="006B3656" w:rsidRDefault="00951364" w:rsidP="00951364">
            <w:pPr>
              <w:jc w:val="center"/>
              <w:rPr>
                <w:b/>
                <w:bCs/>
                <w:sz w:val="20"/>
                <w:szCs w:val="20"/>
              </w:rPr>
            </w:pPr>
            <w:r w:rsidRPr="006B3656">
              <w:rPr>
                <w:b/>
                <w:bCs/>
                <w:sz w:val="20"/>
                <w:szCs w:val="20"/>
              </w:rPr>
              <w:t xml:space="preserve">PHASE II </w:t>
            </w:r>
          </w:p>
        </w:tc>
      </w:tr>
      <w:tr w:rsidR="00951364" w:rsidRPr="006B3656" w:rsidTr="00951364">
        <w:trPr>
          <w:trHeight w:val="315"/>
        </w:trPr>
        <w:tc>
          <w:tcPr>
            <w:tcW w:w="5240" w:type="dxa"/>
            <w:tcBorders>
              <w:top w:val="nil"/>
              <w:left w:val="single" w:sz="8" w:space="0" w:color="000000"/>
              <w:bottom w:val="single" w:sz="8" w:space="0" w:color="000000"/>
              <w:right w:val="nil"/>
            </w:tcBorders>
            <w:shd w:val="clear" w:color="000000" w:fill="D9D9D9"/>
            <w:noWrap/>
            <w:vAlign w:val="bottom"/>
            <w:hideMark/>
          </w:tcPr>
          <w:p w:rsidR="00951364" w:rsidRPr="006B3656" w:rsidRDefault="00951364" w:rsidP="00951364">
            <w:pPr>
              <w:rPr>
                <w:b/>
                <w:bCs/>
                <w:sz w:val="20"/>
                <w:szCs w:val="20"/>
                <w:u w:val="single"/>
              </w:rPr>
            </w:pPr>
          </w:p>
        </w:tc>
        <w:tc>
          <w:tcPr>
            <w:tcW w:w="1872" w:type="dxa"/>
            <w:tcBorders>
              <w:top w:val="nil"/>
              <w:left w:val="nil"/>
              <w:bottom w:val="single" w:sz="8" w:space="0" w:color="000000"/>
              <w:right w:val="nil"/>
            </w:tcBorders>
            <w:shd w:val="clear" w:color="000000" w:fill="D9D9D9"/>
            <w:noWrap/>
            <w:vAlign w:val="bottom"/>
            <w:hideMark/>
          </w:tcPr>
          <w:p w:rsidR="00951364" w:rsidRPr="006B3656" w:rsidRDefault="00951364" w:rsidP="00951364">
            <w:pPr>
              <w:jc w:val="center"/>
              <w:rPr>
                <w:b/>
                <w:bCs/>
                <w:color w:val="000000"/>
                <w:sz w:val="20"/>
                <w:szCs w:val="20"/>
              </w:rPr>
            </w:pPr>
            <w:r w:rsidRPr="006B3656">
              <w:rPr>
                <w:b/>
                <w:bCs/>
                <w:color w:val="000000"/>
                <w:sz w:val="20"/>
                <w:szCs w:val="20"/>
              </w:rPr>
              <w:t>RATES</w:t>
            </w:r>
          </w:p>
        </w:tc>
        <w:tc>
          <w:tcPr>
            <w:tcW w:w="2893" w:type="dxa"/>
            <w:tcBorders>
              <w:top w:val="nil"/>
              <w:left w:val="nil"/>
              <w:bottom w:val="single" w:sz="8" w:space="0" w:color="auto"/>
              <w:right w:val="single" w:sz="8" w:space="0" w:color="000000"/>
            </w:tcBorders>
            <w:shd w:val="clear" w:color="000000" w:fill="D9D9D9"/>
            <w:noWrap/>
            <w:vAlign w:val="bottom"/>
            <w:hideMark/>
          </w:tcPr>
          <w:p w:rsidR="00951364" w:rsidRPr="006B3656" w:rsidRDefault="00951364" w:rsidP="00951364">
            <w:pPr>
              <w:jc w:val="center"/>
              <w:rPr>
                <w:b/>
                <w:bCs/>
                <w:sz w:val="20"/>
                <w:szCs w:val="20"/>
              </w:rPr>
            </w:pPr>
            <w:r w:rsidRPr="006B3656">
              <w:rPr>
                <w:b/>
                <w:bCs/>
                <w:sz w:val="20"/>
                <w:szCs w:val="20"/>
              </w:rPr>
              <w:t>RATES</w:t>
            </w:r>
          </w:p>
        </w:tc>
      </w:tr>
      <w:tr w:rsidR="00951364" w:rsidRPr="006B3656" w:rsidTr="00951364">
        <w:trPr>
          <w:trHeight w:val="315"/>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b/>
                <w:bCs/>
                <w:color w:val="000000"/>
                <w:sz w:val="20"/>
                <w:szCs w:val="20"/>
                <w:u w:val="single"/>
              </w:rPr>
            </w:pPr>
            <w:r w:rsidRPr="006B3656">
              <w:rPr>
                <w:b/>
                <w:bCs/>
                <w:color w:val="000000"/>
                <w:sz w:val="20"/>
                <w:szCs w:val="20"/>
                <w:u w:val="single"/>
              </w:rPr>
              <w:t>Residential and  General Service</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center"/>
              <w:rPr>
                <w:b/>
                <w:bCs/>
                <w:color w:val="000000"/>
                <w:sz w:val="20"/>
                <w:szCs w:val="20"/>
              </w:rPr>
            </w:pPr>
            <w:r w:rsidRPr="006B3656">
              <w:rPr>
                <w:b/>
                <w:bCs/>
                <w:color w:val="000000"/>
                <w:sz w:val="20"/>
                <w:szCs w:val="20"/>
              </w:rPr>
              <w:t> </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r w:rsidRPr="006B3656">
              <w:t>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Base Facility Charge by Meter Size</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rPr>
                <w:sz w:val="20"/>
                <w:szCs w:val="20"/>
              </w:rPr>
            </w:pPr>
            <w:r w:rsidRPr="006B3656">
              <w:rPr>
                <w:sz w:val="20"/>
                <w:szCs w:val="20"/>
              </w:rPr>
              <w:t>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5/8" x 3/4"</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$19.16</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$19.16</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3/4"</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$28.74</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$28.74</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1"</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$47.90</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$47.90</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1-1/2"</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$95.79</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$95.79</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2"</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$153.27</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$153.27</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3"</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$306.55</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$306.55</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4"</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$478.96</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$478.96</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6"</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$957.93</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$957.93</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 </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sz w:val="20"/>
                <w:szCs w:val="20"/>
              </w:rPr>
            </w:pPr>
            <w:r w:rsidRPr="006B3656">
              <w:rPr>
                <w:sz w:val="20"/>
                <w:szCs w:val="20"/>
              </w:rPr>
              <w:t>Charge per 1,000 gallons  - Residential and General Service</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$6.95</w:t>
            </w:r>
          </w:p>
        </w:tc>
        <w:tc>
          <w:tcPr>
            <w:tcW w:w="2893" w:type="dxa"/>
            <w:tcBorders>
              <w:top w:val="nil"/>
              <w:left w:val="nil"/>
              <w:bottom w:val="nil"/>
              <w:right w:val="single" w:sz="8" w:space="0" w:color="auto"/>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$6.95</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sz w:val="20"/>
                <w:szCs w:val="20"/>
              </w:rPr>
            </w:pPr>
            <w:r w:rsidRPr="006B3656">
              <w:rPr>
                <w:sz w:val="20"/>
                <w:szCs w:val="20"/>
              </w:rPr>
              <w:t> </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rPr>
                <w:sz w:val="20"/>
                <w:szCs w:val="20"/>
              </w:rPr>
            </w:pPr>
            <w:r w:rsidRPr="006B3656">
              <w:rPr>
                <w:sz w:val="20"/>
                <w:szCs w:val="20"/>
              </w:rPr>
              <w:t> </w:t>
            </w:r>
          </w:p>
        </w:tc>
      </w:tr>
      <w:tr w:rsidR="00951364" w:rsidRPr="006B3656" w:rsidTr="00951364">
        <w:trPr>
          <w:trHeight w:val="315"/>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b/>
                <w:bCs/>
                <w:color w:val="000000"/>
                <w:sz w:val="20"/>
                <w:szCs w:val="20"/>
                <w:u w:val="single"/>
              </w:rPr>
            </w:pPr>
            <w:r w:rsidRPr="006B3656">
              <w:rPr>
                <w:b/>
                <w:bCs/>
                <w:color w:val="000000"/>
                <w:sz w:val="20"/>
                <w:szCs w:val="20"/>
                <w:u w:val="single"/>
              </w:rPr>
              <w:t>Irrigation Service - Non-Potable</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center"/>
              <w:rPr>
                <w:b/>
                <w:bCs/>
                <w:color w:val="000000"/>
                <w:sz w:val="20"/>
                <w:szCs w:val="20"/>
              </w:rPr>
            </w:pP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r w:rsidRPr="006B3656">
              <w:t>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Base Facility Charge by Meter Size</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rPr>
                <w:rFonts w:ascii="Arial" w:hAnsi="Arial" w:cs="Arial"/>
              </w:rPr>
            </w:pP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rPr>
                <w:rFonts w:ascii="Arial" w:hAnsi="Arial" w:cs="Arial"/>
              </w:rPr>
            </w:pPr>
            <w:r w:rsidRPr="006B3656">
              <w:rPr>
                <w:rFonts w:ascii="Arial" w:hAnsi="Arial" w:cs="Arial"/>
              </w:rPr>
              <w:t>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5/8" x 3/4"</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$13.86</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$14.16</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3/4"</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$20.79</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$21.24</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1"</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$34.65</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$35.40</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1-1/2"</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$69.30</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$70.80</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2"</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$110.88</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$113.28</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3"</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$221.76</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$226.56</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4"</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$346.50</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$354.00</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6"</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$693.00</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$708.00</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8"</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$1,108.80</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$1,132.80</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 </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rPr>
                <w:sz w:val="20"/>
                <w:szCs w:val="20"/>
              </w:rPr>
            </w:pPr>
            <w:r w:rsidRPr="006B3656">
              <w:rPr>
                <w:sz w:val="20"/>
                <w:szCs w:val="20"/>
              </w:rPr>
              <w:t>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sz w:val="20"/>
                <w:szCs w:val="20"/>
              </w:rPr>
            </w:pPr>
            <w:r w:rsidRPr="006B3656">
              <w:rPr>
                <w:sz w:val="20"/>
                <w:szCs w:val="20"/>
              </w:rPr>
              <w:t>Charge per 1,000 gallons - Irrigation Service</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$1.38</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sz w:val="20"/>
                <w:szCs w:val="20"/>
              </w:rPr>
            </w:pPr>
            <w:r w:rsidRPr="006B3656">
              <w:rPr>
                <w:sz w:val="20"/>
                <w:szCs w:val="20"/>
              </w:rPr>
              <w:t>$1.41</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rFonts w:ascii="Arial" w:hAnsi="Arial" w:cs="Arial"/>
              </w:rPr>
            </w:pPr>
            <w:r w:rsidRPr="006B3656">
              <w:rPr>
                <w:rFonts w:ascii="Arial" w:hAnsi="Arial" w:cs="Arial"/>
              </w:rPr>
              <w:t> </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rPr>
                <w:rFonts w:ascii="Arial" w:hAnsi="Arial" w:cs="Arial"/>
              </w:rPr>
            </w:pP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rPr>
                <w:rFonts w:ascii="Arial" w:hAnsi="Arial" w:cs="Arial"/>
              </w:rPr>
            </w:pPr>
            <w:r w:rsidRPr="006B3656">
              <w:rPr>
                <w:rFonts w:ascii="Arial" w:hAnsi="Arial" w:cs="Arial"/>
              </w:rPr>
              <w:t>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b/>
                <w:bCs/>
                <w:color w:val="000000"/>
                <w:sz w:val="20"/>
                <w:szCs w:val="20"/>
                <w:u w:val="single"/>
              </w:rPr>
            </w:pPr>
            <w:r w:rsidRPr="006B3656">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rPr>
                <w:sz w:val="20"/>
                <w:szCs w:val="20"/>
              </w:rPr>
            </w:pPr>
            <w:r w:rsidRPr="006B3656">
              <w:rPr>
                <w:sz w:val="20"/>
                <w:szCs w:val="20"/>
              </w:rPr>
              <w:t>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2,000 Gallons</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 xml:space="preserve">$33.06 </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 xml:space="preserve">$33.06 </w:t>
            </w:r>
          </w:p>
        </w:tc>
      </w:tr>
      <w:tr w:rsidR="00951364" w:rsidRPr="006B3656" w:rsidTr="00951364">
        <w:trPr>
          <w:trHeight w:val="300"/>
        </w:trPr>
        <w:tc>
          <w:tcPr>
            <w:tcW w:w="5240" w:type="dxa"/>
            <w:tcBorders>
              <w:top w:val="nil"/>
              <w:left w:val="single" w:sz="8" w:space="0" w:color="000000"/>
              <w:bottom w:val="nil"/>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6,000 Gallons</w:t>
            </w:r>
          </w:p>
        </w:tc>
        <w:tc>
          <w:tcPr>
            <w:tcW w:w="1872" w:type="dxa"/>
            <w:tcBorders>
              <w:top w:val="nil"/>
              <w:left w:val="nil"/>
              <w:bottom w:val="nil"/>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 xml:space="preserve">$60.86 </w:t>
            </w:r>
          </w:p>
        </w:tc>
        <w:tc>
          <w:tcPr>
            <w:tcW w:w="2893" w:type="dxa"/>
            <w:tcBorders>
              <w:top w:val="nil"/>
              <w:left w:val="nil"/>
              <w:bottom w:val="nil"/>
              <w:right w:val="single" w:sz="8" w:space="0" w:color="000000"/>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 xml:space="preserve">$60.86 </w:t>
            </w:r>
          </w:p>
        </w:tc>
      </w:tr>
      <w:tr w:rsidR="00951364" w:rsidRPr="006B3656" w:rsidTr="00951364">
        <w:trPr>
          <w:trHeight w:val="315"/>
        </w:trPr>
        <w:tc>
          <w:tcPr>
            <w:tcW w:w="5240" w:type="dxa"/>
            <w:tcBorders>
              <w:top w:val="nil"/>
              <w:left w:val="single" w:sz="8" w:space="0" w:color="000000"/>
              <w:bottom w:val="single" w:sz="8" w:space="0" w:color="000000"/>
              <w:right w:val="nil"/>
            </w:tcBorders>
            <w:shd w:val="clear" w:color="auto" w:fill="auto"/>
            <w:noWrap/>
            <w:vAlign w:val="bottom"/>
            <w:hideMark/>
          </w:tcPr>
          <w:p w:rsidR="00951364" w:rsidRPr="006B3656" w:rsidRDefault="00951364" w:rsidP="00951364">
            <w:pPr>
              <w:rPr>
                <w:color w:val="000000"/>
                <w:sz w:val="20"/>
                <w:szCs w:val="20"/>
              </w:rPr>
            </w:pPr>
            <w:r w:rsidRPr="006B3656">
              <w:rPr>
                <w:color w:val="000000"/>
                <w:sz w:val="20"/>
                <w:szCs w:val="20"/>
              </w:rPr>
              <w:t>8,000 Gallons</w:t>
            </w:r>
          </w:p>
        </w:tc>
        <w:tc>
          <w:tcPr>
            <w:tcW w:w="1872" w:type="dxa"/>
            <w:tcBorders>
              <w:top w:val="nil"/>
              <w:left w:val="nil"/>
              <w:bottom w:val="single" w:sz="8" w:space="0" w:color="000000"/>
              <w:right w:val="nil"/>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 xml:space="preserve">$74.76 </w:t>
            </w:r>
          </w:p>
        </w:tc>
        <w:tc>
          <w:tcPr>
            <w:tcW w:w="2893" w:type="dxa"/>
            <w:tcBorders>
              <w:top w:val="nil"/>
              <w:left w:val="nil"/>
              <w:bottom w:val="single" w:sz="8" w:space="0" w:color="000000"/>
              <w:right w:val="single" w:sz="8" w:space="0" w:color="000000"/>
            </w:tcBorders>
            <w:shd w:val="clear" w:color="auto" w:fill="auto"/>
            <w:noWrap/>
            <w:vAlign w:val="bottom"/>
            <w:hideMark/>
          </w:tcPr>
          <w:p w:rsidR="00951364" w:rsidRPr="006B3656" w:rsidRDefault="00951364" w:rsidP="00951364">
            <w:pPr>
              <w:jc w:val="right"/>
              <w:rPr>
                <w:color w:val="000000"/>
                <w:sz w:val="20"/>
                <w:szCs w:val="20"/>
              </w:rPr>
            </w:pPr>
            <w:r w:rsidRPr="006B3656">
              <w:rPr>
                <w:color w:val="000000"/>
                <w:sz w:val="20"/>
                <w:szCs w:val="20"/>
              </w:rPr>
              <w:t xml:space="preserve">$74.76 </w:t>
            </w:r>
          </w:p>
        </w:tc>
      </w:tr>
    </w:tbl>
    <w:p w:rsidR="002C1EFF" w:rsidRPr="00321A1F" w:rsidRDefault="002C1EFF" w:rsidP="002C1EFF">
      <w:pPr>
        <w:spacing w:after="240"/>
        <w:jc w:val="both"/>
      </w:pPr>
    </w:p>
    <w:p w:rsidR="00951364" w:rsidRDefault="00951364">
      <w:r>
        <w:br w:type="page"/>
      </w:r>
    </w:p>
    <w:p w:rsidR="002C1EFF" w:rsidRPr="00321A1F" w:rsidRDefault="002C1EFF" w:rsidP="002C1EFF">
      <w:pPr>
        <w:spacing w:after="240"/>
        <w:jc w:val="both"/>
      </w:pPr>
    </w:p>
    <w:tbl>
      <w:tblPr>
        <w:tblW w:w="9465" w:type="dxa"/>
        <w:tblInd w:w="93" w:type="dxa"/>
        <w:tblLook w:val="04A0" w:firstRow="1" w:lastRow="0" w:firstColumn="1" w:lastColumn="0" w:noHBand="0" w:noVBand="1"/>
      </w:tblPr>
      <w:tblGrid>
        <w:gridCol w:w="4785"/>
        <w:gridCol w:w="1926"/>
        <w:gridCol w:w="2754"/>
      </w:tblGrid>
      <w:tr w:rsidR="005A2B6B" w:rsidRPr="006B3656" w:rsidTr="008A2D65">
        <w:trPr>
          <w:trHeight w:val="315"/>
        </w:trPr>
        <w:tc>
          <w:tcPr>
            <w:tcW w:w="4785" w:type="dxa"/>
            <w:tcBorders>
              <w:top w:val="single" w:sz="8" w:space="0" w:color="000000"/>
              <w:left w:val="single" w:sz="8" w:space="0" w:color="000000"/>
              <w:bottom w:val="nil"/>
              <w:right w:val="nil"/>
            </w:tcBorders>
            <w:shd w:val="clear" w:color="auto" w:fill="auto"/>
            <w:noWrap/>
            <w:vAlign w:val="bottom"/>
            <w:hideMark/>
          </w:tcPr>
          <w:p w:rsidR="005A2B6B" w:rsidRPr="006B3656" w:rsidRDefault="002C1EFF" w:rsidP="00E46AC5">
            <w:pPr>
              <w:rPr>
                <w:b/>
                <w:bCs/>
                <w:color w:val="000000"/>
                <w:sz w:val="20"/>
                <w:szCs w:val="20"/>
              </w:rPr>
            </w:pPr>
            <w:r w:rsidRPr="00321A1F">
              <w:t> </w:t>
            </w:r>
            <w:r w:rsidR="005A2B6B" w:rsidRPr="006B3656">
              <w:rPr>
                <w:b/>
                <w:bCs/>
                <w:color w:val="000000"/>
                <w:sz w:val="20"/>
                <w:szCs w:val="20"/>
              </w:rPr>
              <w:t>AQUARINA UTILITIES, INC.</w:t>
            </w:r>
          </w:p>
        </w:tc>
        <w:tc>
          <w:tcPr>
            <w:tcW w:w="1926" w:type="dxa"/>
            <w:tcBorders>
              <w:top w:val="single" w:sz="8" w:space="0" w:color="000000"/>
              <w:left w:val="nil"/>
              <w:bottom w:val="nil"/>
              <w:right w:val="nil"/>
            </w:tcBorders>
            <w:shd w:val="clear" w:color="auto" w:fill="auto"/>
            <w:noWrap/>
            <w:vAlign w:val="bottom"/>
            <w:hideMark/>
          </w:tcPr>
          <w:p w:rsidR="005A2B6B" w:rsidRPr="006B3656" w:rsidRDefault="005A2B6B" w:rsidP="00E46AC5">
            <w:r w:rsidRPr="006B3656">
              <w:t> </w:t>
            </w:r>
          </w:p>
        </w:tc>
        <w:tc>
          <w:tcPr>
            <w:tcW w:w="2754" w:type="dxa"/>
            <w:tcBorders>
              <w:top w:val="single" w:sz="8" w:space="0" w:color="000000"/>
              <w:left w:val="nil"/>
              <w:bottom w:val="nil"/>
              <w:right w:val="single" w:sz="8" w:space="0" w:color="000000"/>
            </w:tcBorders>
            <w:shd w:val="clear" w:color="auto" w:fill="auto"/>
            <w:noWrap/>
            <w:vAlign w:val="bottom"/>
            <w:hideMark/>
          </w:tcPr>
          <w:p w:rsidR="005A2B6B" w:rsidRPr="006B3656" w:rsidRDefault="005A2B6B" w:rsidP="00E46AC5">
            <w:pPr>
              <w:jc w:val="right"/>
              <w:rPr>
                <w:b/>
                <w:bCs/>
                <w:sz w:val="20"/>
                <w:szCs w:val="20"/>
              </w:rPr>
            </w:pPr>
            <w:r w:rsidRPr="006B3656">
              <w:rPr>
                <w:b/>
                <w:bCs/>
                <w:sz w:val="20"/>
                <w:szCs w:val="20"/>
              </w:rPr>
              <w:t>SCHEDULE NO. 8-B</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rPr>
            </w:pPr>
            <w:r w:rsidRPr="006B3656">
              <w:rPr>
                <w:b/>
                <w:bCs/>
                <w:color w:val="000000"/>
                <w:sz w:val="20"/>
                <w:szCs w:val="20"/>
              </w:rPr>
              <w:t>TEST YEAR ENDED SEPTEMBER 30, 2014</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rPr>
                <w:rFonts w:ascii="Arial" w:hAnsi="Arial" w:cs="Arial"/>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b/>
                <w:bCs/>
                <w:color w:val="000000"/>
                <w:sz w:val="20"/>
                <w:szCs w:val="20"/>
              </w:rPr>
            </w:pPr>
            <w:r w:rsidRPr="006B3656">
              <w:rPr>
                <w:b/>
                <w:bCs/>
                <w:color w:val="000000"/>
                <w:sz w:val="20"/>
                <w:szCs w:val="20"/>
              </w:rPr>
              <w:t>DOCKET NO. 150010-WS</w:t>
            </w:r>
          </w:p>
        </w:tc>
      </w:tr>
      <w:tr w:rsidR="005A2B6B" w:rsidRPr="006B3656" w:rsidTr="008A2D65">
        <w:trPr>
          <w:trHeight w:val="315"/>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rPr>
            </w:pPr>
            <w:r w:rsidRPr="006B3656">
              <w:rPr>
                <w:b/>
                <w:bCs/>
                <w:color w:val="000000"/>
                <w:sz w:val="20"/>
                <w:szCs w:val="20"/>
              </w:rPr>
              <w:t>MONTHLY WASTEWATER RATES (PHASE II)</w:t>
            </w:r>
          </w:p>
        </w:tc>
        <w:tc>
          <w:tcPr>
            <w:tcW w:w="1926" w:type="dxa"/>
            <w:tcBorders>
              <w:top w:val="nil"/>
              <w:left w:val="nil"/>
              <w:bottom w:val="single" w:sz="8" w:space="0" w:color="auto"/>
              <w:right w:val="nil"/>
            </w:tcBorders>
            <w:shd w:val="clear" w:color="auto" w:fill="auto"/>
            <w:noWrap/>
            <w:vAlign w:val="bottom"/>
            <w:hideMark/>
          </w:tcPr>
          <w:p w:rsidR="005A2B6B" w:rsidRPr="006B3656" w:rsidRDefault="005A2B6B" w:rsidP="00E46AC5">
            <w:pPr>
              <w:jc w:val="right"/>
              <w:rPr>
                <w:b/>
                <w:bCs/>
                <w:color w:val="000000"/>
                <w:sz w:val="20"/>
                <w:szCs w:val="20"/>
              </w:rPr>
            </w:pPr>
            <w:r w:rsidRPr="006B3656">
              <w:rPr>
                <w:b/>
                <w:bCs/>
                <w:color w:val="000000"/>
                <w:sz w:val="20"/>
                <w:szCs w:val="20"/>
              </w:rPr>
              <w:t> </w:t>
            </w:r>
          </w:p>
        </w:tc>
        <w:tc>
          <w:tcPr>
            <w:tcW w:w="2754" w:type="dxa"/>
            <w:tcBorders>
              <w:top w:val="nil"/>
              <w:left w:val="nil"/>
              <w:bottom w:val="single" w:sz="8" w:space="0" w:color="auto"/>
              <w:right w:val="single" w:sz="8" w:space="0" w:color="auto"/>
            </w:tcBorders>
            <w:shd w:val="clear" w:color="auto" w:fill="auto"/>
            <w:noWrap/>
            <w:vAlign w:val="bottom"/>
            <w:hideMark/>
          </w:tcPr>
          <w:p w:rsidR="005A2B6B" w:rsidRPr="006B3656" w:rsidRDefault="005A2B6B" w:rsidP="00E46AC5">
            <w:pPr>
              <w:jc w:val="right"/>
              <w:rPr>
                <w:b/>
                <w:bCs/>
                <w:color w:val="000000"/>
                <w:sz w:val="20"/>
                <w:szCs w:val="20"/>
              </w:rPr>
            </w:pPr>
            <w:r w:rsidRPr="006B3656">
              <w:rPr>
                <w:b/>
                <w:bCs/>
                <w:color w:val="000000"/>
                <w:sz w:val="20"/>
                <w:szCs w:val="20"/>
              </w:rPr>
              <w:t> </w:t>
            </w:r>
          </w:p>
        </w:tc>
      </w:tr>
      <w:tr w:rsidR="005A2B6B" w:rsidRPr="006B3656" w:rsidTr="008A2D65">
        <w:trPr>
          <w:trHeight w:val="300"/>
        </w:trPr>
        <w:tc>
          <w:tcPr>
            <w:tcW w:w="4785" w:type="dxa"/>
            <w:tcBorders>
              <w:top w:val="single" w:sz="8" w:space="0" w:color="000000"/>
              <w:left w:val="single" w:sz="8" w:space="0" w:color="000000"/>
              <w:bottom w:val="nil"/>
              <w:right w:val="nil"/>
            </w:tcBorders>
            <w:shd w:val="clear" w:color="000000" w:fill="D9D9D9"/>
            <w:noWrap/>
            <w:vAlign w:val="bottom"/>
            <w:hideMark/>
          </w:tcPr>
          <w:p w:rsidR="005A2B6B" w:rsidRPr="006B3656" w:rsidRDefault="005A2B6B" w:rsidP="00E46AC5">
            <w:pPr>
              <w:rPr>
                <w:b/>
                <w:bCs/>
                <w:sz w:val="20"/>
                <w:szCs w:val="20"/>
              </w:rPr>
            </w:pPr>
            <w:r w:rsidRPr="006B3656">
              <w:rPr>
                <w:b/>
                <w:bCs/>
                <w:sz w:val="20"/>
                <w:szCs w:val="20"/>
              </w:rPr>
              <w:t> </w:t>
            </w:r>
          </w:p>
        </w:tc>
        <w:tc>
          <w:tcPr>
            <w:tcW w:w="1926" w:type="dxa"/>
            <w:tcBorders>
              <w:top w:val="nil"/>
              <w:left w:val="nil"/>
              <w:bottom w:val="nil"/>
              <w:right w:val="nil"/>
            </w:tcBorders>
            <w:shd w:val="clear" w:color="000000" w:fill="D9D9D9"/>
            <w:noWrap/>
            <w:vAlign w:val="bottom"/>
            <w:hideMark/>
          </w:tcPr>
          <w:p w:rsidR="005A2B6B" w:rsidRPr="006B3656" w:rsidRDefault="009B0623" w:rsidP="00E46AC5">
            <w:pPr>
              <w:jc w:val="center"/>
              <w:rPr>
                <w:b/>
                <w:bCs/>
                <w:color w:val="000000"/>
                <w:sz w:val="20"/>
                <w:szCs w:val="20"/>
              </w:rPr>
            </w:pPr>
            <w:r>
              <w:rPr>
                <w:b/>
                <w:bCs/>
                <w:color w:val="000000"/>
                <w:sz w:val="20"/>
                <w:szCs w:val="20"/>
              </w:rPr>
              <w:t>COMMISSION</w:t>
            </w:r>
          </w:p>
        </w:tc>
        <w:tc>
          <w:tcPr>
            <w:tcW w:w="2754" w:type="dxa"/>
            <w:tcBorders>
              <w:top w:val="nil"/>
              <w:left w:val="nil"/>
              <w:bottom w:val="nil"/>
              <w:right w:val="single" w:sz="8" w:space="0" w:color="auto"/>
            </w:tcBorders>
            <w:shd w:val="clear" w:color="000000" w:fill="D9D9D9"/>
            <w:noWrap/>
            <w:vAlign w:val="bottom"/>
            <w:hideMark/>
          </w:tcPr>
          <w:p w:rsidR="005A2B6B" w:rsidRPr="006B3656" w:rsidRDefault="009B0623" w:rsidP="00E46AC5">
            <w:pPr>
              <w:jc w:val="center"/>
              <w:rPr>
                <w:b/>
                <w:bCs/>
                <w:color w:val="000000"/>
                <w:sz w:val="20"/>
                <w:szCs w:val="20"/>
              </w:rPr>
            </w:pPr>
            <w:r>
              <w:rPr>
                <w:b/>
                <w:bCs/>
                <w:color w:val="000000"/>
                <w:sz w:val="20"/>
                <w:szCs w:val="20"/>
              </w:rPr>
              <w:t>COMMISSION</w:t>
            </w:r>
          </w:p>
        </w:tc>
      </w:tr>
      <w:tr w:rsidR="005A2B6B" w:rsidRPr="006B3656" w:rsidTr="008A2D65">
        <w:trPr>
          <w:trHeight w:val="300"/>
        </w:trPr>
        <w:tc>
          <w:tcPr>
            <w:tcW w:w="4785" w:type="dxa"/>
            <w:tcBorders>
              <w:top w:val="nil"/>
              <w:left w:val="single" w:sz="8" w:space="0" w:color="000000"/>
              <w:bottom w:val="nil"/>
              <w:right w:val="nil"/>
            </w:tcBorders>
            <w:shd w:val="clear" w:color="000000" w:fill="D9D9D9"/>
            <w:noWrap/>
            <w:vAlign w:val="bottom"/>
            <w:hideMark/>
          </w:tcPr>
          <w:p w:rsidR="005A2B6B" w:rsidRPr="006B3656" w:rsidRDefault="005A2B6B" w:rsidP="00E46AC5">
            <w:pPr>
              <w:rPr>
                <w:b/>
                <w:bCs/>
                <w:sz w:val="20"/>
                <w:szCs w:val="20"/>
              </w:rPr>
            </w:pPr>
            <w:r w:rsidRPr="006B3656">
              <w:rPr>
                <w:b/>
                <w:bCs/>
                <w:sz w:val="20"/>
                <w:szCs w:val="20"/>
              </w:rPr>
              <w:t> </w:t>
            </w:r>
          </w:p>
        </w:tc>
        <w:tc>
          <w:tcPr>
            <w:tcW w:w="1926" w:type="dxa"/>
            <w:tcBorders>
              <w:top w:val="nil"/>
              <w:left w:val="nil"/>
              <w:bottom w:val="nil"/>
              <w:right w:val="nil"/>
            </w:tcBorders>
            <w:shd w:val="clear" w:color="000000" w:fill="D9D9D9"/>
            <w:noWrap/>
            <w:vAlign w:val="bottom"/>
            <w:hideMark/>
          </w:tcPr>
          <w:p w:rsidR="005A2B6B" w:rsidRPr="006B3656" w:rsidRDefault="009B0623" w:rsidP="00E46AC5">
            <w:pPr>
              <w:jc w:val="center"/>
              <w:rPr>
                <w:b/>
                <w:bCs/>
                <w:color w:val="000000"/>
                <w:sz w:val="20"/>
                <w:szCs w:val="20"/>
              </w:rPr>
            </w:pPr>
            <w:r>
              <w:rPr>
                <w:b/>
                <w:bCs/>
                <w:color w:val="000000"/>
                <w:sz w:val="20"/>
                <w:szCs w:val="20"/>
              </w:rPr>
              <w:t>APPROVED</w:t>
            </w:r>
          </w:p>
        </w:tc>
        <w:tc>
          <w:tcPr>
            <w:tcW w:w="2754" w:type="dxa"/>
            <w:tcBorders>
              <w:top w:val="nil"/>
              <w:left w:val="nil"/>
              <w:bottom w:val="nil"/>
              <w:right w:val="single" w:sz="8" w:space="0" w:color="auto"/>
            </w:tcBorders>
            <w:shd w:val="clear" w:color="000000" w:fill="D9D9D9"/>
            <w:noWrap/>
            <w:vAlign w:val="bottom"/>
            <w:hideMark/>
          </w:tcPr>
          <w:p w:rsidR="005A2B6B" w:rsidRPr="006B3656" w:rsidRDefault="009B0623" w:rsidP="00E46AC5">
            <w:pPr>
              <w:jc w:val="center"/>
              <w:rPr>
                <w:b/>
                <w:bCs/>
                <w:color w:val="000000"/>
                <w:sz w:val="20"/>
                <w:szCs w:val="20"/>
              </w:rPr>
            </w:pPr>
            <w:r>
              <w:rPr>
                <w:b/>
                <w:bCs/>
                <w:color w:val="000000"/>
                <w:sz w:val="20"/>
                <w:szCs w:val="20"/>
              </w:rPr>
              <w:t>APPROVED</w:t>
            </w:r>
          </w:p>
        </w:tc>
      </w:tr>
      <w:tr w:rsidR="005A2B6B" w:rsidRPr="006B3656" w:rsidTr="008A2D65">
        <w:trPr>
          <w:trHeight w:val="300"/>
        </w:trPr>
        <w:tc>
          <w:tcPr>
            <w:tcW w:w="4785" w:type="dxa"/>
            <w:tcBorders>
              <w:top w:val="nil"/>
              <w:left w:val="single" w:sz="8" w:space="0" w:color="000000"/>
              <w:bottom w:val="nil"/>
              <w:right w:val="nil"/>
            </w:tcBorders>
            <w:shd w:val="clear" w:color="000000" w:fill="D9D9D9"/>
            <w:noWrap/>
            <w:vAlign w:val="bottom"/>
            <w:hideMark/>
          </w:tcPr>
          <w:p w:rsidR="005A2B6B" w:rsidRPr="006B3656" w:rsidRDefault="005A2B6B" w:rsidP="00E46AC5">
            <w:pPr>
              <w:rPr>
                <w:b/>
                <w:bCs/>
                <w:sz w:val="20"/>
                <w:szCs w:val="20"/>
                <w:u w:val="single"/>
              </w:rPr>
            </w:pPr>
          </w:p>
        </w:tc>
        <w:tc>
          <w:tcPr>
            <w:tcW w:w="1926" w:type="dxa"/>
            <w:tcBorders>
              <w:top w:val="nil"/>
              <w:left w:val="nil"/>
              <w:bottom w:val="nil"/>
              <w:right w:val="nil"/>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PHASE I</w:t>
            </w:r>
          </w:p>
        </w:tc>
        <w:tc>
          <w:tcPr>
            <w:tcW w:w="2754" w:type="dxa"/>
            <w:tcBorders>
              <w:top w:val="nil"/>
              <w:left w:val="nil"/>
              <w:bottom w:val="nil"/>
              <w:right w:val="single" w:sz="8" w:space="0" w:color="auto"/>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PHASE II</w:t>
            </w:r>
          </w:p>
        </w:tc>
      </w:tr>
      <w:tr w:rsidR="005A2B6B" w:rsidRPr="006B3656" w:rsidTr="008A2D65">
        <w:trPr>
          <w:trHeight w:val="315"/>
        </w:trPr>
        <w:tc>
          <w:tcPr>
            <w:tcW w:w="4785" w:type="dxa"/>
            <w:tcBorders>
              <w:top w:val="nil"/>
              <w:left w:val="single" w:sz="8" w:space="0" w:color="000000"/>
              <w:bottom w:val="single" w:sz="8" w:space="0" w:color="000000"/>
              <w:right w:val="nil"/>
            </w:tcBorders>
            <w:shd w:val="clear" w:color="000000" w:fill="D9D9D9"/>
            <w:noWrap/>
            <w:vAlign w:val="bottom"/>
            <w:hideMark/>
          </w:tcPr>
          <w:p w:rsidR="005A2B6B" w:rsidRPr="006B3656" w:rsidRDefault="005A2B6B" w:rsidP="00E46AC5">
            <w:pPr>
              <w:rPr>
                <w:b/>
                <w:bCs/>
                <w:sz w:val="20"/>
                <w:szCs w:val="20"/>
                <w:u w:val="single"/>
              </w:rPr>
            </w:pPr>
          </w:p>
        </w:tc>
        <w:tc>
          <w:tcPr>
            <w:tcW w:w="1926" w:type="dxa"/>
            <w:tcBorders>
              <w:top w:val="nil"/>
              <w:left w:val="nil"/>
              <w:bottom w:val="single" w:sz="8" w:space="0" w:color="000000"/>
              <w:right w:val="nil"/>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RATES</w:t>
            </w:r>
          </w:p>
        </w:tc>
        <w:tc>
          <w:tcPr>
            <w:tcW w:w="2754" w:type="dxa"/>
            <w:tcBorders>
              <w:top w:val="nil"/>
              <w:left w:val="nil"/>
              <w:bottom w:val="single" w:sz="8" w:space="0" w:color="000000"/>
              <w:right w:val="single" w:sz="8" w:space="0" w:color="auto"/>
            </w:tcBorders>
            <w:shd w:val="clear" w:color="000000" w:fill="D9D9D9"/>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RATES</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sz w:val="20"/>
                <w:szCs w:val="20"/>
                <w:u w:val="single"/>
              </w:rPr>
            </w:pPr>
            <w:r w:rsidRPr="006B3656">
              <w:rPr>
                <w:b/>
                <w:bCs/>
                <w:sz w:val="20"/>
                <w:szCs w:val="20"/>
                <w:u w:val="single"/>
              </w:rPr>
              <w:t>Residential</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 </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Base Facility Charge - All Meter Sizes</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 xml:space="preserve">Charge Per 1,000 gallons </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$22.83 </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$25.05</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8,000 gallon cap</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$4.94 </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$5.68</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 </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Flat Rate Service</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$35.78 </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$37.32</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u w:val="single"/>
              </w:rPr>
            </w:pPr>
            <w:r w:rsidRPr="006B3656">
              <w:rPr>
                <w:color w:val="000000"/>
                <w:sz w:val="20"/>
                <w:szCs w:val="20"/>
                <w:u w:val="single"/>
              </w:rPr>
              <w:t> </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u w:val="single"/>
              </w:rPr>
            </w:pPr>
            <w:r w:rsidRPr="006B3656">
              <w:rPr>
                <w:b/>
                <w:bCs/>
                <w:color w:val="000000"/>
                <w:sz w:val="20"/>
                <w:szCs w:val="20"/>
                <w:u w:val="single"/>
              </w:rPr>
              <w:t>General Service</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center"/>
              <w:rPr>
                <w:b/>
                <w:bCs/>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center"/>
              <w:rPr>
                <w:b/>
                <w:bCs/>
                <w:color w:val="000000"/>
                <w:sz w:val="20"/>
                <w:szCs w:val="20"/>
              </w:rPr>
            </w:pPr>
            <w:r w:rsidRPr="006B3656">
              <w:rPr>
                <w:b/>
                <w:bCs/>
                <w:color w:val="000000"/>
                <w:sz w:val="20"/>
                <w:szCs w:val="20"/>
              </w:rPr>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Base Facility Charge by Meter Size</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5/8" x 3/4"</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$22.83</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$25.05</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3/4"</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$34.25</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$37.58</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1"</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$57.08</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$62.63</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1-1/2"</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$114.15</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$125.25</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2"</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$182.64</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$200.40</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3"</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$365.28</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$400.80</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4"</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$570.75</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$626.25</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6"</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$1,141.50</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$1,252.50</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 </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 xml:space="preserve">Charge per 1,000 gallons - General Service </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$5.94</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sz w:val="20"/>
                <w:szCs w:val="20"/>
              </w:rPr>
            </w:pPr>
            <w:r w:rsidRPr="006B3656">
              <w:rPr>
                <w:sz w:val="20"/>
                <w:szCs w:val="20"/>
              </w:rPr>
              <w:t>$6.81</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sz w:val="20"/>
                <w:szCs w:val="20"/>
              </w:rPr>
            </w:pPr>
            <w:r w:rsidRPr="006B3656">
              <w:rPr>
                <w:sz w:val="20"/>
                <w:szCs w:val="20"/>
              </w:rPr>
              <w:t> </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rPr>
                <w:sz w:val="20"/>
                <w:szCs w:val="20"/>
              </w:rPr>
            </w:pPr>
            <w:r w:rsidRPr="006B3656">
              <w:rPr>
                <w:sz w:val="20"/>
                <w:szCs w:val="20"/>
              </w:rPr>
              <w:t> </w:t>
            </w:r>
          </w:p>
        </w:tc>
      </w:tr>
      <w:tr w:rsidR="005A2B6B" w:rsidRPr="006B3656" w:rsidTr="008A2D65">
        <w:trPr>
          <w:trHeight w:val="315"/>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r w:rsidRPr="006B3656">
              <w:t> </w:t>
            </w:r>
          </w:p>
        </w:tc>
        <w:tc>
          <w:tcPr>
            <w:tcW w:w="1926" w:type="dxa"/>
            <w:tcBorders>
              <w:top w:val="nil"/>
              <w:left w:val="nil"/>
              <w:bottom w:val="nil"/>
              <w:right w:val="nil"/>
            </w:tcBorders>
            <w:shd w:val="clear" w:color="auto" w:fill="auto"/>
            <w:noWrap/>
            <w:vAlign w:val="bottom"/>
            <w:hideMark/>
          </w:tcPr>
          <w:p w:rsidR="005A2B6B" w:rsidRPr="006B3656" w:rsidRDefault="005A2B6B" w:rsidP="00E46AC5"/>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r w:rsidRPr="006B3656">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b/>
                <w:bCs/>
                <w:color w:val="000000"/>
                <w:sz w:val="20"/>
                <w:szCs w:val="20"/>
                <w:u w:val="single"/>
              </w:rPr>
            </w:pPr>
            <w:r w:rsidRPr="006B3656">
              <w:rPr>
                <w:b/>
                <w:bCs/>
                <w:color w:val="000000"/>
                <w:sz w:val="20"/>
                <w:szCs w:val="20"/>
                <w:u w:val="single"/>
              </w:rPr>
              <w:t>Typical Residential 5/8" x 3/4" Meter Bill Comparison</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2,000 Gallons</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$32.71 </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$36.41 </w:t>
            </w:r>
          </w:p>
        </w:tc>
      </w:tr>
      <w:tr w:rsidR="005A2B6B" w:rsidRPr="006B3656" w:rsidTr="008A2D65">
        <w:trPr>
          <w:trHeight w:val="300"/>
        </w:trPr>
        <w:tc>
          <w:tcPr>
            <w:tcW w:w="4785" w:type="dxa"/>
            <w:tcBorders>
              <w:top w:val="nil"/>
              <w:left w:val="single" w:sz="8" w:space="0" w:color="000000"/>
              <w:bottom w:val="nil"/>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6,000 Gallons</w:t>
            </w:r>
          </w:p>
        </w:tc>
        <w:tc>
          <w:tcPr>
            <w:tcW w:w="1926" w:type="dxa"/>
            <w:tcBorders>
              <w:top w:val="nil"/>
              <w:left w:val="nil"/>
              <w:bottom w:val="nil"/>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$52.47 </w:t>
            </w:r>
          </w:p>
        </w:tc>
        <w:tc>
          <w:tcPr>
            <w:tcW w:w="2754" w:type="dxa"/>
            <w:tcBorders>
              <w:top w:val="nil"/>
              <w:left w:val="nil"/>
              <w:bottom w:val="nil"/>
              <w:right w:val="single" w:sz="8" w:space="0" w:color="auto"/>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$59.13 </w:t>
            </w:r>
          </w:p>
        </w:tc>
      </w:tr>
      <w:tr w:rsidR="005A2B6B" w:rsidRPr="006B3656" w:rsidTr="008A2D65">
        <w:trPr>
          <w:trHeight w:val="315"/>
        </w:trPr>
        <w:tc>
          <w:tcPr>
            <w:tcW w:w="4785" w:type="dxa"/>
            <w:tcBorders>
              <w:top w:val="nil"/>
              <w:left w:val="single" w:sz="8" w:space="0" w:color="000000"/>
              <w:bottom w:val="single" w:sz="8" w:space="0" w:color="000000"/>
              <w:right w:val="nil"/>
            </w:tcBorders>
            <w:shd w:val="clear" w:color="auto" w:fill="auto"/>
            <w:noWrap/>
            <w:vAlign w:val="bottom"/>
            <w:hideMark/>
          </w:tcPr>
          <w:p w:rsidR="005A2B6B" w:rsidRPr="006B3656" w:rsidRDefault="005A2B6B" w:rsidP="00E46AC5">
            <w:pPr>
              <w:rPr>
                <w:color w:val="000000"/>
                <w:sz w:val="20"/>
                <w:szCs w:val="20"/>
              </w:rPr>
            </w:pPr>
            <w:r w:rsidRPr="006B3656">
              <w:rPr>
                <w:color w:val="000000"/>
                <w:sz w:val="20"/>
                <w:szCs w:val="20"/>
              </w:rPr>
              <w:t>8,000 Gallons</w:t>
            </w:r>
          </w:p>
        </w:tc>
        <w:tc>
          <w:tcPr>
            <w:tcW w:w="1926" w:type="dxa"/>
            <w:tcBorders>
              <w:top w:val="nil"/>
              <w:left w:val="nil"/>
              <w:bottom w:val="single" w:sz="8" w:space="0" w:color="000000"/>
              <w:right w:val="nil"/>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$62.35 </w:t>
            </w:r>
          </w:p>
        </w:tc>
        <w:tc>
          <w:tcPr>
            <w:tcW w:w="2754" w:type="dxa"/>
            <w:tcBorders>
              <w:top w:val="nil"/>
              <w:left w:val="nil"/>
              <w:bottom w:val="single" w:sz="8" w:space="0" w:color="000000"/>
              <w:right w:val="single" w:sz="8" w:space="0" w:color="auto"/>
            </w:tcBorders>
            <w:shd w:val="clear" w:color="auto" w:fill="auto"/>
            <w:noWrap/>
            <w:vAlign w:val="bottom"/>
            <w:hideMark/>
          </w:tcPr>
          <w:p w:rsidR="005A2B6B" w:rsidRPr="006B3656" w:rsidRDefault="005A2B6B" w:rsidP="00E46AC5">
            <w:pPr>
              <w:jc w:val="right"/>
              <w:rPr>
                <w:color w:val="000000"/>
                <w:sz w:val="20"/>
                <w:szCs w:val="20"/>
              </w:rPr>
            </w:pPr>
            <w:r w:rsidRPr="006B3656">
              <w:rPr>
                <w:color w:val="000000"/>
                <w:sz w:val="20"/>
                <w:szCs w:val="20"/>
              </w:rPr>
              <w:t xml:space="preserve">$70.49 </w:t>
            </w:r>
          </w:p>
        </w:tc>
      </w:tr>
    </w:tbl>
    <w:p w:rsidR="002C1EFF" w:rsidRPr="00321A1F" w:rsidRDefault="002C1EFF" w:rsidP="002C1EFF">
      <w:pPr>
        <w:spacing w:after="240"/>
        <w:jc w:val="both"/>
        <w:sectPr w:rsidR="002C1EFF" w:rsidRPr="00321A1F" w:rsidSect="00EC6608">
          <w:pgSz w:w="12240" w:h="15840" w:code="1"/>
          <w:pgMar w:top="1584" w:right="1440" w:bottom="1440" w:left="1440" w:header="720" w:footer="720" w:gutter="0"/>
          <w:cols w:space="720"/>
          <w:formProt w:val="0"/>
          <w:docGrid w:linePitch="360"/>
        </w:sectPr>
      </w:pPr>
    </w:p>
    <w:p w:rsidR="002C1EFF" w:rsidRPr="00321A1F" w:rsidRDefault="003C3455" w:rsidP="002C1EFF">
      <w:pPr>
        <w:spacing w:after="240"/>
        <w:jc w:val="both"/>
      </w:pPr>
      <w:r>
        <w:lastRenderedPageBreak/>
        <w:t>ATTACHMENT A</w:t>
      </w:r>
    </w:p>
    <w:p w:rsidR="002C1EFF" w:rsidRPr="00321A1F" w:rsidRDefault="002C1EFF" w:rsidP="002C1EFF">
      <w:pPr>
        <w:spacing w:after="240"/>
        <w:jc w:val="both"/>
      </w:pPr>
      <w:r w:rsidRPr="00321A1F">
        <w:rPr>
          <w:noProof/>
        </w:rPr>
        <w:drawing>
          <wp:inline distT="0" distB="0" distL="0" distR="0" wp14:anchorId="526A7AEA" wp14:editId="59FA355A">
            <wp:extent cx="8138160" cy="3543300"/>
            <wp:effectExtent l="0" t="0" r="0"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38160" cy="3543300"/>
                    </a:xfrm>
                    <a:prstGeom prst="rect">
                      <a:avLst/>
                    </a:prstGeom>
                    <a:noFill/>
                    <a:ln>
                      <a:noFill/>
                    </a:ln>
                  </pic:spPr>
                </pic:pic>
              </a:graphicData>
            </a:graphic>
          </wp:inline>
        </w:drawing>
      </w:r>
    </w:p>
    <w:sectPr w:rsidR="002C1EFF" w:rsidRPr="00321A1F" w:rsidSect="002C1EFF">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5A" w:rsidRDefault="005E745A">
      <w:r>
        <w:separator/>
      </w:r>
    </w:p>
  </w:endnote>
  <w:endnote w:type="continuationSeparator" w:id="0">
    <w:p w:rsidR="005E745A" w:rsidRDefault="005E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ddingText BT">
    <w:panose1 w:val="03040702040608040804"/>
    <w:charset w:val="00"/>
    <w:family w:val="script"/>
    <w:pitch w:val="variable"/>
    <w:sig w:usb0="00000087" w:usb1="00000000" w:usb2="00000000" w:usb3="00000000" w:csb0="0000001B"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5A" w:rsidRDefault="005E745A">
    <w:pPr>
      <w:pStyle w:val="Footer"/>
    </w:pPr>
  </w:p>
  <w:p w:rsidR="005E745A" w:rsidRDefault="005E7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5A" w:rsidRDefault="005E745A" w:rsidP="000E2B64">
    <w:pPr>
      <w:pStyle w:val="Footer"/>
      <w:tabs>
        <w:tab w:val="clear" w:pos="4320"/>
      </w:tabs>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5A" w:rsidRDefault="005E745A">
      <w:r>
        <w:separator/>
      </w:r>
    </w:p>
  </w:footnote>
  <w:footnote w:type="continuationSeparator" w:id="0">
    <w:p w:rsidR="005E745A" w:rsidRDefault="005E745A">
      <w:r>
        <w:continuationSeparator/>
      </w:r>
    </w:p>
  </w:footnote>
  <w:footnote w:id="1">
    <w:p w:rsidR="005E745A" w:rsidRDefault="005E745A">
      <w:pPr>
        <w:pStyle w:val="FootnoteText"/>
      </w:pPr>
      <w:r>
        <w:rPr>
          <w:rStyle w:val="FootnoteReference"/>
        </w:rPr>
        <w:footnoteRef/>
      </w:r>
      <w:r>
        <w:t xml:space="preserve"> </w:t>
      </w:r>
      <w:r w:rsidRPr="009A14BE">
        <w:rPr>
          <w:i/>
        </w:rPr>
        <w:t>See</w:t>
      </w:r>
      <w:r>
        <w:t xml:space="preserve"> our staff‘s recommendation filed in this docket on September 29, 2016, (Document No. 07853-16) and revised on October 20, 2016, (Document No. 08364) at pp. 3-6.</w:t>
      </w:r>
    </w:p>
  </w:footnote>
  <w:footnote w:id="2">
    <w:p w:rsidR="005E745A" w:rsidRPr="00492FC1" w:rsidRDefault="005E745A" w:rsidP="002C1EFF">
      <w:pPr>
        <w:pStyle w:val="FootnoteText"/>
        <w:rPr>
          <w:i/>
        </w:rPr>
      </w:pPr>
      <w:r>
        <w:rPr>
          <w:rStyle w:val="FootnoteReference"/>
        </w:rPr>
        <w:footnoteRef/>
      </w:r>
      <w:r w:rsidRPr="00E46AC5">
        <w:rPr>
          <w:i/>
        </w:rPr>
        <w:t>See</w:t>
      </w:r>
      <w:r>
        <w:t xml:space="preserve"> </w:t>
      </w:r>
      <w:r w:rsidRPr="00DB244A">
        <w:t>Order No</w:t>
      </w:r>
      <w:r>
        <w:t>s</w:t>
      </w:r>
      <w:r w:rsidRPr="00DB244A">
        <w:t>. PSC-</w:t>
      </w:r>
      <w:r>
        <w:t>95</w:t>
      </w:r>
      <w:r w:rsidRPr="00DB244A">
        <w:t>-</w:t>
      </w:r>
      <w:r>
        <w:t>1417</w:t>
      </w:r>
      <w:r w:rsidRPr="00DB244A">
        <w:t>-</w:t>
      </w:r>
      <w:r>
        <w:t>FOF</w:t>
      </w:r>
      <w:r w:rsidRPr="00DB244A">
        <w:t xml:space="preserve">-WS, issued </w:t>
      </w:r>
      <w:r>
        <w:t>November 21</w:t>
      </w:r>
      <w:r w:rsidRPr="00DB244A">
        <w:t xml:space="preserve">, </w:t>
      </w:r>
      <w:r>
        <w:t>1995</w:t>
      </w:r>
      <w:r w:rsidRPr="00DB244A">
        <w:t xml:space="preserve">, in Docket No. </w:t>
      </w:r>
      <w:r>
        <w:t>941234</w:t>
      </w:r>
      <w:r w:rsidRPr="00DB244A">
        <w:t>-WS,</w:t>
      </w:r>
      <w:r w:rsidRPr="00DD163E">
        <w:rPr>
          <w:i/>
        </w:rPr>
        <w:t xml:space="preserve"> In re:</w:t>
      </w:r>
      <w:r w:rsidRPr="00DB244A">
        <w:rPr>
          <w:rFonts w:ascii="TimesNewRoman" w:eastAsia="TimesNewRoman" w:cs="TimesNewRoman"/>
        </w:rPr>
        <w:t xml:space="preserve"> </w:t>
      </w:r>
      <w:r>
        <w:rPr>
          <w:i/>
        </w:rPr>
        <w:t xml:space="preserve">Application for staff-assisted rate case in Brevard County by </w:t>
      </w:r>
      <w:r w:rsidRPr="005737ED">
        <w:rPr>
          <w:i/>
        </w:rPr>
        <w:t>Aquarina</w:t>
      </w:r>
      <w:r>
        <w:rPr>
          <w:i/>
        </w:rPr>
        <w:t xml:space="preserve"> Developments</w:t>
      </w:r>
      <w:r w:rsidRPr="005737ED">
        <w:rPr>
          <w:i/>
        </w:rPr>
        <w:t>, Inc.</w:t>
      </w:r>
      <w:r>
        <w:t xml:space="preserve"> and PSC-03-1342-PAA-WS, issued November 24, 2003, in Docket No. 021228-WS, </w:t>
      </w:r>
      <w:r>
        <w:rPr>
          <w:i/>
        </w:rPr>
        <w:t>In re: Application for staff-assisted rate case in Brevard County by Service Management Systems, Inc.</w:t>
      </w:r>
    </w:p>
  </w:footnote>
  <w:footnote w:id="3">
    <w:p w:rsidR="005E745A" w:rsidRDefault="005E745A" w:rsidP="002C1EFF">
      <w:pPr>
        <w:pStyle w:val="FootnoteText"/>
      </w:pPr>
      <w:r>
        <w:rPr>
          <w:rStyle w:val="FootnoteReference"/>
        </w:rPr>
        <w:footnoteRef/>
      </w:r>
      <w:r w:rsidRPr="00E46AC5">
        <w:rPr>
          <w:i/>
        </w:rPr>
        <w:t>See</w:t>
      </w:r>
      <w:r>
        <w:t xml:space="preserve"> Order No</w:t>
      </w:r>
      <w:r w:rsidRPr="00DA0F4A">
        <w:t xml:space="preserve">. PSC-95-1417-FOF-WS, issued November 21, 1995, in Docket No. 941234-WS, </w:t>
      </w:r>
      <w:r w:rsidRPr="00DA0F4A">
        <w:rPr>
          <w:i/>
        </w:rPr>
        <w:t>In re: Application for staff-assisted rate case in Brevard County by Aquarina Developments, Inc.</w:t>
      </w:r>
    </w:p>
  </w:footnote>
  <w:footnote w:id="4">
    <w:p w:rsidR="005E745A" w:rsidRPr="00AE1D09" w:rsidRDefault="005E745A" w:rsidP="00072848">
      <w:pPr>
        <w:pStyle w:val="FootnoteText"/>
        <w:rPr>
          <w:i/>
        </w:rPr>
      </w:pPr>
      <w:r>
        <w:rPr>
          <w:rStyle w:val="FootnoteReference"/>
        </w:rPr>
        <w:footnoteRef/>
      </w:r>
      <w:r w:rsidRPr="003321FD">
        <w:rPr>
          <w:i/>
        </w:rPr>
        <w:t>See</w:t>
      </w:r>
      <w:r>
        <w:t xml:space="preserve"> </w:t>
      </w:r>
      <w:r w:rsidRPr="00321A1F">
        <w:t>Order No. PSC-96-0357-FOF-WU</w:t>
      </w:r>
      <w:r>
        <w:t>, i</w:t>
      </w:r>
      <w:r w:rsidRPr="0073059C">
        <w:t>ssued March 13, 1996, in Docket No. 950641-WU,</w:t>
      </w:r>
      <w:r w:rsidRPr="00D074E9">
        <w:rPr>
          <w:i/>
        </w:rPr>
        <w:t xml:space="preserve"> In re: </w:t>
      </w:r>
      <w:r w:rsidRPr="00AE1D09">
        <w:rPr>
          <w:i/>
        </w:rPr>
        <w:t>Application for staff-assisted rate case in Palm Beach County by Lake Osborne Utilities Company, Inc</w:t>
      </w:r>
      <w:r>
        <w:rPr>
          <w:i/>
        </w:rPr>
        <w:t>;</w:t>
      </w:r>
      <w:r w:rsidRPr="00AE1D09">
        <w:rPr>
          <w:i/>
        </w:rPr>
        <w:t>.</w:t>
      </w:r>
      <w:r w:rsidRPr="003321FD">
        <w:t xml:space="preserve"> </w:t>
      </w:r>
      <w:r w:rsidRPr="00321A1F">
        <w:t>Order No. PSC-97-0130-FOF-SU</w:t>
      </w:r>
      <w:r w:rsidRPr="0073059C">
        <w:t xml:space="preserve"> </w:t>
      </w:r>
      <w:r>
        <w:t>, i</w:t>
      </w:r>
      <w:r w:rsidRPr="0073059C">
        <w:t xml:space="preserve">ssued February 10, 1997, in Docket No. 960561-SU, </w:t>
      </w:r>
      <w:r w:rsidRPr="00D074E9">
        <w:rPr>
          <w:i/>
        </w:rPr>
        <w:t>In re: Ap</w:t>
      </w:r>
      <w:r w:rsidRPr="00AE1D09">
        <w:rPr>
          <w:i/>
        </w:rPr>
        <w:t>plication for staff-assisted rate case in Citrus County by Indian Springs Utilities, Inc.</w:t>
      </w:r>
      <w:r>
        <w:rPr>
          <w:i/>
        </w:rPr>
        <w:t xml:space="preserve">; </w:t>
      </w:r>
      <w:r w:rsidRPr="00321A1F">
        <w:t>Order No. PSC-15-0535-PAA-WU</w:t>
      </w:r>
      <w:r>
        <w:t>, i</w:t>
      </w:r>
      <w:r w:rsidRPr="0073059C">
        <w:t xml:space="preserve">ssued </w:t>
      </w:r>
      <w:r>
        <w:t>November 19, 2015, in Docket No. 140217</w:t>
      </w:r>
      <w:r w:rsidRPr="0073059C">
        <w:t>-</w:t>
      </w:r>
      <w:r>
        <w:t>W</w:t>
      </w:r>
      <w:r w:rsidRPr="0073059C">
        <w:t>U,</w:t>
      </w:r>
      <w:r w:rsidRPr="00D074E9">
        <w:rPr>
          <w:i/>
        </w:rPr>
        <w:t xml:space="preserve"> In re: Appli</w:t>
      </w:r>
      <w:r w:rsidRPr="00AE1D09">
        <w:rPr>
          <w:i/>
        </w:rPr>
        <w:t xml:space="preserve">cation for staff-assisted rate case in </w:t>
      </w:r>
      <w:r>
        <w:rPr>
          <w:i/>
        </w:rPr>
        <w:t>Sumter</w:t>
      </w:r>
      <w:r w:rsidRPr="00AE1D09">
        <w:rPr>
          <w:i/>
        </w:rPr>
        <w:t xml:space="preserve"> County </w:t>
      </w:r>
      <w:r>
        <w:rPr>
          <w:i/>
        </w:rPr>
        <w:t>by Cedar Acres, Inc</w:t>
      </w:r>
      <w:r w:rsidRPr="00AE1D09">
        <w:rPr>
          <w:i/>
        </w:rPr>
        <w:t>.</w:t>
      </w:r>
    </w:p>
  </w:footnote>
  <w:footnote w:id="5">
    <w:p w:rsidR="005E745A" w:rsidRDefault="005E745A" w:rsidP="00603050">
      <w:pPr>
        <w:pStyle w:val="FootnoteText"/>
      </w:pPr>
      <w:r>
        <w:rPr>
          <w:rStyle w:val="FootnoteReference"/>
        </w:rPr>
        <w:footnoteRef/>
      </w:r>
      <w:r>
        <w:t xml:space="preserve"> </w:t>
      </w:r>
      <w:r w:rsidRPr="00FB4846">
        <w:rPr>
          <w:i/>
        </w:rPr>
        <w:t>Id.</w:t>
      </w:r>
    </w:p>
  </w:footnote>
  <w:footnote w:id="6">
    <w:p w:rsidR="005E745A" w:rsidRDefault="005E745A" w:rsidP="00B63C28">
      <w:pPr>
        <w:pStyle w:val="FootnoteText"/>
      </w:pPr>
      <w:r>
        <w:rPr>
          <w:rStyle w:val="FootnoteReference"/>
        </w:rPr>
        <w:footnoteRef/>
      </w:r>
      <w:r>
        <w:t>Section 367.0816, F.S., was repealed effective July 1, 2016. The Statute was in effect at the time Aquarina filed its staff-assisted rate case, therefore, the Statute applies.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5A" w:rsidRDefault="005E745A">
    <w:pPr>
      <w:pStyle w:val="Header"/>
    </w:pPr>
  </w:p>
  <w:p w:rsidR="005E745A" w:rsidRDefault="005E7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5A" w:rsidRDefault="005E745A">
    <w:pPr>
      <w:pStyle w:val="OrderHeader"/>
    </w:pPr>
    <w:r>
      <w:t xml:space="preserve">ORDER NO. </w:t>
    </w:r>
    <w:fldSimple w:instr=" REF OrderNo0583 ">
      <w:r w:rsidR="004E730C">
        <w:t>PSC-16-0583-PAA-WS</w:t>
      </w:r>
    </w:fldSimple>
  </w:p>
  <w:p w:rsidR="005E745A" w:rsidRDefault="005E745A">
    <w:pPr>
      <w:pStyle w:val="OrderHeader"/>
    </w:pPr>
    <w:bookmarkStart w:id="10" w:name="HeaderDocketNo"/>
    <w:bookmarkEnd w:id="10"/>
    <w:r>
      <w:t>DOCKET NO. 150010-WS</w:t>
    </w:r>
  </w:p>
  <w:p w:rsidR="005E745A" w:rsidRDefault="005E74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730C">
      <w:rPr>
        <w:rStyle w:val="PageNumber"/>
        <w:noProof/>
      </w:rPr>
      <w:t>70</w:t>
    </w:r>
    <w:r>
      <w:rPr>
        <w:rStyle w:val="PageNumber"/>
      </w:rPr>
      <w:fldChar w:fldCharType="end"/>
    </w:r>
  </w:p>
  <w:p w:rsidR="005E745A" w:rsidRDefault="005E7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7A30D57"/>
    <w:multiLevelType w:val="hybridMultilevel"/>
    <w:tmpl w:val="533A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01007"/>
    <w:multiLevelType w:val="hybridMultilevel"/>
    <w:tmpl w:val="D140F9A0"/>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F14565"/>
    <w:multiLevelType w:val="hybridMultilevel"/>
    <w:tmpl w:val="BCF8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A6E0C"/>
    <w:multiLevelType w:val="hybridMultilevel"/>
    <w:tmpl w:val="0414CD8A"/>
    <w:lvl w:ilvl="0" w:tplc="0B2C11F4">
      <w:start w:val="1"/>
      <w:numFmt w:val="decimal"/>
      <w:lvlText w:val="%1)"/>
      <w:lvlJc w:val="left"/>
      <w:pPr>
        <w:tabs>
          <w:tab w:val="num" w:pos="144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08E6660"/>
    <w:multiLevelType w:val="hybridMultilevel"/>
    <w:tmpl w:val="82346AF0"/>
    <w:lvl w:ilvl="0" w:tplc="8D86DD82">
      <w:start w:val="1"/>
      <w:numFmt w:val="bullet"/>
      <w:lvlText w:val="-"/>
      <w:lvlJc w:val="left"/>
      <w:pPr>
        <w:ind w:left="5160" w:hanging="360"/>
      </w:pPr>
      <w:rPr>
        <w:rFonts w:ascii="Times New Roman" w:eastAsia="Times New Roman" w:hAnsi="Times New Roman" w:cs="Times New Roman"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16">
    <w:nsid w:val="38B35783"/>
    <w:multiLevelType w:val="hybridMultilevel"/>
    <w:tmpl w:val="412800A8"/>
    <w:lvl w:ilvl="0" w:tplc="A18614A4">
      <w:numFmt w:val="bullet"/>
      <w:lvlText w:val="-"/>
      <w:lvlJc w:val="left"/>
      <w:pPr>
        <w:ind w:left="5490" w:hanging="360"/>
      </w:pPr>
      <w:rPr>
        <w:rFonts w:ascii="Times New Roman" w:eastAsia="Times New Roman" w:hAnsi="Times New Roman" w:cs="Times New Roman"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7">
    <w:nsid w:val="3C194AC0"/>
    <w:multiLevelType w:val="hybridMultilevel"/>
    <w:tmpl w:val="C406D768"/>
    <w:lvl w:ilvl="0" w:tplc="04090011">
      <w:start w:val="1"/>
      <w:numFmt w:val="decimal"/>
      <w:pStyle w:val="Heading1"/>
      <w:lvlText w:val="%1)"/>
      <w:lvlJc w:val="left"/>
      <w:pPr>
        <w:ind w:left="720" w:hanging="360"/>
      </w:pPr>
      <w:rPr>
        <w:rFonts w:hint="default"/>
        <w:color w:val="000000"/>
        <w:sz w:val="24"/>
        <w:szCs w:val="24"/>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8">
    <w:nsid w:val="519041AB"/>
    <w:multiLevelType w:val="hybridMultilevel"/>
    <w:tmpl w:val="4C304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75B90"/>
    <w:multiLevelType w:val="multilevel"/>
    <w:tmpl w:val="9E26B4E8"/>
    <w:numStyleLink w:val="ArticleSection"/>
  </w:abstractNum>
  <w:abstractNum w:abstractNumId="20">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0E33D0E"/>
    <w:multiLevelType w:val="hybridMultilevel"/>
    <w:tmpl w:val="74D6A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2229E"/>
    <w:multiLevelType w:val="hybridMultilevel"/>
    <w:tmpl w:val="54E659AE"/>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F5AAF"/>
    <w:multiLevelType w:val="hybridMultilevel"/>
    <w:tmpl w:val="760C04E8"/>
    <w:lvl w:ilvl="0" w:tplc="044AE30A">
      <w:numFmt w:val="bullet"/>
      <w:lvlText w:val="-"/>
      <w:lvlJc w:val="left"/>
      <w:pPr>
        <w:ind w:left="5130" w:hanging="360"/>
      </w:pPr>
      <w:rPr>
        <w:rFonts w:ascii="Times New Roman" w:eastAsia="Times New Roman" w:hAnsi="Times New Roman" w:cs="Times New Roman"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25">
    <w:nsid w:val="74FC26BE"/>
    <w:multiLevelType w:val="hybridMultilevel"/>
    <w:tmpl w:val="CC5C943A"/>
    <w:lvl w:ilvl="0" w:tplc="E7C628AC">
      <w:start w:val="8"/>
      <w:numFmt w:val="decimal"/>
      <w:lvlText w:val="%1)"/>
      <w:lvlJc w:val="left"/>
      <w:pPr>
        <w:tabs>
          <w:tab w:val="num" w:pos="144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006DA4"/>
    <w:multiLevelType w:val="hybridMultilevel"/>
    <w:tmpl w:val="80E8E6CC"/>
    <w:lvl w:ilvl="0" w:tplc="50B6A710">
      <w:numFmt w:val="bullet"/>
      <w:lvlText w:val="-"/>
      <w:lvlJc w:val="left"/>
      <w:pPr>
        <w:ind w:left="5130" w:hanging="360"/>
      </w:pPr>
      <w:rPr>
        <w:rFonts w:ascii="Times New Roman" w:eastAsia="Times New Roman" w:hAnsi="Times New Roman" w:cs="Times New Roman"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27">
    <w:nsid w:val="7B960E42"/>
    <w:multiLevelType w:val="multilevel"/>
    <w:tmpl w:val="9E26B4E8"/>
    <w:numStyleLink w:val="ArticleSection"/>
  </w:abstractNum>
  <w:abstractNum w:abstractNumId="28">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3"/>
  </w:num>
  <w:num w:numId="13">
    <w:abstractNumId w:val="17"/>
  </w:num>
  <w:num w:numId="14">
    <w:abstractNumId w:val="24"/>
  </w:num>
  <w:num w:numId="15">
    <w:abstractNumId w:val="16"/>
  </w:num>
  <w:num w:numId="16">
    <w:abstractNumId w:val="26"/>
  </w:num>
  <w:num w:numId="17">
    <w:abstractNumId w:val="27"/>
  </w:num>
  <w:num w:numId="18">
    <w:abstractNumId w:val="21"/>
  </w:num>
  <w:num w:numId="19">
    <w:abstractNumId w:val="10"/>
  </w:num>
  <w:num w:numId="20">
    <w:abstractNumId w:val="19"/>
  </w:num>
  <w:num w:numId="21">
    <w:abstractNumId w:val="20"/>
  </w:num>
  <w:num w:numId="22">
    <w:abstractNumId w:val="14"/>
  </w:num>
  <w:num w:numId="23">
    <w:abstractNumId w:val="25"/>
  </w:num>
  <w:num w:numId="24">
    <w:abstractNumId w:val="18"/>
  </w:num>
  <w:num w:numId="25">
    <w:abstractNumId w:val="22"/>
  </w:num>
  <w:num w:numId="26">
    <w:abstractNumId w:val="13"/>
  </w:num>
  <w:num w:numId="27">
    <w:abstractNumId w:val="11"/>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10-WS"/>
  </w:docVars>
  <w:rsids>
    <w:rsidRoot w:val="00480720"/>
    <w:rsid w:val="000022B8"/>
    <w:rsid w:val="00032ADD"/>
    <w:rsid w:val="000412AA"/>
    <w:rsid w:val="00053AB9"/>
    <w:rsid w:val="00056229"/>
    <w:rsid w:val="00060D2D"/>
    <w:rsid w:val="00062CEC"/>
    <w:rsid w:val="00065FC2"/>
    <w:rsid w:val="00072848"/>
    <w:rsid w:val="00090AFC"/>
    <w:rsid w:val="00093725"/>
    <w:rsid w:val="0009641C"/>
    <w:rsid w:val="0009791D"/>
    <w:rsid w:val="000D06E8"/>
    <w:rsid w:val="000E2929"/>
    <w:rsid w:val="000E2B64"/>
    <w:rsid w:val="000E344D"/>
    <w:rsid w:val="000E500A"/>
    <w:rsid w:val="000F0CB2"/>
    <w:rsid w:val="000F3B2C"/>
    <w:rsid w:val="000F7BE3"/>
    <w:rsid w:val="00101ADE"/>
    <w:rsid w:val="00106479"/>
    <w:rsid w:val="00116AD3"/>
    <w:rsid w:val="00121F10"/>
    <w:rsid w:val="00124783"/>
    <w:rsid w:val="00126593"/>
    <w:rsid w:val="001266B1"/>
    <w:rsid w:val="00130284"/>
    <w:rsid w:val="0013152D"/>
    <w:rsid w:val="00142A96"/>
    <w:rsid w:val="001513EA"/>
    <w:rsid w:val="001617AE"/>
    <w:rsid w:val="0016326C"/>
    <w:rsid w:val="001768B4"/>
    <w:rsid w:val="00187E32"/>
    <w:rsid w:val="001907DE"/>
    <w:rsid w:val="00194E81"/>
    <w:rsid w:val="001A33C9"/>
    <w:rsid w:val="001A369F"/>
    <w:rsid w:val="001D008A"/>
    <w:rsid w:val="001D0E6A"/>
    <w:rsid w:val="001E0B46"/>
    <w:rsid w:val="001E3BE2"/>
    <w:rsid w:val="001F6558"/>
    <w:rsid w:val="002002ED"/>
    <w:rsid w:val="0022721A"/>
    <w:rsid w:val="00230BB9"/>
    <w:rsid w:val="00241CEF"/>
    <w:rsid w:val="00252B30"/>
    <w:rsid w:val="00275176"/>
    <w:rsid w:val="002774E0"/>
    <w:rsid w:val="002815DF"/>
    <w:rsid w:val="002A11AC"/>
    <w:rsid w:val="002A6F30"/>
    <w:rsid w:val="002B2F4B"/>
    <w:rsid w:val="002C1EFF"/>
    <w:rsid w:val="002D7D15"/>
    <w:rsid w:val="002E27EB"/>
    <w:rsid w:val="002E3503"/>
    <w:rsid w:val="002E37E8"/>
    <w:rsid w:val="00303FDE"/>
    <w:rsid w:val="003040F4"/>
    <w:rsid w:val="003140E8"/>
    <w:rsid w:val="003148A6"/>
    <w:rsid w:val="00321A1F"/>
    <w:rsid w:val="003231C7"/>
    <w:rsid w:val="00331ED0"/>
    <w:rsid w:val="003321FD"/>
    <w:rsid w:val="00332603"/>
    <w:rsid w:val="0034216E"/>
    <w:rsid w:val="00346B72"/>
    <w:rsid w:val="00346D93"/>
    <w:rsid w:val="00352BC0"/>
    <w:rsid w:val="0035495B"/>
    <w:rsid w:val="003744F5"/>
    <w:rsid w:val="00385CF5"/>
    <w:rsid w:val="00390DD8"/>
    <w:rsid w:val="00394DC6"/>
    <w:rsid w:val="00397C3E"/>
    <w:rsid w:val="003A2DD9"/>
    <w:rsid w:val="003A3871"/>
    <w:rsid w:val="003B153B"/>
    <w:rsid w:val="003C3455"/>
    <w:rsid w:val="003D4CCA"/>
    <w:rsid w:val="003D6416"/>
    <w:rsid w:val="003E1D48"/>
    <w:rsid w:val="003F51EA"/>
    <w:rsid w:val="00407D76"/>
    <w:rsid w:val="00417927"/>
    <w:rsid w:val="0042527B"/>
    <w:rsid w:val="004443AA"/>
    <w:rsid w:val="00445629"/>
    <w:rsid w:val="004555E1"/>
    <w:rsid w:val="00457DC7"/>
    <w:rsid w:val="00472BCC"/>
    <w:rsid w:val="00480720"/>
    <w:rsid w:val="00494D62"/>
    <w:rsid w:val="004A25CD"/>
    <w:rsid w:val="004A26CC"/>
    <w:rsid w:val="004A7667"/>
    <w:rsid w:val="004B2108"/>
    <w:rsid w:val="004B3A2B"/>
    <w:rsid w:val="004B691A"/>
    <w:rsid w:val="004C24D0"/>
    <w:rsid w:val="004D1E51"/>
    <w:rsid w:val="004D2D1B"/>
    <w:rsid w:val="004E5C23"/>
    <w:rsid w:val="004E730C"/>
    <w:rsid w:val="004F2DDE"/>
    <w:rsid w:val="0050097F"/>
    <w:rsid w:val="00514B1F"/>
    <w:rsid w:val="0053353B"/>
    <w:rsid w:val="00537C6D"/>
    <w:rsid w:val="00543081"/>
    <w:rsid w:val="00556A10"/>
    <w:rsid w:val="005963C2"/>
    <w:rsid w:val="005A2B6B"/>
    <w:rsid w:val="005B2E47"/>
    <w:rsid w:val="005B45F7"/>
    <w:rsid w:val="005B63EA"/>
    <w:rsid w:val="005C2291"/>
    <w:rsid w:val="005D06E9"/>
    <w:rsid w:val="005D5509"/>
    <w:rsid w:val="005E745A"/>
    <w:rsid w:val="005F252E"/>
    <w:rsid w:val="005F6B31"/>
    <w:rsid w:val="00603050"/>
    <w:rsid w:val="00605A2D"/>
    <w:rsid w:val="006336B2"/>
    <w:rsid w:val="00634DD1"/>
    <w:rsid w:val="00642221"/>
    <w:rsid w:val="00660774"/>
    <w:rsid w:val="00665CC7"/>
    <w:rsid w:val="006809CF"/>
    <w:rsid w:val="00685920"/>
    <w:rsid w:val="006A0BF3"/>
    <w:rsid w:val="006B0DA6"/>
    <w:rsid w:val="006C547E"/>
    <w:rsid w:val="006C7FBE"/>
    <w:rsid w:val="00704C5D"/>
    <w:rsid w:val="007135C0"/>
    <w:rsid w:val="00715275"/>
    <w:rsid w:val="00733B6B"/>
    <w:rsid w:val="0076170F"/>
    <w:rsid w:val="0076669C"/>
    <w:rsid w:val="007865E9"/>
    <w:rsid w:val="00792383"/>
    <w:rsid w:val="007A060F"/>
    <w:rsid w:val="007A16C4"/>
    <w:rsid w:val="007A48DC"/>
    <w:rsid w:val="007D3D20"/>
    <w:rsid w:val="007E3AFD"/>
    <w:rsid w:val="007E6086"/>
    <w:rsid w:val="007F08E9"/>
    <w:rsid w:val="007F5037"/>
    <w:rsid w:val="007F7A48"/>
    <w:rsid w:val="00803189"/>
    <w:rsid w:val="00804E7A"/>
    <w:rsid w:val="00805FBB"/>
    <w:rsid w:val="008106C2"/>
    <w:rsid w:val="008169A4"/>
    <w:rsid w:val="0081743A"/>
    <w:rsid w:val="00820602"/>
    <w:rsid w:val="00824021"/>
    <w:rsid w:val="008278FE"/>
    <w:rsid w:val="00832598"/>
    <w:rsid w:val="0083397E"/>
    <w:rsid w:val="0083534B"/>
    <w:rsid w:val="0084184D"/>
    <w:rsid w:val="00863A66"/>
    <w:rsid w:val="00867FD1"/>
    <w:rsid w:val="00874429"/>
    <w:rsid w:val="00883D9A"/>
    <w:rsid w:val="008919EF"/>
    <w:rsid w:val="00891EB0"/>
    <w:rsid w:val="008A2D65"/>
    <w:rsid w:val="008C0496"/>
    <w:rsid w:val="008C09DA"/>
    <w:rsid w:val="008C6A5B"/>
    <w:rsid w:val="008E26A5"/>
    <w:rsid w:val="008E42D2"/>
    <w:rsid w:val="0090246B"/>
    <w:rsid w:val="009040EE"/>
    <w:rsid w:val="009057FD"/>
    <w:rsid w:val="00911D90"/>
    <w:rsid w:val="00922A7F"/>
    <w:rsid w:val="00923A5E"/>
    <w:rsid w:val="00951364"/>
    <w:rsid w:val="009924CF"/>
    <w:rsid w:val="00994100"/>
    <w:rsid w:val="009A14BE"/>
    <w:rsid w:val="009A1BB2"/>
    <w:rsid w:val="009A6E10"/>
    <w:rsid w:val="009B0623"/>
    <w:rsid w:val="009B660A"/>
    <w:rsid w:val="009D4C29"/>
    <w:rsid w:val="00A11505"/>
    <w:rsid w:val="00A53FE1"/>
    <w:rsid w:val="00A54DDA"/>
    <w:rsid w:val="00A62DAB"/>
    <w:rsid w:val="00A631E6"/>
    <w:rsid w:val="00A726A6"/>
    <w:rsid w:val="00A83C7B"/>
    <w:rsid w:val="00A97535"/>
    <w:rsid w:val="00AA73F1"/>
    <w:rsid w:val="00AB0E1A"/>
    <w:rsid w:val="00AB1A30"/>
    <w:rsid w:val="00AC4E95"/>
    <w:rsid w:val="00AC6B9A"/>
    <w:rsid w:val="00AD1ED3"/>
    <w:rsid w:val="00AD521A"/>
    <w:rsid w:val="00AE5D34"/>
    <w:rsid w:val="00AF4C2F"/>
    <w:rsid w:val="00AF78EA"/>
    <w:rsid w:val="00B0777D"/>
    <w:rsid w:val="00B26992"/>
    <w:rsid w:val="00B4057A"/>
    <w:rsid w:val="00B40894"/>
    <w:rsid w:val="00B44103"/>
    <w:rsid w:val="00B45E75"/>
    <w:rsid w:val="00B50876"/>
    <w:rsid w:val="00B55EE5"/>
    <w:rsid w:val="00B63C28"/>
    <w:rsid w:val="00B6438C"/>
    <w:rsid w:val="00B67627"/>
    <w:rsid w:val="00B73DE6"/>
    <w:rsid w:val="00B86EF0"/>
    <w:rsid w:val="00B962A6"/>
    <w:rsid w:val="00B97900"/>
    <w:rsid w:val="00BA44A8"/>
    <w:rsid w:val="00BA687E"/>
    <w:rsid w:val="00BB4206"/>
    <w:rsid w:val="00BC647C"/>
    <w:rsid w:val="00BD6A27"/>
    <w:rsid w:val="00BD6EFD"/>
    <w:rsid w:val="00BF6691"/>
    <w:rsid w:val="00BF6FA1"/>
    <w:rsid w:val="00C028FC"/>
    <w:rsid w:val="00C05924"/>
    <w:rsid w:val="00C061F3"/>
    <w:rsid w:val="00C26A39"/>
    <w:rsid w:val="00C308D3"/>
    <w:rsid w:val="00C54788"/>
    <w:rsid w:val="00C66692"/>
    <w:rsid w:val="00C7660E"/>
    <w:rsid w:val="00C83728"/>
    <w:rsid w:val="00C91123"/>
    <w:rsid w:val="00CA5232"/>
    <w:rsid w:val="00CA526B"/>
    <w:rsid w:val="00CA71FF"/>
    <w:rsid w:val="00CB1B72"/>
    <w:rsid w:val="00CB5276"/>
    <w:rsid w:val="00CB68D7"/>
    <w:rsid w:val="00CC5F1C"/>
    <w:rsid w:val="00CC7E68"/>
    <w:rsid w:val="00CD58F9"/>
    <w:rsid w:val="00CD7132"/>
    <w:rsid w:val="00CE0E6F"/>
    <w:rsid w:val="00CF75BD"/>
    <w:rsid w:val="00D30B48"/>
    <w:rsid w:val="00D43389"/>
    <w:rsid w:val="00D46FAA"/>
    <w:rsid w:val="00D57BB2"/>
    <w:rsid w:val="00D82D09"/>
    <w:rsid w:val="00D84548"/>
    <w:rsid w:val="00D8560E"/>
    <w:rsid w:val="00D8758F"/>
    <w:rsid w:val="00DA2643"/>
    <w:rsid w:val="00DC118C"/>
    <w:rsid w:val="00DC1D94"/>
    <w:rsid w:val="00DD429C"/>
    <w:rsid w:val="00DE057F"/>
    <w:rsid w:val="00DE2082"/>
    <w:rsid w:val="00DE2289"/>
    <w:rsid w:val="00E04410"/>
    <w:rsid w:val="00E11351"/>
    <w:rsid w:val="00E1691D"/>
    <w:rsid w:val="00E253E6"/>
    <w:rsid w:val="00E46AC5"/>
    <w:rsid w:val="00E50DB4"/>
    <w:rsid w:val="00E547E4"/>
    <w:rsid w:val="00E64329"/>
    <w:rsid w:val="00E82418"/>
    <w:rsid w:val="00E90B57"/>
    <w:rsid w:val="00E928C7"/>
    <w:rsid w:val="00EA172C"/>
    <w:rsid w:val="00EA259B"/>
    <w:rsid w:val="00EA35A3"/>
    <w:rsid w:val="00EA3E6A"/>
    <w:rsid w:val="00EB18EF"/>
    <w:rsid w:val="00EC6608"/>
    <w:rsid w:val="00EE17DF"/>
    <w:rsid w:val="00EF4621"/>
    <w:rsid w:val="00EF6B81"/>
    <w:rsid w:val="00F01BBC"/>
    <w:rsid w:val="00F261F1"/>
    <w:rsid w:val="00F277B6"/>
    <w:rsid w:val="00F318F2"/>
    <w:rsid w:val="00F52D46"/>
    <w:rsid w:val="00F54380"/>
    <w:rsid w:val="00F54B47"/>
    <w:rsid w:val="00F70E84"/>
    <w:rsid w:val="00F944CE"/>
    <w:rsid w:val="00FA6AB4"/>
    <w:rsid w:val="00FA6EFD"/>
    <w:rsid w:val="00FB12B4"/>
    <w:rsid w:val="00FB2910"/>
    <w:rsid w:val="00FB4846"/>
    <w:rsid w:val="00FB74EA"/>
    <w:rsid w:val="00FD2C9E"/>
    <w:rsid w:val="00FD4786"/>
    <w:rsid w:val="00FD616C"/>
    <w:rsid w:val="00FE53F2"/>
    <w:rsid w:val="00FE7491"/>
    <w:rsid w:val="00FF09A5"/>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5" w:uiPriority="99"/>
    <w:lsdException w:name="toc 7" w:uiPriority="99"/>
    <w:lsdException w:name="toc 8" w:uiPriority="99"/>
    <w:lsdException w:name="footnote text" w:uiPriority="99"/>
    <w:lsdException w:name="annotation text" w:uiPriority="99"/>
    <w:lsdException w:name="index heading" w:uiPriority="99"/>
    <w:lsdException w:name="caption" w:semiHidden="1" w:unhideWhenUsed="1"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13"/>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3"/>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3"/>
      </w:numPr>
      <w:spacing w:after="240"/>
      <w:jc w:val="both"/>
      <w:outlineLvl w:val="2"/>
    </w:pPr>
  </w:style>
  <w:style w:type="paragraph" w:styleId="Heading4">
    <w:name w:val="heading 4"/>
    <w:basedOn w:val="Normal"/>
    <w:next w:val="Normal"/>
    <w:link w:val="Heading4Char"/>
    <w:qFormat/>
    <w:rsid w:val="00CD7132"/>
    <w:pPr>
      <w:keepNext/>
      <w:numPr>
        <w:ilvl w:val="3"/>
        <w:numId w:val="13"/>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3"/>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3"/>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3"/>
      </w:numPr>
      <w:spacing w:before="240" w:after="60"/>
      <w:outlineLvl w:val="6"/>
    </w:pPr>
  </w:style>
  <w:style w:type="paragraph" w:styleId="Heading8">
    <w:name w:val="heading 8"/>
    <w:basedOn w:val="Normal"/>
    <w:next w:val="Normal"/>
    <w:link w:val="Heading8Char"/>
    <w:qFormat/>
    <w:rsid w:val="00CD7132"/>
    <w:pPr>
      <w:numPr>
        <w:ilvl w:val="7"/>
        <w:numId w:val="13"/>
      </w:numPr>
      <w:spacing w:before="240" w:after="60"/>
      <w:outlineLvl w:val="7"/>
    </w:pPr>
    <w:rPr>
      <w:i/>
      <w:iCs/>
    </w:rPr>
  </w:style>
  <w:style w:type="paragraph" w:styleId="Heading9">
    <w:name w:val="heading 9"/>
    <w:basedOn w:val="Normal"/>
    <w:next w:val="Normal"/>
    <w:link w:val="Heading9Char"/>
    <w:qFormat/>
    <w:rsid w:val="00CD7132"/>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1"/>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480720"/>
    <w:pPr>
      <w:spacing w:before="120"/>
      <w:ind w:left="1008" w:hanging="1008"/>
      <w:jc w:val="both"/>
    </w:pPr>
  </w:style>
  <w:style w:type="paragraph" w:customStyle="1" w:styleId="MastHeadPSC">
    <w:name w:val="MastHead PSC"/>
    <w:basedOn w:val="Normal"/>
    <w:next w:val="Normal"/>
    <w:rsid w:val="00480720"/>
    <w:pPr>
      <w:jc w:val="center"/>
    </w:pPr>
    <w:rPr>
      <w:b/>
      <w:sz w:val="48"/>
      <w:szCs w:val="48"/>
    </w:rPr>
  </w:style>
  <w:style w:type="paragraph" w:customStyle="1" w:styleId="MastHeadMemorandum">
    <w:name w:val="MastHead Memorandum"/>
    <w:basedOn w:val="Normal"/>
    <w:next w:val="Normal"/>
    <w:rsid w:val="00480720"/>
    <w:pPr>
      <w:jc w:val="center"/>
    </w:pPr>
    <w:rPr>
      <w:b/>
      <w:sz w:val="28"/>
      <w:szCs w:val="28"/>
    </w:rPr>
  </w:style>
  <w:style w:type="paragraph" w:customStyle="1" w:styleId="MastHeadAddress">
    <w:name w:val="MastHead Address"/>
    <w:basedOn w:val="Normal"/>
    <w:next w:val="Normal"/>
    <w:rsid w:val="00480720"/>
    <w:pPr>
      <w:spacing w:after="200"/>
      <w:jc w:val="center"/>
    </w:pPr>
    <w:rPr>
      <w:b/>
      <w:smallCaps/>
      <w:sz w:val="20"/>
      <w:szCs w:val="20"/>
    </w:rPr>
  </w:style>
  <w:style w:type="paragraph" w:customStyle="1" w:styleId="MastHeadState">
    <w:name w:val="MastHead State"/>
    <w:basedOn w:val="Normal"/>
    <w:next w:val="Normal"/>
    <w:rsid w:val="00480720"/>
    <w:pPr>
      <w:jc w:val="center"/>
    </w:pPr>
    <w:rPr>
      <w:b/>
      <w:sz w:val="28"/>
      <w:szCs w:val="28"/>
    </w:rPr>
  </w:style>
  <w:style w:type="paragraph" w:customStyle="1" w:styleId="MemoHeading">
    <w:name w:val="Memo Heading"/>
    <w:basedOn w:val="Normal"/>
    <w:next w:val="Normal"/>
    <w:rsid w:val="00480720"/>
    <w:pPr>
      <w:jc w:val="both"/>
    </w:pPr>
  </w:style>
  <w:style w:type="paragraph" w:customStyle="1" w:styleId="BlockText5">
    <w:name w:val="Block Text .5&quot;"/>
    <w:basedOn w:val="Normal"/>
    <w:rsid w:val="00480720"/>
    <w:pPr>
      <w:spacing w:after="120"/>
      <w:ind w:left="720" w:right="720"/>
    </w:pPr>
  </w:style>
  <w:style w:type="paragraph" w:customStyle="1" w:styleId="BlockText1">
    <w:name w:val="Block Text 1&quot;"/>
    <w:basedOn w:val="Normal"/>
    <w:rsid w:val="00480720"/>
    <w:pPr>
      <w:spacing w:after="120"/>
      <w:ind w:left="1440" w:right="1440"/>
    </w:pPr>
  </w:style>
  <w:style w:type="paragraph" w:customStyle="1" w:styleId="BlockText15">
    <w:name w:val="Block Text 1.5&quot;"/>
    <w:basedOn w:val="Normal"/>
    <w:rsid w:val="00480720"/>
    <w:pPr>
      <w:spacing w:after="120"/>
      <w:ind w:left="2160" w:right="2160"/>
    </w:pPr>
  </w:style>
  <w:style w:type="paragraph" w:customStyle="1" w:styleId="IssueHeading">
    <w:name w:val="Issue Heading"/>
    <w:basedOn w:val="Heading1"/>
    <w:next w:val="BodyText"/>
    <w:link w:val="IssueHeadingChar"/>
    <w:qFormat/>
    <w:rsid w:val="00480720"/>
  </w:style>
  <w:style w:type="character" w:customStyle="1" w:styleId="IssueHeadingChar">
    <w:name w:val="Issue Heading Char"/>
    <w:link w:val="IssueHeading"/>
    <w:rsid w:val="00480720"/>
    <w:rPr>
      <w:rFonts w:cs="Arial"/>
      <w:bCs/>
      <w:kern w:val="32"/>
      <w:sz w:val="24"/>
      <w:szCs w:val="32"/>
    </w:rPr>
  </w:style>
  <w:style w:type="paragraph" w:customStyle="1" w:styleId="MemoHeadingRe">
    <w:name w:val="Memo Heading Re"/>
    <w:basedOn w:val="MemoHeading"/>
    <w:rsid w:val="00480720"/>
    <w:pPr>
      <w:tabs>
        <w:tab w:val="left" w:pos="2520"/>
        <w:tab w:val="left" w:pos="2736"/>
      </w:tabs>
    </w:pPr>
  </w:style>
  <w:style w:type="paragraph" w:styleId="TOC1">
    <w:name w:val="toc 1"/>
    <w:basedOn w:val="Normal"/>
    <w:next w:val="Normal"/>
    <w:uiPriority w:val="39"/>
    <w:rsid w:val="00480720"/>
    <w:pPr>
      <w:tabs>
        <w:tab w:val="left" w:pos="864"/>
        <w:tab w:val="right" w:leader="dot" w:pos="9360"/>
      </w:tabs>
      <w:ind w:left="864" w:right="360" w:hanging="864"/>
    </w:pPr>
    <w:rPr>
      <w:sz w:val="23"/>
    </w:rPr>
  </w:style>
  <w:style w:type="character" w:styleId="Hyperlink">
    <w:name w:val="Hyperlink"/>
    <w:uiPriority w:val="99"/>
    <w:rsid w:val="00480720"/>
    <w:rPr>
      <w:color w:val="0000FF"/>
      <w:u w:val="single"/>
    </w:rPr>
  </w:style>
  <w:style w:type="paragraph" w:customStyle="1" w:styleId="RecommendationMajorSectionHeading">
    <w:name w:val="Recommendation Major Section Heading"/>
    <w:basedOn w:val="Heading1"/>
    <w:next w:val="BodyText"/>
    <w:rsid w:val="00480720"/>
  </w:style>
  <w:style w:type="paragraph" w:customStyle="1" w:styleId="IssueSubsectionHeading">
    <w:name w:val="Issue Subsection Heading"/>
    <w:basedOn w:val="Heading2"/>
    <w:next w:val="BodyText"/>
    <w:link w:val="IssueSubsectionHeadingChar"/>
    <w:qFormat/>
    <w:rsid w:val="00480720"/>
  </w:style>
  <w:style w:type="character" w:customStyle="1" w:styleId="IssueSubsectionHeadingChar">
    <w:name w:val="Issue Subsection Heading Char"/>
    <w:link w:val="IssueSubsectionHeading"/>
    <w:rsid w:val="00480720"/>
    <w:rPr>
      <w:rFonts w:cs="Arial"/>
      <w:bCs/>
      <w:iCs/>
      <w:sz w:val="24"/>
      <w:szCs w:val="28"/>
    </w:rPr>
  </w:style>
  <w:style w:type="paragraph" w:customStyle="1" w:styleId="RecommendationHeading">
    <w:name w:val="Recommendation Heading"/>
    <w:basedOn w:val="Heading1"/>
    <w:next w:val="BodyText"/>
    <w:rsid w:val="00480720"/>
  </w:style>
  <w:style w:type="paragraph" w:customStyle="1" w:styleId="DiscussionofIssues">
    <w:name w:val="Discussion of Issues"/>
    <w:basedOn w:val="RecommendationMajorSectionHeading"/>
    <w:next w:val="BodyText"/>
    <w:rsid w:val="00480720"/>
    <w:pPr>
      <w:tabs>
        <w:tab w:val="num" w:pos="360"/>
      </w:tabs>
      <w:spacing w:after="0"/>
      <w:ind w:left="360"/>
      <w:jc w:val="center"/>
    </w:pPr>
    <w:rPr>
      <w:rFonts w:ascii="Arial" w:hAnsi="Arial"/>
      <w:b/>
    </w:rPr>
  </w:style>
  <w:style w:type="paragraph" w:customStyle="1" w:styleId="TOCColumnHeadings">
    <w:name w:val="TOC Column Headings"/>
    <w:basedOn w:val="Normal"/>
    <w:rsid w:val="00480720"/>
    <w:pPr>
      <w:tabs>
        <w:tab w:val="left" w:pos="864"/>
        <w:tab w:val="right" w:pos="9360"/>
      </w:tabs>
    </w:pPr>
    <w:rPr>
      <w:u w:val="words"/>
    </w:rPr>
  </w:style>
  <w:style w:type="table" w:customStyle="1" w:styleId="TableMasthead">
    <w:name w:val="Table Masthead"/>
    <w:basedOn w:val="TableGrid"/>
    <w:rsid w:val="00480720"/>
    <w:tblPr/>
  </w:style>
  <w:style w:type="paragraph" w:customStyle="1" w:styleId="StyleHeading1BoldUnderline">
    <w:name w:val="Style Heading 1 + Bold Underline"/>
    <w:basedOn w:val="Heading1"/>
    <w:link w:val="StyleHeading1BoldUnderlineChar"/>
    <w:rsid w:val="00480720"/>
  </w:style>
  <w:style w:type="character" w:customStyle="1" w:styleId="StyleHeading1BoldUnderlineChar">
    <w:name w:val="Style Heading 1 + Bold Underline Char"/>
    <w:link w:val="StyleHeading1BoldUnderline"/>
    <w:rsid w:val="00480720"/>
    <w:rPr>
      <w:rFonts w:cs="Arial"/>
      <w:bCs/>
      <w:kern w:val="32"/>
      <w:sz w:val="24"/>
      <w:szCs w:val="32"/>
    </w:rPr>
  </w:style>
  <w:style w:type="paragraph" w:customStyle="1" w:styleId="RecommendationIssueGroupingSection">
    <w:name w:val="Recommendation Issue Grouping Section"/>
    <w:basedOn w:val="RecommendationMajorSectionHeading"/>
    <w:next w:val="IssueHeading"/>
    <w:rsid w:val="00480720"/>
    <w:pPr>
      <w:tabs>
        <w:tab w:val="num" w:pos="360"/>
      </w:tabs>
      <w:ind w:left="360"/>
      <w:jc w:val="left"/>
    </w:pPr>
    <w:rPr>
      <w:rFonts w:ascii="Arial" w:hAnsi="Arial"/>
      <w:b/>
    </w:rPr>
  </w:style>
  <w:style w:type="paragraph" w:styleId="TOC3">
    <w:name w:val="toc 3"/>
    <w:basedOn w:val="TOC2"/>
    <w:next w:val="Normal"/>
    <w:rsid w:val="00480720"/>
    <w:pPr>
      <w:tabs>
        <w:tab w:val="clear" w:pos="1152"/>
        <w:tab w:val="left" w:pos="1584"/>
      </w:tabs>
      <w:ind w:left="1584" w:hanging="432"/>
    </w:pPr>
  </w:style>
  <w:style w:type="paragraph" w:styleId="TOC2">
    <w:name w:val="toc 2"/>
    <w:basedOn w:val="TOC1"/>
    <w:next w:val="Normal"/>
    <w:rsid w:val="00480720"/>
    <w:pPr>
      <w:tabs>
        <w:tab w:val="clear" w:pos="864"/>
        <w:tab w:val="left" w:pos="1152"/>
      </w:tabs>
      <w:ind w:left="1152" w:hanging="288"/>
    </w:pPr>
  </w:style>
  <w:style w:type="paragraph" w:styleId="DocumentMap">
    <w:name w:val="Document Map"/>
    <w:basedOn w:val="Normal"/>
    <w:link w:val="DocumentMapChar"/>
    <w:uiPriority w:val="99"/>
    <w:rsid w:val="00480720"/>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480720"/>
    <w:rPr>
      <w:rFonts w:ascii="Tahoma" w:hAnsi="Tahoma" w:cs="Tahoma"/>
      <w:sz w:val="24"/>
      <w:szCs w:val="24"/>
      <w:shd w:val="clear" w:color="auto" w:fill="000080"/>
    </w:rPr>
  </w:style>
  <w:style w:type="paragraph" w:styleId="BalloonText">
    <w:name w:val="Balloon Text"/>
    <w:basedOn w:val="Normal"/>
    <w:link w:val="BalloonTextChar"/>
    <w:rsid w:val="00480720"/>
    <w:rPr>
      <w:rFonts w:ascii="Tahoma" w:hAnsi="Tahoma" w:cs="Tahoma"/>
      <w:sz w:val="16"/>
      <w:szCs w:val="16"/>
    </w:rPr>
  </w:style>
  <w:style w:type="character" w:customStyle="1" w:styleId="BalloonTextChar">
    <w:name w:val="Balloon Text Char"/>
    <w:basedOn w:val="DefaultParagraphFont"/>
    <w:link w:val="BalloonText"/>
    <w:rsid w:val="00480720"/>
    <w:rPr>
      <w:rFonts w:ascii="Tahoma" w:hAnsi="Tahoma" w:cs="Tahoma"/>
      <w:sz w:val="16"/>
      <w:szCs w:val="16"/>
    </w:rPr>
  </w:style>
  <w:style w:type="paragraph" w:styleId="BlockText">
    <w:name w:val="Block Text"/>
    <w:basedOn w:val="Normal"/>
    <w:rsid w:val="00480720"/>
    <w:pPr>
      <w:spacing w:after="120"/>
      <w:ind w:left="1440" w:right="1440"/>
    </w:pPr>
  </w:style>
  <w:style w:type="paragraph" w:styleId="BodyText2">
    <w:name w:val="Body Text 2"/>
    <w:basedOn w:val="Normal"/>
    <w:link w:val="BodyText2Char"/>
    <w:rsid w:val="00480720"/>
    <w:pPr>
      <w:spacing w:after="120" w:line="480" w:lineRule="auto"/>
    </w:pPr>
  </w:style>
  <w:style w:type="character" w:customStyle="1" w:styleId="BodyText2Char">
    <w:name w:val="Body Text 2 Char"/>
    <w:basedOn w:val="DefaultParagraphFont"/>
    <w:link w:val="BodyText2"/>
    <w:rsid w:val="00480720"/>
    <w:rPr>
      <w:sz w:val="24"/>
      <w:szCs w:val="24"/>
    </w:rPr>
  </w:style>
  <w:style w:type="paragraph" w:styleId="BodyText3">
    <w:name w:val="Body Text 3"/>
    <w:basedOn w:val="Normal"/>
    <w:link w:val="BodyText3Char"/>
    <w:rsid w:val="00480720"/>
    <w:pPr>
      <w:spacing w:after="120"/>
    </w:pPr>
    <w:rPr>
      <w:sz w:val="16"/>
      <w:szCs w:val="16"/>
    </w:rPr>
  </w:style>
  <w:style w:type="character" w:customStyle="1" w:styleId="BodyText3Char">
    <w:name w:val="Body Text 3 Char"/>
    <w:basedOn w:val="DefaultParagraphFont"/>
    <w:link w:val="BodyText3"/>
    <w:rsid w:val="00480720"/>
    <w:rPr>
      <w:sz w:val="16"/>
      <w:szCs w:val="16"/>
    </w:rPr>
  </w:style>
  <w:style w:type="paragraph" w:styleId="BodyTextFirstIndent">
    <w:name w:val="Body Text First Indent"/>
    <w:basedOn w:val="BodyText"/>
    <w:link w:val="BodyTextFirstIndentChar"/>
    <w:rsid w:val="00480720"/>
    <w:pPr>
      <w:ind w:firstLine="210"/>
    </w:pPr>
  </w:style>
  <w:style w:type="character" w:customStyle="1" w:styleId="BodyTextFirstIndentChar">
    <w:name w:val="Body Text First Indent Char"/>
    <w:basedOn w:val="BodyTextChar"/>
    <w:link w:val="BodyTextFirstIndent"/>
    <w:rsid w:val="00480720"/>
    <w:rPr>
      <w:sz w:val="24"/>
      <w:szCs w:val="24"/>
    </w:rPr>
  </w:style>
  <w:style w:type="paragraph" w:styleId="BodyTextIndent">
    <w:name w:val="Body Text Indent"/>
    <w:basedOn w:val="Normal"/>
    <w:link w:val="BodyTextIndentChar"/>
    <w:rsid w:val="00480720"/>
    <w:pPr>
      <w:spacing w:after="120"/>
      <w:ind w:left="360"/>
    </w:pPr>
  </w:style>
  <w:style w:type="character" w:customStyle="1" w:styleId="BodyTextIndentChar">
    <w:name w:val="Body Text Indent Char"/>
    <w:basedOn w:val="DefaultParagraphFont"/>
    <w:link w:val="BodyTextIndent"/>
    <w:rsid w:val="00480720"/>
    <w:rPr>
      <w:sz w:val="24"/>
      <w:szCs w:val="24"/>
    </w:rPr>
  </w:style>
  <w:style w:type="paragraph" w:styleId="BodyTextFirstIndent2">
    <w:name w:val="Body Text First Indent 2"/>
    <w:basedOn w:val="BodyTextIndent"/>
    <w:link w:val="BodyTextFirstIndent2Char"/>
    <w:rsid w:val="00480720"/>
    <w:pPr>
      <w:ind w:firstLine="210"/>
    </w:pPr>
  </w:style>
  <w:style w:type="character" w:customStyle="1" w:styleId="BodyTextFirstIndent2Char">
    <w:name w:val="Body Text First Indent 2 Char"/>
    <w:basedOn w:val="BodyTextIndentChar"/>
    <w:link w:val="BodyTextFirstIndent2"/>
    <w:rsid w:val="00480720"/>
    <w:rPr>
      <w:sz w:val="24"/>
      <w:szCs w:val="24"/>
    </w:rPr>
  </w:style>
  <w:style w:type="paragraph" w:styleId="BodyTextIndent2">
    <w:name w:val="Body Text Indent 2"/>
    <w:basedOn w:val="Normal"/>
    <w:link w:val="BodyTextIndent2Char"/>
    <w:rsid w:val="00480720"/>
    <w:pPr>
      <w:spacing w:after="120" w:line="480" w:lineRule="auto"/>
      <w:ind w:left="360"/>
    </w:pPr>
  </w:style>
  <w:style w:type="character" w:customStyle="1" w:styleId="BodyTextIndent2Char">
    <w:name w:val="Body Text Indent 2 Char"/>
    <w:basedOn w:val="DefaultParagraphFont"/>
    <w:link w:val="BodyTextIndent2"/>
    <w:rsid w:val="00480720"/>
    <w:rPr>
      <w:sz w:val="24"/>
      <w:szCs w:val="24"/>
    </w:rPr>
  </w:style>
  <w:style w:type="paragraph" w:styleId="BodyTextIndent3">
    <w:name w:val="Body Text Indent 3"/>
    <w:basedOn w:val="Normal"/>
    <w:link w:val="BodyTextIndent3Char"/>
    <w:rsid w:val="00480720"/>
    <w:pPr>
      <w:spacing w:after="120"/>
      <w:ind w:left="360"/>
    </w:pPr>
    <w:rPr>
      <w:sz w:val="16"/>
      <w:szCs w:val="16"/>
    </w:rPr>
  </w:style>
  <w:style w:type="character" w:customStyle="1" w:styleId="BodyTextIndent3Char">
    <w:name w:val="Body Text Indent 3 Char"/>
    <w:basedOn w:val="DefaultParagraphFont"/>
    <w:link w:val="BodyTextIndent3"/>
    <w:rsid w:val="00480720"/>
    <w:rPr>
      <w:sz w:val="16"/>
      <w:szCs w:val="16"/>
    </w:rPr>
  </w:style>
  <w:style w:type="paragraph" w:styleId="Caption">
    <w:name w:val="caption"/>
    <w:basedOn w:val="Normal"/>
    <w:next w:val="Normal"/>
    <w:qFormat/>
    <w:rsid w:val="00480720"/>
    <w:pPr>
      <w:spacing w:before="120" w:after="120"/>
    </w:pPr>
    <w:rPr>
      <w:b/>
      <w:bCs/>
      <w:sz w:val="20"/>
      <w:szCs w:val="20"/>
    </w:rPr>
  </w:style>
  <w:style w:type="paragraph" w:styleId="Closing">
    <w:name w:val="Closing"/>
    <w:basedOn w:val="Normal"/>
    <w:link w:val="ClosingChar"/>
    <w:rsid w:val="00480720"/>
    <w:pPr>
      <w:ind w:left="4320"/>
    </w:pPr>
  </w:style>
  <w:style w:type="character" w:customStyle="1" w:styleId="ClosingChar">
    <w:name w:val="Closing Char"/>
    <w:basedOn w:val="DefaultParagraphFont"/>
    <w:link w:val="Closing"/>
    <w:rsid w:val="00480720"/>
    <w:rPr>
      <w:sz w:val="24"/>
      <w:szCs w:val="24"/>
    </w:rPr>
  </w:style>
  <w:style w:type="paragraph" w:styleId="CommentText">
    <w:name w:val="annotation text"/>
    <w:basedOn w:val="Normal"/>
    <w:link w:val="CommentTextChar"/>
    <w:uiPriority w:val="99"/>
    <w:rsid w:val="00480720"/>
    <w:rPr>
      <w:sz w:val="20"/>
      <w:szCs w:val="20"/>
    </w:rPr>
  </w:style>
  <w:style w:type="character" w:customStyle="1" w:styleId="CommentTextChar">
    <w:name w:val="Comment Text Char"/>
    <w:basedOn w:val="DefaultParagraphFont"/>
    <w:link w:val="CommentText"/>
    <w:uiPriority w:val="99"/>
    <w:rsid w:val="00480720"/>
  </w:style>
  <w:style w:type="paragraph" w:styleId="CommentSubject">
    <w:name w:val="annotation subject"/>
    <w:basedOn w:val="CommentText"/>
    <w:next w:val="CommentText"/>
    <w:link w:val="CommentSubjectChar"/>
    <w:uiPriority w:val="99"/>
    <w:rsid w:val="00480720"/>
    <w:rPr>
      <w:b/>
      <w:bCs/>
    </w:rPr>
  </w:style>
  <w:style w:type="character" w:customStyle="1" w:styleId="CommentSubjectChar">
    <w:name w:val="Comment Subject Char"/>
    <w:basedOn w:val="CommentTextChar"/>
    <w:link w:val="CommentSubject"/>
    <w:uiPriority w:val="99"/>
    <w:rsid w:val="00480720"/>
    <w:rPr>
      <w:b/>
      <w:bCs/>
    </w:rPr>
  </w:style>
  <w:style w:type="paragraph" w:styleId="Date">
    <w:name w:val="Date"/>
    <w:basedOn w:val="Normal"/>
    <w:next w:val="Normal"/>
    <w:link w:val="DateChar"/>
    <w:rsid w:val="00480720"/>
  </w:style>
  <w:style w:type="character" w:customStyle="1" w:styleId="DateChar">
    <w:name w:val="Date Char"/>
    <w:basedOn w:val="DefaultParagraphFont"/>
    <w:link w:val="Date"/>
    <w:rsid w:val="00480720"/>
    <w:rPr>
      <w:sz w:val="24"/>
      <w:szCs w:val="24"/>
    </w:rPr>
  </w:style>
  <w:style w:type="paragraph" w:styleId="E-mailSignature">
    <w:name w:val="E-mail Signature"/>
    <w:basedOn w:val="Normal"/>
    <w:link w:val="E-mailSignatureChar"/>
    <w:rsid w:val="00480720"/>
  </w:style>
  <w:style w:type="character" w:customStyle="1" w:styleId="E-mailSignatureChar">
    <w:name w:val="E-mail Signature Char"/>
    <w:basedOn w:val="DefaultParagraphFont"/>
    <w:link w:val="E-mailSignature"/>
    <w:rsid w:val="00480720"/>
    <w:rPr>
      <w:sz w:val="24"/>
      <w:szCs w:val="24"/>
    </w:rPr>
  </w:style>
  <w:style w:type="paragraph" w:styleId="EndnoteText">
    <w:name w:val="endnote text"/>
    <w:basedOn w:val="Normal"/>
    <w:link w:val="EndnoteTextChar"/>
    <w:uiPriority w:val="99"/>
    <w:rsid w:val="00480720"/>
    <w:rPr>
      <w:sz w:val="20"/>
      <w:szCs w:val="20"/>
    </w:rPr>
  </w:style>
  <w:style w:type="character" w:customStyle="1" w:styleId="EndnoteTextChar">
    <w:name w:val="Endnote Text Char"/>
    <w:basedOn w:val="DefaultParagraphFont"/>
    <w:link w:val="EndnoteText"/>
    <w:uiPriority w:val="99"/>
    <w:rsid w:val="00480720"/>
  </w:style>
  <w:style w:type="paragraph" w:styleId="EnvelopeAddress">
    <w:name w:val="envelope address"/>
    <w:basedOn w:val="Normal"/>
    <w:rsid w:val="0048072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80720"/>
    <w:rPr>
      <w:rFonts w:ascii="Arial" w:hAnsi="Arial" w:cs="Arial"/>
      <w:sz w:val="20"/>
      <w:szCs w:val="20"/>
    </w:rPr>
  </w:style>
  <w:style w:type="paragraph" w:styleId="HTMLAddress">
    <w:name w:val="HTML Address"/>
    <w:basedOn w:val="Normal"/>
    <w:link w:val="HTMLAddressChar"/>
    <w:rsid w:val="00480720"/>
    <w:rPr>
      <w:i/>
      <w:iCs/>
    </w:rPr>
  </w:style>
  <w:style w:type="character" w:customStyle="1" w:styleId="HTMLAddressChar">
    <w:name w:val="HTML Address Char"/>
    <w:basedOn w:val="DefaultParagraphFont"/>
    <w:link w:val="HTMLAddress"/>
    <w:rsid w:val="00480720"/>
    <w:rPr>
      <w:i/>
      <w:iCs/>
      <w:sz w:val="24"/>
      <w:szCs w:val="24"/>
    </w:rPr>
  </w:style>
  <w:style w:type="paragraph" w:styleId="HTMLPreformatted">
    <w:name w:val="HTML Preformatted"/>
    <w:basedOn w:val="Normal"/>
    <w:link w:val="HTMLPreformattedChar"/>
    <w:rsid w:val="00480720"/>
    <w:rPr>
      <w:rFonts w:ascii="Courier New" w:hAnsi="Courier New" w:cs="Courier New"/>
      <w:sz w:val="20"/>
      <w:szCs w:val="20"/>
    </w:rPr>
  </w:style>
  <w:style w:type="character" w:customStyle="1" w:styleId="HTMLPreformattedChar">
    <w:name w:val="HTML Preformatted Char"/>
    <w:basedOn w:val="DefaultParagraphFont"/>
    <w:link w:val="HTMLPreformatted"/>
    <w:rsid w:val="00480720"/>
    <w:rPr>
      <w:rFonts w:ascii="Courier New" w:hAnsi="Courier New" w:cs="Courier New"/>
    </w:rPr>
  </w:style>
  <w:style w:type="paragraph" w:styleId="Index1">
    <w:name w:val="index 1"/>
    <w:basedOn w:val="Normal"/>
    <w:next w:val="Normal"/>
    <w:autoRedefine/>
    <w:uiPriority w:val="99"/>
    <w:rsid w:val="00480720"/>
    <w:pPr>
      <w:ind w:left="240" w:hanging="240"/>
    </w:pPr>
  </w:style>
  <w:style w:type="paragraph" w:styleId="Index2">
    <w:name w:val="index 2"/>
    <w:basedOn w:val="Normal"/>
    <w:next w:val="Normal"/>
    <w:autoRedefine/>
    <w:uiPriority w:val="99"/>
    <w:rsid w:val="00480720"/>
    <w:pPr>
      <w:ind w:left="480" w:hanging="240"/>
    </w:pPr>
  </w:style>
  <w:style w:type="paragraph" w:styleId="Index3">
    <w:name w:val="index 3"/>
    <w:basedOn w:val="Normal"/>
    <w:next w:val="Normal"/>
    <w:autoRedefine/>
    <w:uiPriority w:val="99"/>
    <w:rsid w:val="00480720"/>
    <w:pPr>
      <w:ind w:left="720" w:hanging="240"/>
    </w:pPr>
  </w:style>
  <w:style w:type="paragraph" w:styleId="Index4">
    <w:name w:val="index 4"/>
    <w:basedOn w:val="Normal"/>
    <w:next w:val="Normal"/>
    <w:autoRedefine/>
    <w:uiPriority w:val="99"/>
    <w:rsid w:val="00480720"/>
    <w:pPr>
      <w:ind w:left="960" w:hanging="240"/>
    </w:pPr>
  </w:style>
  <w:style w:type="paragraph" w:styleId="Index5">
    <w:name w:val="index 5"/>
    <w:basedOn w:val="Normal"/>
    <w:next w:val="Normal"/>
    <w:autoRedefine/>
    <w:uiPriority w:val="99"/>
    <w:rsid w:val="00480720"/>
    <w:pPr>
      <w:ind w:left="1200" w:hanging="240"/>
    </w:pPr>
  </w:style>
  <w:style w:type="paragraph" w:styleId="Index6">
    <w:name w:val="index 6"/>
    <w:basedOn w:val="Normal"/>
    <w:next w:val="Normal"/>
    <w:autoRedefine/>
    <w:uiPriority w:val="99"/>
    <w:rsid w:val="00480720"/>
    <w:pPr>
      <w:ind w:left="1440" w:hanging="240"/>
    </w:pPr>
  </w:style>
  <w:style w:type="paragraph" w:styleId="Index7">
    <w:name w:val="index 7"/>
    <w:basedOn w:val="Normal"/>
    <w:next w:val="Normal"/>
    <w:autoRedefine/>
    <w:uiPriority w:val="99"/>
    <w:rsid w:val="00480720"/>
    <w:pPr>
      <w:ind w:left="1680" w:hanging="240"/>
    </w:pPr>
  </w:style>
  <w:style w:type="paragraph" w:styleId="Index8">
    <w:name w:val="index 8"/>
    <w:basedOn w:val="Normal"/>
    <w:next w:val="Normal"/>
    <w:autoRedefine/>
    <w:uiPriority w:val="99"/>
    <w:rsid w:val="00480720"/>
    <w:pPr>
      <w:ind w:left="1920" w:hanging="240"/>
    </w:pPr>
  </w:style>
  <w:style w:type="paragraph" w:styleId="Index9">
    <w:name w:val="index 9"/>
    <w:basedOn w:val="Normal"/>
    <w:next w:val="Normal"/>
    <w:autoRedefine/>
    <w:uiPriority w:val="99"/>
    <w:rsid w:val="00480720"/>
    <w:pPr>
      <w:ind w:left="2160" w:hanging="240"/>
    </w:pPr>
  </w:style>
  <w:style w:type="paragraph" w:styleId="IndexHeading">
    <w:name w:val="index heading"/>
    <w:basedOn w:val="Normal"/>
    <w:next w:val="Index1"/>
    <w:uiPriority w:val="99"/>
    <w:rsid w:val="00480720"/>
    <w:rPr>
      <w:rFonts w:ascii="Arial" w:hAnsi="Arial" w:cs="Arial"/>
      <w:b/>
      <w:bCs/>
    </w:rPr>
  </w:style>
  <w:style w:type="paragraph" w:styleId="List">
    <w:name w:val="List"/>
    <w:basedOn w:val="Normal"/>
    <w:rsid w:val="00480720"/>
    <w:pPr>
      <w:ind w:left="360" w:hanging="360"/>
    </w:pPr>
  </w:style>
  <w:style w:type="paragraph" w:styleId="List2">
    <w:name w:val="List 2"/>
    <w:basedOn w:val="Normal"/>
    <w:rsid w:val="00480720"/>
    <w:pPr>
      <w:ind w:left="720" w:hanging="360"/>
    </w:pPr>
  </w:style>
  <w:style w:type="paragraph" w:styleId="List3">
    <w:name w:val="List 3"/>
    <w:basedOn w:val="Normal"/>
    <w:rsid w:val="00480720"/>
    <w:pPr>
      <w:ind w:left="1080" w:hanging="360"/>
    </w:pPr>
  </w:style>
  <w:style w:type="paragraph" w:styleId="List4">
    <w:name w:val="List 4"/>
    <w:basedOn w:val="Normal"/>
    <w:rsid w:val="00480720"/>
    <w:pPr>
      <w:ind w:left="1440" w:hanging="360"/>
    </w:pPr>
  </w:style>
  <w:style w:type="paragraph" w:styleId="List5">
    <w:name w:val="List 5"/>
    <w:basedOn w:val="Normal"/>
    <w:rsid w:val="00480720"/>
    <w:pPr>
      <w:ind w:left="1800" w:hanging="360"/>
    </w:pPr>
  </w:style>
  <w:style w:type="paragraph" w:styleId="ListBullet">
    <w:name w:val="List Bullet"/>
    <w:basedOn w:val="Normal"/>
    <w:autoRedefine/>
    <w:uiPriority w:val="99"/>
    <w:rsid w:val="00480720"/>
    <w:pPr>
      <w:tabs>
        <w:tab w:val="num" w:pos="360"/>
      </w:tabs>
      <w:ind w:left="360" w:hanging="360"/>
    </w:pPr>
  </w:style>
  <w:style w:type="paragraph" w:styleId="ListBullet2">
    <w:name w:val="List Bullet 2"/>
    <w:basedOn w:val="Normal"/>
    <w:autoRedefine/>
    <w:rsid w:val="00480720"/>
    <w:pPr>
      <w:tabs>
        <w:tab w:val="num" w:pos="720"/>
      </w:tabs>
      <w:ind w:left="720" w:hanging="360"/>
    </w:pPr>
  </w:style>
  <w:style w:type="paragraph" w:styleId="ListBullet3">
    <w:name w:val="List Bullet 3"/>
    <w:basedOn w:val="Normal"/>
    <w:autoRedefine/>
    <w:rsid w:val="00480720"/>
    <w:pPr>
      <w:tabs>
        <w:tab w:val="num" w:pos="1080"/>
      </w:tabs>
      <w:ind w:left="1080" w:hanging="360"/>
    </w:pPr>
  </w:style>
  <w:style w:type="paragraph" w:styleId="ListBullet4">
    <w:name w:val="List Bullet 4"/>
    <w:basedOn w:val="Normal"/>
    <w:autoRedefine/>
    <w:rsid w:val="00480720"/>
    <w:pPr>
      <w:tabs>
        <w:tab w:val="num" w:pos="1440"/>
      </w:tabs>
      <w:ind w:left="1440" w:hanging="360"/>
    </w:pPr>
  </w:style>
  <w:style w:type="paragraph" w:styleId="ListBullet5">
    <w:name w:val="List Bullet 5"/>
    <w:basedOn w:val="Normal"/>
    <w:autoRedefine/>
    <w:rsid w:val="00480720"/>
    <w:pPr>
      <w:tabs>
        <w:tab w:val="num" w:pos="1800"/>
      </w:tabs>
      <w:ind w:left="1800" w:hanging="360"/>
    </w:pPr>
  </w:style>
  <w:style w:type="paragraph" w:styleId="ListContinue">
    <w:name w:val="List Continue"/>
    <w:basedOn w:val="Normal"/>
    <w:rsid w:val="00480720"/>
    <w:pPr>
      <w:spacing w:after="120"/>
      <w:ind w:left="360"/>
    </w:pPr>
  </w:style>
  <w:style w:type="paragraph" w:styleId="ListContinue2">
    <w:name w:val="List Continue 2"/>
    <w:basedOn w:val="Normal"/>
    <w:rsid w:val="00480720"/>
    <w:pPr>
      <w:spacing w:after="120"/>
      <w:ind w:left="720"/>
    </w:pPr>
  </w:style>
  <w:style w:type="paragraph" w:styleId="ListContinue3">
    <w:name w:val="List Continue 3"/>
    <w:basedOn w:val="Normal"/>
    <w:rsid w:val="00480720"/>
    <w:pPr>
      <w:spacing w:after="120"/>
      <w:ind w:left="1080"/>
    </w:pPr>
  </w:style>
  <w:style w:type="paragraph" w:styleId="ListContinue4">
    <w:name w:val="List Continue 4"/>
    <w:basedOn w:val="Normal"/>
    <w:rsid w:val="00480720"/>
    <w:pPr>
      <w:spacing w:after="120"/>
      <w:ind w:left="1440"/>
    </w:pPr>
  </w:style>
  <w:style w:type="paragraph" w:styleId="ListContinue5">
    <w:name w:val="List Continue 5"/>
    <w:basedOn w:val="Normal"/>
    <w:rsid w:val="00480720"/>
    <w:pPr>
      <w:spacing w:after="120"/>
      <w:ind w:left="1800"/>
    </w:pPr>
  </w:style>
  <w:style w:type="paragraph" w:styleId="ListNumber">
    <w:name w:val="List Number"/>
    <w:basedOn w:val="Normal"/>
    <w:rsid w:val="00480720"/>
    <w:pPr>
      <w:tabs>
        <w:tab w:val="num" w:pos="360"/>
      </w:tabs>
      <w:ind w:left="360" w:hanging="360"/>
    </w:pPr>
  </w:style>
  <w:style w:type="paragraph" w:styleId="ListNumber2">
    <w:name w:val="List Number 2"/>
    <w:basedOn w:val="Normal"/>
    <w:rsid w:val="00480720"/>
    <w:pPr>
      <w:tabs>
        <w:tab w:val="num" w:pos="720"/>
      </w:tabs>
      <w:ind w:left="720" w:hanging="360"/>
    </w:pPr>
  </w:style>
  <w:style w:type="paragraph" w:styleId="ListNumber3">
    <w:name w:val="List Number 3"/>
    <w:basedOn w:val="Normal"/>
    <w:rsid w:val="00480720"/>
    <w:pPr>
      <w:tabs>
        <w:tab w:val="num" w:pos="1080"/>
      </w:tabs>
      <w:ind w:left="1080" w:hanging="360"/>
    </w:pPr>
  </w:style>
  <w:style w:type="paragraph" w:styleId="ListNumber4">
    <w:name w:val="List Number 4"/>
    <w:basedOn w:val="Normal"/>
    <w:rsid w:val="00480720"/>
    <w:pPr>
      <w:tabs>
        <w:tab w:val="num" w:pos="1440"/>
      </w:tabs>
      <w:ind w:left="1440" w:hanging="360"/>
    </w:pPr>
  </w:style>
  <w:style w:type="paragraph" w:styleId="ListNumber5">
    <w:name w:val="List Number 5"/>
    <w:basedOn w:val="Normal"/>
    <w:rsid w:val="00480720"/>
    <w:pPr>
      <w:tabs>
        <w:tab w:val="num" w:pos="1800"/>
      </w:tabs>
      <w:ind w:left="1800" w:hanging="360"/>
    </w:pPr>
  </w:style>
  <w:style w:type="paragraph" w:styleId="MacroText">
    <w:name w:val="macro"/>
    <w:link w:val="MacroTextChar"/>
    <w:uiPriority w:val="99"/>
    <w:rsid w:val="00480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80720"/>
    <w:rPr>
      <w:rFonts w:ascii="Courier New" w:hAnsi="Courier New" w:cs="Courier New"/>
    </w:rPr>
  </w:style>
  <w:style w:type="paragraph" w:styleId="MessageHeader">
    <w:name w:val="Message Header"/>
    <w:basedOn w:val="Normal"/>
    <w:link w:val="MessageHeaderChar"/>
    <w:rsid w:val="0048072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480720"/>
    <w:rPr>
      <w:rFonts w:ascii="Arial" w:hAnsi="Arial" w:cs="Arial"/>
      <w:sz w:val="24"/>
      <w:szCs w:val="24"/>
      <w:shd w:val="pct20" w:color="auto" w:fill="auto"/>
    </w:rPr>
  </w:style>
  <w:style w:type="paragraph" w:styleId="NormalWeb">
    <w:name w:val="Normal (Web)"/>
    <w:basedOn w:val="Normal"/>
    <w:rsid w:val="00480720"/>
  </w:style>
  <w:style w:type="paragraph" w:styleId="NormalIndent">
    <w:name w:val="Normal Indent"/>
    <w:basedOn w:val="Normal"/>
    <w:rsid w:val="00480720"/>
    <w:pPr>
      <w:ind w:left="720"/>
    </w:pPr>
  </w:style>
  <w:style w:type="paragraph" w:styleId="NoteHeading">
    <w:name w:val="Note Heading"/>
    <w:basedOn w:val="Normal"/>
    <w:next w:val="Normal"/>
    <w:link w:val="NoteHeadingChar"/>
    <w:rsid w:val="00480720"/>
  </w:style>
  <w:style w:type="character" w:customStyle="1" w:styleId="NoteHeadingChar">
    <w:name w:val="Note Heading Char"/>
    <w:basedOn w:val="DefaultParagraphFont"/>
    <w:link w:val="NoteHeading"/>
    <w:rsid w:val="00480720"/>
    <w:rPr>
      <w:sz w:val="24"/>
      <w:szCs w:val="24"/>
    </w:rPr>
  </w:style>
  <w:style w:type="paragraph" w:styleId="PlainText">
    <w:name w:val="Plain Text"/>
    <w:basedOn w:val="Normal"/>
    <w:link w:val="PlainTextChar"/>
    <w:rsid w:val="00480720"/>
    <w:rPr>
      <w:rFonts w:ascii="Courier New" w:hAnsi="Courier New" w:cs="Courier New"/>
      <w:sz w:val="20"/>
      <w:szCs w:val="20"/>
    </w:rPr>
  </w:style>
  <w:style w:type="character" w:customStyle="1" w:styleId="PlainTextChar">
    <w:name w:val="Plain Text Char"/>
    <w:basedOn w:val="DefaultParagraphFont"/>
    <w:link w:val="PlainText"/>
    <w:rsid w:val="00480720"/>
    <w:rPr>
      <w:rFonts w:ascii="Courier New" w:hAnsi="Courier New" w:cs="Courier New"/>
    </w:rPr>
  </w:style>
  <w:style w:type="paragraph" w:styleId="Salutation">
    <w:name w:val="Salutation"/>
    <w:basedOn w:val="Normal"/>
    <w:next w:val="Normal"/>
    <w:link w:val="SalutationChar"/>
    <w:rsid w:val="00480720"/>
  </w:style>
  <w:style w:type="character" w:customStyle="1" w:styleId="SalutationChar">
    <w:name w:val="Salutation Char"/>
    <w:basedOn w:val="DefaultParagraphFont"/>
    <w:link w:val="Salutation"/>
    <w:rsid w:val="00480720"/>
    <w:rPr>
      <w:sz w:val="24"/>
      <w:szCs w:val="24"/>
    </w:rPr>
  </w:style>
  <w:style w:type="paragraph" w:styleId="Signature">
    <w:name w:val="Signature"/>
    <w:basedOn w:val="Normal"/>
    <w:link w:val="SignatureChar"/>
    <w:rsid w:val="00480720"/>
    <w:pPr>
      <w:ind w:left="4320"/>
    </w:pPr>
  </w:style>
  <w:style w:type="character" w:customStyle="1" w:styleId="SignatureChar">
    <w:name w:val="Signature Char"/>
    <w:basedOn w:val="DefaultParagraphFont"/>
    <w:link w:val="Signature"/>
    <w:rsid w:val="00480720"/>
    <w:rPr>
      <w:sz w:val="24"/>
      <w:szCs w:val="24"/>
    </w:rPr>
  </w:style>
  <w:style w:type="paragraph" w:styleId="Subtitle">
    <w:name w:val="Subtitle"/>
    <w:basedOn w:val="Normal"/>
    <w:link w:val="SubtitleChar"/>
    <w:qFormat/>
    <w:rsid w:val="00480720"/>
    <w:pPr>
      <w:spacing w:after="60"/>
      <w:jc w:val="center"/>
      <w:outlineLvl w:val="1"/>
    </w:pPr>
    <w:rPr>
      <w:rFonts w:ascii="Arial" w:hAnsi="Arial" w:cs="Arial"/>
    </w:rPr>
  </w:style>
  <w:style w:type="character" w:customStyle="1" w:styleId="SubtitleChar">
    <w:name w:val="Subtitle Char"/>
    <w:basedOn w:val="DefaultParagraphFont"/>
    <w:link w:val="Subtitle"/>
    <w:rsid w:val="00480720"/>
    <w:rPr>
      <w:rFonts w:ascii="Arial" w:hAnsi="Arial" w:cs="Arial"/>
      <w:sz w:val="24"/>
      <w:szCs w:val="24"/>
    </w:rPr>
  </w:style>
  <w:style w:type="paragraph" w:styleId="TableofAuthorities">
    <w:name w:val="table of authorities"/>
    <w:basedOn w:val="Normal"/>
    <w:next w:val="Normal"/>
    <w:uiPriority w:val="99"/>
    <w:rsid w:val="00480720"/>
    <w:pPr>
      <w:ind w:left="240" w:hanging="240"/>
    </w:pPr>
  </w:style>
  <w:style w:type="paragraph" w:styleId="TableofFigures">
    <w:name w:val="table of figures"/>
    <w:basedOn w:val="Normal"/>
    <w:next w:val="Normal"/>
    <w:uiPriority w:val="99"/>
    <w:rsid w:val="00480720"/>
    <w:pPr>
      <w:ind w:left="480" w:hanging="480"/>
    </w:pPr>
  </w:style>
  <w:style w:type="paragraph" w:styleId="Title">
    <w:name w:val="Title"/>
    <w:basedOn w:val="Normal"/>
    <w:link w:val="TitleChar"/>
    <w:qFormat/>
    <w:rsid w:val="0048072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80720"/>
    <w:rPr>
      <w:rFonts w:ascii="Arial" w:hAnsi="Arial" w:cs="Arial"/>
      <w:b/>
      <w:bCs/>
      <w:kern w:val="28"/>
      <w:sz w:val="32"/>
      <w:szCs w:val="32"/>
    </w:rPr>
  </w:style>
  <w:style w:type="paragraph" w:styleId="TOAHeading">
    <w:name w:val="toa heading"/>
    <w:basedOn w:val="Normal"/>
    <w:next w:val="Normal"/>
    <w:uiPriority w:val="99"/>
    <w:rsid w:val="00480720"/>
    <w:pPr>
      <w:spacing w:before="120"/>
    </w:pPr>
    <w:rPr>
      <w:rFonts w:ascii="Arial" w:hAnsi="Arial" w:cs="Arial"/>
      <w:b/>
      <w:bCs/>
    </w:rPr>
  </w:style>
  <w:style w:type="paragraph" w:styleId="TOC4">
    <w:name w:val="toc 4"/>
    <w:basedOn w:val="Normal"/>
    <w:next w:val="Normal"/>
    <w:autoRedefine/>
    <w:rsid w:val="00480720"/>
    <w:pPr>
      <w:ind w:left="720"/>
    </w:pPr>
  </w:style>
  <w:style w:type="paragraph" w:styleId="TOC5">
    <w:name w:val="toc 5"/>
    <w:basedOn w:val="Normal"/>
    <w:next w:val="Normal"/>
    <w:autoRedefine/>
    <w:uiPriority w:val="99"/>
    <w:rsid w:val="00480720"/>
    <w:pPr>
      <w:ind w:left="960"/>
    </w:pPr>
  </w:style>
  <w:style w:type="paragraph" w:styleId="TOC6">
    <w:name w:val="toc 6"/>
    <w:basedOn w:val="Normal"/>
    <w:next w:val="Normal"/>
    <w:autoRedefine/>
    <w:rsid w:val="00480720"/>
    <w:pPr>
      <w:ind w:left="1200"/>
    </w:pPr>
  </w:style>
  <w:style w:type="paragraph" w:styleId="TOC9">
    <w:name w:val="toc 9"/>
    <w:basedOn w:val="TOC1"/>
    <w:next w:val="Normal"/>
    <w:autoRedefine/>
    <w:rsid w:val="00480720"/>
    <w:pPr>
      <w:ind w:left="1728"/>
    </w:pPr>
    <w:rPr>
      <w:u w:val="single"/>
    </w:rPr>
  </w:style>
  <w:style w:type="paragraph" w:customStyle="1" w:styleId="MemoHeadingLabel">
    <w:name w:val="Memo Heading Label"/>
    <w:basedOn w:val="MemoHeading"/>
    <w:qFormat/>
    <w:rsid w:val="00480720"/>
    <w:rPr>
      <w:rFonts w:ascii="Arial" w:hAnsi="Arial"/>
      <w:b/>
    </w:rPr>
  </w:style>
  <w:style w:type="paragraph" w:customStyle="1" w:styleId="First-LevelSubheading">
    <w:name w:val="First-Level Subheading"/>
    <w:basedOn w:val="IssueSubsectionHeading"/>
    <w:next w:val="BodyText"/>
    <w:qFormat/>
    <w:rsid w:val="00480720"/>
    <w:pPr>
      <w:keepNext w:val="0"/>
      <w:tabs>
        <w:tab w:val="num" w:pos="720"/>
      </w:tabs>
      <w:spacing w:after="0"/>
      <w:ind w:left="720"/>
      <w:outlineLvl w:val="2"/>
    </w:pPr>
    <w:rPr>
      <w:rFonts w:ascii="Arial" w:hAnsi="Arial"/>
      <w:b/>
    </w:rPr>
  </w:style>
  <w:style w:type="paragraph" w:customStyle="1" w:styleId="Second-LevelSubheading">
    <w:name w:val="Second-Level Subheading"/>
    <w:basedOn w:val="First-LevelSubheading"/>
    <w:next w:val="BodyText"/>
    <w:qFormat/>
    <w:rsid w:val="00480720"/>
    <w:pPr>
      <w:outlineLvl w:val="3"/>
    </w:pPr>
    <w:rPr>
      <w:i/>
    </w:rPr>
  </w:style>
  <w:style w:type="paragraph" w:customStyle="1" w:styleId="TableNumber">
    <w:name w:val="Table Number"/>
    <w:basedOn w:val="BodyText"/>
    <w:next w:val="BodyText"/>
    <w:qFormat/>
    <w:rsid w:val="00480720"/>
    <w:pPr>
      <w:spacing w:before="480" w:after="0"/>
      <w:jc w:val="center"/>
    </w:pPr>
    <w:rPr>
      <w:rFonts w:ascii="Arial" w:hAnsi="Arial"/>
      <w:b/>
    </w:rPr>
  </w:style>
  <w:style w:type="paragraph" w:customStyle="1" w:styleId="TableTitle">
    <w:name w:val="Table Title"/>
    <w:basedOn w:val="BodyText"/>
    <w:next w:val="BodyText"/>
    <w:qFormat/>
    <w:rsid w:val="00480720"/>
    <w:pPr>
      <w:spacing w:after="0"/>
      <w:jc w:val="center"/>
    </w:pPr>
    <w:rPr>
      <w:rFonts w:ascii="Arial" w:hAnsi="Arial"/>
      <w:b/>
    </w:rPr>
  </w:style>
  <w:style w:type="paragraph" w:customStyle="1" w:styleId="TableSource">
    <w:name w:val="Table Source"/>
    <w:basedOn w:val="BodyText"/>
    <w:next w:val="BodyText"/>
    <w:qFormat/>
    <w:rsid w:val="00480720"/>
    <w:pPr>
      <w:spacing w:after="480"/>
      <w:jc w:val="both"/>
    </w:pPr>
  </w:style>
  <w:style w:type="paragraph" w:customStyle="1" w:styleId="PartyName">
    <w:name w:val="Party Name"/>
    <w:basedOn w:val="IssueSubsectionHeading"/>
    <w:next w:val="BodyText"/>
    <w:qFormat/>
    <w:rsid w:val="00480720"/>
    <w:pPr>
      <w:keepNext w:val="0"/>
      <w:tabs>
        <w:tab w:val="num" w:pos="720"/>
      </w:tabs>
      <w:ind w:left="720"/>
    </w:pPr>
    <w:rPr>
      <w:rFonts w:ascii="Arial" w:hAnsi="Arial"/>
      <w:b/>
    </w:rPr>
  </w:style>
  <w:style w:type="paragraph" w:customStyle="1" w:styleId="Third-LevelSubheading">
    <w:name w:val="Third-Level Subheading"/>
    <w:basedOn w:val="Second-LevelSubheading"/>
    <w:next w:val="BodyText"/>
    <w:qFormat/>
    <w:rsid w:val="00480720"/>
    <w:pPr>
      <w:ind w:left="1440"/>
      <w:outlineLvl w:val="4"/>
    </w:pPr>
  </w:style>
  <w:style w:type="numbering" w:styleId="111111">
    <w:name w:val="Outline List 2"/>
    <w:basedOn w:val="NoList"/>
    <w:rsid w:val="00480720"/>
    <w:pPr>
      <w:numPr>
        <w:numId w:val="11"/>
      </w:numPr>
    </w:pPr>
  </w:style>
  <w:style w:type="character" w:customStyle="1" w:styleId="FootnoteTextChar">
    <w:name w:val="Footnote Text Char"/>
    <w:link w:val="FootnoteText"/>
    <w:uiPriority w:val="99"/>
    <w:rsid w:val="00480720"/>
  </w:style>
  <w:style w:type="paragraph" w:styleId="ListParagraph">
    <w:name w:val="List Paragraph"/>
    <w:basedOn w:val="Normal"/>
    <w:uiPriority w:val="34"/>
    <w:qFormat/>
    <w:rsid w:val="00480720"/>
    <w:pPr>
      <w:ind w:left="720"/>
      <w:contextualSpacing/>
    </w:pPr>
    <w:rPr>
      <w:rFonts w:ascii="Calibri" w:eastAsia="Calibri" w:hAnsi="Calibri"/>
    </w:rPr>
  </w:style>
  <w:style w:type="character" w:customStyle="1" w:styleId="FooterChar">
    <w:name w:val="Footer Char"/>
    <w:link w:val="Footer"/>
    <w:uiPriority w:val="99"/>
    <w:rsid w:val="00480720"/>
    <w:rPr>
      <w:sz w:val="24"/>
      <w:szCs w:val="24"/>
    </w:rPr>
  </w:style>
  <w:style w:type="numbering" w:styleId="1ai">
    <w:name w:val="Outline List 1"/>
    <w:basedOn w:val="NoList"/>
    <w:rsid w:val="00480720"/>
    <w:pPr>
      <w:numPr>
        <w:numId w:val="18"/>
      </w:numPr>
    </w:pPr>
  </w:style>
  <w:style w:type="numbering" w:styleId="ArticleSection">
    <w:name w:val="Outline List 3"/>
    <w:basedOn w:val="NoList"/>
    <w:rsid w:val="00480720"/>
    <w:pPr>
      <w:numPr>
        <w:numId w:val="19"/>
      </w:numPr>
    </w:pPr>
  </w:style>
  <w:style w:type="character" w:styleId="Emphasis">
    <w:name w:val="Emphasis"/>
    <w:qFormat/>
    <w:rsid w:val="00480720"/>
    <w:rPr>
      <w:rFonts w:ascii="Calibri" w:hAnsi="Calibri"/>
      <w:b/>
      <w:i/>
      <w:iCs/>
    </w:rPr>
  </w:style>
  <w:style w:type="character" w:styleId="FollowedHyperlink">
    <w:name w:val="FollowedHyperlink"/>
    <w:unhideWhenUsed/>
    <w:rsid w:val="00480720"/>
    <w:rPr>
      <w:color w:val="800080"/>
      <w:u w:val="single"/>
    </w:rPr>
  </w:style>
  <w:style w:type="character" w:styleId="HTMLAcronym">
    <w:name w:val="HTML Acronym"/>
    <w:uiPriority w:val="99"/>
    <w:unhideWhenUsed/>
    <w:rsid w:val="00480720"/>
  </w:style>
  <w:style w:type="character" w:styleId="HTMLCite">
    <w:name w:val="HTML Cite"/>
    <w:uiPriority w:val="99"/>
    <w:unhideWhenUsed/>
    <w:rsid w:val="00480720"/>
    <w:rPr>
      <w:i/>
      <w:iCs/>
    </w:rPr>
  </w:style>
  <w:style w:type="character" w:styleId="HTMLCode">
    <w:name w:val="HTML Code"/>
    <w:uiPriority w:val="99"/>
    <w:unhideWhenUsed/>
    <w:rsid w:val="00480720"/>
    <w:rPr>
      <w:rFonts w:ascii="Courier New" w:hAnsi="Courier New" w:cs="Courier New"/>
      <w:sz w:val="20"/>
      <w:szCs w:val="20"/>
    </w:rPr>
  </w:style>
  <w:style w:type="character" w:styleId="HTMLDefinition">
    <w:name w:val="HTML Definition"/>
    <w:uiPriority w:val="99"/>
    <w:unhideWhenUsed/>
    <w:rsid w:val="00480720"/>
    <w:rPr>
      <w:i/>
      <w:iCs/>
    </w:rPr>
  </w:style>
  <w:style w:type="character" w:styleId="HTMLKeyboard">
    <w:name w:val="HTML Keyboard"/>
    <w:uiPriority w:val="99"/>
    <w:unhideWhenUsed/>
    <w:rsid w:val="00480720"/>
    <w:rPr>
      <w:rFonts w:ascii="Courier New" w:hAnsi="Courier New" w:cs="Courier New"/>
      <w:sz w:val="20"/>
      <w:szCs w:val="20"/>
    </w:rPr>
  </w:style>
  <w:style w:type="character" w:styleId="HTMLSample">
    <w:name w:val="HTML Sample"/>
    <w:uiPriority w:val="99"/>
    <w:unhideWhenUsed/>
    <w:rsid w:val="00480720"/>
    <w:rPr>
      <w:rFonts w:ascii="Courier New" w:hAnsi="Courier New" w:cs="Courier New"/>
    </w:rPr>
  </w:style>
  <w:style w:type="character" w:styleId="HTMLTypewriter">
    <w:name w:val="HTML Typewriter"/>
    <w:uiPriority w:val="99"/>
    <w:unhideWhenUsed/>
    <w:rsid w:val="00480720"/>
    <w:rPr>
      <w:rFonts w:ascii="Courier New" w:hAnsi="Courier New" w:cs="Courier New"/>
      <w:sz w:val="20"/>
      <w:szCs w:val="20"/>
    </w:rPr>
  </w:style>
  <w:style w:type="character" w:styleId="HTMLVariable">
    <w:name w:val="HTML Variable"/>
    <w:uiPriority w:val="99"/>
    <w:unhideWhenUsed/>
    <w:rsid w:val="00480720"/>
    <w:rPr>
      <w:i/>
      <w:iCs/>
    </w:rPr>
  </w:style>
  <w:style w:type="character" w:styleId="LineNumber">
    <w:name w:val="line number"/>
    <w:uiPriority w:val="99"/>
    <w:unhideWhenUsed/>
    <w:rsid w:val="00480720"/>
  </w:style>
  <w:style w:type="character" w:styleId="Strong">
    <w:name w:val="Strong"/>
    <w:uiPriority w:val="22"/>
    <w:qFormat/>
    <w:rsid w:val="00480720"/>
    <w:rPr>
      <w:b/>
      <w:bCs/>
    </w:rPr>
  </w:style>
  <w:style w:type="table" w:styleId="Table3Deffects1">
    <w:name w:val="Table 3D effects 1"/>
    <w:basedOn w:val="TableNormal"/>
    <w:rsid w:val="00480720"/>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80720"/>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80720"/>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80720"/>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0720"/>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80720"/>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80720"/>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80720"/>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80720"/>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80720"/>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80720"/>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80720"/>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80720"/>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80720"/>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80720"/>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80720"/>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80720"/>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80720"/>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80720"/>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80720"/>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80720"/>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80720"/>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80720"/>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80720"/>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80720"/>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80720"/>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80720"/>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80720"/>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80720"/>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80720"/>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80720"/>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80720"/>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807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80720"/>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80720"/>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80720"/>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unhideWhenUsed/>
    <w:rsid w:val="00480720"/>
    <w:rPr>
      <w:sz w:val="16"/>
      <w:szCs w:val="16"/>
    </w:rPr>
  </w:style>
  <w:style w:type="character" w:styleId="EndnoteReference">
    <w:name w:val="endnote reference"/>
    <w:uiPriority w:val="99"/>
    <w:unhideWhenUsed/>
    <w:rsid w:val="00480720"/>
    <w:rPr>
      <w:vertAlign w:val="superscript"/>
    </w:rPr>
  </w:style>
  <w:style w:type="paragraph" w:styleId="TOC7">
    <w:name w:val="toc 7"/>
    <w:basedOn w:val="Normal"/>
    <w:next w:val="Normal"/>
    <w:autoRedefine/>
    <w:uiPriority w:val="99"/>
    <w:unhideWhenUsed/>
    <w:rsid w:val="00480720"/>
    <w:pPr>
      <w:ind w:left="1440"/>
    </w:pPr>
  </w:style>
  <w:style w:type="paragraph" w:styleId="TOC8">
    <w:name w:val="toc 8"/>
    <w:basedOn w:val="Normal"/>
    <w:next w:val="Normal"/>
    <w:autoRedefine/>
    <w:uiPriority w:val="99"/>
    <w:unhideWhenUsed/>
    <w:rsid w:val="00480720"/>
    <w:pPr>
      <w:ind w:left="1680"/>
    </w:pPr>
  </w:style>
  <w:style w:type="paragraph" w:styleId="NoSpacing">
    <w:name w:val="No Spacing"/>
    <w:basedOn w:val="Normal"/>
    <w:uiPriority w:val="1"/>
    <w:qFormat/>
    <w:rsid w:val="00480720"/>
    <w:rPr>
      <w:szCs w:val="32"/>
    </w:rPr>
  </w:style>
  <w:style w:type="paragraph" w:styleId="Quote">
    <w:name w:val="Quote"/>
    <w:basedOn w:val="Normal"/>
    <w:next w:val="Normal"/>
    <w:link w:val="QuoteChar"/>
    <w:uiPriority w:val="29"/>
    <w:qFormat/>
    <w:rsid w:val="00480720"/>
    <w:rPr>
      <w:i/>
    </w:rPr>
  </w:style>
  <w:style w:type="character" w:customStyle="1" w:styleId="QuoteChar">
    <w:name w:val="Quote Char"/>
    <w:basedOn w:val="DefaultParagraphFont"/>
    <w:link w:val="Quote"/>
    <w:uiPriority w:val="29"/>
    <w:rsid w:val="00480720"/>
    <w:rPr>
      <w:i/>
      <w:sz w:val="24"/>
      <w:szCs w:val="24"/>
    </w:rPr>
  </w:style>
  <w:style w:type="paragraph" w:styleId="IntenseQuote">
    <w:name w:val="Intense Quote"/>
    <w:basedOn w:val="Normal"/>
    <w:next w:val="Normal"/>
    <w:link w:val="IntenseQuoteChar"/>
    <w:uiPriority w:val="30"/>
    <w:qFormat/>
    <w:rsid w:val="00480720"/>
    <w:pPr>
      <w:ind w:left="720" w:right="720"/>
    </w:pPr>
    <w:rPr>
      <w:b/>
      <w:i/>
      <w:szCs w:val="22"/>
    </w:rPr>
  </w:style>
  <w:style w:type="character" w:customStyle="1" w:styleId="IntenseQuoteChar">
    <w:name w:val="Intense Quote Char"/>
    <w:basedOn w:val="DefaultParagraphFont"/>
    <w:link w:val="IntenseQuote"/>
    <w:uiPriority w:val="30"/>
    <w:rsid w:val="00480720"/>
    <w:rPr>
      <w:b/>
      <w:i/>
      <w:sz w:val="24"/>
      <w:szCs w:val="22"/>
    </w:rPr>
  </w:style>
  <w:style w:type="character" w:styleId="SubtleEmphasis">
    <w:name w:val="Subtle Emphasis"/>
    <w:uiPriority w:val="19"/>
    <w:qFormat/>
    <w:rsid w:val="00480720"/>
    <w:rPr>
      <w:i/>
      <w:color w:val="5A5A5A"/>
    </w:rPr>
  </w:style>
  <w:style w:type="character" w:styleId="IntenseEmphasis">
    <w:name w:val="Intense Emphasis"/>
    <w:uiPriority w:val="21"/>
    <w:qFormat/>
    <w:rsid w:val="00480720"/>
    <w:rPr>
      <w:b/>
      <w:i/>
      <w:sz w:val="24"/>
      <w:szCs w:val="24"/>
      <w:u w:val="single"/>
    </w:rPr>
  </w:style>
  <w:style w:type="character" w:styleId="SubtleReference">
    <w:name w:val="Subtle Reference"/>
    <w:uiPriority w:val="31"/>
    <w:qFormat/>
    <w:rsid w:val="00480720"/>
    <w:rPr>
      <w:sz w:val="24"/>
      <w:szCs w:val="24"/>
      <w:u w:val="single"/>
    </w:rPr>
  </w:style>
  <w:style w:type="character" w:styleId="IntenseReference">
    <w:name w:val="Intense Reference"/>
    <w:uiPriority w:val="32"/>
    <w:qFormat/>
    <w:rsid w:val="00480720"/>
    <w:rPr>
      <w:b/>
      <w:sz w:val="24"/>
      <w:u w:val="single"/>
    </w:rPr>
  </w:style>
  <w:style w:type="character" w:styleId="BookTitle">
    <w:name w:val="Book Title"/>
    <w:uiPriority w:val="33"/>
    <w:qFormat/>
    <w:rsid w:val="004807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80720"/>
    <w:pPr>
      <w:numPr>
        <w:numId w:val="0"/>
      </w:numPr>
      <w:spacing w:before="240" w:after="60"/>
      <w:jc w:val="left"/>
      <w:outlineLvl w:val="9"/>
    </w:pPr>
    <w:rPr>
      <w:rFonts w:ascii="Cambria" w:hAnsi="Cambria" w:cs="Times New Roman"/>
      <w:b/>
      <w:sz w:val="32"/>
    </w:rPr>
  </w:style>
  <w:style w:type="character" w:customStyle="1" w:styleId="BodyTextChar1">
    <w:name w:val="Body Text Char1"/>
    <w:aliases w:val="s1 Char"/>
    <w:rsid w:val="00480720"/>
    <w:rPr>
      <w:sz w:val="24"/>
      <w:szCs w:val="24"/>
    </w:rPr>
  </w:style>
  <w:style w:type="paragraph" w:customStyle="1" w:styleId="MemoBody">
    <w:name w:val="Memo Body"/>
    <w:basedOn w:val="Normal"/>
    <w:rsid w:val="00480720"/>
    <w:pPr>
      <w:jc w:val="both"/>
    </w:pPr>
  </w:style>
  <w:style w:type="paragraph" w:customStyle="1" w:styleId="StateofFlorida">
    <w:name w:val="StateofFlorida"/>
    <w:basedOn w:val="Normal"/>
    <w:rsid w:val="00480720"/>
    <w:rPr>
      <w:b/>
      <w:sz w:val="28"/>
      <w:szCs w:val="28"/>
    </w:rPr>
  </w:style>
  <w:style w:type="paragraph" w:customStyle="1" w:styleId="PSCTitle">
    <w:name w:val="PSCTitle"/>
    <w:basedOn w:val="Normal"/>
    <w:rsid w:val="00480720"/>
    <w:pPr>
      <w:jc w:val="center"/>
    </w:pPr>
    <w:rPr>
      <w:rFonts w:ascii="WeddingText BT" w:hAnsi="WeddingText BT"/>
      <w:b/>
      <w:sz w:val="48"/>
      <w:szCs w:val="48"/>
    </w:rPr>
  </w:style>
  <w:style w:type="paragraph" w:customStyle="1" w:styleId="MemoTitle">
    <w:name w:val="MemoTitle"/>
    <w:basedOn w:val="Normal"/>
    <w:rsid w:val="00480720"/>
    <w:pPr>
      <w:jc w:val="center"/>
    </w:pPr>
    <w:rPr>
      <w:b/>
      <w:sz w:val="28"/>
      <w:szCs w:val="28"/>
    </w:rPr>
  </w:style>
  <w:style w:type="character" w:customStyle="1" w:styleId="charchar">
    <w:name w:val="charchar"/>
    <w:rsid w:val="00480720"/>
  </w:style>
  <w:style w:type="character" w:customStyle="1" w:styleId="CharChar0">
    <w:name w:val="Char Char"/>
    <w:locked/>
    <w:rsid w:val="00480720"/>
    <w:rPr>
      <w:sz w:val="24"/>
      <w:szCs w:val="24"/>
      <w:lang w:val="en-US" w:eastAsia="en-US" w:bidi="ar-SA"/>
    </w:rPr>
  </w:style>
  <w:style w:type="character" w:customStyle="1" w:styleId="FootnoteTextChar1">
    <w:name w:val="Footnote Text Char1"/>
    <w:rsid w:val="00480720"/>
  </w:style>
  <w:style w:type="numbering" w:customStyle="1" w:styleId="ArticleSection1">
    <w:name w:val="Article / Section1"/>
    <w:basedOn w:val="NoList"/>
    <w:next w:val="ArticleSection"/>
    <w:rsid w:val="00480720"/>
  </w:style>
  <w:style w:type="table" w:customStyle="1" w:styleId="TableGrid10">
    <w:name w:val="Table Grid1"/>
    <w:basedOn w:val="TableNormal"/>
    <w:next w:val="TableGrid"/>
    <w:uiPriority w:val="59"/>
    <w:rsid w:val="004807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80720"/>
    <w:rPr>
      <w:sz w:val="24"/>
      <w:szCs w:val="24"/>
    </w:rPr>
  </w:style>
  <w:style w:type="numbering" w:customStyle="1" w:styleId="1111111">
    <w:name w:val="1 / 1.1 / 1.1.11"/>
    <w:basedOn w:val="NoList"/>
    <w:next w:val="111111"/>
    <w:rsid w:val="00480720"/>
  </w:style>
  <w:style w:type="numbering" w:customStyle="1" w:styleId="1ai1">
    <w:name w:val="1 / a / i1"/>
    <w:basedOn w:val="NoList"/>
    <w:next w:val="1ai"/>
    <w:rsid w:val="00480720"/>
  </w:style>
  <w:style w:type="numbering" w:customStyle="1" w:styleId="ArticleSection2">
    <w:name w:val="Article / Section2"/>
    <w:basedOn w:val="NoList"/>
    <w:next w:val="ArticleSection"/>
    <w:rsid w:val="00480720"/>
  </w:style>
  <w:style w:type="table" w:customStyle="1" w:styleId="Table3Deffects11">
    <w:name w:val="Table 3D effects 11"/>
    <w:basedOn w:val="TableNormal"/>
    <w:next w:val="Table3Deffects1"/>
    <w:rsid w:val="00480720"/>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480720"/>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480720"/>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80720"/>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80720"/>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80720"/>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480720"/>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480720"/>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480720"/>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480720"/>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480720"/>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480720"/>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480720"/>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480720"/>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480720"/>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480720"/>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480720"/>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480720"/>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80720"/>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480720"/>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480720"/>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480720"/>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480720"/>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480720"/>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480720"/>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480720"/>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480720"/>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480720"/>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480720"/>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480720"/>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480720"/>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80720"/>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807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480720"/>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480720"/>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480720"/>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4807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2C1EFF"/>
  </w:style>
  <w:style w:type="numbering" w:customStyle="1" w:styleId="1ai2">
    <w:name w:val="1 / a / i2"/>
    <w:basedOn w:val="NoList"/>
    <w:next w:val="1ai"/>
    <w:rsid w:val="002C1EFF"/>
  </w:style>
  <w:style w:type="numbering" w:customStyle="1" w:styleId="ArticleSection3">
    <w:name w:val="Article / Section3"/>
    <w:basedOn w:val="NoList"/>
    <w:next w:val="ArticleSection"/>
    <w:rsid w:val="002C1EFF"/>
  </w:style>
  <w:style w:type="table" w:customStyle="1" w:styleId="Table3Deffects12">
    <w:name w:val="Table 3D effects 12"/>
    <w:basedOn w:val="TableNormal"/>
    <w:next w:val="Table3Deffects1"/>
    <w:rsid w:val="002C1EFF"/>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2C1EFF"/>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2C1EFF"/>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2C1EFF"/>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2C1EFF"/>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2C1EFF"/>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2C1EFF"/>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2C1EFF"/>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2C1EFF"/>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2C1EFF"/>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2C1EFF"/>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2C1EFF"/>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2C1EFF"/>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2C1EFF"/>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2C1EFF"/>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2C1EFF"/>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2C1EFF"/>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2C1EFF"/>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2C1EFF"/>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2C1EFF"/>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2C1EFF"/>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2C1EFF"/>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2C1EFF"/>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2C1EFF"/>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2C1EFF"/>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2C1EFF"/>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2C1EFF"/>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2C1EFF"/>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2C1EFF"/>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2C1EFF"/>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2C1EFF"/>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2C1EFF"/>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2C1EFF"/>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2C1EFF"/>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2C1EFF"/>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2C1EFF"/>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2C1EFF"/>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2C1EFF"/>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2C1EFF"/>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2C1E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2C1EFF"/>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2C1EFF"/>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2C1EFF"/>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20">
    <w:name w:val="Table Grid12"/>
    <w:basedOn w:val="TableNormal"/>
    <w:next w:val="TableGrid"/>
    <w:uiPriority w:val="59"/>
    <w:rsid w:val="002C1E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5" w:uiPriority="99"/>
    <w:lsdException w:name="toc 7" w:uiPriority="99"/>
    <w:lsdException w:name="toc 8" w:uiPriority="99"/>
    <w:lsdException w:name="footnote text" w:uiPriority="99"/>
    <w:lsdException w:name="annotation text" w:uiPriority="99"/>
    <w:lsdException w:name="index heading" w:uiPriority="99"/>
    <w:lsdException w:name="caption" w:semiHidden="1" w:unhideWhenUsed="1"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numPr>
        <w:numId w:val="13"/>
      </w:numPr>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numPr>
        <w:ilvl w:val="1"/>
        <w:numId w:val="13"/>
      </w:numPr>
      <w:spacing w:after="240"/>
      <w:jc w:val="both"/>
      <w:outlineLvl w:val="1"/>
    </w:pPr>
    <w:rPr>
      <w:rFonts w:cs="Arial"/>
      <w:bCs/>
      <w:iCs/>
      <w:szCs w:val="28"/>
    </w:rPr>
  </w:style>
  <w:style w:type="paragraph" w:styleId="Heading3">
    <w:name w:val="heading 3"/>
    <w:basedOn w:val="BodyText"/>
    <w:next w:val="BodyText"/>
    <w:link w:val="Heading3Char"/>
    <w:qFormat/>
    <w:rsid w:val="00CD7132"/>
    <w:pPr>
      <w:numPr>
        <w:ilvl w:val="2"/>
        <w:numId w:val="13"/>
      </w:numPr>
      <w:spacing w:after="240"/>
      <w:jc w:val="both"/>
      <w:outlineLvl w:val="2"/>
    </w:pPr>
  </w:style>
  <w:style w:type="paragraph" w:styleId="Heading4">
    <w:name w:val="heading 4"/>
    <w:basedOn w:val="Normal"/>
    <w:next w:val="Normal"/>
    <w:link w:val="Heading4Char"/>
    <w:qFormat/>
    <w:rsid w:val="00CD7132"/>
    <w:pPr>
      <w:keepNext/>
      <w:numPr>
        <w:ilvl w:val="3"/>
        <w:numId w:val="13"/>
      </w:numPr>
      <w:spacing w:before="240" w:after="60"/>
      <w:outlineLvl w:val="3"/>
    </w:pPr>
    <w:rPr>
      <w:b/>
      <w:bCs/>
      <w:sz w:val="28"/>
      <w:szCs w:val="28"/>
    </w:rPr>
  </w:style>
  <w:style w:type="paragraph" w:styleId="Heading5">
    <w:name w:val="heading 5"/>
    <w:basedOn w:val="Normal"/>
    <w:next w:val="Normal"/>
    <w:link w:val="Heading5Char"/>
    <w:qFormat/>
    <w:rsid w:val="00CD7132"/>
    <w:pPr>
      <w:numPr>
        <w:ilvl w:val="4"/>
        <w:numId w:val="13"/>
      </w:numPr>
      <w:spacing w:before="240" w:after="60"/>
      <w:outlineLvl w:val="4"/>
    </w:pPr>
    <w:rPr>
      <w:b/>
      <w:bCs/>
      <w:i/>
      <w:iCs/>
      <w:sz w:val="26"/>
      <w:szCs w:val="26"/>
    </w:rPr>
  </w:style>
  <w:style w:type="paragraph" w:styleId="Heading6">
    <w:name w:val="heading 6"/>
    <w:basedOn w:val="Normal"/>
    <w:next w:val="Normal"/>
    <w:link w:val="Heading6Char"/>
    <w:qFormat/>
    <w:rsid w:val="00CD7132"/>
    <w:pPr>
      <w:numPr>
        <w:ilvl w:val="5"/>
        <w:numId w:val="13"/>
      </w:numPr>
      <w:spacing w:before="240" w:after="60"/>
      <w:outlineLvl w:val="5"/>
    </w:pPr>
    <w:rPr>
      <w:b/>
      <w:bCs/>
      <w:sz w:val="22"/>
      <w:szCs w:val="22"/>
    </w:rPr>
  </w:style>
  <w:style w:type="paragraph" w:styleId="Heading7">
    <w:name w:val="heading 7"/>
    <w:basedOn w:val="Normal"/>
    <w:next w:val="Normal"/>
    <w:link w:val="Heading7Char"/>
    <w:qFormat/>
    <w:rsid w:val="00CD7132"/>
    <w:pPr>
      <w:numPr>
        <w:ilvl w:val="6"/>
        <w:numId w:val="13"/>
      </w:numPr>
      <w:spacing w:before="240" w:after="60"/>
      <w:outlineLvl w:val="6"/>
    </w:pPr>
  </w:style>
  <w:style w:type="paragraph" w:styleId="Heading8">
    <w:name w:val="heading 8"/>
    <w:basedOn w:val="Normal"/>
    <w:next w:val="Normal"/>
    <w:link w:val="Heading8Char"/>
    <w:qFormat/>
    <w:rsid w:val="00CD7132"/>
    <w:pPr>
      <w:numPr>
        <w:ilvl w:val="7"/>
        <w:numId w:val="13"/>
      </w:numPr>
      <w:spacing w:before="240" w:after="60"/>
      <w:outlineLvl w:val="7"/>
    </w:pPr>
    <w:rPr>
      <w:i/>
      <w:iCs/>
    </w:rPr>
  </w:style>
  <w:style w:type="paragraph" w:styleId="Heading9">
    <w:name w:val="heading 9"/>
    <w:basedOn w:val="Normal"/>
    <w:next w:val="Normal"/>
    <w:link w:val="Heading9Char"/>
    <w:qFormat/>
    <w:rsid w:val="00CD7132"/>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aliases w:val="s1"/>
    <w:basedOn w:val="Normal"/>
    <w:link w:val="BodyTextChar"/>
    <w:rsid w:val="00CD7132"/>
    <w:pPr>
      <w:spacing w:after="120"/>
    </w:pPr>
  </w:style>
  <w:style w:type="character" w:customStyle="1" w:styleId="BodyTextChar">
    <w:name w:val="Body Text Char"/>
    <w:aliases w:val="s1 Char1"/>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Addresses">
    <w:name w:val="Memo Addresses"/>
    <w:basedOn w:val="Normal"/>
    <w:next w:val="Normal"/>
    <w:rsid w:val="00480720"/>
    <w:pPr>
      <w:spacing w:before="120"/>
      <w:ind w:left="1008" w:hanging="1008"/>
      <w:jc w:val="both"/>
    </w:pPr>
  </w:style>
  <w:style w:type="paragraph" w:customStyle="1" w:styleId="MastHeadPSC">
    <w:name w:val="MastHead PSC"/>
    <w:basedOn w:val="Normal"/>
    <w:next w:val="Normal"/>
    <w:rsid w:val="00480720"/>
    <w:pPr>
      <w:jc w:val="center"/>
    </w:pPr>
    <w:rPr>
      <w:b/>
      <w:sz w:val="48"/>
      <w:szCs w:val="48"/>
    </w:rPr>
  </w:style>
  <w:style w:type="paragraph" w:customStyle="1" w:styleId="MastHeadMemorandum">
    <w:name w:val="MastHead Memorandum"/>
    <w:basedOn w:val="Normal"/>
    <w:next w:val="Normal"/>
    <w:rsid w:val="00480720"/>
    <w:pPr>
      <w:jc w:val="center"/>
    </w:pPr>
    <w:rPr>
      <w:b/>
      <w:sz w:val="28"/>
      <w:szCs w:val="28"/>
    </w:rPr>
  </w:style>
  <w:style w:type="paragraph" w:customStyle="1" w:styleId="MastHeadAddress">
    <w:name w:val="MastHead Address"/>
    <w:basedOn w:val="Normal"/>
    <w:next w:val="Normal"/>
    <w:rsid w:val="00480720"/>
    <w:pPr>
      <w:spacing w:after="200"/>
      <w:jc w:val="center"/>
    </w:pPr>
    <w:rPr>
      <w:b/>
      <w:smallCaps/>
      <w:sz w:val="20"/>
      <w:szCs w:val="20"/>
    </w:rPr>
  </w:style>
  <w:style w:type="paragraph" w:customStyle="1" w:styleId="MastHeadState">
    <w:name w:val="MastHead State"/>
    <w:basedOn w:val="Normal"/>
    <w:next w:val="Normal"/>
    <w:rsid w:val="00480720"/>
    <w:pPr>
      <w:jc w:val="center"/>
    </w:pPr>
    <w:rPr>
      <w:b/>
      <w:sz w:val="28"/>
      <w:szCs w:val="28"/>
    </w:rPr>
  </w:style>
  <w:style w:type="paragraph" w:customStyle="1" w:styleId="MemoHeading">
    <w:name w:val="Memo Heading"/>
    <w:basedOn w:val="Normal"/>
    <w:next w:val="Normal"/>
    <w:rsid w:val="00480720"/>
    <w:pPr>
      <w:jc w:val="both"/>
    </w:pPr>
  </w:style>
  <w:style w:type="paragraph" w:customStyle="1" w:styleId="BlockText5">
    <w:name w:val="Block Text .5&quot;"/>
    <w:basedOn w:val="Normal"/>
    <w:rsid w:val="00480720"/>
    <w:pPr>
      <w:spacing w:after="120"/>
      <w:ind w:left="720" w:right="720"/>
    </w:pPr>
  </w:style>
  <w:style w:type="paragraph" w:customStyle="1" w:styleId="BlockText1">
    <w:name w:val="Block Text 1&quot;"/>
    <w:basedOn w:val="Normal"/>
    <w:rsid w:val="00480720"/>
    <w:pPr>
      <w:spacing w:after="120"/>
      <w:ind w:left="1440" w:right="1440"/>
    </w:pPr>
  </w:style>
  <w:style w:type="paragraph" w:customStyle="1" w:styleId="BlockText15">
    <w:name w:val="Block Text 1.5&quot;"/>
    <w:basedOn w:val="Normal"/>
    <w:rsid w:val="00480720"/>
    <w:pPr>
      <w:spacing w:after="120"/>
      <w:ind w:left="2160" w:right="2160"/>
    </w:pPr>
  </w:style>
  <w:style w:type="paragraph" w:customStyle="1" w:styleId="IssueHeading">
    <w:name w:val="Issue Heading"/>
    <w:basedOn w:val="Heading1"/>
    <w:next w:val="BodyText"/>
    <w:link w:val="IssueHeadingChar"/>
    <w:qFormat/>
    <w:rsid w:val="00480720"/>
  </w:style>
  <w:style w:type="character" w:customStyle="1" w:styleId="IssueHeadingChar">
    <w:name w:val="Issue Heading Char"/>
    <w:link w:val="IssueHeading"/>
    <w:rsid w:val="00480720"/>
    <w:rPr>
      <w:rFonts w:cs="Arial"/>
      <w:bCs/>
      <w:kern w:val="32"/>
      <w:sz w:val="24"/>
      <w:szCs w:val="32"/>
    </w:rPr>
  </w:style>
  <w:style w:type="paragraph" w:customStyle="1" w:styleId="MemoHeadingRe">
    <w:name w:val="Memo Heading Re"/>
    <w:basedOn w:val="MemoHeading"/>
    <w:rsid w:val="00480720"/>
    <w:pPr>
      <w:tabs>
        <w:tab w:val="left" w:pos="2520"/>
        <w:tab w:val="left" w:pos="2736"/>
      </w:tabs>
    </w:pPr>
  </w:style>
  <w:style w:type="paragraph" w:styleId="TOC1">
    <w:name w:val="toc 1"/>
    <w:basedOn w:val="Normal"/>
    <w:next w:val="Normal"/>
    <w:uiPriority w:val="39"/>
    <w:rsid w:val="00480720"/>
    <w:pPr>
      <w:tabs>
        <w:tab w:val="left" w:pos="864"/>
        <w:tab w:val="right" w:leader="dot" w:pos="9360"/>
      </w:tabs>
      <w:ind w:left="864" w:right="360" w:hanging="864"/>
    </w:pPr>
    <w:rPr>
      <w:sz w:val="23"/>
    </w:rPr>
  </w:style>
  <w:style w:type="character" w:styleId="Hyperlink">
    <w:name w:val="Hyperlink"/>
    <w:uiPriority w:val="99"/>
    <w:rsid w:val="00480720"/>
    <w:rPr>
      <w:color w:val="0000FF"/>
      <w:u w:val="single"/>
    </w:rPr>
  </w:style>
  <w:style w:type="paragraph" w:customStyle="1" w:styleId="RecommendationMajorSectionHeading">
    <w:name w:val="Recommendation Major Section Heading"/>
    <w:basedOn w:val="Heading1"/>
    <w:next w:val="BodyText"/>
    <w:rsid w:val="00480720"/>
  </w:style>
  <w:style w:type="paragraph" w:customStyle="1" w:styleId="IssueSubsectionHeading">
    <w:name w:val="Issue Subsection Heading"/>
    <w:basedOn w:val="Heading2"/>
    <w:next w:val="BodyText"/>
    <w:link w:val="IssueSubsectionHeadingChar"/>
    <w:qFormat/>
    <w:rsid w:val="00480720"/>
  </w:style>
  <w:style w:type="character" w:customStyle="1" w:styleId="IssueSubsectionHeadingChar">
    <w:name w:val="Issue Subsection Heading Char"/>
    <w:link w:val="IssueSubsectionHeading"/>
    <w:rsid w:val="00480720"/>
    <w:rPr>
      <w:rFonts w:cs="Arial"/>
      <w:bCs/>
      <w:iCs/>
      <w:sz w:val="24"/>
      <w:szCs w:val="28"/>
    </w:rPr>
  </w:style>
  <w:style w:type="paragraph" w:customStyle="1" w:styleId="RecommendationHeading">
    <w:name w:val="Recommendation Heading"/>
    <w:basedOn w:val="Heading1"/>
    <w:next w:val="BodyText"/>
    <w:rsid w:val="00480720"/>
  </w:style>
  <w:style w:type="paragraph" w:customStyle="1" w:styleId="DiscussionofIssues">
    <w:name w:val="Discussion of Issues"/>
    <w:basedOn w:val="RecommendationMajorSectionHeading"/>
    <w:next w:val="BodyText"/>
    <w:rsid w:val="00480720"/>
    <w:pPr>
      <w:tabs>
        <w:tab w:val="num" w:pos="360"/>
      </w:tabs>
      <w:spacing w:after="0"/>
      <w:ind w:left="360"/>
      <w:jc w:val="center"/>
    </w:pPr>
    <w:rPr>
      <w:rFonts w:ascii="Arial" w:hAnsi="Arial"/>
      <w:b/>
    </w:rPr>
  </w:style>
  <w:style w:type="paragraph" w:customStyle="1" w:styleId="TOCColumnHeadings">
    <w:name w:val="TOC Column Headings"/>
    <w:basedOn w:val="Normal"/>
    <w:rsid w:val="00480720"/>
    <w:pPr>
      <w:tabs>
        <w:tab w:val="left" w:pos="864"/>
        <w:tab w:val="right" w:pos="9360"/>
      </w:tabs>
    </w:pPr>
    <w:rPr>
      <w:u w:val="words"/>
    </w:rPr>
  </w:style>
  <w:style w:type="table" w:customStyle="1" w:styleId="TableMasthead">
    <w:name w:val="Table Masthead"/>
    <w:basedOn w:val="TableGrid"/>
    <w:rsid w:val="00480720"/>
    <w:tblPr/>
  </w:style>
  <w:style w:type="paragraph" w:customStyle="1" w:styleId="StyleHeading1BoldUnderline">
    <w:name w:val="Style Heading 1 + Bold Underline"/>
    <w:basedOn w:val="Heading1"/>
    <w:link w:val="StyleHeading1BoldUnderlineChar"/>
    <w:rsid w:val="00480720"/>
  </w:style>
  <w:style w:type="character" w:customStyle="1" w:styleId="StyleHeading1BoldUnderlineChar">
    <w:name w:val="Style Heading 1 + Bold Underline Char"/>
    <w:link w:val="StyleHeading1BoldUnderline"/>
    <w:rsid w:val="00480720"/>
    <w:rPr>
      <w:rFonts w:cs="Arial"/>
      <w:bCs/>
      <w:kern w:val="32"/>
      <w:sz w:val="24"/>
      <w:szCs w:val="32"/>
    </w:rPr>
  </w:style>
  <w:style w:type="paragraph" w:customStyle="1" w:styleId="RecommendationIssueGroupingSection">
    <w:name w:val="Recommendation Issue Grouping Section"/>
    <w:basedOn w:val="RecommendationMajorSectionHeading"/>
    <w:next w:val="IssueHeading"/>
    <w:rsid w:val="00480720"/>
    <w:pPr>
      <w:tabs>
        <w:tab w:val="num" w:pos="360"/>
      </w:tabs>
      <w:ind w:left="360"/>
      <w:jc w:val="left"/>
    </w:pPr>
    <w:rPr>
      <w:rFonts w:ascii="Arial" w:hAnsi="Arial"/>
      <w:b/>
    </w:rPr>
  </w:style>
  <w:style w:type="paragraph" w:styleId="TOC3">
    <w:name w:val="toc 3"/>
    <w:basedOn w:val="TOC2"/>
    <w:next w:val="Normal"/>
    <w:rsid w:val="00480720"/>
    <w:pPr>
      <w:tabs>
        <w:tab w:val="clear" w:pos="1152"/>
        <w:tab w:val="left" w:pos="1584"/>
      </w:tabs>
      <w:ind w:left="1584" w:hanging="432"/>
    </w:pPr>
  </w:style>
  <w:style w:type="paragraph" w:styleId="TOC2">
    <w:name w:val="toc 2"/>
    <w:basedOn w:val="TOC1"/>
    <w:next w:val="Normal"/>
    <w:rsid w:val="00480720"/>
    <w:pPr>
      <w:tabs>
        <w:tab w:val="clear" w:pos="864"/>
        <w:tab w:val="left" w:pos="1152"/>
      </w:tabs>
      <w:ind w:left="1152" w:hanging="288"/>
    </w:pPr>
  </w:style>
  <w:style w:type="paragraph" w:styleId="DocumentMap">
    <w:name w:val="Document Map"/>
    <w:basedOn w:val="Normal"/>
    <w:link w:val="DocumentMapChar"/>
    <w:uiPriority w:val="99"/>
    <w:rsid w:val="00480720"/>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480720"/>
    <w:rPr>
      <w:rFonts w:ascii="Tahoma" w:hAnsi="Tahoma" w:cs="Tahoma"/>
      <w:sz w:val="24"/>
      <w:szCs w:val="24"/>
      <w:shd w:val="clear" w:color="auto" w:fill="000080"/>
    </w:rPr>
  </w:style>
  <w:style w:type="paragraph" w:styleId="BalloonText">
    <w:name w:val="Balloon Text"/>
    <w:basedOn w:val="Normal"/>
    <w:link w:val="BalloonTextChar"/>
    <w:rsid w:val="00480720"/>
    <w:rPr>
      <w:rFonts w:ascii="Tahoma" w:hAnsi="Tahoma" w:cs="Tahoma"/>
      <w:sz w:val="16"/>
      <w:szCs w:val="16"/>
    </w:rPr>
  </w:style>
  <w:style w:type="character" w:customStyle="1" w:styleId="BalloonTextChar">
    <w:name w:val="Balloon Text Char"/>
    <w:basedOn w:val="DefaultParagraphFont"/>
    <w:link w:val="BalloonText"/>
    <w:rsid w:val="00480720"/>
    <w:rPr>
      <w:rFonts w:ascii="Tahoma" w:hAnsi="Tahoma" w:cs="Tahoma"/>
      <w:sz w:val="16"/>
      <w:szCs w:val="16"/>
    </w:rPr>
  </w:style>
  <w:style w:type="paragraph" w:styleId="BlockText">
    <w:name w:val="Block Text"/>
    <w:basedOn w:val="Normal"/>
    <w:rsid w:val="00480720"/>
    <w:pPr>
      <w:spacing w:after="120"/>
      <w:ind w:left="1440" w:right="1440"/>
    </w:pPr>
  </w:style>
  <w:style w:type="paragraph" w:styleId="BodyText2">
    <w:name w:val="Body Text 2"/>
    <w:basedOn w:val="Normal"/>
    <w:link w:val="BodyText2Char"/>
    <w:rsid w:val="00480720"/>
    <w:pPr>
      <w:spacing w:after="120" w:line="480" w:lineRule="auto"/>
    </w:pPr>
  </w:style>
  <w:style w:type="character" w:customStyle="1" w:styleId="BodyText2Char">
    <w:name w:val="Body Text 2 Char"/>
    <w:basedOn w:val="DefaultParagraphFont"/>
    <w:link w:val="BodyText2"/>
    <w:rsid w:val="00480720"/>
    <w:rPr>
      <w:sz w:val="24"/>
      <w:szCs w:val="24"/>
    </w:rPr>
  </w:style>
  <w:style w:type="paragraph" w:styleId="BodyText3">
    <w:name w:val="Body Text 3"/>
    <w:basedOn w:val="Normal"/>
    <w:link w:val="BodyText3Char"/>
    <w:rsid w:val="00480720"/>
    <w:pPr>
      <w:spacing w:after="120"/>
    </w:pPr>
    <w:rPr>
      <w:sz w:val="16"/>
      <w:szCs w:val="16"/>
    </w:rPr>
  </w:style>
  <w:style w:type="character" w:customStyle="1" w:styleId="BodyText3Char">
    <w:name w:val="Body Text 3 Char"/>
    <w:basedOn w:val="DefaultParagraphFont"/>
    <w:link w:val="BodyText3"/>
    <w:rsid w:val="00480720"/>
    <w:rPr>
      <w:sz w:val="16"/>
      <w:szCs w:val="16"/>
    </w:rPr>
  </w:style>
  <w:style w:type="paragraph" w:styleId="BodyTextFirstIndent">
    <w:name w:val="Body Text First Indent"/>
    <w:basedOn w:val="BodyText"/>
    <w:link w:val="BodyTextFirstIndentChar"/>
    <w:rsid w:val="00480720"/>
    <w:pPr>
      <w:ind w:firstLine="210"/>
    </w:pPr>
  </w:style>
  <w:style w:type="character" w:customStyle="1" w:styleId="BodyTextFirstIndentChar">
    <w:name w:val="Body Text First Indent Char"/>
    <w:basedOn w:val="BodyTextChar"/>
    <w:link w:val="BodyTextFirstIndent"/>
    <w:rsid w:val="00480720"/>
    <w:rPr>
      <w:sz w:val="24"/>
      <w:szCs w:val="24"/>
    </w:rPr>
  </w:style>
  <w:style w:type="paragraph" w:styleId="BodyTextIndent">
    <w:name w:val="Body Text Indent"/>
    <w:basedOn w:val="Normal"/>
    <w:link w:val="BodyTextIndentChar"/>
    <w:rsid w:val="00480720"/>
    <w:pPr>
      <w:spacing w:after="120"/>
      <w:ind w:left="360"/>
    </w:pPr>
  </w:style>
  <w:style w:type="character" w:customStyle="1" w:styleId="BodyTextIndentChar">
    <w:name w:val="Body Text Indent Char"/>
    <w:basedOn w:val="DefaultParagraphFont"/>
    <w:link w:val="BodyTextIndent"/>
    <w:rsid w:val="00480720"/>
    <w:rPr>
      <w:sz w:val="24"/>
      <w:szCs w:val="24"/>
    </w:rPr>
  </w:style>
  <w:style w:type="paragraph" w:styleId="BodyTextFirstIndent2">
    <w:name w:val="Body Text First Indent 2"/>
    <w:basedOn w:val="BodyTextIndent"/>
    <w:link w:val="BodyTextFirstIndent2Char"/>
    <w:rsid w:val="00480720"/>
    <w:pPr>
      <w:ind w:firstLine="210"/>
    </w:pPr>
  </w:style>
  <w:style w:type="character" w:customStyle="1" w:styleId="BodyTextFirstIndent2Char">
    <w:name w:val="Body Text First Indent 2 Char"/>
    <w:basedOn w:val="BodyTextIndentChar"/>
    <w:link w:val="BodyTextFirstIndent2"/>
    <w:rsid w:val="00480720"/>
    <w:rPr>
      <w:sz w:val="24"/>
      <w:szCs w:val="24"/>
    </w:rPr>
  </w:style>
  <w:style w:type="paragraph" w:styleId="BodyTextIndent2">
    <w:name w:val="Body Text Indent 2"/>
    <w:basedOn w:val="Normal"/>
    <w:link w:val="BodyTextIndent2Char"/>
    <w:rsid w:val="00480720"/>
    <w:pPr>
      <w:spacing w:after="120" w:line="480" w:lineRule="auto"/>
      <w:ind w:left="360"/>
    </w:pPr>
  </w:style>
  <w:style w:type="character" w:customStyle="1" w:styleId="BodyTextIndent2Char">
    <w:name w:val="Body Text Indent 2 Char"/>
    <w:basedOn w:val="DefaultParagraphFont"/>
    <w:link w:val="BodyTextIndent2"/>
    <w:rsid w:val="00480720"/>
    <w:rPr>
      <w:sz w:val="24"/>
      <w:szCs w:val="24"/>
    </w:rPr>
  </w:style>
  <w:style w:type="paragraph" w:styleId="BodyTextIndent3">
    <w:name w:val="Body Text Indent 3"/>
    <w:basedOn w:val="Normal"/>
    <w:link w:val="BodyTextIndent3Char"/>
    <w:rsid w:val="00480720"/>
    <w:pPr>
      <w:spacing w:after="120"/>
      <w:ind w:left="360"/>
    </w:pPr>
    <w:rPr>
      <w:sz w:val="16"/>
      <w:szCs w:val="16"/>
    </w:rPr>
  </w:style>
  <w:style w:type="character" w:customStyle="1" w:styleId="BodyTextIndent3Char">
    <w:name w:val="Body Text Indent 3 Char"/>
    <w:basedOn w:val="DefaultParagraphFont"/>
    <w:link w:val="BodyTextIndent3"/>
    <w:rsid w:val="00480720"/>
    <w:rPr>
      <w:sz w:val="16"/>
      <w:szCs w:val="16"/>
    </w:rPr>
  </w:style>
  <w:style w:type="paragraph" w:styleId="Caption">
    <w:name w:val="caption"/>
    <w:basedOn w:val="Normal"/>
    <w:next w:val="Normal"/>
    <w:qFormat/>
    <w:rsid w:val="00480720"/>
    <w:pPr>
      <w:spacing w:before="120" w:after="120"/>
    </w:pPr>
    <w:rPr>
      <w:b/>
      <w:bCs/>
      <w:sz w:val="20"/>
      <w:szCs w:val="20"/>
    </w:rPr>
  </w:style>
  <w:style w:type="paragraph" w:styleId="Closing">
    <w:name w:val="Closing"/>
    <w:basedOn w:val="Normal"/>
    <w:link w:val="ClosingChar"/>
    <w:rsid w:val="00480720"/>
    <w:pPr>
      <w:ind w:left="4320"/>
    </w:pPr>
  </w:style>
  <w:style w:type="character" w:customStyle="1" w:styleId="ClosingChar">
    <w:name w:val="Closing Char"/>
    <w:basedOn w:val="DefaultParagraphFont"/>
    <w:link w:val="Closing"/>
    <w:rsid w:val="00480720"/>
    <w:rPr>
      <w:sz w:val="24"/>
      <w:szCs w:val="24"/>
    </w:rPr>
  </w:style>
  <w:style w:type="paragraph" w:styleId="CommentText">
    <w:name w:val="annotation text"/>
    <w:basedOn w:val="Normal"/>
    <w:link w:val="CommentTextChar"/>
    <w:uiPriority w:val="99"/>
    <w:rsid w:val="00480720"/>
    <w:rPr>
      <w:sz w:val="20"/>
      <w:szCs w:val="20"/>
    </w:rPr>
  </w:style>
  <w:style w:type="character" w:customStyle="1" w:styleId="CommentTextChar">
    <w:name w:val="Comment Text Char"/>
    <w:basedOn w:val="DefaultParagraphFont"/>
    <w:link w:val="CommentText"/>
    <w:uiPriority w:val="99"/>
    <w:rsid w:val="00480720"/>
  </w:style>
  <w:style w:type="paragraph" w:styleId="CommentSubject">
    <w:name w:val="annotation subject"/>
    <w:basedOn w:val="CommentText"/>
    <w:next w:val="CommentText"/>
    <w:link w:val="CommentSubjectChar"/>
    <w:uiPriority w:val="99"/>
    <w:rsid w:val="00480720"/>
    <w:rPr>
      <w:b/>
      <w:bCs/>
    </w:rPr>
  </w:style>
  <w:style w:type="character" w:customStyle="1" w:styleId="CommentSubjectChar">
    <w:name w:val="Comment Subject Char"/>
    <w:basedOn w:val="CommentTextChar"/>
    <w:link w:val="CommentSubject"/>
    <w:uiPriority w:val="99"/>
    <w:rsid w:val="00480720"/>
    <w:rPr>
      <w:b/>
      <w:bCs/>
    </w:rPr>
  </w:style>
  <w:style w:type="paragraph" w:styleId="Date">
    <w:name w:val="Date"/>
    <w:basedOn w:val="Normal"/>
    <w:next w:val="Normal"/>
    <w:link w:val="DateChar"/>
    <w:rsid w:val="00480720"/>
  </w:style>
  <w:style w:type="character" w:customStyle="1" w:styleId="DateChar">
    <w:name w:val="Date Char"/>
    <w:basedOn w:val="DefaultParagraphFont"/>
    <w:link w:val="Date"/>
    <w:rsid w:val="00480720"/>
    <w:rPr>
      <w:sz w:val="24"/>
      <w:szCs w:val="24"/>
    </w:rPr>
  </w:style>
  <w:style w:type="paragraph" w:styleId="E-mailSignature">
    <w:name w:val="E-mail Signature"/>
    <w:basedOn w:val="Normal"/>
    <w:link w:val="E-mailSignatureChar"/>
    <w:rsid w:val="00480720"/>
  </w:style>
  <w:style w:type="character" w:customStyle="1" w:styleId="E-mailSignatureChar">
    <w:name w:val="E-mail Signature Char"/>
    <w:basedOn w:val="DefaultParagraphFont"/>
    <w:link w:val="E-mailSignature"/>
    <w:rsid w:val="00480720"/>
    <w:rPr>
      <w:sz w:val="24"/>
      <w:szCs w:val="24"/>
    </w:rPr>
  </w:style>
  <w:style w:type="paragraph" w:styleId="EndnoteText">
    <w:name w:val="endnote text"/>
    <w:basedOn w:val="Normal"/>
    <w:link w:val="EndnoteTextChar"/>
    <w:uiPriority w:val="99"/>
    <w:rsid w:val="00480720"/>
    <w:rPr>
      <w:sz w:val="20"/>
      <w:szCs w:val="20"/>
    </w:rPr>
  </w:style>
  <w:style w:type="character" w:customStyle="1" w:styleId="EndnoteTextChar">
    <w:name w:val="Endnote Text Char"/>
    <w:basedOn w:val="DefaultParagraphFont"/>
    <w:link w:val="EndnoteText"/>
    <w:uiPriority w:val="99"/>
    <w:rsid w:val="00480720"/>
  </w:style>
  <w:style w:type="paragraph" w:styleId="EnvelopeAddress">
    <w:name w:val="envelope address"/>
    <w:basedOn w:val="Normal"/>
    <w:rsid w:val="0048072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80720"/>
    <w:rPr>
      <w:rFonts w:ascii="Arial" w:hAnsi="Arial" w:cs="Arial"/>
      <w:sz w:val="20"/>
      <w:szCs w:val="20"/>
    </w:rPr>
  </w:style>
  <w:style w:type="paragraph" w:styleId="HTMLAddress">
    <w:name w:val="HTML Address"/>
    <w:basedOn w:val="Normal"/>
    <w:link w:val="HTMLAddressChar"/>
    <w:rsid w:val="00480720"/>
    <w:rPr>
      <w:i/>
      <w:iCs/>
    </w:rPr>
  </w:style>
  <w:style w:type="character" w:customStyle="1" w:styleId="HTMLAddressChar">
    <w:name w:val="HTML Address Char"/>
    <w:basedOn w:val="DefaultParagraphFont"/>
    <w:link w:val="HTMLAddress"/>
    <w:rsid w:val="00480720"/>
    <w:rPr>
      <w:i/>
      <w:iCs/>
      <w:sz w:val="24"/>
      <w:szCs w:val="24"/>
    </w:rPr>
  </w:style>
  <w:style w:type="paragraph" w:styleId="HTMLPreformatted">
    <w:name w:val="HTML Preformatted"/>
    <w:basedOn w:val="Normal"/>
    <w:link w:val="HTMLPreformattedChar"/>
    <w:rsid w:val="00480720"/>
    <w:rPr>
      <w:rFonts w:ascii="Courier New" w:hAnsi="Courier New" w:cs="Courier New"/>
      <w:sz w:val="20"/>
      <w:szCs w:val="20"/>
    </w:rPr>
  </w:style>
  <w:style w:type="character" w:customStyle="1" w:styleId="HTMLPreformattedChar">
    <w:name w:val="HTML Preformatted Char"/>
    <w:basedOn w:val="DefaultParagraphFont"/>
    <w:link w:val="HTMLPreformatted"/>
    <w:rsid w:val="00480720"/>
    <w:rPr>
      <w:rFonts w:ascii="Courier New" w:hAnsi="Courier New" w:cs="Courier New"/>
    </w:rPr>
  </w:style>
  <w:style w:type="paragraph" w:styleId="Index1">
    <w:name w:val="index 1"/>
    <w:basedOn w:val="Normal"/>
    <w:next w:val="Normal"/>
    <w:autoRedefine/>
    <w:uiPriority w:val="99"/>
    <w:rsid w:val="00480720"/>
    <w:pPr>
      <w:ind w:left="240" w:hanging="240"/>
    </w:pPr>
  </w:style>
  <w:style w:type="paragraph" w:styleId="Index2">
    <w:name w:val="index 2"/>
    <w:basedOn w:val="Normal"/>
    <w:next w:val="Normal"/>
    <w:autoRedefine/>
    <w:uiPriority w:val="99"/>
    <w:rsid w:val="00480720"/>
    <w:pPr>
      <w:ind w:left="480" w:hanging="240"/>
    </w:pPr>
  </w:style>
  <w:style w:type="paragraph" w:styleId="Index3">
    <w:name w:val="index 3"/>
    <w:basedOn w:val="Normal"/>
    <w:next w:val="Normal"/>
    <w:autoRedefine/>
    <w:uiPriority w:val="99"/>
    <w:rsid w:val="00480720"/>
    <w:pPr>
      <w:ind w:left="720" w:hanging="240"/>
    </w:pPr>
  </w:style>
  <w:style w:type="paragraph" w:styleId="Index4">
    <w:name w:val="index 4"/>
    <w:basedOn w:val="Normal"/>
    <w:next w:val="Normal"/>
    <w:autoRedefine/>
    <w:uiPriority w:val="99"/>
    <w:rsid w:val="00480720"/>
    <w:pPr>
      <w:ind w:left="960" w:hanging="240"/>
    </w:pPr>
  </w:style>
  <w:style w:type="paragraph" w:styleId="Index5">
    <w:name w:val="index 5"/>
    <w:basedOn w:val="Normal"/>
    <w:next w:val="Normal"/>
    <w:autoRedefine/>
    <w:uiPriority w:val="99"/>
    <w:rsid w:val="00480720"/>
    <w:pPr>
      <w:ind w:left="1200" w:hanging="240"/>
    </w:pPr>
  </w:style>
  <w:style w:type="paragraph" w:styleId="Index6">
    <w:name w:val="index 6"/>
    <w:basedOn w:val="Normal"/>
    <w:next w:val="Normal"/>
    <w:autoRedefine/>
    <w:uiPriority w:val="99"/>
    <w:rsid w:val="00480720"/>
    <w:pPr>
      <w:ind w:left="1440" w:hanging="240"/>
    </w:pPr>
  </w:style>
  <w:style w:type="paragraph" w:styleId="Index7">
    <w:name w:val="index 7"/>
    <w:basedOn w:val="Normal"/>
    <w:next w:val="Normal"/>
    <w:autoRedefine/>
    <w:uiPriority w:val="99"/>
    <w:rsid w:val="00480720"/>
    <w:pPr>
      <w:ind w:left="1680" w:hanging="240"/>
    </w:pPr>
  </w:style>
  <w:style w:type="paragraph" w:styleId="Index8">
    <w:name w:val="index 8"/>
    <w:basedOn w:val="Normal"/>
    <w:next w:val="Normal"/>
    <w:autoRedefine/>
    <w:uiPriority w:val="99"/>
    <w:rsid w:val="00480720"/>
    <w:pPr>
      <w:ind w:left="1920" w:hanging="240"/>
    </w:pPr>
  </w:style>
  <w:style w:type="paragraph" w:styleId="Index9">
    <w:name w:val="index 9"/>
    <w:basedOn w:val="Normal"/>
    <w:next w:val="Normal"/>
    <w:autoRedefine/>
    <w:uiPriority w:val="99"/>
    <w:rsid w:val="00480720"/>
    <w:pPr>
      <w:ind w:left="2160" w:hanging="240"/>
    </w:pPr>
  </w:style>
  <w:style w:type="paragraph" w:styleId="IndexHeading">
    <w:name w:val="index heading"/>
    <w:basedOn w:val="Normal"/>
    <w:next w:val="Index1"/>
    <w:uiPriority w:val="99"/>
    <w:rsid w:val="00480720"/>
    <w:rPr>
      <w:rFonts w:ascii="Arial" w:hAnsi="Arial" w:cs="Arial"/>
      <w:b/>
      <w:bCs/>
    </w:rPr>
  </w:style>
  <w:style w:type="paragraph" w:styleId="List">
    <w:name w:val="List"/>
    <w:basedOn w:val="Normal"/>
    <w:rsid w:val="00480720"/>
    <w:pPr>
      <w:ind w:left="360" w:hanging="360"/>
    </w:pPr>
  </w:style>
  <w:style w:type="paragraph" w:styleId="List2">
    <w:name w:val="List 2"/>
    <w:basedOn w:val="Normal"/>
    <w:rsid w:val="00480720"/>
    <w:pPr>
      <w:ind w:left="720" w:hanging="360"/>
    </w:pPr>
  </w:style>
  <w:style w:type="paragraph" w:styleId="List3">
    <w:name w:val="List 3"/>
    <w:basedOn w:val="Normal"/>
    <w:rsid w:val="00480720"/>
    <w:pPr>
      <w:ind w:left="1080" w:hanging="360"/>
    </w:pPr>
  </w:style>
  <w:style w:type="paragraph" w:styleId="List4">
    <w:name w:val="List 4"/>
    <w:basedOn w:val="Normal"/>
    <w:rsid w:val="00480720"/>
    <w:pPr>
      <w:ind w:left="1440" w:hanging="360"/>
    </w:pPr>
  </w:style>
  <w:style w:type="paragraph" w:styleId="List5">
    <w:name w:val="List 5"/>
    <w:basedOn w:val="Normal"/>
    <w:rsid w:val="00480720"/>
    <w:pPr>
      <w:ind w:left="1800" w:hanging="360"/>
    </w:pPr>
  </w:style>
  <w:style w:type="paragraph" w:styleId="ListBullet">
    <w:name w:val="List Bullet"/>
    <w:basedOn w:val="Normal"/>
    <w:autoRedefine/>
    <w:uiPriority w:val="99"/>
    <w:rsid w:val="00480720"/>
    <w:pPr>
      <w:tabs>
        <w:tab w:val="num" w:pos="360"/>
      </w:tabs>
      <w:ind w:left="360" w:hanging="360"/>
    </w:pPr>
  </w:style>
  <w:style w:type="paragraph" w:styleId="ListBullet2">
    <w:name w:val="List Bullet 2"/>
    <w:basedOn w:val="Normal"/>
    <w:autoRedefine/>
    <w:rsid w:val="00480720"/>
    <w:pPr>
      <w:tabs>
        <w:tab w:val="num" w:pos="720"/>
      </w:tabs>
      <w:ind w:left="720" w:hanging="360"/>
    </w:pPr>
  </w:style>
  <w:style w:type="paragraph" w:styleId="ListBullet3">
    <w:name w:val="List Bullet 3"/>
    <w:basedOn w:val="Normal"/>
    <w:autoRedefine/>
    <w:rsid w:val="00480720"/>
    <w:pPr>
      <w:tabs>
        <w:tab w:val="num" w:pos="1080"/>
      </w:tabs>
      <w:ind w:left="1080" w:hanging="360"/>
    </w:pPr>
  </w:style>
  <w:style w:type="paragraph" w:styleId="ListBullet4">
    <w:name w:val="List Bullet 4"/>
    <w:basedOn w:val="Normal"/>
    <w:autoRedefine/>
    <w:rsid w:val="00480720"/>
    <w:pPr>
      <w:tabs>
        <w:tab w:val="num" w:pos="1440"/>
      </w:tabs>
      <w:ind w:left="1440" w:hanging="360"/>
    </w:pPr>
  </w:style>
  <w:style w:type="paragraph" w:styleId="ListBullet5">
    <w:name w:val="List Bullet 5"/>
    <w:basedOn w:val="Normal"/>
    <w:autoRedefine/>
    <w:rsid w:val="00480720"/>
    <w:pPr>
      <w:tabs>
        <w:tab w:val="num" w:pos="1800"/>
      </w:tabs>
      <w:ind w:left="1800" w:hanging="360"/>
    </w:pPr>
  </w:style>
  <w:style w:type="paragraph" w:styleId="ListContinue">
    <w:name w:val="List Continue"/>
    <w:basedOn w:val="Normal"/>
    <w:rsid w:val="00480720"/>
    <w:pPr>
      <w:spacing w:after="120"/>
      <w:ind w:left="360"/>
    </w:pPr>
  </w:style>
  <w:style w:type="paragraph" w:styleId="ListContinue2">
    <w:name w:val="List Continue 2"/>
    <w:basedOn w:val="Normal"/>
    <w:rsid w:val="00480720"/>
    <w:pPr>
      <w:spacing w:after="120"/>
      <w:ind w:left="720"/>
    </w:pPr>
  </w:style>
  <w:style w:type="paragraph" w:styleId="ListContinue3">
    <w:name w:val="List Continue 3"/>
    <w:basedOn w:val="Normal"/>
    <w:rsid w:val="00480720"/>
    <w:pPr>
      <w:spacing w:after="120"/>
      <w:ind w:left="1080"/>
    </w:pPr>
  </w:style>
  <w:style w:type="paragraph" w:styleId="ListContinue4">
    <w:name w:val="List Continue 4"/>
    <w:basedOn w:val="Normal"/>
    <w:rsid w:val="00480720"/>
    <w:pPr>
      <w:spacing w:after="120"/>
      <w:ind w:left="1440"/>
    </w:pPr>
  </w:style>
  <w:style w:type="paragraph" w:styleId="ListContinue5">
    <w:name w:val="List Continue 5"/>
    <w:basedOn w:val="Normal"/>
    <w:rsid w:val="00480720"/>
    <w:pPr>
      <w:spacing w:after="120"/>
      <w:ind w:left="1800"/>
    </w:pPr>
  </w:style>
  <w:style w:type="paragraph" w:styleId="ListNumber">
    <w:name w:val="List Number"/>
    <w:basedOn w:val="Normal"/>
    <w:rsid w:val="00480720"/>
    <w:pPr>
      <w:tabs>
        <w:tab w:val="num" w:pos="360"/>
      </w:tabs>
      <w:ind w:left="360" w:hanging="360"/>
    </w:pPr>
  </w:style>
  <w:style w:type="paragraph" w:styleId="ListNumber2">
    <w:name w:val="List Number 2"/>
    <w:basedOn w:val="Normal"/>
    <w:rsid w:val="00480720"/>
    <w:pPr>
      <w:tabs>
        <w:tab w:val="num" w:pos="720"/>
      </w:tabs>
      <w:ind w:left="720" w:hanging="360"/>
    </w:pPr>
  </w:style>
  <w:style w:type="paragraph" w:styleId="ListNumber3">
    <w:name w:val="List Number 3"/>
    <w:basedOn w:val="Normal"/>
    <w:rsid w:val="00480720"/>
    <w:pPr>
      <w:tabs>
        <w:tab w:val="num" w:pos="1080"/>
      </w:tabs>
      <w:ind w:left="1080" w:hanging="360"/>
    </w:pPr>
  </w:style>
  <w:style w:type="paragraph" w:styleId="ListNumber4">
    <w:name w:val="List Number 4"/>
    <w:basedOn w:val="Normal"/>
    <w:rsid w:val="00480720"/>
    <w:pPr>
      <w:tabs>
        <w:tab w:val="num" w:pos="1440"/>
      </w:tabs>
      <w:ind w:left="1440" w:hanging="360"/>
    </w:pPr>
  </w:style>
  <w:style w:type="paragraph" w:styleId="ListNumber5">
    <w:name w:val="List Number 5"/>
    <w:basedOn w:val="Normal"/>
    <w:rsid w:val="00480720"/>
    <w:pPr>
      <w:tabs>
        <w:tab w:val="num" w:pos="1800"/>
      </w:tabs>
      <w:ind w:left="1800" w:hanging="360"/>
    </w:pPr>
  </w:style>
  <w:style w:type="paragraph" w:styleId="MacroText">
    <w:name w:val="macro"/>
    <w:link w:val="MacroTextChar"/>
    <w:uiPriority w:val="99"/>
    <w:rsid w:val="004807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80720"/>
    <w:rPr>
      <w:rFonts w:ascii="Courier New" w:hAnsi="Courier New" w:cs="Courier New"/>
    </w:rPr>
  </w:style>
  <w:style w:type="paragraph" w:styleId="MessageHeader">
    <w:name w:val="Message Header"/>
    <w:basedOn w:val="Normal"/>
    <w:link w:val="MessageHeaderChar"/>
    <w:rsid w:val="0048072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480720"/>
    <w:rPr>
      <w:rFonts w:ascii="Arial" w:hAnsi="Arial" w:cs="Arial"/>
      <w:sz w:val="24"/>
      <w:szCs w:val="24"/>
      <w:shd w:val="pct20" w:color="auto" w:fill="auto"/>
    </w:rPr>
  </w:style>
  <w:style w:type="paragraph" w:styleId="NormalWeb">
    <w:name w:val="Normal (Web)"/>
    <w:basedOn w:val="Normal"/>
    <w:rsid w:val="00480720"/>
  </w:style>
  <w:style w:type="paragraph" w:styleId="NormalIndent">
    <w:name w:val="Normal Indent"/>
    <w:basedOn w:val="Normal"/>
    <w:rsid w:val="00480720"/>
    <w:pPr>
      <w:ind w:left="720"/>
    </w:pPr>
  </w:style>
  <w:style w:type="paragraph" w:styleId="NoteHeading">
    <w:name w:val="Note Heading"/>
    <w:basedOn w:val="Normal"/>
    <w:next w:val="Normal"/>
    <w:link w:val="NoteHeadingChar"/>
    <w:rsid w:val="00480720"/>
  </w:style>
  <w:style w:type="character" w:customStyle="1" w:styleId="NoteHeadingChar">
    <w:name w:val="Note Heading Char"/>
    <w:basedOn w:val="DefaultParagraphFont"/>
    <w:link w:val="NoteHeading"/>
    <w:rsid w:val="00480720"/>
    <w:rPr>
      <w:sz w:val="24"/>
      <w:szCs w:val="24"/>
    </w:rPr>
  </w:style>
  <w:style w:type="paragraph" w:styleId="PlainText">
    <w:name w:val="Plain Text"/>
    <w:basedOn w:val="Normal"/>
    <w:link w:val="PlainTextChar"/>
    <w:rsid w:val="00480720"/>
    <w:rPr>
      <w:rFonts w:ascii="Courier New" w:hAnsi="Courier New" w:cs="Courier New"/>
      <w:sz w:val="20"/>
      <w:szCs w:val="20"/>
    </w:rPr>
  </w:style>
  <w:style w:type="character" w:customStyle="1" w:styleId="PlainTextChar">
    <w:name w:val="Plain Text Char"/>
    <w:basedOn w:val="DefaultParagraphFont"/>
    <w:link w:val="PlainText"/>
    <w:rsid w:val="00480720"/>
    <w:rPr>
      <w:rFonts w:ascii="Courier New" w:hAnsi="Courier New" w:cs="Courier New"/>
    </w:rPr>
  </w:style>
  <w:style w:type="paragraph" w:styleId="Salutation">
    <w:name w:val="Salutation"/>
    <w:basedOn w:val="Normal"/>
    <w:next w:val="Normal"/>
    <w:link w:val="SalutationChar"/>
    <w:rsid w:val="00480720"/>
  </w:style>
  <w:style w:type="character" w:customStyle="1" w:styleId="SalutationChar">
    <w:name w:val="Salutation Char"/>
    <w:basedOn w:val="DefaultParagraphFont"/>
    <w:link w:val="Salutation"/>
    <w:rsid w:val="00480720"/>
    <w:rPr>
      <w:sz w:val="24"/>
      <w:szCs w:val="24"/>
    </w:rPr>
  </w:style>
  <w:style w:type="paragraph" w:styleId="Signature">
    <w:name w:val="Signature"/>
    <w:basedOn w:val="Normal"/>
    <w:link w:val="SignatureChar"/>
    <w:rsid w:val="00480720"/>
    <w:pPr>
      <w:ind w:left="4320"/>
    </w:pPr>
  </w:style>
  <w:style w:type="character" w:customStyle="1" w:styleId="SignatureChar">
    <w:name w:val="Signature Char"/>
    <w:basedOn w:val="DefaultParagraphFont"/>
    <w:link w:val="Signature"/>
    <w:rsid w:val="00480720"/>
    <w:rPr>
      <w:sz w:val="24"/>
      <w:szCs w:val="24"/>
    </w:rPr>
  </w:style>
  <w:style w:type="paragraph" w:styleId="Subtitle">
    <w:name w:val="Subtitle"/>
    <w:basedOn w:val="Normal"/>
    <w:link w:val="SubtitleChar"/>
    <w:qFormat/>
    <w:rsid w:val="00480720"/>
    <w:pPr>
      <w:spacing w:after="60"/>
      <w:jc w:val="center"/>
      <w:outlineLvl w:val="1"/>
    </w:pPr>
    <w:rPr>
      <w:rFonts w:ascii="Arial" w:hAnsi="Arial" w:cs="Arial"/>
    </w:rPr>
  </w:style>
  <w:style w:type="character" w:customStyle="1" w:styleId="SubtitleChar">
    <w:name w:val="Subtitle Char"/>
    <w:basedOn w:val="DefaultParagraphFont"/>
    <w:link w:val="Subtitle"/>
    <w:rsid w:val="00480720"/>
    <w:rPr>
      <w:rFonts w:ascii="Arial" w:hAnsi="Arial" w:cs="Arial"/>
      <w:sz w:val="24"/>
      <w:szCs w:val="24"/>
    </w:rPr>
  </w:style>
  <w:style w:type="paragraph" w:styleId="TableofAuthorities">
    <w:name w:val="table of authorities"/>
    <w:basedOn w:val="Normal"/>
    <w:next w:val="Normal"/>
    <w:uiPriority w:val="99"/>
    <w:rsid w:val="00480720"/>
    <w:pPr>
      <w:ind w:left="240" w:hanging="240"/>
    </w:pPr>
  </w:style>
  <w:style w:type="paragraph" w:styleId="TableofFigures">
    <w:name w:val="table of figures"/>
    <w:basedOn w:val="Normal"/>
    <w:next w:val="Normal"/>
    <w:uiPriority w:val="99"/>
    <w:rsid w:val="00480720"/>
    <w:pPr>
      <w:ind w:left="480" w:hanging="480"/>
    </w:pPr>
  </w:style>
  <w:style w:type="paragraph" w:styleId="Title">
    <w:name w:val="Title"/>
    <w:basedOn w:val="Normal"/>
    <w:link w:val="TitleChar"/>
    <w:qFormat/>
    <w:rsid w:val="0048072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80720"/>
    <w:rPr>
      <w:rFonts w:ascii="Arial" w:hAnsi="Arial" w:cs="Arial"/>
      <w:b/>
      <w:bCs/>
      <w:kern w:val="28"/>
      <w:sz w:val="32"/>
      <w:szCs w:val="32"/>
    </w:rPr>
  </w:style>
  <w:style w:type="paragraph" w:styleId="TOAHeading">
    <w:name w:val="toa heading"/>
    <w:basedOn w:val="Normal"/>
    <w:next w:val="Normal"/>
    <w:uiPriority w:val="99"/>
    <w:rsid w:val="00480720"/>
    <w:pPr>
      <w:spacing w:before="120"/>
    </w:pPr>
    <w:rPr>
      <w:rFonts w:ascii="Arial" w:hAnsi="Arial" w:cs="Arial"/>
      <w:b/>
      <w:bCs/>
    </w:rPr>
  </w:style>
  <w:style w:type="paragraph" w:styleId="TOC4">
    <w:name w:val="toc 4"/>
    <w:basedOn w:val="Normal"/>
    <w:next w:val="Normal"/>
    <w:autoRedefine/>
    <w:rsid w:val="00480720"/>
    <w:pPr>
      <w:ind w:left="720"/>
    </w:pPr>
  </w:style>
  <w:style w:type="paragraph" w:styleId="TOC5">
    <w:name w:val="toc 5"/>
    <w:basedOn w:val="Normal"/>
    <w:next w:val="Normal"/>
    <w:autoRedefine/>
    <w:uiPriority w:val="99"/>
    <w:rsid w:val="00480720"/>
    <w:pPr>
      <w:ind w:left="960"/>
    </w:pPr>
  </w:style>
  <w:style w:type="paragraph" w:styleId="TOC6">
    <w:name w:val="toc 6"/>
    <w:basedOn w:val="Normal"/>
    <w:next w:val="Normal"/>
    <w:autoRedefine/>
    <w:rsid w:val="00480720"/>
    <w:pPr>
      <w:ind w:left="1200"/>
    </w:pPr>
  </w:style>
  <w:style w:type="paragraph" w:styleId="TOC9">
    <w:name w:val="toc 9"/>
    <w:basedOn w:val="TOC1"/>
    <w:next w:val="Normal"/>
    <w:autoRedefine/>
    <w:rsid w:val="00480720"/>
    <w:pPr>
      <w:ind w:left="1728"/>
    </w:pPr>
    <w:rPr>
      <w:u w:val="single"/>
    </w:rPr>
  </w:style>
  <w:style w:type="paragraph" w:customStyle="1" w:styleId="MemoHeadingLabel">
    <w:name w:val="Memo Heading Label"/>
    <w:basedOn w:val="MemoHeading"/>
    <w:qFormat/>
    <w:rsid w:val="00480720"/>
    <w:rPr>
      <w:rFonts w:ascii="Arial" w:hAnsi="Arial"/>
      <w:b/>
    </w:rPr>
  </w:style>
  <w:style w:type="paragraph" w:customStyle="1" w:styleId="First-LevelSubheading">
    <w:name w:val="First-Level Subheading"/>
    <w:basedOn w:val="IssueSubsectionHeading"/>
    <w:next w:val="BodyText"/>
    <w:qFormat/>
    <w:rsid w:val="00480720"/>
    <w:pPr>
      <w:keepNext w:val="0"/>
      <w:tabs>
        <w:tab w:val="num" w:pos="720"/>
      </w:tabs>
      <w:spacing w:after="0"/>
      <w:ind w:left="720"/>
      <w:outlineLvl w:val="2"/>
    </w:pPr>
    <w:rPr>
      <w:rFonts w:ascii="Arial" w:hAnsi="Arial"/>
      <w:b/>
    </w:rPr>
  </w:style>
  <w:style w:type="paragraph" w:customStyle="1" w:styleId="Second-LevelSubheading">
    <w:name w:val="Second-Level Subheading"/>
    <w:basedOn w:val="First-LevelSubheading"/>
    <w:next w:val="BodyText"/>
    <w:qFormat/>
    <w:rsid w:val="00480720"/>
    <w:pPr>
      <w:outlineLvl w:val="3"/>
    </w:pPr>
    <w:rPr>
      <w:i/>
    </w:rPr>
  </w:style>
  <w:style w:type="paragraph" w:customStyle="1" w:styleId="TableNumber">
    <w:name w:val="Table Number"/>
    <w:basedOn w:val="BodyText"/>
    <w:next w:val="BodyText"/>
    <w:qFormat/>
    <w:rsid w:val="00480720"/>
    <w:pPr>
      <w:spacing w:before="480" w:after="0"/>
      <w:jc w:val="center"/>
    </w:pPr>
    <w:rPr>
      <w:rFonts w:ascii="Arial" w:hAnsi="Arial"/>
      <w:b/>
    </w:rPr>
  </w:style>
  <w:style w:type="paragraph" w:customStyle="1" w:styleId="TableTitle">
    <w:name w:val="Table Title"/>
    <w:basedOn w:val="BodyText"/>
    <w:next w:val="BodyText"/>
    <w:qFormat/>
    <w:rsid w:val="00480720"/>
    <w:pPr>
      <w:spacing w:after="0"/>
      <w:jc w:val="center"/>
    </w:pPr>
    <w:rPr>
      <w:rFonts w:ascii="Arial" w:hAnsi="Arial"/>
      <w:b/>
    </w:rPr>
  </w:style>
  <w:style w:type="paragraph" w:customStyle="1" w:styleId="TableSource">
    <w:name w:val="Table Source"/>
    <w:basedOn w:val="BodyText"/>
    <w:next w:val="BodyText"/>
    <w:qFormat/>
    <w:rsid w:val="00480720"/>
    <w:pPr>
      <w:spacing w:after="480"/>
      <w:jc w:val="both"/>
    </w:pPr>
  </w:style>
  <w:style w:type="paragraph" w:customStyle="1" w:styleId="PartyName">
    <w:name w:val="Party Name"/>
    <w:basedOn w:val="IssueSubsectionHeading"/>
    <w:next w:val="BodyText"/>
    <w:qFormat/>
    <w:rsid w:val="00480720"/>
    <w:pPr>
      <w:keepNext w:val="0"/>
      <w:tabs>
        <w:tab w:val="num" w:pos="720"/>
      </w:tabs>
      <w:ind w:left="720"/>
    </w:pPr>
    <w:rPr>
      <w:rFonts w:ascii="Arial" w:hAnsi="Arial"/>
      <w:b/>
    </w:rPr>
  </w:style>
  <w:style w:type="paragraph" w:customStyle="1" w:styleId="Third-LevelSubheading">
    <w:name w:val="Third-Level Subheading"/>
    <w:basedOn w:val="Second-LevelSubheading"/>
    <w:next w:val="BodyText"/>
    <w:qFormat/>
    <w:rsid w:val="00480720"/>
    <w:pPr>
      <w:ind w:left="1440"/>
      <w:outlineLvl w:val="4"/>
    </w:pPr>
  </w:style>
  <w:style w:type="numbering" w:styleId="111111">
    <w:name w:val="Outline List 2"/>
    <w:basedOn w:val="NoList"/>
    <w:rsid w:val="00480720"/>
    <w:pPr>
      <w:numPr>
        <w:numId w:val="11"/>
      </w:numPr>
    </w:pPr>
  </w:style>
  <w:style w:type="character" w:customStyle="1" w:styleId="FootnoteTextChar">
    <w:name w:val="Footnote Text Char"/>
    <w:link w:val="FootnoteText"/>
    <w:uiPriority w:val="99"/>
    <w:rsid w:val="00480720"/>
  </w:style>
  <w:style w:type="paragraph" w:styleId="ListParagraph">
    <w:name w:val="List Paragraph"/>
    <w:basedOn w:val="Normal"/>
    <w:uiPriority w:val="34"/>
    <w:qFormat/>
    <w:rsid w:val="00480720"/>
    <w:pPr>
      <w:ind w:left="720"/>
      <w:contextualSpacing/>
    </w:pPr>
    <w:rPr>
      <w:rFonts w:ascii="Calibri" w:eastAsia="Calibri" w:hAnsi="Calibri"/>
    </w:rPr>
  </w:style>
  <w:style w:type="character" w:customStyle="1" w:styleId="FooterChar">
    <w:name w:val="Footer Char"/>
    <w:link w:val="Footer"/>
    <w:uiPriority w:val="99"/>
    <w:rsid w:val="00480720"/>
    <w:rPr>
      <w:sz w:val="24"/>
      <w:szCs w:val="24"/>
    </w:rPr>
  </w:style>
  <w:style w:type="numbering" w:styleId="1ai">
    <w:name w:val="Outline List 1"/>
    <w:basedOn w:val="NoList"/>
    <w:rsid w:val="00480720"/>
    <w:pPr>
      <w:numPr>
        <w:numId w:val="18"/>
      </w:numPr>
    </w:pPr>
  </w:style>
  <w:style w:type="numbering" w:styleId="ArticleSection">
    <w:name w:val="Outline List 3"/>
    <w:basedOn w:val="NoList"/>
    <w:rsid w:val="00480720"/>
    <w:pPr>
      <w:numPr>
        <w:numId w:val="19"/>
      </w:numPr>
    </w:pPr>
  </w:style>
  <w:style w:type="character" w:styleId="Emphasis">
    <w:name w:val="Emphasis"/>
    <w:qFormat/>
    <w:rsid w:val="00480720"/>
    <w:rPr>
      <w:rFonts w:ascii="Calibri" w:hAnsi="Calibri"/>
      <w:b/>
      <w:i/>
      <w:iCs/>
    </w:rPr>
  </w:style>
  <w:style w:type="character" w:styleId="FollowedHyperlink">
    <w:name w:val="FollowedHyperlink"/>
    <w:unhideWhenUsed/>
    <w:rsid w:val="00480720"/>
    <w:rPr>
      <w:color w:val="800080"/>
      <w:u w:val="single"/>
    </w:rPr>
  </w:style>
  <w:style w:type="character" w:styleId="HTMLAcronym">
    <w:name w:val="HTML Acronym"/>
    <w:uiPriority w:val="99"/>
    <w:unhideWhenUsed/>
    <w:rsid w:val="00480720"/>
  </w:style>
  <w:style w:type="character" w:styleId="HTMLCite">
    <w:name w:val="HTML Cite"/>
    <w:uiPriority w:val="99"/>
    <w:unhideWhenUsed/>
    <w:rsid w:val="00480720"/>
    <w:rPr>
      <w:i/>
      <w:iCs/>
    </w:rPr>
  </w:style>
  <w:style w:type="character" w:styleId="HTMLCode">
    <w:name w:val="HTML Code"/>
    <w:uiPriority w:val="99"/>
    <w:unhideWhenUsed/>
    <w:rsid w:val="00480720"/>
    <w:rPr>
      <w:rFonts w:ascii="Courier New" w:hAnsi="Courier New" w:cs="Courier New"/>
      <w:sz w:val="20"/>
      <w:szCs w:val="20"/>
    </w:rPr>
  </w:style>
  <w:style w:type="character" w:styleId="HTMLDefinition">
    <w:name w:val="HTML Definition"/>
    <w:uiPriority w:val="99"/>
    <w:unhideWhenUsed/>
    <w:rsid w:val="00480720"/>
    <w:rPr>
      <w:i/>
      <w:iCs/>
    </w:rPr>
  </w:style>
  <w:style w:type="character" w:styleId="HTMLKeyboard">
    <w:name w:val="HTML Keyboard"/>
    <w:uiPriority w:val="99"/>
    <w:unhideWhenUsed/>
    <w:rsid w:val="00480720"/>
    <w:rPr>
      <w:rFonts w:ascii="Courier New" w:hAnsi="Courier New" w:cs="Courier New"/>
      <w:sz w:val="20"/>
      <w:szCs w:val="20"/>
    </w:rPr>
  </w:style>
  <w:style w:type="character" w:styleId="HTMLSample">
    <w:name w:val="HTML Sample"/>
    <w:uiPriority w:val="99"/>
    <w:unhideWhenUsed/>
    <w:rsid w:val="00480720"/>
    <w:rPr>
      <w:rFonts w:ascii="Courier New" w:hAnsi="Courier New" w:cs="Courier New"/>
    </w:rPr>
  </w:style>
  <w:style w:type="character" w:styleId="HTMLTypewriter">
    <w:name w:val="HTML Typewriter"/>
    <w:uiPriority w:val="99"/>
    <w:unhideWhenUsed/>
    <w:rsid w:val="00480720"/>
    <w:rPr>
      <w:rFonts w:ascii="Courier New" w:hAnsi="Courier New" w:cs="Courier New"/>
      <w:sz w:val="20"/>
      <w:szCs w:val="20"/>
    </w:rPr>
  </w:style>
  <w:style w:type="character" w:styleId="HTMLVariable">
    <w:name w:val="HTML Variable"/>
    <w:uiPriority w:val="99"/>
    <w:unhideWhenUsed/>
    <w:rsid w:val="00480720"/>
    <w:rPr>
      <w:i/>
      <w:iCs/>
    </w:rPr>
  </w:style>
  <w:style w:type="character" w:styleId="LineNumber">
    <w:name w:val="line number"/>
    <w:uiPriority w:val="99"/>
    <w:unhideWhenUsed/>
    <w:rsid w:val="00480720"/>
  </w:style>
  <w:style w:type="character" w:styleId="Strong">
    <w:name w:val="Strong"/>
    <w:uiPriority w:val="22"/>
    <w:qFormat/>
    <w:rsid w:val="00480720"/>
    <w:rPr>
      <w:b/>
      <w:bCs/>
    </w:rPr>
  </w:style>
  <w:style w:type="table" w:styleId="Table3Deffects1">
    <w:name w:val="Table 3D effects 1"/>
    <w:basedOn w:val="TableNormal"/>
    <w:rsid w:val="00480720"/>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80720"/>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80720"/>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80720"/>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0720"/>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80720"/>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80720"/>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80720"/>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80720"/>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80720"/>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80720"/>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80720"/>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80720"/>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80720"/>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80720"/>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80720"/>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80720"/>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80720"/>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80720"/>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80720"/>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80720"/>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80720"/>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80720"/>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80720"/>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80720"/>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80720"/>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80720"/>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80720"/>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80720"/>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80720"/>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80720"/>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80720"/>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807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80720"/>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80720"/>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80720"/>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unhideWhenUsed/>
    <w:rsid w:val="00480720"/>
    <w:rPr>
      <w:sz w:val="16"/>
      <w:szCs w:val="16"/>
    </w:rPr>
  </w:style>
  <w:style w:type="character" w:styleId="EndnoteReference">
    <w:name w:val="endnote reference"/>
    <w:uiPriority w:val="99"/>
    <w:unhideWhenUsed/>
    <w:rsid w:val="00480720"/>
    <w:rPr>
      <w:vertAlign w:val="superscript"/>
    </w:rPr>
  </w:style>
  <w:style w:type="paragraph" w:styleId="TOC7">
    <w:name w:val="toc 7"/>
    <w:basedOn w:val="Normal"/>
    <w:next w:val="Normal"/>
    <w:autoRedefine/>
    <w:uiPriority w:val="99"/>
    <w:unhideWhenUsed/>
    <w:rsid w:val="00480720"/>
    <w:pPr>
      <w:ind w:left="1440"/>
    </w:pPr>
  </w:style>
  <w:style w:type="paragraph" w:styleId="TOC8">
    <w:name w:val="toc 8"/>
    <w:basedOn w:val="Normal"/>
    <w:next w:val="Normal"/>
    <w:autoRedefine/>
    <w:uiPriority w:val="99"/>
    <w:unhideWhenUsed/>
    <w:rsid w:val="00480720"/>
    <w:pPr>
      <w:ind w:left="1680"/>
    </w:pPr>
  </w:style>
  <w:style w:type="paragraph" w:styleId="NoSpacing">
    <w:name w:val="No Spacing"/>
    <w:basedOn w:val="Normal"/>
    <w:uiPriority w:val="1"/>
    <w:qFormat/>
    <w:rsid w:val="00480720"/>
    <w:rPr>
      <w:szCs w:val="32"/>
    </w:rPr>
  </w:style>
  <w:style w:type="paragraph" w:styleId="Quote">
    <w:name w:val="Quote"/>
    <w:basedOn w:val="Normal"/>
    <w:next w:val="Normal"/>
    <w:link w:val="QuoteChar"/>
    <w:uiPriority w:val="29"/>
    <w:qFormat/>
    <w:rsid w:val="00480720"/>
    <w:rPr>
      <w:i/>
    </w:rPr>
  </w:style>
  <w:style w:type="character" w:customStyle="1" w:styleId="QuoteChar">
    <w:name w:val="Quote Char"/>
    <w:basedOn w:val="DefaultParagraphFont"/>
    <w:link w:val="Quote"/>
    <w:uiPriority w:val="29"/>
    <w:rsid w:val="00480720"/>
    <w:rPr>
      <w:i/>
      <w:sz w:val="24"/>
      <w:szCs w:val="24"/>
    </w:rPr>
  </w:style>
  <w:style w:type="paragraph" w:styleId="IntenseQuote">
    <w:name w:val="Intense Quote"/>
    <w:basedOn w:val="Normal"/>
    <w:next w:val="Normal"/>
    <w:link w:val="IntenseQuoteChar"/>
    <w:uiPriority w:val="30"/>
    <w:qFormat/>
    <w:rsid w:val="00480720"/>
    <w:pPr>
      <w:ind w:left="720" w:right="720"/>
    </w:pPr>
    <w:rPr>
      <w:b/>
      <w:i/>
      <w:szCs w:val="22"/>
    </w:rPr>
  </w:style>
  <w:style w:type="character" w:customStyle="1" w:styleId="IntenseQuoteChar">
    <w:name w:val="Intense Quote Char"/>
    <w:basedOn w:val="DefaultParagraphFont"/>
    <w:link w:val="IntenseQuote"/>
    <w:uiPriority w:val="30"/>
    <w:rsid w:val="00480720"/>
    <w:rPr>
      <w:b/>
      <w:i/>
      <w:sz w:val="24"/>
      <w:szCs w:val="22"/>
    </w:rPr>
  </w:style>
  <w:style w:type="character" w:styleId="SubtleEmphasis">
    <w:name w:val="Subtle Emphasis"/>
    <w:uiPriority w:val="19"/>
    <w:qFormat/>
    <w:rsid w:val="00480720"/>
    <w:rPr>
      <w:i/>
      <w:color w:val="5A5A5A"/>
    </w:rPr>
  </w:style>
  <w:style w:type="character" w:styleId="IntenseEmphasis">
    <w:name w:val="Intense Emphasis"/>
    <w:uiPriority w:val="21"/>
    <w:qFormat/>
    <w:rsid w:val="00480720"/>
    <w:rPr>
      <w:b/>
      <w:i/>
      <w:sz w:val="24"/>
      <w:szCs w:val="24"/>
      <w:u w:val="single"/>
    </w:rPr>
  </w:style>
  <w:style w:type="character" w:styleId="SubtleReference">
    <w:name w:val="Subtle Reference"/>
    <w:uiPriority w:val="31"/>
    <w:qFormat/>
    <w:rsid w:val="00480720"/>
    <w:rPr>
      <w:sz w:val="24"/>
      <w:szCs w:val="24"/>
      <w:u w:val="single"/>
    </w:rPr>
  </w:style>
  <w:style w:type="character" w:styleId="IntenseReference">
    <w:name w:val="Intense Reference"/>
    <w:uiPriority w:val="32"/>
    <w:qFormat/>
    <w:rsid w:val="00480720"/>
    <w:rPr>
      <w:b/>
      <w:sz w:val="24"/>
      <w:u w:val="single"/>
    </w:rPr>
  </w:style>
  <w:style w:type="character" w:styleId="BookTitle">
    <w:name w:val="Book Title"/>
    <w:uiPriority w:val="33"/>
    <w:qFormat/>
    <w:rsid w:val="004807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80720"/>
    <w:pPr>
      <w:numPr>
        <w:numId w:val="0"/>
      </w:numPr>
      <w:spacing w:before="240" w:after="60"/>
      <w:jc w:val="left"/>
      <w:outlineLvl w:val="9"/>
    </w:pPr>
    <w:rPr>
      <w:rFonts w:ascii="Cambria" w:hAnsi="Cambria" w:cs="Times New Roman"/>
      <w:b/>
      <w:sz w:val="32"/>
    </w:rPr>
  </w:style>
  <w:style w:type="character" w:customStyle="1" w:styleId="BodyTextChar1">
    <w:name w:val="Body Text Char1"/>
    <w:aliases w:val="s1 Char"/>
    <w:rsid w:val="00480720"/>
    <w:rPr>
      <w:sz w:val="24"/>
      <w:szCs w:val="24"/>
    </w:rPr>
  </w:style>
  <w:style w:type="paragraph" w:customStyle="1" w:styleId="MemoBody">
    <w:name w:val="Memo Body"/>
    <w:basedOn w:val="Normal"/>
    <w:rsid w:val="00480720"/>
    <w:pPr>
      <w:jc w:val="both"/>
    </w:pPr>
  </w:style>
  <w:style w:type="paragraph" w:customStyle="1" w:styleId="StateofFlorida">
    <w:name w:val="StateofFlorida"/>
    <w:basedOn w:val="Normal"/>
    <w:rsid w:val="00480720"/>
    <w:rPr>
      <w:b/>
      <w:sz w:val="28"/>
      <w:szCs w:val="28"/>
    </w:rPr>
  </w:style>
  <w:style w:type="paragraph" w:customStyle="1" w:styleId="PSCTitle">
    <w:name w:val="PSCTitle"/>
    <w:basedOn w:val="Normal"/>
    <w:rsid w:val="00480720"/>
    <w:pPr>
      <w:jc w:val="center"/>
    </w:pPr>
    <w:rPr>
      <w:rFonts w:ascii="WeddingText BT" w:hAnsi="WeddingText BT"/>
      <w:b/>
      <w:sz w:val="48"/>
      <w:szCs w:val="48"/>
    </w:rPr>
  </w:style>
  <w:style w:type="paragraph" w:customStyle="1" w:styleId="MemoTitle">
    <w:name w:val="MemoTitle"/>
    <w:basedOn w:val="Normal"/>
    <w:rsid w:val="00480720"/>
    <w:pPr>
      <w:jc w:val="center"/>
    </w:pPr>
    <w:rPr>
      <w:b/>
      <w:sz w:val="28"/>
      <w:szCs w:val="28"/>
    </w:rPr>
  </w:style>
  <w:style w:type="character" w:customStyle="1" w:styleId="charchar">
    <w:name w:val="charchar"/>
    <w:rsid w:val="00480720"/>
  </w:style>
  <w:style w:type="character" w:customStyle="1" w:styleId="CharChar0">
    <w:name w:val="Char Char"/>
    <w:locked/>
    <w:rsid w:val="00480720"/>
    <w:rPr>
      <w:sz w:val="24"/>
      <w:szCs w:val="24"/>
      <w:lang w:val="en-US" w:eastAsia="en-US" w:bidi="ar-SA"/>
    </w:rPr>
  </w:style>
  <w:style w:type="character" w:customStyle="1" w:styleId="FootnoteTextChar1">
    <w:name w:val="Footnote Text Char1"/>
    <w:rsid w:val="00480720"/>
  </w:style>
  <w:style w:type="numbering" w:customStyle="1" w:styleId="ArticleSection1">
    <w:name w:val="Article / Section1"/>
    <w:basedOn w:val="NoList"/>
    <w:next w:val="ArticleSection"/>
    <w:rsid w:val="00480720"/>
  </w:style>
  <w:style w:type="table" w:customStyle="1" w:styleId="TableGrid10">
    <w:name w:val="Table Grid1"/>
    <w:basedOn w:val="TableNormal"/>
    <w:next w:val="TableGrid"/>
    <w:uiPriority w:val="59"/>
    <w:rsid w:val="004807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80720"/>
    <w:rPr>
      <w:sz w:val="24"/>
      <w:szCs w:val="24"/>
    </w:rPr>
  </w:style>
  <w:style w:type="numbering" w:customStyle="1" w:styleId="1111111">
    <w:name w:val="1 / 1.1 / 1.1.11"/>
    <w:basedOn w:val="NoList"/>
    <w:next w:val="111111"/>
    <w:rsid w:val="00480720"/>
  </w:style>
  <w:style w:type="numbering" w:customStyle="1" w:styleId="1ai1">
    <w:name w:val="1 / a / i1"/>
    <w:basedOn w:val="NoList"/>
    <w:next w:val="1ai"/>
    <w:rsid w:val="00480720"/>
  </w:style>
  <w:style w:type="numbering" w:customStyle="1" w:styleId="ArticleSection2">
    <w:name w:val="Article / Section2"/>
    <w:basedOn w:val="NoList"/>
    <w:next w:val="ArticleSection"/>
    <w:rsid w:val="00480720"/>
  </w:style>
  <w:style w:type="table" w:customStyle="1" w:styleId="Table3Deffects11">
    <w:name w:val="Table 3D effects 11"/>
    <w:basedOn w:val="TableNormal"/>
    <w:next w:val="Table3Deffects1"/>
    <w:rsid w:val="00480720"/>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480720"/>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480720"/>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80720"/>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80720"/>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80720"/>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480720"/>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480720"/>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480720"/>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480720"/>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480720"/>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480720"/>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480720"/>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480720"/>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480720"/>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480720"/>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480720"/>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480720"/>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80720"/>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480720"/>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480720"/>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480720"/>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480720"/>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480720"/>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480720"/>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480720"/>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480720"/>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480720"/>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48072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480720"/>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480720"/>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480720"/>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480720"/>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80720"/>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807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480720"/>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480720"/>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480720"/>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4807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2C1EFF"/>
  </w:style>
  <w:style w:type="numbering" w:customStyle="1" w:styleId="1ai2">
    <w:name w:val="1 / a / i2"/>
    <w:basedOn w:val="NoList"/>
    <w:next w:val="1ai"/>
    <w:rsid w:val="002C1EFF"/>
  </w:style>
  <w:style w:type="numbering" w:customStyle="1" w:styleId="ArticleSection3">
    <w:name w:val="Article / Section3"/>
    <w:basedOn w:val="NoList"/>
    <w:next w:val="ArticleSection"/>
    <w:rsid w:val="002C1EFF"/>
  </w:style>
  <w:style w:type="table" w:customStyle="1" w:styleId="Table3Deffects12">
    <w:name w:val="Table 3D effects 12"/>
    <w:basedOn w:val="TableNormal"/>
    <w:next w:val="Table3Deffects1"/>
    <w:rsid w:val="002C1EFF"/>
    <w:rPr>
      <w:rFonts w:ascii="Calibri" w:eastAsia="Calibri" w:hAnsi="Calibr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2C1EFF"/>
    <w:rPr>
      <w:rFonts w:ascii="Calibri" w:eastAsia="Calibri" w:hAnsi="Calibr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2C1EFF"/>
    <w:rPr>
      <w:rFonts w:ascii="Calibri" w:eastAsia="Calibri" w:hAnsi="Calibr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2C1EFF"/>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2C1EFF"/>
    <w:rPr>
      <w:rFonts w:ascii="Calibri" w:eastAsia="Calibri" w:hAnsi="Calibr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2C1EFF"/>
    <w:rPr>
      <w:rFonts w:ascii="Calibri" w:eastAsia="Calibri" w:hAnsi="Calibr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2C1EFF"/>
    <w:rPr>
      <w:rFonts w:ascii="Calibri" w:eastAsia="Calibri" w:hAnsi="Calibr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2C1EFF"/>
    <w:rPr>
      <w:rFonts w:ascii="Calibri" w:eastAsia="Calibri" w:hAnsi="Calibr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2C1EFF"/>
    <w:rPr>
      <w:rFonts w:ascii="Calibri" w:eastAsia="Calibri" w:hAnsi="Calibr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2C1EFF"/>
    <w:rPr>
      <w:rFonts w:ascii="Calibri" w:eastAsia="Calibri" w:hAnsi="Calibr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2C1EFF"/>
    <w:rPr>
      <w:rFonts w:ascii="Calibri" w:eastAsia="Calibri" w:hAnsi="Calibr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2C1EFF"/>
    <w:rPr>
      <w:rFonts w:ascii="Calibri" w:eastAsia="Calibri" w:hAnsi="Calibr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2C1EFF"/>
    <w:rPr>
      <w:rFonts w:ascii="Calibri" w:eastAsia="Calibri" w:hAnsi="Calibr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2C1EFF"/>
    <w:rPr>
      <w:rFonts w:ascii="Calibri" w:eastAsia="Calibri" w:hAnsi="Calibr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2C1EFF"/>
    <w:rPr>
      <w:rFonts w:ascii="Calibri" w:eastAsia="Calibri" w:hAnsi="Calibr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2C1EFF"/>
    <w:rPr>
      <w:rFonts w:ascii="Calibri" w:eastAsia="Calibri" w:hAnsi="Calibr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2C1EFF"/>
    <w:rPr>
      <w:rFonts w:ascii="Calibri" w:eastAsia="Calibri" w:hAnsi="Calibr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rsid w:val="002C1EFF"/>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2C1EFF"/>
    <w:rPr>
      <w:rFonts w:ascii="Calibri" w:eastAsia="Calibri" w:hAnsi="Calibr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2C1EFF"/>
    <w:rPr>
      <w:rFonts w:ascii="Calibri" w:eastAsia="Calibri" w:hAnsi="Calibr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2C1EFF"/>
    <w:rPr>
      <w:rFonts w:ascii="Calibri" w:eastAsia="Calibri" w:hAnsi="Calibr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2C1EFF"/>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2C1EFF"/>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2C1EFF"/>
    <w:rPr>
      <w:rFonts w:ascii="Calibri" w:eastAsia="Calibri" w:hAnsi="Calibr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2C1EFF"/>
    <w:rPr>
      <w:rFonts w:ascii="Calibri" w:eastAsia="Calibri" w:hAnsi="Calibr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2C1EFF"/>
    <w:rPr>
      <w:rFonts w:ascii="Calibri" w:eastAsia="Calibri" w:hAnsi="Calibr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2C1EFF"/>
    <w:rPr>
      <w:rFonts w:ascii="Calibri" w:eastAsia="Calibri" w:hAnsi="Calibr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2C1EFF"/>
    <w:rPr>
      <w:rFonts w:ascii="Calibri" w:eastAsia="Calibri" w:hAnsi="Calibr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2C1EFF"/>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2C1EFF"/>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2C1EFF"/>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2C1EFF"/>
    <w:rPr>
      <w:rFonts w:ascii="Calibri" w:eastAsia="Calibri" w:hAnsi="Calibr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2C1EFF"/>
    <w:rPr>
      <w:rFonts w:ascii="Calibri" w:eastAsia="Calibri" w:hAnsi="Calibr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2C1EFF"/>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2C1EFF"/>
    <w:rPr>
      <w:rFonts w:ascii="Calibri" w:eastAsia="Calibri" w:hAnsi="Calibr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2C1EFF"/>
    <w:rPr>
      <w:rFonts w:ascii="Calibri" w:eastAsia="Calibri" w:hAnsi="Calibr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2C1EFF"/>
    <w:rPr>
      <w:rFonts w:ascii="Calibri" w:eastAsia="Calibri" w:hAnsi="Calibr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2C1EFF"/>
    <w:rPr>
      <w:rFonts w:ascii="Calibri" w:eastAsia="Calibri" w:hAnsi="Calibr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2C1EFF"/>
    <w:rPr>
      <w:rFonts w:ascii="Calibri" w:eastAsia="Calibri" w:hAnsi="Calibr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2C1E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2C1EFF"/>
    <w:rPr>
      <w:rFonts w:ascii="Calibri" w:eastAsia="Calibri" w:hAnsi="Calibr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2C1EFF"/>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2C1EFF"/>
    <w:rPr>
      <w:rFonts w:ascii="Calibri" w:eastAsia="Calibri" w:hAnsi="Calibr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20">
    <w:name w:val="Table Grid12"/>
    <w:basedOn w:val="TableNormal"/>
    <w:next w:val="TableGrid"/>
    <w:uiPriority w:val="59"/>
    <w:rsid w:val="002C1E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emf"/><Relationship Id="rId34"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image" Target="media/image3.emf"/><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70</Pages>
  <Words>17148</Words>
  <Characters>94717</Characters>
  <Application>Microsoft Office Word</Application>
  <DocSecurity>0</DocSecurity>
  <Lines>789</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2016-12-28T20:59:00Z</dcterms:created>
  <dcterms:modified xsi:type="dcterms:W3CDTF">2016-12-29T13:11:00Z</dcterms:modified>
</cp:coreProperties>
</file>