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AB1949" w:rsidP="00AB1949">
      <w:pPr>
        <w:pStyle w:val="OrderHeading"/>
      </w:pPr>
      <w:r>
        <w:t>BEFORE THE FLORIDA PUBLIC SERVICE COMMISSION</w:t>
      </w:r>
    </w:p>
    <w:p w:rsidR="00AB1949" w:rsidRDefault="00AB1949" w:rsidP="00AB1949">
      <w:pPr>
        <w:pStyle w:val="OrderHeading"/>
      </w:pPr>
    </w:p>
    <w:p w:rsidR="00AB1949" w:rsidRDefault="00AB1949" w:rsidP="00AB194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B1949" w:rsidRPr="00C63FCF" w:rsidTr="00C63FCF">
        <w:trPr>
          <w:trHeight w:val="828"/>
        </w:trPr>
        <w:tc>
          <w:tcPr>
            <w:tcW w:w="4788" w:type="dxa"/>
            <w:tcBorders>
              <w:bottom w:val="single" w:sz="8" w:space="0" w:color="auto"/>
              <w:right w:val="double" w:sz="6" w:space="0" w:color="auto"/>
            </w:tcBorders>
            <w:shd w:val="clear" w:color="auto" w:fill="auto"/>
          </w:tcPr>
          <w:p w:rsidR="00AB1949" w:rsidRDefault="00AB1949" w:rsidP="00C63FCF">
            <w:pPr>
              <w:pStyle w:val="OrderBody"/>
              <w:tabs>
                <w:tab w:val="center" w:pos="4320"/>
                <w:tab w:val="right" w:pos="8640"/>
              </w:tabs>
              <w:jc w:val="left"/>
            </w:pPr>
            <w:r>
              <w:t xml:space="preserve">In re: </w:t>
            </w:r>
            <w:bookmarkStart w:id="0" w:name="SSInRe"/>
            <w:bookmarkEnd w:id="0"/>
            <w:r>
              <w:t>Petition for approval of settlement agreement pertaining to Peoples Gas System's 2016 depreciation study, environmental reserve account, problematic plastic pipe replacement, and authorized ROE.</w:t>
            </w:r>
          </w:p>
        </w:tc>
        <w:tc>
          <w:tcPr>
            <w:tcW w:w="4788" w:type="dxa"/>
            <w:tcBorders>
              <w:left w:val="double" w:sz="6" w:space="0" w:color="auto"/>
            </w:tcBorders>
            <w:shd w:val="clear" w:color="auto" w:fill="auto"/>
          </w:tcPr>
          <w:p w:rsidR="00AB1949" w:rsidRDefault="00AB1949" w:rsidP="00AB1949">
            <w:pPr>
              <w:pStyle w:val="OrderBody"/>
            </w:pPr>
            <w:r>
              <w:t xml:space="preserve">DOCKET NO. </w:t>
            </w:r>
            <w:bookmarkStart w:id="1" w:name="SSDocketNo"/>
            <w:bookmarkEnd w:id="1"/>
            <w:r>
              <w:t>160159-GU</w:t>
            </w:r>
          </w:p>
          <w:p w:rsidR="00AB1949" w:rsidRDefault="00AB1949" w:rsidP="00C63FCF">
            <w:pPr>
              <w:pStyle w:val="OrderBody"/>
              <w:tabs>
                <w:tab w:val="center" w:pos="4320"/>
                <w:tab w:val="right" w:pos="8640"/>
              </w:tabs>
              <w:jc w:val="left"/>
            </w:pPr>
            <w:r>
              <w:t xml:space="preserve">ORDER NO. </w:t>
            </w:r>
            <w:bookmarkStart w:id="2" w:name="OrderNo0066"/>
            <w:r w:rsidR="00A705C2">
              <w:t>PSC-17-0066-</w:t>
            </w:r>
            <w:r w:rsidR="00916484">
              <w:t>AS</w:t>
            </w:r>
            <w:r w:rsidR="00A705C2">
              <w:t>-GU</w:t>
            </w:r>
            <w:bookmarkEnd w:id="2"/>
          </w:p>
          <w:p w:rsidR="00AB1949" w:rsidRDefault="00AB1949" w:rsidP="00C63FCF">
            <w:pPr>
              <w:pStyle w:val="OrderBody"/>
              <w:tabs>
                <w:tab w:val="center" w:pos="4320"/>
                <w:tab w:val="right" w:pos="8640"/>
              </w:tabs>
              <w:jc w:val="left"/>
            </w:pPr>
            <w:r>
              <w:t xml:space="preserve">ISSUED: </w:t>
            </w:r>
            <w:r w:rsidR="00A705C2">
              <w:t>February 28, 2017</w:t>
            </w:r>
          </w:p>
        </w:tc>
      </w:tr>
    </w:tbl>
    <w:p w:rsidR="00AB1949" w:rsidRDefault="00AB1949" w:rsidP="00AB1949"/>
    <w:p w:rsidR="00AB1949" w:rsidRDefault="00AB1949" w:rsidP="00AB1949"/>
    <w:p w:rsidR="00AB1949" w:rsidRDefault="00AB1949">
      <w:pPr>
        <w:ind w:firstLine="720"/>
        <w:jc w:val="both"/>
      </w:pPr>
      <w:bookmarkStart w:id="3" w:name="Commissioners"/>
      <w:bookmarkEnd w:id="3"/>
      <w:r>
        <w:t>The following Commissioners participated in the disposition of this matter:</w:t>
      </w:r>
    </w:p>
    <w:p w:rsidR="00AB1949" w:rsidRDefault="00AB1949"/>
    <w:p w:rsidR="00AB1949" w:rsidRDefault="00AB1949">
      <w:pPr>
        <w:jc w:val="center"/>
      </w:pPr>
      <w:r>
        <w:t>JULIE I. BROWN, Chairman</w:t>
      </w:r>
    </w:p>
    <w:p w:rsidR="00AB1949" w:rsidRDefault="00AB1949">
      <w:pPr>
        <w:jc w:val="center"/>
      </w:pPr>
      <w:r>
        <w:t>ART GRAHAM</w:t>
      </w:r>
    </w:p>
    <w:p w:rsidR="00AB1949" w:rsidRDefault="00AB1949">
      <w:pPr>
        <w:jc w:val="center"/>
      </w:pPr>
      <w:r>
        <w:t>RONALD A. BRISÉ</w:t>
      </w:r>
    </w:p>
    <w:p w:rsidR="00AB1949" w:rsidRDefault="00AB1949">
      <w:pPr>
        <w:jc w:val="center"/>
      </w:pPr>
      <w:r>
        <w:t>JIMMY PATRONIS</w:t>
      </w:r>
    </w:p>
    <w:p w:rsidR="00AB1949" w:rsidRDefault="00AB1949">
      <w:pPr>
        <w:jc w:val="center"/>
      </w:pPr>
      <w:r>
        <w:t>DONALD J. POLMANN</w:t>
      </w:r>
    </w:p>
    <w:p w:rsidR="00AB1949" w:rsidRDefault="00AB1949"/>
    <w:p w:rsidR="00CB5276" w:rsidRDefault="00CB5276">
      <w:pPr>
        <w:pStyle w:val="OrderBody"/>
      </w:pPr>
    </w:p>
    <w:p w:rsidR="00AB1949" w:rsidRDefault="00AB1949" w:rsidP="00AB1949">
      <w:pPr>
        <w:pStyle w:val="CenterUnderline"/>
      </w:pPr>
      <w:r>
        <w:t>ORDER</w:t>
      </w:r>
      <w:bookmarkStart w:id="4" w:name="OrderTitle"/>
      <w:r>
        <w:t xml:space="preserve"> </w:t>
      </w:r>
      <w:r w:rsidR="00136E35">
        <w:t>APPROVING SETTLEMENT AGREEMENT</w:t>
      </w:r>
      <w:r>
        <w:t xml:space="preserve"> </w:t>
      </w:r>
      <w:bookmarkEnd w:id="4"/>
    </w:p>
    <w:p w:rsidR="00AB1949" w:rsidRDefault="00AB1949" w:rsidP="00AB1949">
      <w:pPr>
        <w:pStyle w:val="CenterUnderline"/>
      </w:pPr>
    </w:p>
    <w:p w:rsidR="00AB1949" w:rsidRDefault="00AB1949" w:rsidP="00AB1949">
      <w:pPr>
        <w:pStyle w:val="OrderBody"/>
      </w:pPr>
      <w:r>
        <w:t>BY THE COMMISSION:</w:t>
      </w:r>
    </w:p>
    <w:p w:rsidR="00AB1949" w:rsidRDefault="00AB1949" w:rsidP="00AB1949">
      <w:pPr>
        <w:pStyle w:val="OrderBody"/>
      </w:pPr>
    </w:p>
    <w:p w:rsidR="007267CA" w:rsidRDefault="007267CA" w:rsidP="0024026E">
      <w:pPr>
        <w:pStyle w:val="OrderBody"/>
        <w:jc w:val="center"/>
        <w:rPr>
          <w:u w:val="single"/>
        </w:rPr>
      </w:pPr>
      <w:r>
        <w:rPr>
          <w:u w:val="single"/>
        </w:rPr>
        <w:t>Background</w:t>
      </w:r>
    </w:p>
    <w:p w:rsidR="007267CA" w:rsidRPr="0024026E" w:rsidRDefault="007267CA" w:rsidP="0024026E">
      <w:pPr>
        <w:pStyle w:val="OrderBody"/>
        <w:jc w:val="center"/>
        <w:rPr>
          <w:u w:val="single"/>
        </w:rPr>
      </w:pPr>
    </w:p>
    <w:p w:rsidR="00F515F6" w:rsidRDefault="00AB1949" w:rsidP="00AB19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bookmarkStart w:id="5" w:name="OrderText"/>
      <w:bookmarkEnd w:id="5"/>
      <w:r>
        <w:tab/>
        <w:t xml:space="preserve">On June 28, 2016, Peoples Gas System (PGS), </w:t>
      </w:r>
      <w:r w:rsidRPr="00FD4713">
        <w:t>pursuant to Rule 25-7.045, Florida</w:t>
      </w:r>
      <w:r>
        <w:t xml:space="preserve"> </w:t>
      </w:r>
      <w:r w:rsidRPr="00FD4713">
        <w:t>Administrative Code</w:t>
      </w:r>
      <w:r>
        <w:t xml:space="preserve"> (F.A.C.)</w:t>
      </w:r>
      <w:r w:rsidRPr="00FD4713">
        <w:t>, file</w:t>
      </w:r>
      <w:r>
        <w:t>d a</w:t>
      </w:r>
      <w:r w:rsidRPr="00FD4713">
        <w:t xml:space="preserve"> petition for approval of the </w:t>
      </w:r>
      <w:r>
        <w:t>c</w:t>
      </w:r>
      <w:r w:rsidRPr="00FD4713">
        <w:t xml:space="preserve">ompany’s 2016 </w:t>
      </w:r>
      <w:r w:rsidR="007267CA">
        <w:t>d</w:t>
      </w:r>
      <w:r w:rsidR="007267CA" w:rsidRPr="00FD4713">
        <w:t>epreciation</w:t>
      </w:r>
      <w:r w:rsidR="007267CA">
        <w:t xml:space="preserve"> s</w:t>
      </w:r>
      <w:r w:rsidR="007267CA" w:rsidRPr="00FD4713">
        <w:t>tudy</w:t>
      </w:r>
      <w:r>
        <w:t xml:space="preserve">. Intervention by the Office of Public Counsel (OPC) was acknowledged by Order No. PSC-16-0324-PCO-GU, issued August 11, 2016. </w:t>
      </w:r>
      <w:r w:rsidR="004163B4">
        <w:t xml:space="preserve">PGS amended its depreciation study on October 14, 2016, and again on October 25, 2016. </w:t>
      </w:r>
      <w:r w:rsidR="00FA2A03">
        <w:t xml:space="preserve">On November 4, 2016, OPC filed a preliminary report regarding PGS’s </w:t>
      </w:r>
      <w:r w:rsidR="004163B4">
        <w:t xml:space="preserve">October 25, 2016 updated </w:t>
      </w:r>
      <w:r w:rsidR="00FA2A03">
        <w:t xml:space="preserve">depreciation study. </w:t>
      </w:r>
      <w:r>
        <w:t xml:space="preserve">On December 15, 2016, PGS and OPC (the signatories) filed a joint motion seeking Commission approval of a Settlement Agreement </w:t>
      </w:r>
      <w:r w:rsidR="00F956DB" w:rsidRPr="00AB1949">
        <w:t>(SA)</w:t>
      </w:r>
      <w:r w:rsidR="00F956DB">
        <w:t xml:space="preserve"> </w:t>
      </w:r>
      <w:r>
        <w:t xml:space="preserve">as being in the public interest, proposing resolution of all matters </w:t>
      </w:r>
      <w:r w:rsidR="007267CA">
        <w:t xml:space="preserve">with respect to </w:t>
      </w:r>
      <w:r w:rsidR="00234C02">
        <w:t>the</w:t>
      </w:r>
      <w:r w:rsidR="007267CA">
        <w:t xml:space="preserve"> company’s 2016 depreciation study.</w:t>
      </w:r>
      <w:r>
        <w:t xml:space="preserve"> </w:t>
      </w:r>
      <w:r w:rsidR="00CF2255">
        <w:t xml:space="preserve">In addition, the SA addresses cost recovery associated with PGS’s manufactured gas plant-related environmental liability, the replacement of problematic plastic pipe installed in PGS’s distribution system, and the reduction of the bottom of PGS’s authorized earning range. </w:t>
      </w:r>
      <w:r w:rsidR="00DF4187">
        <w:t xml:space="preserve">Commission staff issued multiple sets of data requests and staff reports to PGS, and held </w:t>
      </w:r>
      <w:r w:rsidR="00EE74B2">
        <w:t xml:space="preserve">2 </w:t>
      </w:r>
      <w:r w:rsidR="00DF4187">
        <w:t>notice</w:t>
      </w:r>
      <w:r w:rsidR="00EE74B2">
        <w:t>d</w:t>
      </w:r>
      <w:r w:rsidR="00DF4187">
        <w:t xml:space="preserve"> meetings with respect to the docket.</w:t>
      </w:r>
    </w:p>
    <w:p w:rsidR="004163B4" w:rsidRDefault="004163B4" w:rsidP="00AB19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F515F6" w:rsidRDefault="00F515F6" w:rsidP="00F515F6">
      <w:pPr>
        <w:ind w:firstLine="720"/>
        <w:jc w:val="both"/>
      </w:pPr>
      <w:r w:rsidRPr="00AB1949">
        <w:t xml:space="preserve">In 1986, PGS was permitted to recover costs associated with </w:t>
      </w:r>
      <w:r>
        <w:t xml:space="preserve">its assessment, monitoring, and </w:t>
      </w:r>
      <w:r w:rsidRPr="00AB1949">
        <w:t>remediation/cleanup of environmental contaminants produced by old manufactured gas plants (MGPs).</w:t>
      </w:r>
      <w:r>
        <w:t xml:space="preserve"> </w:t>
      </w:r>
      <w:r w:rsidRPr="00AB1949">
        <w:t xml:space="preserve">In 1998, a reserve accounting treatment was approved </w:t>
      </w:r>
      <w:r>
        <w:t xml:space="preserve">for the company </w:t>
      </w:r>
      <w:r w:rsidRPr="00AB1949">
        <w:t xml:space="preserve">with an annual accrual of $0.64 </w:t>
      </w:r>
      <w:r w:rsidR="004174DD">
        <w:t>million</w:t>
      </w:r>
      <w:r w:rsidRPr="00AB1949">
        <w:t xml:space="preserve"> which has not been revisited since that time.</w:t>
      </w:r>
      <w:r>
        <w:t xml:space="preserve"> </w:t>
      </w:r>
      <w:r w:rsidRPr="00AB1949">
        <w:t xml:space="preserve">The MGP-related costs have now increased since PGS’s responsibilities have evolved from assessment  </w:t>
      </w:r>
      <w:r>
        <w:t xml:space="preserve">and </w:t>
      </w:r>
      <w:r w:rsidRPr="00AB1949">
        <w:t xml:space="preserve">monitoring to cleanup </w:t>
      </w:r>
      <w:r>
        <w:t xml:space="preserve"> and</w:t>
      </w:r>
      <w:r w:rsidRPr="00AB1949">
        <w:t xml:space="preserve"> monitoring. The estimated total cost is </w:t>
      </w:r>
      <w:r>
        <w:t xml:space="preserve">nearly </w:t>
      </w:r>
      <w:r w:rsidRPr="00AB1949">
        <w:t xml:space="preserve">$55 </w:t>
      </w:r>
      <w:r w:rsidR="00607234">
        <w:t>million</w:t>
      </w:r>
      <w:r w:rsidRPr="00AB1949">
        <w:t xml:space="preserve">, which </w:t>
      </w:r>
      <w:r w:rsidRPr="00AB1949">
        <w:lastRenderedPageBreak/>
        <w:t xml:space="preserve">would require approximately 85 years </w:t>
      </w:r>
      <w:r>
        <w:t>to achieve</w:t>
      </w:r>
      <w:r w:rsidRPr="00AB1949">
        <w:t xml:space="preserve"> full </w:t>
      </w:r>
      <w:r>
        <w:t xml:space="preserve">cost </w:t>
      </w:r>
      <w:r w:rsidR="00B61524">
        <w:t>recovery with the</w:t>
      </w:r>
      <w:r>
        <w:t xml:space="preserve"> existing authorized</w:t>
      </w:r>
      <w:r w:rsidRPr="00AB1949">
        <w:t xml:space="preserve"> accrual rate.</w:t>
      </w:r>
      <w:r>
        <w:t xml:space="preserve"> </w:t>
      </w:r>
    </w:p>
    <w:p w:rsidR="002E0386" w:rsidRDefault="002E0386" w:rsidP="00AB19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AB1949" w:rsidRDefault="002E0386" w:rsidP="00AB19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t>PGS</w:t>
      </w:r>
      <w:r w:rsidR="004163B4">
        <w:t xml:space="preserve">’s </w:t>
      </w:r>
      <w:r>
        <w:t xml:space="preserve">has </w:t>
      </w:r>
      <w:r w:rsidRPr="00AB1949">
        <w:t>approximately 550 miles of installed “problematic plastic pipe” (PPP)</w:t>
      </w:r>
      <w:r>
        <w:t>. The PPP</w:t>
      </w:r>
      <w:r w:rsidRPr="00AB1949">
        <w:t xml:space="preserve">, manufactured </w:t>
      </w:r>
      <w:r w:rsidR="00277126">
        <w:t xml:space="preserve">before </w:t>
      </w:r>
      <w:r w:rsidRPr="00AB1949">
        <w:t>1983, has significant safety concerns</w:t>
      </w:r>
      <w:r>
        <w:t>.</w:t>
      </w:r>
      <w:r w:rsidRPr="00AB1949">
        <w:t xml:space="preserve"> </w:t>
      </w:r>
      <w:r>
        <w:t>I</w:t>
      </w:r>
      <w:r w:rsidRPr="00AB1949">
        <w:t xml:space="preserve">n certain areas, </w:t>
      </w:r>
      <w:r>
        <w:t xml:space="preserve">this PPP </w:t>
      </w:r>
      <w:r w:rsidRPr="00AB1949">
        <w:t xml:space="preserve">is interspersed with, or connected to, the cast iron and bare steel pipe that is </w:t>
      </w:r>
      <w:r w:rsidR="00277126">
        <w:t xml:space="preserve">currently </w:t>
      </w:r>
      <w:r w:rsidRPr="00AB1949">
        <w:t>being replaced</w:t>
      </w:r>
      <w:r>
        <w:t xml:space="preserve"> under </w:t>
      </w:r>
      <w:r w:rsidR="00277126">
        <w:t xml:space="preserve">PGS’s </w:t>
      </w:r>
      <w:r>
        <w:t>Rider CI/BSR</w:t>
      </w:r>
      <w:r w:rsidR="00277126">
        <w:t xml:space="preserve"> (cast iro</w:t>
      </w:r>
      <w:r w:rsidR="004163B4">
        <w:t xml:space="preserve">n / </w:t>
      </w:r>
      <w:r w:rsidR="00277126">
        <w:t>bare steel replacement)</w:t>
      </w:r>
      <w:r w:rsidRPr="00AB1949">
        <w:t>.</w:t>
      </w:r>
    </w:p>
    <w:p w:rsidR="002E0386" w:rsidRDefault="002E0386" w:rsidP="00AB19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AB1949" w:rsidRDefault="00AB1949" w:rsidP="00AB19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t>In response to a Commission staff data request and pursuant to discussions with the parties held in noticed meetings, PGS clarified that obtaining a</w:t>
      </w:r>
      <w:r w:rsidRPr="009F28BB">
        <w:t xml:space="preserve"> final </w:t>
      </w:r>
      <w:r>
        <w:t xml:space="preserve">decision approving </w:t>
      </w:r>
      <w:r w:rsidRPr="009F28BB">
        <w:t xml:space="preserve">the </w:t>
      </w:r>
      <w:r>
        <w:t xml:space="preserve">SA by February 7, 2017, would </w:t>
      </w:r>
      <w:r w:rsidRPr="009F28BB">
        <w:t xml:space="preserve">enable </w:t>
      </w:r>
      <w:r>
        <w:t>PGS</w:t>
      </w:r>
      <w:r w:rsidRPr="009F28BB">
        <w:t xml:space="preserve"> to </w:t>
      </w:r>
      <w:r>
        <w:t>utilize the proposed new depreciation rates in its Securities Exchange Commission</w:t>
      </w:r>
      <w:r w:rsidRPr="009F28BB">
        <w:t xml:space="preserve"> 10</w:t>
      </w:r>
      <w:r>
        <w:t>-</w:t>
      </w:r>
      <w:r w:rsidRPr="009F28BB">
        <w:t xml:space="preserve">K filing </w:t>
      </w:r>
      <w:r>
        <w:t>due</w:t>
      </w:r>
      <w:r w:rsidRPr="009F28BB">
        <w:t xml:space="preserve"> February 10</w:t>
      </w:r>
      <w:r>
        <w:t xml:space="preserve">, 2017. Otherwise, PGS </w:t>
      </w:r>
      <w:r w:rsidRPr="009F28BB">
        <w:t xml:space="preserve">would </w:t>
      </w:r>
      <w:r>
        <w:t xml:space="preserve">be required to </w:t>
      </w:r>
      <w:r w:rsidRPr="009F28BB">
        <w:t>recompute th</w:t>
      </w:r>
      <w:r w:rsidR="00277126">
        <w:t>e depreciation expense</w:t>
      </w:r>
      <w:r w:rsidRPr="009F28BB">
        <w:t xml:space="preserve"> data </w:t>
      </w:r>
      <w:r w:rsidR="00277126">
        <w:t xml:space="preserve">appearing in its 10-K filing </w:t>
      </w:r>
      <w:r>
        <w:t>using the current depreciation rates, which would re</w:t>
      </w:r>
      <w:r w:rsidR="00277126">
        <w:t xml:space="preserve">flect </w:t>
      </w:r>
      <w:r>
        <w:t>higher depreciation expense</w:t>
      </w:r>
      <w:r w:rsidRPr="009F28BB">
        <w:t xml:space="preserve"> </w:t>
      </w:r>
      <w:r w:rsidR="00277126">
        <w:t xml:space="preserve">than proposed </w:t>
      </w:r>
      <w:r w:rsidRPr="009F28BB">
        <w:t xml:space="preserve">without the benefit of the offsets </w:t>
      </w:r>
      <w:r>
        <w:t>negotiated</w:t>
      </w:r>
      <w:r w:rsidRPr="009F28BB">
        <w:t xml:space="preserve"> in the </w:t>
      </w:r>
      <w:r>
        <w:t>proposed S</w:t>
      </w:r>
      <w:r w:rsidR="00F956DB">
        <w:t>A</w:t>
      </w:r>
      <w:r>
        <w:t>.</w:t>
      </w:r>
    </w:p>
    <w:p w:rsidR="00AB1949" w:rsidRDefault="00AB1949" w:rsidP="00AB19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AB1949" w:rsidRDefault="00AB1949" w:rsidP="00AB19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t>In order to effectuate</w:t>
      </w:r>
      <w:r w:rsidR="00C92327">
        <w:t xml:space="preserve"> </w:t>
      </w:r>
      <w:r>
        <w:t xml:space="preserve"> a final decision by this Commission on the proposed settlement so PGS can meet its February 10, 2017</w:t>
      </w:r>
      <w:r w:rsidR="004174DD">
        <w:t>,</w:t>
      </w:r>
      <w:r>
        <w:t xml:space="preserve"> filing date, the signatories agreed to waive</w:t>
      </w:r>
      <w:r w:rsidR="001C1EB1">
        <w:t>:</w:t>
      </w:r>
      <w:r>
        <w:t xml:space="preserve"> (a) all notice requirements for a hearing as set forth in Section 120.569(2)(b), Florida Statutes (F.S.), or other applicable provisions of law; (b) their right to require a hearing on the merits; (c) their respective rights to seek reconsideration pursuant to Rule 25-22.060, F.A.C., of any final order that approves the SA in its entirety and without change; and (d) their respective rights to judicial review of any such final agency action approving the SA afforded by Section 120.68, F.S.</w:t>
      </w:r>
    </w:p>
    <w:p w:rsidR="00AB1949" w:rsidRDefault="00AB1949" w:rsidP="0024026E">
      <w:pPr>
        <w:jc w:val="both"/>
      </w:pPr>
    </w:p>
    <w:p w:rsidR="00607234" w:rsidRDefault="00D677EB" w:rsidP="0024026E">
      <w:pPr>
        <w:jc w:val="both"/>
      </w:pPr>
      <w:r>
        <w:tab/>
        <w:t>By Order N</w:t>
      </w:r>
      <w:bookmarkStart w:id="6" w:name="_GoBack"/>
      <w:bookmarkEnd w:id="6"/>
      <w:r>
        <w:t>o. PSC-17-0018-PCO-GU, issued January 11, 2017, this matter was scheduled for an administrative hearing on February 7, 2017. At the hearing, we heard arguments from the parties and admitted evidence into the record supporting the public interest. We have jurisdiction to consider this matter pursuant to Sections 366.04, 366.041, 366.05, 366.06, and 120.57, F.S.</w:t>
      </w:r>
    </w:p>
    <w:p w:rsidR="004174DD" w:rsidRPr="00AB1949" w:rsidRDefault="004174DD" w:rsidP="0024026E">
      <w:pPr>
        <w:jc w:val="both"/>
      </w:pPr>
    </w:p>
    <w:p w:rsidR="00AB1949" w:rsidRPr="00F956DB" w:rsidRDefault="00F956DB" w:rsidP="00AB1949">
      <w:pPr>
        <w:ind w:left="360" w:hanging="360"/>
        <w:jc w:val="center"/>
        <w:rPr>
          <w:u w:val="single"/>
        </w:rPr>
      </w:pPr>
      <w:r w:rsidRPr="00F956DB">
        <w:rPr>
          <w:u w:val="single"/>
        </w:rPr>
        <w:t>T</w:t>
      </w:r>
      <w:r w:rsidR="00AB1949" w:rsidRPr="00F956DB">
        <w:rPr>
          <w:u w:val="single"/>
        </w:rPr>
        <w:t>he Settlement Agreement</w:t>
      </w:r>
    </w:p>
    <w:p w:rsidR="00AB1949" w:rsidRPr="00AB1949" w:rsidRDefault="00AB1949" w:rsidP="00AB1949">
      <w:pPr>
        <w:jc w:val="both"/>
      </w:pPr>
    </w:p>
    <w:p w:rsidR="0066465E" w:rsidRDefault="00AB1949" w:rsidP="0066465E">
      <w:pPr>
        <w:ind w:firstLine="720"/>
        <w:jc w:val="both"/>
      </w:pPr>
      <w:r w:rsidRPr="00AB1949">
        <w:t>The SA is expected to result in</w:t>
      </w:r>
      <w:r w:rsidR="00F956DB">
        <w:t xml:space="preserve"> a</w:t>
      </w:r>
      <w:r w:rsidRPr="00AB1949">
        <w:t xml:space="preserve"> reduction in </w:t>
      </w:r>
      <w:r w:rsidR="00167E01">
        <w:t xml:space="preserve">PGS’s </w:t>
      </w:r>
      <w:r w:rsidRPr="00AB1949">
        <w:t xml:space="preserve">2016 depreciation expense of </w:t>
      </w:r>
      <w:r w:rsidR="001A799B">
        <w:t>approximately</w:t>
      </w:r>
      <w:r w:rsidR="00167E01">
        <w:t xml:space="preserve"> </w:t>
      </w:r>
      <w:r w:rsidRPr="00AB1949">
        <w:t xml:space="preserve">$16.1 </w:t>
      </w:r>
      <w:r w:rsidR="007267CA">
        <w:t>million</w:t>
      </w:r>
      <w:r w:rsidR="00243A86">
        <w:t>,</w:t>
      </w:r>
      <w:r w:rsidR="00F956DB">
        <w:t xml:space="preserve"> and a</w:t>
      </w:r>
      <w:r w:rsidRPr="00AB1949">
        <w:t xml:space="preserve"> reduction in depreciation expense included in </w:t>
      </w:r>
      <w:r w:rsidR="00243A86" w:rsidRPr="00AB1949">
        <w:t xml:space="preserve">Rider </w:t>
      </w:r>
      <w:r w:rsidR="00B42B32">
        <w:t>CI/BSR (Rider)</w:t>
      </w:r>
      <w:r w:rsidRPr="00AB1949">
        <w:t xml:space="preserve"> surcharges</w:t>
      </w:r>
      <w:r w:rsidR="002165C7">
        <w:t xml:space="preserve">. </w:t>
      </w:r>
      <w:r w:rsidRPr="00AB1949">
        <w:t>The Commission-approved 2017 surcharges</w:t>
      </w:r>
      <w:r w:rsidR="00CA0DA7">
        <w:t xml:space="preserve"> associated with the Rider </w:t>
      </w:r>
      <w:r w:rsidRPr="00AB1949">
        <w:t>will not be revised</w:t>
      </w:r>
      <w:r w:rsidR="00277126">
        <w:t xml:space="preserve"> </w:t>
      </w:r>
      <w:r w:rsidR="00B172EF">
        <w:t xml:space="preserve">under </w:t>
      </w:r>
      <w:r w:rsidR="00A8642F">
        <w:t>this</w:t>
      </w:r>
      <w:r w:rsidR="00B172EF">
        <w:t xml:space="preserve"> approved </w:t>
      </w:r>
      <w:r w:rsidR="00277126">
        <w:t>SA</w:t>
      </w:r>
      <w:r w:rsidR="0066465E">
        <w:t>. T</w:t>
      </w:r>
      <w:r w:rsidRPr="00AB1949">
        <w:t xml:space="preserve">hrough the annual true-up mechanism of </w:t>
      </w:r>
      <w:r w:rsidR="00A8642F">
        <w:t xml:space="preserve">the </w:t>
      </w:r>
      <w:r w:rsidRPr="00AB1949">
        <w:t xml:space="preserve">Rider, the </w:t>
      </w:r>
      <w:r w:rsidR="001A799B">
        <w:t xml:space="preserve">depreciation expense </w:t>
      </w:r>
      <w:r w:rsidRPr="001A799B">
        <w:t>reduction</w:t>
      </w:r>
      <w:r w:rsidR="001A799B">
        <w:t xml:space="preserve"> beginning January 1, 2016,</w:t>
      </w:r>
      <w:r w:rsidRPr="00AB1949">
        <w:t xml:space="preserve"> </w:t>
      </w:r>
      <w:r w:rsidR="00EC64C4">
        <w:t xml:space="preserve">under the SA </w:t>
      </w:r>
      <w:r w:rsidRPr="00AB1949">
        <w:t>w</w:t>
      </w:r>
      <w:r w:rsidR="00EC64C4">
        <w:t xml:space="preserve">ould </w:t>
      </w:r>
      <w:r w:rsidRPr="00AB1949">
        <w:t xml:space="preserve">be </w:t>
      </w:r>
      <w:r w:rsidR="001A799B">
        <w:t>reflected</w:t>
      </w:r>
      <w:r w:rsidR="001A799B" w:rsidRPr="00AB1949">
        <w:t xml:space="preserve"> </w:t>
      </w:r>
      <w:r w:rsidRPr="00AB1949">
        <w:t xml:space="preserve">in </w:t>
      </w:r>
      <w:r w:rsidR="00B42B32">
        <w:t xml:space="preserve">the </w:t>
      </w:r>
      <w:r w:rsidRPr="00AB1949">
        <w:t xml:space="preserve">2018 surcharges that </w:t>
      </w:r>
      <w:r w:rsidR="00EC64C4">
        <w:t xml:space="preserve">are </w:t>
      </w:r>
      <w:r w:rsidR="0066465E">
        <w:t>subject to Commission approval.</w:t>
      </w:r>
    </w:p>
    <w:p w:rsidR="0066465E" w:rsidRDefault="0066465E" w:rsidP="0066465E">
      <w:pPr>
        <w:ind w:firstLine="720"/>
        <w:jc w:val="both"/>
      </w:pPr>
    </w:p>
    <w:p w:rsidR="00AB1949" w:rsidRPr="00AB1949" w:rsidRDefault="0066465E" w:rsidP="0024026E">
      <w:pPr>
        <w:tabs>
          <w:tab w:val="left" w:pos="0"/>
        </w:tabs>
        <w:ind w:firstLine="720"/>
        <w:jc w:val="both"/>
      </w:pPr>
      <w:r>
        <w:t xml:space="preserve">The SA </w:t>
      </w:r>
      <w:r w:rsidR="002E0386">
        <w:t xml:space="preserve">includes several </w:t>
      </w:r>
      <w:r w:rsidR="001C6CDF">
        <w:t>measures</w:t>
      </w:r>
      <w:r w:rsidR="00EC64C4">
        <w:t xml:space="preserve"> addressing MGP-related cost recovery</w:t>
      </w:r>
      <w:r w:rsidR="00B61524">
        <w:t>.</w:t>
      </w:r>
      <w:r w:rsidR="001C6CDF">
        <w:t xml:space="preserve"> </w:t>
      </w:r>
      <w:r w:rsidR="002E0386">
        <w:t xml:space="preserve">First, the SA requires the </w:t>
      </w:r>
      <w:r>
        <w:t>a</w:t>
      </w:r>
      <w:r w:rsidR="00AB1949" w:rsidRPr="00AB1949">
        <w:t xml:space="preserve">mortization of $21 </w:t>
      </w:r>
      <w:r w:rsidR="002165C7">
        <w:t>million</w:t>
      </w:r>
      <w:r w:rsidR="00AB1949" w:rsidRPr="00AB1949">
        <w:t xml:space="preserve"> current </w:t>
      </w:r>
      <w:r w:rsidR="00C92327">
        <w:t xml:space="preserve">environmental </w:t>
      </w:r>
      <w:r w:rsidR="00AB1949" w:rsidRPr="00AB1949">
        <w:t xml:space="preserve">reserve </w:t>
      </w:r>
      <w:r w:rsidR="00C92327">
        <w:t xml:space="preserve">account </w:t>
      </w:r>
      <w:r w:rsidR="00AB1949" w:rsidRPr="00AB1949">
        <w:t>balance deficiency</w:t>
      </w:r>
      <w:r>
        <w:t xml:space="preserve"> over 2 years beginning in 2016 and a</w:t>
      </w:r>
      <w:r w:rsidR="00AB1949" w:rsidRPr="00AB1949">
        <w:t xml:space="preserve">mortization of at least $32 </w:t>
      </w:r>
      <w:r w:rsidR="002165C7">
        <w:t>million</w:t>
      </w:r>
      <w:r w:rsidR="00AB1949" w:rsidRPr="00AB1949">
        <w:t xml:space="preserve"> of the </w:t>
      </w:r>
      <w:r w:rsidR="004174DD">
        <w:t xml:space="preserve">reasonably and </w:t>
      </w:r>
      <w:r w:rsidR="00AB1949" w:rsidRPr="00AB1949">
        <w:t xml:space="preserve">prudently incurred current/future MGP environmental liability over the period 2016 </w:t>
      </w:r>
      <w:r w:rsidR="004174DD">
        <w:t>–</w:t>
      </w:r>
      <w:r w:rsidR="00AB1949" w:rsidRPr="00AB1949">
        <w:t xml:space="preserve"> 2020</w:t>
      </w:r>
      <w:r w:rsidR="004174DD">
        <w:t xml:space="preserve"> (inclusive of the portion amortized in 2016 and 2017)</w:t>
      </w:r>
      <w:r w:rsidR="00EC64C4">
        <w:t>.</w:t>
      </w:r>
      <w:r w:rsidR="00F515F6">
        <w:t xml:space="preserve"> </w:t>
      </w:r>
      <w:r w:rsidR="004174DD">
        <w:t>T</w:t>
      </w:r>
      <w:r w:rsidR="00F515F6">
        <w:t xml:space="preserve">he SA </w:t>
      </w:r>
      <w:r w:rsidR="004174DD">
        <w:t xml:space="preserve">also </w:t>
      </w:r>
      <w:r w:rsidR="00F515F6">
        <w:t>allow</w:t>
      </w:r>
      <w:r w:rsidR="002E0386">
        <w:t>s</w:t>
      </w:r>
      <w:r w:rsidR="00F515F6">
        <w:t xml:space="preserve"> </w:t>
      </w:r>
      <w:r w:rsidR="002E0386">
        <w:t xml:space="preserve">for the </w:t>
      </w:r>
      <w:r w:rsidR="006E7F14">
        <w:t>a</w:t>
      </w:r>
      <w:r w:rsidR="001C6CDF" w:rsidRPr="00AB1949">
        <w:t>ccrual of additional reasonably and prudently incurred MGP environment</w:t>
      </w:r>
      <w:r w:rsidR="006E7F14">
        <w:t xml:space="preserve">al expense over the </w:t>
      </w:r>
      <w:r w:rsidR="006E7F14">
        <w:lastRenderedPageBreak/>
        <w:t>years 2016 -</w:t>
      </w:r>
      <w:r w:rsidR="001C6CDF" w:rsidRPr="00AB1949">
        <w:t xml:space="preserve"> 2020, wherein amounts above $55 M are su</w:t>
      </w:r>
      <w:r w:rsidR="001C6CDF">
        <w:t>bject to being contested by OPC</w:t>
      </w:r>
      <w:r w:rsidR="00D13EAB">
        <w:t xml:space="preserve">. The SA also indicates that </w:t>
      </w:r>
      <w:r w:rsidR="001C6CDF" w:rsidRPr="00AB1949">
        <w:t xml:space="preserve">accrual/amortization of MGP expense would not be used by PGS to drive its achieved </w:t>
      </w:r>
      <w:r w:rsidR="003572F6">
        <w:t>return on equity</w:t>
      </w:r>
      <w:r w:rsidR="001C6CDF" w:rsidRPr="00AB1949">
        <w:t xml:space="preserve"> </w:t>
      </w:r>
      <w:r w:rsidR="003572F6">
        <w:t xml:space="preserve">(ROE) </w:t>
      </w:r>
      <w:r w:rsidR="001C6CDF" w:rsidRPr="00AB1949">
        <w:t>below the</w:t>
      </w:r>
      <w:r w:rsidR="003572F6">
        <w:t xml:space="preserve"> bottom of its authorized range.</w:t>
      </w:r>
    </w:p>
    <w:p w:rsidR="00AB1949" w:rsidRPr="00AB1949" w:rsidRDefault="00AB1949" w:rsidP="0024026E"/>
    <w:p w:rsidR="00B16A26" w:rsidRDefault="00790193" w:rsidP="00B61524">
      <w:pPr>
        <w:tabs>
          <w:tab w:val="left" w:pos="720"/>
        </w:tabs>
        <w:jc w:val="both"/>
      </w:pPr>
      <w:r>
        <w:tab/>
      </w:r>
      <w:r w:rsidR="00EC64C4">
        <w:t xml:space="preserve">As discussed above, the SA addresses cost recovery associated with PGS’s replacement of </w:t>
      </w:r>
      <w:r w:rsidR="002165C7">
        <w:t>PPP</w:t>
      </w:r>
      <w:r w:rsidR="00EC64C4">
        <w:t xml:space="preserve"> installed in PGS’s distribution system,</w:t>
      </w:r>
      <w:r w:rsidR="00C8591D">
        <w:t xml:space="preserve"> </w:t>
      </w:r>
      <w:r w:rsidR="00B16A26">
        <w:t>PGS</w:t>
      </w:r>
      <w:r w:rsidR="00C808F4">
        <w:t>’s def</w:t>
      </w:r>
      <w:r w:rsidR="00CC5E69">
        <w:t>i</w:t>
      </w:r>
      <w:r w:rsidR="00C808F4">
        <w:t xml:space="preserve">nition of </w:t>
      </w:r>
      <w:r w:rsidR="00AB1949" w:rsidRPr="00AB1949">
        <w:t xml:space="preserve">“Eligible Replacements” for cost recovery under </w:t>
      </w:r>
      <w:r w:rsidR="00DB1030" w:rsidRPr="00AB1949">
        <w:t xml:space="preserve">Rider </w:t>
      </w:r>
      <w:r w:rsidR="00AB1949" w:rsidRPr="00AB1949">
        <w:t xml:space="preserve">CI/BSR </w:t>
      </w:r>
      <w:r w:rsidR="00CC5E69">
        <w:t>(PGS’s Natural Gas Tariff, Sheet No. 7.806, Revised Volume 3)</w:t>
      </w:r>
      <w:r w:rsidR="00C8591D">
        <w:t xml:space="preserve"> </w:t>
      </w:r>
      <w:r w:rsidR="00CC5E69">
        <w:t xml:space="preserve">would be revised </w:t>
      </w:r>
      <w:r w:rsidR="00F173EF">
        <w:t xml:space="preserve">per the SA </w:t>
      </w:r>
      <w:r w:rsidR="00C808F4">
        <w:t xml:space="preserve">to </w:t>
      </w:r>
      <w:r w:rsidR="00CC5E69">
        <w:t xml:space="preserve">specifically </w:t>
      </w:r>
      <w:r w:rsidR="00C808F4">
        <w:t>include PPP</w:t>
      </w:r>
      <w:r w:rsidR="00CC5E69">
        <w:t xml:space="preserve"> (“specific polyethylene /</w:t>
      </w:r>
      <w:r w:rsidR="00B61524">
        <w:t xml:space="preserve"> </w:t>
      </w:r>
      <w:r w:rsidR="00CC5E69">
        <w:t>plastic facilities”)</w:t>
      </w:r>
      <w:r w:rsidR="00C808F4">
        <w:t xml:space="preserve"> replacements</w:t>
      </w:r>
      <w:r w:rsidR="00EC64C4">
        <w:t>.</w:t>
      </w:r>
      <w:r w:rsidR="00CC5E69">
        <w:t xml:space="preserve"> The SA allows for the recovery of </w:t>
      </w:r>
      <w:r w:rsidR="00F04005">
        <w:t xml:space="preserve">PPP replacement beginning in 2017 where feasible to benefit ratepayers, with CI/BSR still being the priority until 2022, and recovery for PPP replacement continuing </w:t>
      </w:r>
      <w:r w:rsidR="00CC5E69">
        <w:t xml:space="preserve">until 2028. </w:t>
      </w:r>
      <w:r w:rsidR="00F4380E">
        <w:t xml:space="preserve">The SA also </w:t>
      </w:r>
      <w:r w:rsidR="001A799B">
        <w:t>proposes</w:t>
      </w:r>
      <w:r w:rsidR="00F4380E">
        <w:t xml:space="preserve"> to revise </w:t>
      </w:r>
      <w:r w:rsidR="00AB1949" w:rsidRPr="00AB1949">
        <w:t>the tariff</w:t>
      </w:r>
      <w:r w:rsidR="00CC5E69">
        <w:t xml:space="preserve"> such that</w:t>
      </w:r>
      <w:r w:rsidR="00AB1949" w:rsidRPr="00AB1949">
        <w:t xml:space="preserve"> new materials identified as obsolete and potential safety threats </w:t>
      </w:r>
      <w:r w:rsidR="00B16A26">
        <w:t>can be</w:t>
      </w:r>
      <w:r w:rsidR="00AB1949" w:rsidRPr="00AB1949">
        <w:t xml:space="preserve"> considered</w:t>
      </w:r>
      <w:r w:rsidR="00B16A26">
        <w:t xml:space="preserve"> </w:t>
      </w:r>
      <w:r w:rsidR="00AB1949" w:rsidRPr="00AB1949">
        <w:t xml:space="preserve">“Eligible Replacements.” PGS </w:t>
      </w:r>
      <w:r w:rsidR="00B16A26">
        <w:t xml:space="preserve">has </w:t>
      </w:r>
      <w:r w:rsidR="00F173EF">
        <w:t>assured th</w:t>
      </w:r>
      <w:r>
        <w:t>is</w:t>
      </w:r>
      <w:r w:rsidR="00F173EF">
        <w:t xml:space="preserve"> Commission </w:t>
      </w:r>
      <w:r w:rsidR="007835B6">
        <w:t xml:space="preserve">that </w:t>
      </w:r>
      <w:r w:rsidR="00AB1949" w:rsidRPr="00AB1949">
        <w:t>it w</w:t>
      </w:r>
      <w:r w:rsidR="00796D5C">
        <w:t>ill</w:t>
      </w:r>
      <w:r w:rsidR="00AB1949" w:rsidRPr="00AB1949">
        <w:t xml:space="preserve"> discuss </w:t>
      </w:r>
      <w:r w:rsidR="00F173EF">
        <w:t xml:space="preserve">any such </w:t>
      </w:r>
      <w:r w:rsidR="00AB1949" w:rsidRPr="00AB1949">
        <w:t xml:space="preserve">proposed replacements with </w:t>
      </w:r>
      <w:r>
        <w:t xml:space="preserve">Commission </w:t>
      </w:r>
      <w:r w:rsidR="00AB1949" w:rsidRPr="00AB1949">
        <w:t xml:space="preserve">staff and OPC </w:t>
      </w:r>
      <w:r w:rsidR="00DB1030">
        <w:t xml:space="preserve">before including the </w:t>
      </w:r>
      <w:r w:rsidR="00AB1949" w:rsidRPr="00AB1949">
        <w:t xml:space="preserve">replacements in PGS’s annual </w:t>
      </w:r>
      <w:r w:rsidR="00DB1030" w:rsidRPr="00AB1949">
        <w:t xml:space="preserve">Rider </w:t>
      </w:r>
      <w:r w:rsidR="00AB1949" w:rsidRPr="00AB1949">
        <w:t>CI/BSR filing.</w:t>
      </w:r>
    </w:p>
    <w:p w:rsidR="00B16A26" w:rsidRDefault="00B16A26" w:rsidP="00B16A26">
      <w:pPr>
        <w:tabs>
          <w:tab w:val="left" w:pos="360"/>
        </w:tabs>
        <w:ind w:right="288"/>
        <w:jc w:val="both"/>
      </w:pPr>
    </w:p>
    <w:p w:rsidR="00AB1949" w:rsidRPr="00AB1949" w:rsidRDefault="00B16A26" w:rsidP="00A11997">
      <w:pPr>
        <w:tabs>
          <w:tab w:val="left" w:pos="360"/>
        </w:tabs>
        <w:jc w:val="both"/>
      </w:pPr>
      <w:r>
        <w:tab/>
      </w:r>
      <w:r>
        <w:tab/>
      </w:r>
      <w:r w:rsidR="00AB1949" w:rsidRPr="00AB1949">
        <w:t xml:space="preserve">PGS’s </w:t>
      </w:r>
      <w:r w:rsidR="00CC2E4E">
        <w:t xml:space="preserve">current </w:t>
      </w:r>
      <w:r w:rsidR="00AB1949" w:rsidRPr="00AB1949">
        <w:t xml:space="preserve">authorized ROE </w:t>
      </w:r>
      <w:r w:rsidR="00CC2E4E">
        <w:t xml:space="preserve">is </w:t>
      </w:r>
      <w:r w:rsidR="00AB1949" w:rsidRPr="00AB1949">
        <w:t>10.75% with an earnings range of 9.75% to 11.75%.</w:t>
      </w:r>
      <w:r>
        <w:t xml:space="preserve"> Under the SA, </w:t>
      </w:r>
      <w:r w:rsidR="00AB1949" w:rsidRPr="00AB1949">
        <w:t>the bottom of the authorized range</w:t>
      </w:r>
      <w:r w:rsidR="00F173EF">
        <w:t xml:space="preserve"> is</w:t>
      </w:r>
      <w:r>
        <w:t xml:space="preserve"> reduced </w:t>
      </w:r>
      <w:r w:rsidR="00C31F4A">
        <w:t xml:space="preserve">to 9.25%. </w:t>
      </w:r>
      <w:r w:rsidR="00AB1949" w:rsidRPr="00AB1949">
        <w:t>This shall remain in effect until the earlier of</w:t>
      </w:r>
      <w:r w:rsidR="008D5EEA">
        <w:t xml:space="preserve"> either </w:t>
      </w:r>
      <w:r w:rsidR="00AB1949" w:rsidRPr="00AB1949">
        <w:t>the effective date of new base rates in a rate case resulting from PGS’s earnings falling below 9.25% prior to December 31, 2020, or</w:t>
      </w:r>
      <w:r w:rsidR="00CC2E4E">
        <w:t>,</w:t>
      </w:r>
      <w:r w:rsidR="008D5EEA">
        <w:t xml:space="preserve"> </w:t>
      </w:r>
      <w:r w:rsidR="00AB1949" w:rsidRPr="00AB1949">
        <w:t>December 31, 2020, after which time the bottom of PGS’s authorized ROE range will return to 9.75%</w:t>
      </w:r>
      <w:r w:rsidR="008D5EEA">
        <w:t>.</w:t>
      </w:r>
      <w:r w:rsidR="00F173EF">
        <w:t xml:space="preserve"> According to the SA,</w:t>
      </w:r>
      <w:r w:rsidR="00F515F6">
        <w:t xml:space="preserve"> </w:t>
      </w:r>
      <w:r w:rsidR="008D5EEA">
        <w:t xml:space="preserve"> </w:t>
      </w:r>
      <w:r w:rsidR="00AB1949" w:rsidRPr="00AB1949">
        <w:t xml:space="preserve">PGS </w:t>
      </w:r>
      <w:r w:rsidR="003572F6">
        <w:t>will</w:t>
      </w:r>
      <w:r w:rsidR="003572F6" w:rsidRPr="00AB1949">
        <w:t xml:space="preserve"> </w:t>
      </w:r>
      <w:r w:rsidR="00AB1949" w:rsidRPr="00AB1949">
        <w:t>not file a request for a general base rate proceeding before December 31, 2020, unless its earning</w:t>
      </w:r>
      <w:r w:rsidR="003572F6">
        <w:t>s</w:t>
      </w:r>
      <w:r w:rsidR="00AB1949" w:rsidRPr="00AB1949">
        <w:t xml:space="preserve"> fall below 9.25%.</w:t>
      </w:r>
    </w:p>
    <w:p w:rsidR="00AB1949" w:rsidRPr="00AB1949" w:rsidRDefault="00AB1949" w:rsidP="00AB1949">
      <w:pPr>
        <w:pStyle w:val="ListParagraph"/>
        <w:ind w:left="1080"/>
        <w:jc w:val="both"/>
      </w:pPr>
    </w:p>
    <w:p w:rsidR="00AB1949" w:rsidRPr="00AB1949" w:rsidRDefault="00AB1949" w:rsidP="00EC64C4">
      <w:pPr>
        <w:pStyle w:val="ListParagraph"/>
        <w:ind w:left="0" w:firstLine="720"/>
        <w:contextualSpacing w:val="0"/>
        <w:jc w:val="both"/>
      </w:pPr>
      <w:r w:rsidRPr="00AB1949">
        <w:t xml:space="preserve">The </w:t>
      </w:r>
      <w:r w:rsidR="00F515F6">
        <w:t xml:space="preserve">signatories to the </w:t>
      </w:r>
      <w:r w:rsidR="00DB1030">
        <w:t xml:space="preserve">SA propose that the </w:t>
      </w:r>
      <w:r w:rsidRPr="00AB1949">
        <w:t>effective date of the SA to be the day after it</w:t>
      </w:r>
      <w:r w:rsidR="00C8591D">
        <w:t xml:space="preserve"> </w:t>
      </w:r>
      <w:r w:rsidRPr="00AB1949">
        <w:t>is approved.</w:t>
      </w:r>
    </w:p>
    <w:p w:rsidR="00D57E57" w:rsidRDefault="00D57E57" w:rsidP="00EC64C4">
      <w:pPr>
        <w:ind w:firstLine="720"/>
      </w:pPr>
    </w:p>
    <w:p w:rsidR="00C64D20" w:rsidRPr="00B42401" w:rsidRDefault="00C64D20" w:rsidP="00C64D20">
      <w:pPr>
        <w:jc w:val="center"/>
        <w:rPr>
          <w:u w:val="single"/>
        </w:rPr>
      </w:pPr>
      <w:r w:rsidRPr="00B42401">
        <w:rPr>
          <w:u w:val="single"/>
        </w:rPr>
        <w:t>Decision</w:t>
      </w:r>
    </w:p>
    <w:p w:rsidR="00C64D20" w:rsidRPr="00B42401" w:rsidRDefault="00C64D20" w:rsidP="00C64D20">
      <w:pPr>
        <w:jc w:val="center"/>
        <w:rPr>
          <w:u w:val="single"/>
        </w:rPr>
      </w:pPr>
    </w:p>
    <w:p w:rsidR="00C64D20" w:rsidRPr="00B42401" w:rsidRDefault="00C64D20" w:rsidP="00C64D20">
      <w:pPr>
        <w:jc w:val="both"/>
      </w:pPr>
      <w:r w:rsidRPr="00B42401">
        <w:tab/>
        <w:t>The standard for approval of a settlement agreement is whether it is in the public interest.</w:t>
      </w:r>
      <w:r w:rsidRPr="00B42401">
        <w:rPr>
          <w:vertAlign w:val="superscript"/>
        </w:rPr>
        <w:footnoteReference w:id="1"/>
      </w:r>
      <w:r w:rsidRPr="00B42401">
        <w:t xml:space="preserve"> A determination of public interest requires a case-specific analysis based on consideration of the proposed settlement taken as a whole.</w:t>
      </w:r>
      <w:r w:rsidRPr="00B42401">
        <w:rPr>
          <w:vertAlign w:val="superscript"/>
        </w:rPr>
        <w:footnoteReference w:id="2"/>
      </w:r>
      <w:r w:rsidRPr="00B42401">
        <w:t xml:space="preserve"> The weight of the evidence presented </w:t>
      </w:r>
      <w:r w:rsidR="008D5EEA">
        <w:t xml:space="preserve">to this Commission through an extensive series of data requests by Commission staff, and the </w:t>
      </w:r>
      <w:r w:rsidR="008D5EEA">
        <w:lastRenderedPageBreak/>
        <w:t xml:space="preserve">detailed responses by the SA’s signatories </w:t>
      </w:r>
      <w:r w:rsidRPr="00B42401">
        <w:t xml:space="preserve">fully supports the conclusion that </w:t>
      </w:r>
      <w:r w:rsidR="008D5EEA">
        <w:t xml:space="preserve">this agreement is in the public interest. </w:t>
      </w:r>
      <w:r w:rsidR="00CF2255" w:rsidRPr="00B42401">
        <w:t>The S</w:t>
      </w:r>
      <w:r w:rsidR="00CF2255">
        <w:t>A</w:t>
      </w:r>
      <w:r w:rsidR="00CF2255" w:rsidRPr="00B42401">
        <w:t xml:space="preserve"> will allow </w:t>
      </w:r>
      <w:r w:rsidR="00CF2255">
        <w:t>PGS</w:t>
      </w:r>
      <w:r w:rsidR="00CF2255" w:rsidRPr="00B42401">
        <w:t xml:space="preserve"> to maintain the financial integrity necessary to </w:t>
      </w:r>
      <w:r w:rsidR="00CF2255">
        <w:t>properly address the company’s environmental remediation liabilities a</w:t>
      </w:r>
      <w:r w:rsidR="00F04005">
        <w:t>s well as initiat</w:t>
      </w:r>
      <w:r w:rsidR="00A8642F">
        <w:t>e</w:t>
      </w:r>
      <w:r w:rsidR="00F04005">
        <w:t xml:space="preserve"> the replacement of </w:t>
      </w:r>
      <w:r w:rsidR="00487710">
        <w:t>p</w:t>
      </w:r>
      <w:r w:rsidR="00CF2255">
        <w:t xml:space="preserve">roblematic plastic pipe while maintaining current base rates. </w:t>
      </w:r>
      <w:r w:rsidR="00DC6D1D">
        <w:t xml:space="preserve">PGS’s agreement to lower </w:t>
      </w:r>
      <w:r w:rsidR="000F2BEA">
        <w:t xml:space="preserve">the </w:t>
      </w:r>
      <w:r w:rsidR="006B06AC">
        <w:t xml:space="preserve">floor </w:t>
      </w:r>
      <w:r w:rsidR="000F2BEA">
        <w:t>of its earning</w:t>
      </w:r>
      <w:r w:rsidR="00F04005">
        <w:t>s</w:t>
      </w:r>
      <w:r w:rsidR="000F2BEA">
        <w:t xml:space="preserve"> range </w:t>
      </w:r>
      <w:r w:rsidR="00DC6D1D">
        <w:t xml:space="preserve">and to not seek to raise </w:t>
      </w:r>
      <w:r w:rsidR="000F2BEA">
        <w:t xml:space="preserve">its authorized </w:t>
      </w:r>
      <w:r w:rsidR="00DC6D1D">
        <w:t xml:space="preserve">ROE for four years, unless </w:t>
      </w:r>
      <w:r w:rsidR="00CF2255">
        <w:t>the company’s ear</w:t>
      </w:r>
      <w:r w:rsidR="00487710">
        <w:t>n</w:t>
      </w:r>
      <w:r w:rsidR="00CF2255">
        <w:t>ing</w:t>
      </w:r>
      <w:r w:rsidR="00487710">
        <w:t>s</w:t>
      </w:r>
      <w:r w:rsidR="00CF2255">
        <w:t xml:space="preserve"> fall below its </w:t>
      </w:r>
      <w:r w:rsidR="00F173EF">
        <w:t>revised</w:t>
      </w:r>
      <w:r w:rsidR="00EC64C4">
        <w:t xml:space="preserve"> floor</w:t>
      </w:r>
      <w:r w:rsidR="00F173EF">
        <w:t xml:space="preserve"> of 9.25 percent</w:t>
      </w:r>
      <w:r w:rsidR="00DC6D1D">
        <w:t xml:space="preserve">, protects consumers. </w:t>
      </w:r>
      <w:r w:rsidR="00790193">
        <w:t>T</w:t>
      </w:r>
      <w:r w:rsidR="00DC6D1D">
        <w:t xml:space="preserve">he SA promotes safety and efficiency while enabling PGS to </w:t>
      </w:r>
      <w:r w:rsidRPr="00B42401">
        <w:t xml:space="preserve">sustain </w:t>
      </w:r>
      <w:r w:rsidR="00790193">
        <w:t>its</w:t>
      </w:r>
      <w:r w:rsidR="00DC6D1D">
        <w:t xml:space="preserve"> current </w:t>
      </w:r>
      <w:r w:rsidRPr="00B42401">
        <w:t xml:space="preserve">level of service </w:t>
      </w:r>
      <w:r w:rsidR="00487710">
        <w:t xml:space="preserve">which provides </w:t>
      </w:r>
      <w:r w:rsidR="00F04005">
        <w:t xml:space="preserve">a </w:t>
      </w:r>
      <w:r w:rsidR="00487710">
        <w:t xml:space="preserve">certain degree of </w:t>
      </w:r>
      <w:r w:rsidRPr="00B42401">
        <w:t>rate stability and predictability for</w:t>
      </w:r>
      <w:r w:rsidR="00CC2E4E">
        <w:t xml:space="preserve"> </w:t>
      </w:r>
      <w:r w:rsidR="00CF2255">
        <w:t>the company</w:t>
      </w:r>
      <w:r w:rsidRPr="00B42401">
        <w:t>’s</w:t>
      </w:r>
      <w:r w:rsidR="00CF2255">
        <w:t xml:space="preserve"> ratepayers</w:t>
      </w:r>
      <w:r w:rsidRPr="00B42401">
        <w:t xml:space="preserve">. Having carefully reviewed all </w:t>
      </w:r>
      <w:r w:rsidR="00CC2E4E">
        <w:t xml:space="preserve">the </w:t>
      </w:r>
      <w:r w:rsidRPr="00B42401">
        <w:t>evidence presented, we find that</w:t>
      </w:r>
      <w:r w:rsidR="006B06AC">
        <w:t>,</w:t>
      </w:r>
      <w:r w:rsidRPr="00B42401">
        <w:t xml:space="preserve"> </w:t>
      </w:r>
      <w:r w:rsidR="00A8642F">
        <w:t xml:space="preserve">when </w:t>
      </w:r>
      <w:r w:rsidRPr="00B42401">
        <w:t>taken as a whole</w:t>
      </w:r>
      <w:r w:rsidR="006B06AC">
        <w:t>,</w:t>
      </w:r>
      <w:r w:rsidRPr="00B42401">
        <w:t xml:space="preserve"> the </w:t>
      </w:r>
      <w:r w:rsidR="00487710">
        <w:t xml:space="preserve">SA </w:t>
      </w:r>
      <w:r w:rsidRPr="00B42401">
        <w:t xml:space="preserve">provides a reasonable resolution of all the issues raised. We find, therefore, that the </w:t>
      </w:r>
      <w:r w:rsidR="001A0012">
        <w:t xml:space="preserve">terms and conditions </w:t>
      </w:r>
      <w:r w:rsidR="00CC2E4E">
        <w:t xml:space="preserve">included in the </w:t>
      </w:r>
      <w:r w:rsidRPr="00B42401">
        <w:t>S</w:t>
      </w:r>
      <w:r w:rsidR="00DC6D1D">
        <w:t>A</w:t>
      </w:r>
      <w:r w:rsidRPr="00B42401">
        <w:t xml:space="preserve"> </w:t>
      </w:r>
      <w:r w:rsidR="004163B4">
        <w:t>are</w:t>
      </w:r>
      <w:r w:rsidRPr="00B42401">
        <w:t xml:space="preserve"> in the public interest</w:t>
      </w:r>
      <w:r w:rsidR="00790193">
        <w:t>, and they are hereby approved</w:t>
      </w:r>
      <w:r w:rsidRPr="00B42401">
        <w:t xml:space="preserve">.  </w:t>
      </w:r>
    </w:p>
    <w:p w:rsidR="00C64D20" w:rsidRDefault="00C64D20" w:rsidP="00C64D20"/>
    <w:p w:rsidR="00C64D20" w:rsidRPr="00B42401" w:rsidRDefault="00C64D20" w:rsidP="009218C5">
      <w:pPr>
        <w:ind w:firstLine="720"/>
        <w:jc w:val="both"/>
      </w:pPr>
      <w:r w:rsidRPr="00B42401">
        <w:t>Based on the foregoing, it is</w:t>
      </w:r>
    </w:p>
    <w:p w:rsidR="00C64D20" w:rsidRPr="00B42401" w:rsidRDefault="00C64D20" w:rsidP="00C64D20">
      <w:pPr>
        <w:jc w:val="both"/>
      </w:pPr>
    </w:p>
    <w:p w:rsidR="00790193" w:rsidRDefault="00C64D20" w:rsidP="00C64D20">
      <w:pPr>
        <w:jc w:val="both"/>
      </w:pPr>
      <w:r w:rsidRPr="00B42401">
        <w:tab/>
        <w:t xml:space="preserve">ORDERED by the Florida Public Service Commission that the Joint Motion for Approval of Settlement Agreement is hereby granted and that the Settlement Agreement filed on </w:t>
      </w:r>
      <w:r w:rsidR="00D933E7">
        <w:t>December 15, 2016</w:t>
      </w:r>
      <w:r w:rsidRPr="00B42401">
        <w:t xml:space="preserve">, attached hereto as Attachment A, and incorporated herein by reference, is approved. </w:t>
      </w:r>
      <w:r w:rsidR="00790193">
        <w:t>It is further</w:t>
      </w:r>
    </w:p>
    <w:p w:rsidR="00790193" w:rsidRDefault="00790193" w:rsidP="00C64D20">
      <w:pPr>
        <w:jc w:val="both"/>
      </w:pPr>
    </w:p>
    <w:p w:rsidR="00C64D20" w:rsidRPr="00B42401" w:rsidRDefault="00790193" w:rsidP="00C64D20">
      <w:pPr>
        <w:jc w:val="both"/>
      </w:pPr>
      <w:r>
        <w:tab/>
        <w:t>ORDERED that this docket shall be closed.</w:t>
      </w:r>
      <w:r w:rsidR="00C64D20" w:rsidRPr="00B42401">
        <w:t xml:space="preserve"> </w:t>
      </w:r>
    </w:p>
    <w:p w:rsidR="00C64D20" w:rsidRDefault="00C64D20" w:rsidP="00AB1949">
      <w:pPr>
        <w:pStyle w:val="OrderBody"/>
        <w:keepNext/>
        <w:keepLines/>
      </w:pPr>
    </w:p>
    <w:p w:rsidR="00AB1949" w:rsidRDefault="00AB1949" w:rsidP="00AB1949">
      <w:pPr>
        <w:pStyle w:val="OrderBody"/>
        <w:keepNext/>
        <w:keepLines/>
      </w:pPr>
      <w:r>
        <w:tab/>
        <w:t xml:space="preserve">By ORDER of the Florida Public Service Commission this </w:t>
      </w:r>
      <w:bookmarkStart w:id="7" w:name="replaceDate"/>
      <w:bookmarkEnd w:id="7"/>
      <w:r w:rsidR="00A705C2">
        <w:rPr>
          <w:u w:val="single"/>
        </w:rPr>
        <w:t>28th</w:t>
      </w:r>
      <w:r w:rsidR="00A705C2">
        <w:t xml:space="preserve"> day of </w:t>
      </w:r>
      <w:r w:rsidR="00A705C2">
        <w:rPr>
          <w:u w:val="single"/>
        </w:rPr>
        <w:t>February</w:t>
      </w:r>
      <w:r w:rsidR="00A705C2">
        <w:t xml:space="preserve">, </w:t>
      </w:r>
      <w:r w:rsidR="00A705C2">
        <w:rPr>
          <w:u w:val="single"/>
        </w:rPr>
        <w:t>2017</w:t>
      </w:r>
      <w:r w:rsidR="00A705C2">
        <w:t>.</w:t>
      </w:r>
    </w:p>
    <w:p w:rsidR="00A705C2" w:rsidRPr="00A705C2" w:rsidRDefault="00A705C2" w:rsidP="00AB1949">
      <w:pPr>
        <w:pStyle w:val="OrderBody"/>
        <w:keepNext/>
        <w:keepLines/>
      </w:pPr>
    </w:p>
    <w:p w:rsidR="00AB1949" w:rsidRDefault="00AB1949" w:rsidP="00AB1949">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B1949" w:rsidTr="00AB1949">
        <w:tc>
          <w:tcPr>
            <w:tcW w:w="720" w:type="dxa"/>
            <w:shd w:val="clear" w:color="auto" w:fill="auto"/>
          </w:tcPr>
          <w:p w:rsidR="00AB1949" w:rsidRDefault="00AB1949" w:rsidP="00AB1949">
            <w:pPr>
              <w:pStyle w:val="OrderBody"/>
              <w:keepNext/>
              <w:keepLines/>
            </w:pPr>
            <w:bookmarkStart w:id="8" w:name="bkmrkSignature" w:colFirst="0" w:colLast="0"/>
          </w:p>
        </w:tc>
        <w:tc>
          <w:tcPr>
            <w:tcW w:w="4320" w:type="dxa"/>
            <w:tcBorders>
              <w:bottom w:val="single" w:sz="4" w:space="0" w:color="auto"/>
            </w:tcBorders>
            <w:shd w:val="clear" w:color="auto" w:fill="auto"/>
          </w:tcPr>
          <w:p w:rsidR="00AB1949" w:rsidRDefault="00D3159A" w:rsidP="00AB1949">
            <w:pPr>
              <w:pStyle w:val="OrderBody"/>
              <w:keepNext/>
              <w:keepLines/>
            </w:pPr>
            <w:r>
              <w:t>/s/ Carlotta S. Stauffer</w:t>
            </w:r>
          </w:p>
        </w:tc>
      </w:tr>
      <w:bookmarkEnd w:id="8"/>
      <w:tr w:rsidR="00AB1949" w:rsidTr="00AB1949">
        <w:tc>
          <w:tcPr>
            <w:tcW w:w="720" w:type="dxa"/>
            <w:shd w:val="clear" w:color="auto" w:fill="auto"/>
          </w:tcPr>
          <w:p w:rsidR="00AB1949" w:rsidRDefault="00AB1949" w:rsidP="00AB1949">
            <w:pPr>
              <w:pStyle w:val="OrderBody"/>
              <w:keepNext/>
              <w:keepLines/>
            </w:pPr>
          </w:p>
        </w:tc>
        <w:tc>
          <w:tcPr>
            <w:tcW w:w="4320" w:type="dxa"/>
            <w:tcBorders>
              <w:top w:val="single" w:sz="4" w:space="0" w:color="auto"/>
            </w:tcBorders>
            <w:shd w:val="clear" w:color="auto" w:fill="auto"/>
          </w:tcPr>
          <w:p w:rsidR="00AB1949" w:rsidRDefault="00AB1949" w:rsidP="00AB1949">
            <w:pPr>
              <w:pStyle w:val="OrderBody"/>
              <w:keepNext/>
              <w:keepLines/>
            </w:pPr>
            <w:r>
              <w:t>CARLOTTA S. STAUFFER</w:t>
            </w:r>
          </w:p>
          <w:p w:rsidR="00AB1949" w:rsidRDefault="00AB1949" w:rsidP="00AB1949">
            <w:pPr>
              <w:pStyle w:val="OrderBody"/>
              <w:keepNext/>
              <w:keepLines/>
            </w:pPr>
            <w:r>
              <w:t>Commission Clerk</w:t>
            </w:r>
          </w:p>
        </w:tc>
      </w:tr>
    </w:tbl>
    <w:p w:rsidR="00AB1949" w:rsidRDefault="00AB1949" w:rsidP="00AB1949">
      <w:pPr>
        <w:pStyle w:val="OrderSigInfo"/>
        <w:keepNext/>
        <w:keepLines/>
      </w:pPr>
      <w:r>
        <w:t>Florida Public Service Commission</w:t>
      </w:r>
    </w:p>
    <w:p w:rsidR="00AB1949" w:rsidRDefault="00AB1949" w:rsidP="00AB1949">
      <w:pPr>
        <w:pStyle w:val="OrderSigInfo"/>
        <w:keepNext/>
        <w:keepLines/>
      </w:pPr>
      <w:r>
        <w:t>2540 Shumard Oak Boulevard</w:t>
      </w:r>
    </w:p>
    <w:p w:rsidR="00AB1949" w:rsidRDefault="00AB1949" w:rsidP="00AB1949">
      <w:pPr>
        <w:pStyle w:val="OrderSigInfo"/>
        <w:keepNext/>
        <w:keepLines/>
      </w:pPr>
      <w:r>
        <w:t>Tallahassee, Florida  32399</w:t>
      </w:r>
    </w:p>
    <w:p w:rsidR="00AB1949" w:rsidRDefault="00AB1949" w:rsidP="00AB1949">
      <w:pPr>
        <w:pStyle w:val="OrderSigInfo"/>
        <w:keepNext/>
        <w:keepLines/>
      </w:pPr>
      <w:r>
        <w:t>(850) 413</w:t>
      </w:r>
      <w:r>
        <w:noBreakHyphen/>
        <w:t>6770</w:t>
      </w:r>
    </w:p>
    <w:p w:rsidR="00AB1949" w:rsidRDefault="00AB1949" w:rsidP="00AB1949">
      <w:pPr>
        <w:pStyle w:val="OrderSigInfo"/>
        <w:keepNext/>
        <w:keepLines/>
      </w:pPr>
      <w:r>
        <w:t>www.floridapsc.com</w:t>
      </w:r>
    </w:p>
    <w:p w:rsidR="00AB1949" w:rsidRDefault="00AB1949" w:rsidP="00AB1949">
      <w:pPr>
        <w:pStyle w:val="OrderSigInfo"/>
        <w:keepNext/>
        <w:keepLines/>
      </w:pPr>
    </w:p>
    <w:p w:rsidR="00AB1949" w:rsidRDefault="00AB1949" w:rsidP="00AB1949">
      <w:pPr>
        <w:pStyle w:val="OrderSigInfo"/>
        <w:keepNext/>
        <w:keepLines/>
      </w:pPr>
      <w:r>
        <w:t>Copies furnished:  A copy of this document is provided to the parties of record at the time of issuance and, if applicable, interested persons.</w:t>
      </w:r>
    </w:p>
    <w:p w:rsidR="00AB1949" w:rsidRDefault="00AB1949" w:rsidP="00AB1949">
      <w:pPr>
        <w:pStyle w:val="OrderBody"/>
        <w:keepNext/>
        <w:keepLines/>
      </w:pPr>
    </w:p>
    <w:p w:rsidR="00AB1949" w:rsidRDefault="00AB1949" w:rsidP="00AB1949">
      <w:pPr>
        <w:pStyle w:val="OrderBody"/>
        <w:keepNext/>
        <w:keepLines/>
      </w:pPr>
      <w:r>
        <w:t>WLT</w:t>
      </w:r>
    </w:p>
    <w:p w:rsidR="00AB1949" w:rsidRDefault="00AB1949" w:rsidP="00AB1949">
      <w:pPr>
        <w:pStyle w:val="OrderBody"/>
      </w:pPr>
    </w:p>
    <w:p w:rsidR="00246D51" w:rsidRDefault="00246D51" w:rsidP="00AB1949">
      <w:pPr>
        <w:pStyle w:val="OrderBody"/>
      </w:pPr>
    </w:p>
    <w:p w:rsidR="00746657" w:rsidRDefault="00746657" w:rsidP="00AB1949">
      <w:pPr>
        <w:pStyle w:val="OrderBody"/>
      </w:pPr>
    </w:p>
    <w:p w:rsidR="00746657" w:rsidRDefault="00746657" w:rsidP="00AB1949">
      <w:pPr>
        <w:pStyle w:val="OrderBody"/>
      </w:pPr>
    </w:p>
    <w:p w:rsidR="00746657" w:rsidRDefault="00746657" w:rsidP="00AB1949">
      <w:pPr>
        <w:pStyle w:val="OrderBody"/>
      </w:pPr>
    </w:p>
    <w:p w:rsidR="00A705C2" w:rsidRDefault="00A705C2" w:rsidP="00AB1949">
      <w:pPr>
        <w:pStyle w:val="CenterUnderline"/>
      </w:pPr>
    </w:p>
    <w:p w:rsidR="00A705C2" w:rsidRDefault="00A705C2" w:rsidP="00AB1949">
      <w:pPr>
        <w:pStyle w:val="CenterUnderline"/>
      </w:pPr>
    </w:p>
    <w:p w:rsidR="00AB1949" w:rsidRDefault="00AB1949" w:rsidP="00AB1949">
      <w:pPr>
        <w:pStyle w:val="CenterUnderline"/>
      </w:pPr>
      <w:r>
        <w:lastRenderedPageBreak/>
        <w:t>NOTICE OF FURTHER PROCEEDINGS OR JUDICIAL REVIEW</w:t>
      </w:r>
    </w:p>
    <w:p w:rsidR="00AB1949" w:rsidRDefault="00AB1949" w:rsidP="00AB1949">
      <w:pPr>
        <w:pStyle w:val="CenterUnderline"/>
        <w:rPr>
          <w:u w:val="none"/>
        </w:rPr>
      </w:pPr>
    </w:p>
    <w:p w:rsidR="00AB1949" w:rsidRDefault="00AB1949" w:rsidP="00AB1949">
      <w:pPr>
        <w:pStyle w:val="OrderBody"/>
      </w:pPr>
    </w:p>
    <w:p w:rsidR="00AB1949" w:rsidRDefault="00AB1949" w:rsidP="00AB194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AB1949" w:rsidRDefault="00AB1949" w:rsidP="00AB1949">
      <w:pPr>
        <w:pStyle w:val="OrderBody"/>
      </w:pPr>
    </w:p>
    <w:p w:rsidR="00AB1949" w:rsidRDefault="00AB1949" w:rsidP="00AB1949">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AB1949" w:rsidRDefault="00AB1949" w:rsidP="00AB1949">
      <w:pPr>
        <w:pStyle w:val="OrderBody"/>
      </w:pPr>
    </w:p>
    <w:p w:rsidR="009218C5" w:rsidRDefault="009218C5" w:rsidP="00AB1949">
      <w:pPr>
        <w:pStyle w:val="OrderBody"/>
        <w:sectPr w:rsidR="009218C5">
          <w:headerReference w:type="default" r:id="rId8"/>
          <w:footerReference w:type="first" r:id="rId9"/>
          <w:pgSz w:w="12240" w:h="15840" w:code="1"/>
          <w:pgMar w:top="1440" w:right="1440" w:bottom="1440" w:left="1440" w:header="720" w:footer="720" w:gutter="0"/>
          <w:cols w:space="720"/>
          <w:titlePg/>
          <w:docGrid w:linePitch="360"/>
        </w:sectPr>
      </w:pPr>
    </w:p>
    <w:p w:rsidR="009218C5" w:rsidRDefault="009218C5" w:rsidP="00AB1949">
      <w:pPr>
        <w:pStyle w:val="OrderBody"/>
        <w:sectPr w:rsidR="009218C5" w:rsidSect="009218C5">
          <w:headerReference w:type="default" r:id="rId10"/>
          <w:headerReference w:type="first" r:id="rId11"/>
          <w:pgSz w:w="12240" w:h="15840" w:code="1"/>
          <w:pgMar w:top="1440" w:right="1440" w:bottom="1440" w:left="1440" w:header="720" w:footer="720" w:gutter="0"/>
          <w:cols w:space="720"/>
          <w:docGrid w:linePitch="360"/>
        </w:sectPr>
      </w:pP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47075" w:rsidRDefault="009218C5" w:rsidP="00AB1949">
      <w:pPr>
        <w:pStyle w:val="OrderBody"/>
        <w:sectPr w:rsidR="00947075" w:rsidSect="009218C5">
          <w:headerReference w:type="default" r:id="rId29"/>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1A89B267" wp14:editId="2F8DEC11">
            <wp:extent cx="8248650" cy="6374197"/>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52073" cy="6376842"/>
                    </a:xfrm>
                    <a:prstGeom prst="rect">
                      <a:avLst/>
                    </a:prstGeom>
                  </pic:spPr>
                </pic:pic>
              </a:graphicData>
            </a:graphic>
          </wp:inline>
        </w:drawing>
      </w:r>
      <w:r>
        <w:rPr>
          <w:noProof/>
        </w:rPr>
        <w:lastRenderedPageBreak/>
        <w:drawing>
          <wp:inline distT="0" distB="0" distL="0" distR="0" wp14:anchorId="72A60910" wp14:editId="66B69030">
            <wp:extent cx="8247577" cy="6373368"/>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47577" cy="6373368"/>
                    </a:xfrm>
                    <a:prstGeom prst="rect">
                      <a:avLst/>
                    </a:prstGeom>
                  </pic:spPr>
                </pic:pic>
              </a:graphicData>
            </a:graphic>
          </wp:inline>
        </w:drawing>
      </w:r>
      <w:r>
        <w:rPr>
          <w:noProof/>
        </w:rPr>
        <w:lastRenderedPageBreak/>
        <w:drawing>
          <wp:inline distT="0" distB="0" distL="0" distR="0" wp14:anchorId="04C67881" wp14:editId="4D099207">
            <wp:extent cx="8039100" cy="62122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37766" cy="6211235"/>
                    </a:xfrm>
                    <a:prstGeom prst="rect">
                      <a:avLst/>
                    </a:prstGeom>
                  </pic:spPr>
                </pic:pic>
              </a:graphicData>
            </a:graphic>
          </wp:inline>
        </w:drawing>
      </w:r>
      <w:r>
        <w:rPr>
          <w:noProof/>
        </w:rPr>
        <w:lastRenderedPageBreak/>
        <w:drawing>
          <wp:inline distT="0" distB="0" distL="0" distR="0" wp14:anchorId="0333F3FC" wp14:editId="7B23AB10">
            <wp:extent cx="8247577" cy="6373368"/>
            <wp:effectExtent l="0" t="0" r="127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47577" cy="6373368"/>
                    </a:xfrm>
                    <a:prstGeom prst="rect">
                      <a:avLst/>
                    </a:prstGeom>
                  </pic:spPr>
                </pic:pic>
              </a:graphicData>
            </a:graphic>
          </wp:inline>
        </w:drawing>
      </w:r>
      <w:r>
        <w:rPr>
          <w:noProof/>
        </w:rPr>
        <w:lastRenderedPageBreak/>
        <w:drawing>
          <wp:inline distT="0" distB="0" distL="0" distR="0" wp14:anchorId="22667E93" wp14:editId="51129E40">
            <wp:extent cx="8458200" cy="65361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61710" cy="6538840"/>
                    </a:xfrm>
                    <a:prstGeom prst="rect">
                      <a:avLst/>
                    </a:prstGeom>
                  </pic:spPr>
                </pic:pic>
              </a:graphicData>
            </a:graphic>
          </wp:inline>
        </w:drawing>
      </w:r>
      <w:r>
        <w:rPr>
          <w:noProof/>
        </w:rPr>
        <w:lastRenderedPageBreak/>
        <w:drawing>
          <wp:inline distT="0" distB="0" distL="0" distR="0" wp14:anchorId="524DD6B7" wp14:editId="0F32FFAD">
            <wp:extent cx="7777710" cy="6010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51-16_Page_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79105" cy="6011353"/>
                    </a:xfrm>
                    <a:prstGeom prst="rect">
                      <a:avLst/>
                    </a:prstGeom>
                  </pic:spPr>
                </pic:pic>
              </a:graphicData>
            </a:graphic>
          </wp:inline>
        </w:drawing>
      </w:r>
    </w:p>
    <w:p w:rsidR="00947075" w:rsidRDefault="00947075" w:rsidP="00AB1949">
      <w:pPr>
        <w:pStyle w:val="OrderBody"/>
        <w:sectPr w:rsidR="00947075" w:rsidSect="00947075">
          <w:headerReference w:type="default" r:id="rId36"/>
          <w:pgSz w:w="12240" w:h="15840" w:code="1"/>
          <w:pgMar w:top="1440" w:right="1440" w:bottom="1440" w:left="1440" w:header="720" w:footer="720" w:gutter="0"/>
          <w:cols w:space="720"/>
          <w:docGrid w:linePitch="360"/>
        </w:sectPr>
      </w:pPr>
      <w:r>
        <w:rPr>
          <w:noProof/>
        </w:rPr>
        <w:lastRenderedPageBreak/>
        <w:drawing>
          <wp:inline distT="0" distB="0" distL="0" distR="0" wp14:anchorId="6995FB4E" wp14:editId="39D6CE75">
            <wp:extent cx="6343650" cy="820912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91-16_Page_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46282" cy="8212526"/>
                    </a:xfrm>
                    <a:prstGeom prst="rect">
                      <a:avLst/>
                    </a:prstGeom>
                  </pic:spPr>
                </pic:pic>
              </a:graphicData>
            </a:graphic>
          </wp:inline>
        </w:drawing>
      </w:r>
    </w:p>
    <w:p w:rsidR="00947075" w:rsidRDefault="00947075" w:rsidP="00AB1949">
      <w:pPr>
        <w:pStyle w:val="OrderBody"/>
        <w:sectPr w:rsidR="00947075" w:rsidSect="00947075">
          <w:headerReference w:type="default" r:id="rId38"/>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43A3ABF3" wp14:editId="79086031">
            <wp:extent cx="7691755" cy="59436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91-16_Page_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rsidR="00947075" w:rsidRDefault="00947075" w:rsidP="00AB1949">
      <w:pPr>
        <w:pStyle w:val="OrderBody"/>
        <w:sectPr w:rsidR="00947075" w:rsidSect="00947075">
          <w:headerReference w:type="default" r:id="rId40"/>
          <w:pgSz w:w="12240" w:h="15840" w:code="1"/>
          <w:pgMar w:top="1440" w:right="1440" w:bottom="1440" w:left="1440" w:header="720" w:footer="720" w:gutter="0"/>
          <w:cols w:space="720"/>
          <w:docGrid w:linePitch="360"/>
        </w:sectPr>
      </w:pPr>
      <w:r>
        <w:rPr>
          <w:noProof/>
        </w:rPr>
        <w:lastRenderedPageBreak/>
        <w:drawing>
          <wp:inline distT="0" distB="0" distL="0" distR="0" wp14:anchorId="7B852FED" wp14:editId="3F8C8192">
            <wp:extent cx="6060714" cy="784298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91-16_Page_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66166" cy="7850042"/>
                    </a:xfrm>
                    <a:prstGeom prst="rect">
                      <a:avLst/>
                    </a:prstGeom>
                  </pic:spPr>
                </pic:pic>
              </a:graphicData>
            </a:graphic>
          </wp:inline>
        </w:drawing>
      </w:r>
    </w:p>
    <w:p w:rsidR="00947075" w:rsidRDefault="00947075" w:rsidP="00AB1949">
      <w:pPr>
        <w:pStyle w:val="OrderBody"/>
        <w:sectPr w:rsidR="00947075" w:rsidSect="00947075">
          <w:headerReference w:type="default" r:id="rId42"/>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793FC470" wp14:editId="1E5FF447">
            <wp:extent cx="8424546" cy="6509844"/>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91-16_Page_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24546" cy="6509844"/>
                    </a:xfrm>
                    <a:prstGeom prst="rect">
                      <a:avLst/>
                    </a:prstGeom>
                  </pic:spPr>
                </pic:pic>
              </a:graphicData>
            </a:graphic>
          </wp:inline>
        </w:drawing>
      </w:r>
    </w:p>
    <w:p w:rsidR="00947075" w:rsidRDefault="00947075" w:rsidP="00AB1949">
      <w:pPr>
        <w:pStyle w:val="OrderBody"/>
        <w:sectPr w:rsidR="00947075" w:rsidSect="00947075">
          <w:headerReference w:type="default" r:id="rId44"/>
          <w:pgSz w:w="12240" w:h="15840" w:code="1"/>
          <w:pgMar w:top="1440" w:right="1440" w:bottom="1440" w:left="1440" w:header="720" w:footer="720" w:gutter="0"/>
          <w:cols w:space="720"/>
          <w:docGrid w:linePitch="360"/>
        </w:sectPr>
      </w:pPr>
      <w:r>
        <w:rPr>
          <w:noProof/>
        </w:rPr>
        <w:lastRenderedPageBreak/>
        <w:drawing>
          <wp:inline distT="0" distB="0" distL="0" distR="0" wp14:anchorId="2A2555C5" wp14:editId="7558274D">
            <wp:extent cx="6410998" cy="8296276"/>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91-16_Page_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15180" cy="8301687"/>
                    </a:xfrm>
                    <a:prstGeom prst="rect">
                      <a:avLst/>
                    </a:prstGeom>
                  </pic:spPr>
                </pic:pic>
              </a:graphicData>
            </a:graphic>
          </wp:inline>
        </w:drawing>
      </w:r>
    </w:p>
    <w:p w:rsidR="00947075" w:rsidRDefault="00947075" w:rsidP="00947075">
      <w:pPr>
        <w:pStyle w:val="OrderBody"/>
        <w:jc w:val="center"/>
        <w:sectPr w:rsidR="00947075" w:rsidSect="00947075">
          <w:headerReference w:type="default" r:id="rId46"/>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247DDBF9" wp14:editId="0B6CA645">
            <wp:extent cx="7457551" cy="5762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91-16_Page_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69900" cy="5772168"/>
                    </a:xfrm>
                    <a:prstGeom prst="rect">
                      <a:avLst/>
                    </a:prstGeom>
                  </pic:spPr>
                </pic:pic>
              </a:graphicData>
            </a:graphic>
          </wp:inline>
        </w:drawing>
      </w:r>
    </w:p>
    <w:p w:rsidR="00AB1949" w:rsidRPr="00AB1949" w:rsidRDefault="00947075" w:rsidP="00947075">
      <w:pPr>
        <w:pStyle w:val="OrderBody"/>
        <w:jc w:val="center"/>
      </w:pPr>
      <w:r>
        <w:rPr>
          <w:noProof/>
        </w:rPr>
        <w:lastRenderedPageBreak/>
        <w:drawing>
          <wp:inline distT="0" distB="0" distL="0" distR="0" wp14:anchorId="60A78A26" wp14:editId="166BCA0B">
            <wp:extent cx="5962650" cy="77160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91-16_Page_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68962" cy="7724248"/>
                    </a:xfrm>
                    <a:prstGeom prst="rect">
                      <a:avLst/>
                    </a:prstGeom>
                  </pic:spPr>
                </pic:pic>
              </a:graphicData>
            </a:graphic>
          </wp:inline>
        </w:drawing>
      </w:r>
    </w:p>
    <w:sectPr w:rsidR="00AB1949" w:rsidRPr="00AB1949" w:rsidSect="00947075">
      <w:headerReference w:type="defaul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B9A" w:rsidRDefault="009C7B9A">
      <w:r>
        <w:separator/>
      </w:r>
    </w:p>
  </w:endnote>
  <w:endnote w:type="continuationSeparator" w:id="0">
    <w:p w:rsidR="009C7B9A" w:rsidRDefault="009C7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B9A" w:rsidRDefault="009C7B9A">
      <w:r>
        <w:separator/>
      </w:r>
    </w:p>
  </w:footnote>
  <w:footnote w:type="continuationSeparator" w:id="0">
    <w:p w:rsidR="009C7B9A" w:rsidRDefault="009C7B9A">
      <w:r>
        <w:continuationSeparator/>
      </w:r>
    </w:p>
  </w:footnote>
  <w:footnote w:id="1">
    <w:p w:rsidR="00C64D20" w:rsidRDefault="00C64D20" w:rsidP="00C64D20">
      <w:pPr>
        <w:pStyle w:val="FootnoteText"/>
      </w:pPr>
      <w:r>
        <w:rPr>
          <w:rStyle w:val="FootnoteReference"/>
        </w:rPr>
        <w:footnoteRef/>
      </w:r>
      <w:r>
        <w:t xml:space="preserve"> Order No.  PSC-13-0023-S-EI, issued on January 14, 2013, in Docket No. 120015-EI, </w:t>
      </w:r>
      <w:r>
        <w:rPr>
          <w:u w:val="single"/>
        </w:rPr>
        <w:t>In re: Petition for increase in rates by Florida Power &amp; Light Company</w:t>
      </w:r>
      <w:r>
        <w:t xml:space="preserve">; Order No. PSC-11-0089-S-EI, issued February 1, 2011, in Docket Nos. 080677 and 090130,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PSC-13-0023-S-EIPSC-10-0398-S-EI, issued June 18, 2010, in Docket Nos. 090079-EI, 090144-EI, 090145-EI,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2">
    <w:p w:rsidR="00C64D20" w:rsidRDefault="00C64D20" w:rsidP="00C64D20">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066 ">
      <w:r w:rsidR="008E7664">
        <w:t>PSC-17-0066-AS-GU</w:t>
      </w:r>
    </w:fldSimple>
  </w:p>
  <w:p w:rsidR="00FA6EFD" w:rsidRDefault="00AB1949">
    <w:pPr>
      <w:pStyle w:val="OrderHeader"/>
    </w:pPr>
    <w:bookmarkStart w:id="9" w:name="HeaderDocketNo"/>
    <w:bookmarkEnd w:id="9"/>
    <w:r>
      <w:t>DOCKET NO. 160159-GU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2</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75" w:rsidRDefault="00947075" w:rsidP="00947075">
    <w:pPr>
      <w:pStyle w:val="OrderHeader"/>
      <w:tabs>
        <w:tab w:val="clear" w:pos="4320"/>
        <w:tab w:val="clear" w:pos="8640"/>
        <w:tab w:val="right" w:pos="12960"/>
      </w:tabs>
    </w:pPr>
    <w:r>
      <w:t>ORDER NO.</w:t>
    </w:r>
    <w:r w:rsidR="00A705C2">
      <w:t xml:space="preserve"> PSC-17-0066-</w:t>
    </w:r>
    <w:r w:rsidR="00916484">
      <w:t>AS</w:t>
    </w:r>
    <w:r w:rsidR="00A705C2">
      <w:t>-GU</w:t>
    </w:r>
    <w:r>
      <w:tab/>
      <w:t>Attachment A</w:t>
    </w:r>
  </w:p>
  <w:p w:rsidR="00947075" w:rsidRDefault="00947075" w:rsidP="00947075">
    <w:pPr>
      <w:pStyle w:val="OrderHeader"/>
      <w:tabs>
        <w:tab w:val="left" w:pos="9360"/>
      </w:tabs>
    </w:pPr>
    <w:r>
      <w:t>DOCKET NO. 160159-GU</w:t>
    </w:r>
  </w:p>
  <w:p w:rsidR="00947075" w:rsidRDefault="009470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34</w:t>
    </w:r>
    <w:r>
      <w:rPr>
        <w:rStyle w:val="PageNumber"/>
      </w:rPr>
      <w:fldChar w:fldCharType="end"/>
    </w:r>
  </w:p>
  <w:p w:rsidR="00947075" w:rsidRDefault="00947075">
    <w:pPr>
      <w:pStyle w:val="Order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75" w:rsidRDefault="00947075" w:rsidP="00947075">
    <w:pPr>
      <w:pStyle w:val="OrderHeader"/>
      <w:tabs>
        <w:tab w:val="clear" w:pos="4320"/>
        <w:tab w:val="clear" w:pos="8640"/>
        <w:tab w:val="right" w:pos="9360"/>
      </w:tabs>
    </w:pPr>
    <w:r>
      <w:t>ORDER NO.</w:t>
    </w:r>
    <w:r w:rsidR="00A705C2">
      <w:t xml:space="preserve"> PSC-17-0066-</w:t>
    </w:r>
    <w:r w:rsidR="00916484">
      <w:t>AS</w:t>
    </w:r>
    <w:r w:rsidR="00A705C2">
      <w:t>-GU</w:t>
    </w:r>
    <w:r>
      <w:tab/>
      <w:t>Attachment A</w:t>
    </w:r>
  </w:p>
  <w:p w:rsidR="00947075" w:rsidRDefault="00947075" w:rsidP="00947075">
    <w:pPr>
      <w:pStyle w:val="OrderHeader"/>
      <w:tabs>
        <w:tab w:val="left" w:pos="9360"/>
      </w:tabs>
    </w:pPr>
    <w:r>
      <w:t>DOCKET NO. 160159-GU</w:t>
    </w:r>
  </w:p>
  <w:p w:rsidR="00947075" w:rsidRDefault="009470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35</w:t>
    </w:r>
    <w:r>
      <w:rPr>
        <w:rStyle w:val="PageNumber"/>
      </w:rPr>
      <w:fldChar w:fldCharType="end"/>
    </w:r>
  </w:p>
  <w:p w:rsidR="00947075" w:rsidRDefault="00947075">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8C5" w:rsidRDefault="009218C5" w:rsidP="009218C5">
    <w:pPr>
      <w:pStyle w:val="OrderHeader"/>
      <w:tabs>
        <w:tab w:val="clear" w:pos="4320"/>
        <w:tab w:val="clear" w:pos="8640"/>
        <w:tab w:val="right" w:pos="9360"/>
      </w:tabs>
    </w:pPr>
    <w:r>
      <w:t xml:space="preserve">ORDER NO. </w:t>
    </w:r>
    <w:r w:rsidR="00A705C2">
      <w:t>PSC-17-0066-</w:t>
    </w:r>
    <w:r w:rsidR="00916484">
      <w:t>AS</w:t>
    </w:r>
    <w:r w:rsidR="00A705C2">
      <w:t>-GU</w:t>
    </w:r>
    <w:r>
      <w:tab/>
      <w:t>Attachment A</w:t>
    </w:r>
  </w:p>
  <w:p w:rsidR="009218C5" w:rsidRDefault="009218C5">
    <w:pPr>
      <w:pStyle w:val="OrderHeader"/>
    </w:pPr>
    <w:r>
      <w:t>DOCKET NO. 160159-GU</w:t>
    </w:r>
  </w:p>
  <w:p w:rsidR="009218C5" w:rsidRDefault="009218C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22</w:t>
    </w:r>
    <w:r>
      <w:rPr>
        <w:rStyle w:val="PageNumber"/>
      </w:rPr>
      <w:fldChar w:fldCharType="end"/>
    </w:r>
  </w:p>
  <w:p w:rsidR="009218C5" w:rsidRDefault="009218C5">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8C5" w:rsidRDefault="009218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75" w:rsidRDefault="00947075" w:rsidP="00947075">
    <w:pPr>
      <w:pStyle w:val="OrderHeader"/>
      <w:tabs>
        <w:tab w:val="clear" w:pos="4320"/>
        <w:tab w:val="clear" w:pos="8640"/>
        <w:tab w:val="right" w:pos="12960"/>
      </w:tabs>
    </w:pPr>
    <w:r>
      <w:t xml:space="preserve">ORDER NO. </w:t>
    </w:r>
    <w:r w:rsidR="00A705C2">
      <w:t>PSC-17-0066-</w:t>
    </w:r>
    <w:r w:rsidR="00916484">
      <w:t>AS</w:t>
    </w:r>
    <w:r w:rsidR="00A705C2">
      <w:t>-GU</w:t>
    </w:r>
    <w:r>
      <w:tab/>
      <w:t>Attachment A</w:t>
    </w:r>
  </w:p>
  <w:p w:rsidR="00947075" w:rsidRDefault="00947075">
    <w:pPr>
      <w:pStyle w:val="OrderHeader"/>
    </w:pPr>
    <w:r>
      <w:t>DOCKET NO. 160159-GU</w:t>
    </w:r>
  </w:p>
  <w:p w:rsidR="00947075" w:rsidRDefault="009470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28</w:t>
    </w:r>
    <w:r>
      <w:rPr>
        <w:rStyle w:val="PageNumber"/>
      </w:rPr>
      <w:fldChar w:fldCharType="end"/>
    </w:r>
  </w:p>
  <w:p w:rsidR="00947075" w:rsidRDefault="00947075">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75" w:rsidRDefault="00947075" w:rsidP="00947075">
    <w:pPr>
      <w:pStyle w:val="OrderHeader"/>
      <w:tabs>
        <w:tab w:val="clear" w:pos="4320"/>
        <w:tab w:val="clear" w:pos="8640"/>
        <w:tab w:val="right" w:pos="9360"/>
        <w:tab w:val="right" w:pos="12960"/>
      </w:tabs>
    </w:pPr>
    <w:r>
      <w:t xml:space="preserve">ORDER NO. </w:t>
    </w:r>
    <w:r w:rsidR="00A705C2">
      <w:t>PSC-17-0066-</w:t>
    </w:r>
    <w:r w:rsidR="00916484">
      <w:t>AS</w:t>
    </w:r>
    <w:r w:rsidR="00A705C2">
      <w:t>-GU</w:t>
    </w:r>
    <w:r>
      <w:tab/>
      <w:t>Attachment A</w:t>
    </w:r>
  </w:p>
  <w:p w:rsidR="00947075" w:rsidRDefault="00947075">
    <w:pPr>
      <w:pStyle w:val="OrderHeader"/>
    </w:pPr>
    <w:r>
      <w:t>DOCKET NO. 160159-GU</w:t>
    </w:r>
  </w:p>
  <w:p w:rsidR="00947075" w:rsidRDefault="009470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29</w:t>
    </w:r>
    <w:r>
      <w:rPr>
        <w:rStyle w:val="PageNumber"/>
      </w:rPr>
      <w:fldChar w:fldCharType="end"/>
    </w:r>
  </w:p>
  <w:p w:rsidR="00947075" w:rsidRDefault="00947075">
    <w:pPr>
      <w:pStyle w:val="Order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75" w:rsidRDefault="00947075" w:rsidP="00947075">
    <w:pPr>
      <w:pStyle w:val="OrderHeader"/>
      <w:tabs>
        <w:tab w:val="clear" w:pos="4320"/>
        <w:tab w:val="clear" w:pos="8640"/>
        <w:tab w:val="right" w:pos="12960"/>
      </w:tabs>
    </w:pPr>
    <w:r>
      <w:t xml:space="preserve">ORDER NO. </w:t>
    </w:r>
    <w:r w:rsidR="00A705C2">
      <w:t>PSC-17-0066-</w:t>
    </w:r>
    <w:r w:rsidR="00916484">
      <w:t>AS</w:t>
    </w:r>
    <w:r w:rsidR="00A705C2">
      <w:t>-GU</w:t>
    </w:r>
    <w:r>
      <w:tab/>
      <w:t>Attachment A</w:t>
    </w:r>
  </w:p>
  <w:p w:rsidR="00947075" w:rsidRDefault="00947075">
    <w:pPr>
      <w:pStyle w:val="OrderHeader"/>
    </w:pPr>
    <w:r>
      <w:t>DOCKET NO. 160159-GU</w:t>
    </w:r>
  </w:p>
  <w:p w:rsidR="00947075" w:rsidRDefault="009470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30</w:t>
    </w:r>
    <w:r>
      <w:rPr>
        <w:rStyle w:val="PageNumber"/>
      </w:rPr>
      <w:fldChar w:fldCharType="end"/>
    </w:r>
  </w:p>
  <w:p w:rsidR="00947075" w:rsidRDefault="00947075">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75" w:rsidRDefault="00947075" w:rsidP="00947075">
    <w:pPr>
      <w:pStyle w:val="OrderHeader"/>
      <w:tabs>
        <w:tab w:val="clear" w:pos="4320"/>
        <w:tab w:val="clear" w:pos="8640"/>
        <w:tab w:val="right" w:pos="9360"/>
        <w:tab w:val="right" w:pos="12960"/>
      </w:tabs>
    </w:pPr>
    <w:r>
      <w:t>ORDER NO.</w:t>
    </w:r>
    <w:r w:rsidR="00A705C2">
      <w:t xml:space="preserve"> PSC-17-0066-</w:t>
    </w:r>
    <w:r w:rsidR="00916484">
      <w:t>AS</w:t>
    </w:r>
    <w:r w:rsidR="00A705C2">
      <w:t>-GU</w:t>
    </w:r>
    <w:r>
      <w:tab/>
      <w:t>Attachment A</w:t>
    </w:r>
  </w:p>
  <w:p w:rsidR="00947075" w:rsidRDefault="00947075" w:rsidP="00947075">
    <w:pPr>
      <w:pStyle w:val="OrderHeader"/>
      <w:tabs>
        <w:tab w:val="left" w:pos="9360"/>
      </w:tabs>
    </w:pPr>
    <w:r>
      <w:t>DOCKET NO. 160159-GU</w:t>
    </w:r>
  </w:p>
  <w:p w:rsidR="00947075" w:rsidRDefault="009470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31</w:t>
    </w:r>
    <w:r>
      <w:rPr>
        <w:rStyle w:val="PageNumber"/>
      </w:rPr>
      <w:fldChar w:fldCharType="end"/>
    </w:r>
  </w:p>
  <w:p w:rsidR="00947075" w:rsidRDefault="00947075">
    <w:pPr>
      <w:pStyle w:val="Order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75" w:rsidRDefault="00947075" w:rsidP="00947075">
    <w:pPr>
      <w:pStyle w:val="OrderHeader"/>
      <w:tabs>
        <w:tab w:val="clear" w:pos="4320"/>
        <w:tab w:val="clear" w:pos="8640"/>
        <w:tab w:val="right" w:pos="12960"/>
      </w:tabs>
    </w:pPr>
    <w:r>
      <w:t>ORDER NO.</w:t>
    </w:r>
    <w:r w:rsidR="00A705C2">
      <w:t xml:space="preserve"> PSC-17-0066-</w:t>
    </w:r>
    <w:r w:rsidR="00916484">
      <w:t>AS</w:t>
    </w:r>
    <w:r w:rsidR="00A705C2">
      <w:t>-GU</w:t>
    </w:r>
    <w:r>
      <w:tab/>
      <w:t>Attachment A</w:t>
    </w:r>
  </w:p>
  <w:p w:rsidR="00947075" w:rsidRDefault="00947075" w:rsidP="00947075">
    <w:pPr>
      <w:pStyle w:val="OrderHeader"/>
      <w:tabs>
        <w:tab w:val="left" w:pos="9360"/>
      </w:tabs>
    </w:pPr>
    <w:r>
      <w:t>DOCKET NO. 160159-GU</w:t>
    </w:r>
  </w:p>
  <w:p w:rsidR="00947075" w:rsidRDefault="009470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32</w:t>
    </w:r>
    <w:r>
      <w:rPr>
        <w:rStyle w:val="PageNumber"/>
      </w:rPr>
      <w:fldChar w:fldCharType="end"/>
    </w:r>
  </w:p>
  <w:p w:rsidR="00947075" w:rsidRDefault="00947075">
    <w:pPr>
      <w:pStyle w:val="Order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75" w:rsidRDefault="00947075" w:rsidP="00947075">
    <w:pPr>
      <w:pStyle w:val="OrderHeader"/>
      <w:tabs>
        <w:tab w:val="clear" w:pos="4320"/>
        <w:tab w:val="clear" w:pos="8640"/>
        <w:tab w:val="right" w:pos="9360"/>
      </w:tabs>
    </w:pPr>
    <w:r>
      <w:t>ORDER NO.</w:t>
    </w:r>
    <w:r w:rsidR="00A705C2">
      <w:t xml:space="preserve"> PSC-17-0066-</w:t>
    </w:r>
    <w:r w:rsidR="00916484">
      <w:t>AS</w:t>
    </w:r>
    <w:r w:rsidR="00A705C2">
      <w:t>-GU</w:t>
    </w:r>
    <w:r>
      <w:tab/>
      <w:t>Attachment A</w:t>
    </w:r>
  </w:p>
  <w:p w:rsidR="00947075" w:rsidRDefault="00947075" w:rsidP="00947075">
    <w:pPr>
      <w:pStyle w:val="OrderHeader"/>
      <w:tabs>
        <w:tab w:val="left" w:pos="9360"/>
      </w:tabs>
    </w:pPr>
    <w:r>
      <w:t>DOCKET NO. 160159-GU</w:t>
    </w:r>
  </w:p>
  <w:p w:rsidR="00947075" w:rsidRDefault="009470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E7664">
      <w:rPr>
        <w:rStyle w:val="PageNumber"/>
        <w:noProof/>
      </w:rPr>
      <w:t>33</w:t>
    </w:r>
    <w:r>
      <w:rPr>
        <w:rStyle w:val="PageNumber"/>
      </w:rPr>
      <w:fldChar w:fldCharType="end"/>
    </w:r>
  </w:p>
  <w:p w:rsidR="00947075" w:rsidRDefault="00947075">
    <w:pPr>
      <w:pStyle w:val="Order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41729"/>
    <w:multiLevelType w:val="hybridMultilevel"/>
    <w:tmpl w:val="8C227224"/>
    <w:lvl w:ilvl="0" w:tplc="4288E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EF2D58"/>
    <w:multiLevelType w:val="hybridMultilevel"/>
    <w:tmpl w:val="021EB908"/>
    <w:lvl w:ilvl="0" w:tplc="1D78F0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E1E2631"/>
    <w:multiLevelType w:val="hybridMultilevel"/>
    <w:tmpl w:val="C2468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83D61AB"/>
    <w:multiLevelType w:val="hybridMultilevel"/>
    <w:tmpl w:val="61D2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6E7384"/>
    <w:multiLevelType w:val="hybridMultilevel"/>
    <w:tmpl w:val="8836F758"/>
    <w:lvl w:ilvl="0" w:tplc="404E7D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F1174B0"/>
    <w:multiLevelType w:val="hybridMultilevel"/>
    <w:tmpl w:val="B860E702"/>
    <w:lvl w:ilvl="0" w:tplc="7820BDF4">
      <w:start w:val="1"/>
      <w:numFmt w:val="lowerRoman"/>
      <w:lvlText w:val="(%1)"/>
      <w:lvlJc w:val="left"/>
      <w:pPr>
        <w:ind w:left="2520" w:hanging="10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1F606B7"/>
    <w:multiLevelType w:val="hybridMultilevel"/>
    <w:tmpl w:val="08028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C9804AE"/>
    <w:multiLevelType w:val="hybridMultilevel"/>
    <w:tmpl w:val="990E3BA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5D3F05CA"/>
    <w:multiLevelType w:val="hybridMultilevel"/>
    <w:tmpl w:val="BA70E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0DF0532"/>
    <w:multiLevelType w:val="hybridMultilevel"/>
    <w:tmpl w:val="4E8E2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9"/>
  </w:num>
  <w:num w:numId="4">
    <w:abstractNumId w:val="8"/>
  </w:num>
  <w:num w:numId="5">
    <w:abstractNumId w:val="2"/>
  </w:num>
  <w:num w:numId="6">
    <w:abstractNumId w:val="3"/>
  </w:num>
  <w:num w:numId="7">
    <w:abstractNumId w:val="5"/>
  </w:num>
  <w:num w:numId="8">
    <w:abstractNumId w:val="0"/>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159-GU"/>
  </w:docVars>
  <w:rsids>
    <w:rsidRoot w:val="00AB1949"/>
    <w:rsid w:val="000022B8"/>
    <w:rsid w:val="00053AB9"/>
    <w:rsid w:val="00056229"/>
    <w:rsid w:val="00065FC2"/>
    <w:rsid w:val="00090AFC"/>
    <w:rsid w:val="000D02B8"/>
    <w:rsid w:val="000D06E8"/>
    <w:rsid w:val="000E20F0"/>
    <w:rsid w:val="000E344D"/>
    <w:rsid w:val="000F2BEA"/>
    <w:rsid w:val="000F3B2C"/>
    <w:rsid w:val="000F648A"/>
    <w:rsid w:val="000F7BE3"/>
    <w:rsid w:val="001107B3"/>
    <w:rsid w:val="001114B1"/>
    <w:rsid w:val="00116AD3"/>
    <w:rsid w:val="00121957"/>
    <w:rsid w:val="00126593"/>
    <w:rsid w:val="00136E35"/>
    <w:rsid w:val="00142A96"/>
    <w:rsid w:val="00167E01"/>
    <w:rsid w:val="00187E32"/>
    <w:rsid w:val="00194E81"/>
    <w:rsid w:val="001A0012"/>
    <w:rsid w:val="001A15E7"/>
    <w:rsid w:val="001A33C9"/>
    <w:rsid w:val="001A58F3"/>
    <w:rsid w:val="001A799B"/>
    <w:rsid w:val="001C1EB1"/>
    <w:rsid w:val="001C6CDF"/>
    <w:rsid w:val="001D008A"/>
    <w:rsid w:val="001E0FF5"/>
    <w:rsid w:val="002002ED"/>
    <w:rsid w:val="002165C7"/>
    <w:rsid w:val="002170E5"/>
    <w:rsid w:val="0022721A"/>
    <w:rsid w:val="0022760F"/>
    <w:rsid w:val="00230BB9"/>
    <w:rsid w:val="00234C02"/>
    <w:rsid w:val="0024026E"/>
    <w:rsid w:val="00241CEF"/>
    <w:rsid w:val="00243A86"/>
    <w:rsid w:val="00246D51"/>
    <w:rsid w:val="00252B30"/>
    <w:rsid w:val="002621E6"/>
    <w:rsid w:val="0026544B"/>
    <w:rsid w:val="00277126"/>
    <w:rsid w:val="002A11AC"/>
    <w:rsid w:val="002A6F30"/>
    <w:rsid w:val="002B3111"/>
    <w:rsid w:val="002C7908"/>
    <w:rsid w:val="002D391B"/>
    <w:rsid w:val="002D7D15"/>
    <w:rsid w:val="002E0386"/>
    <w:rsid w:val="002E1B2E"/>
    <w:rsid w:val="002E27EB"/>
    <w:rsid w:val="00303FDE"/>
    <w:rsid w:val="003140E8"/>
    <w:rsid w:val="003231C7"/>
    <w:rsid w:val="003270C4"/>
    <w:rsid w:val="00327BF7"/>
    <w:rsid w:val="00331ED0"/>
    <w:rsid w:val="00332B0A"/>
    <w:rsid w:val="00333A41"/>
    <w:rsid w:val="0035360D"/>
    <w:rsid w:val="0035495B"/>
    <w:rsid w:val="003572F6"/>
    <w:rsid w:val="003744F5"/>
    <w:rsid w:val="003903B3"/>
    <w:rsid w:val="00390DD8"/>
    <w:rsid w:val="00394DC6"/>
    <w:rsid w:val="00397C3E"/>
    <w:rsid w:val="003C5224"/>
    <w:rsid w:val="003D4CCA"/>
    <w:rsid w:val="003D52A6"/>
    <w:rsid w:val="003D6416"/>
    <w:rsid w:val="003E1D48"/>
    <w:rsid w:val="00411DF2"/>
    <w:rsid w:val="004163B4"/>
    <w:rsid w:val="004174DD"/>
    <w:rsid w:val="0042527B"/>
    <w:rsid w:val="00457DC7"/>
    <w:rsid w:val="00472BCC"/>
    <w:rsid w:val="0047458A"/>
    <w:rsid w:val="00485D4F"/>
    <w:rsid w:val="00487710"/>
    <w:rsid w:val="004950A1"/>
    <w:rsid w:val="004A25CD"/>
    <w:rsid w:val="004A26CC"/>
    <w:rsid w:val="004B2108"/>
    <w:rsid w:val="004B3A2B"/>
    <w:rsid w:val="004B70D3"/>
    <w:rsid w:val="004D2D1B"/>
    <w:rsid w:val="004E469D"/>
    <w:rsid w:val="004F2DDE"/>
    <w:rsid w:val="0050097F"/>
    <w:rsid w:val="00514B1F"/>
    <w:rsid w:val="005255DB"/>
    <w:rsid w:val="00525E93"/>
    <w:rsid w:val="0052671D"/>
    <w:rsid w:val="00556A10"/>
    <w:rsid w:val="00592DAF"/>
    <w:rsid w:val="005963C2"/>
    <w:rsid w:val="005B45F7"/>
    <w:rsid w:val="005B63EA"/>
    <w:rsid w:val="005C1A88"/>
    <w:rsid w:val="005C5033"/>
    <w:rsid w:val="005D1C41"/>
    <w:rsid w:val="00607234"/>
    <w:rsid w:val="00610E73"/>
    <w:rsid w:val="00660774"/>
    <w:rsid w:val="0066389A"/>
    <w:rsid w:val="0066465E"/>
    <w:rsid w:val="0066495C"/>
    <w:rsid w:val="00665CC7"/>
    <w:rsid w:val="00672612"/>
    <w:rsid w:val="006A0BF3"/>
    <w:rsid w:val="006A1BF9"/>
    <w:rsid w:val="006A41BD"/>
    <w:rsid w:val="006B06AC"/>
    <w:rsid w:val="006B0DA6"/>
    <w:rsid w:val="006C547E"/>
    <w:rsid w:val="006E7F14"/>
    <w:rsid w:val="00704C5D"/>
    <w:rsid w:val="007072BC"/>
    <w:rsid w:val="00715275"/>
    <w:rsid w:val="007267CA"/>
    <w:rsid w:val="00733B6B"/>
    <w:rsid w:val="00746657"/>
    <w:rsid w:val="007467C4"/>
    <w:rsid w:val="0076170F"/>
    <w:rsid w:val="0076669C"/>
    <w:rsid w:val="007835B6"/>
    <w:rsid w:val="007865E9"/>
    <w:rsid w:val="00790193"/>
    <w:rsid w:val="00792383"/>
    <w:rsid w:val="00796D5C"/>
    <w:rsid w:val="007A060F"/>
    <w:rsid w:val="007A7E3C"/>
    <w:rsid w:val="007D3D20"/>
    <w:rsid w:val="007D6BE0"/>
    <w:rsid w:val="007E3AFD"/>
    <w:rsid w:val="00801DAD"/>
    <w:rsid w:val="00803189"/>
    <w:rsid w:val="00804E7A"/>
    <w:rsid w:val="00805FBB"/>
    <w:rsid w:val="008169A4"/>
    <w:rsid w:val="008278FE"/>
    <w:rsid w:val="00832598"/>
    <w:rsid w:val="0083397E"/>
    <w:rsid w:val="0083534B"/>
    <w:rsid w:val="00842602"/>
    <w:rsid w:val="00863A66"/>
    <w:rsid w:val="008646C7"/>
    <w:rsid w:val="00874429"/>
    <w:rsid w:val="00883D9A"/>
    <w:rsid w:val="008919EF"/>
    <w:rsid w:val="008A12EC"/>
    <w:rsid w:val="008C21C8"/>
    <w:rsid w:val="008C6375"/>
    <w:rsid w:val="008C6A5B"/>
    <w:rsid w:val="008D5EEA"/>
    <w:rsid w:val="008E26A5"/>
    <w:rsid w:val="008E42D2"/>
    <w:rsid w:val="008E7664"/>
    <w:rsid w:val="008F5415"/>
    <w:rsid w:val="009040EE"/>
    <w:rsid w:val="009057FD"/>
    <w:rsid w:val="00906FBA"/>
    <w:rsid w:val="00916484"/>
    <w:rsid w:val="009218C5"/>
    <w:rsid w:val="00922A7F"/>
    <w:rsid w:val="00923A5E"/>
    <w:rsid w:val="00931C8C"/>
    <w:rsid w:val="0094504B"/>
    <w:rsid w:val="00947075"/>
    <w:rsid w:val="009924CF"/>
    <w:rsid w:val="00994100"/>
    <w:rsid w:val="009C7B9A"/>
    <w:rsid w:val="009D4C29"/>
    <w:rsid w:val="00A02348"/>
    <w:rsid w:val="00A11997"/>
    <w:rsid w:val="00A62DAB"/>
    <w:rsid w:val="00A705C2"/>
    <w:rsid w:val="00A726A6"/>
    <w:rsid w:val="00A8642F"/>
    <w:rsid w:val="00A97535"/>
    <w:rsid w:val="00AA73F1"/>
    <w:rsid w:val="00AB0E1A"/>
    <w:rsid w:val="00AB1949"/>
    <w:rsid w:val="00AB1A30"/>
    <w:rsid w:val="00AC3506"/>
    <w:rsid w:val="00AD1ED3"/>
    <w:rsid w:val="00B0777D"/>
    <w:rsid w:val="00B16A26"/>
    <w:rsid w:val="00B172EF"/>
    <w:rsid w:val="00B4057A"/>
    <w:rsid w:val="00B40894"/>
    <w:rsid w:val="00B42B32"/>
    <w:rsid w:val="00B45E75"/>
    <w:rsid w:val="00B50876"/>
    <w:rsid w:val="00B55EE5"/>
    <w:rsid w:val="00B61524"/>
    <w:rsid w:val="00B73DE6"/>
    <w:rsid w:val="00B86EF0"/>
    <w:rsid w:val="00B96969"/>
    <w:rsid w:val="00B97900"/>
    <w:rsid w:val="00BA1229"/>
    <w:rsid w:val="00BA44A8"/>
    <w:rsid w:val="00BD6812"/>
    <w:rsid w:val="00BF6691"/>
    <w:rsid w:val="00C028FC"/>
    <w:rsid w:val="00C151A6"/>
    <w:rsid w:val="00C24098"/>
    <w:rsid w:val="00C30A4E"/>
    <w:rsid w:val="00C31F4A"/>
    <w:rsid w:val="00C411F3"/>
    <w:rsid w:val="00C64D20"/>
    <w:rsid w:val="00C66692"/>
    <w:rsid w:val="00C808F4"/>
    <w:rsid w:val="00C8591D"/>
    <w:rsid w:val="00C91123"/>
    <w:rsid w:val="00C92327"/>
    <w:rsid w:val="00CA0DA7"/>
    <w:rsid w:val="00CA71FF"/>
    <w:rsid w:val="00CB5276"/>
    <w:rsid w:val="00CB68D7"/>
    <w:rsid w:val="00CC2E4E"/>
    <w:rsid w:val="00CC5E69"/>
    <w:rsid w:val="00CC7E68"/>
    <w:rsid w:val="00CD7132"/>
    <w:rsid w:val="00CE0E6F"/>
    <w:rsid w:val="00CE56FC"/>
    <w:rsid w:val="00CE6560"/>
    <w:rsid w:val="00CF2255"/>
    <w:rsid w:val="00CF4CFE"/>
    <w:rsid w:val="00CF7F80"/>
    <w:rsid w:val="00D02E0F"/>
    <w:rsid w:val="00D10E98"/>
    <w:rsid w:val="00D13998"/>
    <w:rsid w:val="00D13EAB"/>
    <w:rsid w:val="00D23FEA"/>
    <w:rsid w:val="00D269CA"/>
    <w:rsid w:val="00D30B48"/>
    <w:rsid w:val="00D3159A"/>
    <w:rsid w:val="00D46FAA"/>
    <w:rsid w:val="00D47A40"/>
    <w:rsid w:val="00D57BB2"/>
    <w:rsid w:val="00D57E57"/>
    <w:rsid w:val="00D677EB"/>
    <w:rsid w:val="00D8560E"/>
    <w:rsid w:val="00D8758F"/>
    <w:rsid w:val="00D933E7"/>
    <w:rsid w:val="00DB1030"/>
    <w:rsid w:val="00DC1D94"/>
    <w:rsid w:val="00DC6D1D"/>
    <w:rsid w:val="00DE057F"/>
    <w:rsid w:val="00DE2082"/>
    <w:rsid w:val="00DE2289"/>
    <w:rsid w:val="00DF4187"/>
    <w:rsid w:val="00E03A76"/>
    <w:rsid w:val="00E04410"/>
    <w:rsid w:val="00E11351"/>
    <w:rsid w:val="00EA172C"/>
    <w:rsid w:val="00EA259B"/>
    <w:rsid w:val="00EA35A3"/>
    <w:rsid w:val="00EA3E6A"/>
    <w:rsid w:val="00EB18EF"/>
    <w:rsid w:val="00EC64C4"/>
    <w:rsid w:val="00EE17DF"/>
    <w:rsid w:val="00EE74B2"/>
    <w:rsid w:val="00EF4621"/>
    <w:rsid w:val="00F04005"/>
    <w:rsid w:val="00F173EF"/>
    <w:rsid w:val="00F234A7"/>
    <w:rsid w:val="00F277B6"/>
    <w:rsid w:val="00F4380E"/>
    <w:rsid w:val="00F515F6"/>
    <w:rsid w:val="00F54380"/>
    <w:rsid w:val="00F54B47"/>
    <w:rsid w:val="00F6702E"/>
    <w:rsid w:val="00F70E84"/>
    <w:rsid w:val="00F9324D"/>
    <w:rsid w:val="00F956DB"/>
    <w:rsid w:val="00FA092B"/>
    <w:rsid w:val="00FA2A03"/>
    <w:rsid w:val="00FA6EFD"/>
    <w:rsid w:val="00FB74EA"/>
    <w:rsid w:val="00FC2CB1"/>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AB1949"/>
    <w:pPr>
      <w:ind w:left="720"/>
      <w:contextualSpacing/>
    </w:pPr>
  </w:style>
  <w:style w:type="character" w:customStyle="1" w:styleId="FootnoteTextChar">
    <w:name w:val="Footnote Text Char"/>
    <w:basedOn w:val="DefaultParagraphFont"/>
    <w:link w:val="FootnoteText"/>
    <w:uiPriority w:val="99"/>
    <w:rsid w:val="00C64D20"/>
  </w:style>
  <w:style w:type="paragraph" w:styleId="BalloonText">
    <w:name w:val="Balloon Text"/>
    <w:basedOn w:val="Normal"/>
    <w:link w:val="BalloonTextChar"/>
    <w:rsid w:val="009218C5"/>
    <w:rPr>
      <w:rFonts w:ascii="Tahoma" w:hAnsi="Tahoma" w:cs="Tahoma"/>
      <w:sz w:val="16"/>
      <w:szCs w:val="16"/>
    </w:rPr>
  </w:style>
  <w:style w:type="character" w:customStyle="1" w:styleId="BalloonTextChar">
    <w:name w:val="Balloon Text Char"/>
    <w:basedOn w:val="DefaultParagraphFont"/>
    <w:link w:val="BalloonText"/>
    <w:rsid w:val="009218C5"/>
    <w:rPr>
      <w:rFonts w:ascii="Tahoma" w:hAnsi="Tahoma" w:cs="Tahoma"/>
      <w:sz w:val="16"/>
      <w:szCs w:val="16"/>
    </w:rPr>
  </w:style>
  <w:style w:type="character" w:styleId="CommentReference">
    <w:name w:val="annotation reference"/>
    <w:basedOn w:val="DefaultParagraphFont"/>
    <w:rsid w:val="00592DAF"/>
    <w:rPr>
      <w:sz w:val="16"/>
      <w:szCs w:val="16"/>
    </w:rPr>
  </w:style>
  <w:style w:type="paragraph" w:styleId="CommentText">
    <w:name w:val="annotation text"/>
    <w:basedOn w:val="Normal"/>
    <w:link w:val="CommentTextChar"/>
    <w:rsid w:val="00592DAF"/>
    <w:rPr>
      <w:sz w:val="20"/>
      <w:szCs w:val="20"/>
    </w:rPr>
  </w:style>
  <w:style w:type="character" w:customStyle="1" w:styleId="CommentTextChar">
    <w:name w:val="Comment Text Char"/>
    <w:basedOn w:val="DefaultParagraphFont"/>
    <w:link w:val="CommentText"/>
    <w:rsid w:val="00592DAF"/>
  </w:style>
  <w:style w:type="paragraph" w:styleId="CommentSubject">
    <w:name w:val="annotation subject"/>
    <w:basedOn w:val="CommentText"/>
    <w:next w:val="CommentText"/>
    <w:link w:val="CommentSubjectChar"/>
    <w:rsid w:val="00592DAF"/>
    <w:rPr>
      <w:b/>
      <w:bCs/>
    </w:rPr>
  </w:style>
  <w:style w:type="character" w:customStyle="1" w:styleId="CommentSubjectChar">
    <w:name w:val="Comment Subject Char"/>
    <w:basedOn w:val="CommentTextChar"/>
    <w:link w:val="CommentSubject"/>
    <w:rsid w:val="00592D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AB1949"/>
    <w:pPr>
      <w:ind w:left="720"/>
      <w:contextualSpacing/>
    </w:pPr>
  </w:style>
  <w:style w:type="character" w:customStyle="1" w:styleId="FootnoteTextChar">
    <w:name w:val="Footnote Text Char"/>
    <w:basedOn w:val="DefaultParagraphFont"/>
    <w:link w:val="FootnoteText"/>
    <w:uiPriority w:val="99"/>
    <w:rsid w:val="00C64D20"/>
  </w:style>
  <w:style w:type="paragraph" w:styleId="BalloonText">
    <w:name w:val="Balloon Text"/>
    <w:basedOn w:val="Normal"/>
    <w:link w:val="BalloonTextChar"/>
    <w:rsid w:val="009218C5"/>
    <w:rPr>
      <w:rFonts w:ascii="Tahoma" w:hAnsi="Tahoma" w:cs="Tahoma"/>
      <w:sz w:val="16"/>
      <w:szCs w:val="16"/>
    </w:rPr>
  </w:style>
  <w:style w:type="character" w:customStyle="1" w:styleId="BalloonTextChar">
    <w:name w:val="Balloon Text Char"/>
    <w:basedOn w:val="DefaultParagraphFont"/>
    <w:link w:val="BalloonText"/>
    <w:rsid w:val="009218C5"/>
    <w:rPr>
      <w:rFonts w:ascii="Tahoma" w:hAnsi="Tahoma" w:cs="Tahoma"/>
      <w:sz w:val="16"/>
      <w:szCs w:val="16"/>
    </w:rPr>
  </w:style>
  <w:style w:type="character" w:styleId="CommentReference">
    <w:name w:val="annotation reference"/>
    <w:basedOn w:val="DefaultParagraphFont"/>
    <w:rsid w:val="00592DAF"/>
    <w:rPr>
      <w:sz w:val="16"/>
      <w:szCs w:val="16"/>
    </w:rPr>
  </w:style>
  <w:style w:type="paragraph" w:styleId="CommentText">
    <w:name w:val="annotation text"/>
    <w:basedOn w:val="Normal"/>
    <w:link w:val="CommentTextChar"/>
    <w:rsid w:val="00592DAF"/>
    <w:rPr>
      <w:sz w:val="20"/>
      <w:szCs w:val="20"/>
    </w:rPr>
  </w:style>
  <w:style w:type="character" w:customStyle="1" w:styleId="CommentTextChar">
    <w:name w:val="Comment Text Char"/>
    <w:basedOn w:val="DefaultParagraphFont"/>
    <w:link w:val="CommentText"/>
    <w:rsid w:val="00592DAF"/>
  </w:style>
  <w:style w:type="paragraph" w:styleId="CommentSubject">
    <w:name w:val="annotation subject"/>
    <w:basedOn w:val="CommentText"/>
    <w:next w:val="CommentText"/>
    <w:link w:val="CommentSubjectChar"/>
    <w:rsid w:val="00592DAF"/>
    <w:rPr>
      <w:b/>
      <w:bCs/>
    </w:rPr>
  </w:style>
  <w:style w:type="character" w:customStyle="1" w:styleId="CommentSubjectChar">
    <w:name w:val="Comment Subject Char"/>
    <w:basedOn w:val="CommentTextChar"/>
    <w:link w:val="CommentSubject"/>
    <w:rsid w:val="00592D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5.jpg"/><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header" Target="header8.xml"/><Relationship Id="rId47" Type="http://schemas.openxmlformats.org/officeDocument/2006/relationships/image" Target="media/image29.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header" Target="header6.xml"/><Relationship Id="rId46"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4.xml"/><Relationship Id="rId41"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image" Target="media/image24.jpg"/><Relationship Id="rId40" Type="http://schemas.openxmlformats.org/officeDocument/2006/relationships/header" Target="header7.xml"/><Relationship Id="rId45"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eader" Target="header5.xml"/><Relationship Id="rId49"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image" Target="media/image19.jp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27.jpg"/><Relationship Id="rId48" Type="http://schemas.openxmlformats.org/officeDocument/2006/relationships/image" Target="media/image30.jpg"/><Relationship Id="rId8" Type="http://schemas.openxmlformats.org/officeDocument/2006/relationships/header" Target="header1.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atronis,%20and%20Polma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Patronis, and Polmann.dot</Template>
  <TotalTime>0</TotalTime>
  <Pages>35</Pages>
  <Words>1715</Words>
  <Characters>9443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2017-02-28T15:41:00Z</dcterms:created>
  <dcterms:modified xsi:type="dcterms:W3CDTF">2017-02-28T18:16:00Z</dcterms:modified>
</cp:coreProperties>
</file>