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67D4" w:rsidP="004467D4">
      <w:pPr>
        <w:pStyle w:val="OrderHeading"/>
      </w:pPr>
      <w:bookmarkStart w:id="0" w:name="_GoBack"/>
      <w:bookmarkEnd w:id="0"/>
      <w:r>
        <w:t>BEFORE THE FLORIDA PUBLIC SERVICE COMMISSION</w:t>
      </w:r>
    </w:p>
    <w:p w:rsidR="004467D4" w:rsidRDefault="004467D4" w:rsidP="004467D4">
      <w:pPr>
        <w:pStyle w:val="OrderHeading"/>
      </w:pPr>
    </w:p>
    <w:p w:rsidR="004467D4" w:rsidRDefault="004467D4" w:rsidP="004467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67D4" w:rsidRPr="00C63FCF" w:rsidTr="00C63FCF">
        <w:trPr>
          <w:trHeight w:val="828"/>
        </w:trPr>
        <w:tc>
          <w:tcPr>
            <w:tcW w:w="4788" w:type="dxa"/>
            <w:tcBorders>
              <w:bottom w:val="single" w:sz="8" w:space="0" w:color="auto"/>
              <w:right w:val="double" w:sz="6" w:space="0" w:color="auto"/>
            </w:tcBorders>
            <w:shd w:val="clear" w:color="auto" w:fill="auto"/>
          </w:tcPr>
          <w:p w:rsidR="004467D4" w:rsidRDefault="004467D4"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4467D4" w:rsidRDefault="004467D4" w:rsidP="004467D4">
            <w:pPr>
              <w:pStyle w:val="OrderBody"/>
            </w:pPr>
            <w:r>
              <w:t xml:space="preserve">DOCKET NO. </w:t>
            </w:r>
            <w:bookmarkStart w:id="2" w:name="SSDocketNo"/>
            <w:bookmarkEnd w:id="2"/>
            <w:r>
              <w:t>20170009-EI</w:t>
            </w:r>
          </w:p>
          <w:p w:rsidR="004467D4" w:rsidRDefault="004467D4" w:rsidP="00C63FCF">
            <w:pPr>
              <w:pStyle w:val="OrderBody"/>
              <w:tabs>
                <w:tab w:val="center" w:pos="4320"/>
                <w:tab w:val="right" w:pos="8640"/>
              </w:tabs>
              <w:jc w:val="left"/>
            </w:pPr>
            <w:r>
              <w:t xml:space="preserve">ORDER NO. </w:t>
            </w:r>
            <w:bookmarkStart w:id="3" w:name="OrderNo0260"/>
            <w:r w:rsidR="00502B4D">
              <w:t>PSC-2017-0260-PCO-EI</w:t>
            </w:r>
            <w:bookmarkEnd w:id="3"/>
          </w:p>
          <w:p w:rsidR="004467D4" w:rsidRDefault="004467D4" w:rsidP="00C63FCF">
            <w:pPr>
              <w:pStyle w:val="OrderBody"/>
              <w:tabs>
                <w:tab w:val="center" w:pos="4320"/>
                <w:tab w:val="right" w:pos="8640"/>
              </w:tabs>
              <w:jc w:val="left"/>
            </w:pPr>
            <w:r>
              <w:t xml:space="preserve">ISSUED: </w:t>
            </w:r>
            <w:r w:rsidR="00502B4D">
              <w:t>July 10, 2017</w:t>
            </w:r>
          </w:p>
        </w:tc>
      </w:tr>
    </w:tbl>
    <w:p w:rsidR="004467D4" w:rsidRDefault="004467D4" w:rsidP="004467D4"/>
    <w:p w:rsidR="004467D4" w:rsidRDefault="004467D4" w:rsidP="004467D4"/>
    <w:p w:rsidR="00CB5276" w:rsidRDefault="004467D4" w:rsidP="004467D4">
      <w:pPr>
        <w:pStyle w:val="CenterUnderline"/>
      </w:pPr>
      <w:bookmarkStart w:id="4" w:name="Commissioners"/>
      <w:bookmarkEnd w:id="4"/>
      <w:r>
        <w:t>FIRST ORDER</w:t>
      </w:r>
      <w:bookmarkStart w:id="5" w:name="OrderTitle"/>
      <w:r>
        <w:t xml:space="preserve"> MODIFYING ORDER ESTABLISHING PROCEDURE </w:t>
      </w:r>
      <w:bookmarkEnd w:id="5"/>
    </w:p>
    <w:p w:rsidR="004467D4" w:rsidRDefault="004467D4" w:rsidP="004467D4">
      <w:pPr>
        <w:pStyle w:val="CenterUnderline"/>
      </w:pPr>
    </w:p>
    <w:p w:rsidR="004467D4" w:rsidRDefault="004467D4" w:rsidP="004467D4">
      <w:pPr>
        <w:ind w:firstLine="720"/>
        <w:jc w:val="both"/>
      </w:pPr>
      <w:r>
        <w:t xml:space="preserve">Order No. </w:t>
      </w:r>
      <w:bookmarkStart w:id="6" w:name="OrderNo0057"/>
      <w:r>
        <w:t>PSC-17-0057-PCO-EI</w:t>
      </w:r>
      <w:bookmarkEnd w:id="6"/>
      <w:r>
        <w:t>, issued on February 20, 2017, established hearing procedures and controlling dates governing the annual Nuclear Cost Recovery Clause docket set for hearing August 15-18, 2017.  On June 16, 2017, the Office of Public Counsel (OPC) and White Springs Agricultural Chemicals, Inc., d/b/a PCS Phosphate – White Springs (PCS Phosphate) (jointly “Movants”) filed a Motion to Temporarily Hold in Abeyance and Reschedule the 2017 Hearing for Duke Energy Florida, LLC (Motion)</w:t>
      </w:r>
      <w:r>
        <w:rPr>
          <w:rStyle w:val="FootnoteReference"/>
        </w:rPr>
        <w:footnoteReference w:id="1"/>
      </w:r>
      <w:r>
        <w:t xml:space="preserve"> to defer the hearing of the Duke Energy Florida, LLC (DEF) portion of Docket No. </w:t>
      </w:r>
      <w:r w:rsidR="009322A5">
        <w:t>20</w:t>
      </w:r>
      <w:r>
        <w:t>170009-EI until October 24, 2017, to be held concurrent with the general clause hearings.</w:t>
      </w:r>
    </w:p>
    <w:p w:rsidR="004467D4" w:rsidRDefault="004467D4" w:rsidP="004467D4">
      <w:pPr>
        <w:ind w:firstLine="720"/>
        <w:jc w:val="both"/>
      </w:pPr>
    </w:p>
    <w:p w:rsidR="004467D4" w:rsidRDefault="004467D4" w:rsidP="004467D4">
      <w:pPr>
        <w:ind w:firstLine="720"/>
        <w:jc w:val="both"/>
      </w:pPr>
      <w:r>
        <w:t xml:space="preserve">In support of its </w:t>
      </w:r>
      <w:r w:rsidR="008B0D63">
        <w:t>M</w:t>
      </w:r>
      <w:r>
        <w:t xml:space="preserve">otion, the Movants state that additional time is necessary to conduct discovery and prepare for hearing on </w:t>
      </w:r>
      <w:r w:rsidRPr="00F54D9F">
        <w:t xml:space="preserve">DEF’s petition to recover a portion of outstanding Levy Nuclear Project (LNP) costs </w:t>
      </w:r>
      <w:r>
        <w:t>due to the pending litigation between DEF and Westinghouse Electric Company, LLC (Westinghouse) and Stone &amp; Webster, Inc. concerning DEF’s 2014 termination of the engineering, procurement</w:t>
      </w:r>
      <w:r w:rsidR="009322A5">
        <w:t>,</w:t>
      </w:r>
      <w:r>
        <w:t xml:space="preserve"> and construction contract, and Westinghouse’s 2017 bankruptcy filing. </w:t>
      </w:r>
      <w:r w:rsidRPr="00A31C3A">
        <w:t xml:space="preserve">On June 22, 2017, during a noticed informal meeting amongst all parties and interested persons, the Movants clarified that the Motion pertains only to the LNP portion of the docket. It is not the intent of the Movants to petition to defer the </w:t>
      </w:r>
      <w:r w:rsidR="009322A5">
        <w:t>portions of this docket related</w:t>
      </w:r>
      <w:r w:rsidRPr="00A31C3A">
        <w:t xml:space="preserve"> to DEF’s petition to recover costs relating to the Crystal River Unit 3 Uprate Project (CR3).</w:t>
      </w:r>
    </w:p>
    <w:p w:rsidR="004467D4" w:rsidRDefault="004467D4" w:rsidP="004467D4">
      <w:pPr>
        <w:ind w:firstLine="720"/>
        <w:jc w:val="both"/>
      </w:pPr>
    </w:p>
    <w:p w:rsidR="004467D4" w:rsidRDefault="004467D4" w:rsidP="004467D4">
      <w:pPr>
        <w:ind w:firstLine="720"/>
        <w:jc w:val="both"/>
      </w:pPr>
      <w:r w:rsidRPr="00DA4961">
        <w:t>Withi</w:t>
      </w:r>
      <w:r>
        <w:t>n its Motion, the Movants state that is has</w:t>
      </w:r>
      <w:r w:rsidRPr="00DA4961">
        <w:t xml:space="preserve"> conferred with all parties to this docket and that </w:t>
      </w:r>
      <w:r>
        <w:t>no party was</w:t>
      </w:r>
      <w:r w:rsidRPr="00DA4961">
        <w:t xml:space="preserve"> opposed</w:t>
      </w:r>
      <w:r w:rsidR="009322A5">
        <w:t xml:space="preserve"> to</w:t>
      </w:r>
      <w:r w:rsidRPr="00DA4961">
        <w:t xml:space="preserve"> the Motion, </w:t>
      </w:r>
      <w:r>
        <w:t>and</w:t>
      </w:r>
      <w:r w:rsidRPr="00DA4961">
        <w:t xml:space="preserve"> DEF </w:t>
      </w:r>
      <w:r>
        <w:t>took</w:t>
      </w:r>
      <w:r w:rsidRPr="00DA4961">
        <w:t xml:space="preserve"> no position.</w:t>
      </w:r>
      <w:r>
        <w:t xml:space="preserve"> As provided by Rule 28-106.204, Florida Administrative Code</w:t>
      </w:r>
      <w:r w:rsidR="008B0D63">
        <w:t xml:space="preserve"> (F.A.C.)</w:t>
      </w:r>
      <w:r>
        <w:t>, t</w:t>
      </w:r>
      <w:r w:rsidRPr="00A366A4">
        <w:t xml:space="preserve">he time </w:t>
      </w:r>
      <w:r>
        <w:t xml:space="preserve">allowed </w:t>
      </w:r>
      <w:r w:rsidRPr="00A366A4">
        <w:t xml:space="preserve">for parties to file a response to the Motion </w:t>
      </w:r>
      <w:r>
        <w:t>expired on June 23, 2017.  However, on June 27, 2017, DEF amended its position, and filed with the Office of the Commission Clerk a response in support of the Movant’s Motion. DEF states that it initially</w:t>
      </w:r>
      <w:r w:rsidR="009322A5">
        <w:t xml:space="preserve"> took no position on the Motion;</w:t>
      </w:r>
      <w:r>
        <w:t xml:space="preserve"> however, after further discussions with the Movants, DEF determined that the relief sought within the Motion would be within the best interests of itself and DEF</w:t>
      </w:r>
      <w:r w:rsidR="009322A5">
        <w:t>’s</w:t>
      </w:r>
      <w:r>
        <w:t xml:space="preserve"> customers. Further, DEF emphasizes that the CR3 portion of this docket should not be subject to the Motion.</w:t>
      </w:r>
    </w:p>
    <w:p w:rsidR="004467D4" w:rsidRDefault="004467D4" w:rsidP="004467D4">
      <w:pPr>
        <w:ind w:firstLine="720"/>
        <w:jc w:val="both"/>
      </w:pPr>
    </w:p>
    <w:p w:rsidR="004467D4" w:rsidRDefault="004467D4" w:rsidP="004467D4">
      <w:pPr>
        <w:ind w:firstLine="720"/>
        <w:jc w:val="both"/>
      </w:pPr>
      <w:r>
        <w:t xml:space="preserve">Despite the timing of its response, I have decided to take DEF’s amended position into account in rendering my decision, as Rule 28-106.204, F.A.C., states that written motions should be disposed of on the basis of the motion itself and any supporting or opposing memoranda. Therefore, upon consideration of the Motion and DEF’s response, I find that it is reasonable and should not unduly prejudice any party to this docket to temporarily hold in abeyance the LNP </w:t>
      </w:r>
      <w:r>
        <w:lastRenderedPageBreak/>
        <w:t>portions of this proceeding. Thus, I hereby grant the Motion of the Office of Public Counsel and White Springs Agricultural Chemicals, Inc., d/b/a, PCS Phosphate – White Springs to Temporarily Hold in Abeyance and Reschedule the 2017 Heari</w:t>
      </w:r>
      <w:r w:rsidR="009322A5">
        <w:t>ng For Duke Energy Florida, LLC for the Levy Nuclear Project.</w:t>
      </w:r>
    </w:p>
    <w:p w:rsidR="004467D4" w:rsidRDefault="004467D4" w:rsidP="004467D4">
      <w:pPr>
        <w:ind w:firstLine="720"/>
        <w:jc w:val="both"/>
      </w:pPr>
    </w:p>
    <w:p w:rsidR="004467D4" w:rsidRDefault="004467D4" w:rsidP="004467D4">
      <w:pPr>
        <w:ind w:firstLine="720"/>
        <w:jc w:val="both"/>
      </w:pPr>
      <w:r>
        <w:t>Section VIII of the Order Establishing Procedure, Order No. PSC-17-0057-PCO-EI, shall be modified and the following dates are hereby established to govern key activities in this case relating only to Duke Energy Florida, LLC’s petition to recover costs associated with its Levy Nuclear Project.</w:t>
      </w:r>
    </w:p>
    <w:p w:rsidR="004467D4" w:rsidRDefault="004467D4" w:rsidP="004467D4">
      <w:pPr>
        <w:ind w:firstLine="720"/>
        <w:jc w:val="both"/>
      </w:pPr>
    </w:p>
    <w:tbl>
      <w:tblPr>
        <w:tblW w:w="6750" w:type="dxa"/>
        <w:jc w:val="center"/>
        <w:tblInd w:w="120" w:type="dxa"/>
        <w:tblLayout w:type="fixed"/>
        <w:tblCellMar>
          <w:left w:w="120" w:type="dxa"/>
          <w:right w:w="120" w:type="dxa"/>
        </w:tblCellMar>
        <w:tblLook w:val="0000" w:firstRow="0" w:lastRow="0" w:firstColumn="0" w:lastColumn="0" w:noHBand="0" w:noVBand="0"/>
      </w:tblPr>
      <w:tblGrid>
        <w:gridCol w:w="3870"/>
        <w:gridCol w:w="2880"/>
      </w:tblGrid>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288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right"/>
            </w:pPr>
            <w:r>
              <w:t>September 14, 2017</w:t>
            </w:r>
          </w:p>
        </w:tc>
      </w:tr>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Staff’s Testimony and Exhibits</w:t>
            </w:r>
          </w:p>
        </w:tc>
        <w:tc>
          <w:tcPr>
            <w:tcW w:w="288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right"/>
            </w:pPr>
            <w:r>
              <w:t>September 14, 2017</w:t>
            </w:r>
          </w:p>
        </w:tc>
      </w:tr>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288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right"/>
            </w:pPr>
            <w:r>
              <w:t>September 21, 2017</w:t>
            </w:r>
          </w:p>
        </w:tc>
      </w:tr>
      <w:tr w:rsidR="004467D4" w:rsidRPr="00D04675" w:rsidTr="00991580">
        <w:trPr>
          <w:cantSplit/>
          <w:trHeight w:val="454"/>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Prehearing Statements</w:t>
            </w:r>
          </w:p>
        </w:tc>
        <w:tc>
          <w:tcPr>
            <w:tcW w:w="2880" w:type="dxa"/>
            <w:tcBorders>
              <w:top w:val="nil"/>
              <w:left w:val="nil"/>
              <w:bottom w:val="nil"/>
              <w:right w:val="nil"/>
            </w:tcBorders>
          </w:tcPr>
          <w:p w:rsidR="004467D4" w:rsidRDefault="004467D4" w:rsidP="00991580">
            <w:pPr>
              <w:tabs>
                <w:tab w:val="left" w:pos="0"/>
                <w:tab w:val="left" w:pos="720"/>
                <w:tab w:val="left" w:pos="1440"/>
                <w:tab w:val="left" w:pos="2160"/>
                <w:tab w:val="left" w:pos="2880"/>
              </w:tabs>
              <w:spacing w:before="120" w:after="57"/>
              <w:ind w:left="360"/>
              <w:jc w:val="right"/>
            </w:pPr>
            <w:r>
              <w:t>September 21, 2017</w:t>
            </w:r>
          </w:p>
        </w:tc>
      </w:tr>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rsidRPr="00806F26">
              <w:t>Last Day to Conduct Discovery</w:t>
            </w:r>
          </w:p>
        </w:tc>
        <w:tc>
          <w:tcPr>
            <w:tcW w:w="2880" w:type="dxa"/>
            <w:tcBorders>
              <w:top w:val="nil"/>
              <w:left w:val="nil"/>
              <w:bottom w:val="nil"/>
              <w:right w:val="nil"/>
            </w:tcBorders>
          </w:tcPr>
          <w:p w:rsidR="004467D4" w:rsidRDefault="004467D4" w:rsidP="00991580">
            <w:pPr>
              <w:tabs>
                <w:tab w:val="left" w:pos="0"/>
                <w:tab w:val="left" w:pos="720"/>
                <w:tab w:val="left" w:pos="1440"/>
                <w:tab w:val="left" w:pos="2160"/>
                <w:tab w:val="left" w:pos="2880"/>
              </w:tabs>
              <w:spacing w:before="120" w:after="57"/>
              <w:ind w:left="720"/>
              <w:jc w:val="right"/>
            </w:pPr>
            <w:r>
              <w:t>October 6. 2017</w:t>
            </w:r>
          </w:p>
        </w:tc>
      </w:tr>
      <w:tr w:rsidR="004467D4" w:rsidRPr="00D04675" w:rsidTr="00991580">
        <w:trPr>
          <w:cantSplit/>
          <w:jc w:val="center"/>
        </w:trPr>
        <w:tc>
          <w:tcPr>
            <w:tcW w:w="3870" w:type="dxa"/>
            <w:tcBorders>
              <w:top w:val="nil"/>
              <w:left w:val="nil"/>
              <w:bottom w:val="nil"/>
              <w:right w:val="nil"/>
            </w:tcBorders>
          </w:tcPr>
          <w:p w:rsidR="004467D4" w:rsidRPr="00D04675" w:rsidRDefault="004467D4" w:rsidP="0099158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880" w:type="dxa"/>
            <w:tcBorders>
              <w:top w:val="nil"/>
              <w:left w:val="nil"/>
              <w:bottom w:val="nil"/>
              <w:right w:val="nil"/>
            </w:tcBorders>
          </w:tcPr>
          <w:p w:rsidR="004467D4" w:rsidRDefault="004467D4" w:rsidP="00991580">
            <w:pPr>
              <w:tabs>
                <w:tab w:val="left" w:pos="0"/>
                <w:tab w:val="left" w:pos="720"/>
                <w:tab w:val="left" w:pos="1440"/>
                <w:tab w:val="left" w:pos="2160"/>
                <w:tab w:val="left" w:pos="2880"/>
              </w:tabs>
              <w:spacing w:before="120" w:after="57"/>
              <w:ind w:left="720"/>
              <w:jc w:val="right"/>
            </w:pPr>
            <w:r>
              <w:t>October 11, 2017</w:t>
            </w:r>
          </w:p>
        </w:tc>
      </w:tr>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Hearing</w:t>
            </w:r>
          </w:p>
        </w:tc>
        <w:tc>
          <w:tcPr>
            <w:tcW w:w="2880" w:type="dxa"/>
            <w:tcBorders>
              <w:top w:val="nil"/>
              <w:left w:val="nil"/>
              <w:bottom w:val="nil"/>
              <w:right w:val="nil"/>
            </w:tcBorders>
          </w:tcPr>
          <w:p w:rsidR="004467D4" w:rsidRPr="005778D1" w:rsidRDefault="004467D4" w:rsidP="00991580">
            <w:pPr>
              <w:numPr>
                <w:ilvl w:val="12"/>
                <w:numId w:val="0"/>
              </w:numPr>
              <w:tabs>
                <w:tab w:val="left" w:pos="0"/>
                <w:tab w:val="left" w:pos="720"/>
                <w:tab w:val="left" w:pos="1440"/>
                <w:tab w:val="left" w:pos="2160"/>
                <w:tab w:val="left" w:pos="2880"/>
              </w:tabs>
              <w:spacing w:before="120" w:after="57"/>
              <w:jc w:val="right"/>
            </w:pPr>
            <w:r>
              <w:t>October 25, 2017</w:t>
            </w:r>
          </w:p>
        </w:tc>
      </w:tr>
      <w:tr w:rsidR="004467D4" w:rsidRPr="00D04675" w:rsidTr="00991580">
        <w:trPr>
          <w:cantSplit/>
          <w:jc w:val="center"/>
        </w:trPr>
        <w:tc>
          <w:tcPr>
            <w:tcW w:w="3870" w:type="dxa"/>
            <w:tcBorders>
              <w:top w:val="nil"/>
              <w:left w:val="nil"/>
              <w:bottom w:val="nil"/>
              <w:right w:val="nil"/>
            </w:tcBorders>
          </w:tcPr>
          <w:p w:rsidR="004467D4" w:rsidRDefault="004467D4" w:rsidP="00991580">
            <w:pPr>
              <w:numPr>
                <w:ilvl w:val="12"/>
                <w:numId w:val="0"/>
              </w:numPr>
              <w:tabs>
                <w:tab w:val="left" w:pos="0"/>
                <w:tab w:val="left" w:pos="720"/>
                <w:tab w:val="left" w:pos="1440"/>
                <w:tab w:val="left" w:pos="2160"/>
                <w:tab w:val="left" w:pos="2880"/>
              </w:tabs>
              <w:spacing w:before="120" w:after="57"/>
              <w:jc w:val="both"/>
            </w:pPr>
            <w:r>
              <w:t>Post-Hearing Briefs, if any</w:t>
            </w:r>
          </w:p>
        </w:tc>
        <w:tc>
          <w:tcPr>
            <w:tcW w:w="2880" w:type="dxa"/>
            <w:tcBorders>
              <w:top w:val="nil"/>
              <w:left w:val="nil"/>
              <w:bottom w:val="nil"/>
              <w:right w:val="nil"/>
            </w:tcBorders>
          </w:tcPr>
          <w:p w:rsidR="004467D4" w:rsidRDefault="004467D4" w:rsidP="00991580">
            <w:pPr>
              <w:tabs>
                <w:tab w:val="left" w:pos="0"/>
                <w:tab w:val="left" w:pos="720"/>
                <w:tab w:val="left" w:pos="1440"/>
                <w:tab w:val="left" w:pos="2160"/>
                <w:tab w:val="left" w:pos="2880"/>
              </w:tabs>
              <w:spacing w:before="120" w:after="57"/>
              <w:ind w:left="720"/>
              <w:jc w:val="right"/>
            </w:pPr>
            <w:r>
              <w:t>November 13, 2017</w:t>
            </w:r>
          </w:p>
        </w:tc>
      </w:tr>
    </w:tbl>
    <w:p w:rsidR="004467D4" w:rsidRDefault="004467D4" w:rsidP="004467D4"/>
    <w:p w:rsidR="004467D4" w:rsidRDefault="004467D4" w:rsidP="004467D4">
      <w:r>
        <w:t xml:space="preserve">All other dates established within the Order Establishing Procedure shall remain unchanged. </w:t>
      </w:r>
      <w:r w:rsidR="009322A5">
        <w:t xml:space="preserve">The CR3 portions of this docket will heard as scheduled during the August 15-18, 2017 hearing. </w:t>
      </w:r>
    </w:p>
    <w:p w:rsidR="004467D4" w:rsidRDefault="004467D4" w:rsidP="004467D4"/>
    <w:p w:rsidR="004467D4" w:rsidRDefault="004467D4" w:rsidP="004467D4">
      <w:pPr>
        <w:pStyle w:val="OrderBody"/>
      </w:pPr>
      <w:r>
        <w:tab/>
        <w:t>Based on the foregoing, it is</w:t>
      </w:r>
    </w:p>
    <w:p w:rsidR="004467D4" w:rsidRDefault="004467D4" w:rsidP="004467D4">
      <w:pPr>
        <w:pStyle w:val="OrderBody"/>
      </w:pPr>
    </w:p>
    <w:p w:rsidR="004467D4" w:rsidRDefault="004467D4" w:rsidP="004467D4">
      <w:pPr>
        <w:pStyle w:val="OrderBody"/>
      </w:pPr>
      <w:r>
        <w:tab/>
        <w:t xml:space="preserve">ORDERED by Commissioner Ronald A. Brisé, as Prehearing Officer, that </w:t>
      </w:r>
      <w:r w:rsidRPr="005A4FA6">
        <w:t>the Motion of the Office of Public Counsel and White Springs Agricultural Chemicals, Inc., d/b/a, PCS Phosphate – White Springs to Temporarily Hold in Abeyance and Reschedule the 2017 Heari</w:t>
      </w:r>
      <w:r>
        <w:t>ng For Duke Energy Florida, LLC is hereby granted. It is further</w:t>
      </w:r>
    </w:p>
    <w:p w:rsidR="004467D4" w:rsidRDefault="004467D4" w:rsidP="004467D4">
      <w:pPr>
        <w:pStyle w:val="OrderBody"/>
      </w:pPr>
    </w:p>
    <w:p w:rsidR="004467D4" w:rsidRDefault="004467D4" w:rsidP="004467D4">
      <w:pPr>
        <w:pStyle w:val="OrderBody"/>
      </w:pPr>
      <w:r>
        <w:tab/>
        <w:t>ORDERED that the controlling dates for key activities in this proceeding relating only to Duke Energy Florida, LLC’s petition to recover costs associated with its Levy Nuclear Project are modified as set forth herein. It is further</w:t>
      </w:r>
    </w:p>
    <w:p w:rsidR="004467D4" w:rsidRDefault="004467D4" w:rsidP="004467D4">
      <w:pPr>
        <w:pStyle w:val="OrderBody"/>
      </w:pPr>
    </w:p>
    <w:p w:rsidR="004467D4" w:rsidRDefault="004467D4" w:rsidP="004467D4">
      <w:pPr>
        <w:pStyle w:val="OrderBody"/>
      </w:pPr>
      <w:r>
        <w:tab/>
        <w:t>ORDERED that Order No. PSC-17-0057-PCO-EI is hereby affirmed in all other respects.</w:t>
      </w:r>
    </w:p>
    <w:p w:rsidR="004467D4" w:rsidRDefault="004467D4" w:rsidP="004467D4">
      <w:pPr>
        <w:keepNext/>
        <w:keepLines/>
        <w:ind w:firstLine="720"/>
        <w:jc w:val="both"/>
      </w:pPr>
      <w:r>
        <w:lastRenderedPageBreak/>
        <w:t xml:space="preserve">By ORDER of Commissioner Ronald A. Brisé, as Prehearing Officer, this </w:t>
      </w:r>
      <w:bookmarkStart w:id="7" w:name="replaceDate"/>
      <w:bookmarkEnd w:id="7"/>
      <w:r w:rsidR="00502B4D">
        <w:rPr>
          <w:u w:val="single"/>
        </w:rPr>
        <w:t>10th</w:t>
      </w:r>
      <w:r w:rsidR="00502B4D">
        <w:t xml:space="preserve"> day of </w:t>
      </w:r>
      <w:r w:rsidR="00502B4D">
        <w:rPr>
          <w:u w:val="single"/>
        </w:rPr>
        <w:t>July</w:t>
      </w:r>
      <w:r w:rsidR="00502B4D">
        <w:t xml:space="preserve">, </w:t>
      </w:r>
      <w:r w:rsidR="00502B4D">
        <w:rPr>
          <w:u w:val="single"/>
        </w:rPr>
        <w:t>2017</w:t>
      </w:r>
      <w:r w:rsidR="00502B4D">
        <w:t>.</w:t>
      </w:r>
    </w:p>
    <w:p w:rsidR="00502B4D" w:rsidRPr="00502B4D" w:rsidRDefault="00502B4D" w:rsidP="004467D4">
      <w:pPr>
        <w:keepNext/>
        <w:keepLines/>
        <w:ind w:firstLine="720"/>
        <w:jc w:val="both"/>
      </w:pPr>
    </w:p>
    <w:p w:rsidR="004467D4" w:rsidRDefault="004467D4" w:rsidP="004467D4">
      <w:pPr>
        <w:keepNext/>
        <w:keepLines/>
        <w:ind w:firstLine="720"/>
        <w:jc w:val="both"/>
      </w:pPr>
    </w:p>
    <w:p w:rsidR="004467D4" w:rsidRDefault="004467D4" w:rsidP="004467D4">
      <w:pPr>
        <w:keepNext/>
        <w:keepLines/>
        <w:ind w:firstLine="720"/>
        <w:jc w:val="both"/>
      </w:pPr>
    </w:p>
    <w:p w:rsidR="004467D4" w:rsidRDefault="004467D4" w:rsidP="004467D4">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4467D4" w:rsidTr="004467D4">
        <w:tc>
          <w:tcPr>
            <w:tcW w:w="720" w:type="dxa"/>
            <w:shd w:val="clear" w:color="auto" w:fill="auto"/>
          </w:tcPr>
          <w:p w:rsidR="004467D4" w:rsidRDefault="004467D4" w:rsidP="004467D4">
            <w:pPr>
              <w:keepNext/>
              <w:keepLines/>
              <w:jc w:val="both"/>
            </w:pPr>
            <w:bookmarkStart w:id="8" w:name="bkmrkSignature" w:colFirst="0" w:colLast="0"/>
          </w:p>
        </w:tc>
        <w:tc>
          <w:tcPr>
            <w:tcW w:w="4320" w:type="dxa"/>
            <w:tcBorders>
              <w:bottom w:val="single" w:sz="4" w:space="0" w:color="auto"/>
            </w:tcBorders>
            <w:shd w:val="clear" w:color="auto" w:fill="auto"/>
          </w:tcPr>
          <w:p w:rsidR="004467D4" w:rsidRDefault="00502B4D" w:rsidP="004467D4">
            <w:pPr>
              <w:keepNext/>
              <w:keepLines/>
              <w:jc w:val="both"/>
            </w:pPr>
            <w:r>
              <w:t>/s/ Ronald A. Brisé</w:t>
            </w:r>
          </w:p>
        </w:tc>
      </w:tr>
      <w:bookmarkEnd w:id="8"/>
      <w:tr w:rsidR="004467D4" w:rsidTr="004467D4">
        <w:tc>
          <w:tcPr>
            <w:tcW w:w="720" w:type="dxa"/>
            <w:shd w:val="clear" w:color="auto" w:fill="auto"/>
          </w:tcPr>
          <w:p w:rsidR="004467D4" w:rsidRDefault="004467D4" w:rsidP="004467D4">
            <w:pPr>
              <w:keepNext/>
              <w:keepLines/>
              <w:jc w:val="both"/>
            </w:pPr>
          </w:p>
        </w:tc>
        <w:tc>
          <w:tcPr>
            <w:tcW w:w="4320" w:type="dxa"/>
            <w:tcBorders>
              <w:top w:val="single" w:sz="4" w:space="0" w:color="auto"/>
            </w:tcBorders>
            <w:shd w:val="clear" w:color="auto" w:fill="auto"/>
          </w:tcPr>
          <w:p w:rsidR="004467D4" w:rsidRDefault="004467D4" w:rsidP="004467D4">
            <w:pPr>
              <w:keepNext/>
              <w:keepLines/>
              <w:jc w:val="both"/>
            </w:pPr>
            <w:r>
              <w:t>RONALD A. BRISÉ</w:t>
            </w:r>
          </w:p>
          <w:p w:rsidR="004467D4" w:rsidRDefault="004467D4" w:rsidP="004467D4">
            <w:pPr>
              <w:keepNext/>
              <w:keepLines/>
              <w:jc w:val="both"/>
            </w:pPr>
            <w:r>
              <w:t>Commissioner and Prehearing Officer</w:t>
            </w:r>
          </w:p>
        </w:tc>
      </w:tr>
    </w:tbl>
    <w:p w:rsidR="004467D4" w:rsidRDefault="004467D4" w:rsidP="004467D4">
      <w:pPr>
        <w:pStyle w:val="OrderSigInfo"/>
        <w:keepNext/>
        <w:keepLines/>
      </w:pPr>
      <w:r>
        <w:t>Florida Public Service Commission</w:t>
      </w:r>
    </w:p>
    <w:p w:rsidR="004467D4" w:rsidRDefault="004467D4" w:rsidP="004467D4">
      <w:pPr>
        <w:pStyle w:val="OrderSigInfo"/>
        <w:keepNext/>
        <w:keepLines/>
      </w:pPr>
      <w:r>
        <w:t>2540 Shumard Oak Boulevard</w:t>
      </w:r>
    </w:p>
    <w:p w:rsidR="004467D4" w:rsidRDefault="004467D4" w:rsidP="004467D4">
      <w:pPr>
        <w:pStyle w:val="OrderSigInfo"/>
        <w:keepNext/>
        <w:keepLines/>
      </w:pPr>
      <w:r>
        <w:t>Tallahassee, Florida  32399</w:t>
      </w:r>
    </w:p>
    <w:p w:rsidR="004467D4" w:rsidRDefault="004467D4" w:rsidP="004467D4">
      <w:pPr>
        <w:pStyle w:val="OrderSigInfo"/>
        <w:keepNext/>
        <w:keepLines/>
      </w:pPr>
      <w:r>
        <w:t>(850) 413</w:t>
      </w:r>
      <w:r>
        <w:noBreakHyphen/>
        <w:t>6770</w:t>
      </w:r>
    </w:p>
    <w:p w:rsidR="004467D4" w:rsidRDefault="004467D4" w:rsidP="004467D4">
      <w:pPr>
        <w:pStyle w:val="OrderSigInfo"/>
        <w:keepNext/>
        <w:keepLines/>
      </w:pPr>
      <w:r>
        <w:t>www.floridapsc.com</w:t>
      </w:r>
    </w:p>
    <w:p w:rsidR="004467D4" w:rsidRDefault="004467D4" w:rsidP="004467D4">
      <w:pPr>
        <w:pStyle w:val="OrderSigInfo"/>
        <w:keepNext/>
        <w:keepLines/>
      </w:pPr>
    </w:p>
    <w:p w:rsidR="004467D4" w:rsidRDefault="004467D4" w:rsidP="004467D4">
      <w:pPr>
        <w:pStyle w:val="OrderSigInfo"/>
        <w:keepNext/>
        <w:keepLines/>
      </w:pPr>
      <w:r>
        <w:t>Copies furnished:  A copy of this document is provided to the parties of record at the time of issuance and, if applicable, interested persons.</w:t>
      </w:r>
    </w:p>
    <w:p w:rsidR="00D2767B" w:rsidRDefault="00D2767B" w:rsidP="004467D4">
      <w:pPr>
        <w:jc w:val="both"/>
      </w:pPr>
    </w:p>
    <w:p w:rsidR="00D2767B" w:rsidRDefault="00D2767B" w:rsidP="004467D4">
      <w:pPr>
        <w:jc w:val="both"/>
      </w:pPr>
    </w:p>
    <w:p w:rsidR="00D57E57" w:rsidRDefault="004467D4" w:rsidP="004467D4">
      <w:pPr>
        <w:jc w:val="both"/>
      </w:pPr>
      <w:r>
        <w:t>KRM</w:t>
      </w:r>
    </w:p>
    <w:p w:rsidR="004467D4" w:rsidRDefault="004467D4" w:rsidP="004467D4">
      <w:pPr>
        <w:jc w:val="both"/>
      </w:pPr>
    </w:p>
    <w:p w:rsidR="004467D4" w:rsidRDefault="004467D4" w:rsidP="004467D4">
      <w:pPr>
        <w:pStyle w:val="CenterUnderline"/>
      </w:pPr>
      <w:r>
        <w:t>NOTICE OF FURTHER PROCEEDINGS OR JUDICIAL REVIEW</w:t>
      </w:r>
    </w:p>
    <w:p w:rsidR="004467D4" w:rsidRDefault="004467D4" w:rsidP="004467D4">
      <w:pPr>
        <w:pStyle w:val="CenterUnderline"/>
      </w:pPr>
    </w:p>
    <w:p w:rsidR="004467D4" w:rsidRDefault="004467D4" w:rsidP="004467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67D4" w:rsidRDefault="004467D4" w:rsidP="004467D4">
      <w:pPr>
        <w:pStyle w:val="OrderBody"/>
      </w:pPr>
    </w:p>
    <w:p w:rsidR="004467D4" w:rsidRDefault="004467D4" w:rsidP="004467D4">
      <w:pPr>
        <w:pStyle w:val="OrderBody"/>
      </w:pPr>
      <w:r>
        <w:tab/>
        <w:t>Mediation may be available on a case-by-case basis.  If mediation is conducted, it does not affect a substantially interested person's right to a hearing.</w:t>
      </w:r>
    </w:p>
    <w:p w:rsidR="004467D4" w:rsidRDefault="004467D4" w:rsidP="004467D4">
      <w:pPr>
        <w:pStyle w:val="OrderBody"/>
      </w:pPr>
    </w:p>
    <w:p w:rsidR="004467D4" w:rsidRDefault="004467D4" w:rsidP="004467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467D4" w:rsidRDefault="004467D4" w:rsidP="004467D4">
      <w:pPr>
        <w:pStyle w:val="OrderBody"/>
      </w:pPr>
    </w:p>
    <w:p w:rsidR="004467D4" w:rsidRPr="004467D4" w:rsidRDefault="004467D4" w:rsidP="004467D4">
      <w:pPr>
        <w:pStyle w:val="OrderBody"/>
      </w:pPr>
    </w:p>
    <w:sectPr w:rsidR="004467D4" w:rsidRPr="004467D4" w:rsidSect="00590C50">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D4" w:rsidRDefault="004467D4">
      <w:r>
        <w:separator/>
      </w:r>
    </w:p>
  </w:endnote>
  <w:endnote w:type="continuationSeparator" w:id="0">
    <w:p w:rsidR="004467D4" w:rsidRDefault="004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D4" w:rsidRDefault="004467D4">
      <w:r>
        <w:separator/>
      </w:r>
    </w:p>
  </w:footnote>
  <w:footnote w:type="continuationSeparator" w:id="0">
    <w:p w:rsidR="004467D4" w:rsidRDefault="004467D4">
      <w:r>
        <w:continuationSeparator/>
      </w:r>
    </w:p>
  </w:footnote>
  <w:footnote w:id="1">
    <w:p w:rsidR="004467D4" w:rsidRDefault="004467D4" w:rsidP="004467D4">
      <w:pPr>
        <w:pStyle w:val="FootnoteText"/>
      </w:pPr>
      <w:r>
        <w:rPr>
          <w:rStyle w:val="FootnoteReference"/>
        </w:rPr>
        <w:footnoteRef/>
      </w:r>
      <w:r>
        <w:t xml:space="preserve"> Document No. 05380-</w:t>
      </w:r>
      <w:r w:rsidR="00B476AB">
        <w:t>20</w:t>
      </w:r>
      <w:r>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94590">
      <w:fldChar w:fldCharType="begin"/>
    </w:r>
    <w:r w:rsidR="00794590">
      <w:instrText xml:space="preserve"> REF OrderNo0260 </w:instrText>
    </w:r>
    <w:r w:rsidR="00794590">
      <w:fldChar w:fldCharType="separate"/>
    </w:r>
    <w:r w:rsidR="00794590">
      <w:t>PSC-2017-0260-PCO-EI</w:t>
    </w:r>
    <w:r w:rsidR="00794590">
      <w:fldChar w:fldCharType="end"/>
    </w:r>
  </w:p>
  <w:p w:rsidR="00FA6EFD" w:rsidRDefault="004467D4">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459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4467D4"/>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759C2"/>
    <w:rsid w:val="00390DD8"/>
    <w:rsid w:val="00394DC6"/>
    <w:rsid w:val="00397C3E"/>
    <w:rsid w:val="003D4CCA"/>
    <w:rsid w:val="003D52A6"/>
    <w:rsid w:val="003D6416"/>
    <w:rsid w:val="003E1D48"/>
    <w:rsid w:val="00411DF2"/>
    <w:rsid w:val="0042527B"/>
    <w:rsid w:val="004467D4"/>
    <w:rsid w:val="00457DC7"/>
    <w:rsid w:val="00472BCC"/>
    <w:rsid w:val="004A25CD"/>
    <w:rsid w:val="004A26CC"/>
    <w:rsid w:val="004B2108"/>
    <w:rsid w:val="004B3A2B"/>
    <w:rsid w:val="004B70D3"/>
    <w:rsid w:val="004C312D"/>
    <w:rsid w:val="004D2D1B"/>
    <w:rsid w:val="004D5067"/>
    <w:rsid w:val="004E469D"/>
    <w:rsid w:val="004F2DDE"/>
    <w:rsid w:val="0050097F"/>
    <w:rsid w:val="00502B4D"/>
    <w:rsid w:val="00514B1F"/>
    <w:rsid w:val="00525E93"/>
    <w:rsid w:val="0052671D"/>
    <w:rsid w:val="005269B5"/>
    <w:rsid w:val="00556A10"/>
    <w:rsid w:val="00590845"/>
    <w:rsid w:val="00590C5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07BF"/>
    <w:rsid w:val="00792383"/>
    <w:rsid w:val="00794590"/>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0D63"/>
    <w:rsid w:val="008C21C8"/>
    <w:rsid w:val="008C6375"/>
    <w:rsid w:val="008C6A5B"/>
    <w:rsid w:val="008E26A5"/>
    <w:rsid w:val="008E42D2"/>
    <w:rsid w:val="009040EE"/>
    <w:rsid w:val="009057FD"/>
    <w:rsid w:val="00906FBA"/>
    <w:rsid w:val="009228C7"/>
    <w:rsid w:val="00922A7F"/>
    <w:rsid w:val="00923A5E"/>
    <w:rsid w:val="00931C8C"/>
    <w:rsid w:val="009322A5"/>
    <w:rsid w:val="0094504B"/>
    <w:rsid w:val="009924CF"/>
    <w:rsid w:val="00994100"/>
    <w:rsid w:val="009D4C29"/>
    <w:rsid w:val="00A00D8D"/>
    <w:rsid w:val="00A62DAB"/>
    <w:rsid w:val="00A726A6"/>
    <w:rsid w:val="00A97535"/>
    <w:rsid w:val="00AA17D4"/>
    <w:rsid w:val="00AA73F1"/>
    <w:rsid w:val="00AB0E1A"/>
    <w:rsid w:val="00AB1A30"/>
    <w:rsid w:val="00AD1ED3"/>
    <w:rsid w:val="00B0777D"/>
    <w:rsid w:val="00B209C7"/>
    <w:rsid w:val="00B4057A"/>
    <w:rsid w:val="00B40894"/>
    <w:rsid w:val="00B45E75"/>
    <w:rsid w:val="00B476AB"/>
    <w:rsid w:val="00B50876"/>
    <w:rsid w:val="00B55EE5"/>
    <w:rsid w:val="00B71D1F"/>
    <w:rsid w:val="00B73DE6"/>
    <w:rsid w:val="00B86EF0"/>
    <w:rsid w:val="00B96969"/>
    <w:rsid w:val="00B97900"/>
    <w:rsid w:val="00BA1229"/>
    <w:rsid w:val="00BA44A8"/>
    <w:rsid w:val="00BF6691"/>
    <w:rsid w:val="00C028FC"/>
    <w:rsid w:val="00C14F66"/>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2767B"/>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90C50"/>
    <w:rPr>
      <w:rFonts w:ascii="Tahoma" w:hAnsi="Tahoma" w:cs="Tahoma"/>
      <w:sz w:val="16"/>
      <w:szCs w:val="16"/>
    </w:rPr>
  </w:style>
  <w:style w:type="character" w:customStyle="1" w:styleId="BalloonTextChar">
    <w:name w:val="Balloon Text Char"/>
    <w:basedOn w:val="DefaultParagraphFont"/>
    <w:link w:val="BalloonText"/>
    <w:rsid w:val="00590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90C50"/>
    <w:rPr>
      <w:rFonts w:ascii="Tahoma" w:hAnsi="Tahoma" w:cs="Tahoma"/>
      <w:sz w:val="16"/>
      <w:szCs w:val="16"/>
    </w:rPr>
  </w:style>
  <w:style w:type="character" w:customStyle="1" w:styleId="BalloonTextChar">
    <w:name w:val="Balloon Text Char"/>
    <w:basedOn w:val="DefaultParagraphFont"/>
    <w:link w:val="BalloonText"/>
    <w:rsid w:val="00590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1050</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2017-07-10T15:26:00Z</dcterms:created>
  <dcterms:modified xsi:type="dcterms:W3CDTF">2017-07-10T15:48:00Z</dcterms:modified>
</cp:coreProperties>
</file>