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712284" w:rsidP="00712284">
      <w:pPr>
        <w:pStyle w:val="OrderHeading"/>
      </w:pPr>
      <w:r>
        <w:t>BEFORE THE FLORIDA PUBLIC SERVICE COMMISSION</w:t>
      </w:r>
    </w:p>
    <w:p w:rsidR="00712284" w:rsidRDefault="00712284" w:rsidP="00712284">
      <w:pPr>
        <w:pStyle w:val="OrderHeading"/>
      </w:pPr>
    </w:p>
    <w:p w:rsidR="00712284" w:rsidRDefault="00712284" w:rsidP="00712284">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712284" w:rsidRPr="00C63FCF" w:rsidTr="00C63FCF">
        <w:trPr>
          <w:trHeight w:val="828"/>
        </w:trPr>
        <w:tc>
          <w:tcPr>
            <w:tcW w:w="4788" w:type="dxa"/>
            <w:tcBorders>
              <w:bottom w:val="nil"/>
              <w:right w:val="double" w:sz="6" w:space="0" w:color="auto"/>
            </w:tcBorders>
            <w:shd w:val="clear" w:color="auto" w:fill="auto"/>
          </w:tcPr>
          <w:p w:rsidR="00712284" w:rsidRDefault="00712284" w:rsidP="00C63FCF">
            <w:pPr>
              <w:pStyle w:val="OrderBody"/>
              <w:tabs>
                <w:tab w:val="center" w:pos="4320"/>
                <w:tab w:val="right" w:pos="8640"/>
              </w:tabs>
              <w:jc w:val="left"/>
            </w:pPr>
            <w:r>
              <w:t xml:space="preserve">In re: </w:t>
            </w:r>
            <w:bookmarkStart w:id="0" w:name="SMInRe"/>
            <w:bookmarkEnd w:id="0"/>
            <w:r>
              <w:t>Petition for limited proceeding to approve 2017 amended and restated stipulation and settlement agreement, by Tampa Electric Company.</w:t>
            </w:r>
          </w:p>
          <w:p w:rsidR="00712284" w:rsidRDefault="00712284" w:rsidP="00C63FCF">
            <w:pPr>
              <w:pStyle w:val="OrderBody"/>
              <w:tabs>
                <w:tab w:val="center" w:pos="4320"/>
                <w:tab w:val="right" w:pos="8640"/>
              </w:tabs>
              <w:jc w:val="left"/>
            </w:pPr>
          </w:p>
        </w:tc>
        <w:tc>
          <w:tcPr>
            <w:tcW w:w="4788" w:type="dxa"/>
            <w:tcBorders>
              <w:left w:val="double" w:sz="6" w:space="0" w:color="auto"/>
              <w:bottom w:val="nil"/>
            </w:tcBorders>
            <w:shd w:val="clear" w:color="auto" w:fill="auto"/>
          </w:tcPr>
          <w:p w:rsidR="00712284" w:rsidRDefault="00712284" w:rsidP="00C63FCF">
            <w:pPr>
              <w:pStyle w:val="OrderBody"/>
              <w:tabs>
                <w:tab w:val="center" w:pos="4320"/>
                <w:tab w:val="right" w:pos="8640"/>
              </w:tabs>
              <w:jc w:val="left"/>
            </w:pPr>
            <w:r>
              <w:t xml:space="preserve">DOCKET NO. </w:t>
            </w:r>
            <w:bookmarkStart w:id="1" w:name="SMDocketNo"/>
            <w:bookmarkEnd w:id="1"/>
            <w:r>
              <w:t>20170210-EI</w:t>
            </w:r>
          </w:p>
        </w:tc>
      </w:tr>
      <w:tr w:rsidR="00712284" w:rsidRPr="00C63FCF" w:rsidTr="00C63FCF">
        <w:trPr>
          <w:trHeight w:val="828"/>
        </w:trPr>
        <w:tc>
          <w:tcPr>
            <w:tcW w:w="4788" w:type="dxa"/>
            <w:tcBorders>
              <w:top w:val="nil"/>
              <w:bottom w:val="single" w:sz="8" w:space="0" w:color="auto"/>
              <w:right w:val="double" w:sz="6" w:space="0" w:color="auto"/>
            </w:tcBorders>
            <w:shd w:val="clear" w:color="auto" w:fill="auto"/>
          </w:tcPr>
          <w:p w:rsidR="00712284" w:rsidRDefault="00712284" w:rsidP="00C63FCF">
            <w:pPr>
              <w:pStyle w:val="OrderBody"/>
              <w:tabs>
                <w:tab w:val="center" w:pos="4320"/>
                <w:tab w:val="right" w:pos="8640"/>
              </w:tabs>
              <w:jc w:val="left"/>
            </w:pPr>
            <w:r>
              <w:t>In re: Petition for approval of energy transaction optimization mechanism, by Tampa Electric Company.</w:t>
            </w:r>
          </w:p>
        </w:tc>
        <w:tc>
          <w:tcPr>
            <w:tcW w:w="4788" w:type="dxa"/>
            <w:tcBorders>
              <w:left w:val="double" w:sz="6" w:space="0" w:color="auto"/>
            </w:tcBorders>
            <w:shd w:val="clear" w:color="auto" w:fill="auto"/>
          </w:tcPr>
          <w:p w:rsidR="00712284" w:rsidRDefault="00712284" w:rsidP="00712284">
            <w:pPr>
              <w:pStyle w:val="OrderBody"/>
            </w:pPr>
            <w:r>
              <w:t xml:space="preserve">DOCKET NO. </w:t>
            </w:r>
            <w:bookmarkStart w:id="2" w:name="SMDocketNo2"/>
            <w:bookmarkEnd w:id="2"/>
            <w:r>
              <w:t>20160160-EI</w:t>
            </w:r>
          </w:p>
          <w:p w:rsidR="00712284" w:rsidRDefault="00712284" w:rsidP="00C63FCF">
            <w:pPr>
              <w:pStyle w:val="OrderBody"/>
              <w:tabs>
                <w:tab w:val="center" w:pos="4320"/>
                <w:tab w:val="right" w:pos="8640"/>
              </w:tabs>
              <w:jc w:val="left"/>
            </w:pPr>
            <w:r>
              <w:t xml:space="preserve">ORDER NO. </w:t>
            </w:r>
            <w:bookmarkStart w:id="3" w:name="OrderNo0456"/>
            <w:r w:rsidR="00797B72">
              <w:t>PSC-2017-0456-</w:t>
            </w:r>
            <w:r w:rsidR="00796516">
              <w:t>S</w:t>
            </w:r>
            <w:r w:rsidR="00066595">
              <w:t>-EI</w:t>
            </w:r>
            <w:bookmarkEnd w:id="3"/>
          </w:p>
          <w:p w:rsidR="00712284" w:rsidRDefault="00712284" w:rsidP="00C63FCF">
            <w:pPr>
              <w:pStyle w:val="OrderBody"/>
              <w:tabs>
                <w:tab w:val="center" w:pos="4320"/>
                <w:tab w:val="right" w:pos="8640"/>
              </w:tabs>
              <w:jc w:val="left"/>
            </w:pPr>
            <w:r>
              <w:t xml:space="preserve">ISSUED: </w:t>
            </w:r>
            <w:r w:rsidR="00066595">
              <w:t>November 27, 2017</w:t>
            </w:r>
          </w:p>
          <w:p w:rsidR="00712284" w:rsidRDefault="00712284" w:rsidP="00C63FCF">
            <w:pPr>
              <w:pStyle w:val="OrderBody"/>
              <w:tabs>
                <w:tab w:val="center" w:pos="4320"/>
                <w:tab w:val="right" w:pos="8640"/>
              </w:tabs>
              <w:jc w:val="left"/>
            </w:pPr>
          </w:p>
        </w:tc>
      </w:tr>
    </w:tbl>
    <w:p w:rsidR="00712284" w:rsidRDefault="00712284" w:rsidP="00712284"/>
    <w:p w:rsidR="00712284" w:rsidRDefault="00712284">
      <w:pPr>
        <w:ind w:firstLine="720"/>
        <w:jc w:val="both"/>
      </w:pPr>
      <w:bookmarkStart w:id="4" w:name="Commissioners"/>
      <w:bookmarkEnd w:id="4"/>
      <w:r>
        <w:t>The following Commissioners participated in the disposition of this matter:</w:t>
      </w:r>
    </w:p>
    <w:p w:rsidR="00712284" w:rsidRDefault="00712284"/>
    <w:p w:rsidR="00712284" w:rsidRDefault="00712284">
      <w:pPr>
        <w:jc w:val="center"/>
      </w:pPr>
      <w:r>
        <w:t>JULIE I. BROWN, Chairman</w:t>
      </w:r>
    </w:p>
    <w:p w:rsidR="00712284" w:rsidRDefault="00712284">
      <w:pPr>
        <w:jc w:val="center"/>
      </w:pPr>
      <w:r>
        <w:t>ART GRAHAM</w:t>
      </w:r>
    </w:p>
    <w:p w:rsidR="00712284" w:rsidRDefault="00712284">
      <w:pPr>
        <w:jc w:val="center"/>
      </w:pPr>
      <w:r>
        <w:t>RONALD A. BRISÉ</w:t>
      </w:r>
    </w:p>
    <w:p w:rsidR="00712284" w:rsidRDefault="00712284">
      <w:pPr>
        <w:jc w:val="center"/>
      </w:pPr>
      <w:r>
        <w:t>DONALD J. POLMANN</w:t>
      </w:r>
    </w:p>
    <w:p w:rsidR="00712284" w:rsidRDefault="00712284">
      <w:pPr>
        <w:jc w:val="center"/>
      </w:pPr>
      <w:r>
        <w:t>GARY F. CLARK</w:t>
      </w:r>
    </w:p>
    <w:p w:rsidR="00472E05" w:rsidRDefault="00472E05" w:rsidP="00472E05">
      <w:pPr>
        <w:pStyle w:val="OrderBody"/>
      </w:pPr>
      <w:r>
        <w:t>APPEARANCES:</w:t>
      </w:r>
    </w:p>
    <w:p w:rsidR="00472E05" w:rsidRPr="00701945" w:rsidRDefault="00472E05" w:rsidP="00472E05">
      <w:pPr>
        <w:jc w:val="both"/>
      </w:pPr>
    </w:p>
    <w:p w:rsidR="00472E05" w:rsidRDefault="00472325" w:rsidP="00472E05">
      <w:pPr>
        <w:ind w:left="1440"/>
        <w:jc w:val="both"/>
      </w:pPr>
      <w:r>
        <w:t xml:space="preserve">JAMES </w:t>
      </w:r>
      <w:r w:rsidR="006D34D2">
        <w:t xml:space="preserve">D. </w:t>
      </w:r>
      <w:r>
        <w:t xml:space="preserve">BEASLEY and JEFFRY WAHLEN, ESQUIRES, </w:t>
      </w:r>
      <w:r w:rsidR="00F42E9E">
        <w:t>Ausley McMullen Law Firm,</w:t>
      </w:r>
      <w:r w:rsidR="006D34D2">
        <w:t xml:space="preserve"> P.O. Box 391, Tallahassee, Florida 32302 </w:t>
      </w:r>
      <w:r w:rsidR="00F42E9E">
        <w:t xml:space="preserve">   </w:t>
      </w:r>
    </w:p>
    <w:p w:rsidR="00472E05" w:rsidRPr="00503582" w:rsidRDefault="00472E05" w:rsidP="00472E05">
      <w:pPr>
        <w:ind w:left="720" w:firstLine="720"/>
        <w:jc w:val="both"/>
      </w:pPr>
      <w:r w:rsidRPr="00503582">
        <w:rPr>
          <w:u w:val="single"/>
        </w:rPr>
        <w:t>On beh</w:t>
      </w:r>
      <w:r>
        <w:rPr>
          <w:u w:val="single"/>
        </w:rPr>
        <w:t xml:space="preserve">alf of </w:t>
      </w:r>
      <w:r w:rsidR="009405D6">
        <w:rPr>
          <w:u w:val="single"/>
        </w:rPr>
        <w:t>Tampa Electric Company (TECO)</w:t>
      </w:r>
      <w:r>
        <w:rPr>
          <w:u w:val="single"/>
        </w:rPr>
        <w:t>.</w:t>
      </w:r>
    </w:p>
    <w:p w:rsidR="00472E05" w:rsidRPr="00701945" w:rsidRDefault="00472E05" w:rsidP="00472E05">
      <w:pPr>
        <w:jc w:val="both"/>
      </w:pPr>
    </w:p>
    <w:p w:rsidR="00472E05" w:rsidRPr="00503582" w:rsidRDefault="00472E05" w:rsidP="00472E05">
      <w:pPr>
        <w:ind w:left="1440"/>
        <w:jc w:val="both"/>
      </w:pPr>
      <w:r w:rsidRPr="00503582">
        <w:rPr>
          <w:rFonts w:cs="Arial"/>
          <w:spacing w:val="-3"/>
        </w:rPr>
        <w:t>J.R. KELLY,</w:t>
      </w:r>
      <w:r>
        <w:rPr>
          <w:rFonts w:cs="Arial"/>
          <w:spacing w:val="-3"/>
        </w:rPr>
        <w:t xml:space="preserve"> </w:t>
      </w:r>
      <w:r w:rsidR="00F42E9E">
        <w:rPr>
          <w:rFonts w:cs="Arial"/>
          <w:spacing w:val="-3"/>
        </w:rPr>
        <w:t xml:space="preserve">VIRGINIA PONDER </w:t>
      </w:r>
      <w:r>
        <w:rPr>
          <w:rFonts w:cs="Arial"/>
          <w:spacing w:val="-3"/>
        </w:rPr>
        <w:t xml:space="preserve">and </w:t>
      </w:r>
      <w:r w:rsidRPr="00503582">
        <w:t>CHARLES REHWINKEL</w:t>
      </w:r>
      <w:r>
        <w:t>,</w:t>
      </w:r>
      <w:r w:rsidRPr="00503582">
        <w:t xml:space="preserve"> ESQUIRES, Office of Public Counsel, c/o The Florida Legislature, 111 West Madison Street, Room 812, Tallahassee, Florida 32399-1400</w:t>
      </w:r>
    </w:p>
    <w:p w:rsidR="00472E05" w:rsidRDefault="00472E05" w:rsidP="00472E05">
      <w:pPr>
        <w:ind w:left="1440" w:hanging="1440"/>
        <w:jc w:val="both"/>
        <w:rPr>
          <w:u w:val="single"/>
        </w:rPr>
      </w:pPr>
      <w:r w:rsidRPr="00503582">
        <w:tab/>
      </w:r>
      <w:r w:rsidRPr="00503582">
        <w:rPr>
          <w:u w:val="single"/>
        </w:rPr>
        <w:t>On behalf of the Citizens of the State of Florida (OPC)</w:t>
      </w:r>
      <w:r>
        <w:rPr>
          <w:u w:val="single"/>
        </w:rPr>
        <w:t>.</w:t>
      </w:r>
    </w:p>
    <w:p w:rsidR="00472E05" w:rsidRPr="00503582" w:rsidRDefault="00472E05" w:rsidP="00472E05">
      <w:pPr>
        <w:ind w:left="1440" w:hanging="1440"/>
        <w:jc w:val="both"/>
      </w:pPr>
    </w:p>
    <w:p w:rsidR="00472E05" w:rsidRPr="00503582" w:rsidRDefault="00472E05" w:rsidP="00472E05">
      <w:pPr>
        <w:ind w:left="1440" w:hanging="1440"/>
        <w:jc w:val="both"/>
        <w:rPr>
          <w:bCs/>
        </w:rPr>
      </w:pPr>
      <w:r w:rsidRPr="00503582">
        <w:rPr>
          <w:rFonts w:cs="Arial"/>
          <w:spacing w:val="-3"/>
        </w:rPr>
        <w:tab/>
      </w:r>
      <w:r w:rsidR="00F42E9E">
        <w:rPr>
          <w:rFonts w:cs="Arial"/>
          <w:spacing w:val="-3"/>
        </w:rPr>
        <w:t xml:space="preserve">KAREN PUTNAL </w:t>
      </w:r>
      <w:r w:rsidR="006D34D2">
        <w:rPr>
          <w:rFonts w:cs="Arial"/>
          <w:spacing w:val="-3"/>
        </w:rPr>
        <w:t xml:space="preserve">and JON MOYLE, </w:t>
      </w:r>
      <w:r w:rsidR="00472325">
        <w:rPr>
          <w:rFonts w:cs="Arial"/>
          <w:spacing w:val="-3"/>
        </w:rPr>
        <w:t>ESQU</w:t>
      </w:r>
      <w:r>
        <w:rPr>
          <w:bCs/>
        </w:rPr>
        <w:t>IRE</w:t>
      </w:r>
      <w:r w:rsidR="00F42E9E">
        <w:rPr>
          <w:bCs/>
        </w:rPr>
        <w:t>S</w:t>
      </w:r>
      <w:r w:rsidRPr="00503582">
        <w:rPr>
          <w:bCs/>
        </w:rPr>
        <w:t>, Moyle Law Firm, PA, The Perkins House, 118 North Gadsden Street, Tallahassee, Florida 32301</w:t>
      </w:r>
    </w:p>
    <w:p w:rsidR="00472E05" w:rsidRPr="00503582" w:rsidRDefault="00472E05" w:rsidP="00472E05">
      <w:pPr>
        <w:ind w:left="1440" w:hanging="1440"/>
        <w:jc w:val="both"/>
        <w:rPr>
          <w:u w:val="single"/>
        </w:rPr>
      </w:pPr>
      <w:r w:rsidRPr="00503582">
        <w:rPr>
          <w:bCs/>
        </w:rPr>
        <w:tab/>
      </w:r>
      <w:r w:rsidRPr="00503582">
        <w:rPr>
          <w:bCs/>
          <w:u w:val="single"/>
        </w:rPr>
        <w:t>On behalf of the Florida Industrial Power Users Group (FIPUG)</w:t>
      </w:r>
      <w:r>
        <w:rPr>
          <w:bCs/>
          <w:u w:val="single"/>
        </w:rPr>
        <w:t>.</w:t>
      </w:r>
    </w:p>
    <w:p w:rsidR="00472E05" w:rsidRPr="00701945" w:rsidRDefault="00472E05" w:rsidP="00472E05">
      <w:pPr>
        <w:jc w:val="both"/>
      </w:pPr>
    </w:p>
    <w:p w:rsidR="00472E05" w:rsidRPr="00B44013" w:rsidRDefault="00472E05" w:rsidP="00472E05">
      <w:pPr>
        <w:ind w:left="1440" w:hanging="1440"/>
        <w:jc w:val="both"/>
      </w:pPr>
      <w:r w:rsidRPr="00503582">
        <w:tab/>
      </w:r>
      <w:r w:rsidRPr="00B44013">
        <w:t>R</w:t>
      </w:r>
      <w:r w:rsidRPr="00B44013">
        <w:rPr>
          <w:caps/>
        </w:rPr>
        <w:t xml:space="preserve">obert Scheffel Wright </w:t>
      </w:r>
      <w:r w:rsidRPr="00B44013">
        <w:t>and</w:t>
      </w:r>
      <w:r w:rsidRPr="00B44013">
        <w:rPr>
          <w:caps/>
        </w:rPr>
        <w:t xml:space="preserve"> </w:t>
      </w:r>
      <w:r w:rsidRPr="00D16AA1">
        <w:rPr>
          <w:caps/>
        </w:rPr>
        <w:t xml:space="preserve">John </w:t>
      </w:r>
      <w:r w:rsidRPr="00B44013">
        <w:rPr>
          <w:caps/>
        </w:rPr>
        <w:t xml:space="preserve">T. LaVia, III, ESQUIRES, </w:t>
      </w:r>
      <w:r w:rsidRPr="00B44013">
        <w:t>Gardner, Bist, Bowden, Bush, Dee, LaVia &amp; Wright, P.A., 1300 Thomaswood Drive, Tallahassee, Florida 32308</w:t>
      </w:r>
    </w:p>
    <w:p w:rsidR="00472E05" w:rsidRPr="00503582" w:rsidRDefault="00472E05" w:rsidP="00472E05">
      <w:pPr>
        <w:ind w:left="1440" w:hanging="1440"/>
        <w:jc w:val="both"/>
        <w:rPr>
          <w:u w:val="single"/>
        </w:rPr>
      </w:pPr>
      <w:r w:rsidRPr="00B44013">
        <w:tab/>
      </w:r>
      <w:r w:rsidRPr="00B44013">
        <w:rPr>
          <w:u w:val="single"/>
        </w:rPr>
        <w:t>On behalf of the Florida Retail Federation (FRF)</w:t>
      </w:r>
      <w:r>
        <w:rPr>
          <w:u w:val="single"/>
        </w:rPr>
        <w:t>.</w:t>
      </w:r>
    </w:p>
    <w:p w:rsidR="00472E05" w:rsidRPr="00503582" w:rsidRDefault="00472E05" w:rsidP="00472E05">
      <w:pPr>
        <w:ind w:left="1440" w:hanging="1440"/>
        <w:jc w:val="both"/>
        <w:rPr>
          <w:u w:val="single"/>
        </w:rPr>
      </w:pPr>
    </w:p>
    <w:p w:rsidR="00472E05" w:rsidRPr="00503582" w:rsidRDefault="00472E05" w:rsidP="00472E05">
      <w:pPr>
        <w:ind w:left="1440"/>
        <w:jc w:val="both"/>
      </w:pPr>
      <w:r>
        <w:t>SUZANNE BROWNLESS</w:t>
      </w:r>
      <w:r w:rsidRPr="00503582">
        <w:t>, ESQUIRE, Florida Public Service Commission, 2540 Shumard Oak Boulevard, Tallahassee, Florida 32399-0850</w:t>
      </w:r>
    </w:p>
    <w:p w:rsidR="00472E05" w:rsidRPr="00503582" w:rsidRDefault="00472E05" w:rsidP="00472E05">
      <w:pPr>
        <w:ind w:left="720" w:firstLine="720"/>
        <w:jc w:val="both"/>
      </w:pPr>
      <w:r w:rsidRPr="00503582">
        <w:rPr>
          <w:u w:val="single"/>
        </w:rPr>
        <w:t>On behalf of the Florida Public Service Commission (Staff)</w:t>
      </w:r>
      <w:r>
        <w:rPr>
          <w:u w:val="single"/>
        </w:rPr>
        <w:t>.</w:t>
      </w:r>
    </w:p>
    <w:p w:rsidR="00472E05" w:rsidRPr="00701945" w:rsidRDefault="00472E05" w:rsidP="00472E05">
      <w:pPr>
        <w:jc w:val="center"/>
        <w:rPr>
          <w:b/>
          <w:bCs/>
          <w:u w:val="single"/>
        </w:rPr>
      </w:pPr>
    </w:p>
    <w:p w:rsidR="00472E05" w:rsidRPr="00701945" w:rsidRDefault="00472E05" w:rsidP="00472E05">
      <w:pPr>
        <w:ind w:left="1440"/>
        <w:jc w:val="both"/>
      </w:pPr>
      <w:r>
        <w:lastRenderedPageBreak/>
        <w:t>MARY ANNE HELTON, ESQUIRE, Deputy General Counsel,</w:t>
      </w:r>
      <w:r w:rsidRPr="00701945">
        <w:t xml:space="preserve"> Florida Public Service Commission, 2540 Shumard Oak Boulevard, Tallahassee, Florida 32399-0850</w:t>
      </w:r>
    </w:p>
    <w:p w:rsidR="00472E05" w:rsidRPr="00701945" w:rsidRDefault="00472E05" w:rsidP="00472E05">
      <w:pPr>
        <w:ind w:left="720" w:firstLine="720"/>
        <w:jc w:val="both"/>
      </w:pPr>
      <w:r>
        <w:rPr>
          <w:u w:val="single"/>
        </w:rPr>
        <w:t>Advisor to the</w:t>
      </w:r>
      <w:r w:rsidRPr="00701945">
        <w:rPr>
          <w:u w:val="single"/>
        </w:rPr>
        <w:t xml:space="preserve"> Florida Public Service Commission</w:t>
      </w:r>
      <w:r>
        <w:rPr>
          <w:u w:val="single"/>
        </w:rPr>
        <w:t>.</w:t>
      </w:r>
    </w:p>
    <w:p w:rsidR="00472E05" w:rsidRDefault="00472E05" w:rsidP="00472E05">
      <w:pPr>
        <w:ind w:left="1440"/>
        <w:jc w:val="both"/>
        <w:rPr>
          <w:caps/>
        </w:rPr>
      </w:pPr>
    </w:p>
    <w:p w:rsidR="00472E05" w:rsidRPr="00503582" w:rsidRDefault="00472E05" w:rsidP="00472E05">
      <w:pPr>
        <w:ind w:left="1440"/>
        <w:jc w:val="both"/>
      </w:pPr>
      <w:r w:rsidRPr="00503582">
        <w:rPr>
          <w:caps/>
        </w:rPr>
        <w:t>Keith hetrick</w:t>
      </w:r>
      <w:r w:rsidRPr="00503582">
        <w:t>, ESQUIRE, General Counsel, Florida Public Service Commission, 2540 Shumard Oak Boulevard, Tallahassee, Florida 32399-0850</w:t>
      </w:r>
    </w:p>
    <w:p w:rsidR="00472E05" w:rsidRPr="00503582" w:rsidRDefault="00472E05" w:rsidP="00472E05">
      <w:pPr>
        <w:ind w:left="720" w:firstLine="720"/>
        <w:jc w:val="both"/>
      </w:pPr>
      <w:r w:rsidRPr="00503582">
        <w:rPr>
          <w:u w:val="single"/>
        </w:rPr>
        <w:t>Florida Public Service Commission General Counsel</w:t>
      </w:r>
      <w:r>
        <w:rPr>
          <w:u w:val="single"/>
        </w:rPr>
        <w:t>.</w:t>
      </w:r>
    </w:p>
    <w:p w:rsidR="00472E05" w:rsidRDefault="00472E05"/>
    <w:p w:rsidR="00712284" w:rsidRDefault="00194FE7" w:rsidP="00712284">
      <w:pPr>
        <w:pStyle w:val="CenterUnderline"/>
      </w:pPr>
      <w:r>
        <w:t xml:space="preserve">FINAL </w:t>
      </w:r>
      <w:r w:rsidR="00712284">
        <w:t>ORDER</w:t>
      </w:r>
      <w:bookmarkStart w:id="5" w:name="OrderTitle"/>
      <w:r w:rsidR="00712284">
        <w:t xml:space="preserve"> APPROVING 2017 AMENDED AND RESTATED</w:t>
      </w:r>
    </w:p>
    <w:p w:rsidR="00712284" w:rsidRDefault="00712284" w:rsidP="00712284">
      <w:pPr>
        <w:pStyle w:val="CenterUnderline"/>
      </w:pPr>
      <w:r>
        <w:t xml:space="preserve">STIPULATION AND SETTLEMENT AGREEMENT </w:t>
      </w:r>
      <w:bookmarkEnd w:id="5"/>
    </w:p>
    <w:p w:rsidR="00712284" w:rsidRDefault="00712284" w:rsidP="00712284">
      <w:pPr>
        <w:pStyle w:val="CenterUnderline"/>
      </w:pPr>
    </w:p>
    <w:p w:rsidR="00712284" w:rsidRDefault="00712284" w:rsidP="00712284">
      <w:pPr>
        <w:pStyle w:val="OrderBody"/>
      </w:pPr>
      <w:r>
        <w:t>BY THE COMMISSION:</w:t>
      </w:r>
    </w:p>
    <w:p w:rsidR="00712284" w:rsidRPr="0039631B" w:rsidRDefault="00712284" w:rsidP="0039631B">
      <w:pPr>
        <w:jc w:val="both"/>
      </w:pPr>
    </w:p>
    <w:p w:rsidR="00712284" w:rsidRPr="0039631B" w:rsidRDefault="0039631B" w:rsidP="0039631B">
      <w:pPr>
        <w:jc w:val="center"/>
        <w:rPr>
          <w:u w:val="single"/>
        </w:rPr>
      </w:pPr>
      <w:r w:rsidRPr="0039631B">
        <w:rPr>
          <w:u w:val="single"/>
        </w:rPr>
        <w:t>BACKGROUND</w:t>
      </w:r>
    </w:p>
    <w:p w:rsidR="00712284" w:rsidRPr="0039631B" w:rsidRDefault="00712284" w:rsidP="0039631B">
      <w:pPr>
        <w:jc w:val="both"/>
      </w:pPr>
    </w:p>
    <w:p w:rsidR="0039631B" w:rsidRDefault="00712284" w:rsidP="0039631B">
      <w:pPr>
        <w:pStyle w:val="OrderBody"/>
      </w:pPr>
      <w:r w:rsidRPr="0039631B">
        <w:tab/>
      </w:r>
      <w:r w:rsidR="0039631B">
        <w:t xml:space="preserve">On September 27, 2017, Tampa Electric Company (TECO) filed a petition for limited proceeding to approve </w:t>
      </w:r>
      <w:r w:rsidR="00194FE7">
        <w:t xml:space="preserve">its </w:t>
      </w:r>
      <w:r w:rsidR="0039631B">
        <w:t>2017 amended and restated stipulation and settlement agreement (Petition).  In its Petition, TECO</w:t>
      </w:r>
      <w:r w:rsidR="00194FE7">
        <w:t xml:space="preserve"> </w:t>
      </w:r>
      <w:r w:rsidR="0039631B">
        <w:t>requested that the Florida Public Service Commission (Commission) hold a limited proceeding pursuant to Sections 366.076, 120.57(2) and 366.06(3), Florida Statutes (F.S.), and Rule 28-106.301, Florida Administrative Code (F.A.C.), to allow the Commission to review and approve the 2017 Amended and Restated Stipulation and Settlement Agreement (2017 Agreement) attached as an exhibit to the Petition.</w:t>
      </w:r>
    </w:p>
    <w:p w:rsidR="0039631B" w:rsidRDefault="0039631B" w:rsidP="0039631B">
      <w:pPr>
        <w:pStyle w:val="OrderBody"/>
      </w:pPr>
    </w:p>
    <w:p w:rsidR="006F4666" w:rsidRDefault="0039631B" w:rsidP="006F4666">
      <w:pPr>
        <w:pStyle w:val="OrderBody"/>
      </w:pPr>
      <w:r>
        <w:tab/>
        <w:t>The 2017 Agreement has been signed by TECO and the following: the Office of Public Counsel (OPC); Florida Industrial Power User’s Group (FIPUG); Florida Retail Federation (FRF); Federal Executive Agencies (FEA); and West Central Florida Hospital Utility Alliance (HUA).  TECO alleges that the 2017 Agreement amends and extends the term of its 2013 Stipulation and Settlement Agreement (2013 Agreement), which resolved all outstanding issues in its last base rate case proceeding,</w:t>
      </w:r>
      <w:r w:rsidR="00E054FB">
        <w:t xml:space="preserve"> </w:t>
      </w:r>
      <w:r>
        <w:t>approved by Order No. PSC-2013-0443-FOF-EI, issued September 30, 2013</w:t>
      </w:r>
      <w:r w:rsidR="00E054FB">
        <w:t>, in Docket No. 20130040-EI</w:t>
      </w:r>
      <w:r>
        <w:t>.</w:t>
      </w:r>
      <w:r w:rsidR="00E054FB">
        <w:t xml:space="preserve">  </w:t>
      </w:r>
      <w:r w:rsidR="00F8322F">
        <w:t>The 2017 Agreement also includes the asset optimization mechanism originally requested in Docket No. 20160160-EI</w:t>
      </w:r>
      <w:r w:rsidR="00F8322F">
        <w:rPr>
          <w:rStyle w:val="FootnoteReference"/>
        </w:rPr>
        <w:footnoteReference w:id="1"/>
      </w:r>
      <w:r w:rsidR="00F8322F">
        <w:t xml:space="preserve">, and constitutes a full resolution of all issues raised in that docket.  </w:t>
      </w:r>
      <w:r w:rsidR="006147BF">
        <w:t xml:space="preserve">TECO and all other parties to the 2017 Agreement agree that there are no disputed issues of material fact that must be resolved </w:t>
      </w:r>
      <w:r w:rsidR="00F8322F">
        <w:t xml:space="preserve">for us to grant its  </w:t>
      </w:r>
      <w:r w:rsidR="006147BF">
        <w:t>Petition and approve the 2017 Settlement Agreement.</w:t>
      </w:r>
    </w:p>
    <w:p w:rsidR="00F8322F" w:rsidRDefault="00F8322F" w:rsidP="006F4666">
      <w:pPr>
        <w:pStyle w:val="OrderBody"/>
      </w:pPr>
    </w:p>
    <w:p w:rsidR="006F4666" w:rsidRDefault="006F4666" w:rsidP="006F4666">
      <w:pPr>
        <w:pStyle w:val="OrderBody"/>
      </w:pPr>
      <w:r>
        <w:tab/>
        <w:t xml:space="preserve">Based on these representations, </w:t>
      </w:r>
      <w:r w:rsidR="00F8322F">
        <w:t xml:space="preserve">we issued </w:t>
      </w:r>
      <w:r w:rsidR="006147BF">
        <w:t>Order No. PSC-2017-0384-PCO-EI,</w:t>
      </w:r>
      <w:r w:rsidR="006D3AB8">
        <w:t xml:space="preserve"> </w:t>
      </w:r>
      <w:r w:rsidR="006147BF">
        <w:t xml:space="preserve">on October 4, 2017, </w:t>
      </w:r>
      <w:r w:rsidR="00F8322F">
        <w:t xml:space="preserve">setting the Petition for </w:t>
      </w:r>
      <w:r w:rsidR="00CD4EAB">
        <w:t xml:space="preserve">a </w:t>
      </w:r>
      <w:r w:rsidR="00F8322F">
        <w:t>final hearing</w:t>
      </w:r>
      <w:r w:rsidR="00E054FB">
        <w:t>,</w:t>
      </w:r>
      <w:r w:rsidR="00F8322F">
        <w:t xml:space="preserve"> which was held on November 6, 2017.  </w:t>
      </w:r>
      <w:r w:rsidR="006D3AB8">
        <w:t xml:space="preserve">FEA and HUA </w:t>
      </w:r>
      <w:r w:rsidR="003F65FA">
        <w:t xml:space="preserve">were excused from attending the final hearing.  </w:t>
      </w:r>
      <w:r w:rsidR="00F8322F">
        <w:t>At the final hearing</w:t>
      </w:r>
      <w:r w:rsidR="00E054FB">
        <w:t>,</w:t>
      </w:r>
      <w:r w:rsidR="00F8322F">
        <w:t xml:space="preserve"> TECO presented the testimony of four witnesses: Carlos Aldazabal, Mark Ward, James Rocha</w:t>
      </w:r>
      <w:r w:rsidR="00194FE7">
        <w:t>,</w:t>
      </w:r>
      <w:r w:rsidR="00F8322F">
        <w:t xml:space="preserve"> and Bill Ashburn</w:t>
      </w:r>
      <w:r w:rsidR="00CD4EAB">
        <w:t>.  A Comprehensive Exhibit List was admitted into the record</w:t>
      </w:r>
      <w:r w:rsidR="009D1123">
        <w:t xml:space="preserve"> as well as the exhibits </w:t>
      </w:r>
      <w:r w:rsidR="009D1123">
        <w:lastRenderedPageBreak/>
        <w:t>identified thereon</w:t>
      </w:r>
      <w:r w:rsidR="00CD4EAB">
        <w:t>.  The parties</w:t>
      </w:r>
      <w:r w:rsidR="009D1123">
        <w:t>,</w:t>
      </w:r>
      <w:r w:rsidR="00CD4EAB">
        <w:t xml:space="preserve"> supporting the 2017 Agreement</w:t>
      </w:r>
      <w:r w:rsidR="009D1123">
        <w:t>,</w:t>
      </w:r>
      <w:r w:rsidR="00CD4EAB">
        <w:t xml:space="preserve"> waived the</w:t>
      </w:r>
      <w:r w:rsidR="00194FE7">
        <w:t xml:space="preserve"> </w:t>
      </w:r>
      <w:r w:rsidR="00CD4EAB">
        <w:t xml:space="preserve">right to file post-hearing briefs, </w:t>
      </w:r>
      <w:r w:rsidR="009D1123">
        <w:t xml:space="preserve">and </w:t>
      </w:r>
      <w:r w:rsidR="00CD4EAB">
        <w:t xml:space="preserve">a bench vote was taken at the conclusion of the </w:t>
      </w:r>
      <w:r w:rsidR="00951712">
        <w:t>hearing.</w:t>
      </w:r>
      <w:r w:rsidR="00F8322F">
        <w:t xml:space="preserve">     </w:t>
      </w:r>
    </w:p>
    <w:p w:rsidR="006F4666" w:rsidRDefault="006F4666" w:rsidP="006F4666">
      <w:pPr>
        <w:pStyle w:val="OrderBody"/>
      </w:pPr>
    </w:p>
    <w:p w:rsidR="00712284" w:rsidRDefault="006F4666" w:rsidP="006F4666">
      <w:pPr>
        <w:pStyle w:val="OrderBody"/>
        <w:jc w:val="center"/>
        <w:rPr>
          <w:u w:val="single"/>
        </w:rPr>
      </w:pPr>
      <w:r w:rsidRPr="006F4666">
        <w:rPr>
          <w:u w:val="single"/>
        </w:rPr>
        <w:t>Se</w:t>
      </w:r>
      <w:r w:rsidR="00712284" w:rsidRPr="006F4666">
        <w:rPr>
          <w:u w:val="single"/>
        </w:rPr>
        <w:t>t</w:t>
      </w:r>
      <w:r w:rsidR="00712284" w:rsidRPr="003F7E45">
        <w:rPr>
          <w:u w:val="single"/>
        </w:rPr>
        <w:t>tlement Agreement</w:t>
      </w:r>
    </w:p>
    <w:p w:rsidR="00712284" w:rsidRDefault="00712284" w:rsidP="00712284">
      <w:pPr>
        <w:jc w:val="center"/>
        <w:rPr>
          <w:u w:val="single"/>
        </w:rPr>
      </w:pPr>
    </w:p>
    <w:p w:rsidR="00712284" w:rsidRDefault="00712284" w:rsidP="00712284">
      <w:pPr>
        <w:jc w:val="both"/>
      </w:pPr>
      <w:r>
        <w:tab/>
        <w:t xml:space="preserve">The major elements of the </w:t>
      </w:r>
      <w:r w:rsidR="00371A91">
        <w:t xml:space="preserve">2017 </w:t>
      </w:r>
      <w:r>
        <w:t>Agreement are as follows:</w:t>
      </w:r>
    </w:p>
    <w:p w:rsidR="00BF360A" w:rsidRPr="00DB2721" w:rsidRDefault="00BF360A" w:rsidP="00BF360A">
      <w:pPr>
        <w:jc w:val="center"/>
        <w:rPr>
          <w:b/>
        </w:rPr>
      </w:pPr>
    </w:p>
    <w:p w:rsidR="00BF360A" w:rsidRDefault="00BF360A" w:rsidP="00371A91">
      <w:pPr>
        <w:pStyle w:val="ListParagraph"/>
        <w:numPr>
          <w:ilvl w:val="0"/>
          <w:numId w:val="2"/>
        </w:numPr>
        <w:spacing w:after="200" w:line="276" w:lineRule="auto"/>
        <w:jc w:val="both"/>
      </w:pPr>
      <w:r>
        <w:t xml:space="preserve">The 2017 Agreement term </w:t>
      </w:r>
      <w:r w:rsidR="00E054FB">
        <w:t xml:space="preserve">(Term) </w:t>
      </w:r>
      <w:r>
        <w:t>is approximately four years in duration, from the Effective Date (date of vote) through 2021, and is, by and large, a four year extension of the 2013 Agreement.</w:t>
      </w:r>
    </w:p>
    <w:p w:rsidR="00BF360A" w:rsidRDefault="00BF360A" w:rsidP="00371A91">
      <w:pPr>
        <w:pStyle w:val="ListParagraph"/>
        <w:jc w:val="both"/>
      </w:pPr>
    </w:p>
    <w:p w:rsidR="00BF360A" w:rsidRDefault="00BF360A" w:rsidP="00371A91">
      <w:pPr>
        <w:pStyle w:val="ListParagraph"/>
        <w:numPr>
          <w:ilvl w:val="0"/>
          <w:numId w:val="2"/>
        </w:numPr>
        <w:spacing w:after="200" w:line="276" w:lineRule="auto"/>
        <w:jc w:val="both"/>
      </w:pPr>
      <w:r>
        <w:t xml:space="preserve">The 2017 Agreement retains the existing </w:t>
      </w:r>
      <w:r w:rsidR="00DC006E">
        <w:t>return on equity (</w:t>
      </w:r>
      <w:r>
        <w:t>ROE</w:t>
      </w:r>
      <w:r w:rsidR="00DC006E">
        <w:t>)</w:t>
      </w:r>
      <w:r>
        <w:t xml:space="preserve"> of 10.25%, with a range of 9.25% to 11.25%, and features </w:t>
      </w:r>
      <w:r w:rsidR="00DC006E">
        <w:t>an equity ratio of 54% for the Solar Base Rate Adjustment (SoBRA) revenue requirement calculations and TECO’s actual equity ratio for surveillance reporting and setting clause rates.</w:t>
      </w:r>
    </w:p>
    <w:p w:rsidR="00BF360A" w:rsidRDefault="00BF360A" w:rsidP="00371A91">
      <w:pPr>
        <w:pStyle w:val="ListParagraph"/>
        <w:jc w:val="both"/>
      </w:pPr>
    </w:p>
    <w:p w:rsidR="00BF360A" w:rsidRDefault="00BF360A" w:rsidP="00371A91">
      <w:pPr>
        <w:pStyle w:val="ListParagraph"/>
        <w:numPr>
          <w:ilvl w:val="0"/>
          <w:numId w:val="2"/>
        </w:numPr>
        <w:spacing w:after="200" w:line="276" w:lineRule="auto"/>
        <w:jc w:val="both"/>
      </w:pPr>
      <w:r>
        <w:t>Base rates to remain at current levels initially, with solar generation cost recovery (SoBRA) included in tranches during the Term at the following dates and maximum cumulative amounts:</w:t>
      </w:r>
    </w:p>
    <w:tbl>
      <w:tblPr>
        <w:tblStyle w:val="TableGrid"/>
        <w:tblW w:w="0" w:type="auto"/>
        <w:tblInd w:w="720" w:type="dxa"/>
        <w:tblLook w:val="04A0" w:firstRow="1" w:lastRow="0" w:firstColumn="1" w:lastColumn="0" w:noHBand="0" w:noVBand="1"/>
      </w:tblPr>
      <w:tblGrid>
        <w:gridCol w:w="702"/>
        <w:gridCol w:w="1645"/>
        <w:gridCol w:w="1336"/>
        <w:gridCol w:w="3193"/>
        <w:gridCol w:w="1980"/>
      </w:tblGrid>
      <w:tr w:rsidR="00BF360A" w:rsidTr="00744EDE">
        <w:tc>
          <w:tcPr>
            <w:tcW w:w="702" w:type="dxa"/>
          </w:tcPr>
          <w:p w:rsidR="00BF360A" w:rsidRDefault="00BF360A" w:rsidP="00371A91">
            <w:pPr>
              <w:pStyle w:val="ListParagraph"/>
              <w:ind w:left="0"/>
              <w:jc w:val="both"/>
            </w:pPr>
            <w:r>
              <w:t>Year</w:t>
            </w:r>
          </w:p>
        </w:tc>
        <w:tc>
          <w:tcPr>
            <w:tcW w:w="1656" w:type="dxa"/>
          </w:tcPr>
          <w:p w:rsidR="00BF360A" w:rsidRDefault="00BF360A" w:rsidP="00371A91">
            <w:pPr>
              <w:pStyle w:val="ListParagraph"/>
              <w:ind w:left="0"/>
              <w:jc w:val="both"/>
            </w:pPr>
            <w:r>
              <w:t>Earliest Rate Change and In-Service Date</w:t>
            </w:r>
          </w:p>
        </w:tc>
        <w:tc>
          <w:tcPr>
            <w:tcW w:w="1260" w:type="dxa"/>
          </w:tcPr>
          <w:p w:rsidR="00BF360A" w:rsidRDefault="00BF360A" w:rsidP="00371A91">
            <w:pPr>
              <w:pStyle w:val="ListParagraph"/>
              <w:ind w:left="0"/>
              <w:jc w:val="both"/>
            </w:pPr>
            <w:r>
              <w:t xml:space="preserve">Maximum Cumulative </w:t>
            </w:r>
          </w:p>
          <w:p w:rsidR="00BF360A" w:rsidRDefault="00BF360A" w:rsidP="00371A91">
            <w:pPr>
              <w:pStyle w:val="ListParagraph"/>
              <w:ind w:left="0"/>
              <w:jc w:val="both"/>
            </w:pPr>
            <w:r>
              <w:t>SoBRA MW</w:t>
            </w:r>
          </w:p>
        </w:tc>
        <w:tc>
          <w:tcPr>
            <w:tcW w:w="3240" w:type="dxa"/>
          </w:tcPr>
          <w:p w:rsidR="00BF360A" w:rsidRDefault="00BF360A" w:rsidP="00371A91">
            <w:pPr>
              <w:pStyle w:val="ListParagraph"/>
              <w:ind w:left="0"/>
              <w:jc w:val="both"/>
            </w:pPr>
            <w:r>
              <w:t>Maximum Cumulative Annualized SoBRA Revenue Requirement (millions)</w:t>
            </w:r>
          </w:p>
        </w:tc>
        <w:tc>
          <w:tcPr>
            <w:tcW w:w="1998" w:type="dxa"/>
          </w:tcPr>
          <w:p w:rsidR="00BF360A" w:rsidRDefault="00BF360A" w:rsidP="00371A91">
            <w:pPr>
              <w:pStyle w:val="ListParagraph"/>
              <w:ind w:left="0"/>
              <w:jc w:val="both"/>
            </w:pPr>
            <w:r>
              <w:t>Maximum Cumulative Impact on 1,000 KWH Residential Bill</w:t>
            </w:r>
          </w:p>
        </w:tc>
      </w:tr>
      <w:tr w:rsidR="00BF360A" w:rsidTr="00744EDE">
        <w:tc>
          <w:tcPr>
            <w:tcW w:w="702" w:type="dxa"/>
          </w:tcPr>
          <w:p w:rsidR="00BF360A" w:rsidRDefault="00BF360A" w:rsidP="00371A91">
            <w:pPr>
              <w:pStyle w:val="ListParagraph"/>
              <w:ind w:left="0"/>
              <w:jc w:val="both"/>
            </w:pPr>
            <w:r>
              <w:t>2018</w:t>
            </w:r>
          </w:p>
        </w:tc>
        <w:tc>
          <w:tcPr>
            <w:tcW w:w="1656" w:type="dxa"/>
          </w:tcPr>
          <w:p w:rsidR="00BF360A" w:rsidRDefault="00BF360A" w:rsidP="00371A91">
            <w:pPr>
              <w:pStyle w:val="ListParagraph"/>
              <w:ind w:left="0"/>
              <w:jc w:val="both"/>
            </w:pPr>
            <w:r>
              <w:t>September 1</w:t>
            </w:r>
          </w:p>
        </w:tc>
        <w:tc>
          <w:tcPr>
            <w:tcW w:w="1260" w:type="dxa"/>
          </w:tcPr>
          <w:p w:rsidR="00BF360A" w:rsidRDefault="00BF360A" w:rsidP="00371A91">
            <w:pPr>
              <w:pStyle w:val="ListParagraph"/>
              <w:ind w:left="0"/>
              <w:jc w:val="both"/>
            </w:pPr>
            <w:r>
              <w:t>150</w:t>
            </w:r>
          </w:p>
        </w:tc>
        <w:tc>
          <w:tcPr>
            <w:tcW w:w="3240" w:type="dxa"/>
          </w:tcPr>
          <w:p w:rsidR="00BF360A" w:rsidRDefault="00BF360A" w:rsidP="00371A91">
            <w:pPr>
              <w:pStyle w:val="ListParagraph"/>
              <w:ind w:left="0"/>
              <w:jc w:val="both"/>
            </w:pPr>
            <w:r>
              <w:t>$30.6 ($10.2 collected over 4 months)</w:t>
            </w:r>
          </w:p>
        </w:tc>
        <w:tc>
          <w:tcPr>
            <w:tcW w:w="1998" w:type="dxa"/>
          </w:tcPr>
          <w:p w:rsidR="00BF360A" w:rsidRDefault="00BF360A" w:rsidP="00371A91">
            <w:pPr>
              <w:pStyle w:val="ListParagraph"/>
              <w:ind w:left="0"/>
              <w:jc w:val="both"/>
            </w:pPr>
            <w:r>
              <w:t>$1.95</w:t>
            </w:r>
          </w:p>
        </w:tc>
      </w:tr>
      <w:tr w:rsidR="00BF360A" w:rsidTr="00744EDE">
        <w:tc>
          <w:tcPr>
            <w:tcW w:w="702" w:type="dxa"/>
          </w:tcPr>
          <w:p w:rsidR="00BF360A" w:rsidRDefault="00BF360A" w:rsidP="00371A91">
            <w:pPr>
              <w:pStyle w:val="ListParagraph"/>
              <w:ind w:left="0"/>
              <w:jc w:val="both"/>
            </w:pPr>
            <w:r>
              <w:t>2019</w:t>
            </w:r>
          </w:p>
        </w:tc>
        <w:tc>
          <w:tcPr>
            <w:tcW w:w="1656" w:type="dxa"/>
          </w:tcPr>
          <w:p w:rsidR="00BF360A" w:rsidRDefault="00BF360A" w:rsidP="00371A91">
            <w:pPr>
              <w:pStyle w:val="ListParagraph"/>
              <w:ind w:left="0"/>
              <w:jc w:val="both"/>
            </w:pPr>
            <w:r>
              <w:t>January 1</w:t>
            </w:r>
          </w:p>
        </w:tc>
        <w:tc>
          <w:tcPr>
            <w:tcW w:w="1260" w:type="dxa"/>
          </w:tcPr>
          <w:p w:rsidR="00BF360A" w:rsidRDefault="00BF360A" w:rsidP="00371A91">
            <w:pPr>
              <w:pStyle w:val="ListParagraph"/>
              <w:ind w:left="0"/>
              <w:jc w:val="both"/>
            </w:pPr>
            <w:r>
              <w:t>400</w:t>
            </w:r>
          </w:p>
        </w:tc>
        <w:tc>
          <w:tcPr>
            <w:tcW w:w="3240" w:type="dxa"/>
          </w:tcPr>
          <w:p w:rsidR="00BF360A" w:rsidRDefault="00BF360A" w:rsidP="00371A91">
            <w:pPr>
              <w:pStyle w:val="ListParagraph"/>
              <w:ind w:left="0"/>
              <w:jc w:val="both"/>
            </w:pPr>
            <w:r>
              <w:t>$81.5</w:t>
            </w:r>
          </w:p>
        </w:tc>
        <w:tc>
          <w:tcPr>
            <w:tcW w:w="1998" w:type="dxa"/>
          </w:tcPr>
          <w:p w:rsidR="00BF360A" w:rsidRDefault="00BF360A" w:rsidP="00371A91">
            <w:pPr>
              <w:pStyle w:val="ListParagraph"/>
              <w:ind w:left="0"/>
              <w:jc w:val="both"/>
            </w:pPr>
            <w:r>
              <w:t>$3.33</w:t>
            </w:r>
          </w:p>
        </w:tc>
      </w:tr>
      <w:tr w:rsidR="00BF360A" w:rsidTr="00744EDE">
        <w:tc>
          <w:tcPr>
            <w:tcW w:w="702" w:type="dxa"/>
          </w:tcPr>
          <w:p w:rsidR="00BF360A" w:rsidRDefault="00BF360A" w:rsidP="00371A91">
            <w:pPr>
              <w:pStyle w:val="ListParagraph"/>
              <w:ind w:left="0"/>
              <w:jc w:val="both"/>
            </w:pPr>
            <w:r>
              <w:t>2020</w:t>
            </w:r>
          </w:p>
        </w:tc>
        <w:tc>
          <w:tcPr>
            <w:tcW w:w="1656" w:type="dxa"/>
          </w:tcPr>
          <w:p w:rsidR="00BF360A" w:rsidRDefault="00BF360A" w:rsidP="00371A91">
            <w:pPr>
              <w:pStyle w:val="ListParagraph"/>
              <w:ind w:left="0"/>
              <w:jc w:val="both"/>
            </w:pPr>
            <w:r>
              <w:t>January 1</w:t>
            </w:r>
          </w:p>
        </w:tc>
        <w:tc>
          <w:tcPr>
            <w:tcW w:w="1260" w:type="dxa"/>
          </w:tcPr>
          <w:p w:rsidR="00BF360A" w:rsidRDefault="00BF360A" w:rsidP="00371A91">
            <w:pPr>
              <w:pStyle w:val="ListParagraph"/>
              <w:ind w:left="0"/>
              <w:jc w:val="both"/>
            </w:pPr>
            <w:r>
              <w:t>550</w:t>
            </w:r>
          </w:p>
        </w:tc>
        <w:tc>
          <w:tcPr>
            <w:tcW w:w="3240" w:type="dxa"/>
          </w:tcPr>
          <w:p w:rsidR="00BF360A" w:rsidRDefault="00BF360A" w:rsidP="00371A91">
            <w:pPr>
              <w:pStyle w:val="ListParagraph"/>
              <w:ind w:left="0"/>
              <w:jc w:val="both"/>
            </w:pPr>
            <w:r>
              <w:t>$112.1</w:t>
            </w:r>
          </w:p>
        </w:tc>
        <w:tc>
          <w:tcPr>
            <w:tcW w:w="1998" w:type="dxa"/>
          </w:tcPr>
          <w:p w:rsidR="00BF360A" w:rsidRDefault="00BF360A" w:rsidP="00371A91">
            <w:pPr>
              <w:pStyle w:val="ListParagraph"/>
              <w:ind w:left="0"/>
              <w:jc w:val="both"/>
            </w:pPr>
            <w:r>
              <w:t>$4.47</w:t>
            </w:r>
          </w:p>
        </w:tc>
      </w:tr>
      <w:tr w:rsidR="00BF360A" w:rsidTr="00744EDE">
        <w:tc>
          <w:tcPr>
            <w:tcW w:w="702" w:type="dxa"/>
          </w:tcPr>
          <w:p w:rsidR="00BF360A" w:rsidRDefault="00BF360A" w:rsidP="00371A91">
            <w:pPr>
              <w:pStyle w:val="ListParagraph"/>
              <w:ind w:left="0"/>
              <w:jc w:val="both"/>
            </w:pPr>
            <w:r>
              <w:t>2021</w:t>
            </w:r>
          </w:p>
        </w:tc>
        <w:tc>
          <w:tcPr>
            <w:tcW w:w="1656" w:type="dxa"/>
          </w:tcPr>
          <w:p w:rsidR="00BF360A" w:rsidRDefault="00BF360A" w:rsidP="00371A91">
            <w:pPr>
              <w:pStyle w:val="ListParagraph"/>
              <w:ind w:left="0"/>
              <w:jc w:val="both"/>
            </w:pPr>
            <w:r>
              <w:t>January 1</w:t>
            </w:r>
          </w:p>
        </w:tc>
        <w:tc>
          <w:tcPr>
            <w:tcW w:w="1260" w:type="dxa"/>
          </w:tcPr>
          <w:p w:rsidR="00BF360A" w:rsidRDefault="00BF360A" w:rsidP="00371A91">
            <w:pPr>
              <w:pStyle w:val="ListParagraph"/>
              <w:ind w:left="0"/>
              <w:jc w:val="both"/>
            </w:pPr>
            <w:r>
              <w:t>600</w:t>
            </w:r>
          </w:p>
        </w:tc>
        <w:tc>
          <w:tcPr>
            <w:tcW w:w="3240" w:type="dxa"/>
          </w:tcPr>
          <w:p w:rsidR="00BF360A" w:rsidRDefault="00BF360A" w:rsidP="00371A91">
            <w:pPr>
              <w:pStyle w:val="ListParagraph"/>
              <w:ind w:left="0"/>
              <w:jc w:val="both"/>
            </w:pPr>
            <w:r>
              <w:t xml:space="preserve">$122.3* </w:t>
            </w:r>
          </w:p>
        </w:tc>
        <w:tc>
          <w:tcPr>
            <w:tcW w:w="1998" w:type="dxa"/>
          </w:tcPr>
          <w:p w:rsidR="00BF360A" w:rsidRDefault="00BF360A" w:rsidP="00371A91">
            <w:pPr>
              <w:pStyle w:val="ListParagraph"/>
              <w:ind w:left="0"/>
              <w:jc w:val="both"/>
            </w:pPr>
            <w:r>
              <w:t>$4.87</w:t>
            </w:r>
          </w:p>
        </w:tc>
      </w:tr>
      <w:tr w:rsidR="00BF360A" w:rsidTr="00744EDE">
        <w:tc>
          <w:tcPr>
            <w:tcW w:w="8856" w:type="dxa"/>
            <w:gridSpan w:val="5"/>
          </w:tcPr>
          <w:p w:rsidR="00BF360A" w:rsidRDefault="00BF360A" w:rsidP="00371A91">
            <w:pPr>
              <w:jc w:val="both"/>
            </w:pPr>
            <w:r>
              <w:t>* Cost recovery contingent on 2018-2019 tranches constructed at a maximum average capital cost of $1475/kW</w:t>
            </w:r>
            <w:r w:rsidRPr="008875D7">
              <w:rPr>
                <w:vertAlign w:val="subscript"/>
              </w:rPr>
              <w:t>ac.</w:t>
            </w:r>
            <w:r>
              <w:t xml:space="preserve">  </w:t>
            </w:r>
          </w:p>
        </w:tc>
      </w:tr>
    </w:tbl>
    <w:p w:rsidR="00BF360A" w:rsidRDefault="00BF360A" w:rsidP="00371A91">
      <w:pPr>
        <w:pStyle w:val="ListParagraph"/>
        <w:jc w:val="both"/>
      </w:pPr>
    </w:p>
    <w:p w:rsidR="00BF360A" w:rsidRDefault="00BF360A" w:rsidP="00371A91">
      <w:pPr>
        <w:pStyle w:val="ListParagraph"/>
        <w:numPr>
          <w:ilvl w:val="0"/>
          <w:numId w:val="3"/>
        </w:numPr>
        <w:spacing w:after="200" w:line="276" w:lineRule="auto"/>
        <w:jc w:val="both"/>
      </w:pPr>
      <w:r>
        <w:t>SoBRA total installed costs for purposes of cost recovery cannot exceed $1,500 per KWac (cap). Projects must be smaller than 75 MW</w:t>
      </w:r>
      <w:r w:rsidR="006D3AB8">
        <w:t xml:space="preserve"> and thus are not subject to </w:t>
      </w:r>
      <w:r>
        <w:t>the Power Plant Siting Act.</w:t>
      </w:r>
      <w:r w:rsidR="006D3AB8">
        <w:t xml:space="preserve">  </w:t>
      </w:r>
      <w:r>
        <w:t>Each tranche re</w:t>
      </w:r>
      <w:r w:rsidR="00DC006E">
        <w:t xml:space="preserve">quires that a </w:t>
      </w:r>
      <w:r>
        <w:t>new petition</w:t>
      </w:r>
      <w:r w:rsidR="00DC006E">
        <w:t xml:space="preserve"> for cost recovery be</w:t>
      </w:r>
      <w:r>
        <w:t xml:space="preserve"> filed in a separate docket.  </w:t>
      </w:r>
    </w:p>
    <w:p w:rsidR="00BF360A" w:rsidRDefault="00BF360A" w:rsidP="00371A91">
      <w:pPr>
        <w:pStyle w:val="ListParagraph"/>
        <w:jc w:val="both"/>
      </w:pPr>
    </w:p>
    <w:p w:rsidR="00BF360A" w:rsidRDefault="00BF360A" w:rsidP="00371A91">
      <w:pPr>
        <w:pStyle w:val="ListParagraph"/>
        <w:numPr>
          <w:ilvl w:val="0"/>
          <w:numId w:val="3"/>
        </w:numPr>
        <w:spacing w:after="200" w:line="276" w:lineRule="auto"/>
        <w:jc w:val="both"/>
      </w:pPr>
      <w:r>
        <w:t xml:space="preserve">SoBRA savings, where actual costs are below the $1,500 per KWac cap, are shared between customers and company on a 75%/25% basis. </w:t>
      </w:r>
      <w:r w:rsidR="00DC006E">
        <w:t xml:space="preserve">The full benefit of </w:t>
      </w:r>
      <w:r>
        <w:t>Renewable Energy Credits (RECs) will be flowed through to retail customers</w:t>
      </w:r>
      <w:r w:rsidR="00DC006E">
        <w:t xml:space="preserve"> through the Environmental Cost Recovery Clause (ECRC)</w:t>
      </w:r>
      <w:r>
        <w:t>.</w:t>
      </w:r>
    </w:p>
    <w:p w:rsidR="00BF360A" w:rsidRDefault="00BF360A" w:rsidP="00371A91">
      <w:pPr>
        <w:pStyle w:val="ListParagraph"/>
        <w:jc w:val="both"/>
      </w:pPr>
    </w:p>
    <w:p w:rsidR="00BF360A" w:rsidRDefault="00BF360A" w:rsidP="00371A91">
      <w:pPr>
        <w:pStyle w:val="ListParagraph"/>
        <w:numPr>
          <w:ilvl w:val="0"/>
          <w:numId w:val="3"/>
        </w:numPr>
        <w:spacing w:after="200" w:line="276" w:lineRule="auto"/>
        <w:jc w:val="both"/>
      </w:pPr>
      <w:r>
        <w:lastRenderedPageBreak/>
        <w:t>SoBRA costs are allocated equally among all rate classes with the exception of the lighting class. The lighting class is responsible for 40% of its SoBRA revenue requirement, with the remaining 60</w:t>
      </w:r>
      <w:r w:rsidR="00E054FB">
        <w:t>%</w:t>
      </w:r>
      <w:r>
        <w:t xml:space="preserve"> of its revenue requirement allocated to the other customer classes.  </w:t>
      </w:r>
    </w:p>
    <w:p w:rsidR="00BF360A" w:rsidRDefault="00BF360A" w:rsidP="00371A91">
      <w:pPr>
        <w:pStyle w:val="ListParagraph"/>
        <w:jc w:val="both"/>
      </w:pPr>
    </w:p>
    <w:p w:rsidR="00BF360A" w:rsidRDefault="00BF360A" w:rsidP="00371A91">
      <w:pPr>
        <w:pStyle w:val="ListParagraph"/>
        <w:numPr>
          <w:ilvl w:val="0"/>
          <w:numId w:val="3"/>
        </w:numPr>
        <w:spacing w:after="200" w:line="276" w:lineRule="auto"/>
        <w:jc w:val="both"/>
      </w:pPr>
      <w:r>
        <w:t xml:space="preserve">If federal or state tax reform is enacted before TECO’s next rate case, TECO will flow back to retail customers within 120 days any impacts to revenue requirements through a one-time adjustment to base rates, uniformly applied across customer classes and charges. </w:t>
      </w:r>
    </w:p>
    <w:p w:rsidR="00BF360A" w:rsidRDefault="00BF360A" w:rsidP="00371A91">
      <w:pPr>
        <w:pStyle w:val="ListParagraph"/>
        <w:jc w:val="both"/>
      </w:pPr>
    </w:p>
    <w:p w:rsidR="00BF360A" w:rsidRDefault="00BF360A" w:rsidP="00371A91">
      <w:pPr>
        <w:pStyle w:val="ListParagraph"/>
        <w:numPr>
          <w:ilvl w:val="0"/>
          <w:numId w:val="3"/>
        </w:numPr>
        <w:spacing w:after="200" w:line="276" w:lineRule="auto"/>
        <w:jc w:val="both"/>
      </w:pPr>
      <w:r>
        <w:t>Standby Generator Credits increase from $4.75/kW/month to $5.35/kW/month.  Contracted Credit Value, or CCV Credit, is increased marginally for secondary, primary, and sub-transmission voltage customers.</w:t>
      </w:r>
    </w:p>
    <w:p w:rsidR="00BF360A" w:rsidRDefault="00BF360A" w:rsidP="00371A91">
      <w:pPr>
        <w:pStyle w:val="ListParagraph"/>
        <w:jc w:val="both"/>
      </w:pPr>
    </w:p>
    <w:p w:rsidR="00BF360A" w:rsidRDefault="00BF360A" w:rsidP="00371A91">
      <w:pPr>
        <w:pStyle w:val="ListParagraph"/>
        <w:numPr>
          <w:ilvl w:val="0"/>
          <w:numId w:val="3"/>
        </w:numPr>
        <w:spacing w:after="200" w:line="276" w:lineRule="auto"/>
        <w:jc w:val="both"/>
      </w:pPr>
      <w:r>
        <w:t xml:space="preserve">If TECO’s coal-fired generating assets and </w:t>
      </w:r>
      <w:r w:rsidR="00DC006E">
        <w:t>Automatic Meter Reading (</w:t>
      </w:r>
      <w:r>
        <w:t>AMR</w:t>
      </w:r>
      <w:r w:rsidR="00DC006E">
        <w:t>)</w:t>
      </w:r>
      <w:r>
        <w:t xml:space="preserve"> meters are retired during the Term, the related assets will be depreciated using TECO’s then-existing depreciation rates.</w:t>
      </w:r>
    </w:p>
    <w:p w:rsidR="00BF360A" w:rsidRDefault="00BF360A" w:rsidP="00371A91">
      <w:pPr>
        <w:pStyle w:val="ListParagraph"/>
        <w:jc w:val="both"/>
      </w:pPr>
    </w:p>
    <w:p w:rsidR="00BF360A" w:rsidRDefault="00BF360A" w:rsidP="00371A91">
      <w:pPr>
        <w:pStyle w:val="ListParagraph"/>
        <w:numPr>
          <w:ilvl w:val="0"/>
          <w:numId w:val="3"/>
        </w:numPr>
        <w:spacing w:after="200" w:line="276" w:lineRule="auto"/>
        <w:jc w:val="both"/>
      </w:pPr>
      <w:r>
        <w:t>The parties consent to TECO’s petition to implement its proposed asset optimization/ incentive plan set forth in Docket No. 20160160-EI during the Term, but</w:t>
      </w:r>
      <w:r w:rsidR="00361842">
        <w:t xml:space="preserve"> </w:t>
      </w:r>
      <w:r>
        <w:t xml:space="preserve">at </w:t>
      </w:r>
      <w:r w:rsidR="00192B3A">
        <w:t xml:space="preserve">modified </w:t>
      </w:r>
      <w:r>
        <w:t xml:space="preserve"> </w:t>
      </w:r>
      <w:r w:rsidR="0010309E">
        <w:t xml:space="preserve">percentage </w:t>
      </w:r>
      <w:r>
        <w:t xml:space="preserve">thresholds of achieved gains </w:t>
      </w:r>
      <w:r w:rsidR="00192B3A">
        <w:t xml:space="preserve">to be divided </w:t>
      </w:r>
      <w:r>
        <w:t>between customers and shareholders.</w:t>
      </w:r>
    </w:p>
    <w:p w:rsidR="00BF360A" w:rsidRDefault="00BF360A" w:rsidP="00371A91">
      <w:pPr>
        <w:pStyle w:val="ListParagraph"/>
        <w:jc w:val="both"/>
      </w:pPr>
    </w:p>
    <w:p w:rsidR="00BF360A" w:rsidRDefault="00BF360A" w:rsidP="00371A91">
      <w:pPr>
        <w:pStyle w:val="ListParagraph"/>
        <w:numPr>
          <w:ilvl w:val="0"/>
          <w:numId w:val="3"/>
        </w:numPr>
        <w:spacing w:after="200" w:line="276" w:lineRule="auto"/>
        <w:jc w:val="both"/>
      </w:pPr>
      <w:r>
        <w:t>TECO will enter into no new natural gas financial hedging contracts through December 31, 2022</w:t>
      </w:r>
      <w:r w:rsidR="00192B3A">
        <w:t xml:space="preserve"> and will file a request to close Docket No. 20170057-EI upon approval of the 2017 Agreement or as soon thereafter as practical.</w:t>
      </w:r>
    </w:p>
    <w:p w:rsidR="00BF360A" w:rsidRDefault="00BF360A" w:rsidP="00371A91">
      <w:pPr>
        <w:pStyle w:val="ListParagraph"/>
        <w:jc w:val="both"/>
      </w:pPr>
    </w:p>
    <w:p w:rsidR="00BF360A" w:rsidRDefault="00BF360A" w:rsidP="00371A91">
      <w:pPr>
        <w:pStyle w:val="ListParagraph"/>
        <w:numPr>
          <w:ilvl w:val="0"/>
          <w:numId w:val="3"/>
        </w:numPr>
        <w:spacing w:after="200" w:line="276" w:lineRule="auto"/>
        <w:jc w:val="both"/>
      </w:pPr>
      <w:r>
        <w:t>TECO will not seek recovery of</w:t>
      </w:r>
      <w:r w:rsidR="00371A91">
        <w:t xml:space="preserve"> </w:t>
      </w:r>
      <w:r>
        <w:t>any costs from its customers related to investments in oil and/or natural gas exploration, reserves, acreage and or production for a period of five years after the Effective Date.</w:t>
      </w:r>
    </w:p>
    <w:p w:rsidR="00BF360A" w:rsidRDefault="00BF360A" w:rsidP="00371A91">
      <w:pPr>
        <w:pStyle w:val="ListParagraph"/>
        <w:jc w:val="both"/>
      </w:pPr>
    </w:p>
    <w:p w:rsidR="00472E05" w:rsidRPr="00472E05" w:rsidRDefault="00BF360A" w:rsidP="00472E05">
      <w:pPr>
        <w:pStyle w:val="ListParagraph"/>
        <w:numPr>
          <w:ilvl w:val="0"/>
          <w:numId w:val="3"/>
        </w:numPr>
        <w:spacing w:after="200" w:line="276" w:lineRule="auto"/>
        <w:jc w:val="both"/>
        <w:rPr>
          <w:u w:val="single"/>
        </w:rPr>
      </w:pPr>
      <w:r>
        <w:t>Carryover Provisions applicable from the 2013 Agreement include:</w:t>
      </w:r>
      <w:r w:rsidR="00951712">
        <w:t xml:space="preserve"> n</w:t>
      </w:r>
      <w:r>
        <w:t>amed storm damage recovery</w:t>
      </w:r>
      <w:r w:rsidR="00951712">
        <w:t>; the E</w:t>
      </w:r>
      <w:r>
        <w:t>conomic Development Rider</w:t>
      </w:r>
      <w:r w:rsidR="00951712">
        <w:t>; and d</w:t>
      </w:r>
      <w:r>
        <w:t>eferral of depreciation and dismantlement studies until the year before TECO’s next rate case.</w:t>
      </w:r>
    </w:p>
    <w:p w:rsidR="00E25530" w:rsidRDefault="00E25530">
      <w:pPr>
        <w:rPr>
          <w:u w:val="single"/>
        </w:rPr>
      </w:pPr>
      <w:r>
        <w:rPr>
          <w:u w:val="single"/>
        </w:rPr>
        <w:br w:type="page"/>
      </w:r>
    </w:p>
    <w:p w:rsidR="00712284" w:rsidRPr="00472E05" w:rsidRDefault="0010309E" w:rsidP="00472E05">
      <w:pPr>
        <w:spacing w:after="200" w:line="276" w:lineRule="auto"/>
        <w:ind w:left="360"/>
        <w:jc w:val="center"/>
        <w:rPr>
          <w:u w:val="single"/>
        </w:rPr>
      </w:pPr>
      <w:r w:rsidRPr="00472E05">
        <w:rPr>
          <w:u w:val="single"/>
        </w:rPr>
        <w:lastRenderedPageBreak/>
        <w:t>DECISION</w:t>
      </w:r>
    </w:p>
    <w:p w:rsidR="00712284" w:rsidRDefault="00712284" w:rsidP="00712284">
      <w:pPr>
        <w:jc w:val="both"/>
      </w:pPr>
      <w:r>
        <w:tab/>
        <w:t>The standard for approval of a settlement agreement is whether it is in the public interest.</w:t>
      </w:r>
      <w:r>
        <w:rPr>
          <w:rStyle w:val="FootnoteReference"/>
        </w:rPr>
        <w:footnoteReference w:id="2"/>
      </w:r>
      <w:r w:rsidR="0010309E">
        <w:t xml:space="preserve">  </w:t>
      </w:r>
      <w:r>
        <w:t>A determination of public interest requires a case-specific analysis based on consideration of the proposed settlement taken as a whole.</w:t>
      </w:r>
      <w:r>
        <w:rPr>
          <w:rStyle w:val="FootnoteReference"/>
        </w:rPr>
        <w:footnoteReference w:id="3"/>
      </w:r>
      <w:r>
        <w:t xml:space="preserve">   The signatories to the </w:t>
      </w:r>
      <w:r w:rsidR="00472E05">
        <w:t>2017</w:t>
      </w:r>
      <w:r>
        <w:t xml:space="preserve"> Agreement represent a broad segment of FPL’s customer base including both residential and commercial classes.  Many of the </w:t>
      </w:r>
      <w:r w:rsidR="00371A91">
        <w:t xml:space="preserve">terms found in the 2017 Agreement </w:t>
      </w:r>
      <w:r w:rsidR="004D4BE5">
        <w:t xml:space="preserve">were proposed by the signatories and </w:t>
      </w:r>
      <w:r w:rsidR="00361842">
        <w:t xml:space="preserve">are consistent with </w:t>
      </w:r>
      <w:r w:rsidR="004D4BE5">
        <w:t>t</w:t>
      </w:r>
      <w:r w:rsidR="001F50C4">
        <w:t>erms</w:t>
      </w:r>
      <w:r w:rsidR="004D4BE5">
        <w:t xml:space="preserve"> found in </w:t>
      </w:r>
      <w:r w:rsidR="00361842">
        <w:t>Florida Power &amp; Light Company’s</w:t>
      </w:r>
      <w:r w:rsidR="00192B3A">
        <w:t xml:space="preserve">, Gulf Power Company’s, and </w:t>
      </w:r>
      <w:r w:rsidR="00361842">
        <w:t xml:space="preserve">Duke Energy Florida, LLC’s </w:t>
      </w:r>
      <w:r w:rsidR="009D1123">
        <w:t xml:space="preserve">most recent </w:t>
      </w:r>
      <w:r w:rsidR="00361842">
        <w:t>rate case settlement</w:t>
      </w:r>
      <w:r w:rsidR="004D4BE5">
        <w:t>s</w:t>
      </w:r>
      <w:r w:rsidR="00E054FB">
        <w:t>,</w:t>
      </w:r>
      <w:r w:rsidR="00192B3A">
        <w:rPr>
          <w:rStyle w:val="FootnoteReference"/>
        </w:rPr>
        <w:footnoteReference w:id="4"/>
      </w:r>
      <w:r w:rsidR="00361842">
        <w:t xml:space="preserve"> e.g., </w:t>
      </w:r>
      <w:r>
        <w:t>cessation of natural gas hedging, construction of cost-effective solar generation,</w:t>
      </w:r>
      <w:r w:rsidR="00361842">
        <w:t xml:space="preserve"> implementation of an asset optimization program</w:t>
      </w:r>
      <w:r w:rsidR="00192B3A">
        <w:t xml:space="preserve">, </w:t>
      </w:r>
      <w:r w:rsidR="009D1123">
        <w:t xml:space="preserve">implementation of a </w:t>
      </w:r>
      <w:r w:rsidR="00192B3A">
        <w:t xml:space="preserve">storm damage recovery mechanism, </w:t>
      </w:r>
      <w:r w:rsidR="009D1123">
        <w:t xml:space="preserve">an </w:t>
      </w:r>
      <w:r w:rsidR="00192B3A">
        <w:t xml:space="preserve">economic development rider, and </w:t>
      </w:r>
      <w:r w:rsidR="009D1123">
        <w:t xml:space="preserve">the </w:t>
      </w:r>
      <w:r w:rsidR="00192B3A">
        <w:t xml:space="preserve">deferral of depreciation studies until the </w:t>
      </w:r>
      <w:r w:rsidR="00E00CB6">
        <w:t xml:space="preserve">utility’s </w:t>
      </w:r>
      <w:r w:rsidR="00192B3A">
        <w:t>next rate case.</w:t>
      </w:r>
      <w:r w:rsidR="001F50C4">
        <w:t xml:space="preserve">  The 2017 Agreement essentially maintains the current base rates </w:t>
      </w:r>
      <w:r w:rsidR="00E86096">
        <w:t xml:space="preserve">for another four years </w:t>
      </w:r>
      <w:r w:rsidR="001F50C4">
        <w:t xml:space="preserve">adjusted for additions </w:t>
      </w:r>
      <w:r w:rsidR="00E86096">
        <w:t>to</w:t>
      </w:r>
      <w:r w:rsidR="001F50C4">
        <w:t xml:space="preserve"> solar </w:t>
      </w:r>
      <w:r w:rsidR="00E86096">
        <w:t xml:space="preserve">generating </w:t>
      </w:r>
      <w:r w:rsidR="001F50C4">
        <w:t xml:space="preserve">capacity spread over the </w:t>
      </w:r>
      <w:r w:rsidR="00E86096">
        <w:t>same period</w:t>
      </w:r>
      <w:r w:rsidR="001F50C4">
        <w:t xml:space="preserve">.  Thus, the 2017 Agreement </w:t>
      </w:r>
      <w:r w:rsidR="00DC71A9">
        <w:t xml:space="preserve">increases </w:t>
      </w:r>
      <w:r w:rsidR="001F50C4">
        <w:t xml:space="preserve">TECO’s </w:t>
      </w:r>
      <w:r w:rsidR="00DC71A9">
        <w:t xml:space="preserve">fuel diversity in a cost effective manner while </w:t>
      </w:r>
      <w:r w:rsidR="00E86096">
        <w:t xml:space="preserve">providing </w:t>
      </w:r>
      <w:r w:rsidR="00DC71A9">
        <w:t>rate</w:t>
      </w:r>
      <w:r w:rsidR="00E86096">
        <w:t xml:space="preserve"> predictability</w:t>
      </w:r>
      <w:r w:rsidR="00DC71A9">
        <w:t xml:space="preserve">.  </w:t>
      </w:r>
      <w:r w:rsidR="00472E05">
        <w:t xml:space="preserve">Further, the 2017 Agreement allows ratepayers to receive the benefit of any revisions to the federal income tax code </w:t>
      </w:r>
      <w:r w:rsidR="00DE3E3F">
        <w:t xml:space="preserve">within 4 months of </w:t>
      </w:r>
      <w:r w:rsidR="00472E05">
        <w:t>those benefits becom</w:t>
      </w:r>
      <w:r w:rsidR="00DE3E3F">
        <w:t xml:space="preserve">ing </w:t>
      </w:r>
      <w:r w:rsidR="00472E05">
        <w:t>available</w:t>
      </w:r>
      <w:r w:rsidR="009405D6">
        <w:t xml:space="preserve">.  </w:t>
      </w:r>
      <w:r>
        <w:t xml:space="preserve">Having carefully reviewed the </w:t>
      </w:r>
      <w:r w:rsidR="00DC71A9">
        <w:t>2017 Agreement</w:t>
      </w:r>
      <w:r>
        <w:t xml:space="preserve">, </w:t>
      </w:r>
      <w:r w:rsidR="00472E05">
        <w:t xml:space="preserve">the exhibits entered into the record, and the testimony provided by TECO’s witnesses, </w:t>
      </w:r>
      <w:r>
        <w:t xml:space="preserve">we find that taken as a whole </w:t>
      </w:r>
      <w:r w:rsidR="00DC71A9">
        <w:t xml:space="preserve">it </w:t>
      </w:r>
      <w:r>
        <w:t xml:space="preserve">provides a reasonable resolution of all the issues </w:t>
      </w:r>
      <w:r w:rsidR="00E86096">
        <w:t>addressed</w:t>
      </w:r>
      <w:r w:rsidR="00DC71A9">
        <w:t>.</w:t>
      </w:r>
      <w:r w:rsidR="00E86096">
        <w:t xml:space="preserve">  </w:t>
      </w:r>
      <w:r>
        <w:t xml:space="preserve">We find, therefore, that the </w:t>
      </w:r>
      <w:r w:rsidR="009D1123">
        <w:t xml:space="preserve">2017 </w:t>
      </w:r>
      <w:r>
        <w:t>Agreement</w:t>
      </w:r>
      <w:r w:rsidR="00951712">
        <w:t>, Attachment A</w:t>
      </w:r>
      <w:r w:rsidR="00E86096">
        <w:t xml:space="preserve"> hereto</w:t>
      </w:r>
      <w:r w:rsidR="00951712">
        <w:t xml:space="preserve">, </w:t>
      </w:r>
      <w:r>
        <w:t>establishes rates that are fair, just, and reasonable and is in the public interest</w:t>
      </w:r>
      <w:r w:rsidR="00E054FB">
        <w:t>, and hereby approve it</w:t>
      </w:r>
      <w:r>
        <w:t xml:space="preserve">.  </w:t>
      </w:r>
    </w:p>
    <w:p w:rsidR="00712284" w:rsidRDefault="00712284" w:rsidP="00712284">
      <w:pPr>
        <w:jc w:val="both"/>
      </w:pPr>
    </w:p>
    <w:p w:rsidR="00712284" w:rsidRDefault="00712284" w:rsidP="00712284">
      <w:pPr>
        <w:jc w:val="both"/>
      </w:pPr>
      <w:r>
        <w:tab/>
        <w:t>Based on the foregoing, it is</w:t>
      </w:r>
    </w:p>
    <w:p w:rsidR="00CD1865" w:rsidRDefault="00CD1865" w:rsidP="00712284">
      <w:pPr>
        <w:jc w:val="both"/>
      </w:pPr>
    </w:p>
    <w:p w:rsidR="006D34D2" w:rsidRDefault="00712284" w:rsidP="00712284">
      <w:pPr>
        <w:jc w:val="both"/>
      </w:pPr>
      <w:r>
        <w:tab/>
        <w:t xml:space="preserve">ORDERED by the Florida Public Service Commission that </w:t>
      </w:r>
      <w:r w:rsidR="006D34D2">
        <w:t>Tampa Electric Company’s  Petition</w:t>
      </w:r>
      <w:r w:rsidR="00481E89">
        <w:t xml:space="preserve"> </w:t>
      </w:r>
      <w:r w:rsidR="006D34D2">
        <w:t>for Limited Proceeding to approve 2017 Amended and Restated Stipulation and Settlement Agreement is hereby granted.  It is further</w:t>
      </w:r>
    </w:p>
    <w:p w:rsidR="00CD1865" w:rsidRDefault="00CD1865" w:rsidP="00712284">
      <w:pPr>
        <w:jc w:val="both"/>
      </w:pPr>
    </w:p>
    <w:p w:rsidR="006D34D2" w:rsidRDefault="006D34D2" w:rsidP="006D34D2">
      <w:pPr>
        <w:jc w:val="both"/>
      </w:pPr>
      <w:r>
        <w:lastRenderedPageBreak/>
        <w:tab/>
        <w:t xml:space="preserve">ORDERED that </w:t>
      </w:r>
      <w:r w:rsidR="00CD1865">
        <w:t xml:space="preserve">the </w:t>
      </w:r>
      <w:r w:rsidRPr="006D34D2">
        <w:t xml:space="preserve">2017 Amended </w:t>
      </w:r>
      <w:r w:rsidR="00CD1865">
        <w:t>a</w:t>
      </w:r>
      <w:r w:rsidRPr="006D34D2">
        <w:t xml:space="preserve">nd Restated Stipulation </w:t>
      </w:r>
      <w:r>
        <w:t>a</w:t>
      </w:r>
      <w:r w:rsidRPr="006D34D2">
        <w:t>nd Settlement Agreement</w:t>
      </w:r>
      <w:r>
        <w:t>, attached hereto as Attachment A, and incorporated by reference, is hereby approved.  It is further</w:t>
      </w:r>
    </w:p>
    <w:p w:rsidR="006D34D2" w:rsidRDefault="006D34D2" w:rsidP="00712284">
      <w:pPr>
        <w:jc w:val="both"/>
      </w:pPr>
    </w:p>
    <w:p w:rsidR="00CD1865" w:rsidRDefault="006D34D2" w:rsidP="00712284">
      <w:pPr>
        <w:jc w:val="both"/>
      </w:pPr>
      <w:r>
        <w:tab/>
      </w:r>
      <w:r w:rsidR="00CD1865">
        <w:t>ORDERED that the tariff sheets</w:t>
      </w:r>
      <w:r w:rsidR="00481E89">
        <w:t xml:space="preserve">, </w:t>
      </w:r>
      <w:r w:rsidR="00CD1865">
        <w:t xml:space="preserve">contained in </w:t>
      </w:r>
      <w:r w:rsidR="00481E89">
        <w:t xml:space="preserve">Exhibit A attached to the </w:t>
      </w:r>
      <w:r w:rsidR="00481E89" w:rsidRPr="006D34D2">
        <w:t xml:space="preserve">2017 Amended </w:t>
      </w:r>
      <w:r w:rsidR="00481E89">
        <w:t>a</w:t>
      </w:r>
      <w:r w:rsidR="00481E89" w:rsidRPr="006D34D2">
        <w:t xml:space="preserve">nd Restated Stipulation </w:t>
      </w:r>
      <w:r w:rsidR="00481E89">
        <w:t>a</w:t>
      </w:r>
      <w:r w:rsidR="00481E89" w:rsidRPr="006D34D2">
        <w:t>nd Settlement Agreement</w:t>
      </w:r>
      <w:r w:rsidR="00481E89">
        <w:t>,</w:t>
      </w:r>
      <w:r w:rsidR="00CD1865">
        <w:t xml:space="preserve"> are </w:t>
      </w:r>
      <w:r w:rsidR="00481E89">
        <w:t xml:space="preserve">hereby </w:t>
      </w:r>
      <w:r w:rsidR="00CD1865">
        <w:t>approved</w:t>
      </w:r>
      <w:r w:rsidR="00481E89">
        <w:t xml:space="preserve"> with an effective date of the first billing cycle in January 2018.</w:t>
      </w:r>
      <w:r w:rsidR="00CD1865">
        <w:t xml:space="preserve">  It is further</w:t>
      </w:r>
    </w:p>
    <w:p w:rsidR="00CD1865" w:rsidRDefault="00CD1865" w:rsidP="00712284">
      <w:pPr>
        <w:jc w:val="both"/>
      </w:pPr>
    </w:p>
    <w:p w:rsidR="00481E89" w:rsidRDefault="00CD1865" w:rsidP="00712284">
      <w:pPr>
        <w:jc w:val="both"/>
      </w:pPr>
      <w:r>
        <w:tab/>
        <w:t xml:space="preserve">ORDERED that </w:t>
      </w:r>
      <w:r w:rsidR="00481E89">
        <w:t>in the event no timely appeal is filed, Docket Nos. 20170210-EI and 20160160-EI shall be closed.</w:t>
      </w:r>
    </w:p>
    <w:p w:rsidR="00E054FB" w:rsidRDefault="00E054FB" w:rsidP="00712284">
      <w:pPr>
        <w:jc w:val="both"/>
      </w:pPr>
    </w:p>
    <w:p w:rsidR="00481E89" w:rsidRDefault="00481E89" w:rsidP="00481E89">
      <w:pPr>
        <w:keepNext/>
        <w:keepLines/>
        <w:jc w:val="both"/>
      </w:pPr>
      <w:r>
        <w:tab/>
        <w:t xml:space="preserve">By ORDER of the Florida Public Service Commission this </w:t>
      </w:r>
      <w:bookmarkStart w:id="6" w:name="replaceDate"/>
      <w:bookmarkEnd w:id="6"/>
      <w:r w:rsidR="00796516">
        <w:rPr>
          <w:u w:val="single"/>
        </w:rPr>
        <w:t>27th</w:t>
      </w:r>
      <w:r w:rsidR="00796516">
        <w:t xml:space="preserve"> day of </w:t>
      </w:r>
      <w:r w:rsidR="00796516">
        <w:rPr>
          <w:u w:val="single"/>
        </w:rPr>
        <w:t>November</w:t>
      </w:r>
      <w:r w:rsidR="00796516">
        <w:t xml:space="preserve">, </w:t>
      </w:r>
      <w:r w:rsidR="00796516">
        <w:rPr>
          <w:u w:val="single"/>
        </w:rPr>
        <w:t>2017</w:t>
      </w:r>
      <w:r w:rsidR="00796516">
        <w:t>.</w:t>
      </w:r>
    </w:p>
    <w:p w:rsidR="00796516" w:rsidRPr="00796516" w:rsidRDefault="00796516" w:rsidP="00481E89">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481E89" w:rsidTr="00481E89">
        <w:tc>
          <w:tcPr>
            <w:tcW w:w="720" w:type="dxa"/>
            <w:shd w:val="clear" w:color="auto" w:fill="auto"/>
          </w:tcPr>
          <w:p w:rsidR="00796516" w:rsidRDefault="00796516" w:rsidP="00481E89">
            <w:pPr>
              <w:keepNext/>
              <w:keepLines/>
              <w:jc w:val="both"/>
            </w:pPr>
            <w:bookmarkStart w:id="7" w:name="bkmrkSignature" w:colFirst="0" w:colLast="0"/>
          </w:p>
        </w:tc>
        <w:tc>
          <w:tcPr>
            <w:tcW w:w="4320" w:type="dxa"/>
            <w:tcBorders>
              <w:bottom w:val="single" w:sz="4" w:space="0" w:color="auto"/>
            </w:tcBorders>
            <w:shd w:val="clear" w:color="auto" w:fill="auto"/>
          </w:tcPr>
          <w:p w:rsidR="00481E89" w:rsidRDefault="00797B72" w:rsidP="00481E89">
            <w:pPr>
              <w:keepNext/>
              <w:keepLines/>
              <w:jc w:val="both"/>
            </w:pPr>
            <w:r>
              <w:t>/s/ Carlotta S. Stauffer</w:t>
            </w:r>
            <w:bookmarkStart w:id="8" w:name="_GoBack"/>
            <w:bookmarkEnd w:id="8"/>
          </w:p>
        </w:tc>
      </w:tr>
      <w:bookmarkEnd w:id="7"/>
      <w:tr w:rsidR="00481E89" w:rsidTr="00481E89">
        <w:tc>
          <w:tcPr>
            <w:tcW w:w="720" w:type="dxa"/>
            <w:shd w:val="clear" w:color="auto" w:fill="auto"/>
          </w:tcPr>
          <w:p w:rsidR="00481E89" w:rsidRDefault="00481E89" w:rsidP="00481E89">
            <w:pPr>
              <w:keepNext/>
              <w:keepLines/>
              <w:jc w:val="both"/>
            </w:pPr>
          </w:p>
        </w:tc>
        <w:tc>
          <w:tcPr>
            <w:tcW w:w="4320" w:type="dxa"/>
            <w:tcBorders>
              <w:top w:val="single" w:sz="4" w:space="0" w:color="auto"/>
            </w:tcBorders>
            <w:shd w:val="clear" w:color="auto" w:fill="auto"/>
          </w:tcPr>
          <w:p w:rsidR="00481E89" w:rsidRDefault="00481E89" w:rsidP="00481E89">
            <w:pPr>
              <w:keepNext/>
              <w:keepLines/>
              <w:jc w:val="both"/>
            </w:pPr>
            <w:r>
              <w:t>CARLOTTA S. STAUFFER</w:t>
            </w:r>
          </w:p>
          <w:p w:rsidR="00481E89" w:rsidRDefault="00481E89" w:rsidP="00481E89">
            <w:pPr>
              <w:keepNext/>
              <w:keepLines/>
              <w:jc w:val="both"/>
            </w:pPr>
            <w:r>
              <w:t>Commission Clerk</w:t>
            </w:r>
          </w:p>
        </w:tc>
      </w:tr>
    </w:tbl>
    <w:p w:rsidR="00481E89" w:rsidRDefault="00481E89" w:rsidP="00481E89">
      <w:pPr>
        <w:pStyle w:val="OrderSigInfo"/>
        <w:keepNext/>
        <w:keepLines/>
      </w:pPr>
      <w:r>
        <w:t>Florida Public Service Commission</w:t>
      </w:r>
    </w:p>
    <w:p w:rsidR="00481E89" w:rsidRDefault="00481E89" w:rsidP="00481E89">
      <w:pPr>
        <w:pStyle w:val="OrderSigInfo"/>
        <w:keepNext/>
        <w:keepLines/>
      </w:pPr>
      <w:r>
        <w:t>2540 Shumard Oak Boulevard</w:t>
      </w:r>
    </w:p>
    <w:p w:rsidR="00481E89" w:rsidRDefault="00481E89" w:rsidP="00481E89">
      <w:pPr>
        <w:pStyle w:val="OrderSigInfo"/>
        <w:keepNext/>
        <w:keepLines/>
      </w:pPr>
      <w:r>
        <w:t>Tallahassee, Florida  32399</w:t>
      </w:r>
    </w:p>
    <w:p w:rsidR="00481E89" w:rsidRDefault="00481E89" w:rsidP="00481E89">
      <w:pPr>
        <w:pStyle w:val="OrderSigInfo"/>
        <w:keepNext/>
        <w:keepLines/>
      </w:pPr>
      <w:r>
        <w:t>(850) 413</w:t>
      </w:r>
      <w:r>
        <w:noBreakHyphen/>
        <w:t>6770</w:t>
      </w:r>
    </w:p>
    <w:p w:rsidR="00481E89" w:rsidRDefault="00481E89" w:rsidP="00481E89">
      <w:pPr>
        <w:pStyle w:val="OrderSigInfo"/>
        <w:keepNext/>
        <w:keepLines/>
      </w:pPr>
      <w:r>
        <w:t>www.floridapsc.com</w:t>
      </w:r>
    </w:p>
    <w:p w:rsidR="00481E89" w:rsidRDefault="00481E89" w:rsidP="00481E89">
      <w:pPr>
        <w:pStyle w:val="OrderSigInfo"/>
        <w:keepNext/>
        <w:keepLines/>
      </w:pPr>
    </w:p>
    <w:p w:rsidR="00481E89" w:rsidRDefault="00481E89" w:rsidP="00481E89">
      <w:pPr>
        <w:pStyle w:val="OrderSigInfo"/>
        <w:keepNext/>
        <w:keepLines/>
      </w:pPr>
      <w:r>
        <w:t>Copies furnished:  A copy of this document is provided to the parties of record at the time of issuance and, if applicable, interested persons.</w:t>
      </w:r>
    </w:p>
    <w:p w:rsidR="00481E89" w:rsidRDefault="00481E89" w:rsidP="00481E89">
      <w:pPr>
        <w:pStyle w:val="OrderBody"/>
        <w:keepNext/>
        <w:keepLines/>
      </w:pPr>
    </w:p>
    <w:p w:rsidR="00481E89" w:rsidRDefault="00481E89" w:rsidP="00481E89">
      <w:pPr>
        <w:pStyle w:val="OrderBody"/>
        <w:keepNext/>
        <w:keepLines/>
      </w:pPr>
      <w:r>
        <w:t>SBr</w:t>
      </w:r>
    </w:p>
    <w:p w:rsidR="00481E89" w:rsidRDefault="00481E89" w:rsidP="00481E89">
      <w:pPr>
        <w:pStyle w:val="OrderBody"/>
        <w:keepNext/>
        <w:keepLines/>
      </w:pPr>
    </w:p>
    <w:p w:rsidR="00481E89" w:rsidRDefault="00481E89" w:rsidP="00481E89">
      <w:pPr>
        <w:pStyle w:val="CenterUnderline"/>
      </w:pPr>
      <w:r>
        <w:t>NOTICE OF FURTHER PROCEEDINGS OR JUDICIAL REVIEW</w:t>
      </w:r>
    </w:p>
    <w:p w:rsidR="00481E89" w:rsidRDefault="00481E89" w:rsidP="00481E89">
      <w:pPr>
        <w:pStyle w:val="CenterUnderline"/>
      </w:pPr>
    </w:p>
    <w:p w:rsidR="00481E89" w:rsidRDefault="00481E89" w:rsidP="00481E89">
      <w:pPr>
        <w:pStyle w:val="OrderBody"/>
      </w:pPr>
    </w:p>
    <w:p w:rsidR="00481E89" w:rsidRDefault="00481E89" w:rsidP="00481E89">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481E89" w:rsidRDefault="00481E89" w:rsidP="00481E89">
      <w:pPr>
        <w:pStyle w:val="OrderBody"/>
      </w:pPr>
    </w:p>
    <w:p w:rsidR="00481E89" w:rsidRDefault="00481E89" w:rsidP="00481E89">
      <w:pPr>
        <w:pStyle w:val="OrderBody"/>
      </w:pPr>
      <w:r>
        <w:tab/>
        <w:t xml:space="preserve">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w:t>
      </w:r>
      <w:r>
        <w:lastRenderedPageBreak/>
        <w:t>Rules of Appellate Procedure.  The notice of appeal must be in the form specified in Rule 9.900(a), Florida Rules of Appellate Procedure.</w:t>
      </w:r>
    </w:p>
    <w:p w:rsidR="00481E89" w:rsidRDefault="00481E89" w:rsidP="00481E89">
      <w:pPr>
        <w:pStyle w:val="OrderBody"/>
      </w:pPr>
    </w:p>
    <w:p w:rsidR="003F7E2B" w:rsidRDefault="003F7E2B">
      <w:pPr>
        <w:sectPr w:rsidR="003F7E2B">
          <w:headerReference w:type="default" r:id="rId9"/>
          <w:footerReference w:type="first" r:id="rId10"/>
          <w:pgSz w:w="12240" w:h="15840" w:code="1"/>
          <w:pgMar w:top="1440" w:right="1440" w:bottom="1440" w:left="1440" w:header="720" w:footer="720" w:gutter="0"/>
          <w:cols w:space="720"/>
          <w:titlePg/>
          <w:docGrid w:linePitch="360"/>
        </w:sectPr>
      </w:pPr>
    </w:p>
    <w:p w:rsidR="00481E89" w:rsidRDefault="003F7E2B">
      <w:r>
        <w:rPr>
          <w:noProof/>
        </w:rPr>
        <w:lastRenderedPageBreak/>
        <w:drawing>
          <wp:inline distT="0" distB="0" distL="0" distR="0">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0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0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0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0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0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0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0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0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1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1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1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1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1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1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1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1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1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1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2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2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2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2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2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2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2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2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2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2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3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3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3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3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3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3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3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3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3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3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4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4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4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_Page_4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481E89" w:rsidSect="003F7E2B">
      <w:headerReference w:type="default" r:id="rId54"/>
      <w:headerReference w:type="first" r:id="rId55"/>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2284" w:rsidRDefault="00712284">
      <w:r>
        <w:separator/>
      </w:r>
    </w:p>
  </w:endnote>
  <w:endnote w:type="continuationSeparator" w:id="0">
    <w:p w:rsidR="00712284" w:rsidRDefault="007122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2284" w:rsidRDefault="00712284">
      <w:r>
        <w:separator/>
      </w:r>
    </w:p>
  </w:footnote>
  <w:footnote w:type="continuationSeparator" w:id="0">
    <w:p w:rsidR="00712284" w:rsidRDefault="00712284">
      <w:r>
        <w:continuationSeparator/>
      </w:r>
    </w:p>
  </w:footnote>
  <w:footnote w:id="1">
    <w:p w:rsidR="00F8322F" w:rsidRPr="00F8322F" w:rsidRDefault="00F8322F">
      <w:pPr>
        <w:pStyle w:val="FootnoteText"/>
        <w:rPr>
          <w:i/>
        </w:rPr>
      </w:pPr>
      <w:r>
        <w:rPr>
          <w:rStyle w:val="FootnoteReference"/>
        </w:rPr>
        <w:footnoteRef/>
      </w:r>
      <w:r>
        <w:t xml:space="preserve"> Docket No. 20160160, </w:t>
      </w:r>
      <w:r w:rsidR="00E054FB" w:rsidRPr="00E054FB">
        <w:rPr>
          <w:u w:val="single"/>
        </w:rPr>
        <w:t>In re:</w:t>
      </w:r>
      <w:r w:rsidR="00E054FB">
        <w:rPr>
          <w:u w:val="single"/>
        </w:rPr>
        <w:t xml:space="preserve"> </w:t>
      </w:r>
      <w:r w:rsidRPr="00E054FB">
        <w:rPr>
          <w:u w:val="single"/>
        </w:rPr>
        <w:t>Petition by Tamp</w:t>
      </w:r>
      <w:r w:rsidRPr="00F8322F">
        <w:rPr>
          <w:u w:val="single"/>
        </w:rPr>
        <w:t>a Electric Company for approval of Energy Transaction Optimization Mechanism.</w:t>
      </w:r>
      <w:r>
        <w:rPr>
          <w:i/>
        </w:rPr>
        <w:t xml:space="preserve"> </w:t>
      </w:r>
    </w:p>
  </w:footnote>
  <w:footnote w:id="2">
    <w:p w:rsidR="00712284" w:rsidRDefault="00712284" w:rsidP="00712284">
      <w:pPr>
        <w:pStyle w:val="FootnoteText"/>
      </w:pPr>
      <w:r>
        <w:rPr>
          <w:rStyle w:val="FootnoteReference"/>
        </w:rPr>
        <w:footnoteRef/>
      </w:r>
      <w:r>
        <w:t xml:space="preserve"> Order No.   PSC-13-0023-S-EI, issued on January 14, 2013, in Docket No. 120015-EI, </w:t>
      </w:r>
      <w:r>
        <w:rPr>
          <w:u w:val="single"/>
        </w:rPr>
        <w:t>In re: Petition for increase in rates by Florida Power &amp; Light Company</w:t>
      </w:r>
      <w:r>
        <w:t xml:space="preserve">; Order No. PSC-11-0089-S-EI, issued February 1, 2011, in Docket Nos. 080677 and 090130, </w:t>
      </w:r>
      <w:r>
        <w:rPr>
          <w:u w:val="single"/>
        </w:rPr>
        <w:t>In re: Petition for increase in rates by Florida Power &amp; Light Company</w:t>
      </w:r>
      <w:r>
        <w:t xml:space="preserve"> and </w:t>
      </w:r>
      <w:r>
        <w:rPr>
          <w:u w:val="single"/>
        </w:rPr>
        <w:t>In re: 2009 depreciation and dismantlement study by Florida Power &amp; Light Company</w:t>
      </w:r>
      <w:r>
        <w:t xml:space="preserve">; Order No. PSC-13-0023-S-EIPSC-10-0398-S-EI, issued June 18, 2010, in Docket Nos. 090079-EI, 090144-EI, 090145-EI, 100136-EI, </w:t>
      </w:r>
      <w:r>
        <w:rPr>
          <w:u w:val="single"/>
        </w:rPr>
        <w:t>In re: Petition for increase in rates by Progress Energy Florida, Inc.</w:t>
      </w:r>
      <w:r>
        <w:t xml:space="preserve">, </w:t>
      </w:r>
      <w:r>
        <w:rPr>
          <w:u w:val="single"/>
        </w:rPr>
        <w:t>In re: Petition for limited proceeding to include Bartow repowering project in base rates, by Progress Energy Florida, Inc.</w:t>
      </w:r>
      <w:r>
        <w:t xml:space="preserve">, </w:t>
      </w:r>
      <w:r>
        <w:rPr>
          <w:u w:val="single"/>
        </w:rPr>
        <w:t>In re: Petition for expedited approval of the deferral of pension expenses, authorization to charge storm hardening expenses to the storm damage reserve, and variance from or waiver of Rule 25-6.0143(1)(c), (d), and (f), F.A.C., by Progress Energy Florida, Inc.</w:t>
      </w:r>
      <w:r>
        <w:t xml:space="preserve">, and </w:t>
      </w:r>
      <w:r>
        <w:rPr>
          <w:u w:val="single"/>
        </w:rPr>
        <w:t>In re: Petition for approval of an accounting order to record a depreciation expense credit, by Progress Energy Florida, Inc.</w:t>
      </w:r>
      <w:r>
        <w:t xml:space="preserve">; Order No. PSC-05-0945-S-EI, issued September 28, 2005, in Docket No. 050078-EI, </w:t>
      </w:r>
      <w:r>
        <w:rPr>
          <w:u w:val="single"/>
        </w:rPr>
        <w:t>In re: Petition for rate increase by Progress Energy Florida, Inc.</w:t>
      </w:r>
      <w:r>
        <w:t xml:space="preserve">      </w:t>
      </w:r>
    </w:p>
  </w:footnote>
  <w:footnote w:id="3">
    <w:p w:rsidR="00712284" w:rsidRDefault="00712284" w:rsidP="00712284">
      <w:pPr>
        <w:pStyle w:val="FootnoteText"/>
      </w:pPr>
      <w:r>
        <w:rPr>
          <w:rStyle w:val="FootnoteReference"/>
        </w:rPr>
        <w:footnoteRef/>
      </w:r>
      <w:r>
        <w:t xml:space="preserve"> Order No. PSC-13-0023-S-EI, at p. 7.  </w:t>
      </w:r>
    </w:p>
  </w:footnote>
  <w:footnote w:id="4">
    <w:p w:rsidR="00192B3A" w:rsidRDefault="00192B3A">
      <w:pPr>
        <w:pStyle w:val="FootnoteText"/>
      </w:pPr>
      <w:r>
        <w:rPr>
          <w:rStyle w:val="FootnoteReference"/>
        </w:rPr>
        <w:footnoteRef/>
      </w:r>
      <w:r>
        <w:t xml:space="preserve"> </w:t>
      </w:r>
      <w:r w:rsidR="009D1123">
        <w:t>Order No. PSC-</w:t>
      </w:r>
      <w:r w:rsidR="0095644E">
        <w:t xml:space="preserve">16-0560-AS-EI, issued on December 15, 2016, in Docket No. 160021-EI, </w:t>
      </w:r>
      <w:r w:rsidR="0095644E">
        <w:rPr>
          <w:u w:val="single"/>
        </w:rPr>
        <w:t>In re: Petition for rate increase</w:t>
      </w:r>
      <w:r w:rsidR="0095644E" w:rsidRPr="0095644E">
        <w:rPr>
          <w:u w:val="single"/>
        </w:rPr>
        <w:t xml:space="preserve"> by Florida Power &amp; Light Company</w:t>
      </w:r>
      <w:r w:rsidR="0095644E">
        <w:t xml:space="preserve">; Order No. PSC-17-0178-S-EI, issued on May 16, 2017, in Docket No. 20160186-EI, </w:t>
      </w:r>
      <w:r w:rsidR="0095644E">
        <w:rPr>
          <w:u w:val="single"/>
        </w:rPr>
        <w:t>In re: Petition for rate increase by Gulf Power Company</w:t>
      </w:r>
      <w:r w:rsidR="0095644E">
        <w:t xml:space="preserve">; </w:t>
      </w:r>
      <w:r w:rsidR="00194FE7">
        <w:t xml:space="preserve">Order No. PSC-2017-0451-AS-EI, issued on November 20, 2017, in </w:t>
      </w:r>
      <w:r w:rsidR="0095644E">
        <w:t xml:space="preserve">Docket No. 20170183-EI, </w:t>
      </w:r>
      <w:r w:rsidR="00E00CB6">
        <w:t xml:space="preserve"> </w:t>
      </w:r>
      <w:r w:rsidR="00E00CB6" w:rsidRPr="00E00CB6">
        <w:rPr>
          <w:u w:val="single"/>
        </w:rPr>
        <w:t>In re:</w:t>
      </w:r>
      <w:r w:rsidR="00E00CB6">
        <w:rPr>
          <w:u w:val="single"/>
        </w:rPr>
        <w:t xml:space="preserve"> Application for limited proceeding to approve 2017 second revised and restated settlement agreement including certain rate adjustments by Duke Energy Florida LLC </w:t>
      </w:r>
      <w:r w:rsidR="00194FE7">
        <w:rPr>
          <w:u w:val="single"/>
        </w:rPr>
        <w:t>.</w:t>
      </w:r>
      <w:r w:rsidR="0095644E">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456 ">
      <w:r w:rsidR="00797B72">
        <w:t>PSC-2017-0456-S-EI</w:t>
      </w:r>
    </w:fldSimple>
  </w:p>
  <w:p w:rsidR="00FA6EFD" w:rsidRDefault="00712284">
    <w:pPr>
      <w:pStyle w:val="OrderHeader"/>
    </w:pPr>
    <w:bookmarkStart w:id="9" w:name="HeaderDocketNo"/>
    <w:bookmarkEnd w:id="9"/>
    <w:r>
      <w:t>DOCKET NOS. 20170210-EI, 20160160-EI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97B72">
      <w:rPr>
        <w:rStyle w:val="PageNumber"/>
        <w:noProof/>
      </w:rPr>
      <w:t>6</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7E2B" w:rsidRDefault="003F7E2B" w:rsidP="003F7E2B">
    <w:pPr>
      <w:pStyle w:val="OrderHeader"/>
      <w:tabs>
        <w:tab w:val="clear" w:pos="4320"/>
        <w:tab w:val="clear" w:pos="8640"/>
        <w:tab w:val="right" w:pos="9360"/>
      </w:tabs>
    </w:pPr>
    <w:r>
      <w:t xml:space="preserve">ORDER NO. </w:t>
    </w:r>
    <w:r w:rsidR="00066595">
      <w:t>PSC-2017-0456-</w:t>
    </w:r>
    <w:r w:rsidR="00796516">
      <w:t>S</w:t>
    </w:r>
    <w:r w:rsidR="00066595">
      <w:t>-EI</w:t>
    </w:r>
    <w:r>
      <w:tab/>
      <w:t>ATTACHMENT A</w:t>
    </w:r>
  </w:p>
  <w:p w:rsidR="003F7E2B" w:rsidRDefault="003F7E2B" w:rsidP="003F7E2B">
    <w:pPr>
      <w:pStyle w:val="OrderHeader"/>
      <w:tabs>
        <w:tab w:val="clear" w:pos="4320"/>
        <w:tab w:val="clear" w:pos="8640"/>
        <w:tab w:val="right" w:pos="9360"/>
      </w:tabs>
    </w:pPr>
    <w:r>
      <w:t>DOCKET NOS. 20170210-EI, 20160160-EI</w:t>
    </w:r>
    <w:r>
      <w:tab/>
      <w:t xml:space="preserve">Page </w:t>
    </w:r>
    <w:r>
      <w:fldChar w:fldCharType="begin"/>
    </w:r>
    <w:r>
      <w:instrText xml:space="preserve">= </w:instrText>
    </w:r>
    <w:r>
      <w:fldChar w:fldCharType="begin"/>
    </w:r>
    <w:r>
      <w:instrText xml:space="preserve">page  </w:instrText>
    </w:r>
    <w:r>
      <w:fldChar w:fldCharType="separate"/>
    </w:r>
    <w:r w:rsidR="00797B72">
      <w:rPr>
        <w:noProof/>
      </w:rPr>
      <w:instrText>50</w:instrText>
    </w:r>
    <w:r>
      <w:fldChar w:fldCharType="end"/>
    </w:r>
    <w:r>
      <w:instrText>-</w:instrText>
    </w:r>
    <w:r w:rsidR="00CE1042">
      <w:instrText>7</w:instrText>
    </w:r>
    <w:r>
      <w:instrText xml:space="preserve"> </w:instrText>
    </w:r>
    <w:r>
      <w:fldChar w:fldCharType="separate"/>
    </w:r>
    <w:r w:rsidR="00797B72">
      <w:rPr>
        <w:noProof/>
      </w:rPr>
      <w:t>43</w:t>
    </w:r>
    <w:r>
      <w:fldChar w:fldCharType="end"/>
    </w:r>
    <w:r>
      <w:t xml:space="preserve"> of 43</w:t>
    </w:r>
  </w:p>
  <w:p w:rsidR="003F7E2B" w:rsidRDefault="003F7E2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97B72">
      <w:rPr>
        <w:rStyle w:val="PageNumber"/>
        <w:noProof/>
      </w:rPr>
      <w:t>50</w:t>
    </w:r>
    <w:r>
      <w:rPr>
        <w:rStyle w:val="PageNumber"/>
      </w:rPr>
      <w:fldChar w:fldCharType="end"/>
    </w:r>
  </w:p>
  <w:p w:rsidR="003F7E2B" w:rsidRDefault="003F7E2B">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7E2B" w:rsidRDefault="003F7E2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912845"/>
    <w:multiLevelType w:val="hybridMultilevel"/>
    <w:tmpl w:val="70ACF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44C0D1E"/>
    <w:multiLevelType w:val="hybridMultilevel"/>
    <w:tmpl w:val="C92E7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5ED1492"/>
    <w:multiLevelType w:val="hybridMultilevel"/>
    <w:tmpl w:val="B94C4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BE33BD9"/>
    <w:multiLevelType w:val="hybridMultilevel"/>
    <w:tmpl w:val="5EAC433C"/>
    <w:lvl w:ilvl="0" w:tplc="5AA8425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6FB25CE8"/>
    <w:multiLevelType w:val="hybridMultilevel"/>
    <w:tmpl w:val="93B4D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4"/>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70210-EI, 20160160-EI"/>
  </w:docVars>
  <w:rsids>
    <w:rsidRoot w:val="00712284"/>
    <w:rsid w:val="000022B8"/>
    <w:rsid w:val="00053AB9"/>
    <w:rsid w:val="00056229"/>
    <w:rsid w:val="00065FC2"/>
    <w:rsid w:val="00066595"/>
    <w:rsid w:val="00067685"/>
    <w:rsid w:val="00076E6B"/>
    <w:rsid w:val="0008247D"/>
    <w:rsid w:val="00090AFC"/>
    <w:rsid w:val="000D02B8"/>
    <w:rsid w:val="000D06E8"/>
    <w:rsid w:val="000E20F0"/>
    <w:rsid w:val="000E344D"/>
    <w:rsid w:val="000F3B2C"/>
    <w:rsid w:val="000F648A"/>
    <w:rsid w:val="000F7BE3"/>
    <w:rsid w:val="0010309E"/>
    <w:rsid w:val="001052BA"/>
    <w:rsid w:val="001107B3"/>
    <w:rsid w:val="001114B1"/>
    <w:rsid w:val="001139D8"/>
    <w:rsid w:val="00116AD3"/>
    <w:rsid w:val="00121957"/>
    <w:rsid w:val="00126593"/>
    <w:rsid w:val="00142A96"/>
    <w:rsid w:val="001513DE"/>
    <w:rsid w:val="00187E32"/>
    <w:rsid w:val="00192B3A"/>
    <w:rsid w:val="00194E81"/>
    <w:rsid w:val="00194FE7"/>
    <w:rsid w:val="001A15E7"/>
    <w:rsid w:val="001A33C9"/>
    <w:rsid w:val="001A58F3"/>
    <w:rsid w:val="001D008A"/>
    <w:rsid w:val="001E0152"/>
    <w:rsid w:val="001E0FF5"/>
    <w:rsid w:val="001F50C4"/>
    <w:rsid w:val="002002ED"/>
    <w:rsid w:val="002170E5"/>
    <w:rsid w:val="00220D57"/>
    <w:rsid w:val="0022721A"/>
    <w:rsid w:val="00230BB9"/>
    <w:rsid w:val="00241CEF"/>
    <w:rsid w:val="00252B30"/>
    <w:rsid w:val="0026544B"/>
    <w:rsid w:val="00277655"/>
    <w:rsid w:val="002824B7"/>
    <w:rsid w:val="002A11AC"/>
    <w:rsid w:val="002A6F30"/>
    <w:rsid w:val="002B3111"/>
    <w:rsid w:val="002C7908"/>
    <w:rsid w:val="002D18A2"/>
    <w:rsid w:val="002D391B"/>
    <w:rsid w:val="002D4B1F"/>
    <w:rsid w:val="002D7D15"/>
    <w:rsid w:val="002E1B2E"/>
    <w:rsid w:val="002E27EB"/>
    <w:rsid w:val="002F2A9D"/>
    <w:rsid w:val="00303FDE"/>
    <w:rsid w:val="003140E8"/>
    <w:rsid w:val="003231C7"/>
    <w:rsid w:val="003270C4"/>
    <w:rsid w:val="00331ED0"/>
    <w:rsid w:val="00332B0A"/>
    <w:rsid w:val="00333A41"/>
    <w:rsid w:val="0035495B"/>
    <w:rsid w:val="00361522"/>
    <w:rsid w:val="00361842"/>
    <w:rsid w:val="0037196E"/>
    <w:rsid w:val="00371A91"/>
    <w:rsid w:val="003744F5"/>
    <w:rsid w:val="00390DD8"/>
    <w:rsid w:val="00394DC6"/>
    <w:rsid w:val="0039631B"/>
    <w:rsid w:val="00397C3E"/>
    <w:rsid w:val="003D4CCA"/>
    <w:rsid w:val="003D52A6"/>
    <w:rsid w:val="003D6416"/>
    <w:rsid w:val="003E1D48"/>
    <w:rsid w:val="003F65FA"/>
    <w:rsid w:val="003F7E2B"/>
    <w:rsid w:val="00411DF2"/>
    <w:rsid w:val="0042527B"/>
    <w:rsid w:val="00457DC7"/>
    <w:rsid w:val="00472325"/>
    <w:rsid w:val="00472BCC"/>
    <w:rsid w:val="00472E05"/>
    <w:rsid w:val="00481E89"/>
    <w:rsid w:val="004A25CD"/>
    <w:rsid w:val="004A26CC"/>
    <w:rsid w:val="004B2108"/>
    <w:rsid w:val="004B3A2B"/>
    <w:rsid w:val="004B70D3"/>
    <w:rsid w:val="004C312D"/>
    <w:rsid w:val="004D2D1B"/>
    <w:rsid w:val="004D4BE5"/>
    <w:rsid w:val="004D5067"/>
    <w:rsid w:val="004E469D"/>
    <w:rsid w:val="004F2DDE"/>
    <w:rsid w:val="004F7826"/>
    <w:rsid w:val="0050097F"/>
    <w:rsid w:val="00514B1F"/>
    <w:rsid w:val="00525E93"/>
    <w:rsid w:val="0052671D"/>
    <w:rsid w:val="00556A10"/>
    <w:rsid w:val="00590845"/>
    <w:rsid w:val="005963C2"/>
    <w:rsid w:val="005A0D69"/>
    <w:rsid w:val="005B45F7"/>
    <w:rsid w:val="005B63EA"/>
    <w:rsid w:val="005C1A88"/>
    <w:rsid w:val="005C5033"/>
    <w:rsid w:val="005E751B"/>
    <w:rsid w:val="005F54E7"/>
    <w:rsid w:val="00603CEF"/>
    <w:rsid w:val="00610E73"/>
    <w:rsid w:val="006147BF"/>
    <w:rsid w:val="0063168D"/>
    <w:rsid w:val="00660774"/>
    <w:rsid w:val="0066389A"/>
    <w:rsid w:val="0066495C"/>
    <w:rsid w:val="00665CC7"/>
    <w:rsid w:val="00672612"/>
    <w:rsid w:val="00677F18"/>
    <w:rsid w:val="006A0BF3"/>
    <w:rsid w:val="006B0DA6"/>
    <w:rsid w:val="006C547E"/>
    <w:rsid w:val="006D34D2"/>
    <w:rsid w:val="006D3AB8"/>
    <w:rsid w:val="006F4666"/>
    <w:rsid w:val="00704C5D"/>
    <w:rsid w:val="007072BC"/>
    <w:rsid w:val="00712284"/>
    <w:rsid w:val="00715275"/>
    <w:rsid w:val="00733B6B"/>
    <w:rsid w:val="007467C4"/>
    <w:rsid w:val="0076170F"/>
    <w:rsid w:val="0076669C"/>
    <w:rsid w:val="00777727"/>
    <w:rsid w:val="007865E9"/>
    <w:rsid w:val="00792383"/>
    <w:rsid w:val="00796516"/>
    <w:rsid w:val="00797B72"/>
    <w:rsid w:val="007A060F"/>
    <w:rsid w:val="007C36E3"/>
    <w:rsid w:val="007C7134"/>
    <w:rsid w:val="007D3D20"/>
    <w:rsid w:val="007E3AFD"/>
    <w:rsid w:val="00801DAD"/>
    <w:rsid w:val="00803189"/>
    <w:rsid w:val="00804E7A"/>
    <w:rsid w:val="00805FBB"/>
    <w:rsid w:val="008169A4"/>
    <w:rsid w:val="008278FE"/>
    <w:rsid w:val="00832598"/>
    <w:rsid w:val="0083397E"/>
    <w:rsid w:val="0083534B"/>
    <w:rsid w:val="00842602"/>
    <w:rsid w:val="00847B45"/>
    <w:rsid w:val="00863A66"/>
    <w:rsid w:val="008703D7"/>
    <w:rsid w:val="00874429"/>
    <w:rsid w:val="00883D9A"/>
    <w:rsid w:val="008919EF"/>
    <w:rsid w:val="00892B20"/>
    <w:rsid w:val="008A12EC"/>
    <w:rsid w:val="008C21C8"/>
    <w:rsid w:val="008C6375"/>
    <w:rsid w:val="008C6A5B"/>
    <w:rsid w:val="008E26A5"/>
    <w:rsid w:val="008E42D2"/>
    <w:rsid w:val="009040EE"/>
    <w:rsid w:val="009057FD"/>
    <w:rsid w:val="00906FBA"/>
    <w:rsid w:val="009228C7"/>
    <w:rsid w:val="00922A7F"/>
    <w:rsid w:val="00923A5E"/>
    <w:rsid w:val="00931C8C"/>
    <w:rsid w:val="009405D6"/>
    <w:rsid w:val="0094504B"/>
    <w:rsid w:val="00951712"/>
    <w:rsid w:val="0095644E"/>
    <w:rsid w:val="0096742B"/>
    <w:rsid w:val="009924CF"/>
    <w:rsid w:val="00994100"/>
    <w:rsid w:val="009A6B17"/>
    <w:rsid w:val="009D1123"/>
    <w:rsid w:val="009D4C29"/>
    <w:rsid w:val="00A00D8D"/>
    <w:rsid w:val="00A03B36"/>
    <w:rsid w:val="00A17D00"/>
    <w:rsid w:val="00A269BB"/>
    <w:rsid w:val="00A4303C"/>
    <w:rsid w:val="00A62DAB"/>
    <w:rsid w:val="00A726A6"/>
    <w:rsid w:val="00A97535"/>
    <w:rsid w:val="00AA73F1"/>
    <w:rsid w:val="00AB0E1A"/>
    <w:rsid w:val="00AB1A30"/>
    <w:rsid w:val="00AD10EB"/>
    <w:rsid w:val="00AD1ED3"/>
    <w:rsid w:val="00B0777D"/>
    <w:rsid w:val="00B1195F"/>
    <w:rsid w:val="00B209C7"/>
    <w:rsid w:val="00B3644F"/>
    <w:rsid w:val="00B4057A"/>
    <w:rsid w:val="00B40894"/>
    <w:rsid w:val="00B444AE"/>
    <w:rsid w:val="00B45E75"/>
    <w:rsid w:val="00B50876"/>
    <w:rsid w:val="00B55AB0"/>
    <w:rsid w:val="00B55EE5"/>
    <w:rsid w:val="00B71D1F"/>
    <w:rsid w:val="00B73DE6"/>
    <w:rsid w:val="00B86EF0"/>
    <w:rsid w:val="00B96969"/>
    <w:rsid w:val="00B97900"/>
    <w:rsid w:val="00BA1229"/>
    <w:rsid w:val="00BA44A8"/>
    <w:rsid w:val="00BF360A"/>
    <w:rsid w:val="00BF6691"/>
    <w:rsid w:val="00C028FC"/>
    <w:rsid w:val="00C10ED5"/>
    <w:rsid w:val="00C151A6"/>
    <w:rsid w:val="00C24098"/>
    <w:rsid w:val="00C30A4E"/>
    <w:rsid w:val="00C411F3"/>
    <w:rsid w:val="00C44105"/>
    <w:rsid w:val="00C55A33"/>
    <w:rsid w:val="00C66692"/>
    <w:rsid w:val="00C91123"/>
    <w:rsid w:val="00CA71FF"/>
    <w:rsid w:val="00CB5276"/>
    <w:rsid w:val="00CB68D7"/>
    <w:rsid w:val="00CC7E68"/>
    <w:rsid w:val="00CD1865"/>
    <w:rsid w:val="00CD4EAB"/>
    <w:rsid w:val="00CD7132"/>
    <w:rsid w:val="00CE0E6F"/>
    <w:rsid w:val="00CE1042"/>
    <w:rsid w:val="00CE56FC"/>
    <w:rsid w:val="00CF4CFE"/>
    <w:rsid w:val="00D02E0F"/>
    <w:rsid w:val="00D13535"/>
    <w:rsid w:val="00D23FEA"/>
    <w:rsid w:val="00D269CA"/>
    <w:rsid w:val="00D30B48"/>
    <w:rsid w:val="00D46FAA"/>
    <w:rsid w:val="00D47A40"/>
    <w:rsid w:val="00D51D33"/>
    <w:rsid w:val="00D57BB2"/>
    <w:rsid w:val="00D57E57"/>
    <w:rsid w:val="00D70752"/>
    <w:rsid w:val="00D8560E"/>
    <w:rsid w:val="00D8758F"/>
    <w:rsid w:val="00DA6B78"/>
    <w:rsid w:val="00DC006E"/>
    <w:rsid w:val="00DC1D94"/>
    <w:rsid w:val="00DC42CF"/>
    <w:rsid w:val="00DC71A9"/>
    <w:rsid w:val="00DE057F"/>
    <w:rsid w:val="00DE2082"/>
    <w:rsid w:val="00DE2289"/>
    <w:rsid w:val="00DE3E3F"/>
    <w:rsid w:val="00E00CB6"/>
    <w:rsid w:val="00E03A76"/>
    <w:rsid w:val="00E04410"/>
    <w:rsid w:val="00E054FB"/>
    <w:rsid w:val="00E11351"/>
    <w:rsid w:val="00E25530"/>
    <w:rsid w:val="00E75AE0"/>
    <w:rsid w:val="00E83C1F"/>
    <w:rsid w:val="00E86096"/>
    <w:rsid w:val="00EA172C"/>
    <w:rsid w:val="00EA259B"/>
    <w:rsid w:val="00EA35A3"/>
    <w:rsid w:val="00EA3E6A"/>
    <w:rsid w:val="00EB18EF"/>
    <w:rsid w:val="00EB7951"/>
    <w:rsid w:val="00EE17DF"/>
    <w:rsid w:val="00EF4621"/>
    <w:rsid w:val="00EF6312"/>
    <w:rsid w:val="00F234A7"/>
    <w:rsid w:val="00F277B6"/>
    <w:rsid w:val="00F42E9E"/>
    <w:rsid w:val="00F54380"/>
    <w:rsid w:val="00F54B47"/>
    <w:rsid w:val="00F6702E"/>
    <w:rsid w:val="00F70E84"/>
    <w:rsid w:val="00F8322F"/>
    <w:rsid w:val="00FA092B"/>
    <w:rsid w:val="00FA6EFD"/>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uiPriority w:val="59"/>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rsid w:val="00712284"/>
  </w:style>
  <w:style w:type="paragraph" w:styleId="ListParagraph">
    <w:name w:val="List Paragraph"/>
    <w:basedOn w:val="Normal"/>
    <w:uiPriority w:val="34"/>
    <w:qFormat/>
    <w:rsid w:val="00712284"/>
    <w:pPr>
      <w:ind w:left="720"/>
      <w:contextualSpacing/>
    </w:pPr>
  </w:style>
  <w:style w:type="paragraph" w:styleId="BalloonText">
    <w:name w:val="Balloon Text"/>
    <w:basedOn w:val="Normal"/>
    <w:link w:val="BalloonTextChar"/>
    <w:rsid w:val="003F7E2B"/>
    <w:rPr>
      <w:rFonts w:ascii="Tahoma" w:hAnsi="Tahoma" w:cs="Tahoma"/>
      <w:sz w:val="16"/>
      <w:szCs w:val="16"/>
    </w:rPr>
  </w:style>
  <w:style w:type="character" w:customStyle="1" w:styleId="BalloonTextChar">
    <w:name w:val="Balloon Text Char"/>
    <w:basedOn w:val="DefaultParagraphFont"/>
    <w:link w:val="BalloonText"/>
    <w:rsid w:val="003F7E2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uiPriority w:val="59"/>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rsid w:val="00712284"/>
  </w:style>
  <w:style w:type="paragraph" w:styleId="ListParagraph">
    <w:name w:val="List Paragraph"/>
    <w:basedOn w:val="Normal"/>
    <w:uiPriority w:val="34"/>
    <w:qFormat/>
    <w:rsid w:val="00712284"/>
    <w:pPr>
      <w:ind w:left="720"/>
      <w:contextualSpacing/>
    </w:pPr>
  </w:style>
  <w:style w:type="paragraph" w:styleId="BalloonText">
    <w:name w:val="Balloon Text"/>
    <w:basedOn w:val="Normal"/>
    <w:link w:val="BalloonTextChar"/>
    <w:rsid w:val="003F7E2B"/>
    <w:rPr>
      <w:rFonts w:ascii="Tahoma" w:hAnsi="Tahoma" w:cs="Tahoma"/>
      <w:sz w:val="16"/>
      <w:szCs w:val="16"/>
    </w:rPr>
  </w:style>
  <w:style w:type="character" w:customStyle="1" w:styleId="BalloonTextChar">
    <w:name w:val="Balloon Text Char"/>
    <w:basedOn w:val="DefaultParagraphFont"/>
    <w:link w:val="BalloonText"/>
    <w:rsid w:val="003F7E2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Brown,%20Graham,%20Bris&#233;,%20Polmann,%20and%20Clark.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6FD9BA-A095-4192-9AB6-B50E4FA28D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Brown, Graham, Brisé, Polmann, and Clark.dot</Template>
  <TotalTime>0</TotalTime>
  <Pages>50</Pages>
  <Words>1869</Words>
  <Characters>10629</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2017-11-27T16:37:00Z</dcterms:created>
  <dcterms:modified xsi:type="dcterms:W3CDTF">2017-11-27T18:36:00Z</dcterms:modified>
</cp:coreProperties>
</file>