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52B1" w:rsidP="009052B1">
      <w:pPr>
        <w:pStyle w:val="OrderHeading"/>
      </w:pPr>
      <w:r>
        <w:t>BEFORE THE FLORIDA PUBLIC SERVICE COMMISSION</w:t>
      </w:r>
    </w:p>
    <w:p w:rsidR="009052B1" w:rsidRDefault="009052B1" w:rsidP="009052B1">
      <w:pPr>
        <w:pStyle w:val="OrderBody"/>
      </w:pPr>
    </w:p>
    <w:p w:rsidR="009052B1" w:rsidRDefault="009052B1" w:rsidP="009052B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52B1" w:rsidRPr="00C63FCF" w:rsidTr="00C63FCF">
        <w:trPr>
          <w:trHeight w:val="828"/>
        </w:trPr>
        <w:tc>
          <w:tcPr>
            <w:tcW w:w="4788" w:type="dxa"/>
            <w:tcBorders>
              <w:bottom w:val="single" w:sz="8" w:space="0" w:color="auto"/>
              <w:right w:val="double" w:sz="6" w:space="0" w:color="auto"/>
            </w:tcBorders>
            <w:shd w:val="clear" w:color="auto" w:fill="auto"/>
          </w:tcPr>
          <w:p w:rsidR="009052B1" w:rsidRDefault="009052B1" w:rsidP="00C63FCF">
            <w:pPr>
              <w:pStyle w:val="OrderBody"/>
              <w:tabs>
                <w:tab w:val="center" w:pos="4320"/>
                <w:tab w:val="right" w:pos="8640"/>
              </w:tabs>
              <w:jc w:val="left"/>
            </w:pPr>
            <w:r>
              <w:t xml:space="preserve">In re: </w:t>
            </w:r>
            <w:bookmarkStart w:id="0" w:name="SSInRe"/>
            <w:bookmarkEnd w:id="0"/>
            <w:r>
              <w:t>Petition for a limited proceeding to approve third SoBRA, by Tampa Electric Company.</w:t>
            </w:r>
          </w:p>
        </w:tc>
        <w:tc>
          <w:tcPr>
            <w:tcW w:w="4788" w:type="dxa"/>
            <w:tcBorders>
              <w:left w:val="double" w:sz="6" w:space="0" w:color="auto"/>
            </w:tcBorders>
            <w:shd w:val="clear" w:color="auto" w:fill="auto"/>
          </w:tcPr>
          <w:p w:rsidR="009052B1" w:rsidRDefault="009052B1" w:rsidP="009052B1">
            <w:pPr>
              <w:pStyle w:val="OrderBody"/>
            </w:pPr>
            <w:r>
              <w:t xml:space="preserve">DOCKET NO. </w:t>
            </w:r>
            <w:bookmarkStart w:id="1" w:name="SSDocketNo"/>
            <w:bookmarkEnd w:id="1"/>
            <w:r>
              <w:t>20190136-EI</w:t>
            </w:r>
          </w:p>
          <w:p w:rsidR="009052B1" w:rsidRDefault="009052B1" w:rsidP="00C63FCF">
            <w:pPr>
              <w:pStyle w:val="OrderBody"/>
              <w:tabs>
                <w:tab w:val="center" w:pos="4320"/>
                <w:tab w:val="right" w:pos="8640"/>
              </w:tabs>
              <w:jc w:val="left"/>
            </w:pPr>
            <w:r>
              <w:t xml:space="preserve">ORDER NO. </w:t>
            </w:r>
            <w:bookmarkStart w:id="2" w:name="OrderNo0289"/>
            <w:r w:rsidR="00AF7035">
              <w:t>PSC-2019-0289-PCO-EI</w:t>
            </w:r>
            <w:bookmarkEnd w:id="2"/>
          </w:p>
          <w:p w:rsidR="009052B1" w:rsidRDefault="009052B1" w:rsidP="00C63FCF">
            <w:pPr>
              <w:pStyle w:val="OrderBody"/>
              <w:tabs>
                <w:tab w:val="center" w:pos="4320"/>
                <w:tab w:val="right" w:pos="8640"/>
              </w:tabs>
              <w:jc w:val="left"/>
            </w:pPr>
            <w:r>
              <w:t xml:space="preserve">ISSUED: </w:t>
            </w:r>
            <w:r w:rsidR="00AF7035">
              <w:t>July 22, 2019</w:t>
            </w:r>
          </w:p>
        </w:tc>
      </w:tr>
    </w:tbl>
    <w:p w:rsidR="009052B1" w:rsidRDefault="009052B1" w:rsidP="009052B1"/>
    <w:p w:rsidR="009052B1" w:rsidRDefault="009052B1" w:rsidP="009052B1"/>
    <w:p w:rsidR="00CB5276" w:rsidRDefault="009052B1" w:rsidP="009052B1">
      <w:pPr>
        <w:pStyle w:val="CenterUnderline"/>
      </w:pPr>
      <w:bookmarkStart w:id="3" w:name="Commissioners"/>
      <w:bookmarkEnd w:id="3"/>
      <w:r>
        <w:t>ORDER</w:t>
      </w:r>
      <w:bookmarkStart w:id="4" w:name="OrderTitle"/>
      <w:r>
        <w:t xml:space="preserve"> GRANTING INTERVENTION</w:t>
      </w:r>
      <w:bookmarkEnd w:id="4"/>
    </w:p>
    <w:p w:rsidR="009052B1" w:rsidRDefault="009052B1" w:rsidP="009052B1">
      <w:pPr>
        <w:pStyle w:val="CenterUnderline"/>
      </w:pPr>
    </w:p>
    <w:p w:rsidR="009052B1" w:rsidRDefault="00960E57" w:rsidP="00960E57">
      <w:pPr>
        <w:ind w:firstLine="720"/>
        <w:jc w:val="both"/>
      </w:pPr>
      <w:bookmarkStart w:id="5" w:name="OrderText"/>
      <w:bookmarkEnd w:id="5"/>
      <w:r>
        <w:t>Tampa Electric Company’s (TECO) petition for a limited proceeding to approve its 2017 Amended and Restated Stipulation and Settlement Agreement (2017 Settlement) was approved by the Commission on November 27, 2017, by Order No. PSC-2017-0456-S-EI.</w:t>
      </w:r>
      <w:r>
        <w:rPr>
          <w:rStyle w:val="FootnoteReference"/>
        </w:rPr>
        <w:footnoteReference w:id="1"/>
      </w:r>
      <w:r>
        <w:t xml:space="preserve"> Paragraph 6(b) of the 2017 Settlement allows TECO to petition the Commission for cost recovery of up to 150 megawatts (MW) of solar generation in 2020.</w:t>
      </w:r>
    </w:p>
    <w:p w:rsidR="00960E57" w:rsidRDefault="00960E57" w:rsidP="00960E57">
      <w:pPr>
        <w:ind w:firstLine="720"/>
        <w:jc w:val="both"/>
      </w:pPr>
    </w:p>
    <w:p w:rsidR="00960E57" w:rsidRDefault="009419A2" w:rsidP="00960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60E57">
        <w:t>TECO’s first solar rate base adjustment was approved by Order No. PSC-2018-0288-FOF-EI, issued June 5, 2018.</w:t>
      </w:r>
      <w:r w:rsidR="00960E57">
        <w:rPr>
          <w:rStyle w:val="FootnoteReference"/>
        </w:rPr>
        <w:footnoteReference w:id="2"/>
      </w:r>
      <w:r w:rsidR="00960E57">
        <w:t xml:space="preserve"> TECO’s second solar rate base adjustment was approved by Order No. PSC-2018-0571-FOF-EI, issued December 7, 2018.</w:t>
      </w:r>
      <w:r w:rsidR="00960E57">
        <w:rPr>
          <w:rStyle w:val="FootnoteReference"/>
        </w:rPr>
        <w:footnoteReference w:id="3"/>
      </w:r>
    </w:p>
    <w:p w:rsidR="00960E57" w:rsidRDefault="00960E57" w:rsidP="00960E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60E57" w:rsidRPr="00EB1E2A" w:rsidRDefault="00960E57" w:rsidP="00960E57">
      <w:pPr>
        <w:ind w:firstLine="720"/>
        <w:jc w:val="both"/>
      </w:pPr>
      <w:r>
        <w:t xml:space="preserve">On June 28, 2019, TECO filed a petition for a limited proceeding seeking approval for its third solar base rate adjustment. In its petition, TECO seeks cost recovery approval for the Wimauma Solar Project and the Little Manatee River Solar Project pursuant to paragraph 6 of the 2017 Settlement. TECO states that both projects are expected to go into service on or before January 1, 2020. This matter is set for an administrative hearing on </w:t>
      </w:r>
      <w:r w:rsidR="004F0EE5">
        <w:t>October 17</w:t>
      </w:r>
      <w:r>
        <w:t>, 2019.</w:t>
      </w:r>
    </w:p>
    <w:p w:rsidR="009052B1" w:rsidRPr="00EB1E2A" w:rsidRDefault="009052B1" w:rsidP="009052B1">
      <w:pPr>
        <w:jc w:val="both"/>
      </w:pPr>
    </w:p>
    <w:p w:rsidR="009052B1" w:rsidRPr="00173CF1" w:rsidRDefault="009052B1" w:rsidP="009052B1">
      <w:pPr>
        <w:jc w:val="both"/>
        <w:rPr>
          <w:u w:val="single"/>
        </w:rPr>
      </w:pPr>
      <w:r w:rsidRPr="00173CF1">
        <w:rPr>
          <w:u w:val="single"/>
        </w:rPr>
        <w:t>Petition for Intervention</w:t>
      </w:r>
    </w:p>
    <w:p w:rsidR="009052B1" w:rsidRDefault="009052B1" w:rsidP="009052B1">
      <w:pPr>
        <w:jc w:val="both"/>
      </w:pPr>
    </w:p>
    <w:p w:rsidR="009052B1" w:rsidRPr="00EB1E2A" w:rsidRDefault="009052B1" w:rsidP="009052B1">
      <w:pPr>
        <w:ind w:firstLine="720"/>
        <w:jc w:val="both"/>
      </w:pPr>
      <w:r>
        <w:t xml:space="preserve">By </w:t>
      </w:r>
      <w:r w:rsidR="009419A2">
        <w:t>petition</w:t>
      </w:r>
      <w:r>
        <w:t xml:space="preserve"> dated July 2, 2019, </w:t>
      </w:r>
      <w:r w:rsidRPr="00EB5771">
        <w:t xml:space="preserve">the </w:t>
      </w:r>
      <w:r w:rsidR="00900351">
        <w:t>Florida Industrial Power Users Group</w:t>
      </w:r>
      <w:r w:rsidRPr="00EB5771">
        <w:t xml:space="preserve"> (</w:t>
      </w:r>
      <w:r w:rsidR="00900351">
        <w:t>FIPUG</w:t>
      </w:r>
      <w:r w:rsidR="00D32C23">
        <w:t>) requests</w:t>
      </w:r>
      <w:r w:rsidRPr="00EB5771">
        <w:t xml:space="preserve"> permission </w:t>
      </w:r>
      <w:r w:rsidR="00A12BBC">
        <w:t>to intervene in this proceeding. FIPUG states that t</w:t>
      </w:r>
      <w:r w:rsidR="00A12BBC" w:rsidRPr="00D937D0">
        <w:t xml:space="preserve">he </w:t>
      </w:r>
      <w:r w:rsidR="00A12BBC" w:rsidRPr="00F70F3E">
        <w:t xml:space="preserve">rates for </w:t>
      </w:r>
      <w:r w:rsidR="00A12BBC">
        <w:t>the</w:t>
      </w:r>
      <w:r w:rsidR="00A12BBC" w:rsidRPr="00F70F3E">
        <w:t xml:space="preserve"> solar power</w:t>
      </w:r>
      <w:r w:rsidR="00A12BBC">
        <w:t xml:space="preserve"> </w:t>
      </w:r>
      <w:r w:rsidR="00A12BBC" w:rsidRPr="00F70F3E">
        <w:t>facilities</w:t>
      </w:r>
      <w:r w:rsidR="00A12BBC">
        <w:t xml:space="preserve"> under consideration in this proceeding</w:t>
      </w:r>
      <w:r w:rsidR="00A12BBC" w:rsidRPr="00D937D0">
        <w:t>, if approved, wil</w:t>
      </w:r>
      <w:r w:rsidR="00A12BBC">
        <w:t xml:space="preserve">l be recovered from TECO's customers—a substantial number of which are FIPUG members. FIPUG also states that it </w:t>
      </w:r>
      <w:r w:rsidR="00A12BBC" w:rsidRPr="00F70F3E">
        <w:t xml:space="preserve">appears </w:t>
      </w:r>
      <w:r w:rsidR="00A12BBC">
        <w:t xml:space="preserve">on a regular basis before the Commission </w:t>
      </w:r>
      <w:r w:rsidR="00A12BBC" w:rsidRPr="00F70F3E">
        <w:t>on behalf of its members in cases concerning utility regulation, as the cost of electricity represents a significant portion of its members' production costs.</w:t>
      </w:r>
      <w:r w:rsidR="00A12BBC">
        <w:t xml:space="preserve"> FIPUG alleges that it has an</w:t>
      </w:r>
      <w:r w:rsidR="00A12BBC" w:rsidRPr="00D937D0">
        <w:t xml:space="preserve"> interest in ensuring that its members that receive electrical service from </w:t>
      </w:r>
      <w:r w:rsidR="00A12BBC">
        <w:t>TECO</w:t>
      </w:r>
      <w:r w:rsidR="00A12BBC" w:rsidRPr="00D937D0">
        <w:t xml:space="preserve"> are charged fair, just, and reasonable rates for power that is both needed and cost-effective</w:t>
      </w:r>
      <w:r w:rsidR="00A12BBC">
        <w:t>, and that this interest</w:t>
      </w:r>
      <w:r w:rsidR="00A12BBC" w:rsidRPr="00D937D0">
        <w:t xml:space="preserve"> is of the type that this proceeding is designed to </w:t>
      </w:r>
      <w:r w:rsidR="00A12BBC" w:rsidRPr="00D937D0">
        <w:lastRenderedPageBreak/>
        <w:t xml:space="preserve">protect. </w:t>
      </w:r>
      <w:r w:rsidR="00A12BBC" w:rsidRPr="00F845D1">
        <w:t xml:space="preserve">No party has filed an objection to </w:t>
      </w:r>
      <w:r w:rsidR="00A12BBC">
        <w:t>FIPUG’s</w:t>
      </w:r>
      <w:r w:rsidR="00A12BBC" w:rsidRPr="00F845D1">
        <w:t xml:space="preserve"> intervention in this</w:t>
      </w:r>
      <w:r w:rsidR="00A12BBC">
        <w:t xml:space="preserve"> </w:t>
      </w:r>
      <w:r w:rsidR="00A12BBC" w:rsidRPr="00F845D1">
        <w:t>matter, and the time for doing so has expired.</w:t>
      </w:r>
    </w:p>
    <w:p w:rsidR="009052B1" w:rsidRDefault="009052B1" w:rsidP="009052B1">
      <w:pPr>
        <w:jc w:val="both"/>
      </w:pPr>
    </w:p>
    <w:p w:rsidR="009052B1" w:rsidRPr="00173CF1" w:rsidRDefault="009052B1" w:rsidP="009052B1">
      <w:pPr>
        <w:jc w:val="both"/>
        <w:rPr>
          <w:u w:val="single"/>
        </w:rPr>
      </w:pPr>
      <w:r w:rsidRPr="00173CF1">
        <w:rPr>
          <w:u w:val="single"/>
        </w:rPr>
        <w:t>Standards for Intervention</w:t>
      </w:r>
    </w:p>
    <w:p w:rsidR="009052B1" w:rsidRDefault="009052B1" w:rsidP="009052B1">
      <w:pPr>
        <w:jc w:val="both"/>
      </w:pPr>
    </w:p>
    <w:p w:rsidR="009052B1" w:rsidRDefault="009052B1" w:rsidP="009052B1">
      <w:pPr>
        <w:ind w:firstLine="720"/>
        <w:jc w:val="both"/>
      </w:pPr>
      <w:r>
        <w:t>Pursuant to Rule 28-106.205, F.A.C., persons, other than the original parties to a pending proceeding, who have a substantial interest in the proceeding and who desire to become parties ma</w:t>
      </w:r>
      <w:r w:rsidR="00A12BBC">
        <w:t xml:space="preserve">y move for leave to intervene.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w:t>
      </w:r>
      <w:r w:rsidR="00B477FA">
        <w:t xml:space="preserve">fected through the proceeding. </w:t>
      </w:r>
      <w:r>
        <w:t>Intervenors take the case as they find it.</w:t>
      </w:r>
    </w:p>
    <w:p w:rsidR="009052B1" w:rsidRDefault="009052B1" w:rsidP="009052B1">
      <w:pPr>
        <w:ind w:firstLine="720"/>
        <w:jc w:val="both"/>
      </w:pPr>
    </w:p>
    <w:p w:rsidR="009052B1" w:rsidRDefault="009052B1" w:rsidP="009052B1">
      <w:pPr>
        <w:ind w:firstLine="720"/>
        <w:jc w:val="both"/>
      </w:pPr>
      <w:r>
        <w:t xml:space="preserve">To have standing, the intervenor must meet the three-prong standing test set forth in </w:t>
      </w:r>
      <w:r w:rsidRPr="00D12E1B">
        <w:rPr>
          <w:i/>
        </w:rPr>
        <w:t>Florida Home Builders Association v. Department of Labor and Employment Security</w:t>
      </w:r>
      <w:r>
        <w:t xml:space="preserve">, 412 So. 2d 351, 353-54 (Fla. 1982), and </w:t>
      </w:r>
      <w:r w:rsidRPr="00D12E1B">
        <w:rPr>
          <w:i/>
        </w:rPr>
        <w:t>Farmworker Rights Organization, Inc. v. Department of Health and Rehabilitative Services</w:t>
      </w:r>
      <w:r>
        <w:t xml:space="preserve">, 417 So. 2d 753, 754 (Fla. 1st DCA 1982), which is based on the basic standing principles established in </w:t>
      </w:r>
      <w:r w:rsidRPr="00D12E1B">
        <w:rPr>
          <w:i/>
        </w:rPr>
        <w:t>Agrico Chemical Company v. Department of Environmental Regulation</w:t>
      </w:r>
      <w:r>
        <w:t>, 406 So. 2d 478, 481-82 (Fla. 2d DCA 1981).</w:t>
      </w:r>
      <w:r>
        <w:rPr>
          <w:rStyle w:val="FootnoteReference"/>
        </w:rPr>
        <w:footnoteReference w:id="4"/>
      </w:r>
      <w:r w:rsidR="00B477FA">
        <w:t xml:space="preserve"> </w:t>
      </w:r>
      <w:r>
        <w:t>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w:t>
      </w:r>
      <w:r w:rsidR="00B477FA">
        <w:t>ceive on behalf of its members.</w:t>
      </w:r>
      <w:r>
        <w:t xml:space="preserve"> </w:t>
      </w:r>
      <w:r w:rsidRPr="00D12E1B">
        <w:rPr>
          <w:i/>
        </w:rPr>
        <w:t>Fla. Home Builders</w:t>
      </w:r>
      <w:r>
        <w:t xml:space="preserve">, 412 So. 2d at 353-54; </w:t>
      </w:r>
      <w:r w:rsidRPr="00D12E1B">
        <w:rPr>
          <w:i/>
        </w:rPr>
        <w:t>Farmworker Rights Org.</w:t>
      </w:r>
      <w:r>
        <w:t>,417 So. 2d at 754.</w:t>
      </w:r>
    </w:p>
    <w:p w:rsidR="009052B1" w:rsidRDefault="009052B1" w:rsidP="009052B1">
      <w:pPr>
        <w:ind w:firstLine="720"/>
        <w:jc w:val="both"/>
      </w:pPr>
    </w:p>
    <w:p w:rsidR="009052B1" w:rsidRPr="00EB1E2A" w:rsidRDefault="00A12BBC" w:rsidP="009052B1">
      <w:pPr>
        <w:ind w:firstLine="720"/>
        <w:jc w:val="both"/>
      </w:pPr>
      <w:r>
        <w:t xml:space="preserve">Based on the above representations, it appears that FIPUG has met the associational standing requirements of </w:t>
      </w:r>
      <w:r w:rsidRPr="00D12E1B">
        <w:rPr>
          <w:i/>
        </w:rPr>
        <w:t>Florida Home Builders</w:t>
      </w:r>
      <w:r>
        <w:t xml:space="preserve"> as stated above. FIPUG asserts that it has a substantial number of its members that are ratepayers of TECO and, as a result, those members are directly and substantially affected by the decision in this case. Further, keeping electricity costs as low as possible falls within the purview of FIPUG’s general scope of interest and is the type of relief appropriate for FIPUG to receive on behalf of its members.</w:t>
      </w:r>
      <w:r w:rsidRPr="00EB1E2A">
        <w:t xml:space="preserve"> </w:t>
      </w:r>
    </w:p>
    <w:p w:rsidR="009052B1" w:rsidRPr="00EB1E2A" w:rsidRDefault="009052B1" w:rsidP="009052B1">
      <w:pPr>
        <w:ind w:firstLine="720"/>
        <w:jc w:val="both"/>
      </w:pPr>
    </w:p>
    <w:p w:rsidR="00A12BBC" w:rsidRPr="00EB1E2A" w:rsidRDefault="009052B1" w:rsidP="009052B1">
      <w:pPr>
        <w:jc w:val="both"/>
      </w:pPr>
      <w:r w:rsidRPr="00EB1E2A">
        <w:tab/>
      </w:r>
    </w:p>
    <w:p w:rsidR="00A12BBC" w:rsidRDefault="00A12BBC" w:rsidP="009052B1">
      <w:pPr>
        <w:jc w:val="both"/>
      </w:pPr>
    </w:p>
    <w:p w:rsidR="00A12BBC" w:rsidRDefault="00A12BBC" w:rsidP="009052B1">
      <w:pPr>
        <w:jc w:val="both"/>
      </w:pPr>
    </w:p>
    <w:p w:rsidR="009052B1" w:rsidRPr="00826D5E" w:rsidRDefault="009052B1" w:rsidP="00A12BBC">
      <w:pPr>
        <w:ind w:firstLine="720"/>
        <w:jc w:val="both"/>
      </w:pPr>
      <w:r>
        <w:lastRenderedPageBreak/>
        <w:t>Based on the above representations,</w:t>
      </w:r>
      <w:r w:rsidRPr="00826D5E">
        <w:t xml:space="preserve"> it is</w:t>
      </w:r>
    </w:p>
    <w:p w:rsidR="009052B1" w:rsidRPr="00826D5E" w:rsidRDefault="009052B1" w:rsidP="009052B1">
      <w:pPr>
        <w:jc w:val="both"/>
      </w:pPr>
    </w:p>
    <w:p w:rsidR="009052B1" w:rsidRDefault="009052B1" w:rsidP="009052B1">
      <w:pPr>
        <w:ind w:firstLine="720"/>
        <w:jc w:val="both"/>
      </w:pPr>
      <w:r>
        <w:t xml:space="preserve">ORDERED by Commissioner </w:t>
      </w:r>
      <w:r w:rsidR="00900351">
        <w:t>Donald J. Polmann</w:t>
      </w:r>
      <w:r>
        <w:t>, as Prehearing Officer, that the Motion to Intervene filed by</w:t>
      </w:r>
      <w:r w:rsidR="00900351" w:rsidRPr="00900351">
        <w:t xml:space="preserve"> </w:t>
      </w:r>
      <w:r w:rsidR="00900351">
        <w:t>Florida Industrial Power Users Group</w:t>
      </w:r>
      <w:r w:rsidR="00900351" w:rsidRPr="00EB5771">
        <w:t xml:space="preserve"> </w:t>
      </w:r>
      <w:r>
        <w:t>is here</w:t>
      </w:r>
      <w:r w:rsidR="00A12BBC">
        <w:t xml:space="preserve">by granted as set forth in the </w:t>
      </w:r>
      <w:r>
        <w:t>body of this Order. It is further</w:t>
      </w:r>
    </w:p>
    <w:p w:rsidR="009052B1" w:rsidRDefault="009052B1" w:rsidP="009052B1">
      <w:pPr>
        <w:ind w:firstLine="720"/>
        <w:jc w:val="both"/>
      </w:pPr>
    </w:p>
    <w:p w:rsidR="009052B1" w:rsidRDefault="009052B1" w:rsidP="009052B1">
      <w:pPr>
        <w:ind w:firstLine="720"/>
        <w:jc w:val="both"/>
      </w:pPr>
      <w:r>
        <w:t xml:space="preserve">ORDERED that </w:t>
      </w:r>
      <w:r w:rsidR="00900351">
        <w:t>Florida Industrial Power Users Group</w:t>
      </w:r>
      <w:r w:rsidR="00900351" w:rsidRPr="00EB5771">
        <w:t xml:space="preserve"> </w:t>
      </w:r>
      <w:r>
        <w:t xml:space="preserve">takes the case as it finds it. It is further </w:t>
      </w:r>
    </w:p>
    <w:p w:rsidR="009052B1" w:rsidRDefault="009052B1" w:rsidP="009052B1">
      <w:pPr>
        <w:ind w:firstLine="720"/>
        <w:jc w:val="both"/>
      </w:pPr>
    </w:p>
    <w:p w:rsidR="009052B1" w:rsidRDefault="009052B1" w:rsidP="009052B1">
      <w:pPr>
        <w:ind w:firstLine="720"/>
        <w:jc w:val="both"/>
      </w:pPr>
      <w:r>
        <w:t>ORDERED that all parties to this proceeding shall furnish copies of all testimony, exhibits, pleadings, and other documents which may hereinafter be filed in this proceeding to:</w:t>
      </w:r>
    </w:p>
    <w:p w:rsidR="009052B1" w:rsidRDefault="009052B1" w:rsidP="009052B1">
      <w:pPr>
        <w:ind w:firstLine="720"/>
        <w:jc w:val="both"/>
      </w:pPr>
    </w:p>
    <w:p w:rsidR="00900351" w:rsidRPr="00900351" w:rsidRDefault="00900351" w:rsidP="00900351">
      <w:pPr>
        <w:pStyle w:val="Default"/>
        <w:jc w:val="center"/>
      </w:pPr>
      <w:r w:rsidRPr="00900351">
        <w:t>Jon C. Moyle, Jr.</w:t>
      </w:r>
    </w:p>
    <w:p w:rsidR="00900351" w:rsidRPr="00900351" w:rsidRDefault="00900351" w:rsidP="00900351">
      <w:pPr>
        <w:pStyle w:val="Default"/>
        <w:jc w:val="center"/>
      </w:pPr>
      <w:r w:rsidRPr="00900351">
        <w:t>Karen A. Putnal</w:t>
      </w:r>
    </w:p>
    <w:p w:rsidR="00900351" w:rsidRPr="00900351" w:rsidRDefault="00900351" w:rsidP="00900351">
      <w:pPr>
        <w:pStyle w:val="Default"/>
        <w:jc w:val="center"/>
      </w:pPr>
      <w:r w:rsidRPr="00900351">
        <w:t>Ian E. Waldick</w:t>
      </w:r>
    </w:p>
    <w:p w:rsidR="00900351" w:rsidRPr="00900351" w:rsidRDefault="00900351" w:rsidP="00900351">
      <w:pPr>
        <w:pStyle w:val="Default"/>
        <w:jc w:val="center"/>
      </w:pPr>
      <w:r w:rsidRPr="00900351">
        <w:t>Moyle Law Firm, P.A.</w:t>
      </w:r>
    </w:p>
    <w:p w:rsidR="00900351" w:rsidRPr="00900351" w:rsidRDefault="00900351" w:rsidP="00900351">
      <w:pPr>
        <w:pStyle w:val="Default"/>
        <w:jc w:val="center"/>
      </w:pPr>
      <w:r w:rsidRPr="00900351">
        <w:t>118 North Gadsden Street</w:t>
      </w:r>
    </w:p>
    <w:p w:rsidR="00900351" w:rsidRPr="00900351" w:rsidRDefault="00900351" w:rsidP="00900351">
      <w:pPr>
        <w:pStyle w:val="Default"/>
        <w:jc w:val="center"/>
      </w:pPr>
      <w:r w:rsidRPr="00900351">
        <w:t>Tallahassee, Florida 32301</w:t>
      </w:r>
    </w:p>
    <w:p w:rsidR="00900351" w:rsidRPr="00900351" w:rsidRDefault="00900351" w:rsidP="00900351">
      <w:pPr>
        <w:pStyle w:val="Default"/>
        <w:jc w:val="center"/>
      </w:pPr>
      <w:r w:rsidRPr="00900351">
        <w:t>Telephone: (850) 681-3828</w:t>
      </w:r>
    </w:p>
    <w:p w:rsidR="00900351" w:rsidRPr="00900351" w:rsidRDefault="00900351" w:rsidP="00900351">
      <w:pPr>
        <w:pStyle w:val="Default"/>
        <w:jc w:val="center"/>
      </w:pPr>
      <w:r w:rsidRPr="00900351">
        <w:t>Facsimile: (850) 681-8788</w:t>
      </w:r>
    </w:p>
    <w:p w:rsidR="00900351" w:rsidRPr="00900351" w:rsidRDefault="00900351" w:rsidP="00900351">
      <w:pPr>
        <w:pStyle w:val="Default"/>
        <w:jc w:val="center"/>
        <w:rPr>
          <w:color w:val="0000FF"/>
        </w:rPr>
      </w:pPr>
      <w:r w:rsidRPr="00900351">
        <w:rPr>
          <w:color w:val="0000FF"/>
        </w:rPr>
        <w:t>jmoyle@moylelaw.com</w:t>
      </w:r>
    </w:p>
    <w:p w:rsidR="00900351" w:rsidRPr="00900351" w:rsidRDefault="00900351" w:rsidP="00900351">
      <w:pPr>
        <w:pStyle w:val="Default"/>
        <w:jc w:val="center"/>
        <w:rPr>
          <w:color w:val="0000FF"/>
        </w:rPr>
      </w:pPr>
      <w:r w:rsidRPr="00900351">
        <w:rPr>
          <w:color w:val="0000FF"/>
        </w:rPr>
        <w:t>kputnal@moylelaw.com</w:t>
      </w:r>
    </w:p>
    <w:p w:rsidR="00900351" w:rsidRPr="00900351" w:rsidRDefault="00900351" w:rsidP="00900351">
      <w:pPr>
        <w:pStyle w:val="Default"/>
        <w:jc w:val="center"/>
        <w:rPr>
          <w:color w:val="0000FF"/>
        </w:rPr>
      </w:pPr>
      <w:r w:rsidRPr="00A12BBC">
        <w:rPr>
          <w:color w:val="0000FF"/>
        </w:rPr>
        <w:t>iwaldick@moylelaw.com</w:t>
      </w:r>
    </w:p>
    <w:p w:rsidR="00900351" w:rsidRPr="00900351" w:rsidRDefault="00900351" w:rsidP="00900351">
      <w:pPr>
        <w:pStyle w:val="Default"/>
        <w:jc w:val="center"/>
        <w:rPr>
          <w:color w:val="auto"/>
        </w:rPr>
      </w:pPr>
      <w:r w:rsidRPr="00900351">
        <w:rPr>
          <w:color w:val="0000FF"/>
        </w:rPr>
        <w:t>mqualls@moylelaw.com</w:t>
      </w:r>
    </w:p>
    <w:p w:rsidR="00900351" w:rsidRPr="00900351" w:rsidRDefault="00900351" w:rsidP="00900351">
      <w:pPr>
        <w:pStyle w:val="Default"/>
        <w:jc w:val="center"/>
        <w:rPr>
          <w:color w:val="auto"/>
        </w:rPr>
      </w:pPr>
    </w:p>
    <w:p w:rsidR="00900351" w:rsidRDefault="00900351" w:rsidP="00AF7035">
      <w:pPr>
        <w:pStyle w:val="Default"/>
        <w:rPr>
          <w:color w:val="auto"/>
        </w:rPr>
      </w:pPr>
      <w:r>
        <w:rPr>
          <w:color w:val="auto"/>
        </w:rPr>
        <w:tab/>
      </w:r>
      <w:r w:rsidRPr="00900351">
        <w:rPr>
          <w:color w:val="auto"/>
        </w:rPr>
        <w:t xml:space="preserve">By ORDER of Commissioner Donald J. Polmann, as Prehearing Officer, this </w:t>
      </w:r>
      <w:bookmarkStart w:id="6" w:name="replaceDate"/>
      <w:bookmarkEnd w:id="6"/>
      <w:r w:rsidR="00AF7035">
        <w:rPr>
          <w:color w:val="auto"/>
          <w:u w:val="single"/>
        </w:rPr>
        <w:t>22nd</w:t>
      </w:r>
      <w:r w:rsidR="00AF7035">
        <w:rPr>
          <w:color w:val="auto"/>
        </w:rPr>
        <w:t xml:space="preserve"> day of </w:t>
      </w:r>
      <w:r w:rsidR="00AF7035">
        <w:rPr>
          <w:color w:val="auto"/>
          <w:u w:val="single"/>
        </w:rPr>
        <w:t>July</w:t>
      </w:r>
      <w:r w:rsidR="00AF7035">
        <w:rPr>
          <w:color w:val="auto"/>
        </w:rPr>
        <w:t xml:space="preserve">, </w:t>
      </w:r>
      <w:r w:rsidR="00AF7035">
        <w:rPr>
          <w:color w:val="auto"/>
          <w:u w:val="single"/>
        </w:rPr>
        <w:t>2019</w:t>
      </w:r>
      <w:r w:rsidR="00AF7035">
        <w:rPr>
          <w:color w:val="auto"/>
        </w:rPr>
        <w:t>.</w:t>
      </w:r>
    </w:p>
    <w:p w:rsidR="00AF7035" w:rsidRPr="00AF7035" w:rsidRDefault="00AF7035" w:rsidP="00AF7035">
      <w:pPr>
        <w:pStyle w:val="Default"/>
      </w:pPr>
    </w:p>
    <w:p w:rsidR="00900351" w:rsidRPr="00900351" w:rsidRDefault="00900351" w:rsidP="0090035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00351" w:rsidRPr="00900351" w:rsidTr="00900351">
        <w:tc>
          <w:tcPr>
            <w:tcW w:w="720" w:type="dxa"/>
            <w:shd w:val="clear" w:color="auto" w:fill="auto"/>
          </w:tcPr>
          <w:p w:rsidR="00900351" w:rsidRPr="00900351" w:rsidRDefault="00900351" w:rsidP="00900351">
            <w:pPr>
              <w:keepNext/>
              <w:keepLines/>
              <w:jc w:val="both"/>
            </w:pPr>
            <w:bookmarkStart w:id="7" w:name="bkmrkSignature" w:colFirst="0" w:colLast="0"/>
          </w:p>
        </w:tc>
        <w:tc>
          <w:tcPr>
            <w:tcW w:w="4320" w:type="dxa"/>
            <w:tcBorders>
              <w:bottom w:val="single" w:sz="4" w:space="0" w:color="auto"/>
            </w:tcBorders>
            <w:shd w:val="clear" w:color="auto" w:fill="auto"/>
          </w:tcPr>
          <w:p w:rsidR="00900351" w:rsidRPr="00900351" w:rsidRDefault="00AF7035" w:rsidP="00900351">
            <w:pPr>
              <w:keepNext/>
              <w:keepLines/>
              <w:jc w:val="both"/>
            </w:pPr>
            <w:r>
              <w:t>/s/ Donald J. Polmann, Ph.D., P.E.</w:t>
            </w:r>
            <w:bookmarkStart w:id="8" w:name="_GoBack"/>
            <w:bookmarkEnd w:id="8"/>
          </w:p>
        </w:tc>
      </w:tr>
      <w:bookmarkEnd w:id="7"/>
      <w:tr w:rsidR="00900351" w:rsidRPr="00900351" w:rsidTr="00900351">
        <w:tc>
          <w:tcPr>
            <w:tcW w:w="720" w:type="dxa"/>
            <w:shd w:val="clear" w:color="auto" w:fill="auto"/>
          </w:tcPr>
          <w:p w:rsidR="00900351" w:rsidRPr="00900351" w:rsidRDefault="00900351" w:rsidP="00900351">
            <w:pPr>
              <w:keepNext/>
              <w:keepLines/>
              <w:jc w:val="both"/>
            </w:pPr>
          </w:p>
        </w:tc>
        <w:tc>
          <w:tcPr>
            <w:tcW w:w="4320" w:type="dxa"/>
            <w:tcBorders>
              <w:top w:val="single" w:sz="4" w:space="0" w:color="auto"/>
            </w:tcBorders>
            <w:shd w:val="clear" w:color="auto" w:fill="auto"/>
          </w:tcPr>
          <w:p w:rsidR="00900351" w:rsidRPr="00900351" w:rsidRDefault="00900351" w:rsidP="00900351">
            <w:pPr>
              <w:keepNext/>
              <w:keepLines/>
              <w:jc w:val="both"/>
            </w:pPr>
            <w:r w:rsidRPr="00900351">
              <w:t>DONALD J. POLMANN, Ph.D., P.E.</w:t>
            </w:r>
          </w:p>
          <w:p w:rsidR="00900351" w:rsidRPr="00900351" w:rsidRDefault="00900351" w:rsidP="00900351">
            <w:pPr>
              <w:keepNext/>
              <w:keepLines/>
              <w:jc w:val="both"/>
            </w:pPr>
            <w:r w:rsidRPr="00900351">
              <w:t>Commissioner and Prehearing Officer</w:t>
            </w:r>
          </w:p>
        </w:tc>
      </w:tr>
    </w:tbl>
    <w:p w:rsidR="00900351" w:rsidRDefault="00900351" w:rsidP="00900351">
      <w:pPr>
        <w:pStyle w:val="OrderSigInfo"/>
        <w:keepNext/>
        <w:keepLines/>
      </w:pPr>
      <w:r>
        <w:t>Florida Public Service Commission</w:t>
      </w:r>
    </w:p>
    <w:p w:rsidR="00900351" w:rsidRDefault="00900351" w:rsidP="00900351">
      <w:pPr>
        <w:pStyle w:val="OrderSigInfo"/>
        <w:keepNext/>
        <w:keepLines/>
      </w:pPr>
      <w:r>
        <w:t>2540 Shumard Oak Boulevard</w:t>
      </w:r>
    </w:p>
    <w:p w:rsidR="00900351" w:rsidRDefault="00900351" w:rsidP="00900351">
      <w:pPr>
        <w:pStyle w:val="OrderSigInfo"/>
        <w:keepNext/>
        <w:keepLines/>
      </w:pPr>
      <w:r>
        <w:t>Tallahassee, Florida 32399</w:t>
      </w:r>
    </w:p>
    <w:p w:rsidR="00900351" w:rsidRDefault="00900351" w:rsidP="00900351">
      <w:pPr>
        <w:pStyle w:val="OrderSigInfo"/>
        <w:keepNext/>
        <w:keepLines/>
      </w:pPr>
      <w:r>
        <w:t>(850) 413</w:t>
      </w:r>
      <w:r>
        <w:noBreakHyphen/>
        <w:t>6770</w:t>
      </w:r>
    </w:p>
    <w:p w:rsidR="00900351" w:rsidRDefault="00900351" w:rsidP="00900351">
      <w:pPr>
        <w:pStyle w:val="OrderSigInfo"/>
        <w:keepNext/>
        <w:keepLines/>
      </w:pPr>
      <w:r>
        <w:t>www.floridapsc.com</w:t>
      </w:r>
    </w:p>
    <w:p w:rsidR="00900351" w:rsidRDefault="00900351" w:rsidP="00900351">
      <w:pPr>
        <w:pStyle w:val="OrderSigInfo"/>
        <w:keepNext/>
        <w:keepLines/>
      </w:pPr>
    </w:p>
    <w:p w:rsidR="00900351" w:rsidRDefault="00B477FA" w:rsidP="00900351">
      <w:pPr>
        <w:pStyle w:val="OrderSigInfo"/>
        <w:keepNext/>
        <w:keepLines/>
      </w:pPr>
      <w:r>
        <w:t xml:space="preserve">Copies furnished: </w:t>
      </w:r>
      <w:r w:rsidR="00900351">
        <w:t>A copy of this document is provided to the parties of record at the time of issuance and, if applicable, interested persons.</w:t>
      </w:r>
    </w:p>
    <w:p w:rsidR="00900351" w:rsidRDefault="00900351" w:rsidP="00900351">
      <w:pPr>
        <w:pStyle w:val="OrderBody"/>
        <w:keepNext/>
        <w:keepLines/>
      </w:pPr>
    </w:p>
    <w:p w:rsidR="00900351" w:rsidRDefault="00900351" w:rsidP="00900351">
      <w:pPr>
        <w:keepNext/>
        <w:keepLines/>
        <w:jc w:val="both"/>
      </w:pPr>
    </w:p>
    <w:p w:rsidR="00900351" w:rsidRDefault="00900351" w:rsidP="00900351">
      <w:pPr>
        <w:keepNext/>
        <w:keepLines/>
        <w:jc w:val="both"/>
      </w:pPr>
      <w:r>
        <w:t>KBS</w:t>
      </w:r>
    </w:p>
    <w:p w:rsidR="00900351" w:rsidRDefault="00900351" w:rsidP="00900351">
      <w:pPr>
        <w:jc w:val="both"/>
      </w:pPr>
    </w:p>
    <w:p w:rsidR="009052B1" w:rsidRDefault="009052B1" w:rsidP="009052B1">
      <w:pPr>
        <w:jc w:val="both"/>
      </w:pPr>
      <w:r w:rsidRPr="00826D5E">
        <w:lastRenderedPageBreak/>
        <w:tab/>
      </w:r>
    </w:p>
    <w:p w:rsidR="009052B1" w:rsidRDefault="009052B1" w:rsidP="009052B1">
      <w:pPr>
        <w:pStyle w:val="CenterUnderline"/>
      </w:pPr>
      <w:r>
        <w:t>NOTICE OF FURTHER PROCEEDINGS OR JUDICIAL REVIEW</w:t>
      </w:r>
    </w:p>
    <w:p w:rsidR="009052B1" w:rsidRDefault="009052B1" w:rsidP="009052B1">
      <w:pPr>
        <w:pStyle w:val="CenterUnderline"/>
      </w:pPr>
    </w:p>
    <w:p w:rsidR="009052B1" w:rsidRDefault="009052B1" w:rsidP="009052B1">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w:t>
      </w:r>
      <w:r w:rsidR="00B477FA">
        <w:t xml:space="preserve">limits that apply. </w:t>
      </w:r>
      <w:r>
        <w:t>This notice should not be construed to mean all requests for an administrative hearing or judicial review will be granted or result in the relief sought.</w:t>
      </w:r>
    </w:p>
    <w:p w:rsidR="009052B1" w:rsidRDefault="009052B1" w:rsidP="009052B1">
      <w:pPr>
        <w:pStyle w:val="OrderBody"/>
      </w:pPr>
    </w:p>
    <w:p w:rsidR="009052B1" w:rsidRDefault="009052B1" w:rsidP="009052B1">
      <w:pPr>
        <w:pStyle w:val="OrderBody"/>
      </w:pPr>
      <w:r>
        <w:tab/>
        <w:t>Mediation may be avai</w:t>
      </w:r>
      <w:r w:rsidR="00B477FA">
        <w:t xml:space="preserve">lable on a case-by-case basis. </w:t>
      </w:r>
      <w:r>
        <w:t>If mediation is conducted, it does not affect a substantially interested person's right to a hearing.</w:t>
      </w:r>
    </w:p>
    <w:p w:rsidR="009052B1" w:rsidRDefault="009052B1" w:rsidP="009052B1">
      <w:pPr>
        <w:pStyle w:val="OrderBody"/>
      </w:pPr>
    </w:p>
    <w:p w:rsidR="00D57E57" w:rsidRDefault="009052B1" w:rsidP="00900351">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B477FA">
        <w:t xml:space="preserve">a water or wastewater utility. </w:t>
      </w:r>
      <w:r>
        <w:t>A motion for reconsideration shall be filed with the Office of Commission Clerk, in the form prescribed by Rule 25-22.037</w:t>
      </w:r>
      <w:r w:rsidR="00B477FA">
        <w:t>6, Florida Administrative Code.</w:t>
      </w:r>
      <w:r>
        <w:t xml:space="preserve"> Judicial review of a preliminary, procedural or intermediate ruling or order is available if review of the final action will not provi</w:t>
      </w:r>
      <w:r w:rsidR="00B477FA">
        <w:t xml:space="preserve">de an adequate remedy. </w:t>
      </w:r>
      <w:r>
        <w:t>Such review may be requested from the appropriate court, as described above, pursuant to Rule 9.100, Florida Rules of Appellate Procedure.</w:t>
      </w: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2B1" w:rsidRDefault="009052B1">
      <w:r>
        <w:separator/>
      </w:r>
    </w:p>
  </w:endnote>
  <w:endnote w:type="continuationSeparator" w:id="0">
    <w:p w:rsidR="009052B1" w:rsidRDefault="0090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2B1" w:rsidRDefault="009052B1">
      <w:r>
        <w:separator/>
      </w:r>
    </w:p>
  </w:footnote>
  <w:footnote w:type="continuationSeparator" w:id="0">
    <w:p w:rsidR="009052B1" w:rsidRDefault="009052B1">
      <w:r>
        <w:continuationSeparator/>
      </w:r>
    </w:p>
  </w:footnote>
  <w:footnote w:id="1">
    <w:p w:rsidR="00960E57" w:rsidRDefault="00960E57">
      <w:pPr>
        <w:pStyle w:val="FootnoteText"/>
      </w:pPr>
      <w:r>
        <w:rPr>
          <w:rStyle w:val="FootnoteReference"/>
        </w:rPr>
        <w:footnoteRef/>
      </w:r>
      <w:r>
        <w:t xml:space="preserve"> </w:t>
      </w:r>
      <w:r w:rsidRPr="00960E57">
        <w:t xml:space="preserve">Order No. PSC-2017-0456-S-EI, issued November 27, 2017, in Docket No. 20170210-EI, </w:t>
      </w:r>
      <w:r w:rsidRPr="00960E57">
        <w:rPr>
          <w:i/>
        </w:rPr>
        <w:t>In re: Petition for limited proceeding to approve 2017 amended and restated stipulation and settlement agreement, by Tampa Electric Company.</w:t>
      </w:r>
    </w:p>
  </w:footnote>
  <w:footnote w:id="2">
    <w:p w:rsidR="00960E57" w:rsidRPr="003B2697" w:rsidRDefault="00960E57" w:rsidP="00960E57">
      <w:pPr>
        <w:pStyle w:val="FootnoteText"/>
        <w:rPr>
          <w:i/>
        </w:rPr>
      </w:pPr>
      <w:r>
        <w:rPr>
          <w:rStyle w:val="FootnoteReference"/>
        </w:rPr>
        <w:footnoteRef/>
      </w:r>
      <w:r>
        <w:t xml:space="preserve"> Order No. PSC-2018-0288-FOF-EI, issued June 5, 2018, in Docket No. 20170260-EI, </w:t>
      </w:r>
      <w:r w:rsidRPr="003B2697">
        <w:rPr>
          <w:i/>
        </w:rPr>
        <w:t>In re: Petition for limited proceeding to approve first solar base rate adjustment (SoBRA), effective September 1, 2018, by Tampa Electric Company.</w:t>
      </w:r>
    </w:p>
  </w:footnote>
  <w:footnote w:id="3">
    <w:p w:rsidR="00960E57" w:rsidRPr="0057006B" w:rsidRDefault="00960E57" w:rsidP="00960E57">
      <w:pPr>
        <w:pStyle w:val="FootnoteText"/>
        <w:rPr>
          <w:i/>
        </w:rPr>
      </w:pPr>
      <w:r>
        <w:rPr>
          <w:rStyle w:val="FootnoteReference"/>
        </w:rPr>
        <w:footnoteRef/>
      </w:r>
      <w:r>
        <w:t xml:space="preserve"> Order No. PSC-2018-0571-FOF-EI, issued December 7, 2018, in Docket No. 20180133-EI, </w:t>
      </w:r>
      <w:r w:rsidRPr="0057006B">
        <w:rPr>
          <w:i/>
        </w:rPr>
        <w:t xml:space="preserve">In re: Petition for limited proceeding to approve second solar base rate adjustment (SoBRA), effective January 1, 2019, by Tampa Electric Company. </w:t>
      </w:r>
    </w:p>
  </w:footnote>
  <w:footnote w:id="4">
    <w:p w:rsidR="009052B1" w:rsidRDefault="009052B1" w:rsidP="009052B1">
      <w:pPr>
        <w:pStyle w:val="FootnoteText"/>
      </w:pPr>
      <w:r>
        <w:rPr>
          <w:rStyle w:val="FootnoteReference"/>
        </w:rPr>
        <w:footnoteRef/>
      </w:r>
      <w:r w:rsidR="00960E57">
        <w:t xml:space="preserve"> </w:t>
      </w:r>
      <w:r>
        <w:t xml:space="preserve">Under </w:t>
      </w:r>
      <w:r w:rsidRPr="00D12E1B">
        <w:rPr>
          <w:i/>
        </w:rPr>
        <w:t>Agrico</w:t>
      </w:r>
      <w:r>
        <w:t>, the intervenor must show that (1) he will suffer injury in fact which is of sufficient immediacy to entitle him to a Section 120.57, F.S., hearing, and (2) the substantial injury is of a type or nature which the proc</w:t>
      </w:r>
      <w:r w:rsidR="00B477FA">
        <w:t xml:space="preserve">eeding is designed to protect. </w:t>
      </w:r>
      <w:r>
        <w:t>The first aspect of the test de</w:t>
      </w:r>
      <w:r w:rsidR="00B477FA">
        <w:t xml:space="preserve">als with the degree of injury. </w:t>
      </w:r>
      <w:r>
        <w:t xml:space="preserve">The second deals </w:t>
      </w:r>
      <w:r w:rsidR="00B477FA">
        <w:t xml:space="preserve">with the nature of the injury. 406 So. 2d 478 at 482. </w:t>
      </w:r>
      <w:r>
        <w:t>The "injury in fact" must be both real and immediate and not speculative</w:t>
      </w:r>
      <w:r w:rsidR="00B477FA">
        <w:t xml:space="preserve"> or conjectural. </w:t>
      </w:r>
      <w:r w:rsidRPr="00D12E1B">
        <w:rPr>
          <w:i/>
        </w:rPr>
        <w:t>International Jai-Alai Players Assn. v. Florida Pari-Mutuel Commission</w:t>
      </w:r>
      <w:r>
        <w:t>, 561 So. 2d 12</w:t>
      </w:r>
      <w:r w:rsidR="00B477FA">
        <w:t>24, 1225-26 (Fla. 3d DCA 1990).</w:t>
      </w:r>
      <w:r>
        <w:t xml:space="preserve"> </w:t>
      </w:r>
      <w:r w:rsidRPr="00D12E1B">
        <w:rPr>
          <w:i/>
        </w:rPr>
        <w:t>See also: Village Park Mobile Home Assn., Inc. v. State Dept. of Business Regulation</w:t>
      </w:r>
      <w:r>
        <w:t xml:space="preserve">, 506 So. 2d 426, 434 (Fla. 1st DCA 1987), </w:t>
      </w:r>
      <w:r w:rsidRPr="00D12E1B">
        <w:rPr>
          <w:i/>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9 ">
      <w:r w:rsidR="00AF7035">
        <w:t>PSC-2019-0289-PCO-EI</w:t>
      </w:r>
    </w:fldSimple>
  </w:p>
  <w:p w:rsidR="00FA6EFD" w:rsidRDefault="009052B1">
    <w:pPr>
      <w:pStyle w:val="OrderHeader"/>
    </w:pPr>
    <w:bookmarkStart w:id="9" w:name="HeaderDocketNo"/>
    <w:bookmarkEnd w:id="9"/>
    <w:r>
      <w:t>DOCKET NO. 20190136-EI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703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6-EI"/>
  </w:docVars>
  <w:rsids>
    <w:rsidRoot w:val="009052B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6F6E"/>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0EE5"/>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5408"/>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0351"/>
    <w:rsid w:val="009040EE"/>
    <w:rsid w:val="009052B1"/>
    <w:rsid w:val="009057FD"/>
    <w:rsid w:val="00906FBA"/>
    <w:rsid w:val="009163E8"/>
    <w:rsid w:val="009228C7"/>
    <w:rsid w:val="00922A7F"/>
    <w:rsid w:val="00923A5E"/>
    <w:rsid w:val="00924FE7"/>
    <w:rsid w:val="00926E27"/>
    <w:rsid w:val="00931C8C"/>
    <w:rsid w:val="009419A2"/>
    <w:rsid w:val="0094504B"/>
    <w:rsid w:val="00960E57"/>
    <w:rsid w:val="00964A38"/>
    <w:rsid w:val="00966A9D"/>
    <w:rsid w:val="0096742B"/>
    <w:rsid w:val="009718C5"/>
    <w:rsid w:val="009924CF"/>
    <w:rsid w:val="00994100"/>
    <w:rsid w:val="009A6B17"/>
    <w:rsid w:val="009D4C29"/>
    <w:rsid w:val="009F6AD2"/>
    <w:rsid w:val="00A00D8D"/>
    <w:rsid w:val="00A01BB6"/>
    <w:rsid w:val="00A12BB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7035"/>
    <w:rsid w:val="00B02001"/>
    <w:rsid w:val="00B03C50"/>
    <w:rsid w:val="00B0777D"/>
    <w:rsid w:val="00B11576"/>
    <w:rsid w:val="00B1195F"/>
    <w:rsid w:val="00B14D10"/>
    <w:rsid w:val="00B209C7"/>
    <w:rsid w:val="00B3644F"/>
    <w:rsid w:val="00B4057A"/>
    <w:rsid w:val="00B40894"/>
    <w:rsid w:val="00B41039"/>
    <w:rsid w:val="00B444AE"/>
    <w:rsid w:val="00B45E75"/>
    <w:rsid w:val="00B477FA"/>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2E1B"/>
    <w:rsid w:val="00D13535"/>
    <w:rsid w:val="00D15497"/>
    <w:rsid w:val="00D17B79"/>
    <w:rsid w:val="00D23FEA"/>
    <w:rsid w:val="00D269CA"/>
    <w:rsid w:val="00D30B48"/>
    <w:rsid w:val="00D3168A"/>
    <w:rsid w:val="00D32C23"/>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1E2A"/>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052B1"/>
  </w:style>
  <w:style w:type="paragraph" w:customStyle="1" w:styleId="Default">
    <w:name w:val="Default"/>
    <w:rsid w:val="00900351"/>
    <w:pPr>
      <w:autoSpaceDE w:val="0"/>
      <w:autoSpaceDN w:val="0"/>
      <w:adjustRightInd w:val="0"/>
    </w:pPr>
    <w:rPr>
      <w:color w:val="000000"/>
      <w:sz w:val="24"/>
      <w:szCs w:val="24"/>
    </w:rPr>
  </w:style>
  <w:style w:type="character" w:styleId="Hyperlink">
    <w:name w:val="Hyperlink"/>
    <w:basedOn w:val="DefaultParagraphFont"/>
    <w:rsid w:val="00900351"/>
    <w:rPr>
      <w:color w:val="0000FF" w:themeColor="hyperlink"/>
      <w:u w:val="single"/>
    </w:rPr>
  </w:style>
  <w:style w:type="paragraph" w:styleId="BalloonText">
    <w:name w:val="Balloon Text"/>
    <w:basedOn w:val="Normal"/>
    <w:link w:val="BalloonTextChar"/>
    <w:rsid w:val="00D32C23"/>
    <w:rPr>
      <w:rFonts w:ascii="Tahoma" w:hAnsi="Tahoma" w:cs="Tahoma"/>
      <w:sz w:val="16"/>
      <w:szCs w:val="16"/>
    </w:rPr>
  </w:style>
  <w:style w:type="character" w:customStyle="1" w:styleId="BalloonTextChar">
    <w:name w:val="Balloon Text Char"/>
    <w:basedOn w:val="DefaultParagraphFont"/>
    <w:link w:val="BalloonText"/>
    <w:rsid w:val="00D32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052B1"/>
  </w:style>
  <w:style w:type="paragraph" w:customStyle="1" w:styleId="Default">
    <w:name w:val="Default"/>
    <w:rsid w:val="00900351"/>
    <w:pPr>
      <w:autoSpaceDE w:val="0"/>
      <w:autoSpaceDN w:val="0"/>
      <w:adjustRightInd w:val="0"/>
    </w:pPr>
    <w:rPr>
      <w:color w:val="000000"/>
      <w:sz w:val="24"/>
      <w:szCs w:val="24"/>
    </w:rPr>
  </w:style>
  <w:style w:type="character" w:styleId="Hyperlink">
    <w:name w:val="Hyperlink"/>
    <w:basedOn w:val="DefaultParagraphFont"/>
    <w:rsid w:val="00900351"/>
    <w:rPr>
      <w:color w:val="0000FF" w:themeColor="hyperlink"/>
      <w:u w:val="single"/>
    </w:rPr>
  </w:style>
  <w:style w:type="paragraph" w:styleId="BalloonText">
    <w:name w:val="Balloon Text"/>
    <w:basedOn w:val="Normal"/>
    <w:link w:val="BalloonTextChar"/>
    <w:rsid w:val="00D32C23"/>
    <w:rPr>
      <w:rFonts w:ascii="Tahoma" w:hAnsi="Tahoma" w:cs="Tahoma"/>
      <w:sz w:val="16"/>
      <w:szCs w:val="16"/>
    </w:rPr>
  </w:style>
  <w:style w:type="character" w:customStyle="1" w:styleId="BalloonTextChar">
    <w:name w:val="Balloon Text Char"/>
    <w:basedOn w:val="DefaultParagraphFont"/>
    <w:link w:val="BalloonText"/>
    <w:rsid w:val="00D32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9617-D708-42C8-8638-D340207C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1155</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2019-07-22T14:29:00Z</dcterms:created>
  <dcterms:modified xsi:type="dcterms:W3CDTF">2019-07-22T14:53:00Z</dcterms:modified>
</cp:coreProperties>
</file>