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70F4" w:rsidP="003A70F4">
      <w:pPr>
        <w:pStyle w:val="OrderHeading"/>
      </w:pPr>
      <w:bookmarkStart w:id="0" w:name="_GoBack"/>
      <w:bookmarkEnd w:id="0"/>
      <w:r>
        <w:t>BEFORE THE FLORIDA PUBLIC SERVICE COMMISSION</w:t>
      </w:r>
    </w:p>
    <w:p w:rsidR="003A70F4" w:rsidRDefault="003A70F4" w:rsidP="003A70F4">
      <w:pPr>
        <w:pStyle w:val="OrderBody"/>
      </w:pPr>
    </w:p>
    <w:p w:rsidR="003A70F4" w:rsidRDefault="003A70F4" w:rsidP="003A70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70F4" w:rsidRPr="00C63FCF" w:rsidTr="00C63FCF">
        <w:trPr>
          <w:trHeight w:val="828"/>
        </w:trPr>
        <w:tc>
          <w:tcPr>
            <w:tcW w:w="4788" w:type="dxa"/>
            <w:tcBorders>
              <w:bottom w:val="single" w:sz="8" w:space="0" w:color="auto"/>
              <w:right w:val="double" w:sz="6" w:space="0" w:color="auto"/>
            </w:tcBorders>
            <w:shd w:val="clear" w:color="auto" w:fill="auto"/>
          </w:tcPr>
          <w:p w:rsidR="003A70F4" w:rsidRDefault="003A70F4" w:rsidP="00C63FCF">
            <w:pPr>
              <w:pStyle w:val="OrderBody"/>
              <w:tabs>
                <w:tab w:val="center" w:pos="4320"/>
                <w:tab w:val="right" w:pos="8640"/>
              </w:tabs>
              <w:jc w:val="left"/>
            </w:pPr>
            <w:r>
              <w:t xml:space="preserve">In re: </w:t>
            </w:r>
            <w:bookmarkStart w:id="1" w:name="SSInRe"/>
            <w:bookmarkEnd w:id="1"/>
            <w:r>
              <w:t>Proposed adoption of Rule 25-6.030, F.A.C., Storm Protection Plan and Rule 25-6.031, F.A.C., Storm Protection Plan Cost Recovery Clause.</w:t>
            </w:r>
          </w:p>
        </w:tc>
        <w:tc>
          <w:tcPr>
            <w:tcW w:w="4788" w:type="dxa"/>
            <w:tcBorders>
              <w:left w:val="double" w:sz="6" w:space="0" w:color="auto"/>
            </w:tcBorders>
            <w:shd w:val="clear" w:color="auto" w:fill="auto"/>
          </w:tcPr>
          <w:p w:rsidR="003A70F4" w:rsidRDefault="003A70F4" w:rsidP="003A70F4">
            <w:pPr>
              <w:pStyle w:val="OrderBody"/>
            </w:pPr>
            <w:r>
              <w:t xml:space="preserve">DOCKET NO. </w:t>
            </w:r>
            <w:bookmarkStart w:id="2" w:name="SSDocketNo"/>
            <w:bookmarkEnd w:id="2"/>
            <w:r>
              <w:t>20190131-EU</w:t>
            </w:r>
          </w:p>
          <w:p w:rsidR="003A70F4" w:rsidRDefault="003A70F4" w:rsidP="00C63FCF">
            <w:pPr>
              <w:pStyle w:val="OrderBody"/>
              <w:tabs>
                <w:tab w:val="center" w:pos="4320"/>
                <w:tab w:val="right" w:pos="8640"/>
              </w:tabs>
              <w:jc w:val="left"/>
            </w:pPr>
            <w:r>
              <w:t xml:space="preserve">ORDER NO. </w:t>
            </w:r>
            <w:bookmarkStart w:id="3" w:name="OrderNo0469"/>
            <w:r w:rsidR="002F153D">
              <w:t>PSC-2019-0469-PCO-EU</w:t>
            </w:r>
            <w:bookmarkEnd w:id="3"/>
          </w:p>
          <w:p w:rsidR="003A70F4" w:rsidRDefault="003A70F4" w:rsidP="00C63FCF">
            <w:pPr>
              <w:pStyle w:val="OrderBody"/>
              <w:tabs>
                <w:tab w:val="center" w:pos="4320"/>
                <w:tab w:val="right" w:pos="8640"/>
              </w:tabs>
              <w:jc w:val="left"/>
            </w:pPr>
            <w:r>
              <w:t xml:space="preserve">ISSUED: </w:t>
            </w:r>
            <w:r w:rsidR="002F153D">
              <w:t>November 4, 2019</w:t>
            </w:r>
          </w:p>
        </w:tc>
      </w:tr>
    </w:tbl>
    <w:p w:rsidR="003A70F4" w:rsidRDefault="003A70F4" w:rsidP="003A70F4"/>
    <w:p w:rsidR="003A70F4" w:rsidRDefault="00F9591A" w:rsidP="003A70F4">
      <w:pPr>
        <w:pStyle w:val="CenterUnderline"/>
      </w:pPr>
      <w:bookmarkStart w:id="4" w:name="OrderTitle"/>
      <w:r>
        <w:t>O</w:t>
      </w:r>
      <w:r w:rsidR="003E43B5">
        <w:t>RDER DENYING MOTION</w:t>
      </w:r>
      <w:r w:rsidR="00026C8A" w:rsidRPr="00026C8A">
        <w:t xml:space="preserve"> </w:t>
      </w:r>
      <w:r w:rsidR="00026C8A">
        <w:t>TO SUSPEND HEARING ON PROPOSED RULES 25-6.030 AND 25-6.031, F.A.C., AND INITIATE FORMAL PROCEEDINGS</w:t>
      </w:r>
      <w:r w:rsidR="003E43B5">
        <w:t xml:space="preserve"> </w:t>
      </w:r>
      <w:bookmarkEnd w:id="4"/>
    </w:p>
    <w:p w:rsidR="003A70F4" w:rsidRDefault="003A70F4" w:rsidP="003A70F4">
      <w:pPr>
        <w:pStyle w:val="CenterUnderline"/>
      </w:pPr>
    </w:p>
    <w:p w:rsidR="003A70F4" w:rsidRPr="003E43B5" w:rsidRDefault="003A70F4" w:rsidP="003A70F4">
      <w:pPr>
        <w:jc w:val="both"/>
      </w:pPr>
      <w:bookmarkStart w:id="5" w:name="OrderText"/>
      <w:bookmarkEnd w:id="5"/>
      <w:r w:rsidRPr="003E43B5">
        <w:t>I.</w:t>
      </w:r>
      <w:r w:rsidRPr="003E43B5">
        <w:tab/>
      </w:r>
      <w:r w:rsidR="003E43B5">
        <w:rPr>
          <w:u w:val="single"/>
        </w:rPr>
        <w:t>Background</w:t>
      </w:r>
    </w:p>
    <w:p w:rsidR="003A70F4" w:rsidRPr="00701945" w:rsidRDefault="003A70F4" w:rsidP="003A70F4">
      <w:pPr>
        <w:jc w:val="both"/>
      </w:pPr>
    </w:p>
    <w:p w:rsidR="00417B04" w:rsidRDefault="003E43B5" w:rsidP="004D4ED9">
      <w:pPr>
        <w:pStyle w:val="BodyText"/>
        <w:spacing w:after="0"/>
        <w:jc w:val="both"/>
      </w:pPr>
      <w:r>
        <w:tab/>
      </w:r>
      <w:r w:rsidR="00417B04" w:rsidRPr="00EF6C7D">
        <w:t xml:space="preserve">The 2019 </w:t>
      </w:r>
      <w:r w:rsidR="00417B04">
        <w:t xml:space="preserve">Florida </w:t>
      </w:r>
      <w:r w:rsidR="00417B04" w:rsidRPr="00EF6C7D">
        <w:t>Leg</w:t>
      </w:r>
      <w:r w:rsidR="00417B04">
        <w:t>islature passed SB 796 to enact</w:t>
      </w:r>
      <w:r w:rsidR="00417B04" w:rsidRPr="00EF6C7D">
        <w:t xml:space="preserve"> Se</w:t>
      </w:r>
      <w:r w:rsidR="00417B04">
        <w:t xml:space="preserve">ction 366.96, Florida Statutes (F.S.), entitled “Storm protection plan cost recovery.” Section 366.96, F.S., requires each investor-owned electric utility (IOU) to file a transmission and distribution storm protection plan (storm protection plan) for the Commission’s review and directs the Commission to hold an annual proceeding to determine each IOU’s prudently incurred costs to implement its plan and allow recovery of those costs through a Storm Protection Plan Cost Recovery Clause (SPPCRC). </w:t>
      </w:r>
    </w:p>
    <w:p w:rsidR="004D4ED9" w:rsidRDefault="004D4ED9" w:rsidP="004D4ED9">
      <w:pPr>
        <w:pStyle w:val="BodyText"/>
        <w:spacing w:after="0"/>
        <w:jc w:val="both"/>
      </w:pPr>
    </w:p>
    <w:p w:rsidR="00417B04" w:rsidRDefault="003E43B5" w:rsidP="004D4ED9">
      <w:pPr>
        <w:pStyle w:val="BodyText"/>
        <w:spacing w:after="0"/>
        <w:jc w:val="both"/>
      </w:pPr>
      <w:r>
        <w:tab/>
      </w:r>
      <w:r w:rsidR="00417B04">
        <w:t>Section 366.96(3), F.S., requires the Commission to adopt rules to specify the elements that must be included in an IOU’s filing for the Commission’s review of its storm protection plan. Section 366.96(11), F.S., further requires that the Commission adopt rules to implement and adm</w:t>
      </w:r>
      <w:r w:rsidR="00BF499E">
        <w:t>inister the section and mandates</w:t>
      </w:r>
      <w:r w:rsidR="00417B04">
        <w:t xml:space="preserve"> that the Commission propose a rule for adoption as soon as practicable after the effective date of the act, but not later than October 31, 2019.</w:t>
      </w:r>
    </w:p>
    <w:p w:rsidR="004D4ED9" w:rsidRPr="00EF6C7D" w:rsidRDefault="004D4ED9" w:rsidP="004D4ED9">
      <w:pPr>
        <w:pStyle w:val="BodyText"/>
        <w:spacing w:after="0"/>
        <w:jc w:val="both"/>
      </w:pPr>
    </w:p>
    <w:p w:rsidR="00417B04" w:rsidRDefault="003E43B5" w:rsidP="004D4ED9">
      <w:pPr>
        <w:pStyle w:val="BodyText"/>
        <w:spacing w:after="0"/>
        <w:jc w:val="both"/>
      </w:pPr>
      <w:r>
        <w:tab/>
      </w:r>
      <w:r w:rsidR="00417B04">
        <w:t>In furtherance of the Legislature’s directive, t</w:t>
      </w:r>
      <w:r w:rsidR="00417B04" w:rsidRPr="00102F0A">
        <w:t>he Commission’s Notice of Development of Rulemaking was published in Volume 4</w:t>
      </w:r>
      <w:r w:rsidR="00417B04">
        <w:t>5</w:t>
      </w:r>
      <w:r w:rsidR="00417B04" w:rsidRPr="00102F0A">
        <w:t xml:space="preserve">, No. </w:t>
      </w:r>
      <w:r w:rsidR="006D740C">
        <w:t>1</w:t>
      </w:r>
      <w:r w:rsidR="00417B04">
        <w:t>11</w:t>
      </w:r>
      <w:r w:rsidR="00417B04" w:rsidRPr="00102F0A">
        <w:t>, of the Florida Administrative Register</w:t>
      </w:r>
      <w:r w:rsidR="00417B04">
        <w:t xml:space="preserve"> (F.A.R.)</w:t>
      </w:r>
      <w:r w:rsidR="00417B04" w:rsidRPr="00102F0A">
        <w:t xml:space="preserve"> on </w:t>
      </w:r>
      <w:r w:rsidR="00417B04">
        <w:t>June 7, 2019</w:t>
      </w:r>
      <w:r w:rsidR="00417B04" w:rsidRPr="00102F0A">
        <w:t xml:space="preserve">. </w:t>
      </w:r>
      <w:r w:rsidR="00417B04">
        <w:t xml:space="preserve">The notice included two new rules: Rule 25-6.030, Florida Administrative Code (F.A.C.), which would specify the elements that must be included in an IOU’s storm protection plan, and Rule 25-6.031, F.A.C., which would establish the </w:t>
      </w:r>
      <w:r w:rsidR="00457E4E">
        <w:t xml:space="preserve">information that must be provided in the </w:t>
      </w:r>
      <w:r w:rsidR="00417B04">
        <w:t>SPPCRC.</w:t>
      </w:r>
    </w:p>
    <w:p w:rsidR="004D4ED9" w:rsidRDefault="004D4ED9" w:rsidP="004D4ED9">
      <w:pPr>
        <w:pStyle w:val="BodyText"/>
        <w:spacing w:after="0"/>
        <w:jc w:val="both"/>
      </w:pPr>
    </w:p>
    <w:p w:rsidR="00C15C5E" w:rsidRDefault="00C15C5E" w:rsidP="004D4ED9">
      <w:pPr>
        <w:pStyle w:val="BodyText"/>
        <w:spacing w:after="0"/>
        <w:jc w:val="both"/>
      </w:pPr>
      <w:r>
        <w:tab/>
        <w:t>Staff held rule development w</w:t>
      </w:r>
      <w:r w:rsidRPr="00102F0A">
        <w:t>orksho</w:t>
      </w:r>
      <w:r>
        <w:t>p</w:t>
      </w:r>
      <w:r w:rsidRPr="00102F0A">
        <w:t>s</w:t>
      </w:r>
      <w:r>
        <w:t xml:space="preserve"> to obtain stakeholder comments on the draft rules o</w:t>
      </w:r>
      <w:r w:rsidRPr="00102F0A">
        <w:t>n</w:t>
      </w:r>
      <w:r>
        <w:t xml:space="preserve"> June 25</w:t>
      </w:r>
      <w:r w:rsidRPr="00102F0A">
        <w:t>, 20</w:t>
      </w:r>
      <w:r>
        <w:t>19, and August 20, 2019</w:t>
      </w:r>
      <w:r w:rsidRPr="00102F0A">
        <w:t xml:space="preserve">. </w:t>
      </w:r>
      <w:r>
        <w:t>The Office of Public Counsel (OPC) participated at</w:t>
      </w:r>
      <w:r w:rsidR="00592325">
        <w:t xml:space="preserve"> both </w:t>
      </w:r>
      <w:r w:rsidRPr="00102F0A">
        <w:t>workshop</w:t>
      </w:r>
      <w:r>
        <w:t>s</w:t>
      </w:r>
      <w:r w:rsidR="00592325">
        <w:t xml:space="preserve">. OPC </w:t>
      </w:r>
      <w:r w:rsidRPr="00102F0A">
        <w:t>submitted post-workshop comments</w:t>
      </w:r>
      <w:r w:rsidR="00592325">
        <w:t xml:space="preserve"> on July 15, 2019, and August 27, 2019</w:t>
      </w:r>
      <w:r w:rsidRPr="00102F0A">
        <w:t xml:space="preserve">. </w:t>
      </w:r>
    </w:p>
    <w:p w:rsidR="004D4ED9" w:rsidRDefault="004D4ED9" w:rsidP="004D4ED9">
      <w:pPr>
        <w:pStyle w:val="BodyText"/>
        <w:spacing w:after="0"/>
        <w:jc w:val="both"/>
      </w:pPr>
    </w:p>
    <w:p w:rsidR="00F72D9C" w:rsidRDefault="00C15C5E" w:rsidP="004D4ED9">
      <w:pPr>
        <w:pStyle w:val="BodyText"/>
        <w:spacing w:after="0"/>
        <w:jc w:val="both"/>
      </w:pPr>
      <w:r>
        <w:tab/>
      </w:r>
      <w:r w:rsidR="00417B04">
        <w:t>The Commission voted to propose the adoption of Rules 25-6.030 and 25-6.031, F.A.C., at its October 3, 2019 Agenda Conference. Proposed Rules 25-6.030 and 25-6.031, F.A.C., were published in the October 7, 2019</w:t>
      </w:r>
      <w:r w:rsidR="00417B04" w:rsidRPr="00282C43">
        <w:t xml:space="preserve"> edition of the F.A.R., </w:t>
      </w:r>
      <w:r w:rsidR="00417B04" w:rsidRPr="000E08F4">
        <w:t xml:space="preserve">Volume </w:t>
      </w:r>
      <w:r w:rsidR="00417B04">
        <w:t>45,</w:t>
      </w:r>
      <w:r w:rsidR="00417B04" w:rsidRPr="000E08F4">
        <w:t xml:space="preserve"> </w:t>
      </w:r>
      <w:proofErr w:type="gramStart"/>
      <w:r w:rsidR="00417B04" w:rsidRPr="000E08F4">
        <w:t>Number</w:t>
      </w:r>
      <w:proofErr w:type="gramEnd"/>
      <w:r w:rsidR="00417B04" w:rsidRPr="000E08F4">
        <w:t xml:space="preserve"> </w:t>
      </w:r>
      <w:r w:rsidR="001F0549">
        <w:t>195</w:t>
      </w:r>
      <w:r w:rsidR="00417B04" w:rsidRPr="000E08F4">
        <w:t>.</w:t>
      </w:r>
      <w:r w:rsidR="00417B04">
        <w:t xml:space="preserve"> Affected persons had 21 days from the F.A.R. notice to request a hearing on the proposed rules pursuant to Section 120.54(3), F.S.</w:t>
      </w:r>
      <w:r w:rsidR="00BF499E">
        <w:t>, which was October 28, 2019.</w:t>
      </w:r>
    </w:p>
    <w:p w:rsidR="004D4ED9" w:rsidRDefault="004D4ED9" w:rsidP="004D4ED9">
      <w:pPr>
        <w:pStyle w:val="BodyText"/>
        <w:spacing w:after="0"/>
        <w:jc w:val="both"/>
      </w:pPr>
    </w:p>
    <w:p w:rsidR="00417B04" w:rsidRDefault="003E43B5" w:rsidP="004D4ED9">
      <w:pPr>
        <w:jc w:val="both"/>
      </w:pPr>
      <w:r>
        <w:tab/>
      </w:r>
      <w:r w:rsidR="00417B04" w:rsidRPr="003723DB">
        <w:t>On October 25, 2019, pursuant to Section 120.54(3</w:t>
      </w:r>
      <w:proofErr w:type="gramStart"/>
      <w:r w:rsidR="00417B04" w:rsidRPr="003723DB">
        <w:t>)(</w:t>
      </w:r>
      <w:proofErr w:type="gramEnd"/>
      <w:r w:rsidR="00417B04" w:rsidRPr="003723DB">
        <w:t>c), F.S.</w:t>
      </w:r>
      <w:r w:rsidR="003A5C9D">
        <w:t xml:space="preserve">, </w:t>
      </w:r>
      <w:r w:rsidR="00417B04" w:rsidRPr="003723DB">
        <w:t xml:space="preserve">OPC timely filed a Petition for a Hearing </w:t>
      </w:r>
      <w:r w:rsidR="00417B04">
        <w:t>on</w:t>
      </w:r>
      <w:r w:rsidR="00417B04" w:rsidRPr="003723DB">
        <w:t xml:space="preserve"> </w:t>
      </w:r>
      <w:r w:rsidR="00417B04">
        <w:t>p</w:t>
      </w:r>
      <w:r w:rsidR="00417B04" w:rsidRPr="003723DB">
        <w:t>roposed Rules 25-6.030 and 25-6.031, F.A.C., (Petition).</w:t>
      </w:r>
      <w:r w:rsidR="00417B04">
        <w:t xml:space="preserve"> A</w:t>
      </w:r>
      <w:r w:rsidR="00551C9C">
        <w:t xml:space="preserve">ccordingly, a </w:t>
      </w:r>
      <w:r w:rsidR="00551C9C">
        <w:lastRenderedPageBreak/>
        <w:t>public</w:t>
      </w:r>
      <w:r w:rsidR="00417B04" w:rsidRPr="003723DB">
        <w:t xml:space="preserve"> hearing has been scheduled before the full Commission </w:t>
      </w:r>
      <w:r w:rsidR="00417B04">
        <w:t>on</w:t>
      </w:r>
      <w:r w:rsidR="00417B04" w:rsidRPr="003723DB">
        <w:t xml:space="preserve"> November 5, 2019, pursuant to notice app</w:t>
      </w:r>
      <w:r w:rsidR="00417B04">
        <w:t xml:space="preserve">earing in the October 29, 2019 </w:t>
      </w:r>
      <w:r w:rsidR="00417B04" w:rsidRPr="003723DB">
        <w:t xml:space="preserve">edition of the F.A.R., Volume 45, </w:t>
      </w:r>
      <w:proofErr w:type="gramStart"/>
      <w:r w:rsidR="00417B04" w:rsidRPr="003723DB">
        <w:t>Number</w:t>
      </w:r>
      <w:proofErr w:type="gramEnd"/>
      <w:r w:rsidR="00417B04" w:rsidRPr="003723DB">
        <w:t xml:space="preserve"> 211.</w:t>
      </w:r>
      <w:r w:rsidR="00417B04">
        <w:t xml:space="preserve"> </w:t>
      </w:r>
    </w:p>
    <w:p w:rsidR="007D4B82" w:rsidRDefault="007D4B82" w:rsidP="00417B04">
      <w:pPr>
        <w:jc w:val="both"/>
      </w:pPr>
    </w:p>
    <w:p w:rsidR="003A70F4" w:rsidRDefault="003E43B5" w:rsidP="00417B04">
      <w:pPr>
        <w:jc w:val="both"/>
      </w:pPr>
      <w:r>
        <w:tab/>
      </w:r>
      <w:r w:rsidR="002521ED">
        <w:t>O</w:t>
      </w:r>
      <w:r w:rsidR="0055481C" w:rsidRPr="0055481C">
        <w:t xml:space="preserve">n October 29, 2019, OPC filed </w:t>
      </w:r>
      <w:r w:rsidR="002521ED">
        <w:t xml:space="preserve">a Motion for Continuance and to </w:t>
      </w:r>
      <w:proofErr w:type="gramStart"/>
      <w:r w:rsidR="002521ED">
        <w:t>Establish</w:t>
      </w:r>
      <w:proofErr w:type="gramEnd"/>
      <w:r w:rsidR="002521ED">
        <w:t xml:space="preserve"> a Reasona</w:t>
      </w:r>
      <w:r w:rsidR="00417B04">
        <w:t>ble Schedule for Rule Hearing</w:t>
      </w:r>
      <w:r w:rsidR="00DB357A">
        <w:t xml:space="preserve"> (Motion for Continuance)</w:t>
      </w:r>
      <w:r w:rsidR="00417B04">
        <w:t xml:space="preserve">. </w:t>
      </w:r>
      <w:r w:rsidR="0055481C" w:rsidRPr="0055481C">
        <w:t xml:space="preserve">OPC </w:t>
      </w:r>
      <w:r w:rsidR="00417B04">
        <w:t xml:space="preserve">also </w:t>
      </w:r>
      <w:r w:rsidR="0055481C" w:rsidRPr="0055481C">
        <w:t>issued several deposition notices and discovery requests</w:t>
      </w:r>
      <w:r w:rsidR="002521ED">
        <w:t xml:space="preserve"> directed to th</w:t>
      </w:r>
      <w:r>
        <w:t>e IOUs</w:t>
      </w:r>
      <w:r w:rsidR="0055481C" w:rsidRPr="0055481C">
        <w:t>.</w:t>
      </w:r>
      <w:r w:rsidR="00BF499E">
        <w:t xml:space="preserve"> </w:t>
      </w:r>
      <w:proofErr w:type="gramStart"/>
      <w:r w:rsidR="00BF499E">
        <w:t>By Order No.</w:t>
      </w:r>
      <w:proofErr w:type="gramEnd"/>
      <w:r w:rsidR="00BF499E">
        <w:t xml:space="preserve"> PSC-2019-0</w:t>
      </w:r>
      <w:r w:rsidR="00FD464D">
        <w:t>468-PCO-EU, issued October 31, 2019, the motion was denied, and OPC was again informed of its opportunity to present evidence and argument to the Commission at the November 5, 2019, public hearing.</w:t>
      </w:r>
    </w:p>
    <w:p w:rsidR="00FD464D" w:rsidRDefault="00FD464D" w:rsidP="00417B04">
      <w:pPr>
        <w:jc w:val="both"/>
      </w:pPr>
    </w:p>
    <w:p w:rsidR="00FD464D" w:rsidRDefault="00FD464D" w:rsidP="00417B04">
      <w:pPr>
        <w:jc w:val="both"/>
      </w:pPr>
      <w:r>
        <w:tab/>
        <w:t>On October 31, 2019, within hours of the or</w:t>
      </w:r>
      <w:r w:rsidR="00DB357A">
        <w:t>der being issued denying OPC’s Motion for C</w:t>
      </w:r>
      <w:r>
        <w:t>ontinuance, OPC filed a Motion to Suspend Hearing on Proposed Rules 25-6.030 and 25-6.031, F.A.C., and Initiate Formal Proceedings</w:t>
      </w:r>
      <w:r w:rsidR="00C15C5E">
        <w:t xml:space="preserve"> (Motion for Formal Proceedings)</w:t>
      </w:r>
      <w:r>
        <w:t>.</w:t>
      </w:r>
      <w:r w:rsidR="00C15C5E">
        <w:t xml:space="preserve"> This Order addresses OPC’s Motion for Formal Proceedings. </w:t>
      </w:r>
    </w:p>
    <w:p w:rsidR="003A70F4" w:rsidRDefault="003A70F4" w:rsidP="003A70F4">
      <w:pPr>
        <w:jc w:val="both"/>
      </w:pPr>
    </w:p>
    <w:p w:rsidR="003A70F4" w:rsidRPr="003E43B5" w:rsidRDefault="003A70F4" w:rsidP="003A70F4">
      <w:pPr>
        <w:jc w:val="both"/>
      </w:pPr>
      <w:r w:rsidRPr="003E43B5">
        <w:t>II.</w:t>
      </w:r>
      <w:r w:rsidRPr="003E43B5">
        <w:tab/>
      </w:r>
      <w:r w:rsidR="003E43B5">
        <w:rPr>
          <w:u w:val="single"/>
        </w:rPr>
        <w:t xml:space="preserve">OPC’s </w:t>
      </w:r>
      <w:r w:rsidR="00C15C5E">
        <w:rPr>
          <w:u w:val="single"/>
        </w:rPr>
        <w:t>Motion for Formal Proceedings</w:t>
      </w:r>
    </w:p>
    <w:p w:rsidR="004E5B21" w:rsidRPr="004E5B21" w:rsidRDefault="004E5B21" w:rsidP="004E5B21"/>
    <w:p w:rsidR="004E5B21" w:rsidRPr="004E5B21" w:rsidRDefault="00DB357A" w:rsidP="004E5B21">
      <w:pPr>
        <w:jc w:val="both"/>
      </w:pPr>
      <w:r>
        <w:tab/>
      </w:r>
      <w:r w:rsidR="004E5B21">
        <w:t xml:space="preserve">OPC requests the Commission </w:t>
      </w:r>
      <w:r>
        <w:t xml:space="preserve">to </w:t>
      </w:r>
      <w:r w:rsidR="002050A9">
        <w:t xml:space="preserve">suspend </w:t>
      </w:r>
      <w:r>
        <w:t>the</w:t>
      </w:r>
      <w:r w:rsidR="00836C87">
        <w:t xml:space="preserve"> public hearing scheduled for</w:t>
      </w:r>
      <w:r w:rsidR="004E5B21">
        <w:t xml:space="preserve"> No</w:t>
      </w:r>
      <w:r w:rsidR="002050A9">
        <w:t>vember 5, 2019, to</w:t>
      </w:r>
      <w:r>
        <w:t xml:space="preserve"> </w:t>
      </w:r>
      <w:r w:rsidR="004E5B21">
        <w:t>conduct a formal evidentiary hearing on the proposed adoption of the rules. OPC alleges</w:t>
      </w:r>
      <w:r w:rsidR="004E5B21" w:rsidRPr="004E5B21">
        <w:t xml:space="preserve"> that its substantial interests will be affected by the proposed rules “because the proposed rules will permit direct recovery of storm protection expenses outside the normal confines of a </w:t>
      </w:r>
      <w:r w:rsidR="004E5B21">
        <w:t>full rate case.” OPC also alleges</w:t>
      </w:r>
      <w:r w:rsidR="004E5B21" w:rsidRPr="004E5B21">
        <w:t xml:space="preserve"> that its substantial interests will not be adequately protected through the public hearing o</w:t>
      </w:r>
      <w:r w:rsidR="00BF499E">
        <w:t>n November 5, 201</w:t>
      </w:r>
      <w:r w:rsidR="003D3991">
        <w:t>9, because “</w:t>
      </w:r>
      <w:r w:rsidR="00BF499E">
        <w:t xml:space="preserve">a </w:t>
      </w:r>
      <w:r w:rsidR="004E5B21">
        <w:t xml:space="preserve">mere </w:t>
      </w:r>
      <w:r w:rsidR="004E5B21" w:rsidRPr="004E5B21">
        <w:t>seven-day</w:t>
      </w:r>
      <w:r w:rsidR="004E5B21">
        <w:t xml:space="preserve">s’ – four business days – notice is </w:t>
      </w:r>
      <w:r w:rsidR="00484AC8">
        <w:t xml:space="preserve">insufficient time to conduct discovery, prepare testimony, or otherwise </w:t>
      </w:r>
      <w:r w:rsidR="004E5B21" w:rsidRPr="004E5B21">
        <w:t>establish material facts.” OPC further argues that due to the complexity of the issues present in this rulemaking it</w:t>
      </w:r>
      <w:r w:rsidR="00484AC8">
        <w:t>s</w:t>
      </w:r>
      <w:r w:rsidR="004E5B21" w:rsidRPr="004E5B21">
        <w:t xml:space="preserve"> substantial interests can only be protected </w:t>
      </w:r>
      <w:r w:rsidR="00BF499E">
        <w:t>if the November 5, 2019 public hearing</w:t>
      </w:r>
      <w:r w:rsidR="00484AC8">
        <w:t xml:space="preserve"> is held in abeyance and</w:t>
      </w:r>
      <w:r w:rsidR="004E5B21" w:rsidRPr="004E5B21">
        <w:t xml:space="preserve"> a formal hearing</w:t>
      </w:r>
      <w:r w:rsidR="00484AC8">
        <w:t xml:space="preserve"> </w:t>
      </w:r>
      <w:r w:rsidR="002F4E29">
        <w:t xml:space="preserve">is </w:t>
      </w:r>
      <w:r w:rsidR="00484AC8">
        <w:t>conducted pursuant to Sections 120.569</w:t>
      </w:r>
      <w:r w:rsidR="002F4E29">
        <w:t xml:space="preserve"> and 120.57, F.S., </w:t>
      </w:r>
      <w:r w:rsidR="00484AC8">
        <w:t>“where experts for the utilities and the customers can, after conducting discovery, present their sworn testimony, subject to cross-examination, and file post-hearing briefs.”</w:t>
      </w:r>
    </w:p>
    <w:p w:rsidR="004E5B21" w:rsidRPr="004E5B21" w:rsidRDefault="004E5B21" w:rsidP="004E5B21">
      <w:pPr>
        <w:jc w:val="both"/>
      </w:pPr>
    </w:p>
    <w:p w:rsidR="006E4A16" w:rsidRDefault="004E5B21" w:rsidP="004E5B21">
      <w:pPr>
        <w:jc w:val="both"/>
      </w:pPr>
      <w:r>
        <w:tab/>
      </w:r>
      <w:r w:rsidR="00BF499E">
        <w:t>In support of its Motion for Formal Proceedings</w:t>
      </w:r>
      <w:r w:rsidR="00484AC8">
        <w:t>, OPC states that “</w:t>
      </w:r>
      <w:r w:rsidR="00BF499E">
        <w:t>[</w:t>
      </w:r>
      <w:r w:rsidR="00484AC8">
        <w:t>t</w:t>
      </w:r>
      <w:r w:rsidR="00BF499E">
        <w:t>]</w:t>
      </w:r>
      <w:r w:rsidR="00484AC8">
        <w:t>he proposed rules, as drafted, do not ensure that the ratepayers will not pay twice for storm protection and hardening as required by the statute.” OPC states that proposed Rule 25-6.031(3</w:t>
      </w:r>
      <w:proofErr w:type="gramStart"/>
      <w:r w:rsidR="00484AC8">
        <w:t>)(</w:t>
      </w:r>
      <w:proofErr w:type="gramEnd"/>
      <w:r w:rsidR="00484AC8">
        <w:t>e)2.</w:t>
      </w:r>
      <w:r w:rsidR="002050A9">
        <w:t>, F.A.C.,</w:t>
      </w:r>
      <w:r w:rsidR="00484AC8">
        <w:t xml:space="preserve"> “allows the IOUs to omit the project-level detail from plans and instead file program-level detail” and </w:t>
      </w:r>
      <w:r w:rsidR="00BF499E">
        <w:t>that this will “</w:t>
      </w:r>
      <w:r w:rsidR="003770E4">
        <w:t>make it difficult, if not impossible, for the Commission to distinguish the non-recoverable (i.e., recovered through base rates) project costs from the additional recoverable costs.” OPC claims this lack of detail in the plan</w:t>
      </w:r>
      <w:r w:rsidR="006E4A16">
        <w:t>s</w:t>
      </w:r>
      <w:r w:rsidR="003770E4">
        <w:t xml:space="preserve"> “forecloses nearly any prudence determination” and that “</w:t>
      </w:r>
      <w:r w:rsidR="00F371AF">
        <w:t>[</w:t>
      </w:r>
      <w:r w:rsidR="003770E4">
        <w:t>w</w:t>
      </w:r>
      <w:r w:rsidR="00F371AF">
        <w:t>]</w:t>
      </w:r>
      <w:proofErr w:type="spellStart"/>
      <w:r w:rsidR="003770E4">
        <w:t>ithout</w:t>
      </w:r>
      <w:proofErr w:type="spellEnd"/>
      <w:r w:rsidR="003770E4">
        <w:t xml:space="preserve"> any requirement for the IOUs to provide the project-level detail necessary to identify and separate new undergrounding project costs </w:t>
      </w:r>
      <w:r w:rsidR="00F371AF">
        <w:t xml:space="preserve">from existing costs being recovered through base rates in the form of costs </w:t>
      </w:r>
      <w:r w:rsidR="003770E4">
        <w:t>incurred in the execution of pre-existing Storm Hardening</w:t>
      </w:r>
      <w:r w:rsidR="002050A9">
        <w:t xml:space="preserve"> Plans</w:t>
      </w:r>
      <w:r w:rsidR="003770E4">
        <w:t>, the proposed rules do not provide the protection required by section 366.96.”</w:t>
      </w:r>
      <w:r w:rsidR="006E4A16">
        <w:t xml:space="preserve"> </w:t>
      </w:r>
    </w:p>
    <w:p w:rsidR="006E4A16" w:rsidRDefault="006E4A16" w:rsidP="004E5B21">
      <w:pPr>
        <w:jc w:val="both"/>
      </w:pPr>
    </w:p>
    <w:p w:rsidR="002F4E29" w:rsidRDefault="006E4A16" w:rsidP="004E5B21">
      <w:pPr>
        <w:jc w:val="both"/>
      </w:pPr>
      <w:r>
        <w:tab/>
      </w:r>
      <w:r w:rsidR="00F371AF">
        <w:t xml:space="preserve">OPC alleges that there are </w:t>
      </w:r>
      <w:r>
        <w:t>provisions of the proposed rules that depend on underlying facts that the Commission does not have a</w:t>
      </w:r>
      <w:r w:rsidR="00F371AF">
        <w:t>nd which need to be determined.</w:t>
      </w:r>
      <w:r w:rsidR="00440CCE">
        <w:t xml:space="preserve"> The </w:t>
      </w:r>
      <w:r w:rsidR="00AE7D60">
        <w:t xml:space="preserve">facts that OPC believes are </w:t>
      </w:r>
      <w:r w:rsidR="00440CCE">
        <w:t>“</w:t>
      </w:r>
      <w:r w:rsidR="00AE7D60">
        <w:t>known and knowable</w:t>
      </w:r>
      <w:r w:rsidR="00440CCE">
        <w:t>”</w:t>
      </w:r>
      <w:r w:rsidR="00AE7D60">
        <w:t xml:space="preserve"> to the IOUs</w:t>
      </w:r>
      <w:r w:rsidR="00440CCE">
        <w:t xml:space="preserve"> but are “</w:t>
      </w:r>
      <w:r w:rsidR="00AE7D60">
        <w:t>unknown</w:t>
      </w:r>
      <w:r w:rsidR="00440CCE">
        <w:t>”</w:t>
      </w:r>
      <w:r w:rsidR="00AE7D60">
        <w:t xml:space="preserve"> to the Commission and OPC</w:t>
      </w:r>
      <w:r w:rsidR="00440CCE">
        <w:t xml:space="preserve"> </w:t>
      </w:r>
      <w:r w:rsidR="00AE7D60">
        <w:lastRenderedPageBreak/>
        <w:t xml:space="preserve">include: </w:t>
      </w:r>
      <w:r>
        <w:t>the impact of project-level detai</w:t>
      </w:r>
      <w:r w:rsidR="002050A9">
        <w:t xml:space="preserve">l on the ability to separate Storm </w:t>
      </w:r>
      <w:r w:rsidR="00E405AE">
        <w:t>Hardening</w:t>
      </w:r>
      <w:r w:rsidR="002050A9">
        <w:t xml:space="preserve"> Plan</w:t>
      </w:r>
      <w:r>
        <w:t xml:space="preserve"> costs (and any other costs being recove</w:t>
      </w:r>
      <w:r w:rsidR="002F4E29">
        <w:t>red through base rates) from storm protection plan</w:t>
      </w:r>
      <w:r>
        <w:t xml:space="preserve"> c</w:t>
      </w:r>
      <w:r w:rsidR="00AE7D60">
        <w:t xml:space="preserve">osts; </w:t>
      </w:r>
      <w:r>
        <w:t>the availability of project-l</w:t>
      </w:r>
      <w:r w:rsidR="00836C87">
        <w:t>evel detail; the impact of AFUDC on</w:t>
      </w:r>
      <w:r w:rsidR="00AE7D60">
        <w:t xml:space="preserve"> project-level detail as compared to </w:t>
      </w:r>
      <w:r w:rsidR="00440CCE">
        <w:t>the program level detail; and the purposes for installing meters and batteries and their function, if any, in the network for storm restoration and resiliency in the face of extreme weather events.</w:t>
      </w:r>
      <w:r w:rsidR="00AE7D60">
        <w:t xml:space="preserve"> </w:t>
      </w:r>
      <w:r w:rsidR="00440CCE">
        <w:t>OPC claims that a fo</w:t>
      </w:r>
      <w:r w:rsidR="00512021">
        <w:t>rmal evidentiary</w:t>
      </w:r>
      <w:r w:rsidR="00F371AF">
        <w:t xml:space="preserve"> proceeding is </w:t>
      </w:r>
      <w:r w:rsidR="00440CCE">
        <w:t>necessary to</w:t>
      </w:r>
      <w:r w:rsidR="00F371AF">
        <w:t xml:space="preserve"> permit the Commission and OPC</w:t>
      </w:r>
      <w:r w:rsidR="00440CCE">
        <w:t xml:space="preserve"> an </w:t>
      </w:r>
      <w:r w:rsidR="00512021">
        <w:t>opportunity</w:t>
      </w:r>
      <w:r w:rsidR="00F371AF">
        <w:t xml:space="preserve"> to </w:t>
      </w:r>
      <w:r w:rsidR="00512021">
        <w:t>ascertain</w:t>
      </w:r>
      <w:r w:rsidR="00F371AF">
        <w:t xml:space="preserve"> these facts.</w:t>
      </w:r>
      <w:r w:rsidR="002F4E29">
        <w:t xml:space="preserve"> Moreover, OPC state</w:t>
      </w:r>
      <w:r w:rsidR="00C15C5E">
        <w:t>s</w:t>
      </w:r>
      <w:r w:rsidR="002F4E29">
        <w:t xml:space="preserve"> that the IOUs “advocated for aggregation of undergrounding detail at the program level on the basis that the information was effectively unavailable in any year except the first year in the 10-year planning horizon” and that “[t]his is a factual matter that requires discovery and testimony to determine the veracity of the claim as well as the nature of the information available.”</w:t>
      </w:r>
    </w:p>
    <w:p w:rsidR="002F4E29" w:rsidRDefault="002F4E29" w:rsidP="004E5B21">
      <w:pPr>
        <w:jc w:val="both"/>
      </w:pPr>
    </w:p>
    <w:p w:rsidR="004E5B21" w:rsidRPr="004E5B21" w:rsidRDefault="002F4E29" w:rsidP="004E5B21">
      <w:pPr>
        <w:jc w:val="both"/>
      </w:pPr>
      <w:r>
        <w:tab/>
      </w:r>
      <w:r w:rsidR="00440CCE">
        <w:t xml:space="preserve">OPC </w:t>
      </w:r>
      <w:r>
        <w:t xml:space="preserve">states that it </w:t>
      </w:r>
      <w:r w:rsidR="00440CCE">
        <w:t>“</w:t>
      </w:r>
      <w:proofErr w:type="gramStart"/>
      <w:r w:rsidR="00440CCE">
        <w:t>expect[</w:t>
      </w:r>
      <w:proofErr w:type="gramEnd"/>
      <w:r w:rsidR="00440CCE">
        <w:t>s] that the hearing process and pending discovery will re</w:t>
      </w:r>
      <w:r>
        <w:t>veal additional predicate facts, the determination of which are essential to protecting the interests of the IOU customers and to the adopti</w:t>
      </w:r>
      <w:r w:rsidR="00496245">
        <w:t>on of a lawful rule.” It further states that it reserves it</w:t>
      </w:r>
      <w:r>
        <w:t xml:space="preserve"> </w:t>
      </w:r>
      <w:r w:rsidR="00496245">
        <w:t>“</w:t>
      </w:r>
      <w:r>
        <w:t xml:space="preserve">rights to raise such facts and seek a determination of them to the full extent allowed under the law.” </w:t>
      </w:r>
    </w:p>
    <w:p w:rsidR="0055481C" w:rsidRPr="00701945" w:rsidRDefault="004E5B21" w:rsidP="003A70F4">
      <w:pPr>
        <w:jc w:val="both"/>
      </w:pPr>
      <w:r>
        <w:tab/>
      </w:r>
    </w:p>
    <w:p w:rsidR="003A70F4" w:rsidRPr="003E43B5" w:rsidRDefault="0055481C" w:rsidP="003A70F4">
      <w:pPr>
        <w:jc w:val="both"/>
      </w:pPr>
      <w:r w:rsidRPr="003E43B5">
        <w:t>III.</w:t>
      </w:r>
      <w:r w:rsidRPr="003E43B5">
        <w:tab/>
      </w:r>
      <w:r w:rsidR="002521ED" w:rsidRPr="003E43B5">
        <w:rPr>
          <w:u w:val="single"/>
        </w:rPr>
        <w:t>R</w:t>
      </w:r>
      <w:r w:rsidR="003E43B5">
        <w:rPr>
          <w:u w:val="single"/>
        </w:rPr>
        <w:t>uling</w:t>
      </w:r>
    </w:p>
    <w:p w:rsidR="003A70F4" w:rsidRDefault="003A70F4" w:rsidP="003A70F4">
      <w:pPr>
        <w:jc w:val="both"/>
      </w:pPr>
    </w:p>
    <w:p w:rsidR="00956C9E" w:rsidRDefault="00012EFC" w:rsidP="00956C9E">
      <w:pPr>
        <w:ind w:firstLine="720"/>
        <w:jc w:val="both"/>
      </w:pPr>
      <w:r>
        <w:t>R</w:t>
      </w:r>
      <w:r w:rsidR="000C1FC8">
        <w:t>ulemaking proceedings are govern</w:t>
      </w:r>
      <w:r w:rsidR="00315460">
        <w:t>ed solely by the provisions of S</w:t>
      </w:r>
      <w:r w:rsidR="000C1FC8">
        <w:t>ection 120.54</w:t>
      </w:r>
      <w:r w:rsidR="00315460">
        <w:t>, F.S</w:t>
      </w:r>
      <w:r w:rsidR="002521ED">
        <w:t>.</w:t>
      </w:r>
      <w:r w:rsidR="0078146D">
        <w:t xml:space="preserve">, </w:t>
      </w:r>
      <w:proofErr w:type="gramStart"/>
      <w:r w:rsidR="00847C1B">
        <w:t>“</w:t>
      </w:r>
      <w:proofErr w:type="gramEnd"/>
      <w:r w:rsidR="00847C1B">
        <w:t>unless a person timely asserts that the person’s substantial interests will be affected in the proceeding and affirmatively demonstrates to the agency that the proceeding does not provide adequate opportunity to prote</w:t>
      </w:r>
      <w:r w:rsidR="00956C9E">
        <w:t>ct those interests.” A</w:t>
      </w:r>
      <w:r w:rsidR="002521ED">
        <w:t>n agency</w:t>
      </w:r>
      <w:r w:rsidR="000C1FC8">
        <w:t xml:space="preserve"> must suspend rulemaking proceedings</w:t>
      </w:r>
      <w:r w:rsidR="00C15C5E">
        <w:t xml:space="preserve"> </w:t>
      </w:r>
      <w:r w:rsidR="000C1FC8">
        <w:t>and conve</w:t>
      </w:r>
      <w:r w:rsidR="007A23D4">
        <w:t>ne a separate proceeding under S</w:t>
      </w:r>
      <w:r w:rsidR="000C1FC8">
        <w:t>ections 120.569 and 120.57</w:t>
      </w:r>
      <w:r w:rsidR="007A23D4">
        <w:t>, F.S.,</w:t>
      </w:r>
      <w:r w:rsidR="000C1FC8">
        <w:t xml:space="preserve"> if the </w:t>
      </w:r>
      <w:r w:rsidR="002521ED">
        <w:t>agency</w:t>
      </w:r>
      <w:r w:rsidR="000C1FC8">
        <w:t xml:space="preserve"> determines tha</w:t>
      </w:r>
      <w:r w:rsidR="00496245">
        <w:t>t the rulemaking proceeding is</w:t>
      </w:r>
      <w:r w:rsidR="000C1FC8">
        <w:t xml:space="preserve"> not ade</w:t>
      </w:r>
      <w:r w:rsidR="00B95FC8">
        <w:t xml:space="preserve">quate </w:t>
      </w:r>
      <w:r w:rsidR="00496245">
        <w:t xml:space="preserve">to </w:t>
      </w:r>
      <w:r w:rsidR="00B95FC8">
        <w:t>protect th</w:t>
      </w:r>
      <w:r w:rsidR="000C1FC8">
        <w:t>e</w:t>
      </w:r>
      <w:r w:rsidR="00B95FC8">
        <w:t xml:space="preserve"> affected person’s substantial</w:t>
      </w:r>
      <w:r w:rsidR="000C1FC8">
        <w:t xml:space="preserve"> interests.</w:t>
      </w:r>
    </w:p>
    <w:p w:rsidR="0055481C" w:rsidRPr="0055481C" w:rsidRDefault="00956C9E" w:rsidP="00956C9E">
      <w:pPr>
        <w:ind w:firstLine="720"/>
        <w:jc w:val="both"/>
      </w:pPr>
      <w:r w:rsidRPr="0055481C">
        <w:t xml:space="preserve"> </w:t>
      </w:r>
    </w:p>
    <w:p w:rsidR="00956C9E" w:rsidRDefault="00847C1B" w:rsidP="00FA2A27">
      <w:pPr>
        <w:ind w:firstLine="720"/>
        <w:jc w:val="both"/>
      </w:pPr>
      <w:r>
        <w:t>OPC’s petition for hearing filed on October 25</w:t>
      </w:r>
      <w:r w:rsidR="00872671">
        <w:t>, 2019, requested a public hearin</w:t>
      </w:r>
      <w:r w:rsidR="0078146D">
        <w:t>g under Section 120.54</w:t>
      </w:r>
      <w:r w:rsidR="002050A9">
        <w:t>(3</w:t>
      </w:r>
      <w:proofErr w:type="gramStart"/>
      <w:r w:rsidR="002050A9">
        <w:t>)(</w:t>
      </w:r>
      <w:proofErr w:type="gramEnd"/>
      <w:r w:rsidR="002050A9">
        <w:t>c)</w:t>
      </w:r>
      <w:r w:rsidR="00836C87">
        <w:t>, F.S. OPC</w:t>
      </w:r>
      <w:r w:rsidR="0078146D">
        <w:t xml:space="preserve"> did not assert its </w:t>
      </w:r>
      <w:r>
        <w:t>substantial interest</w:t>
      </w:r>
      <w:r w:rsidR="00D4381D">
        <w:t>s</w:t>
      </w:r>
      <w:r>
        <w:t xml:space="preserve"> will </w:t>
      </w:r>
      <w:r w:rsidR="00872671">
        <w:t xml:space="preserve">be </w:t>
      </w:r>
      <w:r>
        <w:t>affect</w:t>
      </w:r>
      <w:r w:rsidR="0078146D">
        <w:t>ed in the proceeding, and it did not include an</w:t>
      </w:r>
      <w:r>
        <w:t xml:space="preserve"> affirmative demonstration to the Commission that the </w:t>
      </w:r>
      <w:r w:rsidR="00D4381D">
        <w:t xml:space="preserve">rulemaking </w:t>
      </w:r>
      <w:r>
        <w:t xml:space="preserve">proceeding does not provide </w:t>
      </w:r>
      <w:r w:rsidR="00D4381D">
        <w:t xml:space="preserve">an </w:t>
      </w:r>
      <w:r>
        <w:t xml:space="preserve">adequate opportunity to protect any such substantial interests, as required </w:t>
      </w:r>
      <w:r w:rsidR="00956C9E">
        <w:t xml:space="preserve">by Section 120.54(3)(c)2., F.S. </w:t>
      </w:r>
      <w:r w:rsidR="0078146D">
        <w:t xml:space="preserve">By its motion filed on October 31, 2019, OPC is now </w:t>
      </w:r>
      <w:r w:rsidR="004B09EC">
        <w:t xml:space="preserve">alleging that its substantial interests will be affected and is requesting </w:t>
      </w:r>
      <w:r w:rsidR="00496245">
        <w:t xml:space="preserve">that </w:t>
      </w:r>
      <w:r w:rsidR="004B09EC">
        <w:t>this rulemaking proceeding be suspended</w:t>
      </w:r>
      <w:r w:rsidR="00B8612B">
        <w:t xml:space="preserve"> and </w:t>
      </w:r>
      <w:r w:rsidR="00496245">
        <w:t xml:space="preserve">that </w:t>
      </w:r>
      <w:r w:rsidR="00B8612B">
        <w:t xml:space="preserve">the </w:t>
      </w:r>
      <w:r w:rsidR="004B09EC">
        <w:t>public hearing</w:t>
      </w:r>
      <w:r w:rsidR="00012EFC">
        <w:t xml:space="preserve"> the Commission scheduled on Nove</w:t>
      </w:r>
      <w:r w:rsidR="00956C9E">
        <w:t>mber 5, 2019, in response to OPC’s</w:t>
      </w:r>
      <w:r w:rsidR="00012EFC">
        <w:t xml:space="preserve"> request </w:t>
      </w:r>
      <w:r w:rsidR="00956C9E">
        <w:t>for public hearing</w:t>
      </w:r>
      <w:r w:rsidR="00496245">
        <w:t>,</w:t>
      </w:r>
      <w:r w:rsidR="00956C9E">
        <w:t xml:space="preserve"> </w:t>
      </w:r>
      <w:r w:rsidR="004B09EC">
        <w:t>be held in abeyance so that a “draw</w:t>
      </w:r>
      <w:r w:rsidR="00024E4D">
        <w:t>-</w:t>
      </w:r>
      <w:r w:rsidR="004B09EC">
        <w:t xml:space="preserve">out” proceeding </w:t>
      </w:r>
      <w:r w:rsidR="0095123D">
        <w:t xml:space="preserve">can </w:t>
      </w:r>
      <w:r w:rsidR="004B09EC">
        <w:t xml:space="preserve">be </w:t>
      </w:r>
      <w:r w:rsidR="0007452E">
        <w:t>conduct</w:t>
      </w:r>
      <w:r w:rsidR="004B09EC">
        <w:t xml:space="preserve">ed </w:t>
      </w:r>
      <w:r w:rsidR="0007452E">
        <w:t xml:space="preserve">under Sections 120.569 and 120.57, F.S. </w:t>
      </w:r>
    </w:p>
    <w:p w:rsidR="00266A57" w:rsidRDefault="00266A57" w:rsidP="00FA2A27">
      <w:pPr>
        <w:ind w:firstLine="720"/>
        <w:jc w:val="both"/>
      </w:pPr>
    </w:p>
    <w:p w:rsidR="00956C9E" w:rsidRDefault="00956C9E" w:rsidP="00956C9E">
      <w:pPr>
        <w:jc w:val="both"/>
      </w:pPr>
      <w:r>
        <w:tab/>
        <w:t>OPC cites</w:t>
      </w:r>
      <w:r w:rsidRPr="00956C9E">
        <w:t xml:space="preserve"> to Rule 28-103.005, F.A.C., as a basis for its motion. </w:t>
      </w:r>
      <w:r>
        <w:t xml:space="preserve">However, Rule 28-103.005, F.A.C., was repealed on </w:t>
      </w:r>
      <w:r w:rsidRPr="00956C9E">
        <w:t>December 4, 2012.</w:t>
      </w:r>
      <w:r w:rsidR="00C15C5E">
        <w:t xml:space="preserve"> </w:t>
      </w:r>
      <w:r w:rsidR="005F1F6A">
        <w:t xml:space="preserve">Rule 28-103.005, F.A.C., </w:t>
      </w:r>
      <w:r w:rsidRPr="00956C9E">
        <w:t>addressed evidentiary proceedings</w:t>
      </w:r>
      <w:r>
        <w:t xml:space="preserve"> during rulemaking and </w:t>
      </w:r>
      <w:r w:rsidRPr="00956C9E">
        <w:t>specifically provided that the request for draw-out could be made a</w:t>
      </w:r>
      <w:r w:rsidR="00266A57">
        <w:t>t</w:t>
      </w:r>
      <w:r w:rsidRPr="00956C9E">
        <w:t xml:space="preserve"> any time prior to the con</w:t>
      </w:r>
      <w:r w:rsidR="004715E3">
        <w:t>clusion of a public hearing. However,</w:t>
      </w:r>
      <w:r>
        <w:t xml:space="preserve"> the rule </w:t>
      </w:r>
      <w:r w:rsidRPr="00956C9E">
        <w:t xml:space="preserve">is no longer </w:t>
      </w:r>
      <w:r>
        <w:t>in effect and, thus, cannot be a basis for a decision on OPC’s motion.</w:t>
      </w:r>
      <w:r w:rsidR="00266A57">
        <w:rPr>
          <w:rStyle w:val="FootnoteReference"/>
        </w:rPr>
        <w:footnoteReference w:id="1"/>
      </w:r>
      <w:r>
        <w:t xml:space="preserve"> </w:t>
      </w:r>
    </w:p>
    <w:p w:rsidR="001D07EC" w:rsidRDefault="00024E4D" w:rsidP="00FA2A27">
      <w:pPr>
        <w:ind w:firstLine="720"/>
        <w:jc w:val="both"/>
      </w:pPr>
      <w:r>
        <w:lastRenderedPageBreak/>
        <w:t xml:space="preserve">To determine what </w:t>
      </w:r>
      <w:r w:rsidR="00266A57">
        <w:t>“timely” means in</w:t>
      </w:r>
      <w:r w:rsidR="00956C9E">
        <w:t xml:space="preserve"> Section 120.54(3</w:t>
      </w:r>
      <w:proofErr w:type="gramStart"/>
      <w:r w:rsidR="00956C9E">
        <w:t>)(</w:t>
      </w:r>
      <w:proofErr w:type="gramEnd"/>
      <w:r w:rsidR="00956C9E">
        <w:t>c)2., F.S.</w:t>
      </w:r>
      <w:r w:rsidR="005F1F6A">
        <w:t xml:space="preserve">, the plain language of the statute must be examined. </w:t>
      </w:r>
      <w:proofErr w:type="gramStart"/>
      <w:r w:rsidR="005F1F6A">
        <w:rPr>
          <w:i/>
        </w:rPr>
        <w:t>See, e.g.,</w:t>
      </w:r>
      <w:r w:rsidR="005F1F6A">
        <w:t xml:space="preserve"> </w:t>
      </w:r>
      <w:r w:rsidR="005F1F6A">
        <w:rPr>
          <w:i/>
        </w:rPr>
        <w:t>Forsythe v. Longboat Key Beach Erosion Control District</w:t>
      </w:r>
      <w:r w:rsidR="005F1F6A">
        <w:t>, 604 So.</w:t>
      </w:r>
      <w:proofErr w:type="gramEnd"/>
      <w:r w:rsidR="005F1F6A">
        <w:t xml:space="preserve"> 2d 452, 454 (Fla. 1992)</w:t>
      </w:r>
      <w:r w:rsidR="00DA35A2">
        <w:t xml:space="preserve"> </w:t>
      </w:r>
      <w:r w:rsidR="005F1F6A">
        <w:t xml:space="preserve">(“It is a fundamental principle of statutory construction that where the language of a statute is plain and unambiguous there is no occasion for judicial interpretation.”). </w:t>
      </w:r>
      <w:r>
        <w:t>The timeliness requirement</w:t>
      </w:r>
      <w:r w:rsidR="00956C9E">
        <w:t xml:space="preserve"> in subparagraph (3</w:t>
      </w:r>
      <w:proofErr w:type="gramStart"/>
      <w:r w:rsidR="00956C9E">
        <w:t>)(</w:t>
      </w:r>
      <w:proofErr w:type="gramEnd"/>
      <w:r w:rsidR="00956C9E">
        <w:t xml:space="preserve">c)2. </w:t>
      </w:r>
      <w:proofErr w:type="gramStart"/>
      <w:r w:rsidR="00956C9E">
        <w:t>is</w:t>
      </w:r>
      <w:proofErr w:type="gramEnd"/>
      <w:r w:rsidR="00956C9E">
        <w:t xml:space="preserve"> contained in the same </w:t>
      </w:r>
      <w:r w:rsidR="00431362">
        <w:t>paragraph</w:t>
      </w:r>
      <w:r w:rsidR="00956C9E">
        <w:t xml:space="preserve"> as the 21-day dead</w:t>
      </w:r>
      <w:r w:rsidR="00A40D7B">
        <w:t>line</w:t>
      </w:r>
      <w:r>
        <w:t xml:space="preserve"> by which hearing petitions must be filed pursuant to </w:t>
      </w:r>
      <w:r w:rsidR="00A40D7B">
        <w:t>subparagraph</w:t>
      </w:r>
      <w:r w:rsidR="00956C9E">
        <w:t xml:space="preserve"> (3)(c)1.</w:t>
      </w:r>
      <w:r w:rsidR="00266A57">
        <w:t xml:space="preserve"> Thus, the </w:t>
      </w:r>
      <w:r w:rsidR="00956C9E">
        <w:t>two subparagraphs</w:t>
      </w:r>
      <w:r w:rsidR="005F1F6A">
        <w:t xml:space="preserve"> mu</w:t>
      </w:r>
      <w:r w:rsidR="00A40D7B">
        <w:t>s</w:t>
      </w:r>
      <w:r w:rsidR="005F1F6A">
        <w:t>t</w:t>
      </w:r>
      <w:r w:rsidR="00266A57">
        <w:t xml:space="preserve"> be read in conjunction. </w:t>
      </w:r>
      <w:r w:rsidR="005F1F6A">
        <w:rPr>
          <w:i/>
        </w:rPr>
        <w:t xml:space="preserve">See id. </w:t>
      </w:r>
      <w:r w:rsidR="005F1F6A">
        <w:t xml:space="preserve">(“It is axiomatic that all parts of a statute must be read </w:t>
      </w:r>
      <w:r w:rsidR="005F1F6A">
        <w:rPr>
          <w:i/>
        </w:rPr>
        <w:t>together</w:t>
      </w:r>
      <w:r w:rsidR="005F1F6A">
        <w:t xml:space="preserve"> in order to achieve a consistent whole.”). </w:t>
      </w:r>
      <w:r w:rsidR="00A40D7B">
        <w:t>When</w:t>
      </w:r>
      <w:r w:rsidR="00266A57">
        <w:t xml:space="preserve"> the </w:t>
      </w:r>
      <w:r w:rsidR="00A31090">
        <w:t xml:space="preserve">two </w:t>
      </w:r>
      <w:r w:rsidR="005F1F6A">
        <w:t>sub</w:t>
      </w:r>
      <w:r w:rsidR="00A31090">
        <w:t xml:space="preserve">paragraphs </w:t>
      </w:r>
      <w:r w:rsidR="00266A57">
        <w:t xml:space="preserve">are read </w:t>
      </w:r>
      <w:r w:rsidR="00A31090">
        <w:t xml:space="preserve">in conjunction, it appears </w:t>
      </w:r>
      <w:r w:rsidR="00B8612B">
        <w:t xml:space="preserve">OPC was required to make the assertion and affirmative demonstration required by </w:t>
      </w:r>
      <w:r w:rsidR="00A40D7B">
        <w:t>Section 120.54(3</w:t>
      </w:r>
      <w:proofErr w:type="gramStart"/>
      <w:r w:rsidR="00A40D7B">
        <w:t>)(</w:t>
      </w:r>
      <w:proofErr w:type="gramEnd"/>
      <w:r w:rsidR="00A40D7B">
        <w:t xml:space="preserve">c)2., F.S., within the 21-day deadline set forth in </w:t>
      </w:r>
      <w:r w:rsidR="005F1F6A">
        <w:t xml:space="preserve">Section 120.54(3)(c)1. </w:t>
      </w:r>
      <w:r w:rsidR="00A40D7B">
        <w:t>The 21-day deadline by which affected persons could request a hearing in this matter was October 28, 2019. OPC’s Motion for Formal Proceedings was filed on October 31, 2019. Thus, I find OPC’s request for a draw-out proceeding</w:t>
      </w:r>
      <w:r w:rsidR="00266A57">
        <w:t xml:space="preserve"> untimely.</w:t>
      </w:r>
    </w:p>
    <w:p w:rsidR="00956C9E" w:rsidRDefault="00956C9E" w:rsidP="00FA2A27">
      <w:pPr>
        <w:ind w:firstLine="720"/>
        <w:jc w:val="both"/>
      </w:pPr>
    </w:p>
    <w:p w:rsidR="00075D5F" w:rsidRDefault="00A31090" w:rsidP="00FA2A27">
      <w:pPr>
        <w:ind w:firstLine="720"/>
        <w:jc w:val="both"/>
      </w:pPr>
      <w:r>
        <w:t>Noneth</w:t>
      </w:r>
      <w:r w:rsidR="00075D5F">
        <w:t>eless, even if the request for a</w:t>
      </w:r>
      <w:r w:rsidR="00266A57">
        <w:t xml:space="preserve"> draw-out proceeding was </w:t>
      </w:r>
      <w:r w:rsidR="009E75A5">
        <w:t xml:space="preserve">timely, </w:t>
      </w:r>
      <w:r w:rsidR="00185443">
        <w:t xml:space="preserve">OPC </w:t>
      </w:r>
      <w:r>
        <w:t xml:space="preserve">has failed to demonstrate that the </w:t>
      </w:r>
      <w:r w:rsidR="00431362">
        <w:t xml:space="preserve">November 5, 2019 public hearing </w:t>
      </w:r>
      <w:r>
        <w:t xml:space="preserve">does not provide </w:t>
      </w:r>
      <w:r w:rsidR="00266A57">
        <w:t xml:space="preserve">an </w:t>
      </w:r>
      <w:r>
        <w:t xml:space="preserve">adequate opportunity to protect its interests, as required </w:t>
      </w:r>
      <w:r w:rsidR="00075D5F">
        <w:t>by Section 120.54(3)(c)2., F.S.</w:t>
      </w:r>
    </w:p>
    <w:p w:rsidR="00592325" w:rsidRDefault="00592325" w:rsidP="00FA2A27">
      <w:pPr>
        <w:ind w:firstLine="720"/>
        <w:jc w:val="both"/>
      </w:pPr>
    </w:p>
    <w:p w:rsidR="000C2A89" w:rsidRDefault="009E75A5" w:rsidP="00FA2A27">
      <w:pPr>
        <w:ind w:firstLine="720"/>
        <w:jc w:val="both"/>
      </w:pPr>
      <w:r>
        <w:t xml:space="preserve">OPC states that </w:t>
      </w:r>
      <w:r w:rsidR="00185443">
        <w:t xml:space="preserve">it has a number of arguments </w:t>
      </w:r>
      <w:r>
        <w:t xml:space="preserve">on </w:t>
      </w:r>
      <w:r w:rsidR="00927B66">
        <w:t xml:space="preserve">why the proposed rules should be changed </w:t>
      </w:r>
      <w:r w:rsidR="00185443">
        <w:t xml:space="preserve">that </w:t>
      </w:r>
      <w:r w:rsidR="00927B66">
        <w:t>it wishes to make to the Commission</w:t>
      </w:r>
      <w:r w:rsidR="00266A57">
        <w:t>, but</w:t>
      </w:r>
      <w:r w:rsidR="005F4CF0">
        <w:t xml:space="preserve"> that </w:t>
      </w:r>
      <w:r w:rsidR="00185443">
        <w:t>it does not have sufficient time to “conduct the necessary discovery, prepare testimony, or otherwise e</w:t>
      </w:r>
      <w:r w:rsidR="00927B66">
        <w:t>stablish material facts” to present</w:t>
      </w:r>
      <w:r w:rsidR="00185443">
        <w:t xml:space="preserve"> those arguments</w:t>
      </w:r>
      <w:r>
        <w:t xml:space="preserve"> at the November 5, 2019</w:t>
      </w:r>
      <w:r w:rsidR="00927B66">
        <w:t xml:space="preserve"> public hearing. </w:t>
      </w:r>
      <w:r w:rsidR="000C2A89">
        <w:t xml:space="preserve">Or, in other words, </w:t>
      </w:r>
      <w:r>
        <w:t>OPC is allegi</w:t>
      </w:r>
      <w:r w:rsidR="00024E4D">
        <w:t xml:space="preserve">ng that it is unable to make </w:t>
      </w:r>
      <w:r w:rsidR="006B0725">
        <w:t>the</w:t>
      </w:r>
      <w:r>
        <w:t xml:space="preserve"> arguments </w:t>
      </w:r>
      <w:r w:rsidR="00FA3BA9">
        <w:t xml:space="preserve">at the November 5, 2019 public hearing </w:t>
      </w:r>
      <w:r>
        <w:t xml:space="preserve">contained in its </w:t>
      </w:r>
      <w:r w:rsidR="006B0725">
        <w:t>Motion for Formal Proceedings</w:t>
      </w:r>
      <w:r w:rsidR="00FA3BA9">
        <w:t xml:space="preserve"> </w:t>
      </w:r>
      <w:r w:rsidR="006B0725">
        <w:t xml:space="preserve">because it lacks </w:t>
      </w:r>
      <w:r>
        <w:t xml:space="preserve">witness testimony or </w:t>
      </w:r>
      <w:r w:rsidR="000C2A89">
        <w:t>other evidence that has been tested through the discovery process</w:t>
      </w:r>
      <w:r w:rsidR="00024E4D">
        <w:t xml:space="preserve"> to support its arguments</w:t>
      </w:r>
      <w:r w:rsidR="000C2A89">
        <w:t xml:space="preserve">. </w:t>
      </w:r>
      <w:r w:rsidR="00927B66">
        <w:t>Howev</w:t>
      </w:r>
      <w:r w:rsidR="009C777D">
        <w:t>er, the transcripts of the June 25</w:t>
      </w:r>
      <w:r w:rsidR="00927B66">
        <w:t>, 2019</w:t>
      </w:r>
      <w:r w:rsidR="009C777D">
        <w:rPr>
          <w:rStyle w:val="FootnoteReference"/>
        </w:rPr>
        <w:footnoteReference w:id="2"/>
      </w:r>
      <w:r w:rsidR="00927B66">
        <w:t xml:space="preserve"> and August 20, 2019</w:t>
      </w:r>
      <w:r w:rsidR="009C777D">
        <w:rPr>
          <w:rStyle w:val="FootnoteReference"/>
        </w:rPr>
        <w:footnoteReference w:id="3"/>
      </w:r>
      <w:r w:rsidR="00185443">
        <w:t xml:space="preserve"> </w:t>
      </w:r>
      <w:r w:rsidR="00927B66">
        <w:t>rule development workshops; OPC’s post-workshop written comments filed on July 15, 2019,</w:t>
      </w:r>
      <w:r w:rsidR="009C777D">
        <w:rPr>
          <w:rStyle w:val="FootnoteReference"/>
        </w:rPr>
        <w:footnoteReference w:id="4"/>
      </w:r>
      <w:r w:rsidR="00927B66">
        <w:t xml:space="preserve"> and August </w:t>
      </w:r>
      <w:r w:rsidR="00A40D7B">
        <w:t>27, 2019;</w:t>
      </w:r>
      <w:r w:rsidR="009C777D">
        <w:rPr>
          <w:rStyle w:val="FootnoteReference"/>
        </w:rPr>
        <w:footnoteReference w:id="5"/>
      </w:r>
      <w:r w:rsidR="00A40D7B">
        <w:t xml:space="preserve"> and the Commission’s Agenda C</w:t>
      </w:r>
      <w:r w:rsidR="00927B66">
        <w:t xml:space="preserve">onference transcript </w:t>
      </w:r>
      <w:r w:rsidR="00A40D7B">
        <w:t>dated October 5, 2019</w:t>
      </w:r>
      <w:r w:rsidR="00927B66">
        <w:t>,</w:t>
      </w:r>
      <w:r w:rsidR="009C777D">
        <w:rPr>
          <w:rStyle w:val="FootnoteReference"/>
        </w:rPr>
        <w:footnoteReference w:id="6"/>
      </w:r>
      <w:r w:rsidR="00927B66">
        <w:t xml:space="preserve"> demonstrate </w:t>
      </w:r>
      <w:r w:rsidR="00592325">
        <w:t xml:space="preserve">that </w:t>
      </w:r>
      <w:r w:rsidR="00A40D7B">
        <w:t xml:space="preserve">the </w:t>
      </w:r>
      <w:r w:rsidR="00927B66">
        <w:t>arguments</w:t>
      </w:r>
      <w:r w:rsidR="00EF0F73">
        <w:t xml:space="preserve"> set forth in OPC’s motion</w:t>
      </w:r>
      <w:r w:rsidR="00DE70DC">
        <w:t xml:space="preserve"> can</w:t>
      </w:r>
      <w:r w:rsidR="00927B66">
        <w:t xml:space="preserve"> be presented by OPC</w:t>
      </w:r>
      <w:r w:rsidR="00DE70DC">
        <w:t xml:space="preserve"> at the public hearing </w:t>
      </w:r>
      <w:r w:rsidR="00927B66">
        <w:t xml:space="preserve">in the ordinary context of </w:t>
      </w:r>
      <w:r w:rsidR="00DE70DC">
        <w:t xml:space="preserve">a </w:t>
      </w:r>
      <w:r w:rsidR="00927B66">
        <w:t>rulemaking</w:t>
      </w:r>
      <w:r w:rsidR="00DE70DC">
        <w:t xml:space="preserve"> proceeding</w:t>
      </w:r>
      <w:r w:rsidR="00927B66">
        <w:t xml:space="preserve">. </w:t>
      </w:r>
      <w:r w:rsidR="005F4CF0">
        <w:t>At n</w:t>
      </w:r>
      <w:r w:rsidR="00EF0F73">
        <w:t xml:space="preserve">o time during this </w:t>
      </w:r>
      <w:r w:rsidR="00512021">
        <w:t>rulemaking</w:t>
      </w:r>
      <w:r w:rsidR="00592325">
        <w:t xml:space="preserve"> proceeding has </w:t>
      </w:r>
      <w:r w:rsidR="00EF0F73">
        <w:t xml:space="preserve">OPC </w:t>
      </w:r>
      <w:r w:rsidR="00592325">
        <w:t xml:space="preserve">been </w:t>
      </w:r>
      <w:r w:rsidR="00EF0F73">
        <w:t>barred from presenting any evidence and argument as to its positions on and suggest</w:t>
      </w:r>
      <w:r w:rsidR="00DA35A2">
        <w:t>ion</w:t>
      </w:r>
      <w:r w:rsidR="00EF0F73">
        <w:t>s for the proposed rules</w:t>
      </w:r>
      <w:r w:rsidR="005F4CF0">
        <w:t>.</w:t>
      </w:r>
      <w:r w:rsidR="005F4CF0">
        <w:rPr>
          <w:rStyle w:val="FootnoteReference"/>
        </w:rPr>
        <w:footnoteReference w:id="7"/>
      </w:r>
      <w:r w:rsidR="000C2A89">
        <w:t xml:space="preserve"> </w:t>
      </w:r>
    </w:p>
    <w:p w:rsidR="00DE70DC" w:rsidRDefault="00CA1B31" w:rsidP="004D4ED9">
      <w:pPr>
        <w:pStyle w:val="BodyText"/>
        <w:spacing w:after="0"/>
        <w:jc w:val="both"/>
      </w:pPr>
      <w:r>
        <w:lastRenderedPageBreak/>
        <w:tab/>
      </w:r>
      <w:r w:rsidR="00FA3BA9">
        <w:t>Furthermore, t</w:t>
      </w:r>
      <w:r w:rsidR="008238D3">
        <w:t xml:space="preserve">here has been no indication that OPC’s </w:t>
      </w:r>
      <w:r w:rsidR="006B0725">
        <w:t>comments and arguments have been</w:t>
      </w:r>
      <w:r w:rsidR="008238D3">
        <w:t xml:space="preserve"> discredited </w:t>
      </w:r>
      <w:r w:rsidR="006B0725">
        <w:t xml:space="preserve">in </w:t>
      </w:r>
      <w:proofErr w:type="gramStart"/>
      <w:r w:rsidR="006B0725">
        <w:t>this rulemaking proceedings</w:t>
      </w:r>
      <w:proofErr w:type="gramEnd"/>
      <w:r w:rsidR="006B0725">
        <w:t xml:space="preserve"> </w:t>
      </w:r>
      <w:r w:rsidR="008238D3">
        <w:t>on the basis that th</w:t>
      </w:r>
      <w:r w:rsidR="006B0725">
        <w:t>ey have</w:t>
      </w:r>
      <w:r w:rsidR="008238D3">
        <w:t xml:space="preserve"> </w:t>
      </w:r>
      <w:r w:rsidR="000C2A89">
        <w:t xml:space="preserve">not </w:t>
      </w:r>
      <w:r w:rsidR="006B0725">
        <w:t xml:space="preserve">been </w:t>
      </w:r>
      <w:r w:rsidR="000C2A89">
        <w:t>supported by witnesses testimony</w:t>
      </w:r>
      <w:r w:rsidR="008238D3">
        <w:t xml:space="preserve"> or other trial-type evidence</w:t>
      </w:r>
      <w:r w:rsidR="000C2A89">
        <w:t>. Although OPC states that it wishes to determine the veracity of the comments made by other stakeholders thus far in the rulemaking process, OPC has not provided any b</w:t>
      </w:r>
      <w:r w:rsidR="00FA3BA9">
        <w:t>asis indicating that</w:t>
      </w:r>
      <w:r w:rsidR="008238D3">
        <w:t xml:space="preserve"> any comments or arguments made in this proceeding </w:t>
      </w:r>
      <w:r w:rsidR="00431362">
        <w:t xml:space="preserve">by any of the stakeholders </w:t>
      </w:r>
      <w:r w:rsidR="008238D3">
        <w:t>have been less than truthful</w:t>
      </w:r>
      <w:r w:rsidR="00DA35A2">
        <w:t xml:space="preserve"> and</w:t>
      </w:r>
      <w:r w:rsidR="00FF7536">
        <w:t xml:space="preserve"> may necessitate the need for sworn testimony</w:t>
      </w:r>
      <w:r w:rsidR="000C2A89">
        <w:t xml:space="preserve">. </w:t>
      </w:r>
    </w:p>
    <w:p w:rsidR="004D4ED9" w:rsidRDefault="004D4ED9" w:rsidP="004D4ED9">
      <w:pPr>
        <w:pStyle w:val="BodyText"/>
        <w:spacing w:after="0"/>
        <w:jc w:val="both"/>
      </w:pPr>
    </w:p>
    <w:p w:rsidR="004C06E4" w:rsidRDefault="008D5B2F" w:rsidP="004D4ED9">
      <w:pPr>
        <w:pStyle w:val="BodyText"/>
        <w:spacing w:after="0"/>
        <w:jc w:val="both"/>
      </w:pPr>
      <w:r>
        <w:tab/>
      </w:r>
      <w:r w:rsidR="008238D3">
        <w:t xml:space="preserve">Moreover, </w:t>
      </w:r>
      <w:r w:rsidR="00E5485E">
        <w:t>OP</w:t>
      </w:r>
      <w:r w:rsidR="00FF7536">
        <w:t xml:space="preserve">C has </w:t>
      </w:r>
      <w:r w:rsidR="0065105D">
        <w:t>not shown</w:t>
      </w:r>
      <w:r w:rsidR="00E5485E">
        <w:t xml:space="preserve"> any unique circumstances that might </w:t>
      </w:r>
      <w:r w:rsidR="00512021">
        <w:t>justify</w:t>
      </w:r>
      <w:r w:rsidR="00E5485E">
        <w:t xml:space="preserve"> a draw-out proceeding.</w:t>
      </w:r>
      <w:r w:rsidR="008238D3">
        <w:t xml:space="preserve"> W</w:t>
      </w:r>
      <w:r w:rsidR="00457E4E">
        <w:t>hile</w:t>
      </w:r>
      <w:r w:rsidR="00BA2668">
        <w:t xml:space="preserve"> both of the </w:t>
      </w:r>
      <w:r w:rsidR="008238D3">
        <w:t xml:space="preserve">proposed rules </w:t>
      </w:r>
      <w:r w:rsidR="00BA2668">
        <w:t xml:space="preserve">are new, they are not new types of rules for the Commission. </w:t>
      </w:r>
      <w:r>
        <w:t>Rule 25-6.030, F.A.C., would specify the elements that must be included in an IOU’s storm protection plan, which the Commission will review pursuant to the criteria set forth in Section 366.96(4</w:t>
      </w:r>
      <w:r w:rsidR="00BA2668">
        <w:t xml:space="preserve">), F.S., to determine whether the </w:t>
      </w:r>
      <w:r w:rsidR="006B0725">
        <w:t xml:space="preserve">IOU’s </w:t>
      </w:r>
      <w:r w:rsidR="00BA2668">
        <w:t>plan</w:t>
      </w:r>
      <w:r>
        <w:t xml:space="preserve"> is in the public int</w:t>
      </w:r>
      <w:r w:rsidR="00BA2668">
        <w:t>erest</w:t>
      </w:r>
      <w:r>
        <w:t xml:space="preserve">. </w:t>
      </w:r>
      <w:r w:rsidR="00457E4E">
        <w:t xml:space="preserve">The </w:t>
      </w:r>
      <w:r w:rsidR="00075D5F">
        <w:t>Commission has developed hundreds of</w:t>
      </w:r>
      <w:r w:rsidR="00E5485E">
        <w:t xml:space="preserve"> rules </w:t>
      </w:r>
      <w:r w:rsidR="00075D5F">
        <w:t>thr</w:t>
      </w:r>
      <w:r w:rsidR="00BA2668">
        <w:t xml:space="preserve">ough the ordinary </w:t>
      </w:r>
      <w:r w:rsidR="00457E4E">
        <w:t>rulemaking process that set</w:t>
      </w:r>
      <w:r w:rsidR="00BA2668">
        <w:t xml:space="preserve"> out the</w:t>
      </w:r>
      <w:r w:rsidR="00E5485E">
        <w:t xml:space="preserve"> information that utilities must provide in order for the C</w:t>
      </w:r>
      <w:r>
        <w:t>ommission to render a deci</w:t>
      </w:r>
      <w:r w:rsidR="00075D5F">
        <w:t>sion</w:t>
      </w:r>
      <w:r>
        <w:t xml:space="preserve">. Rule 25-6.031, F.A.C., which would establish </w:t>
      </w:r>
      <w:r w:rsidR="00457E4E">
        <w:t xml:space="preserve">the information that must be provided in </w:t>
      </w:r>
      <w:r>
        <w:t>the SPPCRC, will</w:t>
      </w:r>
      <w:r w:rsidR="00457E4E">
        <w:t xml:space="preserve"> be the Commission’s third cost </w:t>
      </w:r>
      <w:r>
        <w:t>recovery clause</w:t>
      </w:r>
      <w:r w:rsidR="00457E4E">
        <w:t xml:space="preserve"> </w:t>
      </w:r>
      <w:r>
        <w:t>rule. The other two rules were adopted th</w:t>
      </w:r>
      <w:r w:rsidR="00FA3BA9">
        <w:t xml:space="preserve">rough ordinary </w:t>
      </w:r>
      <w:r>
        <w:t>rulemaking</w:t>
      </w:r>
      <w:r w:rsidR="00FA3BA9">
        <w:t xml:space="preserve"> proceedings</w:t>
      </w:r>
      <w:r>
        <w:t xml:space="preserve">, without the need for </w:t>
      </w:r>
      <w:r w:rsidR="00457E4E">
        <w:t>a draw-out proceeding</w:t>
      </w:r>
      <w:r>
        <w:t>.</w:t>
      </w:r>
    </w:p>
    <w:p w:rsidR="004D4ED9" w:rsidRDefault="004D4ED9" w:rsidP="004D4ED9">
      <w:pPr>
        <w:pStyle w:val="BodyText"/>
        <w:spacing w:after="0"/>
        <w:jc w:val="both"/>
      </w:pPr>
    </w:p>
    <w:p w:rsidR="00CD2A3C" w:rsidRDefault="00CD2A3C" w:rsidP="00CD2A3C">
      <w:pPr>
        <w:ind w:firstLine="720"/>
        <w:jc w:val="both"/>
      </w:pPr>
      <w:r>
        <w:t xml:space="preserve">To the extent that OPC may be alleging in its Motion for Formal Proceedings that its substantial interests cannot be protected at </w:t>
      </w:r>
      <w:r w:rsidR="00DA35A2">
        <w:t xml:space="preserve">the </w:t>
      </w:r>
      <w:r>
        <w:t>November 5, 2019</w:t>
      </w:r>
      <w:r w:rsidR="008238D3">
        <w:t xml:space="preserve"> public hearing </w:t>
      </w:r>
      <w:r>
        <w:t xml:space="preserve">because the Commission will be somehow approving the IOU’s storm protection plans or </w:t>
      </w:r>
      <w:r w:rsidR="0065105D">
        <w:t>a</w:t>
      </w:r>
      <w:r w:rsidR="004C2961">
        <w:t xml:space="preserve">pproving </w:t>
      </w:r>
      <w:r w:rsidR="008238D3">
        <w:t xml:space="preserve">certain amounts for </w:t>
      </w:r>
      <w:r>
        <w:t>cost reco</w:t>
      </w:r>
      <w:r w:rsidR="00457E4E">
        <w:t>very through the SPPCRC</w:t>
      </w:r>
      <w:r w:rsidR="004C2961">
        <w:t xml:space="preserve"> at this public hearing</w:t>
      </w:r>
      <w:r>
        <w:t>, this is false. Substantially affected persons will have the opportunity to participate in proceedings</w:t>
      </w:r>
      <w:r w:rsidR="006B0725">
        <w:t>,</w:t>
      </w:r>
      <w:r>
        <w:t xml:space="preserve"> conducted pursuant to Sections 120.569 and 120.57, F.S., before any </w:t>
      </w:r>
      <w:r w:rsidR="006B0725">
        <w:t xml:space="preserve">storm protection </w:t>
      </w:r>
      <w:r>
        <w:t xml:space="preserve">plans are approved or any costs are allowed for recovery through the SPPCRC. This rulemaking in no way </w:t>
      </w:r>
      <w:r w:rsidR="00512021">
        <w:t>forecloses</w:t>
      </w:r>
      <w:r>
        <w:t xml:space="preserve"> any future rights t</w:t>
      </w:r>
      <w:r w:rsidR="00457E4E">
        <w:t xml:space="preserve">o formal hearings </w:t>
      </w:r>
      <w:r w:rsidR="004C2961">
        <w:t>under</w:t>
      </w:r>
      <w:r w:rsidR="0065105D">
        <w:t xml:space="preserve"> Section 366.96</w:t>
      </w:r>
      <w:r w:rsidR="008238D3">
        <w:t>, F.S</w:t>
      </w:r>
      <w:r>
        <w:t>.</w:t>
      </w:r>
    </w:p>
    <w:p w:rsidR="00923C2D" w:rsidRDefault="00923C2D" w:rsidP="00CD2A3C">
      <w:pPr>
        <w:ind w:firstLine="720"/>
        <w:jc w:val="both"/>
      </w:pPr>
    </w:p>
    <w:p w:rsidR="00923C2D" w:rsidRDefault="00DA35A2" w:rsidP="00CD2A3C">
      <w:pPr>
        <w:ind w:firstLine="720"/>
        <w:jc w:val="both"/>
      </w:pPr>
      <w:r>
        <w:t>T</w:t>
      </w:r>
      <w:r w:rsidR="00923C2D">
        <w:t xml:space="preserve">he court stated in </w:t>
      </w:r>
      <w:r w:rsidR="00923C2D">
        <w:rPr>
          <w:i/>
        </w:rPr>
        <w:t>Adam Smith Enterprises, Inc. v. State Department of Environmental Regulation</w:t>
      </w:r>
      <w:r w:rsidR="00923C2D">
        <w:t xml:space="preserve">, 553 </w:t>
      </w:r>
      <w:proofErr w:type="gramStart"/>
      <w:r w:rsidR="00923C2D">
        <w:t>So</w:t>
      </w:r>
      <w:proofErr w:type="gramEnd"/>
      <w:r w:rsidR="00923C2D">
        <w:t>. 2d 1260, 1273, n. 19 (Fla. 1st DCA 1989):</w:t>
      </w:r>
    </w:p>
    <w:p w:rsidR="00923C2D" w:rsidRDefault="00923C2D" w:rsidP="00CD2A3C">
      <w:pPr>
        <w:ind w:firstLine="720"/>
        <w:jc w:val="both"/>
      </w:pPr>
    </w:p>
    <w:p w:rsidR="00923C2D" w:rsidRDefault="00923C2D" w:rsidP="00137B21">
      <w:pPr>
        <w:ind w:left="720" w:right="720"/>
        <w:jc w:val="both"/>
      </w:pPr>
      <w:r>
        <w:t xml:space="preserve">Formalized adjudicatory methods are clearly nonessential for purposes of rational rulemaking. There are procedures set forth in Section 120.54 expressly designed to provide the administrator access to all data, criticisms, suggestions, alternatives, and contingencies relevant to his decisions. Adjudicatory methods are in fact insufficient to this task. A </w:t>
      </w:r>
      <w:proofErr w:type="spellStart"/>
      <w:r w:rsidR="00512021">
        <w:t>rulemaker</w:t>
      </w:r>
      <w:proofErr w:type="spellEnd"/>
      <w:r>
        <w:t xml:space="preserve"> must typically make and coordinate many empirical conclusions dependent on raw material outside the conventional evidentiary categories of “testimony” and “exhibits.” For example, the </w:t>
      </w:r>
      <w:proofErr w:type="spellStart"/>
      <w:r w:rsidR="00512021">
        <w:t>rulemaker</w:t>
      </w:r>
      <w:proofErr w:type="spellEnd"/>
      <w:r>
        <w:t xml:space="preserve"> must often draw upon prior experience, expert advice, the developing technical literature, ongoing experiments, or seasoned predictions.</w:t>
      </w:r>
    </w:p>
    <w:p w:rsidR="00137B21" w:rsidRDefault="00137B21" w:rsidP="00137B21">
      <w:pPr>
        <w:ind w:left="720" w:right="720"/>
        <w:jc w:val="both"/>
      </w:pPr>
    </w:p>
    <w:p w:rsidR="00137B21" w:rsidRDefault="00137B21" w:rsidP="00457E4E">
      <w:pPr>
        <w:jc w:val="both"/>
      </w:pPr>
      <w:r>
        <w:lastRenderedPageBreak/>
        <w:t>Thus, draw-out proceedings should be reserved for only those rulemakings where there is a sufficient demonstration to the agency that the rulemaking proceeding does not provide an adequate opportunity to protect the petitioner’s substantial interest</w:t>
      </w:r>
      <w:r w:rsidR="008238D3">
        <w:t>s</w:t>
      </w:r>
      <w:r>
        <w:t>, as required by Section 120.54(3)(c)2., F.S. OPC has not made this demonstration.</w:t>
      </w:r>
    </w:p>
    <w:p w:rsidR="004C06E4" w:rsidRDefault="004C06E4" w:rsidP="00CD2A3C">
      <w:pPr>
        <w:ind w:firstLine="720"/>
        <w:jc w:val="both"/>
      </w:pPr>
    </w:p>
    <w:p w:rsidR="00B95FC8" w:rsidRDefault="00732CDE" w:rsidP="00AB1D3C">
      <w:pPr>
        <w:ind w:firstLine="720"/>
        <w:jc w:val="both"/>
      </w:pPr>
      <w:r>
        <w:t xml:space="preserve">After careful consideration of </w:t>
      </w:r>
      <w:r w:rsidR="00FA3BA9">
        <w:t xml:space="preserve">all the arguments made in </w:t>
      </w:r>
      <w:r w:rsidR="00CD2A3C">
        <w:t>OPC’s Motion for Formal Proceedings</w:t>
      </w:r>
      <w:r w:rsidR="00457E4E">
        <w:t xml:space="preserve">, the </w:t>
      </w:r>
      <w:r>
        <w:t xml:space="preserve">motion </w:t>
      </w:r>
      <w:r w:rsidR="003E43B5">
        <w:t xml:space="preserve">is </w:t>
      </w:r>
      <w:r w:rsidR="00F30072">
        <w:t xml:space="preserve">denied. OPC will have its opportunity to present evidence and </w:t>
      </w:r>
      <w:r w:rsidR="000721D8">
        <w:t>argument</w:t>
      </w:r>
      <w:r w:rsidR="00F30072">
        <w:t xml:space="preserve"> </w:t>
      </w:r>
      <w:r w:rsidR="00CD2A3C">
        <w:t>on proposed Rules 25-6.030 and</w:t>
      </w:r>
      <w:r w:rsidR="00137B21">
        <w:t xml:space="preserve"> </w:t>
      </w:r>
      <w:r w:rsidR="00CD2A3C">
        <w:t xml:space="preserve">25-6.031, F.A.C., </w:t>
      </w:r>
      <w:r w:rsidR="00F30072">
        <w:t xml:space="preserve">to the Commission at the </w:t>
      </w:r>
      <w:r w:rsidR="0055481C" w:rsidRPr="0055481C">
        <w:t>November 5, 20</w:t>
      </w:r>
      <w:r w:rsidR="00F30072">
        <w:t>19</w:t>
      </w:r>
      <w:r w:rsidR="00CD2A3C">
        <w:t xml:space="preserve"> public</w:t>
      </w:r>
      <w:r w:rsidR="00F30072">
        <w:t xml:space="preserve"> hearing, </w:t>
      </w:r>
      <w:r w:rsidR="003E43B5">
        <w:t>in accordance with Section 120.54(3</w:t>
      </w:r>
      <w:proofErr w:type="gramStart"/>
      <w:r w:rsidR="003E43B5">
        <w:t>)</w:t>
      </w:r>
      <w:r w:rsidR="00AE2166">
        <w:t>(</w:t>
      </w:r>
      <w:proofErr w:type="gramEnd"/>
      <w:r w:rsidR="00AE2166">
        <w:t>c)</w:t>
      </w:r>
      <w:r w:rsidR="003E43B5">
        <w:t>, F.S</w:t>
      </w:r>
      <w:r w:rsidR="00F30072">
        <w:t>.</w:t>
      </w:r>
    </w:p>
    <w:p w:rsidR="003A70F4" w:rsidRPr="00701945" w:rsidRDefault="003A70F4" w:rsidP="003A70F4">
      <w:pPr>
        <w:jc w:val="both"/>
      </w:pPr>
    </w:p>
    <w:p w:rsidR="003A70F4" w:rsidRPr="00701945" w:rsidRDefault="003A70F4" w:rsidP="003A70F4">
      <w:pPr>
        <w:jc w:val="both"/>
      </w:pPr>
      <w:r w:rsidRPr="00701945">
        <w:tab/>
        <w:t>It is therefore,</w:t>
      </w:r>
    </w:p>
    <w:p w:rsidR="003A70F4" w:rsidRPr="00701945" w:rsidRDefault="003A70F4" w:rsidP="003A70F4">
      <w:pPr>
        <w:jc w:val="both"/>
      </w:pPr>
    </w:p>
    <w:p w:rsidR="00696A2C" w:rsidRDefault="003A70F4" w:rsidP="003E43B5">
      <w:pPr>
        <w:jc w:val="both"/>
      </w:pPr>
      <w:r w:rsidRPr="00701945">
        <w:tab/>
      </w:r>
      <w:proofErr w:type="gramStart"/>
      <w:r w:rsidRPr="00701945">
        <w:t>ORDERED by C</w:t>
      </w:r>
      <w:r w:rsidR="00745B6C">
        <w:t>hairman</w:t>
      </w:r>
      <w:r w:rsidRPr="00701945">
        <w:t xml:space="preserve"> </w:t>
      </w:r>
      <w:r>
        <w:t>A</w:t>
      </w:r>
      <w:r w:rsidR="00745B6C">
        <w:t>rt Graham</w:t>
      </w:r>
      <w:r w:rsidRPr="00701945">
        <w:t>, as Pre</w:t>
      </w:r>
      <w:r w:rsidR="00745B6C">
        <w:t>siding</w:t>
      </w:r>
      <w:r w:rsidRPr="00701945">
        <w:t xml:space="preserve"> Officer, that </w:t>
      </w:r>
      <w:r w:rsidR="006C1DD8">
        <w:t>the Office of Public Counsel’s</w:t>
      </w:r>
      <w:r w:rsidR="00CD2A3C">
        <w:t xml:space="preserve"> Motion to Suspend Hearing on Proposed Rules 25-6.030 and 25-6.031, F.A.C., and Initiate Formal Proceedings</w:t>
      </w:r>
      <w:r w:rsidR="003E43B5">
        <w:t xml:space="preserve"> is denied</w:t>
      </w:r>
      <w:r w:rsidR="00696A2C" w:rsidRPr="0055481C">
        <w:t>.</w:t>
      </w:r>
      <w:proofErr w:type="gramEnd"/>
      <w:r w:rsidR="00696A2C">
        <w:t xml:space="preserve"> </w:t>
      </w:r>
    </w:p>
    <w:p w:rsidR="00745B6C" w:rsidRDefault="00745B6C" w:rsidP="003E43B5">
      <w:pPr>
        <w:jc w:val="both"/>
      </w:pPr>
    </w:p>
    <w:p w:rsidR="00745B6C" w:rsidRDefault="00745B6C" w:rsidP="00745B6C">
      <w:pPr>
        <w:keepNext/>
        <w:keepLines/>
        <w:jc w:val="both"/>
      </w:pPr>
      <w:r>
        <w:tab/>
        <w:t xml:space="preserve">By ORDER of Chairman Art Graham, as Presiding Officer, this </w:t>
      </w:r>
      <w:bookmarkStart w:id="6" w:name="replaceDate"/>
      <w:bookmarkEnd w:id="6"/>
      <w:r w:rsidR="002F153D">
        <w:rPr>
          <w:u w:val="single"/>
        </w:rPr>
        <w:t>4th</w:t>
      </w:r>
      <w:r w:rsidR="002F153D">
        <w:t xml:space="preserve"> day of </w:t>
      </w:r>
      <w:r w:rsidR="002F153D">
        <w:rPr>
          <w:u w:val="single"/>
        </w:rPr>
        <w:t>November</w:t>
      </w:r>
      <w:r w:rsidR="002F153D">
        <w:t xml:space="preserve">, </w:t>
      </w:r>
      <w:proofErr w:type="gramStart"/>
      <w:r w:rsidR="002F153D">
        <w:rPr>
          <w:u w:val="single"/>
        </w:rPr>
        <w:t>2019</w:t>
      </w:r>
      <w:proofErr w:type="gramEnd"/>
      <w:r w:rsidR="002F153D">
        <w:t>.</w:t>
      </w:r>
    </w:p>
    <w:p w:rsidR="002F153D" w:rsidRPr="002F153D" w:rsidRDefault="002F153D" w:rsidP="00745B6C">
      <w:pPr>
        <w:keepNext/>
        <w:keepLines/>
        <w:jc w:val="both"/>
      </w:pPr>
    </w:p>
    <w:p w:rsidR="00745B6C" w:rsidRDefault="00745B6C" w:rsidP="00745B6C">
      <w:pPr>
        <w:keepNext/>
        <w:keepLines/>
        <w:jc w:val="both"/>
      </w:pPr>
    </w:p>
    <w:p w:rsidR="00745B6C" w:rsidRDefault="00745B6C" w:rsidP="00745B6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45B6C" w:rsidTr="00745B6C">
        <w:tc>
          <w:tcPr>
            <w:tcW w:w="720" w:type="dxa"/>
            <w:shd w:val="clear" w:color="auto" w:fill="auto"/>
          </w:tcPr>
          <w:p w:rsidR="00745B6C" w:rsidRDefault="00745B6C" w:rsidP="00745B6C">
            <w:pPr>
              <w:keepNext/>
              <w:keepLines/>
              <w:jc w:val="both"/>
            </w:pPr>
            <w:bookmarkStart w:id="7" w:name="bkmrkSignature" w:colFirst="0" w:colLast="0"/>
          </w:p>
        </w:tc>
        <w:tc>
          <w:tcPr>
            <w:tcW w:w="4320" w:type="dxa"/>
            <w:tcBorders>
              <w:bottom w:val="single" w:sz="4" w:space="0" w:color="auto"/>
            </w:tcBorders>
            <w:shd w:val="clear" w:color="auto" w:fill="auto"/>
          </w:tcPr>
          <w:p w:rsidR="00745B6C" w:rsidRDefault="00745B6C" w:rsidP="00745B6C">
            <w:pPr>
              <w:keepNext/>
              <w:keepLines/>
              <w:jc w:val="both"/>
            </w:pPr>
          </w:p>
        </w:tc>
      </w:tr>
      <w:bookmarkEnd w:id="7"/>
      <w:tr w:rsidR="00745B6C" w:rsidTr="00745B6C">
        <w:tc>
          <w:tcPr>
            <w:tcW w:w="720" w:type="dxa"/>
            <w:shd w:val="clear" w:color="auto" w:fill="auto"/>
          </w:tcPr>
          <w:p w:rsidR="00745B6C" w:rsidRDefault="00745B6C" w:rsidP="00745B6C">
            <w:pPr>
              <w:keepNext/>
              <w:keepLines/>
              <w:jc w:val="both"/>
            </w:pPr>
          </w:p>
        </w:tc>
        <w:tc>
          <w:tcPr>
            <w:tcW w:w="4320" w:type="dxa"/>
            <w:tcBorders>
              <w:top w:val="single" w:sz="4" w:space="0" w:color="auto"/>
            </w:tcBorders>
            <w:shd w:val="clear" w:color="auto" w:fill="auto"/>
          </w:tcPr>
          <w:p w:rsidR="00745B6C" w:rsidRDefault="00745B6C" w:rsidP="00745B6C">
            <w:pPr>
              <w:keepNext/>
              <w:keepLines/>
              <w:jc w:val="both"/>
            </w:pPr>
            <w:r>
              <w:t>ART GRAHAM</w:t>
            </w:r>
          </w:p>
          <w:p w:rsidR="00745B6C" w:rsidRDefault="00745B6C" w:rsidP="00745B6C">
            <w:pPr>
              <w:keepNext/>
              <w:keepLines/>
              <w:jc w:val="both"/>
            </w:pPr>
            <w:r>
              <w:t>Chairman and Presiding Officer</w:t>
            </w:r>
          </w:p>
        </w:tc>
      </w:tr>
    </w:tbl>
    <w:p w:rsidR="00745B6C" w:rsidRDefault="00745B6C" w:rsidP="00745B6C">
      <w:pPr>
        <w:pStyle w:val="OrderSigInfo"/>
        <w:keepNext/>
        <w:keepLines/>
      </w:pPr>
      <w:r>
        <w:t>Florida Public Service Commission</w:t>
      </w:r>
    </w:p>
    <w:p w:rsidR="00745B6C" w:rsidRDefault="00745B6C" w:rsidP="00745B6C">
      <w:pPr>
        <w:pStyle w:val="OrderSigInfo"/>
        <w:keepNext/>
        <w:keepLines/>
      </w:pPr>
      <w:r>
        <w:t>2540 Shumard Oak Boulevard</w:t>
      </w:r>
    </w:p>
    <w:p w:rsidR="00745B6C" w:rsidRDefault="00745B6C" w:rsidP="00745B6C">
      <w:pPr>
        <w:pStyle w:val="OrderSigInfo"/>
        <w:keepNext/>
        <w:keepLines/>
      </w:pPr>
      <w:r>
        <w:t>Tallahassee, Florida 32399</w:t>
      </w:r>
    </w:p>
    <w:p w:rsidR="00745B6C" w:rsidRDefault="00745B6C" w:rsidP="00745B6C">
      <w:pPr>
        <w:pStyle w:val="OrderSigInfo"/>
        <w:keepNext/>
        <w:keepLines/>
      </w:pPr>
      <w:r>
        <w:t>(850) 413</w:t>
      </w:r>
      <w:r>
        <w:noBreakHyphen/>
        <w:t>6770</w:t>
      </w:r>
    </w:p>
    <w:p w:rsidR="00745B6C" w:rsidRDefault="00745B6C" w:rsidP="00745B6C">
      <w:pPr>
        <w:pStyle w:val="OrderSigInfo"/>
        <w:keepNext/>
        <w:keepLines/>
      </w:pPr>
      <w:r>
        <w:t>www.floridapsc.com</w:t>
      </w:r>
    </w:p>
    <w:p w:rsidR="00745B6C" w:rsidRDefault="00745B6C" w:rsidP="00745B6C">
      <w:pPr>
        <w:pStyle w:val="OrderSigInfo"/>
        <w:keepNext/>
        <w:keepLines/>
      </w:pPr>
    </w:p>
    <w:p w:rsidR="00745B6C" w:rsidRDefault="00745B6C" w:rsidP="00745B6C">
      <w:pPr>
        <w:pStyle w:val="OrderSigInfo"/>
        <w:keepNext/>
        <w:keepLines/>
      </w:pPr>
      <w:r>
        <w:t>Copies furnished:  A copy of this document is provided to the parties of record at the time of issuance and, if applicable, interested persons.</w:t>
      </w:r>
    </w:p>
    <w:p w:rsidR="00745B6C" w:rsidRDefault="00745B6C" w:rsidP="00745B6C">
      <w:pPr>
        <w:pStyle w:val="OrderBody"/>
        <w:keepNext/>
        <w:keepLines/>
      </w:pPr>
    </w:p>
    <w:p w:rsidR="00745B6C" w:rsidRDefault="00745B6C" w:rsidP="00745B6C">
      <w:pPr>
        <w:keepNext/>
        <w:keepLines/>
        <w:jc w:val="both"/>
      </w:pPr>
      <w:r>
        <w:t>SMC</w:t>
      </w:r>
    </w:p>
    <w:p w:rsidR="00745B6C" w:rsidRDefault="00745B6C" w:rsidP="00745B6C">
      <w:pPr>
        <w:jc w:val="both"/>
      </w:pPr>
    </w:p>
    <w:p w:rsidR="00232953" w:rsidRDefault="00232953" w:rsidP="00232953">
      <w:pPr>
        <w:pStyle w:val="CenterUnderline"/>
      </w:pPr>
      <w:r>
        <w:t>NOTICE OF FURTHER PROCEEDINGS OR JUDICIAL REVIEW</w:t>
      </w:r>
    </w:p>
    <w:p w:rsidR="00745B6C" w:rsidRDefault="00745B6C" w:rsidP="00232953">
      <w:pPr>
        <w:pStyle w:val="CenterUnderline"/>
      </w:pPr>
    </w:p>
    <w:p w:rsidR="00232953" w:rsidRDefault="00232953" w:rsidP="002329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2953" w:rsidRDefault="00232953" w:rsidP="00232953">
      <w:pPr>
        <w:pStyle w:val="OrderBody"/>
      </w:pPr>
    </w:p>
    <w:p w:rsidR="00232953" w:rsidRDefault="00232953" w:rsidP="00232953">
      <w:pPr>
        <w:pStyle w:val="OrderBody"/>
      </w:pPr>
      <w:r>
        <w:lastRenderedPageBreak/>
        <w:tab/>
        <w:t>Mediation may be available on a case-by-case basis.  If mediation is conducted, it does not affect a substantially interested person's right to a hearing.</w:t>
      </w:r>
    </w:p>
    <w:p w:rsidR="00232953" w:rsidRDefault="00232953" w:rsidP="00232953">
      <w:pPr>
        <w:pStyle w:val="OrderBody"/>
      </w:pPr>
    </w:p>
    <w:p w:rsidR="0078146D" w:rsidRDefault="00232953" w:rsidP="00232953">
      <w:pPr>
        <w:pStyle w:val="OrderBody"/>
      </w:pPr>
      <w:r>
        <w:tab/>
        <w:t>Any party adversely affected by this order, which is preliminary, procedural or intermedi</w:t>
      </w:r>
      <w:r w:rsidR="0014157F">
        <w:t xml:space="preserve">ate in nature, may request </w:t>
      </w:r>
      <w:r>
        <w:t>reconsideration within 10 days pursuant to Rule 25-22.0376, Florida Administrative Code</w:t>
      </w:r>
      <w:r w:rsidR="0014157F">
        <w:t>.</w:t>
      </w:r>
      <w:r>
        <w:t xml:space="preserve"> A motion for reconsideration shall be filed with the Office of Commission Clerk, in the form prescribed by Rule 25-22.0376, Florida Administrative Code.  </w:t>
      </w:r>
    </w:p>
    <w:sectPr w:rsidR="0078146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F4" w:rsidRDefault="003A70F4">
      <w:r>
        <w:separator/>
      </w:r>
    </w:p>
  </w:endnote>
  <w:endnote w:type="continuationSeparator" w:id="0">
    <w:p w:rsidR="003A70F4" w:rsidRDefault="003A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F4" w:rsidRDefault="003A70F4">
      <w:r>
        <w:separator/>
      </w:r>
    </w:p>
  </w:footnote>
  <w:footnote w:type="continuationSeparator" w:id="0">
    <w:p w:rsidR="003A70F4" w:rsidRDefault="003A70F4">
      <w:r>
        <w:continuationSeparator/>
      </w:r>
    </w:p>
  </w:footnote>
  <w:footnote w:id="1">
    <w:p w:rsidR="00266A57" w:rsidRPr="00A820CE" w:rsidRDefault="00266A57" w:rsidP="00266A57">
      <w:pPr>
        <w:jc w:val="both"/>
        <w:rPr>
          <w:sz w:val="20"/>
          <w:szCs w:val="20"/>
        </w:rPr>
      </w:pPr>
      <w:r w:rsidRPr="006D06B6">
        <w:rPr>
          <w:rStyle w:val="FootnoteReference"/>
          <w:sz w:val="20"/>
          <w:szCs w:val="20"/>
        </w:rPr>
        <w:footnoteRef/>
      </w:r>
      <w:r w:rsidRPr="006D06B6">
        <w:rPr>
          <w:sz w:val="20"/>
          <w:szCs w:val="20"/>
        </w:rPr>
        <w:t xml:space="preserve"> </w:t>
      </w:r>
      <w:proofErr w:type="gramStart"/>
      <w:r w:rsidRPr="006D06B6">
        <w:rPr>
          <w:sz w:val="20"/>
          <w:szCs w:val="20"/>
        </w:rPr>
        <w:t xml:space="preserve">In </w:t>
      </w:r>
      <w:proofErr w:type="spellStart"/>
      <w:r w:rsidRPr="006D06B6">
        <w:rPr>
          <w:i/>
          <w:sz w:val="20"/>
          <w:szCs w:val="20"/>
        </w:rPr>
        <w:t>Balino</w:t>
      </w:r>
      <w:proofErr w:type="spellEnd"/>
      <w:r w:rsidRPr="006D06B6">
        <w:rPr>
          <w:i/>
          <w:sz w:val="20"/>
          <w:szCs w:val="20"/>
        </w:rPr>
        <w:t xml:space="preserve"> v. Department of Health and Rehabilitative Services</w:t>
      </w:r>
      <w:r w:rsidRPr="006D06B6">
        <w:rPr>
          <w:sz w:val="20"/>
          <w:szCs w:val="20"/>
        </w:rPr>
        <w:t>, 362 So.</w:t>
      </w:r>
      <w:proofErr w:type="gramEnd"/>
      <w:r w:rsidRPr="006D06B6">
        <w:rPr>
          <w:sz w:val="20"/>
          <w:szCs w:val="20"/>
        </w:rPr>
        <w:t xml:space="preserve"> 2d 21, 24 (Fla. 1st DCA 1978), a petitioner reques</w:t>
      </w:r>
      <w:r>
        <w:rPr>
          <w:sz w:val="20"/>
          <w:szCs w:val="20"/>
        </w:rPr>
        <w:t>ted a draw-out proceeding at a</w:t>
      </w:r>
      <w:r w:rsidRPr="006D06B6">
        <w:rPr>
          <w:sz w:val="20"/>
          <w:szCs w:val="20"/>
        </w:rPr>
        <w:t xml:space="preserve"> public hearing. The hearing officer denied the request as untimely. The court ov</w:t>
      </w:r>
      <w:r>
        <w:rPr>
          <w:sz w:val="20"/>
          <w:szCs w:val="20"/>
        </w:rPr>
        <w:t>erturned the</w:t>
      </w:r>
      <w:r w:rsidRPr="006D06B6">
        <w:rPr>
          <w:sz w:val="20"/>
          <w:szCs w:val="20"/>
        </w:rPr>
        <w:t xml:space="preserve"> hearing officer’s</w:t>
      </w:r>
      <w:r>
        <w:rPr>
          <w:sz w:val="20"/>
          <w:szCs w:val="20"/>
        </w:rPr>
        <w:t xml:space="preserve"> ruling based on </w:t>
      </w:r>
      <w:r w:rsidRPr="006D06B6">
        <w:rPr>
          <w:sz w:val="20"/>
          <w:szCs w:val="20"/>
        </w:rPr>
        <w:t>a model rule o</w:t>
      </w:r>
      <w:r>
        <w:rPr>
          <w:sz w:val="20"/>
          <w:szCs w:val="20"/>
        </w:rPr>
        <w:t>f procedure, Rule 28-</w:t>
      </w:r>
      <w:proofErr w:type="gramStart"/>
      <w:r>
        <w:rPr>
          <w:sz w:val="20"/>
          <w:szCs w:val="20"/>
        </w:rPr>
        <w:t>5.13, that</w:t>
      </w:r>
      <w:proofErr w:type="gramEnd"/>
      <w:r w:rsidRPr="006D06B6">
        <w:rPr>
          <w:sz w:val="20"/>
          <w:szCs w:val="20"/>
        </w:rPr>
        <w:t xml:space="preserve"> specifically provided that the request for draw-out could be made a</w:t>
      </w:r>
      <w:r w:rsidR="004715E3">
        <w:rPr>
          <w:sz w:val="20"/>
          <w:szCs w:val="20"/>
        </w:rPr>
        <w:t>t</w:t>
      </w:r>
      <w:r w:rsidRPr="006D06B6">
        <w:rPr>
          <w:sz w:val="20"/>
          <w:szCs w:val="20"/>
        </w:rPr>
        <w:t xml:space="preserve"> any time prior to the conclusion of a public hearing co</w:t>
      </w:r>
      <w:r w:rsidR="00024E4D">
        <w:rPr>
          <w:sz w:val="20"/>
          <w:szCs w:val="20"/>
        </w:rPr>
        <w:t xml:space="preserve">nducted under </w:t>
      </w:r>
      <w:r w:rsidRPr="006D06B6">
        <w:rPr>
          <w:sz w:val="20"/>
          <w:szCs w:val="20"/>
        </w:rPr>
        <w:t xml:space="preserve">Section 120.54, F.S. </w:t>
      </w:r>
      <w:r>
        <w:rPr>
          <w:sz w:val="20"/>
          <w:szCs w:val="20"/>
        </w:rPr>
        <w:t>However, t</w:t>
      </w:r>
      <w:r w:rsidRPr="006D06B6">
        <w:rPr>
          <w:sz w:val="20"/>
          <w:szCs w:val="20"/>
        </w:rPr>
        <w:t>he model rule</w:t>
      </w:r>
      <w:r w:rsidR="00592325">
        <w:rPr>
          <w:sz w:val="20"/>
          <w:szCs w:val="20"/>
        </w:rPr>
        <w:t xml:space="preserve"> </w:t>
      </w:r>
      <w:r w:rsidRPr="006D06B6">
        <w:rPr>
          <w:sz w:val="20"/>
          <w:szCs w:val="20"/>
        </w:rPr>
        <w:t>relied upon by the c</w:t>
      </w:r>
      <w:r>
        <w:rPr>
          <w:sz w:val="20"/>
          <w:szCs w:val="20"/>
        </w:rPr>
        <w:t>ourt</w:t>
      </w:r>
      <w:r w:rsidR="00592325">
        <w:rPr>
          <w:sz w:val="20"/>
          <w:szCs w:val="20"/>
        </w:rPr>
        <w:t>, like Rule 28-103.005, F.A.C.,</w:t>
      </w:r>
      <w:r>
        <w:rPr>
          <w:sz w:val="20"/>
          <w:szCs w:val="20"/>
        </w:rPr>
        <w:t xml:space="preserve"> is no longer in effect.</w:t>
      </w:r>
    </w:p>
  </w:footnote>
  <w:footnote w:id="2">
    <w:p w:rsidR="009C777D" w:rsidRDefault="009C777D">
      <w:pPr>
        <w:pStyle w:val="FootnoteText"/>
      </w:pPr>
      <w:r>
        <w:rPr>
          <w:rStyle w:val="FootnoteReference"/>
        </w:rPr>
        <w:footnoteRef/>
      </w:r>
      <w:r>
        <w:t xml:space="preserve"> Document No. 05378-2019.</w:t>
      </w:r>
    </w:p>
  </w:footnote>
  <w:footnote w:id="3">
    <w:p w:rsidR="009C777D" w:rsidRDefault="009C777D">
      <w:pPr>
        <w:pStyle w:val="FootnoteText"/>
      </w:pPr>
      <w:r>
        <w:rPr>
          <w:rStyle w:val="FootnoteReference"/>
        </w:rPr>
        <w:footnoteRef/>
      </w:r>
      <w:r>
        <w:t xml:space="preserve"> Document No. 08442-2019.</w:t>
      </w:r>
    </w:p>
  </w:footnote>
  <w:footnote w:id="4">
    <w:p w:rsidR="009C777D" w:rsidRDefault="009C777D">
      <w:pPr>
        <w:pStyle w:val="FootnoteText"/>
      </w:pPr>
      <w:r>
        <w:rPr>
          <w:rStyle w:val="FootnoteReference"/>
        </w:rPr>
        <w:footnoteRef/>
      </w:r>
      <w:r>
        <w:t xml:space="preserve"> Document No. 05556-2019.</w:t>
      </w:r>
    </w:p>
  </w:footnote>
  <w:footnote w:id="5">
    <w:p w:rsidR="009C777D" w:rsidRDefault="009C777D">
      <w:pPr>
        <w:pStyle w:val="FootnoteText"/>
      </w:pPr>
      <w:r>
        <w:rPr>
          <w:rStyle w:val="FootnoteReference"/>
        </w:rPr>
        <w:footnoteRef/>
      </w:r>
      <w:r>
        <w:t xml:space="preserve"> Document No. 08471-2019.</w:t>
      </w:r>
    </w:p>
  </w:footnote>
  <w:footnote w:id="6">
    <w:p w:rsidR="009C777D" w:rsidRDefault="009C777D">
      <w:pPr>
        <w:pStyle w:val="FootnoteText"/>
      </w:pPr>
      <w:r>
        <w:rPr>
          <w:rStyle w:val="FootnoteReference"/>
        </w:rPr>
        <w:footnoteRef/>
      </w:r>
      <w:r>
        <w:t xml:space="preserve"> Document No. 09357-2019.</w:t>
      </w:r>
    </w:p>
  </w:footnote>
  <w:footnote w:id="7">
    <w:p w:rsidR="005F4CF0" w:rsidRPr="005F4CF0" w:rsidRDefault="005F4CF0" w:rsidP="005F4CF0">
      <w:pPr>
        <w:pStyle w:val="FootnoteText"/>
      </w:pPr>
      <w:r>
        <w:rPr>
          <w:rStyle w:val="FootnoteReference"/>
        </w:rPr>
        <w:footnoteRef/>
      </w:r>
      <w:r>
        <w:t xml:space="preserve"> </w:t>
      </w:r>
      <w:r w:rsidR="00CD2A3C">
        <w:t>OPC</w:t>
      </w:r>
      <w:r w:rsidR="006B0725">
        <w:t xml:space="preserve"> seems to cite</w:t>
      </w:r>
      <w:r w:rsidR="00CD2A3C">
        <w:t xml:space="preserve"> to </w:t>
      </w:r>
      <w:proofErr w:type="spellStart"/>
      <w:r w:rsidRPr="005F4CF0">
        <w:rPr>
          <w:i/>
        </w:rPr>
        <w:t>Balino</w:t>
      </w:r>
      <w:proofErr w:type="spellEnd"/>
      <w:r w:rsidRPr="005F4CF0">
        <w:t>,</w:t>
      </w:r>
      <w:r w:rsidR="00CD2A3C">
        <w:t xml:space="preserve"> 362 </w:t>
      </w:r>
      <w:proofErr w:type="gramStart"/>
      <w:r w:rsidR="00CD2A3C">
        <w:t>So</w:t>
      </w:r>
      <w:proofErr w:type="gramEnd"/>
      <w:r w:rsidR="00CD2A3C">
        <w:t xml:space="preserve">. 2d at 21, </w:t>
      </w:r>
      <w:r w:rsidRPr="005F4CF0">
        <w:t xml:space="preserve">for the </w:t>
      </w:r>
      <w:r w:rsidR="00512021" w:rsidRPr="005F4CF0">
        <w:t>proposition</w:t>
      </w:r>
      <w:r w:rsidR="006B0725">
        <w:t xml:space="preserve"> that the right</w:t>
      </w:r>
      <w:r w:rsidRPr="005F4CF0">
        <w:t xml:space="preserve"> to conduct discovery is </w:t>
      </w:r>
      <w:r w:rsidR="00512021" w:rsidRPr="005F4CF0">
        <w:t>encompassed</w:t>
      </w:r>
      <w:r w:rsidRPr="005F4CF0">
        <w:t xml:space="preserve"> in the opportunity to present</w:t>
      </w:r>
      <w:r w:rsidR="00CD2A3C">
        <w:t xml:space="preserve"> the</w:t>
      </w:r>
      <w:r w:rsidRPr="005F4CF0">
        <w:t xml:space="preserve"> e</w:t>
      </w:r>
      <w:r w:rsidR="00CD2A3C">
        <w:t>vidence and argument referenced in</w:t>
      </w:r>
      <w:r w:rsidRPr="005F4CF0">
        <w:t xml:space="preserve"> Section 120.54(3</w:t>
      </w:r>
      <w:proofErr w:type="gramStart"/>
      <w:r w:rsidRPr="005F4CF0">
        <w:t>)(</w:t>
      </w:r>
      <w:proofErr w:type="gramEnd"/>
      <w:r w:rsidRPr="005F4CF0">
        <w:t xml:space="preserve">c)1., F.S. However, the issue in </w:t>
      </w:r>
      <w:proofErr w:type="spellStart"/>
      <w:r w:rsidRPr="005F4CF0">
        <w:rPr>
          <w:i/>
        </w:rPr>
        <w:t>Balino</w:t>
      </w:r>
      <w:proofErr w:type="spellEnd"/>
      <w:r w:rsidR="00075D5F">
        <w:t xml:space="preserve"> </w:t>
      </w:r>
      <w:r w:rsidRPr="005F4CF0">
        <w:t>was that the hearin</w:t>
      </w:r>
      <w:r w:rsidR="00CD2A3C">
        <w:t xml:space="preserve">g officer barred the petitioner </w:t>
      </w:r>
      <w:r w:rsidR="006B0725">
        <w:t xml:space="preserve">from calling, </w:t>
      </w:r>
      <w:r w:rsidRPr="005F4CF0">
        <w:t>examining</w:t>
      </w:r>
      <w:r w:rsidR="006B0725">
        <w:t>,</w:t>
      </w:r>
      <w:r w:rsidRPr="005F4CF0">
        <w:t xml:space="preserve"> and cross-examining w</w:t>
      </w:r>
      <w:r w:rsidR="00CD2A3C">
        <w:t>itnesses at the public hearing on the basis</w:t>
      </w:r>
      <w:r w:rsidRPr="005F4CF0">
        <w:t xml:space="preserve"> that the proceeding was a public hearing, not a formal adversary hearing. The court stated that the hearing officer conducting the public hearing must make every effort to assure those present have a fair opportunity to present evidence and argument which is material to the rules in question and appropriate under the circums</w:t>
      </w:r>
      <w:r w:rsidR="006B0725">
        <w:t>tances. There was no issue about the right to conduct</w:t>
      </w:r>
      <w:r w:rsidR="00CD2A3C">
        <w:t xml:space="preserve"> </w:t>
      </w:r>
      <w:r w:rsidRPr="005F4CF0">
        <w:t xml:space="preserve">discovery. </w:t>
      </w:r>
    </w:p>
    <w:p w:rsidR="005F4CF0" w:rsidRDefault="005F4CF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9 ">
      <w:r w:rsidR="002F153D">
        <w:t>PSC-2019-0469-PCO-EU</w:t>
      </w:r>
    </w:fldSimple>
  </w:p>
  <w:p w:rsidR="00FA6EFD" w:rsidRDefault="003A70F4">
    <w:pPr>
      <w:pStyle w:val="OrderHeader"/>
    </w:pPr>
    <w:bookmarkStart w:id="8" w:name="HeaderDocketNo"/>
    <w:bookmarkEnd w:id="8"/>
    <w:r>
      <w:t>DOCKET NO. 20190131-EU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153D">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1-EU"/>
  </w:docVars>
  <w:rsids>
    <w:rsidRoot w:val="003A70F4"/>
    <w:rsid w:val="000022B8"/>
    <w:rsid w:val="00006C08"/>
    <w:rsid w:val="00012EFC"/>
    <w:rsid w:val="00015059"/>
    <w:rsid w:val="00024E4D"/>
    <w:rsid w:val="00026C8A"/>
    <w:rsid w:val="0003433F"/>
    <w:rsid w:val="00035A8C"/>
    <w:rsid w:val="00046723"/>
    <w:rsid w:val="00053AB9"/>
    <w:rsid w:val="00056229"/>
    <w:rsid w:val="00057AF1"/>
    <w:rsid w:val="00065FC2"/>
    <w:rsid w:val="00067685"/>
    <w:rsid w:val="000721D8"/>
    <w:rsid w:val="0007452E"/>
    <w:rsid w:val="00075D5F"/>
    <w:rsid w:val="00076E6B"/>
    <w:rsid w:val="0008247D"/>
    <w:rsid w:val="000848AC"/>
    <w:rsid w:val="00090AFC"/>
    <w:rsid w:val="000A163D"/>
    <w:rsid w:val="000B783E"/>
    <w:rsid w:val="000C1FC8"/>
    <w:rsid w:val="000C2A89"/>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7B21"/>
    <w:rsid w:val="001400F5"/>
    <w:rsid w:val="0014157F"/>
    <w:rsid w:val="00142A96"/>
    <w:rsid w:val="001513DE"/>
    <w:rsid w:val="00154A71"/>
    <w:rsid w:val="00185443"/>
    <w:rsid w:val="00187E32"/>
    <w:rsid w:val="00194E81"/>
    <w:rsid w:val="001A15E7"/>
    <w:rsid w:val="001A33C9"/>
    <w:rsid w:val="001A58F3"/>
    <w:rsid w:val="001A7D3B"/>
    <w:rsid w:val="001C23F2"/>
    <w:rsid w:val="001C2847"/>
    <w:rsid w:val="001C3184"/>
    <w:rsid w:val="001C3F8C"/>
    <w:rsid w:val="001C6097"/>
    <w:rsid w:val="001D008A"/>
    <w:rsid w:val="001D07EC"/>
    <w:rsid w:val="001E0152"/>
    <w:rsid w:val="001E0FF5"/>
    <w:rsid w:val="001F0549"/>
    <w:rsid w:val="002002ED"/>
    <w:rsid w:val="002027A0"/>
    <w:rsid w:val="002050A9"/>
    <w:rsid w:val="002170E5"/>
    <w:rsid w:val="00220D57"/>
    <w:rsid w:val="00222A4A"/>
    <w:rsid w:val="0022721A"/>
    <w:rsid w:val="00230BB9"/>
    <w:rsid w:val="00232953"/>
    <w:rsid w:val="00237938"/>
    <w:rsid w:val="00241CEF"/>
    <w:rsid w:val="0025124E"/>
    <w:rsid w:val="002521ED"/>
    <w:rsid w:val="00252B30"/>
    <w:rsid w:val="002613E4"/>
    <w:rsid w:val="0026544B"/>
    <w:rsid w:val="00266A57"/>
    <w:rsid w:val="00276CDC"/>
    <w:rsid w:val="00277655"/>
    <w:rsid w:val="002824B7"/>
    <w:rsid w:val="00282AC4"/>
    <w:rsid w:val="002A11AC"/>
    <w:rsid w:val="002A6F30"/>
    <w:rsid w:val="002B3111"/>
    <w:rsid w:val="002C7908"/>
    <w:rsid w:val="002D391B"/>
    <w:rsid w:val="002D4B1F"/>
    <w:rsid w:val="002D7D15"/>
    <w:rsid w:val="002E1B2E"/>
    <w:rsid w:val="002E27EB"/>
    <w:rsid w:val="002E5A8A"/>
    <w:rsid w:val="002F153D"/>
    <w:rsid w:val="002F2A9D"/>
    <w:rsid w:val="002F31C2"/>
    <w:rsid w:val="002F4E29"/>
    <w:rsid w:val="00303FDE"/>
    <w:rsid w:val="00310F78"/>
    <w:rsid w:val="003140E8"/>
    <w:rsid w:val="00315460"/>
    <w:rsid w:val="003231C7"/>
    <w:rsid w:val="00323839"/>
    <w:rsid w:val="003270C4"/>
    <w:rsid w:val="00331ED0"/>
    <w:rsid w:val="00332B0A"/>
    <w:rsid w:val="00333A41"/>
    <w:rsid w:val="00345434"/>
    <w:rsid w:val="0035495B"/>
    <w:rsid w:val="00355A93"/>
    <w:rsid w:val="00361522"/>
    <w:rsid w:val="0037196E"/>
    <w:rsid w:val="003744F5"/>
    <w:rsid w:val="003770E4"/>
    <w:rsid w:val="00387BDE"/>
    <w:rsid w:val="00390A7C"/>
    <w:rsid w:val="00390DD8"/>
    <w:rsid w:val="0039305C"/>
    <w:rsid w:val="00394DC6"/>
    <w:rsid w:val="00397C3E"/>
    <w:rsid w:val="003A5C9D"/>
    <w:rsid w:val="003A70F4"/>
    <w:rsid w:val="003B1A09"/>
    <w:rsid w:val="003D3991"/>
    <w:rsid w:val="003D4CCA"/>
    <w:rsid w:val="003D52A6"/>
    <w:rsid w:val="003D6416"/>
    <w:rsid w:val="003E1D48"/>
    <w:rsid w:val="003E43B5"/>
    <w:rsid w:val="003F1D2B"/>
    <w:rsid w:val="004030B5"/>
    <w:rsid w:val="0040433E"/>
    <w:rsid w:val="00405A77"/>
    <w:rsid w:val="00411DF2"/>
    <w:rsid w:val="00411E8F"/>
    <w:rsid w:val="00417B04"/>
    <w:rsid w:val="0042527B"/>
    <w:rsid w:val="00431362"/>
    <w:rsid w:val="00440CCE"/>
    <w:rsid w:val="0045537F"/>
    <w:rsid w:val="00457DC7"/>
    <w:rsid w:val="00457E4E"/>
    <w:rsid w:val="004715E3"/>
    <w:rsid w:val="00472BCC"/>
    <w:rsid w:val="00484AC8"/>
    <w:rsid w:val="00496245"/>
    <w:rsid w:val="004A25CD"/>
    <w:rsid w:val="004A26CC"/>
    <w:rsid w:val="004B09EC"/>
    <w:rsid w:val="004B2108"/>
    <w:rsid w:val="004B3A2B"/>
    <w:rsid w:val="004B70D3"/>
    <w:rsid w:val="004C06E4"/>
    <w:rsid w:val="004C2961"/>
    <w:rsid w:val="004C312D"/>
    <w:rsid w:val="004D1E96"/>
    <w:rsid w:val="004D2D1B"/>
    <w:rsid w:val="004D4ED9"/>
    <w:rsid w:val="004D5067"/>
    <w:rsid w:val="004D6838"/>
    <w:rsid w:val="004D72BC"/>
    <w:rsid w:val="004E469D"/>
    <w:rsid w:val="004E5B21"/>
    <w:rsid w:val="004E7F4F"/>
    <w:rsid w:val="004F2DDE"/>
    <w:rsid w:val="004F7826"/>
    <w:rsid w:val="0050097F"/>
    <w:rsid w:val="00507D1B"/>
    <w:rsid w:val="00512021"/>
    <w:rsid w:val="00514B1F"/>
    <w:rsid w:val="00525E93"/>
    <w:rsid w:val="0052671D"/>
    <w:rsid w:val="005300C0"/>
    <w:rsid w:val="00551C9C"/>
    <w:rsid w:val="0055481C"/>
    <w:rsid w:val="0055595D"/>
    <w:rsid w:val="00556A10"/>
    <w:rsid w:val="00557F50"/>
    <w:rsid w:val="00560776"/>
    <w:rsid w:val="00571D3D"/>
    <w:rsid w:val="005819B7"/>
    <w:rsid w:val="0058264B"/>
    <w:rsid w:val="005868AA"/>
    <w:rsid w:val="00590845"/>
    <w:rsid w:val="00592325"/>
    <w:rsid w:val="005963C2"/>
    <w:rsid w:val="005A0D69"/>
    <w:rsid w:val="005A31F4"/>
    <w:rsid w:val="005A73EA"/>
    <w:rsid w:val="005B45F7"/>
    <w:rsid w:val="005B63EA"/>
    <w:rsid w:val="005C1A88"/>
    <w:rsid w:val="005C5033"/>
    <w:rsid w:val="005E751B"/>
    <w:rsid w:val="005F1F6A"/>
    <w:rsid w:val="005F3354"/>
    <w:rsid w:val="005F4CF0"/>
    <w:rsid w:val="0060005E"/>
    <w:rsid w:val="0060095B"/>
    <w:rsid w:val="00601266"/>
    <w:rsid w:val="00610E73"/>
    <w:rsid w:val="00616DF2"/>
    <w:rsid w:val="0063168D"/>
    <w:rsid w:val="0065105D"/>
    <w:rsid w:val="006531A4"/>
    <w:rsid w:val="00660774"/>
    <w:rsid w:val="0066389A"/>
    <w:rsid w:val="0066495C"/>
    <w:rsid w:val="00665CC7"/>
    <w:rsid w:val="00672612"/>
    <w:rsid w:val="00677F18"/>
    <w:rsid w:val="00693483"/>
    <w:rsid w:val="00696A2C"/>
    <w:rsid w:val="006A0BF3"/>
    <w:rsid w:val="006B0725"/>
    <w:rsid w:val="006B0DA6"/>
    <w:rsid w:val="006C1DD8"/>
    <w:rsid w:val="006C547E"/>
    <w:rsid w:val="006D06B6"/>
    <w:rsid w:val="006D2B51"/>
    <w:rsid w:val="006D5575"/>
    <w:rsid w:val="006D740C"/>
    <w:rsid w:val="006E42BE"/>
    <w:rsid w:val="006E4A16"/>
    <w:rsid w:val="00704C5D"/>
    <w:rsid w:val="007072BC"/>
    <w:rsid w:val="007074C4"/>
    <w:rsid w:val="00715275"/>
    <w:rsid w:val="00721B44"/>
    <w:rsid w:val="007232A2"/>
    <w:rsid w:val="00726366"/>
    <w:rsid w:val="00732CDE"/>
    <w:rsid w:val="00733B6B"/>
    <w:rsid w:val="00740808"/>
    <w:rsid w:val="00745B6C"/>
    <w:rsid w:val="007467C4"/>
    <w:rsid w:val="0076170F"/>
    <w:rsid w:val="0076669C"/>
    <w:rsid w:val="00766E46"/>
    <w:rsid w:val="00777727"/>
    <w:rsid w:val="0078146D"/>
    <w:rsid w:val="00782B79"/>
    <w:rsid w:val="007865E9"/>
    <w:rsid w:val="00792383"/>
    <w:rsid w:val="00794D5A"/>
    <w:rsid w:val="00794DD9"/>
    <w:rsid w:val="007A060F"/>
    <w:rsid w:val="007A23D4"/>
    <w:rsid w:val="007B350E"/>
    <w:rsid w:val="007C0FBC"/>
    <w:rsid w:val="007C2E51"/>
    <w:rsid w:val="007C36E3"/>
    <w:rsid w:val="007C7134"/>
    <w:rsid w:val="007D3755"/>
    <w:rsid w:val="007D3D20"/>
    <w:rsid w:val="007D4B82"/>
    <w:rsid w:val="007D742E"/>
    <w:rsid w:val="007E3AFD"/>
    <w:rsid w:val="00801DAD"/>
    <w:rsid w:val="00803189"/>
    <w:rsid w:val="00804E7A"/>
    <w:rsid w:val="00805FBB"/>
    <w:rsid w:val="008169A4"/>
    <w:rsid w:val="008238D3"/>
    <w:rsid w:val="00823BA9"/>
    <w:rsid w:val="008278FE"/>
    <w:rsid w:val="00832598"/>
    <w:rsid w:val="0083397E"/>
    <w:rsid w:val="0083534B"/>
    <w:rsid w:val="00836C87"/>
    <w:rsid w:val="00842602"/>
    <w:rsid w:val="008449F0"/>
    <w:rsid w:val="00847B45"/>
    <w:rsid w:val="00847C1B"/>
    <w:rsid w:val="00863A66"/>
    <w:rsid w:val="008703D7"/>
    <w:rsid w:val="00872671"/>
    <w:rsid w:val="00874429"/>
    <w:rsid w:val="00883D9A"/>
    <w:rsid w:val="008919EF"/>
    <w:rsid w:val="00892B20"/>
    <w:rsid w:val="008A12EC"/>
    <w:rsid w:val="008B19A6"/>
    <w:rsid w:val="008C21C8"/>
    <w:rsid w:val="008C2E78"/>
    <w:rsid w:val="008C6375"/>
    <w:rsid w:val="008C6A5B"/>
    <w:rsid w:val="008D5B2F"/>
    <w:rsid w:val="008E26A5"/>
    <w:rsid w:val="008E42D2"/>
    <w:rsid w:val="008E6328"/>
    <w:rsid w:val="008F60BF"/>
    <w:rsid w:val="009040EE"/>
    <w:rsid w:val="009057FD"/>
    <w:rsid w:val="00906FBA"/>
    <w:rsid w:val="009163E8"/>
    <w:rsid w:val="00917A44"/>
    <w:rsid w:val="009228C7"/>
    <w:rsid w:val="00922A7F"/>
    <w:rsid w:val="00923A5E"/>
    <w:rsid w:val="00923C2D"/>
    <w:rsid w:val="00924FE7"/>
    <w:rsid w:val="00926A02"/>
    <w:rsid w:val="00926E27"/>
    <w:rsid w:val="00927B66"/>
    <w:rsid w:val="00931C8C"/>
    <w:rsid w:val="009327A2"/>
    <w:rsid w:val="0094504B"/>
    <w:rsid w:val="0095123D"/>
    <w:rsid w:val="009521B1"/>
    <w:rsid w:val="0095629C"/>
    <w:rsid w:val="00956C9E"/>
    <w:rsid w:val="00964A38"/>
    <w:rsid w:val="00966A9D"/>
    <w:rsid w:val="0096742B"/>
    <w:rsid w:val="009718C5"/>
    <w:rsid w:val="009924CF"/>
    <w:rsid w:val="00994100"/>
    <w:rsid w:val="009A45F9"/>
    <w:rsid w:val="009A6B17"/>
    <w:rsid w:val="009B5628"/>
    <w:rsid w:val="009B58CE"/>
    <w:rsid w:val="009C0688"/>
    <w:rsid w:val="009C777D"/>
    <w:rsid w:val="009D4C29"/>
    <w:rsid w:val="009E75A5"/>
    <w:rsid w:val="009F6AD2"/>
    <w:rsid w:val="00A00D8D"/>
    <w:rsid w:val="00A01BB6"/>
    <w:rsid w:val="00A31090"/>
    <w:rsid w:val="00A40D7B"/>
    <w:rsid w:val="00A4303C"/>
    <w:rsid w:val="00A470FD"/>
    <w:rsid w:val="00A62DAB"/>
    <w:rsid w:val="00A6757A"/>
    <w:rsid w:val="00A726A6"/>
    <w:rsid w:val="00A74842"/>
    <w:rsid w:val="00A820CE"/>
    <w:rsid w:val="00A97535"/>
    <w:rsid w:val="00AA2BAA"/>
    <w:rsid w:val="00AA73F1"/>
    <w:rsid w:val="00AB0E1A"/>
    <w:rsid w:val="00AB1A30"/>
    <w:rsid w:val="00AB1D3C"/>
    <w:rsid w:val="00AB3C36"/>
    <w:rsid w:val="00AC2C2F"/>
    <w:rsid w:val="00AD10EB"/>
    <w:rsid w:val="00AD1ED3"/>
    <w:rsid w:val="00AE2166"/>
    <w:rsid w:val="00AE79E1"/>
    <w:rsid w:val="00AE7D60"/>
    <w:rsid w:val="00B02001"/>
    <w:rsid w:val="00B03C50"/>
    <w:rsid w:val="00B0777D"/>
    <w:rsid w:val="00B11576"/>
    <w:rsid w:val="00B1195F"/>
    <w:rsid w:val="00B13DC2"/>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7BA"/>
    <w:rsid w:val="00B8612B"/>
    <w:rsid w:val="00B86EF0"/>
    <w:rsid w:val="00B93DCE"/>
    <w:rsid w:val="00B95FC8"/>
    <w:rsid w:val="00B96969"/>
    <w:rsid w:val="00B97900"/>
    <w:rsid w:val="00BA1229"/>
    <w:rsid w:val="00BA2668"/>
    <w:rsid w:val="00BA44A8"/>
    <w:rsid w:val="00BB58D8"/>
    <w:rsid w:val="00BC786E"/>
    <w:rsid w:val="00BD5C92"/>
    <w:rsid w:val="00BE50E6"/>
    <w:rsid w:val="00BF499E"/>
    <w:rsid w:val="00BF6691"/>
    <w:rsid w:val="00BF6C1D"/>
    <w:rsid w:val="00C028FC"/>
    <w:rsid w:val="00C037F2"/>
    <w:rsid w:val="00C0386D"/>
    <w:rsid w:val="00C065A1"/>
    <w:rsid w:val="00C10ED5"/>
    <w:rsid w:val="00C151A6"/>
    <w:rsid w:val="00C15C5E"/>
    <w:rsid w:val="00C24098"/>
    <w:rsid w:val="00C30A4E"/>
    <w:rsid w:val="00C411F3"/>
    <w:rsid w:val="00C44105"/>
    <w:rsid w:val="00C55A33"/>
    <w:rsid w:val="00C66692"/>
    <w:rsid w:val="00C673B5"/>
    <w:rsid w:val="00C7063D"/>
    <w:rsid w:val="00C74862"/>
    <w:rsid w:val="00C830BC"/>
    <w:rsid w:val="00C8524D"/>
    <w:rsid w:val="00C91123"/>
    <w:rsid w:val="00CA1B31"/>
    <w:rsid w:val="00CA71FF"/>
    <w:rsid w:val="00CB5276"/>
    <w:rsid w:val="00CB5BFC"/>
    <w:rsid w:val="00CB68D7"/>
    <w:rsid w:val="00CC7E68"/>
    <w:rsid w:val="00CD19A4"/>
    <w:rsid w:val="00CD20B9"/>
    <w:rsid w:val="00CD2A3C"/>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8F4"/>
    <w:rsid w:val="00D36A46"/>
    <w:rsid w:val="00D4381D"/>
    <w:rsid w:val="00D46FAA"/>
    <w:rsid w:val="00D47A40"/>
    <w:rsid w:val="00D51D33"/>
    <w:rsid w:val="00D57BB2"/>
    <w:rsid w:val="00D57E57"/>
    <w:rsid w:val="00D70752"/>
    <w:rsid w:val="00D80E2D"/>
    <w:rsid w:val="00D84D5E"/>
    <w:rsid w:val="00D8560E"/>
    <w:rsid w:val="00D8758F"/>
    <w:rsid w:val="00DA35A2"/>
    <w:rsid w:val="00DA4EDD"/>
    <w:rsid w:val="00DA6B78"/>
    <w:rsid w:val="00DB357A"/>
    <w:rsid w:val="00DB665F"/>
    <w:rsid w:val="00DC1D94"/>
    <w:rsid w:val="00DC42CF"/>
    <w:rsid w:val="00DE057F"/>
    <w:rsid w:val="00DE2082"/>
    <w:rsid w:val="00DE2289"/>
    <w:rsid w:val="00DE70DC"/>
    <w:rsid w:val="00DF09A7"/>
    <w:rsid w:val="00E001D6"/>
    <w:rsid w:val="00E03A76"/>
    <w:rsid w:val="00E04410"/>
    <w:rsid w:val="00E07484"/>
    <w:rsid w:val="00E11351"/>
    <w:rsid w:val="00E33B50"/>
    <w:rsid w:val="00E405AE"/>
    <w:rsid w:val="00E4225C"/>
    <w:rsid w:val="00E44879"/>
    <w:rsid w:val="00E5485E"/>
    <w:rsid w:val="00E55F64"/>
    <w:rsid w:val="00E57DB5"/>
    <w:rsid w:val="00E72914"/>
    <w:rsid w:val="00E75AE0"/>
    <w:rsid w:val="00E83C1F"/>
    <w:rsid w:val="00E84B7F"/>
    <w:rsid w:val="00E97656"/>
    <w:rsid w:val="00EA172C"/>
    <w:rsid w:val="00EA259B"/>
    <w:rsid w:val="00EA322B"/>
    <w:rsid w:val="00EA35A3"/>
    <w:rsid w:val="00EA3E6A"/>
    <w:rsid w:val="00EB18EF"/>
    <w:rsid w:val="00EB7951"/>
    <w:rsid w:val="00ED6A79"/>
    <w:rsid w:val="00EE17DF"/>
    <w:rsid w:val="00EF0F73"/>
    <w:rsid w:val="00EF4621"/>
    <w:rsid w:val="00EF4D52"/>
    <w:rsid w:val="00EF6312"/>
    <w:rsid w:val="00F038B0"/>
    <w:rsid w:val="00F22B27"/>
    <w:rsid w:val="00F234A7"/>
    <w:rsid w:val="00F277B6"/>
    <w:rsid w:val="00F27DA5"/>
    <w:rsid w:val="00F30072"/>
    <w:rsid w:val="00F371AF"/>
    <w:rsid w:val="00F37E07"/>
    <w:rsid w:val="00F4182A"/>
    <w:rsid w:val="00F43FDC"/>
    <w:rsid w:val="00F47663"/>
    <w:rsid w:val="00F54380"/>
    <w:rsid w:val="00F54B47"/>
    <w:rsid w:val="00F61247"/>
    <w:rsid w:val="00F6702E"/>
    <w:rsid w:val="00F70E84"/>
    <w:rsid w:val="00F72D9C"/>
    <w:rsid w:val="00F9591A"/>
    <w:rsid w:val="00FA092B"/>
    <w:rsid w:val="00FA2A27"/>
    <w:rsid w:val="00FA3BA9"/>
    <w:rsid w:val="00FA4F6C"/>
    <w:rsid w:val="00FA6EFD"/>
    <w:rsid w:val="00FB74EA"/>
    <w:rsid w:val="00FC1F09"/>
    <w:rsid w:val="00FD2C9E"/>
    <w:rsid w:val="00FD464D"/>
    <w:rsid w:val="00FD4786"/>
    <w:rsid w:val="00FD616C"/>
    <w:rsid w:val="00FE53F2"/>
    <w:rsid w:val="00FF0A00"/>
    <w:rsid w:val="00FF1C57"/>
    <w:rsid w:val="00FF2581"/>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0F4"/>
    <w:pPr>
      <w:autoSpaceDE w:val="0"/>
      <w:autoSpaceDN w:val="0"/>
      <w:adjustRightInd w:val="0"/>
      <w:ind w:left="1440"/>
    </w:pPr>
    <w:rPr>
      <w:sz w:val="24"/>
      <w:szCs w:val="24"/>
    </w:rPr>
  </w:style>
  <w:style w:type="paragraph" w:styleId="BalloonText">
    <w:name w:val="Balloon Text"/>
    <w:basedOn w:val="Normal"/>
    <w:link w:val="BalloonTextChar"/>
    <w:rsid w:val="009327A2"/>
    <w:rPr>
      <w:rFonts w:ascii="Tahoma" w:hAnsi="Tahoma" w:cs="Tahoma"/>
      <w:sz w:val="16"/>
      <w:szCs w:val="16"/>
    </w:rPr>
  </w:style>
  <w:style w:type="character" w:customStyle="1" w:styleId="BalloonTextChar">
    <w:name w:val="Balloon Text Char"/>
    <w:basedOn w:val="DefaultParagraphFont"/>
    <w:link w:val="BalloonText"/>
    <w:rsid w:val="009327A2"/>
    <w:rPr>
      <w:rFonts w:ascii="Tahoma" w:hAnsi="Tahoma" w:cs="Tahoma"/>
      <w:sz w:val="16"/>
      <w:szCs w:val="16"/>
    </w:rPr>
  </w:style>
  <w:style w:type="character" w:customStyle="1" w:styleId="FootnoteTextChar">
    <w:name w:val="Footnote Text Char"/>
    <w:basedOn w:val="DefaultParagraphFont"/>
    <w:link w:val="FootnoteText"/>
    <w:uiPriority w:val="99"/>
    <w:rsid w:val="00417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0F4"/>
    <w:pPr>
      <w:autoSpaceDE w:val="0"/>
      <w:autoSpaceDN w:val="0"/>
      <w:adjustRightInd w:val="0"/>
      <w:ind w:left="1440"/>
    </w:pPr>
    <w:rPr>
      <w:sz w:val="24"/>
      <w:szCs w:val="24"/>
    </w:rPr>
  </w:style>
  <w:style w:type="paragraph" w:styleId="BalloonText">
    <w:name w:val="Balloon Text"/>
    <w:basedOn w:val="Normal"/>
    <w:link w:val="BalloonTextChar"/>
    <w:rsid w:val="009327A2"/>
    <w:rPr>
      <w:rFonts w:ascii="Tahoma" w:hAnsi="Tahoma" w:cs="Tahoma"/>
      <w:sz w:val="16"/>
      <w:szCs w:val="16"/>
    </w:rPr>
  </w:style>
  <w:style w:type="character" w:customStyle="1" w:styleId="BalloonTextChar">
    <w:name w:val="Balloon Text Char"/>
    <w:basedOn w:val="DefaultParagraphFont"/>
    <w:link w:val="BalloonText"/>
    <w:rsid w:val="009327A2"/>
    <w:rPr>
      <w:rFonts w:ascii="Tahoma" w:hAnsi="Tahoma" w:cs="Tahoma"/>
      <w:sz w:val="16"/>
      <w:szCs w:val="16"/>
    </w:rPr>
  </w:style>
  <w:style w:type="character" w:customStyle="1" w:styleId="FootnoteTextChar">
    <w:name w:val="Footnote Text Char"/>
    <w:basedOn w:val="DefaultParagraphFont"/>
    <w:link w:val="FootnoteText"/>
    <w:uiPriority w:val="99"/>
    <w:rsid w:val="0041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2694</Words>
  <Characters>14871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2019-11-04T15:07:00Z</dcterms:created>
  <dcterms:modified xsi:type="dcterms:W3CDTF">2019-11-04T15:21:00Z</dcterms:modified>
</cp:coreProperties>
</file>