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198A" w:rsidP="00E3198A">
      <w:pPr>
        <w:pStyle w:val="OrderHeading"/>
      </w:pPr>
      <w:r>
        <w:t>BEFORE THE FLORIDA PUBLIC SERVICE COMMISSION</w:t>
      </w:r>
    </w:p>
    <w:p w:rsidR="00E3198A" w:rsidRDefault="00E3198A" w:rsidP="00E3198A">
      <w:pPr>
        <w:pStyle w:val="OrderBody"/>
      </w:pPr>
    </w:p>
    <w:p w:rsidR="00E3198A" w:rsidRDefault="00E3198A" w:rsidP="00E319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198A" w:rsidRPr="00C63FCF" w:rsidTr="005A2DAF">
        <w:trPr>
          <w:trHeight w:val="828"/>
        </w:trPr>
        <w:tc>
          <w:tcPr>
            <w:tcW w:w="4788" w:type="dxa"/>
            <w:tcBorders>
              <w:bottom w:val="nil"/>
              <w:right w:val="double" w:sz="6" w:space="0" w:color="auto"/>
            </w:tcBorders>
            <w:shd w:val="clear" w:color="auto" w:fill="auto"/>
          </w:tcPr>
          <w:p w:rsidR="00E3198A" w:rsidRDefault="00E3198A" w:rsidP="005A2DA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E3198A" w:rsidRDefault="00E3198A" w:rsidP="005A2DA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198A" w:rsidRDefault="00E3198A" w:rsidP="005A2DAF">
            <w:pPr>
              <w:pStyle w:val="OrderBody"/>
              <w:tabs>
                <w:tab w:val="center" w:pos="4320"/>
                <w:tab w:val="right" w:pos="8640"/>
              </w:tabs>
              <w:jc w:val="left"/>
            </w:pPr>
            <w:r>
              <w:t xml:space="preserve">DOCKET NO. </w:t>
            </w:r>
            <w:bookmarkStart w:id="1" w:name="SMDocketNo"/>
            <w:bookmarkEnd w:id="1"/>
            <w:r>
              <w:t>20190015-EG</w:t>
            </w:r>
          </w:p>
        </w:tc>
      </w:tr>
      <w:tr w:rsidR="00E3198A" w:rsidRPr="00C63FCF" w:rsidTr="005A2DAF">
        <w:trPr>
          <w:trHeight w:val="828"/>
        </w:trPr>
        <w:tc>
          <w:tcPr>
            <w:tcW w:w="4788" w:type="dxa"/>
            <w:tcBorders>
              <w:bottom w:val="nil"/>
              <w:right w:val="double" w:sz="6" w:space="0" w:color="auto"/>
            </w:tcBorders>
            <w:shd w:val="clear" w:color="auto" w:fill="auto"/>
          </w:tcPr>
          <w:p w:rsidR="00E3198A" w:rsidRDefault="00E3198A" w:rsidP="005A2DAF">
            <w:pPr>
              <w:pStyle w:val="OrderBody"/>
              <w:tabs>
                <w:tab w:val="center" w:pos="4320"/>
                <w:tab w:val="right" w:pos="8640"/>
              </w:tabs>
              <w:jc w:val="left"/>
            </w:pPr>
            <w:r>
              <w:t>In re: Commission review of numeric conservation goals (Gulf Power Company).</w:t>
            </w:r>
          </w:p>
          <w:p w:rsidR="00E3198A" w:rsidRDefault="00E3198A" w:rsidP="005A2DA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198A" w:rsidRDefault="00E3198A" w:rsidP="005A2DAF">
            <w:pPr>
              <w:pStyle w:val="OrderBody"/>
              <w:tabs>
                <w:tab w:val="center" w:pos="4320"/>
                <w:tab w:val="right" w:pos="8640"/>
              </w:tabs>
              <w:jc w:val="left"/>
            </w:pPr>
            <w:r>
              <w:t>DOCKET NO. 20190016-EG</w:t>
            </w:r>
          </w:p>
          <w:p w:rsidR="00E3198A" w:rsidRDefault="00E3198A" w:rsidP="005A2DAF">
            <w:pPr>
              <w:pStyle w:val="OrderBody"/>
              <w:tabs>
                <w:tab w:val="center" w:pos="4320"/>
                <w:tab w:val="right" w:pos="8640"/>
              </w:tabs>
              <w:jc w:val="left"/>
            </w:pPr>
          </w:p>
        </w:tc>
      </w:tr>
      <w:tr w:rsidR="00E3198A" w:rsidRPr="00C63FCF" w:rsidTr="005A2DAF">
        <w:trPr>
          <w:trHeight w:val="828"/>
        </w:trPr>
        <w:tc>
          <w:tcPr>
            <w:tcW w:w="4788" w:type="dxa"/>
            <w:tcBorders>
              <w:bottom w:val="nil"/>
              <w:right w:val="double" w:sz="6" w:space="0" w:color="auto"/>
            </w:tcBorders>
            <w:shd w:val="clear" w:color="auto" w:fill="auto"/>
          </w:tcPr>
          <w:p w:rsidR="00E3198A" w:rsidRDefault="00E3198A" w:rsidP="005A2DAF">
            <w:pPr>
              <w:pStyle w:val="OrderBody"/>
              <w:tabs>
                <w:tab w:val="center" w:pos="4320"/>
                <w:tab w:val="right" w:pos="8640"/>
              </w:tabs>
              <w:jc w:val="left"/>
            </w:pPr>
            <w:r>
              <w:t>In re: Commission review of numeric conservation goals (Florida Public Utilities Company).</w:t>
            </w:r>
          </w:p>
          <w:p w:rsidR="00E3198A" w:rsidRDefault="00E3198A" w:rsidP="005A2DA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198A" w:rsidRDefault="00E3198A" w:rsidP="005A2DAF">
            <w:pPr>
              <w:pStyle w:val="OrderBody"/>
              <w:tabs>
                <w:tab w:val="center" w:pos="4320"/>
                <w:tab w:val="right" w:pos="8640"/>
              </w:tabs>
              <w:jc w:val="left"/>
            </w:pPr>
            <w:r>
              <w:t>DOCKET NO. 20190017-EG</w:t>
            </w:r>
          </w:p>
          <w:p w:rsidR="00E3198A" w:rsidRDefault="00E3198A" w:rsidP="005A2DAF">
            <w:pPr>
              <w:pStyle w:val="OrderBody"/>
              <w:tabs>
                <w:tab w:val="center" w:pos="4320"/>
                <w:tab w:val="right" w:pos="8640"/>
              </w:tabs>
              <w:jc w:val="left"/>
            </w:pPr>
          </w:p>
        </w:tc>
      </w:tr>
      <w:tr w:rsidR="00E3198A" w:rsidRPr="00C63FCF" w:rsidTr="005A2DAF">
        <w:trPr>
          <w:trHeight w:val="828"/>
        </w:trPr>
        <w:tc>
          <w:tcPr>
            <w:tcW w:w="4788" w:type="dxa"/>
            <w:tcBorders>
              <w:bottom w:val="nil"/>
              <w:right w:val="double" w:sz="6" w:space="0" w:color="auto"/>
            </w:tcBorders>
            <w:shd w:val="clear" w:color="auto" w:fill="auto"/>
          </w:tcPr>
          <w:p w:rsidR="00E3198A" w:rsidRDefault="00E3198A" w:rsidP="005A2DAF">
            <w:pPr>
              <w:pStyle w:val="OrderBody"/>
              <w:tabs>
                <w:tab w:val="center" w:pos="4320"/>
                <w:tab w:val="right" w:pos="8640"/>
              </w:tabs>
              <w:jc w:val="left"/>
            </w:pPr>
            <w:r>
              <w:t>In re: Commission review of numeric conservation goals (Duke Energy Florida, LLC).</w:t>
            </w:r>
          </w:p>
          <w:p w:rsidR="00E3198A" w:rsidRDefault="00E3198A" w:rsidP="005A2DA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198A" w:rsidRDefault="00E3198A" w:rsidP="005A2DAF">
            <w:pPr>
              <w:pStyle w:val="OrderBody"/>
              <w:tabs>
                <w:tab w:val="center" w:pos="4320"/>
                <w:tab w:val="right" w:pos="8640"/>
              </w:tabs>
              <w:jc w:val="left"/>
            </w:pPr>
            <w:r>
              <w:t>DOCKET NO. 20190018-EG</w:t>
            </w:r>
          </w:p>
          <w:p w:rsidR="00E3198A" w:rsidRDefault="00E3198A" w:rsidP="005A2DAF">
            <w:pPr>
              <w:pStyle w:val="OrderBody"/>
              <w:tabs>
                <w:tab w:val="center" w:pos="4320"/>
                <w:tab w:val="right" w:pos="8640"/>
              </w:tabs>
              <w:jc w:val="left"/>
            </w:pPr>
          </w:p>
        </w:tc>
      </w:tr>
      <w:tr w:rsidR="00E3198A" w:rsidRPr="00C63FCF" w:rsidTr="005A2DAF">
        <w:trPr>
          <w:trHeight w:val="828"/>
        </w:trPr>
        <w:tc>
          <w:tcPr>
            <w:tcW w:w="4788" w:type="dxa"/>
            <w:tcBorders>
              <w:bottom w:val="nil"/>
              <w:right w:val="double" w:sz="6" w:space="0" w:color="auto"/>
            </w:tcBorders>
            <w:shd w:val="clear" w:color="auto" w:fill="auto"/>
          </w:tcPr>
          <w:p w:rsidR="00E3198A" w:rsidRDefault="00E3198A" w:rsidP="005A2DAF">
            <w:pPr>
              <w:pStyle w:val="OrderBody"/>
              <w:tabs>
                <w:tab w:val="center" w:pos="4320"/>
                <w:tab w:val="right" w:pos="8640"/>
              </w:tabs>
              <w:jc w:val="left"/>
            </w:pPr>
            <w:r>
              <w:t>In re: Commission review of numeric conservation goals (Orlando Utilities Commission).</w:t>
            </w:r>
          </w:p>
          <w:p w:rsidR="00E3198A" w:rsidRDefault="00E3198A" w:rsidP="005A2DA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198A" w:rsidRDefault="00E3198A" w:rsidP="005A2DAF">
            <w:pPr>
              <w:pStyle w:val="OrderBody"/>
              <w:tabs>
                <w:tab w:val="center" w:pos="4320"/>
                <w:tab w:val="right" w:pos="8640"/>
              </w:tabs>
              <w:jc w:val="left"/>
            </w:pPr>
            <w:r>
              <w:t>DOCKET NO. 20190019-EG</w:t>
            </w:r>
          </w:p>
          <w:p w:rsidR="00E3198A" w:rsidRDefault="00E3198A" w:rsidP="005A2DAF">
            <w:pPr>
              <w:pStyle w:val="OrderBody"/>
              <w:tabs>
                <w:tab w:val="center" w:pos="4320"/>
                <w:tab w:val="right" w:pos="8640"/>
              </w:tabs>
              <w:jc w:val="left"/>
            </w:pPr>
          </w:p>
        </w:tc>
      </w:tr>
      <w:tr w:rsidR="00E3198A" w:rsidRPr="00C63FCF" w:rsidTr="005A2DAF">
        <w:trPr>
          <w:trHeight w:val="828"/>
        </w:trPr>
        <w:tc>
          <w:tcPr>
            <w:tcW w:w="4788" w:type="dxa"/>
            <w:tcBorders>
              <w:bottom w:val="nil"/>
              <w:right w:val="double" w:sz="6" w:space="0" w:color="auto"/>
            </w:tcBorders>
            <w:shd w:val="clear" w:color="auto" w:fill="auto"/>
          </w:tcPr>
          <w:p w:rsidR="00E3198A" w:rsidRDefault="00E3198A" w:rsidP="005A2DAF">
            <w:pPr>
              <w:pStyle w:val="OrderBody"/>
              <w:tabs>
                <w:tab w:val="center" w:pos="4320"/>
                <w:tab w:val="right" w:pos="8640"/>
              </w:tabs>
              <w:jc w:val="left"/>
            </w:pPr>
            <w:r>
              <w:t>In re: Commission review of numeric conservation goals (JEA).</w:t>
            </w:r>
          </w:p>
          <w:p w:rsidR="00E3198A" w:rsidRDefault="00E3198A" w:rsidP="005A2DA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198A" w:rsidRDefault="00E3198A" w:rsidP="005A2DAF">
            <w:pPr>
              <w:pStyle w:val="OrderBody"/>
              <w:tabs>
                <w:tab w:val="center" w:pos="4320"/>
                <w:tab w:val="right" w:pos="8640"/>
              </w:tabs>
              <w:jc w:val="left"/>
            </w:pPr>
            <w:r>
              <w:t>DOCKET NO. 20190020-EG</w:t>
            </w:r>
          </w:p>
          <w:p w:rsidR="00E3198A" w:rsidRDefault="00E3198A" w:rsidP="005A2DAF">
            <w:pPr>
              <w:pStyle w:val="OrderBody"/>
              <w:tabs>
                <w:tab w:val="center" w:pos="4320"/>
                <w:tab w:val="right" w:pos="8640"/>
              </w:tabs>
              <w:jc w:val="left"/>
            </w:pPr>
          </w:p>
        </w:tc>
      </w:tr>
      <w:tr w:rsidR="00E3198A" w:rsidRPr="00C63FCF" w:rsidTr="005A2DAF">
        <w:trPr>
          <w:trHeight w:val="828"/>
        </w:trPr>
        <w:tc>
          <w:tcPr>
            <w:tcW w:w="4788" w:type="dxa"/>
            <w:tcBorders>
              <w:top w:val="nil"/>
              <w:bottom w:val="single" w:sz="8" w:space="0" w:color="auto"/>
              <w:right w:val="double" w:sz="6" w:space="0" w:color="auto"/>
            </w:tcBorders>
            <w:shd w:val="clear" w:color="auto" w:fill="auto"/>
          </w:tcPr>
          <w:p w:rsidR="00E3198A" w:rsidRDefault="00E3198A" w:rsidP="005A2DA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E3198A" w:rsidRDefault="00E3198A" w:rsidP="00E3198A">
            <w:pPr>
              <w:pStyle w:val="OrderBody"/>
            </w:pPr>
            <w:r>
              <w:t xml:space="preserve">DOCKET NO. </w:t>
            </w:r>
            <w:bookmarkStart w:id="2" w:name="SMDocketNo2"/>
            <w:bookmarkEnd w:id="2"/>
            <w:r>
              <w:t>20190021-EG</w:t>
            </w:r>
          </w:p>
          <w:p w:rsidR="00E3198A" w:rsidRDefault="00E3198A" w:rsidP="005A2DAF">
            <w:pPr>
              <w:pStyle w:val="OrderBody"/>
              <w:tabs>
                <w:tab w:val="center" w:pos="4320"/>
                <w:tab w:val="right" w:pos="8640"/>
              </w:tabs>
              <w:jc w:val="left"/>
            </w:pPr>
            <w:r>
              <w:t xml:space="preserve">ORDER NO. </w:t>
            </w:r>
            <w:bookmarkStart w:id="3" w:name="OrderNo0509"/>
            <w:r w:rsidR="005E7CB9">
              <w:t>PSC-2019-0509-FOF-EG</w:t>
            </w:r>
            <w:bookmarkEnd w:id="3"/>
          </w:p>
          <w:p w:rsidR="00E3198A" w:rsidRDefault="00E3198A" w:rsidP="005A2DAF">
            <w:pPr>
              <w:pStyle w:val="OrderBody"/>
              <w:tabs>
                <w:tab w:val="center" w:pos="4320"/>
                <w:tab w:val="right" w:pos="8640"/>
              </w:tabs>
              <w:jc w:val="left"/>
            </w:pPr>
            <w:r>
              <w:t xml:space="preserve">ISSUED: </w:t>
            </w:r>
            <w:r w:rsidR="005E7CB9">
              <w:t>November 26, 2019</w:t>
            </w:r>
          </w:p>
          <w:p w:rsidR="00E3198A" w:rsidRDefault="00E3198A" w:rsidP="005A2DAF">
            <w:pPr>
              <w:pStyle w:val="OrderBody"/>
              <w:tabs>
                <w:tab w:val="center" w:pos="4320"/>
                <w:tab w:val="right" w:pos="8640"/>
              </w:tabs>
              <w:jc w:val="left"/>
            </w:pPr>
          </w:p>
        </w:tc>
      </w:tr>
    </w:tbl>
    <w:p w:rsidR="00E3198A" w:rsidRDefault="00E3198A" w:rsidP="00E3198A"/>
    <w:p w:rsidR="00E3198A" w:rsidRDefault="00E3198A" w:rsidP="00E3198A"/>
    <w:p w:rsidR="00E3198A" w:rsidRDefault="00E3198A">
      <w:pPr>
        <w:ind w:firstLine="720"/>
        <w:jc w:val="both"/>
      </w:pPr>
      <w:bookmarkStart w:id="4" w:name="Commissioners"/>
      <w:bookmarkEnd w:id="4"/>
      <w:r>
        <w:t>The following Commissioners participated in the disposition of this matter:</w:t>
      </w:r>
    </w:p>
    <w:p w:rsidR="00E3198A" w:rsidRDefault="00E3198A"/>
    <w:p w:rsidR="00E3198A" w:rsidRDefault="00E3198A">
      <w:pPr>
        <w:jc w:val="center"/>
      </w:pPr>
      <w:r>
        <w:t>ART GRAHAM, Chairman</w:t>
      </w:r>
    </w:p>
    <w:p w:rsidR="00E3198A" w:rsidRDefault="00E3198A">
      <w:pPr>
        <w:jc w:val="center"/>
      </w:pPr>
      <w:r>
        <w:t xml:space="preserve">JULIE I. BROWN </w:t>
      </w:r>
    </w:p>
    <w:p w:rsidR="00E3198A" w:rsidRDefault="00E3198A">
      <w:pPr>
        <w:jc w:val="center"/>
      </w:pPr>
      <w:r>
        <w:t>DONALD J. POLMANN</w:t>
      </w:r>
    </w:p>
    <w:p w:rsidR="00E3198A" w:rsidRDefault="00E3198A">
      <w:pPr>
        <w:jc w:val="center"/>
      </w:pPr>
      <w:r>
        <w:t>GARY F. CLARK</w:t>
      </w:r>
    </w:p>
    <w:p w:rsidR="00E3198A" w:rsidRDefault="00E3198A">
      <w:pPr>
        <w:jc w:val="center"/>
      </w:pPr>
      <w:r>
        <w:t>ANDREW GILES FAY</w:t>
      </w:r>
    </w:p>
    <w:p w:rsidR="00AA1DE9" w:rsidRDefault="00AA1DE9" w:rsidP="00AA1DE9">
      <w:pPr>
        <w:jc w:val="both"/>
      </w:pPr>
    </w:p>
    <w:p w:rsidR="00AA1DE9" w:rsidRPr="00701945" w:rsidRDefault="00AA1DE9" w:rsidP="00AA1DE9">
      <w:pPr>
        <w:jc w:val="both"/>
      </w:pPr>
      <w:r w:rsidRPr="00701945">
        <w:t>APPEARANCES:</w:t>
      </w:r>
    </w:p>
    <w:p w:rsidR="00AA1DE9" w:rsidRPr="00701945" w:rsidRDefault="00AA1DE9" w:rsidP="00AA1DE9">
      <w:pPr>
        <w:jc w:val="both"/>
      </w:pPr>
    </w:p>
    <w:p w:rsidR="00AA1DE9" w:rsidRDefault="00AA1DE9" w:rsidP="00AA1DE9">
      <w:pPr>
        <w:ind w:left="1440"/>
        <w:jc w:val="both"/>
      </w:pPr>
      <w:r>
        <w:t>WILLIAM P. COX and CHRISTOPHER T. WRIGHT,</w:t>
      </w:r>
      <w:r w:rsidRPr="00F0678D">
        <w:t xml:space="preserve"> </w:t>
      </w:r>
      <w:r w:rsidRPr="00701945">
        <w:t>ESQUIRE</w:t>
      </w:r>
      <w:r>
        <w:t>S, 700 Universe Boulevard, Juno Beach, Florida 33408, and CHARLES GUYTON, ESQUIRE, Gunster Law Firm, 215 South Monroe Street, Suite 601, Tallahassee, Florida 32301</w:t>
      </w:r>
    </w:p>
    <w:p w:rsidR="00AA1DE9" w:rsidRDefault="00AA1DE9" w:rsidP="00AA1DE9">
      <w:pPr>
        <w:ind w:left="720" w:firstLine="720"/>
        <w:jc w:val="both"/>
      </w:pPr>
      <w:proofErr w:type="gramStart"/>
      <w:r w:rsidRPr="00701945">
        <w:rPr>
          <w:u w:val="single"/>
        </w:rPr>
        <w:t xml:space="preserve">On behalf of </w:t>
      </w:r>
      <w:r>
        <w:rPr>
          <w:u w:val="single"/>
        </w:rPr>
        <w:t>Florida Power &amp; Light Company (FPL)</w:t>
      </w:r>
      <w:r w:rsidRPr="00701945">
        <w:t>.</w:t>
      </w:r>
      <w:proofErr w:type="gramEnd"/>
    </w:p>
    <w:p w:rsidR="00AA1DE9" w:rsidRDefault="00AA1DE9" w:rsidP="00AA1DE9">
      <w:pPr>
        <w:ind w:left="1440" w:hanging="720"/>
        <w:jc w:val="both"/>
      </w:pPr>
      <w:r>
        <w:lastRenderedPageBreak/>
        <w:tab/>
        <w:t>RUSSELL A. BADDERS, ESQUIRE, One Energy Place, Pensacola, Florida 32520, STEVEN R. GRIFFIN, ESQUIRE, Beggs &amp; Lane, P.O. Box 12950, Pensacola, Florida 32591</w:t>
      </w:r>
    </w:p>
    <w:p w:rsidR="00AA1DE9" w:rsidRPr="00896C44" w:rsidRDefault="00AA1DE9" w:rsidP="00AA1DE9">
      <w:pPr>
        <w:ind w:left="1440" w:hanging="720"/>
        <w:jc w:val="both"/>
      </w:pPr>
      <w:r>
        <w:tab/>
      </w:r>
      <w:proofErr w:type="gramStart"/>
      <w:r>
        <w:rPr>
          <w:u w:val="single"/>
        </w:rPr>
        <w:t>On behalf of Gulf Power Company (GULF)</w:t>
      </w:r>
      <w:r>
        <w:t>.</w:t>
      </w:r>
      <w:proofErr w:type="gramEnd"/>
    </w:p>
    <w:p w:rsidR="00AA1DE9" w:rsidRDefault="00AA1DE9" w:rsidP="00AA1DE9">
      <w:pPr>
        <w:ind w:left="1440" w:hanging="720"/>
        <w:jc w:val="both"/>
      </w:pPr>
    </w:p>
    <w:p w:rsidR="00AA1DE9" w:rsidRDefault="00AA1DE9" w:rsidP="00AA1DE9">
      <w:pPr>
        <w:ind w:left="1440" w:hanging="720"/>
        <w:jc w:val="both"/>
      </w:pPr>
      <w:r>
        <w:tab/>
        <w:t>BETH KEATING, ESQUIRE, Gunster, Yoakley &amp; Stewart, P.A., 215 South Monroe Street, Suite 601, Tallahassee, Florida 32301</w:t>
      </w:r>
    </w:p>
    <w:p w:rsidR="00AA1DE9" w:rsidRDefault="00AA1DE9" w:rsidP="00AA1DE9">
      <w:pPr>
        <w:ind w:left="1440" w:hanging="720"/>
        <w:jc w:val="both"/>
      </w:pPr>
      <w:r>
        <w:tab/>
      </w:r>
      <w:proofErr w:type="gramStart"/>
      <w:r>
        <w:rPr>
          <w:u w:val="single"/>
        </w:rPr>
        <w:t>On behalf of Florida Public Utilities Company (FPUC)</w:t>
      </w:r>
      <w:r>
        <w:t>.</w:t>
      </w:r>
      <w:proofErr w:type="gramEnd"/>
    </w:p>
    <w:p w:rsidR="00AA1DE9" w:rsidRPr="00847122" w:rsidRDefault="00AA1DE9" w:rsidP="00AA1DE9">
      <w:pPr>
        <w:ind w:left="1440" w:hanging="720"/>
        <w:jc w:val="both"/>
      </w:pPr>
    </w:p>
    <w:p w:rsidR="00AA1DE9" w:rsidRDefault="00AA1DE9" w:rsidP="00AA1DE9">
      <w:pPr>
        <w:ind w:left="1440" w:hanging="720"/>
        <w:jc w:val="both"/>
      </w:pPr>
      <w:r>
        <w:tab/>
        <w:t>DIANNE M. TRIPLETT, ESQUIRE, 299 First Avenue North, St. Petersburg, Florida 33701, MATTHEW R. BERNIER, ESQUIRE, 106 East College Avenue, Suite 800, Tallahassee, Florida 32301</w:t>
      </w:r>
    </w:p>
    <w:p w:rsidR="00AA1DE9" w:rsidRPr="00847122" w:rsidRDefault="00AA1DE9" w:rsidP="00AA1DE9">
      <w:pPr>
        <w:ind w:left="1440" w:hanging="720"/>
        <w:jc w:val="both"/>
      </w:pPr>
      <w:r>
        <w:tab/>
      </w:r>
      <w:proofErr w:type="gramStart"/>
      <w:r>
        <w:rPr>
          <w:u w:val="single"/>
        </w:rPr>
        <w:t>On behalf of Duke Energy Florida, LLC (DEF)</w:t>
      </w:r>
      <w:r>
        <w:t>.</w:t>
      </w:r>
      <w:proofErr w:type="gramEnd"/>
    </w:p>
    <w:p w:rsidR="00AA1DE9" w:rsidRDefault="00AA1DE9" w:rsidP="00AA1DE9">
      <w:pPr>
        <w:ind w:left="1440" w:hanging="720"/>
        <w:jc w:val="both"/>
        <w:rPr>
          <w:u w:val="single"/>
        </w:rPr>
      </w:pPr>
    </w:p>
    <w:p w:rsidR="00AA1DE9" w:rsidRDefault="00AA1DE9" w:rsidP="00AA1DE9">
      <w:pPr>
        <w:ind w:left="1440" w:hanging="720"/>
        <w:jc w:val="both"/>
      </w:pPr>
      <w:r>
        <w:tab/>
        <w:t>ROBERT SCHEFFEL WRIGHT and JOHN T. LAVIA, III, ESQUIRES, Gardner, Bist, Bowden, Bush, Dee, LaVia &amp; Wright, P.A., 1300 Thomaswood Drive, Tallahassee, Florida 32308</w:t>
      </w:r>
    </w:p>
    <w:p w:rsidR="00AA1DE9" w:rsidRPr="00847122" w:rsidRDefault="00AA1DE9" w:rsidP="00AA1DE9">
      <w:pPr>
        <w:ind w:left="1440" w:hanging="720"/>
        <w:jc w:val="both"/>
      </w:pPr>
      <w:r>
        <w:tab/>
      </w:r>
      <w:proofErr w:type="gramStart"/>
      <w:r>
        <w:rPr>
          <w:u w:val="single"/>
        </w:rPr>
        <w:t>On behalf of Orlando Utilities Commission (OUC)</w:t>
      </w:r>
      <w:r>
        <w:t>.</w:t>
      </w:r>
      <w:proofErr w:type="gramEnd"/>
    </w:p>
    <w:p w:rsidR="00AA1DE9" w:rsidRDefault="00AA1DE9" w:rsidP="00AA1DE9">
      <w:pPr>
        <w:ind w:left="1440" w:hanging="720"/>
        <w:jc w:val="both"/>
      </w:pPr>
    </w:p>
    <w:p w:rsidR="00AA1DE9" w:rsidRDefault="00AA1DE9" w:rsidP="00AA1DE9">
      <w:pPr>
        <w:ind w:left="1440" w:hanging="720"/>
        <w:jc w:val="both"/>
      </w:pPr>
      <w:r>
        <w:tab/>
        <w:t>GARY V. PERKO and BROOKE E. LEWIS, ESQUIRES, Hopping, Green &amp; Sams, P.A., 119 South Monroe Street, Suite 300, P.O. Box 6526, Tallahassee, Florida 32314</w:t>
      </w:r>
    </w:p>
    <w:p w:rsidR="00AA1DE9" w:rsidRPr="00847122" w:rsidRDefault="00AA1DE9" w:rsidP="00AA1DE9">
      <w:pPr>
        <w:ind w:left="1440" w:hanging="720"/>
        <w:jc w:val="both"/>
      </w:pPr>
      <w:r>
        <w:tab/>
      </w:r>
      <w:proofErr w:type="gramStart"/>
      <w:r>
        <w:rPr>
          <w:u w:val="single"/>
        </w:rPr>
        <w:t>On behalf of JEA</w:t>
      </w:r>
      <w:r>
        <w:t>.</w:t>
      </w:r>
      <w:proofErr w:type="gramEnd"/>
    </w:p>
    <w:p w:rsidR="00AA1DE9" w:rsidRDefault="00AA1DE9" w:rsidP="00AA1DE9">
      <w:pPr>
        <w:ind w:left="1440" w:hanging="720"/>
        <w:jc w:val="both"/>
      </w:pPr>
    </w:p>
    <w:p w:rsidR="00AA1DE9" w:rsidRDefault="00AA1DE9" w:rsidP="00AA1DE9">
      <w:pPr>
        <w:ind w:left="1440" w:hanging="720"/>
        <w:jc w:val="both"/>
      </w:pPr>
      <w:r>
        <w:tab/>
        <w:t>JAMES D. BEASLEY, J. JEFFRY WAHLEN, and MALCOLM N. MEANS, ESQUIRES, Ausley McMullen, P.O. Box 391, Tallahassee, Florida 32302</w:t>
      </w:r>
    </w:p>
    <w:p w:rsidR="00AA1DE9" w:rsidRPr="00847122" w:rsidRDefault="00AA1DE9" w:rsidP="00AA1DE9">
      <w:pPr>
        <w:ind w:left="1440" w:hanging="720"/>
        <w:jc w:val="both"/>
      </w:pPr>
      <w:r>
        <w:tab/>
      </w:r>
      <w:proofErr w:type="gramStart"/>
      <w:r>
        <w:rPr>
          <w:u w:val="single"/>
        </w:rPr>
        <w:t>On behalf of Tampa Electric Company (TECO)</w:t>
      </w:r>
      <w:r>
        <w:t>.</w:t>
      </w:r>
      <w:proofErr w:type="gramEnd"/>
    </w:p>
    <w:p w:rsidR="00AA1DE9" w:rsidRDefault="00AA1DE9" w:rsidP="00AA1DE9">
      <w:pPr>
        <w:ind w:left="1440" w:hanging="720"/>
        <w:jc w:val="both"/>
        <w:rPr>
          <w:u w:val="single"/>
        </w:rPr>
      </w:pPr>
    </w:p>
    <w:p w:rsidR="00AA1DE9" w:rsidRDefault="00AA1DE9" w:rsidP="00AA1DE9">
      <w:pPr>
        <w:ind w:left="1440" w:hanging="720"/>
        <w:jc w:val="both"/>
      </w:pPr>
      <w:r>
        <w:tab/>
        <w:t>SUSAN F. CLARK, ESQUIRE, Radey Law Firm, 301 S. Bronough St., Ste. 200, Tallahassee, Florida 32301</w:t>
      </w:r>
    </w:p>
    <w:p w:rsidR="00AA1DE9" w:rsidRPr="00847122" w:rsidRDefault="00AA1DE9" w:rsidP="00AA1DE9">
      <w:pPr>
        <w:ind w:left="1440" w:hanging="720"/>
        <w:jc w:val="both"/>
      </w:pPr>
      <w:r>
        <w:tab/>
      </w:r>
      <w:proofErr w:type="gramStart"/>
      <w:r>
        <w:rPr>
          <w:u w:val="single"/>
        </w:rPr>
        <w:t>On behalf of FPL, GULF, FPUC, DEF, OUC, JEA, and TECO</w:t>
      </w:r>
      <w:r>
        <w:t>.</w:t>
      </w:r>
      <w:proofErr w:type="gramEnd"/>
    </w:p>
    <w:p w:rsidR="00AA1DE9" w:rsidRDefault="00AA1DE9" w:rsidP="00AA1DE9">
      <w:pPr>
        <w:ind w:left="1440" w:hanging="720"/>
        <w:jc w:val="both"/>
        <w:rPr>
          <w:u w:val="single"/>
        </w:rPr>
      </w:pPr>
    </w:p>
    <w:p w:rsidR="00AA1DE9" w:rsidRDefault="00AA1DE9" w:rsidP="00AA1DE9">
      <w:pPr>
        <w:ind w:left="1440" w:hanging="720"/>
        <w:jc w:val="both"/>
      </w:pPr>
      <w:r>
        <w:tab/>
      </w:r>
      <w:r w:rsidR="00333DEF">
        <w:t xml:space="preserve">J.R. KELLY, ESQUIRE, Public Counsel, </w:t>
      </w:r>
      <w:r>
        <w:t>PATRICIA A. CHRISTENSEN, THOMAS A. (TAD) DAVID, and A. MIREILLE FALL-FRY, ESQUIRES, Associate Public Counsels, Office of Public Counsel, c/o The Florida Legislature, 111 W. Madison Street, Room 812, Tallahassee, Florida 32399</w:t>
      </w:r>
    </w:p>
    <w:p w:rsidR="00AA1DE9" w:rsidRPr="00847122" w:rsidRDefault="00AA1DE9" w:rsidP="00AA1DE9">
      <w:pPr>
        <w:ind w:left="1440" w:hanging="720"/>
        <w:jc w:val="both"/>
      </w:pPr>
      <w:r>
        <w:tab/>
      </w:r>
      <w:proofErr w:type="gramStart"/>
      <w:r w:rsidRPr="0012596D">
        <w:rPr>
          <w:u w:val="single"/>
        </w:rPr>
        <w:t xml:space="preserve">On behalf of the </w:t>
      </w:r>
      <w:r>
        <w:rPr>
          <w:u w:val="single"/>
        </w:rPr>
        <w:t>Citizens of the State of Florida (OPC)</w:t>
      </w:r>
      <w:r>
        <w:t>.</w:t>
      </w:r>
      <w:proofErr w:type="gramEnd"/>
    </w:p>
    <w:p w:rsidR="00AA1DE9" w:rsidRDefault="00AA1DE9" w:rsidP="00AA1DE9">
      <w:pPr>
        <w:ind w:left="1440" w:hanging="720"/>
        <w:jc w:val="both"/>
        <w:rPr>
          <w:u w:val="single"/>
        </w:rPr>
      </w:pPr>
    </w:p>
    <w:p w:rsidR="00AA1DE9" w:rsidRDefault="00AA1DE9" w:rsidP="00AA1DE9">
      <w:pPr>
        <w:ind w:left="1440"/>
        <w:jc w:val="both"/>
      </w:pPr>
      <w:r>
        <w:t xml:space="preserve">STEVEN L. HALL, </w:t>
      </w:r>
      <w:r w:rsidRPr="007450B3">
        <w:t xml:space="preserve">KELLEY F. CORBARI, JOAN T. MATTHEWS, </w:t>
      </w:r>
      <w:r>
        <w:t xml:space="preserve">and </w:t>
      </w:r>
      <w:r w:rsidRPr="007450B3">
        <w:t>ALLAN J. CHARLES, ESQUIRE</w:t>
      </w:r>
      <w:r>
        <w:t>S</w:t>
      </w:r>
      <w:r w:rsidRPr="007450B3">
        <w:t>,</w:t>
      </w:r>
      <w:r>
        <w:t xml:space="preserve"> </w:t>
      </w:r>
      <w:r w:rsidRPr="007450B3">
        <w:t>Florida Department of Agriculture &amp; Consumer Services</w:t>
      </w:r>
      <w:r>
        <w:t>, Office of General Counsel, The Mayo Building, 407 S. Calhoun Street, Suite 520, Tallahassee, Florida 32399-0800</w:t>
      </w:r>
    </w:p>
    <w:p w:rsidR="00AA1DE9" w:rsidRPr="00847122" w:rsidRDefault="00AA1DE9" w:rsidP="00AA1DE9">
      <w:pPr>
        <w:ind w:left="1440" w:hanging="720"/>
        <w:jc w:val="both"/>
      </w:pPr>
      <w:r>
        <w:tab/>
      </w:r>
      <w:proofErr w:type="gramStart"/>
      <w:r>
        <w:rPr>
          <w:u w:val="single"/>
        </w:rPr>
        <w:t>On behalf of the Florida Department of Agriculture &amp; Consumer Services (FDACS)</w:t>
      </w:r>
      <w:r>
        <w:t>.</w:t>
      </w:r>
      <w:proofErr w:type="gramEnd"/>
    </w:p>
    <w:p w:rsidR="00AA1DE9" w:rsidRPr="00701945" w:rsidRDefault="00AA1DE9" w:rsidP="00AA1DE9">
      <w:pPr>
        <w:ind w:left="1440"/>
        <w:jc w:val="both"/>
      </w:pPr>
      <w:r>
        <w:lastRenderedPageBreak/>
        <w:t>BRADLEY MARSHALL, BONNIE MALLOY, and JORDAN LUEBKEMANN, ESQUIRES, Earthjustice, 111 S. Martin Luther King Jr. Boulevard, Tallahassee, Florida 32301, and GEORGE CAVROS, ESQUIRE, Southern Alliance for Clean Energy, 120 E. Oakland Park Blvd., Suite 105, Fort Lauderdale, Florida 33334</w:t>
      </w:r>
    </w:p>
    <w:p w:rsidR="00AA1DE9" w:rsidRDefault="00AA1DE9" w:rsidP="00AA1DE9">
      <w:pPr>
        <w:ind w:left="1440" w:hanging="720"/>
        <w:jc w:val="both"/>
      </w:pPr>
      <w:r>
        <w:tab/>
      </w:r>
      <w:proofErr w:type="gramStart"/>
      <w:r w:rsidRPr="00701945">
        <w:rPr>
          <w:u w:val="single"/>
        </w:rPr>
        <w:t>On behalf of</w:t>
      </w:r>
      <w:r>
        <w:rPr>
          <w:u w:val="single"/>
        </w:rPr>
        <w:t xml:space="preserve"> Southern Alliance for Clean Energy (SACE)</w:t>
      </w:r>
      <w:r w:rsidRPr="00701945">
        <w:t>.</w:t>
      </w:r>
      <w:proofErr w:type="gramEnd"/>
    </w:p>
    <w:p w:rsidR="00AA1DE9" w:rsidRDefault="00AA1DE9" w:rsidP="00AA1DE9">
      <w:pPr>
        <w:ind w:left="1440" w:hanging="720"/>
        <w:jc w:val="both"/>
      </w:pPr>
    </w:p>
    <w:p w:rsidR="00AA1DE9" w:rsidRPr="00701945" w:rsidRDefault="00AA1DE9" w:rsidP="00AA1DE9">
      <w:pPr>
        <w:ind w:left="1440"/>
        <w:jc w:val="both"/>
      </w:pPr>
      <w:r>
        <w:t>BRADLEY MARSHALL, BONNIE MALLOY, and JORDAN LUEBKEMANN, ESQUIRES, Earthjustice, 111 S. Martin Luther King Jr. Boulevard, Tallahassee, Florida 32301</w:t>
      </w:r>
    </w:p>
    <w:p w:rsidR="00AA1DE9" w:rsidRDefault="00AA1DE9" w:rsidP="00AA1DE9">
      <w:pPr>
        <w:ind w:left="1440"/>
        <w:jc w:val="both"/>
      </w:pPr>
      <w:proofErr w:type="gramStart"/>
      <w:r w:rsidRPr="00701945">
        <w:rPr>
          <w:u w:val="single"/>
        </w:rPr>
        <w:t>On behalf of</w:t>
      </w:r>
      <w:r>
        <w:rPr>
          <w:u w:val="single"/>
        </w:rPr>
        <w:t xml:space="preserve"> Florida League of United Latin American Citizens also known as LULAC Florida Corp. (LULAC)</w:t>
      </w:r>
      <w:r>
        <w:t>.</w:t>
      </w:r>
      <w:proofErr w:type="gramEnd"/>
    </w:p>
    <w:p w:rsidR="00AA1DE9" w:rsidRDefault="00AA1DE9" w:rsidP="00AA1DE9">
      <w:pPr>
        <w:ind w:left="1440" w:hanging="720"/>
        <w:jc w:val="both"/>
        <w:rPr>
          <w:u w:val="single"/>
        </w:rPr>
      </w:pPr>
    </w:p>
    <w:p w:rsidR="00AA1DE9" w:rsidRDefault="0028487F" w:rsidP="00AA1DE9">
      <w:pPr>
        <w:ind w:left="1440"/>
        <w:jc w:val="both"/>
      </w:pPr>
      <w:r>
        <w:t>JAMES W. BREW</w:t>
      </w:r>
      <w:r w:rsidR="00AA1DE9">
        <w:t xml:space="preserve"> and LAURA A. WYNN, ESQUIRES, Stone Mattheis Xenopoulos &amp; Brew, PC, 1025 Thomas Jefferson Street, NW, Eighth Floor, West Tower, Washington, D.C. 20007</w:t>
      </w:r>
    </w:p>
    <w:p w:rsidR="00AA1DE9" w:rsidRDefault="00AA1DE9" w:rsidP="00AA1DE9">
      <w:pPr>
        <w:ind w:left="1440" w:hanging="720"/>
        <w:jc w:val="both"/>
      </w:pPr>
      <w:r>
        <w:tab/>
      </w:r>
      <w:r>
        <w:rPr>
          <w:u w:val="single"/>
        </w:rPr>
        <w:t>On behalf of White Springs Agricultural Chemicals, Inc. d/b/a PCS Phosphate – White Springs (PCS)</w:t>
      </w:r>
      <w:r>
        <w:t>.</w:t>
      </w:r>
    </w:p>
    <w:p w:rsidR="009D2D00" w:rsidRDefault="009D2D00" w:rsidP="00AA1DE9">
      <w:pPr>
        <w:ind w:left="1440" w:hanging="720"/>
        <w:jc w:val="both"/>
      </w:pPr>
    </w:p>
    <w:p w:rsidR="009D2D00" w:rsidRDefault="009D2D00" w:rsidP="009D2D00">
      <w:pPr>
        <w:ind w:left="1440"/>
        <w:jc w:val="both"/>
      </w:pPr>
      <w:r>
        <w:t>STEPHANIE U. EATON, ESQUIRE, Spilman Thomas &amp; Battle PLLC, 110 Oakwood Drive, Suite 500, Winston-Salem, NC 27103, and DERRICK PRICE WILLIAMSON, and BARRY A. NAUM, ESQUIRES, Spilman Thomas &amp; Battle PLLC, 1100 Bent Creek Boulevard, Suite 101, Mechanicsburg, PA 17050</w:t>
      </w:r>
    </w:p>
    <w:p w:rsidR="009D2D00" w:rsidRPr="009D2D00" w:rsidRDefault="009D2D00" w:rsidP="009D2D00">
      <w:pPr>
        <w:ind w:left="1440" w:hanging="720"/>
        <w:jc w:val="both"/>
      </w:pPr>
      <w:r>
        <w:tab/>
      </w:r>
      <w:proofErr w:type="gramStart"/>
      <w:r>
        <w:rPr>
          <w:u w:val="single"/>
        </w:rPr>
        <w:t>On behalf of Walm</w:t>
      </w:r>
      <w:r w:rsidRPr="00810842">
        <w:rPr>
          <w:u w:val="single"/>
        </w:rPr>
        <w:t>art, Inc.</w:t>
      </w:r>
      <w:r>
        <w:rPr>
          <w:u w:val="single"/>
        </w:rPr>
        <w:t xml:space="preserve"> (WALMART)</w:t>
      </w:r>
      <w:r>
        <w:t>.</w:t>
      </w:r>
      <w:proofErr w:type="gramEnd"/>
    </w:p>
    <w:p w:rsidR="00AA1DE9" w:rsidRDefault="00AA1DE9" w:rsidP="00AA1DE9">
      <w:pPr>
        <w:ind w:left="1440" w:hanging="720"/>
        <w:jc w:val="both"/>
        <w:rPr>
          <w:u w:val="single"/>
        </w:rPr>
      </w:pPr>
    </w:p>
    <w:p w:rsidR="00AA1DE9" w:rsidRDefault="00AA1DE9" w:rsidP="00AA1DE9">
      <w:pPr>
        <w:ind w:left="1440" w:hanging="720"/>
        <w:jc w:val="both"/>
      </w:pPr>
      <w:r>
        <w:tab/>
      </w:r>
      <w:r w:rsidR="0028487F">
        <w:t xml:space="preserve">JON C. MOYLE, JR. and </w:t>
      </w:r>
      <w:r>
        <w:t>KAREN A. PUTNAL, ESQUIRES, Moyle Law Firm, P.A., 118 North Gadsden Street, Tallahassee, Florida 32301</w:t>
      </w:r>
    </w:p>
    <w:p w:rsidR="00AA1DE9" w:rsidRPr="00847122" w:rsidRDefault="00AA1DE9" w:rsidP="00AA1DE9">
      <w:pPr>
        <w:ind w:left="1440" w:hanging="720"/>
        <w:jc w:val="both"/>
      </w:pPr>
      <w:r w:rsidRPr="0012596D">
        <w:tab/>
      </w:r>
      <w:proofErr w:type="gramStart"/>
      <w:r w:rsidRPr="0012596D">
        <w:rPr>
          <w:u w:val="single"/>
        </w:rPr>
        <w:t>On behalf of Florida Industrial Power Users Group (FIPUG)</w:t>
      </w:r>
      <w:r>
        <w:t>.</w:t>
      </w:r>
      <w:proofErr w:type="gramEnd"/>
    </w:p>
    <w:p w:rsidR="00AA1DE9" w:rsidRPr="00701945" w:rsidRDefault="00AA1DE9" w:rsidP="00AA1DE9">
      <w:pPr>
        <w:jc w:val="both"/>
      </w:pPr>
    </w:p>
    <w:p w:rsidR="00AA1DE9" w:rsidRPr="00701945" w:rsidRDefault="00AA1DE9" w:rsidP="00AA1DE9">
      <w:pPr>
        <w:ind w:left="1440"/>
        <w:jc w:val="both"/>
      </w:pPr>
      <w:r>
        <w:t>MARGO A. DUVAL, ASHLEY WEISENFELD, RACHAEL DZIECHCIARZ</w:t>
      </w:r>
      <w:r w:rsidRPr="00701945">
        <w:t xml:space="preserve">, </w:t>
      </w:r>
      <w:r>
        <w:t xml:space="preserve">CHARLES W. MURPHY, and ANDREW KING, ESQUIRES, </w:t>
      </w:r>
      <w:r w:rsidRPr="00701945">
        <w:t>Florida Public Service Commission, 2540 Shumard Oak Boulevard, Tallahassee, Florida 32399-0850</w:t>
      </w:r>
    </w:p>
    <w:p w:rsidR="00AA1DE9" w:rsidRPr="00701945" w:rsidRDefault="00AA1DE9" w:rsidP="00AA1DE9">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AA1DE9" w:rsidRPr="00701945" w:rsidRDefault="00AA1DE9" w:rsidP="00AA1DE9">
      <w:pPr>
        <w:jc w:val="both"/>
      </w:pPr>
    </w:p>
    <w:p w:rsidR="00AA1DE9" w:rsidRPr="00701945" w:rsidRDefault="00AA1DE9" w:rsidP="00AA1DE9">
      <w:pPr>
        <w:ind w:left="1440"/>
        <w:jc w:val="both"/>
      </w:pPr>
      <w:r>
        <w:t>MARY ANNE HELTON, ESQUIRE, Deputy General Counsel,</w:t>
      </w:r>
      <w:r w:rsidRPr="00701945">
        <w:t xml:space="preserve"> Florida Public Service Commission, 2540 Shumard Oak Boulevard, Tallahassee, Florida 32399-0850</w:t>
      </w:r>
    </w:p>
    <w:p w:rsidR="00AA1DE9" w:rsidRDefault="00AA1DE9" w:rsidP="00AA1DE9">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AA1DE9" w:rsidRPr="00D033EB" w:rsidRDefault="00AA1DE9" w:rsidP="00AA1DE9">
      <w:pPr>
        <w:jc w:val="both"/>
        <w:rPr>
          <w:b/>
          <w:bCs/>
          <w:u w:val="single"/>
        </w:rPr>
      </w:pPr>
    </w:p>
    <w:p w:rsidR="00E3198A" w:rsidRDefault="00AA1DE9" w:rsidP="00AA1DE9">
      <w:pPr>
        <w:ind w:left="1440"/>
        <w:jc w:val="both"/>
      </w:pPr>
      <w:r w:rsidRPr="00D033EB">
        <w:t>K</w:t>
      </w:r>
      <w:r>
        <w:t>EITH C. HETRICK</w:t>
      </w:r>
      <w:r w:rsidRPr="00D033EB">
        <w:t>, ESQUIRE, General Counsel, Florida Public Service Commission, 2540 Shumard Oak Boulevard, Tallahassee, Florida 32399-0850</w:t>
      </w:r>
      <w:r>
        <w:t xml:space="preserve"> </w:t>
      </w:r>
      <w:r w:rsidRPr="00D033EB">
        <w:rPr>
          <w:u w:val="single"/>
        </w:rPr>
        <w:t>Florida Public Service Commission General Counsel</w:t>
      </w:r>
      <w:r>
        <w:t>.</w:t>
      </w:r>
    </w:p>
    <w:p w:rsidR="00AA1DE9" w:rsidRDefault="00AA1DE9" w:rsidP="00AA1DE9">
      <w:pPr>
        <w:ind w:left="1440"/>
        <w:jc w:val="both"/>
      </w:pPr>
    </w:p>
    <w:p w:rsidR="00AA1DE9" w:rsidRDefault="00AA1DE9" w:rsidP="00AA1DE9">
      <w:pPr>
        <w:ind w:left="1440"/>
        <w:jc w:val="both"/>
      </w:pPr>
    </w:p>
    <w:p w:rsidR="00E3198A" w:rsidRDefault="00AA1DE9" w:rsidP="00E3198A">
      <w:pPr>
        <w:pStyle w:val="CenterUnderline"/>
      </w:pPr>
      <w:bookmarkStart w:id="5" w:name="OrderTitle"/>
      <w:r>
        <w:lastRenderedPageBreak/>
        <w:t>FINAL ORDER APPROVING NUMERIC CONSERVATION GOALS</w:t>
      </w:r>
      <w:r w:rsidR="00E3198A">
        <w:t xml:space="preserve"> </w:t>
      </w:r>
      <w:bookmarkEnd w:id="5"/>
    </w:p>
    <w:p w:rsidR="00E3198A" w:rsidRDefault="00E3198A" w:rsidP="00E3198A">
      <w:pPr>
        <w:pStyle w:val="CenterUnderline"/>
      </w:pPr>
    </w:p>
    <w:p w:rsidR="00E3198A" w:rsidRDefault="00E3198A" w:rsidP="00E3198A">
      <w:pPr>
        <w:pStyle w:val="OrderBody"/>
      </w:pPr>
      <w:r>
        <w:t>BY THE COMMISSION:</w:t>
      </w:r>
    </w:p>
    <w:p w:rsidR="00E3198A" w:rsidRDefault="00E3198A" w:rsidP="00E3198A">
      <w:pPr>
        <w:pStyle w:val="OrderBody"/>
      </w:pPr>
    </w:p>
    <w:p w:rsidR="00E3198A" w:rsidRPr="008C360C" w:rsidRDefault="00E3198A" w:rsidP="00E3198A">
      <w:pPr>
        <w:keepNext/>
        <w:spacing w:after="240"/>
        <w:jc w:val="center"/>
        <w:outlineLvl w:val="0"/>
        <w:rPr>
          <w:bCs/>
          <w:kern w:val="32"/>
          <w:szCs w:val="32"/>
          <w:u w:val="single"/>
        </w:rPr>
      </w:pPr>
      <w:bookmarkStart w:id="6" w:name="OrderText"/>
      <w:bookmarkEnd w:id="6"/>
      <w:r w:rsidRPr="008C360C">
        <w:rPr>
          <w:bCs/>
          <w:kern w:val="32"/>
          <w:szCs w:val="32"/>
          <w:u w:val="single"/>
        </w:rPr>
        <w:t>Background</w:t>
      </w:r>
    </w:p>
    <w:p w:rsidR="00D97C63" w:rsidRDefault="00E3198A" w:rsidP="00E3198A">
      <w:pPr>
        <w:spacing w:after="240"/>
        <w:jc w:val="both"/>
      </w:pPr>
      <w:r>
        <w:tab/>
      </w:r>
      <w:r w:rsidR="00D97C63">
        <w:t xml:space="preserve">Enacted in 1980, </w:t>
      </w:r>
      <w:r w:rsidRPr="00E3198A">
        <w:t>Sections 366.80 through 366.8</w:t>
      </w:r>
      <w:r w:rsidR="000F1C1A">
        <w:t>3</w:t>
      </w:r>
      <w:r w:rsidRPr="00E3198A">
        <w:t xml:space="preserve">, and 403.519, Florida Statutes (F.S.), are known collectively as the Florida Energy Efficiency and Conservation Act (FEECA). </w:t>
      </w:r>
      <w:r w:rsidR="00D97C63">
        <w:t>FEECA initially required us to adopt conservation goals to increase the efficiency of energy consumption. In 2008, the Legislature further required us to adopt conservation goals to increase the development of demand-side renewable energy systems.</w:t>
      </w:r>
      <w:r w:rsidR="00D97C63" w:rsidRPr="00D97C63">
        <w:t xml:space="preserve"> </w:t>
      </w:r>
      <w:r w:rsidR="00D97C63" w:rsidRPr="00E3198A">
        <w:t xml:space="preserve">Pursuant to Section 366.82(6), F.S., </w:t>
      </w:r>
      <w:r w:rsidR="00D97C63">
        <w:t>we</w:t>
      </w:r>
      <w:r w:rsidR="00D97C63" w:rsidRPr="00E3198A">
        <w:t xml:space="preserve"> must review the conservation goals of each utility subject to FEECA at least every five years.</w:t>
      </w:r>
    </w:p>
    <w:p w:rsidR="00E3198A" w:rsidRPr="00E3198A" w:rsidRDefault="00E3198A" w:rsidP="00D97C63">
      <w:pPr>
        <w:spacing w:after="240"/>
        <w:ind w:firstLine="720"/>
        <w:jc w:val="both"/>
      </w:pPr>
      <w:r w:rsidRPr="00E3198A">
        <w:t xml:space="preserve">The seven electric utilities subject to FEECA, collectively known as the FEECA Utilities, are Florida Power &amp; Light Company (FPL), Duke Energy Florida, LLC (DEF), Tampa Electric Company (TECO), Gulf Power Company (Gulf), Florida Public Utilities Company (FPUC), JEA, and Orlando Utilities Commission (OUC). Conservation goals were last established for the FEECA Utilities by Order No. </w:t>
      </w:r>
      <w:proofErr w:type="gramStart"/>
      <w:r w:rsidRPr="00E3198A">
        <w:t>PSC-14-0696-FOF-EU (2014 Goalsetting Order), issued December 16, 2014.</w:t>
      </w:r>
      <w:proofErr w:type="gramEnd"/>
      <w:r w:rsidRPr="00E3198A">
        <w:rPr>
          <w:vertAlign w:val="superscript"/>
        </w:rPr>
        <w:footnoteReference w:id="1"/>
      </w:r>
      <w:r w:rsidRPr="00E3198A">
        <w:t xml:space="preserve"> Therefore, new goals must be established by January 2020.</w:t>
      </w:r>
    </w:p>
    <w:p w:rsidR="00E3198A" w:rsidRPr="00E3198A" w:rsidRDefault="00E3198A" w:rsidP="00E3198A">
      <w:pPr>
        <w:spacing w:after="240"/>
        <w:jc w:val="both"/>
      </w:pPr>
      <w:r>
        <w:tab/>
      </w:r>
      <w:r w:rsidRPr="00E3198A">
        <w:t xml:space="preserve">Informal meetings were held on June 20 and October 24, 2018, with the FEECA Utilities and interested parties to discuss the current numeric goals proceeding. In an effort to streamline and reduce the need for discovery, </w:t>
      </w:r>
      <w:r w:rsidR="003332EC">
        <w:t xml:space="preserve">our </w:t>
      </w:r>
      <w:r w:rsidRPr="00E3198A">
        <w:t>staff recommended</w:t>
      </w:r>
      <w:r w:rsidR="00A03C3D">
        <w:t>,</w:t>
      </w:r>
      <w:r w:rsidRPr="00E3198A">
        <w:t xml:space="preserve"> and the parties agreed</w:t>
      </w:r>
      <w:proofErr w:type="gramStart"/>
      <w:r w:rsidR="00A03C3D">
        <w:t>,</w:t>
      </w:r>
      <w:proofErr w:type="gramEnd"/>
      <w:r w:rsidRPr="00E3198A">
        <w:t xml:space="preserve"> to perform a new technical potential study. Further, parties discussed minimum testimony requirements and what level of analysis could be reasonably conducted by the parties within the timeframe of the dockets. On January 15, 2019, seven dockets were established to set numeric conservation goals for each of the FEECA Utilities, the sixth such proceeding.</w:t>
      </w:r>
    </w:p>
    <w:p w:rsidR="00E3198A" w:rsidRPr="00E3198A" w:rsidRDefault="00E3198A" w:rsidP="00E3198A">
      <w:pPr>
        <w:spacing w:after="240"/>
        <w:jc w:val="both"/>
      </w:pPr>
      <w:r>
        <w:tab/>
      </w:r>
      <w:proofErr w:type="gramStart"/>
      <w:r w:rsidRPr="00E3198A">
        <w:t>By Order No.</w:t>
      </w:r>
      <w:proofErr w:type="gramEnd"/>
      <w:r w:rsidRPr="00E3198A">
        <w:t xml:space="preserve"> PSC-2019-0062-PCO-EG (Order Establishing Procedure or OEP), issued February 18, 2019, the dockets for each of the FEECA Utilities were consolidated for purposes o</w:t>
      </w:r>
      <w:r w:rsidR="00A03C3D">
        <w:t>f hearing and controlling dates</w:t>
      </w:r>
      <w:r w:rsidRPr="00E3198A">
        <w:t xml:space="preserve"> and a tentative list of issues w</w:t>
      </w:r>
      <w:r w:rsidR="00FF2E22">
        <w:t>as</w:t>
      </w:r>
      <w:r w:rsidRPr="00E3198A">
        <w:t xml:space="preserve"> established. The OEP also established minimum testimony requirements for the FEECA Utilities, in order to further streamline the process. For example, the FEECA Utilities were required to provide a base case scenario that included the effect of free-ridership and did not include costs associated with the regulation of carbon dioxide (CO</w:t>
      </w:r>
      <w:r w:rsidRPr="00E3198A">
        <w:rPr>
          <w:vertAlign w:val="subscript"/>
        </w:rPr>
        <w:t>2</w:t>
      </w:r>
      <w:r w:rsidRPr="00E3198A">
        <w:t>) emissions.</w:t>
      </w:r>
      <w:r w:rsidR="00FF2E22" w:rsidRPr="00FF2E22">
        <w:t xml:space="preserve"> </w:t>
      </w:r>
      <w:r w:rsidR="00FF2E22">
        <w:t>In their filings, the FEECA Utilities requested residential and commercial/industrial goals for the ten-year period, 2020-2029, as reflected in Attachment A.</w:t>
      </w:r>
    </w:p>
    <w:p w:rsidR="00E3198A" w:rsidRPr="00E3198A" w:rsidRDefault="00E3198A" w:rsidP="00E3198A">
      <w:pPr>
        <w:spacing w:after="240"/>
        <w:jc w:val="both"/>
      </w:pPr>
      <w:r>
        <w:lastRenderedPageBreak/>
        <w:tab/>
      </w:r>
      <w:r w:rsidR="003332EC">
        <w:t>We</w:t>
      </w:r>
      <w:r w:rsidRPr="00E3198A">
        <w:t xml:space="preserve"> acknowledged the intervention of the Office of Public Counsel (OPC) on February 26, 2019.</w:t>
      </w:r>
      <w:r w:rsidRPr="00E3198A">
        <w:rPr>
          <w:vertAlign w:val="superscript"/>
        </w:rPr>
        <w:footnoteReference w:id="2"/>
      </w:r>
      <w:r w:rsidRPr="00E3198A">
        <w:t xml:space="preserve"> The Southern Alliance for Clean Energy (SACE) was granted leave to intervene on April 17, 2019.</w:t>
      </w:r>
      <w:r w:rsidRPr="00E3198A">
        <w:rPr>
          <w:vertAlign w:val="superscript"/>
        </w:rPr>
        <w:footnoteReference w:id="3"/>
      </w:r>
      <w:r w:rsidRPr="00E3198A">
        <w:t xml:space="preserve"> </w:t>
      </w:r>
      <w:r w:rsidR="003332EC">
        <w:t>We acknowledged the intervention of t</w:t>
      </w:r>
      <w:r w:rsidRPr="00E3198A">
        <w:t>he Florida Department of Agriculture and Consumer Services (FDACS) on April 23, 2019.</w:t>
      </w:r>
      <w:r w:rsidRPr="00E3198A">
        <w:rPr>
          <w:vertAlign w:val="superscript"/>
        </w:rPr>
        <w:footnoteReference w:id="4"/>
      </w:r>
      <w:r w:rsidRPr="00E3198A">
        <w:t xml:space="preserve"> The Florida Industrial Power Users Group (FIPUG) was granted leave to intervene on May 22, 2019.</w:t>
      </w:r>
      <w:r w:rsidRPr="00E3198A">
        <w:rPr>
          <w:vertAlign w:val="superscript"/>
        </w:rPr>
        <w:footnoteReference w:id="5"/>
      </w:r>
      <w:r w:rsidR="00667C50">
        <w:t xml:space="preserve"> White Springs Agricultural</w:t>
      </w:r>
      <w:r w:rsidRPr="00E3198A">
        <w:t xml:space="preserve"> Chemicals, Inc. d/b/a PCS Phosphate – White Springs (PCS)</w:t>
      </w:r>
      <w:r w:rsidR="00667C50">
        <w:t xml:space="preserve"> and </w:t>
      </w:r>
      <w:r w:rsidR="00667C50" w:rsidRPr="00E3198A">
        <w:t>Walmart Inc. (Walmart)</w:t>
      </w:r>
      <w:r w:rsidR="00667C50">
        <w:t xml:space="preserve"> were</w:t>
      </w:r>
      <w:r w:rsidRPr="00E3198A">
        <w:t xml:space="preserve"> granted leave to intervene on May 23, 2019.</w:t>
      </w:r>
      <w:r w:rsidRPr="00E3198A">
        <w:rPr>
          <w:vertAlign w:val="superscript"/>
        </w:rPr>
        <w:footnoteReference w:id="6"/>
      </w:r>
      <w:r w:rsidR="00667C50">
        <w:t xml:space="preserve"> </w:t>
      </w:r>
      <w:r w:rsidRPr="00E3198A">
        <w:rPr>
          <w:vertAlign w:val="superscript"/>
        </w:rPr>
        <w:footnoteReference w:id="7"/>
      </w:r>
      <w:r w:rsidRPr="00E3198A">
        <w:t xml:space="preserve"> The Florida League of United Latin American Citizens</w:t>
      </w:r>
      <w:r w:rsidR="00667C50">
        <w:t xml:space="preserve"> also known as LULAC Florida Corp.</w:t>
      </w:r>
      <w:r w:rsidRPr="00E3198A">
        <w:t xml:space="preserve"> (LULAC) was granted leave to intervene on July 25, 2019.</w:t>
      </w:r>
      <w:r w:rsidRPr="00E3198A">
        <w:rPr>
          <w:vertAlign w:val="superscript"/>
        </w:rPr>
        <w:footnoteReference w:id="8"/>
      </w:r>
    </w:p>
    <w:p w:rsidR="00CB5276" w:rsidRDefault="00E3198A" w:rsidP="00E3198A">
      <w:pPr>
        <w:pStyle w:val="OrderBody"/>
      </w:pPr>
      <w:r>
        <w:tab/>
      </w:r>
      <w:r w:rsidR="003332EC">
        <w:t>We</w:t>
      </w:r>
      <w:r w:rsidRPr="00E3198A">
        <w:t xml:space="preserve"> held an evidentiary hearing</w:t>
      </w:r>
      <w:r w:rsidR="003332EC">
        <w:t xml:space="preserve"> in this matter</w:t>
      </w:r>
      <w:r w:rsidRPr="00E3198A">
        <w:t xml:space="preserve"> on August 12 and 13, 2019. </w:t>
      </w:r>
      <w:r w:rsidR="003332EC">
        <w:t>We have</w:t>
      </w:r>
      <w:r w:rsidRPr="00E3198A">
        <w:t xml:space="preserve"> jurisdiction pursuant to Sections 366.80 through 366.82, F.S.</w:t>
      </w:r>
    </w:p>
    <w:p w:rsidR="00D57E57" w:rsidRDefault="00D57E57" w:rsidP="00D57E57"/>
    <w:p w:rsidR="003C2DC3" w:rsidRPr="008C360C" w:rsidRDefault="003C2DC3" w:rsidP="003C2DC3">
      <w:pPr>
        <w:keepNext/>
        <w:spacing w:after="240"/>
        <w:jc w:val="center"/>
        <w:outlineLvl w:val="0"/>
        <w:rPr>
          <w:bCs/>
          <w:kern w:val="32"/>
          <w:szCs w:val="32"/>
          <w:u w:val="single"/>
        </w:rPr>
      </w:pPr>
      <w:bookmarkStart w:id="7" w:name="DiscussionOfIssues"/>
      <w:r w:rsidRPr="008C360C">
        <w:rPr>
          <w:bCs/>
          <w:kern w:val="32"/>
          <w:szCs w:val="32"/>
          <w:u w:val="single"/>
        </w:rPr>
        <w:t>D</w:t>
      </w:r>
      <w:r w:rsidR="00CC13AC" w:rsidRPr="008C360C">
        <w:rPr>
          <w:bCs/>
          <w:kern w:val="32"/>
          <w:szCs w:val="32"/>
          <w:u w:val="single"/>
        </w:rPr>
        <w:t>ecision</w:t>
      </w:r>
    </w:p>
    <w:bookmarkEnd w:id="7"/>
    <w:p w:rsidR="00D20F0F" w:rsidRDefault="00D20F0F" w:rsidP="005A4942">
      <w:pPr>
        <w:jc w:val="both"/>
      </w:pPr>
      <w:r>
        <w:tab/>
        <w:t xml:space="preserve">Section 366.82(2), F.S., </w:t>
      </w:r>
      <w:r w:rsidR="005A4942">
        <w:t xml:space="preserve">requires us to adopt appropriate goals for increasing the efficiency of energy consumption and increasing the development of demand-side renewable energy systems. We fulfill this duty by adopting </w:t>
      </w:r>
      <w:r w:rsidR="006D19EC">
        <w:t>residential</w:t>
      </w:r>
      <w:r w:rsidR="00914050">
        <w:t xml:space="preserve"> and</w:t>
      </w:r>
      <w:r w:rsidR="006D19EC">
        <w:t xml:space="preserve"> commercial/industrial</w:t>
      </w:r>
      <w:r w:rsidR="00914050">
        <w:t xml:space="preserve"> goals</w:t>
      </w:r>
      <w:r w:rsidR="006D19EC">
        <w:t xml:space="preserve"> and demand-side renewable energy </w:t>
      </w:r>
      <w:r w:rsidR="005A4942">
        <w:t>goals for each of the FEECA Utilities</w:t>
      </w:r>
      <w:r w:rsidR="006D19EC">
        <w:t>.</w:t>
      </w:r>
      <w:r w:rsidR="007411D6">
        <w:t xml:space="preserve"> </w:t>
      </w:r>
    </w:p>
    <w:p w:rsidR="00D20F0F" w:rsidRDefault="00D20F0F" w:rsidP="00DD69A8"/>
    <w:p w:rsidR="000D5256" w:rsidRPr="008C360C" w:rsidRDefault="000D5256" w:rsidP="00DD69A8">
      <w:r w:rsidRPr="008C360C">
        <w:t>I. Residential and Commercial/Industrial Goals</w:t>
      </w:r>
    </w:p>
    <w:p w:rsidR="000D5256" w:rsidRPr="00D35B86" w:rsidRDefault="000D5256" w:rsidP="00DD69A8"/>
    <w:p w:rsidR="000E70EB" w:rsidRDefault="000E70EB" w:rsidP="000E70EB">
      <w:pPr>
        <w:ind w:firstLine="720"/>
        <w:jc w:val="both"/>
      </w:pPr>
      <w:r>
        <w:t>Although the evidence and arguments</w:t>
      </w:r>
      <w:r w:rsidR="00D20F0F">
        <w:t xml:space="preserve"> presented</w:t>
      </w:r>
      <w:r>
        <w:t xml:space="preserve"> in this proceeding indicate that </w:t>
      </w:r>
      <w:r w:rsidR="00D869C3">
        <w:t xml:space="preserve">it is necessary to </w:t>
      </w:r>
      <w:r w:rsidR="004020C7">
        <w:t>revisit</w:t>
      </w:r>
      <w:r w:rsidR="00D869C3">
        <w:t xml:space="preserve"> the</w:t>
      </w:r>
      <w:r>
        <w:t xml:space="preserve"> FEECA process, we r</w:t>
      </w:r>
      <w:r w:rsidR="00983779">
        <w:t>ecogniz</w:t>
      </w:r>
      <w:r>
        <w:t>e</w:t>
      </w:r>
      <w:r w:rsidR="00983779">
        <w:t xml:space="preserve"> our responsibility to review the FEECA Utilities’ goals</w:t>
      </w:r>
      <w:r w:rsidR="00515ECA" w:rsidRPr="00E3198A">
        <w:t xml:space="preserve"> at l</w:t>
      </w:r>
      <w:r w:rsidR="00983779">
        <w:t>east every five years</w:t>
      </w:r>
      <w:r>
        <w:t>.</w:t>
      </w:r>
      <w:r w:rsidR="00515ECA">
        <w:t xml:space="preserve"> </w:t>
      </w:r>
      <w:r w:rsidR="00C3652A">
        <w:t>Section 366.82(3), F.S., and Rule 25-17.0021, Florida Administrative Code</w:t>
      </w:r>
      <w:r w:rsidR="00A60210">
        <w:t xml:space="preserve"> (F.A.C.)</w:t>
      </w:r>
      <w:r w:rsidR="00C3652A">
        <w:t xml:space="preserve">, Goals for Electric Utilities, outline the multiple factors we must consider when </w:t>
      </w:r>
      <w:r w:rsidR="006235AA">
        <w:t>developing</w:t>
      </w:r>
      <w:r>
        <w:t xml:space="preserve"> conservation goals.</w:t>
      </w:r>
    </w:p>
    <w:p w:rsidR="000E70EB" w:rsidRDefault="000E70EB" w:rsidP="000E70EB">
      <w:pPr>
        <w:ind w:firstLine="720"/>
        <w:jc w:val="both"/>
      </w:pPr>
    </w:p>
    <w:p w:rsidR="00D52466" w:rsidRDefault="008A1F5D" w:rsidP="000E70EB">
      <w:pPr>
        <w:ind w:firstLine="720"/>
        <w:jc w:val="both"/>
      </w:pPr>
      <w:r>
        <w:t xml:space="preserve">We have </w:t>
      </w:r>
      <w:r w:rsidR="004020C7">
        <w:t>completed our statutorily required review</w:t>
      </w:r>
      <w:r>
        <w:t xml:space="preserve"> and </w:t>
      </w:r>
      <w:r w:rsidR="00095BD3">
        <w:t xml:space="preserve">considered the points </w:t>
      </w:r>
      <w:r>
        <w:t>set forth in the statute and our rule.</w:t>
      </w:r>
      <w:r w:rsidR="004020C7">
        <w:t xml:space="preserve"> </w:t>
      </w:r>
      <w:r>
        <w:t>H</w:t>
      </w:r>
      <w:r w:rsidR="00D52466">
        <w:t xml:space="preserve">aving heard evidence </w:t>
      </w:r>
      <w:r w:rsidR="00F75106">
        <w:t xml:space="preserve">and arguments </w:t>
      </w:r>
      <w:r w:rsidR="00D52466">
        <w:t>in this 2019 proceeding</w:t>
      </w:r>
      <w:r>
        <w:t xml:space="preserve">, </w:t>
      </w:r>
      <w:r w:rsidR="00D52466">
        <w:t>we find that it is in the public interest to continue with the goals</w:t>
      </w:r>
      <w:r w:rsidR="00944BF2">
        <w:t xml:space="preserve"> set in the </w:t>
      </w:r>
      <w:r w:rsidR="0020789E">
        <w:t>last</w:t>
      </w:r>
      <w:r w:rsidR="00852AD7">
        <w:t xml:space="preserve"> FEECA</w:t>
      </w:r>
      <w:r w:rsidR="00D52466">
        <w:t xml:space="preserve"> proceeding</w:t>
      </w:r>
      <w:r w:rsidR="00F75106">
        <w:t xml:space="preserve"> pursuant to the 2014 Goalsetting Order.</w:t>
      </w:r>
      <w:r w:rsidR="00D52466">
        <w:t xml:space="preserve"> </w:t>
      </w:r>
      <w:r w:rsidR="00F75106">
        <w:t>The breakdown of annual goals</w:t>
      </w:r>
      <w:r w:rsidR="00FF2E22">
        <w:t xml:space="preserve"> that we set in 2014</w:t>
      </w:r>
      <w:r w:rsidR="00F75106">
        <w:t xml:space="preserve"> for each of the utilities</w:t>
      </w:r>
      <w:r w:rsidR="00467A86">
        <w:t xml:space="preserve"> that will carry forward</w:t>
      </w:r>
      <w:r w:rsidR="00F75106">
        <w:t xml:space="preserve"> is included in Attachment B. We will</w:t>
      </w:r>
      <w:r w:rsidR="00D52466">
        <w:t xml:space="preserve"> continue the review of the FEECA process </w:t>
      </w:r>
      <w:r w:rsidR="000B4369">
        <w:t>for potential</w:t>
      </w:r>
      <w:r w:rsidR="00D52466">
        <w:t xml:space="preserve"> revisions as may be appropriate for the forthcoming five-year period.</w:t>
      </w:r>
    </w:p>
    <w:p w:rsidR="006D19EC" w:rsidRDefault="006D19EC" w:rsidP="000E70EB">
      <w:pPr>
        <w:ind w:firstLine="720"/>
        <w:jc w:val="both"/>
        <w:rPr>
          <w:u w:val="single"/>
        </w:rPr>
      </w:pPr>
    </w:p>
    <w:p w:rsidR="00D97C63" w:rsidRDefault="00D97C63" w:rsidP="000E70EB">
      <w:pPr>
        <w:ind w:firstLine="720"/>
        <w:jc w:val="both"/>
        <w:rPr>
          <w:u w:val="single"/>
        </w:rPr>
      </w:pPr>
    </w:p>
    <w:p w:rsidR="008C0C54" w:rsidRDefault="00050035" w:rsidP="00DD69A8">
      <w:r w:rsidRPr="008C360C">
        <w:lastRenderedPageBreak/>
        <w:t>II. Demand-Side Renewable Energy Goals</w:t>
      </w:r>
    </w:p>
    <w:p w:rsidR="002E7712" w:rsidRDefault="002E7712" w:rsidP="00DD69A8"/>
    <w:p w:rsidR="00054524" w:rsidRDefault="002E7712" w:rsidP="00CB4BD2">
      <w:pPr>
        <w:jc w:val="both"/>
      </w:pPr>
      <w:r>
        <w:tab/>
      </w:r>
      <w:r w:rsidR="00CB4BD2">
        <w:t xml:space="preserve">FEECA defines demand-side renewable energy as a system located on a customer’s premises that uses Florida renewable energy resources to generate thermal or electric energy with the primary intent to offset all or part of the customer’s electricity requirements up to 2 megawatts. </w:t>
      </w:r>
      <w:r w:rsidR="00054524">
        <w:t>When developing goals</w:t>
      </w:r>
      <w:r w:rsidR="0028780A">
        <w:t xml:space="preserve"> to increase the development of demand-side renewable energy,</w:t>
      </w:r>
      <w:r w:rsidR="00054524" w:rsidRPr="00054524">
        <w:t xml:space="preserve"> </w:t>
      </w:r>
      <w:r w:rsidR="00054524">
        <w:t>we must consider the multiple factors outlined in Section 366.82(3), F.</w:t>
      </w:r>
      <w:r w:rsidR="00914050">
        <w:t>S., and Rule 25-17.0021, F.A.C., as measured against cost-effectiveness.</w:t>
      </w:r>
    </w:p>
    <w:p w:rsidR="00054524" w:rsidRDefault="00054524" w:rsidP="00CB4BD2">
      <w:pPr>
        <w:jc w:val="both"/>
      </w:pPr>
    </w:p>
    <w:p w:rsidR="00420AFB" w:rsidRDefault="002E002C" w:rsidP="00054524">
      <w:pPr>
        <w:ind w:firstLine="720"/>
        <w:jc w:val="both"/>
      </w:pPr>
      <w:r>
        <w:t>As required by statute, w</w:t>
      </w:r>
      <w:r w:rsidR="005A0C20">
        <w:t xml:space="preserve">e have </w:t>
      </w:r>
      <w:r>
        <w:t>completed our review of</w:t>
      </w:r>
      <w:r w:rsidR="005A0C20">
        <w:t xml:space="preserve"> the FEECA Utilities’ demand-side renewable energy goals</w:t>
      </w:r>
      <w:r>
        <w:t>.</w:t>
      </w:r>
      <w:r w:rsidR="005A0C20">
        <w:t xml:space="preserve"> </w:t>
      </w:r>
      <w:r w:rsidR="006D19EC">
        <w:t>Our</w:t>
      </w:r>
      <w:r w:rsidR="005A0C20">
        <w:t xml:space="preserve"> discussion and decision regarding the appropriate goals to set in this proceeding </w:t>
      </w:r>
      <w:r>
        <w:t>are</w:t>
      </w:r>
      <w:r w:rsidR="00054524">
        <w:t xml:space="preserve"> reflected</w:t>
      </w:r>
      <w:r w:rsidR="005A0C20">
        <w:t xml:space="preserve"> below.</w:t>
      </w:r>
    </w:p>
    <w:p w:rsidR="00420AFB" w:rsidRDefault="00420AFB" w:rsidP="00420AFB"/>
    <w:p w:rsidR="00E675EB" w:rsidRPr="008C360C" w:rsidRDefault="008C360C" w:rsidP="00420AFB">
      <w:pPr>
        <w:ind w:firstLine="720"/>
      </w:pPr>
      <w:r>
        <w:rPr>
          <w:bCs/>
          <w:kern w:val="32"/>
        </w:rPr>
        <w:t xml:space="preserve">A. </w:t>
      </w:r>
      <w:r w:rsidR="00E675EB" w:rsidRPr="008C360C">
        <w:t>A</w:t>
      </w:r>
      <w:r w:rsidR="00E675EB">
        <w:t>pplicable Law</w:t>
      </w:r>
    </w:p>
    <w:p w:rsidR="00E675EB" w:rsidRPr="00265556" w:rsidRDefault="00E675EB" w:rsidP="00E675EB">
      <w:pPr>
        <w:jc w:val="center"/>
        <w:rPr>
          <w:b/>
        </w:rPr>
      </w:pPr>
    </w:p>
    <w:p w:rsidR="00E675EB" w:rsidRPr="008C0C54" w:rsidRDefault="00E675EB" w:rsidP="00E675EB">
      <w:pPr>
        <w:spacing w:after="240"/>
        <w:jc w:val="both"/>
      </w:pPr>
      <w:r>
        <w:tab/>
      </w:r>
      <w:r w:rsidRPr="008C0C54">
        <w:t>Section 366.81, F.S., states:</w:t>
      </w:r>
    </w:p>
    <w:p w:rsidR="00E675EB" w:rsidRPr="008C0C54" w:rsidRDefault="00E675EB" w:rsidP="00E675EB">
      <w:pPr>
        <w:ind w:left="720" w:right="720"/>
        <w:jc w:val="both"/>
      </w:pPr>
      <w:r>
        <w:t>T</w:t>
      </w:r>
      <w:r w:rsidRPr="008C0C54">
        <w:t>he Legislature finds and declares that it is critical to utilize the most efficient and cost-effective demand-side renewable energy systems and conservation systems in order to protect the health, prosperity, and general welfare of the state and its citizens.</w:t>
      </w:r>
    </w:p>
    <w:p w:rsidR="00E675EB" w:rsidRDefault="00E675EB" w:rsidP="00E675EB">
      <w:pPr>
        <w:jc w:val="both"/>
      </w:pPr>
    </w:p>
    <w:p w:rsidR="00E675EB" w:rsidRPr="008C0C54" w:rsidRDefault="00E675EB" w:rsidP="00E675EB">
      <w:pPr>
        <w:spacing w:after="240"/>
        <w:jc w:val="both"/>
      </w:pPr>
      <w:r>
        <w:tab/>
        <w:t>* * *</w:t>
      </w:r>
    </w:p>
    <w:p w:rsidR="00E675EB" w:rsidRPr="008C0C54" w:rsidRDefault="00E675EB" w:rsidP="00E675EB">
      <w:pPr>
        <w:ind w:left="720" w:right="720"/>
        <w:jc w:val="both"/>
      </w:pPr>
      <w:r>
        <w:t>S</w:t>
      </w:r>
      <w:r w:rsidRPr="008C0C54">
        <w:t>ince solutions to our energy problems are complex, the Legislature intends that the use of solar energy, renewable energy sources, highly efficient systems, cogeneration, and load-control systems be encouraged.</w:t>
      </w:r>
    </w:p>
    <w:p w:rsidR="00E675EB" w:rsidRDefault="00E675EB" w:rsidP="008C360C">
      <w:pPr>
        <w:keepNext/>
        <w:ind w:firstLine="720"/>
        <w:outlineLvl w:val="0"/>
        <w:rPr>
          <w:bCs/>
          <w:kern w:val="32"/>
        </w:rPr>
      </w:pPr>
    </w:p>
    <w:p w:rsidR="00E675EB" w:rsidRPr="008C360C" w:rsidRDefault="008C360C" w:rsidP="00E675EB">
      <w:pPr>
        <w:keepNext/>
        <w:ind w:firstLine="720"/>
        <w:outlineLvl w:val="0"/>
        <w:rPr>
          <w:bCs/>
          <w:kern w:val="32"/>
        </w:rPr>
      </w:pPr>
      <w:r>
        <w:t xml:space="preserve">B. </w:t>
      </w:r>
      <w:r w:rsidR="00E675EB" w:rsidRPr="008C360C">
        <w:rPr>
          <w:bCs/>
          <w:kern w:val="32"/>
        </w:rPr>
        <w:t>Parties’ Arguments</w:t>
      </w:r>
    </w:p>
    <w:p w:rsidR="00E675EB" w:rsidRPr="00577323" w:rsidRDefault="00E675EB" w:rsidP="00E675EB">
      <w:pPr>
        <w:keepNext/>
        <w:jc w:val="center"/>
        <w:outlineLvl w:val="0"/>
        <w:rPr>
          <w:bCs/>
          <w:kern w:val="32"/>
          <w:szCs w:val="32"/>
        </w:rPr>
      </w:pPr>
    </w:p>
    <w:p w:rsidR="00E675EB" w:rsidRPr="008C0C54" w:rsidRDefault="00E675EB" w:rsidP="00E675EB">
      <w:pPr>
        <w:ind w:firstLine="720"/>
        <w:jc w:val="both"/>
      </w:pPr>
      <w:r w:rsidRPr="008C0C54">
        <w:t>The FEECA Utilities all agree</w:t>
      </w:r>
      <w:r>
        <w:t>d</w:t>
      </w:r>
      <w:r w:rsidRPr="008C0C54">
        <w:t xml:space="preserve"> that no goals or goals of zero should be established because no</w:t>
      </w:r>
      <w:r w:rsidR="002950DD">
        <w:t>ne of their</w:t>
      </w:r>
      <w:r w:rsidR="006D13DA">
        <w:t xml:space="preserve"> identified</w:t>
      </w:r>
      <w:r w:rsidRPr="008C0C54">
        <w:t xml:space="preserve"> </w:t>
      </w:r>
      <w:r>
        <w:t xml:space="preserve">demand-side renewable energy </w:t>
      </w:r>
      <w:r w:rsidRPr="008C0C54">
        <w:t>system measure</w:t>
      </w:r>
      <w:r w:rsidR="002950DD">
        <w:t>s</w:t>
      </w:r>
      <w:r w:rsidRPr="008C0C54">
        <w:t xml:space="preserve"> proved to be cost-effective. </w:t>
      </w:r>
      <w:r>
        <w:t>FPL witness Koch argued</w:t>
      </w:r>
      <w:r w:rsidRPr="008C0C54">
        <w:t xml:space="preserve"> that the goals for the </w:t>
      </w:r>
      <w:r>
        <w:t>demand-side renewable energy</w:t>
      </w:r>
      <w:r w:rsidRPr="008C0C54">
        <w:t xml:space="preserve"> systems should be set at zero because none of the </w:t>
      </w:r>
      <w:r>
        <w:t>demand-side renewable energy</w:t>
      </w:r>
      <w:r w:rsidRPr="008C0C54">
        <w:t xml:space="preserve"> measures proved to be cost-effective in either the </w:t>
      </w:r>
      <w:r>
        <w:t>Rate Impact Measure (</w:t>
      </w:r>
      <w:r w:rsidRPr="008C0C54">
        <w:t>RIM</w:t>
      </w:r>
      <w:r>
        <w:t>)</w:t>
      </w:r>
      <w:r w:rsidRPr="008C0C54">
        <w:t xml:space="preserve"> or </w:t>
      </w:r>
      <w:r>
        <w:t>Total Resource Cost (</w:t>
      </w:r>
      <w:r w:rsidRPr="008C0C54">
        <w:t>TRC</w:t>
      </w:r>
      <w:r>
        <w:t>)</w:t>
      </w:r>
      <w:r w:rsidRPr="008C0C54">
        <w:t xml:space="preserve"> tests.</w:t>
      </w:r>
      <w:r w:rsidR="00EE55C7">
        <w:rPr>
          <w:rStyle w:val="FootnoteReference"/>
        </w:rPr>
        <w:footnoteReference w:id="9"/>
      </w:r>
      <w:r w:rsidRPr="008C0C54">
        <w:t xml:space="preserve"> TECO witness Roche also testified that “[t]he residential and commercial renewable energy systems were both screened out without any program administration or incentive costs so they will not pass cost-effectiveness as a </w:t>
      </w:r>
      <w:r>
        <w:t xml:space="preserve">[demand-side management or </w:t>
      </w:r>
      <w:r w:rsidRPr="008C0C54">
        <w:t>DSM</w:t>
      </w:r>
      <w:r>
        <w:t>]</w:t>
      </w:r>
      <w:r w:rsidRPr="008C0C54">
        <w:t xml:space="preserve"> program.”</w:t>
      </w:r>
      <w:r>
        <w:t xml:space="preserve"> FPL argued</w:t>
      </w:r>
      <w:r w:rsidRPr="008C0C54">
        <w:t xml:space="preserve"> </w:t>
      </w:r>
      <w:r w:rsidRPr="002E002C">
        <w:t xml:space="preserve">that </w:t>
      </w:r>
      <w:r w:rsidR="002E002C">
        <w:t>zero goals beyond</w:t>
      </w:r>
      <w:r w:rsidR="009D48CA">
        <w:t xml:space="preserve"> the provisions included in Rule 25-6.065, F.A.C., </w:t>
      </w:r>
      <w:r w:rsidR="009D48CA" w:rsidRPr="008C0C54">
        <w:t>Interconnection and Net Metering of Customer-Owned Renewable Generation (Net Metering Rule)</w:t>
      </w:r>
      <w:r w:rsidR="009D48CA">
        <w:t>,</w:t>
      </w:r>
      <w:r w:rsidRPr="002E002C">
        <w:t xml:space="preserve"> is consistent</w:t>
      </w:r>
      <w:r w:rsidRPr="008C0C54">
        <w:t xml:space="preserve"> with </w:t>
      </w:r>
      <w:r>
        <w:t>our</w:t>
      </w:r>
      <w:r w:rsidRPr="008C0C54">
        <w:t xml:space="preserve"> decision in the 2014 DSM Goals docket.</w:t>
      </w:r>
    </w:p>
    <w:p w:rsidR="00E675EB" w:rsidRPr="008C0C54" w:rsidRDefault="00E675EB" w:rsidP="00E675EB">
      <w:pPr>
        <w:jc w:val="both"/>
      </w:pPr>
    </w:p>
    <w:p w:rsidR="00E675EB" w:rsidRPr="008C0C54" w:rsidRDefault="00E675EB" w:rsidP="00E675EB">
      <w:pPr>
        <w:jc w:val="both"/>
      </w:pPr>
      <w:r>
        <w:lastRenderedPageBreak/>
        <w:tab/>
        <w:t>SACE and</w:t>
      </w:r>
      <w:r w:rsidRPr="008C0C54">
        <w:t xml:space="preserve"> LULAC argue</w:t>
      </w:r>
      <w:r>
        <w:t>d</w:t>
      </w:r>
      <w:r w:rsidRPr="008C0C54">
        <w:t xml:space="preserve"> that zer</w:t>
      </w:r>
      <w:r>
        <w:t>o is not a goal for demand-side renewable energy. SACE and</w:t>
      </w:r>
      <w:r w:rsidRPr="008C0C54">
        <w:t xml:space="preserve"> LULAC propose</w:t>
      </w:r>
      <w:r>
        <w:t>d that</w:t>
      </w:r>
      <w:r w:rsidRPr="008C0C54">
        <w:t xml:space="preserve"> “the utilities adopt a pilot program investing in [</w:t>
      </w:r>
      <w:r>
        <w:t xml:space="preserve">photovoltaic or </w:t>
      </w:r>
      <w:r w:rsidRPr="008C0C54">
        <w:t>PV] solar installations coupled with battery storage at schools that are designated as storm shelters.” Accordi</w:t>
      </w:r>
      <w:r>
        <w:t>ng to SACE and</w:t>
      </w:r>
      <w:r w:rsidRPr="008C0C54">
        <w:t xml:space="preserve"> LULAC</w:t>
      </w:r>
      <w:r>
        <w:t>,</w:t>
      </w:r>
      <w:r w:rsidRPr="008C0C54">
        <w:t xml:space="preserve"> “[s]olar plus battery storage allows a facility, like a school that is designated as a shelter, to generate its own power, independent of the grid, allowing it to provide power for critical needs, such as medical equipment, cooling, lighting, and charging cell phones.” </w:t>
      </w:r>
    </w:p>
    <w:p w:rsidR="00E675EB" w:rsidRPr="008C0C54" w:rsidRDefault="00E675EB" w:rsidP="00E675EB">
      <w:pPr>
        <w:jc w:val="both"/>
      </w:pPr>
    </w:p>
    <w:p w:rsidR="00E675EB" w:rsidRPr="008C0C54" w:rsidRDefault="00E675EB" w:rsidP="00E675EB">
      <w:pPr>
        <w:jc w:val="both"/>
      </w:pPr>
      <w:r>
        <w:tab/>
      </w:r>
      <w:r w:rsidRPr="008C0C54">
        <w:t xml:space="preserve">OPC </w:t>
      </w:r>
      <w:r w:rsidR="002E7712">
        <w:t xml:space="preserve">stated that it </w:t>
      </w:r>
      <w:r w:rsidRPr="008C0C54">
        <w:t>d</w:t>
      </w:r>
      <w:r>
        <w:t>id</w:t>
      </w:r>
      <w:r w:rsidRPr="008C0C54">
        <w:t xml:space="preserve"> not take a position on what goals should be established for increasing the development of </w:t>
      </w:r>
      <w:r>
        <w:t>demand-side renewable energy</w:t>
      </w:r>
      <w:r w:rsidRPr="008C0C54">
        <w:t xml:space="preserve"> systems</w:t>
      </w:r>
      <w:r w:rsidR="002E7712">
        <w:t xml:space="preserve"> since</w:t>
      </w:r>
      <w:r w:rsidRPr="008C0C54">
        <w:t xml:space="preserve"> none of the renewables pass TRC </w:t>
      </w:r>
      <w:r>
        <w:t>or</w:t>
      </w:r>
      <w:r w:rsidRPr="008C0C54">
        <w:t xml:space="preserve"> RIM. </w:t>
      </w:r>
      <w:r w:rsidR="00232488">
        <w:t xml:space="preserve">However, </w:t>
      </w:r>
      <w:r>
        <w:t>OPC asserted that</w:t>
      </w:r>
      <w:r w:rsidRPr="008C0C54">
        <w:t xml:space="preserve"> “[t]he companies' proposed goals should adequately safeguard the interests of the general body of ratepayers against undue rate impacts while achieving the intent of [FEECA].” </w:t>
      </w:r>
    </w:p>
    <w:p w:rsidR="00E675EB" w:rsidRPr="008C0C54" w:rsidRDefault="00E675EB" w:rsidP="00E675EB">
      <w:pPr>
        <w:jc w:val="both"/>
      </w:pPr>
    </w:p>
    <w:p w:rsidR="00E675EB" w:rsidRPr="008C0C54" w:rsidRDefault="00E675EB" w:rsidP="00E675EB">
      <w:pPr>
        <w:spacing w:after="240"/>
        <w:jc w:val="both"/>
      </w:pPr>
      <w:r>
        <w:tab/>
        <w:t>In its brief, FDACS stated</w:t>
      </w:r>
      <w:r w:rsidRPr="008C0C54">
        <w:t xml:space="preserve"> </w:t>
      </w:r>
      <w:r>
        <w:t xml:space="preserve">that </w:t>
      </w:r>
      <w:r w:rsidRPr="008C0C54">
        <w:t xml:space="preserve">“[t]he Legislature has declared that it is critical to utilize the most efficient and cost-effective demand-side renewable </w:t>
      </w:r>
      <w:r>
        <w:t>energy systems.” FDACS continued</w:t>
      </w:r>
      <w:r w:rsidRPr="008C0C54">
        <w:t>, “[t]he Commission should encourage the FEECA Utilities to seek out innovative research and development programs to develop new measures and programs that assist customers with conserving their energy consumption while enabling utilities to shift</w:t>
      </w:r>
      <w:r>
        <w:t xml:space="preserve">ing [sic] peak energy demand.” </w:t>
      </w:r>
      <w:r w:rsidRPr="008C0C54">
        <w:t>PCS, Walmart, and FIPUG took no position on th</w:t>
      </w:r>
      <w:r>
        <w:t>e establishment of demand-side renewable energy goals</w:t>
      </w:r>
      <w:r w:rsidRPr="008C0C54">
        <w:t>.</w:t>
      </w:r>
    </w:p>
    <w:p w:rsidR="008C360C" w:rsidRDefault="008C360C" w:rsidP="008C0C54">
      <w:pPr>
        <w:jc w:val="both"/>
      </w:pPr>
      <w:r>
        <w:tab/>
        <w:t>C. Analysis</w:t>
      </w:r>
    </w:p>
    <w:p w:rsidR="008C360C" w:rsidRPr="008C0C54" w:rsidRDefault="008C360C" w:rsidP="008C0C54">
      <w:pPr>
        <w:jc w:val="both"/>
      </w:pPr>
    </w:p>
    <w:p w:rsidR="009D48CA" w:rsidRDefault="008C0C54" w:rsidP="008C0C54">
      <w:pPr>
        <w:spacing w:after="240"/>
        <w:jc w:val="both"/>
      </w:pPr>
      <w:r>
        <w:tab/>
      </w:r>
      <w:r w:rsidR="00E07A6F">
        <w:t xml:space="preserve">In 2008, the Legislature amended </w:t>
      </w:r>
      <w:r w:rsidRPr="008C0C54">
        <w:t>Section 366.82</w:t>
      </w:r>
      <w:r w:rsidR="00E07A6F">
        <w:t>(2)</w:t>
      </w:r>
      <w:r w:rsidRPr="008C0C54">
        <w:t>, F.S.,</w:t>
      </w:r>
      <w:r w:rsidR="00E07A6F">
        <w:t xml:space="preserve"> to require</w:t>
      </w:r>
      <w:r w:rsidRPr="008C0C54">
        <w:t xml:space="preserve"> </w:t>
      </w:r>
      <w:r w:rsidR="00050035">
        <w:t>us</w:t>
      </w:r>
      <w:r w:rsidRPr="008C0C54">
        <w:t xml:space="preserve"> to adopt appropriate goals for increasing the development of </w:t>
      </w:r>
      <w:r w:rsidR="00FF2E22">
        <w:t>demand-side renewable energy</w:t>
      </w:r>
      <w:r w:rsidRPr="008C0C54">
        <w:t xml:space="preserve"> systems. </w:t>
      </w:r>
      <w:r w:rsidR="00054524">
        <w:t>Since that time, none of the identified or proposed demand-side renewable energy measures</w:t>
      </w:r>
      <w:r w:rsidR="00935D2B">
        <w:t xml:space="preserve"> have passed the cost-effectiveness analysis, but we have consistently encouraged the development of demand-side renewable energy.</w:t>
      </w:r>
    </w:p>
    <w:p w:rsidR="008C0C54" w:rsidRPr="008C0C54" w:rsidRDefault="008C0C54" w:rsidP="009D48CA">
      <w:pPr>
        <w:spacing w:after="240"/>
        <w:ind w:firstLine="720"/>
        <w:jc w:val="both"/>
      </w:pPr>
      <w:r w:rsidRPr="008C0C54">
        <w:t>In</w:t>
      </w:r>
      <w:r w:rsidR="00CF0749">
        <w:t xml:space="preserve"> the 2009 Goalsetting Order, </w:t>
      </w:r>
      <w:r w:rsidR="002F516C">
        <w:t>we found</w:t>
      </w:r>
      <w:r w:rsidRPr="008C0C54">
        <w:t>:</w:t>
      </w:r>
    </w:p>
    <w:p w:rsidR="008C0C54" w:rsidRPr="008C0C54" w:rsidRDefault="008C0C54" w:rsidP="008C0C54">
      <w:pPr>
        <w:spacing w:after="240"/>
        <w:ind w:left="720" w:right="720"/>
        <w:jc w:val="both"/>
      </w:pPr>
      <w:r w:rsidRPr="008C0C54">
        <w:t xml:space="preserve">None of </w:t>
      </w:r>
      <w:r w:rsidR="00E07A6F">
        <w:t>[</w:t>
      </w:r>
      <w:r w:rsidR="00F07391">
        <w:t xml:space="preserve">the </w:t>
      </w:r>
      <w:r w:rsidR="00E07A6F">
        <w:t>demand-side renewable measures]</w:t>
      </w:r>
      <w:r w:rsidRPr="008C0C54">
        <w:t xml:space="preserve"> were found to be cost-effective in the utilities' analyses. However, we can meet the intent of the Legislature to place added emphasis on these resources, while protecting ratepayers from undue rate increases by requiring the </w:t>
      </w:r>
      <w:r w:rsidR="00AF25C0">
        <w:t xml:space="preserve">[investor-owned utilities or </w:t>
      </w:r>
      <w:r w:rsidRPr="008C0C54">
        <w:t>IOUs</w:t>
      </w:r>
      <w:r w:rsidR="00AF25C0">
        <w:t>]</w:t>
      </w:r>
      <w:r w:rsidRPr="008C0C54">
        <w:t xml:space="preserve"> to offer renewable programs subject to an expenditure cap. We direct the IOUs to file pilot programs focusing on encouraging solar water heating and solar PV technologies in the DSM program approval proceeding. Expenditures allowed for recovery shall be limited to 10 percent of the average annual recovery through the Energy Conservation Cost Recovery clause in the previous five years</w:t>
      </w:r>
      <w:r w:rsidR="00AF25C0">
        <w:t>…</w:t>
      </w:r>
      <w:r w:rsidR="003F413D">
        <w:t xml:space="preserve">. </w:t>
      </w:r>
      <w:r w:rsidRPr="008C0C54">
        <w:t xml:space="preserve">Utilities are encouraged to design programs that take advantage of unique cost-saving </w:t>
      </w:r>
      <w:r w:rsidRPr="008C0C54">
        <w:lastRenderedPageBreak/>
        <w:t>opportunities, such as combining measures in a single program, or providing interested customers with the option to provide voluntary support.</w:t>
      </w:r>
      <w:r w:rsidRPr="008C0C54">
        <w:rPr>
          <w:spacing w:val="-1"/>
          <w:vertAlign w:val="superscript"/>
        </w:rPr>
        <w:t xml:space="preserve"> </w:t>
      </w:r>
      <w:r w:rsidRPr="008C0C54">
        <w:rPr>
          <w:spacing w:val="-1"/>
          <w:vertAlign w:val="superscript"/>
        </w:rPr>
        <w:footnoteReference w:id="10"/>
      </w:r>
    </w:p>
    <w:p w:rsidR="008C0C54" w:rsidRPr="008C0C54" w:rsidRDefault="008C0C54" w:rsidP="008C0C54">
      <w:pPr>
        <w:jc w:val="both"/>
      </w:pPr>
      <w:r>
        <w:tab/>
      </w:r>
      <w:r w:rsidRPr="008C0C54">
        <w:t>In the 2014 Goalsetting O</w:t>
      </w:r>
      <w:r w:rsidR="00CF0749">
        <w:t xml:space="preserve">rder, </w:t>
      </w:r>
      <w:r w:rsidR="002F516C">
        <w:t xml:space="preserve">we </w:t>
      </w:r>
      <w:r w:rsidRPr="008C0C54">
        <w:t>found that the pilot programs</w:t>
      </w:r>
      <w:r w:rsidR="002F516C">
        <w:t xml:space="preserve"> implemented by the FEECA Utilities</w:t>
      </w:r>
      <w:r w:rsidRPr="008C0C54">
        <w:t xml:space="preserve"> “are not cost-effective and experience gained since the last goals proceeding indicates that consumers have continued to install systems without </w:t>
      </w:r>
      <w:r w:rsidR="00CF0749">
        <w:t xml:space="preserve">any rebates.” </w:t>
      </w:r>
      <w:r w:rsidR="00754B22">
        <w:t>W</w:t>
      </w:r>
      <w:r w:rsidR="002F516C">
        <w:t>e</w:t>
      </w:r>
      <w:r w:rsidRPr="008C0C54">
        <w:t xml:space="preserve"> also stated:</w:t>
      </w:r>
    </w:p>
    <w:p w:rsidR="008C0C54" w:rsidRPr="008C0C54" w:rsidRDefault="008C0C54" w:rsidP="008C0C54">
      <w:pPr>
        <w:ind w:left="720" w:right="720"/>
        <w:jc w:val="both"/>
      </w:pPr>
    </w:p>
    <w:p w:rsidR="008C0C54" w:rsidRPr="008C0C54" w:rsidRDefault="008C0C54" w:rsidP="008C0C54">
      <w:pPr>
        <w:ind w:left="720" w:right="720"/>
        <w:jc w:val="both"/>
      </w:pPr>
      <w:r w:rsidRPr="008C0C54">
        <w:t>Each of the IOUs should continue to implement the provisions of Rule 25-6.065, F.A.C., Interconnection and Net Metering of Customer-Owned Renewable Generation. The rule is an appropriate means to encourage the development of demand-side renewable energy, as it expedites the interconnection of customer-owned renewable energy systems and benefits participating customers through net metering.</w:t>
      </w:r>
      <w:r w:rsidR="009E6A67">
        <w:rPr>
          <w:rStyle w:val="FootnoteReference"/>
        </w:rPr>
        <w:footnoteReference w:id="11"/>
      </w:r>
    </w:p>
    <w:p w:rsidR="008C0C54" w:rsidRPr="008C0C54" w:rsidRDefault="008C0C54" w:rsidP="008C0C54">
      <w:pPr>
        <w:jc w:val="both"/>
      </w:pPr>
    </w:p>
    <w:p w:rsidR="008C0C54" w:rsidRPr="008C0C54" w:rsidRDefault="008C0C54" w:rsidP="008C0C54">
      <w:pPr>
        <w:jc w:val="both"/>
      </w:pPr>
      <w:r>
        <w:tab/>
      </w:r>
      <w:r w:rsidR="00CF0749">
        <w:t>We find that t</w:t>
      </w:r>
      <w:r w:rsidRPr="008C0C54">
        <w:t xml:space="preserve">he record in the current proceeding also indicates that </w:t>
      </w:r>
      <w:r w:rsidR="00FF2E22">
        <w:t>demand-side renewable energy</w:t>
      </w:r>
      <w:r w:rsidRPr="008C0C54">
        <w:t xml:space="preserve"> systems are not cost-effective using either the RIM or the TRC test. However, the installation of </w:t>
      </w:r>
      <w:r w:rsidR="00AB08E3">
        <w:t>demand-side renewable energy</w:t>
      </w:r>
      <w:r w:rsidRPr="008C0C54">
        <w:t xml:space="preserve"> systems continues to grow without any utility incentives. Such growth indicates that </w:t>
      </w:r>
      <w:r w:rsidR="00CF0749">
        <w:t>our</w:t>
      </w:r>
      <w:r w:rsidR="00462595">
        <w:t xml:space="preserve"> Net Metering R</w:t>
      </w:r>
      <w:r w:rsidRPr="008C0C54">
        <w:t>ule is an appropriate mechanism to encourage the development of these systems.</w:t>
      </w:r>
    </w:p>
    <w:p w:rsidR="002C6299" w:rsidRDefault="002C6299" w:rsidP="008C0C54">
      <w:pPr>
        <w:jc w:val="both"/>
        <w:rPr>
          <w:u w:val="single"/>
        </w:rPr>
      </w:pPr>
    </w:p>
    <w:p w:rsidR="008C0C54" w:rsidRPr="008C360C" w:rsidRDefault="008C360C" w:rsidP="008C360C">
      <w:pPr>
        <w:ind w:firstLine="720"/>
        <w:jc w:val="both"/>
      </w:pPr>
      <w:r>
        <w:t xml:space="preserve">1. </w:t>
      </w:r>
      <w:r w:rsidR="008C0C54" w:rsidRPr="008C360C">
        <w:t>Net Metering</w:t>
      </w:r>
    </w:p>
    <w:p w:rsidR="008C0C54" w:rsidRPr="00265556" w:rsidRDefault="008C0C54" w:rsidP="008C0C54">
      <w:pPr>
        <w:jc w:val="both"/>
        <w:rPr>
          <w:b/>
        </w:rPr>
      </w:pPr>
    </w:p>
    <w:p w:rsidR="008C0C54" w:rsidRPr="008C0C54" w:rsidRDefault="008C0C54" w:rsidP="008C0C54">
      <w:pPr>
        <w:jc w:val="both"/>
      </w:pPr>
      <w:r>
        <w:tab/>
      </w:r>
      <w:r w:rsidRPr="008C0C54">
        <w:t>Net metering is defined in Section 366.91(2</w:t>
      </w:r>
      <w:proofErr w:type="gramStart"/>
      <w:r w:rsidRPr="008C0C54">
        <w:t>)(</w:t>
      </w:r>
      <w:proofErr w:type="gramEnd"/>
      <w:r w:rsidRPr="008C0C54">
        <w:t xml:space="preserve">c), F.S., as a “metering and billing methodology whereby customer-owned renewable generation is allowed to offset the customer’s electricity consumption on site.” </w:t>
      </w:r>
      <w:r w:rsidR="009D48CA">
        <w:t>T</w:t>
      </w:r>
      <w:r w:rsidRPr="008C0C54">
        <w:t xml:space="preserve">he Net Metering Rule lays out the groundwork for </w:t>
      </w:r>
      <w:r w:rsidR="00D907B8">
        <w:t>the public utilities’ implementation of their</w:t>
      </w:r>
      <w:r w:rsidRPr="008C0C54">
        <w:t xml:space="preserve"> net metering programs. Customers are able to use the energy they generate from solar PV panels to offset their energy usage. Excess energy produced is delivered to the </w:t>
      </w:r>
      <w:r w:rsidR="002F516C">
        <w:t>electric</w:t>
      </w:r>
      <w:r w:rsidRPr="008C0C54">
        <w:t xml:space="preserve"> grid and customer</w:t>
      </w:r>
      <w:r w:rsidR="002F516C">
        <w:t>s receive</w:t>
      </w:r>
      <w:r w:rsidRPr="008C0C54">
        <w:t xml:space="preserve"> credit toward the next month’s bill</w:t>
      </w:r>
      <w:r w:rsidR="002F516C">
        <w:t>s</w:t>
      </w:r>
      <w:r w:rsidRPr="008C0C54">
        <w:t xml:space="preserve">. At the end of the year, </w:t>
      </w:r>
      <w:r w:rsidR="002F516C">
        <w:t>utilities</w:t>
      </w:r>
      <w:r w:rsidRPr="008C0C54">
        <w:t xml:space="preserve"> </w:t>
      </w:r>
      <w:r w:rsidR="002F516C">
        <w:t>are</w:t>
      </w:r>
      <w:r w:rsidRPr="008C0C54">
        <w:t xml:space="preserve"> required to pay customer</w:t>
      </w:r>
      <w:r w:rsidR="002F516C">
        <w:t>s</w:t>
      </w:r>
      <w:r w:rsidRPr="008C0C54">
        <w:t xml:space="preserve"> for any unused energy credits.</w:t>
      </w:r>
    </w:p>
    <w:p w:rsidR="008C0C54" w:rsidRPr="008C0C54" w:rsidRDefault="008C0C54" w:rsidP="008C0C54">
      <w:pPr>
        <w:jc w:val="both"/>
      </w:pPr>
    </w:p>
    <w:p w:rsidR="00B9768C" w:rsidRDefault="008C0C54" w:rsidP="00B9768C">
      <w:pPr>
        <w:jc w:val="both"/>
      </w:pPr>
      <w:r>
        <w:tab/>
      </w:r>
      <w:r w:rsidR="00B9768C">
        <w:t>Gulf witness Floyd testified that</w:t>
      </w:r>
      <w:r w:rsidRPr="008C0C54">
        <w:t xml:space="preserve"> </w:t>
      </w:r>
      <w:r w:rsidR="00AB08E3">
        <w:t>demand-side renewable energy</w:t>
      </w:r>
      <w:r w:rsidRPr="008C0C54">
        <w:t xml:space="preserve"> systems are growing tremendously in Gulf's territory. Witness Floyd also stated</w:t>
      </w:r>
      <w:r w:rsidR="00E73992">
        <w:t xml:space="preserve"> that</w:t>
      </w:r>
      <w:r w:rsidRPr="008C0C54">
        <w:t xml:space="preserve"> “customers are receiving the benefits of energy efficiency and demand-side renewables in the market in the most-efficient way without unnecessary incentives.” Wi</w:t>
      </w:r>
      <w:r w:rsidR="00B9768C">
        <w:t>tness Floyd asserted that the Net Metering R</w:t>
      </w:r>
      <w:r w:rsidRPr="008C0C54">
        <w:t>ule creates a good, understood model for the cu</w:t>
      </w:r>
      <w:r w:rsidR="00B9768C">
        <w:t xml:space="preserve">stomer. Witness Floyd </w:t>
      </w:r>
      <w:r w:rsidR="00E73992">
        <w:t>testified</w:t>
      </w:r>
      <w:r w:rsidR="00B9768C">
        <w:t xml:space="preserve"> that</w:t>
      </w:r>
      <w:r w:rsidRPr="008C0C54">
        <w:t xml:space="preserve"> there are “more solar providers in Gulf's service area,” which naturally creates competition. Witness Floyd </w:t>
      </w:r>
      <w:r w:rsidR="00B9768C">
        <w:t xml:space="preserve">further </w:t>
      </w:r>
      <w:r w:rsidR="00E73992">
        <w:lastRenderedPageBreak/>
        <w:t>testified that</w:t>
      </w:r>
      <w:r w:rsidRPr="008C0C54">
        <w:t xml:space="preserve"> “[d]emand-side renewables have experienced tremendous growth since the end of the utility incentives in 2015.”</w:t>
      </w:r>
    </w:p>
    <w:p w:rsidR="00B9768C" w:rsidRDefault="00B9768C" w:rsidP="00B9768C">
      <w:pPr>
        <w:jc w:val="both"/>
      </w:pPr>
    </w:p>
    <w:p w:rsidR="008C0C54" w:rsidRPr="008C0C54" w:rsidRDefault="008C0C54" w:rsidP="00B9768C">
      <w:pPr>
        <w:ind w:firstLine="720"/>
        <w:jc w:val="both"/>
      </w:pPr>
      <w:r w:rsidRPr="008C0C54">
        <w:t xml:space="preserve">DEF witness Cross </w:t>
      </w:r>
      <w:r w:rsidR="00E73992">
        <w:t>testified</w:t>
      </w:r>
      <w:r w:rsidRPr="008C0C54">
        <w:t xml:space="preserve"> that “Florida currently ranks among the top ten states based on the cumulative amount of solar electric capacity installed.” Witness Cross agreed with other FEECA utilities that “[t]he cost to install solar has dropped significa</w:t>
      </w:r>
      <w:r w:rsidR="00C40368">
        <w:t>ntly in recent years</w:t>
      </w:r>
      <w:r w:rsidRPr="008C0C54">
        <w:t>” and with those costs declining</w:t>
      </w:r>
      <w:r w:rsidR="00C40368">
        <w:t>,</w:t>
      </w:r>
      <w:r w:rsidRPr="008C0C54">
        <w:t xml:space="preserve"> utilities are “seeing continued growth in the </w:t>
      </w:r>
      <w:r w:rsidR="002D4DF1">
        <w:t xml:space="preserve">number of customers installing </w:t>
      </w:r>
      <w:r w:rsidR="00AB08E3">
        <w:t>demand-side renewable</w:t>
      </w:r>
      <w:r w:rsidR="002D4DF1">
        <w:t xml:space="preserve"> [energy]</w:t>
      </w:r>
      <w:r w:rsidR="00AB08E3">
        <w:t xml:space="preserve"> </w:t>
      </w:r>
      <w:r w:rsidRPr="008C0C54">
        <w:t>systems on their own, withou</w:t>
      </w:r>
      <w:r w:rsidR="00C40368">
        <w:t>t incentives from the utility.”</w:t>
      </w:r>
    </w:p>
    <w:p w:rsidR="008C0C54" w:rsidRPr="008C0C54" w:rsidRDefault="008C0C54" w:rsidP="008C0C54">
      <w:pPr>
        <w:jc w:val="both"/>
      </w:pPr>
    </w:p>
    <w:p w:rsidR="008C0C54" w:rsidRPr="008C0C54" w:rsidRDefault="008C0C54" w:rsidP="008C0C54">
      <w:pPr>
        <w:jc w:val="both"/>
      </w:pPr>
      <w:r>
        <w:tab/>
      </w:r>
      <w:r w:rsidR="00E73992">
        <w:t>A</w:t>
      </w:r>
      <w:r w:rsidR="00B9768C" w:rsidRPr="008C0C54">
        <w:t xml:space="preserve">s more households embrace renewable energy, the demand will stimulate more business competition and drive the cost of using or owning renewable energy, such as solar, down. </w:t>
      </w:r>
      <w:r w:rsidRPr="008C0C54">
        <w:t xml:space="preserve">Since 2008, customer-owned solar PV installations have steadily increased throughout the state. As seen in </w:t>
      </w:r>
      <w:r w:rsidR="00BD6A02">
        <w:t>the table below</w:t>
      </w:r>
      <w:r w:rsidRPr="008C0C54">
        <w:t>, 23,120 customer-owned solar PV installations have been added by the four largest IOUs between 2017 and 2019. These solar installations are primarily from residential and business customers.</w:t>
      </w:r>
    </w:p>
    <w:p w:rsidR="008C0C54" w:rsidRPr="008C0C54" w:rsidRDefault="008C0C54" w:rsidP="008C0C54">
      <w:pPr>
        <w:jc w:val="both"/>
      </w:pPr>
    </w:p>
    <w:p w:rsidR="008C0C54" w:rsidRPr="000D5256" w:rsidRDefault="008C0C54" w:rsidP="008C0C54">
      <w:pPr>
        <w:keepNext/>
        <w:jc w:val="center"/>
        <w:rPr>
          <w:b/>
        </w:rPr>
      </w:pPr>
      <w:r w:rsidRPr="000D5256">
        <w:rPr>
          <w:b/>
          <w:bCs/>
          <w:color w:val="000000"/>
        </w:rPr>
        <w:t>Number of Solar PV Installations</w:t>
      </w:r>
    </w:p>
    <w:tbl>
      <w:tblPr>
        <w:tblW w:w="6371"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96"/>
        <w:gridCol w:w="1448"/>
        <w:gridCol w:w="1196"/>
        <w:gridCol w:w="1448"/>
      </w:tblGrid>
      <w:tr w:rsidR="008C0C54" w:rsidRPr="008C0C54" w:rsidTr="00825B7E">
        <w:trPr>
          <w:trHeight w:val="297"/>
          <w:jc w:val="center"/>
        </w:trPr>
        <w:tc>
          <w:tcPr>
            <w:tcW w:w="1083" w:type="dxa"/>
            <w:shd w:val="clear" w:color="auto" w:fill="FFFFFF" w:themeFill="background1"/>
            <w:noWrap/>
            <w:vAlign w:val="bottom"/>
          </w:tcPr>
          <w:p w:rsidR="008C0C54" w:rsidRPr="008C0C54" w:rsidRDefault="008C0C54" w:rsidP="008C0C54">
            <w:pPr>
              <w:jc w:val="center"/>
              <w:rPr>
                <w:b/>
                <w:bCs/>
                <w:color w:val="000000"/>
              </w:rPr>
            </w:pPr>
            <w:r w:rsidRPr="008C0C54">
              <w:rPr>
                <w:b/>
                <w:bCs/>
                <w:color w:val="000000"/>
              </w:rPr>
              <w:t xml:space="preserve">Utility </w:t>
            </w:r>
          </w:p>
        </w:tc>
        <w:tc>
          <w:tcPr>
            <w:tcW w:w="1196" w:type="dxa"/>
            <w:shd w:val="clear" w:color="auto" w:fill="auto"/>
            <w:noWrap/>
            <w:vAlign w:val="bottom"/>
          </w:tcPr>
          <w:p w:rsidR="008C0C54" w:rsidRPr="008C0C54" w:rsidRDefault="008C0C54" w:rsidP="008C0C54">
            <w:pPr>
              <w:jc w:val="center"/>
              <w:rPr>
                <w:b/>
                <w:color w:val="000000"/>
              </w:rPr>
            </w:pPr>
            <w:r w:rsidRPr="008C0C54">
              <w:rPr>
                <w:b/>
                <w:color w:val="000000"/>
              </w:rPr>
              <w:t>2017</w:t>
            </w:r>
          </w:p>
        </w:tc>
        <w:tc>
          <w:tcPr>
            <w:tcW w:w="1448" w:type="dxa"/>
            <w:shd w:val="clear" w:color="auto" w:fill="auto"/>
            <w:noWrap/>
            <w:vAlign w:val="bottom"/>
          </w:tcPr>
          <w:p w:rsidR="008C0C54" w:rsidRPr="008C0C54" w:rsidRDefault="008C0C54" w:rsidP="008C0C54">
            <w:pPr>
              <w:jc w:val="center"/>
              <w:rPr>
                <w:b/>
                <w:color w:val="000000"/>
              </w:rPr>
            </w:pPr>
            <w:r w:rsidRPr="008C0C54">
              <w:rPr>
                <w:b/>
                <w:color w:val="000000"/>
              </w:rPr>
              <w:t>2018</w:t>
            </w:r>
          </w:p>
        </w:tc>
        <w:tc>
          <w:tcPr>
            <w:tcW w:w="1196" w:type="dxa"/>
            <w:shd w:val="clear" w:color="auto" w:fill="auto"/>
            <w:noWrap/>
            <w:vAlign w:val="bottom"/>
          </w:tcPr>
          <w:p w:rsidR="008C0C54" w:rsidRPr="008C0C54" w:rsidRDefault="008C0C54" w:rsidP="008C0C54">
            <w:pPr>
              <w:jc w:val="center"/>
              <w:rPr>
                <w:b/>
                <w:color w:val="000000"/>
              </w:rPr>
            </w:pPr>
            <w:r w:rsidRPr="008C0C54">
              <w:rPr>
                <w:b/>
                <w:color w:val="000000"/>
              </w:rPr>
              <w:t>2019*</w:t>
            </w:r>
          </w:p>
        </w:tc>
        <w:tc>
          <w:tcPr>
            <w:tcW w:w="1448" w:type="dxa"/>
            <w:shd w:val="clear" w:color="auto" w:fill="auto"/>
            <w:noWrap/>
            <w:vAlign w:val="bottom"/>
          </w:tcPr>
          <w:p w:rsidR="008C0C54" w:rsidRPr="008C0C54" w:rsidRDefault="008C0C54" w:rsidP="008C0C54">
            <w:pPr>
              <w:jc w:val="center"/>
              <w:rPr>
                <w:b/>
                <w:color w:val="000000"/>
              </w:rPr>
            </w:pPr>
            <w:r w:rsidRPr="008C0C54">
              <w:rPr>
                <w:b/>
                <w:color w:val="000000"/>
              </w:rPr>
              <w:t>Total</w:t>
            </w:r>
          </w:p>
        </w:tc>
      </w:tr>
      <w:tr w:rsidR="008C0C54" w:rsidRPr="008C0C54" w:rsidTr="00825B7E">
        <w:trPr>
          <w:trHeight w:val="297"/>
          <w:jc w:val="center"/>
        </w:trPr>
        <w:tc>
          <w:tcPr>
            <w:tcW w:w="1083" w:type="dxa"/>
            <w:shd w:val="clear" w:color="auto" w:fill="FFFFFF" w:themeFill="background1"/>
            <w:noWrap/>
            <w:vAlign w:val="bottom"/>
          </w:tcPr>
          <w:p w:rsidR="008C0C54" w:rsidRPr="008C0C54" w:rsidRDefault="008C0C54" w:rsidP="008C0C54">
            <w:pPr>
              <w:jc w:val="center"/>
              <w:rPr>
                <w:color w:val="000000"/>
              </w:rPr>
            </w:pPr>
            <w:r w:rsidRPr="008C0C54">
              <w:rPr>
                <w:color w:val="000000"/>
              </w:rPr>
              <w:t>FPL</w:t>
            </w:r>
          </w:p>
        </w:tc>
        <w:tc>
          <w:tcPr>
            <w:tcW w:w="1196" w:type="dxa"/>
            <w:shd w:val="clear" w:color="auto" w:fill="auto"/>
            <w:noWrap/>
          </w:tcPr>
          <w:p w:rsidR="008C0C54" w:rsidRPr="008C0C54" w:rsidRDefault="008C0C54" w:rsidP="008C0C54">
            <w:pPr>
              <w:jc w:val="right"/>
              <w:rPr>
                <w:color w:val="000000"/>
              </w:rPr>
            </w:pPr>
            <w:r w:rsidRPr="008C0C54">
              <w:rPr>
                <w:color w:val="000000"/>
              </w:rPr>
              <w:t>2,163</w:t>
            </w:r>
          </w:p>
        </w:tc>
        <w:tc>
          <w:tcPr>
            <w:tcW w:w="1448" w:type="dxa"/>
            <w:shd w:val="clear" w:color="auto" w:fill="auto"/>
            <w:noWrap/>
          </w:tcPr>
          <w:p w:rsidR="008C0C54" w:rsidRPr="008C0C54" w:rsidRDefault="008C0C54" w:rsidP="008C0C54">
            <w:pPr>
              <w:jc w:val="right"/>
              <w:rPr>
                <w:color w:val="000000"/>
              </w:rPr>
            </w:pPr>
            <w:r w:rsidRPr="008C0C54">
              <w:rPr>
                <w:color w:val="000000"/>
              </w:rPr>
              <w:t>3,825</w:t>
            </w:r>
          </w:p>
        </w:tc>
        <w:tc>
          <w:tcPr>
            <w:tcW w:w="1196" w:type="dxa"/>
            <w:shd w:val="clear" w:color="auto" w:fill="auto"/>
            <w:noWrap/>
          </w:tcPr>
          <w:p w:rsidR="008C0C54" w:rsidRPr="008C0C54" w:rsidRDefault="008C0C54" w:rsidP="008C0C54">
            <w:pPr>
              <w:jc w:val="right"/>
              <w:rPr>
                <w:color w:val="000000"/>
              </w:rPr>
            </w:pPr>
            <w:r w:rsidRPr="008C0C54">
              <w:rPr>
                <w:color w:val="000000"/>
              </w:rPr>
              <w:t>2,250</w:t>
            </w:r>
          </w:p>
        </w:tc>
        <w:tc>
          <w:tcPr>
            <w:tcW w:w="1448" w:type="dxa"/>
            <w:shd w:val="clear" w:color="auto" w:fill="auto"/>
            <w:noWrap/>
          </w:tcPr>
          <w:p w:rsidR="008C0C54" w:rsidRPr="008C0C54" w:rsidRDefault="008C0C54" w:rsidP="008C0C54">
            <w:pPr>
              <w:jc w:val="right"/>
              <w:rPr>
                <w:color w:val="000000"/>
              </w:rPr>
            </w:pPr>
            <w:r w:rsidRPr="008C0C54">
              <w:rPr>
                <w:color w:val="000000"/>
              </w:rPr>
              <w:t>8,238</w:t>
            </w:r>
          </w:p>
        </w:tc>
      </w:tr>
      <w:tr w:rsidR="008C0C54" w:rsidRPr="008C0C54" w:rsidTr="00825B7E">
        <w:trPr>
          <w:trHeight w:val="297"/>
          <w:jc w:val="center"/>
        </w:trPr>
        <w:tc>
          <w:tcPr>
            <w:tcW w:w="1083" w:type="dxa"/>
            <w:shd w:val="clear" w:color="auto" w:fill="FFFFFF" w:themeFill="background1"/>
            <w:noWrap/>
            <w:vAlign w:val="bottom"/>
            <w:hideMark/>
          </w:tcPr>
          <w:p w:rsidR="008C0C54" w:rsidRPr="008C0C54" w:rsidRDefault="008C0C54" w:rsidP="008C0C54">
            <w:pPr>
              <w:jc w:val="center"/>
              <w:rPr>
                <w:color w:val="000000"/>
              </w:rPr>
            </w:pPr>
            <w:r w:rsidRPr="008C0C54">
              <w:rPr>
                <w:color w:val="000000"/>
              </w:rPr>
              <w:t>DEF</w:t>
            </w:r>
          </w:p>
        </w:tc>
        <w:tc>
          <w:tcPr>
            <w:tcW w:w="1196" w:type="dxa"/>
            <w:shd w:val="clear" w:color="auto" w:fill="auto"/>
            <w:noWrap/>
            <w:hideMark/>
          </w:tcPr>
          <w:p w:rsidR="008C0C54" w:rsidRPr="008C0C54" w:rsidRDefault="008C0C54" w:rsidP="008C0C54">
            <w:pPr>
              <w:jc w:val="right"/>
              <w:rPr>
                <w:color w:val="000000"/>
              </w:rPr>
            </w:pPr>
            <w:r w:rsidRPr="008C0C54">
              <w:rPr>
                <w:color w:val="000000"/>
              </w:rPr>
              <w:t>3,025</w:t>
            </w:r>
          </w:p>
        </w:tc>
        <w:tc>
          <w:tcPr>
            <w:tcW w:w="1448" w:type="dxa"/>
            <w:shd w:val="clear" w:color="auto" w:fill="auto"/>
            <w:noWrap/>
            <w:hideMark/>
          </w:tcPr>
          <w:p w:rsidR="008C0C54" w:rsidRPr="008C0C54" w:rsidRDefault="008C0C54" w:rsidP="008C0C54">
            <w:pPr>
              <w:jc w:val="right"/>
              <w:rPr>
                <w:color w:val="000000"/>
              </w:rPr>
            </w:pPr>
            <w:r w:rsidRPr="008C0C54">
              <w:rPr>
                <w:color w:val="000000"/>
              </w:rPr>
              <w:t>5,079</w:t>
            </w:r>
          </w:p>
        </w:tc>
        <w:tc>
          <w:tcPr>
            <w:tcW w:w="1196" w:type="dxa"/>
            <w:shd w:val="clear" w:color="auto" w:fill="auto"/>
            <w:noWrap/>
            <w:hideMark/>
          </w:tcPr>
          <w:p w:rsidR="008C0C54" w:rsidRPr="008C0C54" w:rsidRDefault="008C0C54" w:rsidP="008C0C54">
            <w:pPr>
              <w:jc w:val="right"/>
              <w:rPr>
                <w:color w:val="000000"/>
              </w:rPr>
            </w:pPr>
            <w:r w:rsidRPr="008C0C54">
              <w:rPr>
                <w:color w:val="000000"/>
              </w:rPr>
              <w:t>2,949</w:t>
            </w:r>
          </w:p>
        </w:tc>
        <w:tc>
          <w:tcPr>
            <w:tcW w:w="1448" w:type="dxa"/>
            <w:shd w:val="clear" w:color="auto" w:fill="auto"/>
            <w:noWrap/>
            <w:hideMark/>
          </w:tcPr>
          <w:p w:rsidR="008C0C54" w:rsidRPr="008C0C54" w:rsidRDefault="008C0C54" w:rsidP="008C0C54">
            <w:pPr>
              <w:jc w:val="right"/>
              <w:rPr>
                <w:color w:val="000000"/>
              </w:rPr>
            </w:pPr>
            <w:r w:rsidRPr="008C0C54">
              <w:rPr>
                <w:color w:val="000000"/>
              </w:rPr>
              <w:t>11,053</w:t>
            </w:r>
          </w:p>
        </w:tc>
      </w:tr>
      <w:tr w:rsidR="008C0C54" w:rsidRPr="008C0C54" w:rsidTr="00825B7E">
        <w:trPr>
          <w:trHeight w:val="297"/>
          <w:jc w:val="center"/>
        </w:trPr>
        <w:tc>
          <w:tcPr>
            <w:tcW w:w="1083" w:type="dxa"/>
            <w:shd w:val="clear" w:color="auto" w:fill="FFFFFF" w:themeFill="background1"/>
            <w:noWrap/>
            <w:vAlign w:val="bottom"/>
            <w:hideMark/>
          </w:tcPr>
          <w:p w:rsidR="008C0C54" w:rsidRPr="008C0C54" w:rsidRDefault="008C0C54" w:rsidP="008C0C54">
            <w:pPr>
              <w:jc w:val="center"/>
              <w:rPr>
                <w:color w:val="000000"/>
              </w:rPr>
            </w:pPr>
            <w:r w:rsidRPr="008C0C54">
              <w:rPr>
                <w:color w:val="000000"/>
              </w:rPr>
              <w:t>TECO</w:t>
            </w:r>
          </w:p>
        </w:tc>
        <w:tc>
          <w:tcPr>
            <w:tcW w:w="1196" w:type="dxa"/>
            <w:shd w:val="clear" w:color="auto" w:fill="auto"/>
            <w:noWrap/>
            <w:hideMark/>
          </w:tcPr>
          <w:p w:rsidR="008C0C54" w:rsidRPr="008C0C54" w:rsidRDefault="008C0C54" w:rsidP="008C0C54">
            <w:pPr>
              <w:jc w:val="right"/>
              <w:rPr>
                <w:color w:val="000000"/>
              </w:rPr>
            </w:pPr>
            <w:r w:rsidRPr="008C0C54">
              <w:rPr>
                <w:color w:val="000000"/>
              </w:rPr>
              <w:t>740</w:t>
            </w:r>
          </w:p>
        </w:tc>
        <w:tc>
          <w:tcPr>
            <w:tcW w:w="1448" w:type="dxa"/>
            <w:shd w:val="clear" w:color="auto" w:fill="auto"/>
            <w:noWrap/>
            <w:hideMark/>
          </w:tcPr>
          <w:p w:rsidR="008C0C54" w:rsidRPr="008C0C54" w:rsidRDefault="008C0C54" w:rsidP="008C0C54">
            <w:pPr>
              <w:jc w:val="right"/>
              <w:rPr>
                <w:color w:val="000000"/>
              </w:rPr>
            </w:pPr>
            <w:r w:rsidRPr="008C0C54">
              <w:rPr>
                <w:color w:val="000000"/>
              </w:rPr>
              <w:t>1,268</w:t>
            </w:r>
          </w:p>
        </w:tc>
        <w:tc>
          <w:tcPr>
            <w:tcW w:w="1196" w:type="dxa"/>
            <w:shd w:val="clear" w:color="auto" w:fill="auto"/>
            <w:noWrap/>
            <w:hideMark/>
          </w:tcPr>
          <w:p w:rsidR="008C0C54" w:rsidRPr="008C0C54" w:rsidRDefault="008C0C54" w:rsidP="008C0C54">
            <w:pPr>
              <w:jc w:val="right"/>
              <w:rPr>
                <w:color w:val="000000"/>
              </w:rPr>
            </w:pPr>
            <w:r w:rsidRPr="008C0C54">
              <w:rPr>
                <w:color w:val="000000"/>
              </w:rPr>
              <w:t>829</w:t>
            </w:r>
          </w:p>
        </w:tc>
        <w:tc>
          <w:tcPr>
            <w:tcW w:w="1448" w:type="dxa"/>
            <w:shd w:val="clear" w:color="auto" w:fill="auto"/>
            <w:noWrap/>
            <w:hideMark/>
          </w:tcPr>
          <w:p w:rsidR="008C0C54" w:rsidRPr="008C0C54" w:rsidRDefault="008C0C54" w:rsidP="008C0C54">
            <w:pPr>
              <w:jc w:val="right"/>
              <w:rPr>
                <w:color w:val="000000"/>
              </w:rPr>
            </w:pPr>
            <w:r w:rsidRPr="008C0C54">
              <w:rPr>
                <w:color w:val="000000"/>
              </w:rPr>
              <w:t>2,837</w:t>
            </w:r>
          </w:p>
        </w:tc>
      </w:tr>
      <w:tr w:rsidR="008C0C54" w:rsidRPr="008C0C54" w:rsidTr="00825B7E">
        <w:trPr>
          <w:trHeight w:val="297"/>
          <w:jc w:val="center"/>
        </w:trPr>
        <w:tc>
          <w:tcPr>
            <w:tcW w:w="1083" w:type="dxa"/>
            <w:shd w:val="clear" w:color="auto" w:fill="FFFFFF" w:themeFill="background1"/>
            <w:noWrap/>
            <w:vAlign w:val="bottom"/>
            <w:hideMark/>
          </w:tcPr>
          <w:p w:rsidR="008C0C54" w:rsidRPr="008C0C54" w:rsidRDefault="008C0C54" w:rsidP="008C0C54">
            <w:pPr>
              <w:jc w:val="center"/>
              <w:rPr>
                <w:color w:val="000000"/>
              </w:rPr>
            </w:pPr>
            <w:r w:rsidRPr="008C0C54">
              <w:rPr>
                <w:color w:val="000000"/>
              </w:rPr>
              <w:t>Gulf</w:t>
            </w:r>
          </w:p>
        </w:tc>
        <w:tc>
          <w:tcPr>
            <w:tcW w:w="1196" w:type="dxa"/>
            <w:shd w:val="clear" w:color="auto" w:fill="auto"/>
            <w:noWrap/>
            <w:hideMark/>
          </w:tcPr>
          <w:p w:rsidR="008C0C54" w:rsidRPr="008C0C54" w:rsidRDefault="008C0C54" w:rsidP="008C0C54">
            <w:pPr>
              <w:jc w:val="right"/>
              <w:rPr>
                <w:color w:val="000000"/>
              </w:rPr>
            </w:pPr>
            <w:r w:rsidRPr="008C0C54">
              <w:rPr>
                <w:color w:val="000000"/>
              </w:rPr>
              <w:t>382</w:t>
            </w:r>
          </w:p>
        </w:tc>
        <w:tc>
          <w:tcPr>
            <w:tcW w:w="1448" w:type="dxa"/>
            <w:shd w:val="clear" w:color="auto" w:fill="auto"/>
            <w:noWrap/>
            <w:hideMark/>
          </w:tcPr>
          <w:p w:rsidR="008C0C54" w:rsidRPr="008C0C54" w:rsidRDefault="008C0C54" w:rsidP="008C0C54">
            <w:pPr>
              <w:jc w:val="right"/>
              <w:rPr>
                <w:color w:val="000000"/>
              </w:rPr>
            </w:pPr>
            <w:r w:rsidRPr="008C0C54">
              <w:rPr>
                <w:color w:val="000000"/>
              </w:rPr>
              <w:t>297</w:t>
            </w:r>
          </w:p>
        </w:tc>
        <w:tc>
          <w:tcPr>
            <w:tcW w:w="1196" w:type="dxa"/>
            <w:shd w:val="clear" w:color="auto" w:fill="auto"/>
            <w:noWrap/>
            <w:hideMark/>
          </w:tcPr>
          <w:p w:rsidR="008C0C54" w:rsidRPr="008C0C54" w:rsidRDefault="008C0C54" w:rsidP="008C0C54">
            <w:pPr>
              <w:jc w:val="right"/>
              <w:rPr>
                <w:color w:val="000000"/>
              </w:rPr>
            </w:pPr>
            <w:r w:rsidRPr="008C0C54">
              <w:rPr>
                <w:color w:val="000000"/>
              </w:rPr>
              <w:t>313</w:t>
            </w:r>
          </w:p>
        </w:tc>
        <w:tc>
          <w:tcPr>
            <w:tcW w:w="1448" w:type="dxa"/>
            <w:shd w:val="clear" w:color="auto" w:fill="auto"/>
            <w:noWrap/>
            <w:hideMark/>
          </w:tcPr>
          <w:p w:rsidR="008C0C54" w:rsidRPr="008C0C54" w:rsidRDefault="008C0C54" w:rsidP="008C0C54">
            <w:pPr>
              <w:jc w:val="right"/>
              <w:rPr>
                <w:color w:val="000000"/>
              </w:rPr>
            </w:pPr>
            <w:r w:rsidRPr="008C0C54">
              <w:rPr>
                <w:color w:val="000000"/>
              </w:rPr>
              <w:t>992</w:t>
            </w:r>
          </w:p>
        </w:tc>
      </w:tr>
      <w:tr w:rsidR="008C0C54" w:rsidRPr="008C0C54" w:rsidTr="00825B7E">
        <w:trPr>
          <w:trHeight w:val="297"/>
          <w:jc w:val="center"/>
        </w:trPr>
        <w:tc>
          <w:tcPr>
            <w:tcW w:w="1083" w:type="dxa"/>
            <w:shd w:val="clear" w:color="auto" w:fill="FFFFFF" w:themeFill="background1"/>
            <w:noWrap/>
            <w:vAlign w:val="bottom"/>
            <w:hideMark/>
          </w:tcPr>
          <w:p w:rsidR="008C0C54" w:rsidRPr="008C0C54" w:rsidRDefault="008C0C54" w:rsidP="008C0C54">
            <w:pPr>
              <w:jc w:val="center"/>
              <w:rPr>
                <w:b/>
                <w:bCs/>
                <w:color w:val="000000"/>
              </w:rPr>
            </w:pPr>
            <w:r w:rsidRPr="008C0C54">
              <w:rPr>
                <w:b/>
                <w:bCs/>
                <w:color w:val="000000"/>
              </w:rPr>
              <w:t xml:space="preserve">Total </w:t>
            </w:r>
          </w:p>
        </w:tc>
        <w:tc>
          <w:tcPr>
            <w:tcW w:w="1196" w:type="dxa"/>
            <w:shd w:val="clear" w:color="auto" w:fill="auto"/>
            <w:noWrap/>
            <w:hideMark/>
          </w:tcPr>
          <w:p w:rsidR="008C0C54" w:rsidRPr="008C0C54" w:rsidRDefault="008C0C54" w:rsidP="008C0C54">
            <w:pPr>
              <w:jc w:val="right"/>
              <w:rPr>
                <w:color w:val="000000"/>
              </w:rPr>
            </w:pPr>
            <w:r w:rsidRPr="008C0C54">
              <w:rPr>
                <w:color w:val="000000"/>
              </w:rPr>
              <w:t>6,310</w:t>
            </w:r>
          </w:p>
        </w:tc>
        <w:tc>
          <w:tcPr>
            <w:tcW w:w="1448" w:type="dxa"/>
            <w:shd w:val="clear" w:color="auto" w:fill="auto"/>
            <w:noWrap/>
            <w:hideMark/>
          </w:tcPr>
          <w:p w:rsidR="008C0C54" w:rsidRPr="008C0C54" w:rsidRDefault="008C0C54" w:rsidP="008C0C54">
            <w:pPr>
              <w:jc w:val="right"/>
              <w:rPr>
                <w:color w:val="000000"/>
              </w:rPr>
            </w:pPr>
            <w:r w:rsidRPr="008C0C54">
              <w:rPr>
                <w:color w:val="000000"/>
              </w:rPr>
              <w:t>10,469</w:t>
            </w:r>
          </w:p>
        </w:tc>
        <w:tc>
          <w:tcPr>
            <w:tcW w:w="1196" w:type="dxa"/>
            <w:shd w:val="clear" w:color="auto" w:fill="auto"/>
            <w:noWrap/>
            <w:hideMark/>
          </w:tcPr>
          <w:p w:rsidR="008C0C54" w:rsidRPr="008C0C54" w:rsidRDefault="008C0C54" w:rsidP="008C0C54">
            <w:pPr>
              <w:jc w:val="right"/>
              <w:rPr>
                <w:color w:val="000000"/>
              </w:rPr>
            </w:pPr>
            <w:r w:rsidRPr="008C0C54">
              <w:rPr>
                <w:color w:val="000000"/>
              </w:rPr>
              <w:t>6,341</w:t>
            </w:r>
          </w:p>
        </w:tc>
        <w:tc>
          <w:tcPr>
            <w:tcW w:w="1448" w:type="dxa"/>
            <w:shd w:val="clear" w:color="auto" w:fill="auto"/>
            <w:noWrap/>
            <w:hideMark/>
          </w:tcPr>
          <w:p w:rsidR="008C0C54" w:rsidRPr="008C0C54" w:rsidRDefault="008C0C54" w:rsidP="008C0C54">
            <w:pPr>
              <w:jc w:val="right"/>
              <w:rPr>
                <w:color w:val="000000"/>
              </w:rPr>
            </w:pPr>
            <w:r w:rsidRPr="008C0C54">
              <w:rPr>
                <w:color w:val="000000"/>
              </w:rPr>
              <w:t>23,120</w:t>
            </w:r>
          </w:p>
        </w:tc>
      </w:tr>
    </w:tbl>
    <w:p w:rsidR="008C0C54" w:rsidRPr="008C0C54" w:rsidRDefault="008C0C54" w:rsidP="008C0C54">
      <w:pPr>
        <w:ind w:left="1275"/>
        <w:rPr>
          <w:sz w:val="20"/>
          <w:szCs w:val="20"/>
        </w:rPr>
      </w:pPr>
      <w:r w:rsidRPr="008C0C54">
        <w:rPr>
          <w:sz w:val="20"/>
          <w:szCs w:val="20"/>
        </w:rPr>
        <w:t>*2019 figures do not include a full year of data.</w:t>
      </w:r>
    </w:p>
    <w:p w:rsidR="008C0C54" w:rsidRPr="008C0C54" w:rsidRDefault="008C0C54" w:rsidP="008C0C54">
      <w:pPr>
        <w:jc w:val="both"/>
      </w:pPr>
    </w:p>
    <w:p w:rsidR="008C0C54" w:rsidRDefault="008C0C54" w:rsidP="008C0C54">
      <w:pPr>
        <w:jc w:val="both"/>
      </w:pPr>
      <w:r>
        <w:tab/>
      </w:r>
      <w:r w:rsidR="00E73992">
        <w:t>Thus</w:t>
      </w:r>
      <w:r w:rsidR="00462595">
        <w:t>, the current Net Metering R</w:t>
      </w:r>
      <w:r w:rsidRPr="008C0C54">
        <w:t xml:space="preserve">ule has contributed to the increasing demand for customer-owned </w:t>
      </w:r>
      <w:r w:rsidR="006C35C1">
        <w:t xml:space="preserve">renewable </w:t>
      </w:r>
      <w:r w:rsidRPr="008C0C54">
        <w:t>generation.</w:t>
      </w:r>
    </w:p>
    <w:p w:rsidR="002C6299" w:rsidRPr="008C0C54" w:rsidRDefault="002C6299" w:rsidP="008C0C54">
      <w:pPr>
        <w:jc w:val="both"/>
      </w:pPr>
    </w:p>
    <w:p w:rsidR="008C0C54" w:rsidRPr="008C360C" w:rsidRDefault="008C360C" w:rsidP="008C360C">
      <w:pPr>
        <w:ind w:firstLine="720"/>
        <w:jc w:val="both"/>
      </w:pPr>
      <w:r w:rsidRPr="008C360C">
        <w:t xml:space="preserve">2. </w:t>
      </w:r>
      <w:r>
        <w:t>SACE and</w:t>
      </w:r>
      <w:r w:rsidR="008C0C54" w:rsidRPr="008C360C">
        <w:t xml:space="preserve"> LULAC’s Pilot Program</w:t>
      </w:r>
    </w:p>
    <w:p w:rsidR="008C0C54" w:rsidRPr="00D91A6A" w:rsidRDefault="008C0C54" w:rsidP="008C0C54">
      <w:pPr>
        <w:jc w:val="both"/>
      </w:pPr>
    </w:p>
    <w:p w:rsidR="008C0C54" w:rsidRPr="008C0C54" w:rsidRDefault="008C0C54" w:rsidP="008C0C54">
      <w:pPr>
        <w:jc w:val="both"/>
      </w:pPr>
      <w:r>
        <w:tab/>
      </w:r>
      <w:r w:rsidR="008B0143">
        <w:t>SACE and</w:t>
      </w:r>
      <w:r w:rsidRPr="008C0C54">
        <w:t xml:space="preserve"> LULAC </w:t>
      </w:r>
      <w:r w:rsidR="00BD6A02">
        <w:t xml:space="preserve">did not sponsor any testimony related to </w:t>
      </w:r>
      <w:r w:rsidR="00AB08E3">
        <w:t>demand-side renewable energy</w:t>
      </w:r>
      <w:r w:rsidR="007E43BE">
        <w:t xml:space="preserve"> goals</w:t>
      </w:r>
      <w:r w:rsidR="00BD6A02">
        <w:t xml:space="preserve"> but </w:t>
      </w:r>
      <w:r w:rsidR="00BD6A02" w:rsidRPr="008C0C54">
        <w:t>propose</w:t>
      </w:r>
      <w:r w:rsidR="00BD6A02">
        <w:t>d</w:t>
      </w:r>
      <w:r w:rsidR="00BD6A02" w:rsidRPr="008C0C54">
        <w:t xml:space="preserve"> a </w:t>
      </w:r>
      <w:r w:rsidR="00AB08E3">
        <w:t>demand-side renewable energy</w:t>
      </w:r>
      <w:r w:rsidR="00BD6A02" w:rsidRPr="008C0C54">
        <w:t xml:space="preserve"> goal</w:t>
      </w:r>
      <w:r w:rsidR="00BD6A02" w:rsidRPr="00BD6A02">
        <w:t xml:space="preserve"> </w:t>
      </w:r>
      <w:r w:rsidR="00BD6A02" w:rsidRPr="008C0C54">
        <w:t>in their brief</w:t>
      </w:r>
      <w:r w:rsidR="007E43BE" w:rsidRPr="007E43BE">
        <w:t xml:space="preserve"> </w:t>
      </w:r>
      <w:r w:rsidR="007E43BE" w:rsidRPr="008C0C54">
        <w:t xml:space="preserve">that they believe would meet the </w:t>
      </w:r>
      <w:r w:rsidR="00AB08E3">
        <w:t>demand-side renewable energy</w:t>
      </w:r>
      <w:r w:rsidR="007E43BE" w:rsidRPr="008C0C54">
        <w:t xml:space="preserve"> goal requirements of FEECA</w:t>
      </w:r>
      <w:r w:rsidR="007E43BE">
        <w:t xml:space="preserve">. </w:t>
      </w:r>
      <w:r w:rsidR="007E43BE" w:rsidRPr="008C0C54">
        <w:t>The proposal include</w:t>
      </w:r>
      <w:r w:rsidR="00E73992">
        <w:t>d</w:t>
      </w:r>
      <w:r w:rsidR="007E43BE" w:rsidRPr="008C0C54">
        <w:t xml:space="preserve"> solar PV and battery installations at schools</w:t>
      </w:r>
      <w:r w:rsidR="007E43BE">
        <w:t xml:space="preserve"> to be </w:t>
      </w:r>
      <w:r w:rsidRPr="008C0C54">
        <w:t>implemented through a five-year pilot program</w:t>
      </w:r>
      <w:r w:rsidR="007E43BE">
        <w:t xml:space="preserve">. </w:t>
      </w:r>
      <w:r w:rsidR="00E73992">
        <w:t>The</w:t>
      </w:r>
      <w:r w:rsidR="00E73992" w:rsidRPr="008C0C54">
        <w:t xml:space="preserve"> proposed pilot program</w:t>
      </w:r>
      <w:r w:rsidR="00E73992">
        <w:t>, however,</w:t>
      </w:r>
      <w:r w:rsidR="00E73992" w:rsidRPr="008C0C54">
        <w:t xml:space="preserve"> </w:t>
      </w:r>
      <w:r w:rsidR="00F0755E">
        <w:t>was not supported by</w:t>
      </w:r>
      <w:r w:rsidR="00E73992" w:rsidRPr="008C0C54">
        <w:t xml:space="preserve"> competent and substantial</w:t>
      </w:r>
      <w:r w:rsidR="00E73992">
        <w:t xml:space="preserve"> </w:t>
      </w:r>
      <w:r w:rsidR="00A07AE3">
        <w:t>evidence that demonstrated cost-effectiveness.</w:t>
      </w:r>
      <w:r w:rsidR="00E73992">
        <w:t xml:space="preserve"> Additionally,</w:t>
      </w:r>
      <w:r w:rsidRPr="008C0C54">
        <w:t xml:space="preserve"> witness Floyd testified that the cost of battery storage is still too high to be considered cost</w:t>
      </w:r>
      <w:r w:rsidR="00DA2A93">
        <w:t>-</w:t>
      </w:r>
      <w:r w:rsidRPr="008C0C54">
        <w:t>effective.</w:t>
      </w:r>
      <w:r w:rsidR="00E73992">
        <w:t xml:space="preserve"> </w:t>
      </w:r>
      <w:r w:rsidR="008B0143">
        <w:t>Thus, SACE and</w:t>
      </w:r>
      <w:r w:rsidRPr="008C0C54">
        <w:t xml:space="preserve"> LULAC’s proposed pilot program sh</w:t>
      </w:r>
      <w:r w:rsidR="007E43BE">
        <w:t>all not</w:t>
      </w:r>
      <w:r w:rsidRPr="008C0C54">
        <w:t xml:space="preserve"> be approved at this time.</w:t>
      </w:r>
    </w:p>
    <w:p w:rsidR="008C0C54" w:rsidRDefault="008C0C54" w:rsidP="008C0C54">
      <w:pPr>
        <w:jc w:val="both"/>
      </w:pPr>
    </w:p>
    <w:p w:rsidR="008B52A6" w:rsidRDefault="008B52A6" w:rsidP="008C0C54">
      <w:pPr>
        <w:jc w:val="both"/>
      </w:pPr>
    </w:p>
    <w:p w:rsidR="008B52A6" w:rsidRDefault="008B52A6" w:rsidP="008C0C54">
      <w:pPr>
        <w:jc w:val="both"/>
      </w:pPr>
    </w:p>
    <w:p w:rsidR="008B52A6" w:rsidRDefault="008B52A6" w:rsidP="008C0C54">
      <w:pPr>
        <w:jc w:val="both"/>
      </w:pPr>
    </w:p>
    <w:p w:rsidR="00754B22" w:rsidRPr="008C0C54" w:rsidRDefault="00754B22" w:rsidP="008C0C54">
      <w:pPr>
        <w:jc w:val="both"/>
      </w:pPr>
    </w:p>
    <w:p w:rsidR="008C0C54" w:rsidRPr="008C360C" w:rsidRDefault="008C360C" w:rsidP="008C360C">
      <w:pPr>
        <w:ind w:firstLine="720"/>
      </w:pPr>
      <w:r w:rsidRPr="008C360C">
        <w:lastRenderedPageBreak/>
        <w:t>D. Conclusion</w:t>
      </w:r>
    </w:p>
    <w:p w:rsidR="00F46492" w:rsidRPr="00BD6A02" w:rsidRDefault="00F46492" w:rsidP="008C0C54">
      <w:pPr>
        <w:jc w:val="center"/>
        <w:rPr>
          <w:b/>
        </w:rPr>
      </w:pPr>
    </w:p>
    <w:p w:rsidR="008C0C54" w:rsidRDefault="00F46492" w:rsidP="00050035">
      <w:pPr>
        <w:jc w:val="both"/>
      </w:pPr>
      <w:r>
        <w:tab/>
      </w:r>
      <w:r w:rsidR="008C0C54" w:rsidRPr="008C0C54">
        <w:t xml:space="preserve">Based upon the evidence in the record, </w:t>
      </w:r>
      <w:r w:rsidR="00050035">
        <w:t>we find that</w:t>
      </w:r>
      <w:r w:rsidR="00776125">
        <w:t xml:space="preserve"> none of the</w:t>
      </w:r>
      <w:r w:rsidR="008C0C54" w:rsidRPr="008C0C54">
        <w:t xml:space="preserve"> </w:t>
      </w:r>
      <w:r w:rsidR="00776125">
        <w:t>demand-side renewable energy</w:t>
      </w:r>
      <w:r w:rsidR="00776125" w:rsidRPr="008C0C54">
        <w:t xml:space="preserve"> </w:t>
      </w:r>
      <w:r w:rsidR="008C0C54" w:rsidRPr="008C0C54">
        <w:t xml:space="preserve">measures </w:t>
      </w:r>
      <w:r w:rsidR="00232488">
        <w:t>identified</w:t>
      </w:r>
      <w:r w:rsidR="00776125">
        <w:t xml:space="preserve"> by the parties are </w:t>
      </w:r>
      <w:r w:rsidR="008C0C54" w:rsidRPr="008C0C54">
        <w:t>cost-effective. Evidence in the record</w:t>
      </w:r>
      <w:r w:rsidR="007B1FA0">
        <w:t xml:space="preserve"> further</w:t>
      </w:r>
      <w:r w:rsidR="008C0C54" w:rsidRPr="008C0C54">
        <w:t xml:space="preserve"> show</w:t>
      </w:r>
      <w:r w:rsidR="00050035">
        <w:t>s</w:t>
      </w:r>
      <w:r w:rsidR="008C0C54" w:rsidRPr="008C0C54">
        <w:t xml:space="preserve"> that </w:t>
      </w:r>
      <w:r w:rsidR="000B4369">
        <w:t>Rule 25-6.065, F.A.C.,</w:t>
      </w:r>
      <w:r w:rsidR="008C0C54" w:rsidRPr="008C0C54">
        <w:t xml:space="preserve"> is an effective means of encouraging the development of </w:t>
      </w:r>
      <w:r w:rsidR="00AB08E3">
        <w:t>demand-side renewable energy</w:t>
      </w:r>
      <w:r w:rsidR="008C0C54" w:rsidRPr="008C0C54">
        <w:t xml:space="preserve"> systems that allow participants to offset their energy usage. </w:t>
      </w:r>
      <w:r w:rsidR="00050035">
        <w:t xml:space="preserve"> Therefore,</w:t>
      </w:r>
      <w:r w:rsidR="00050035" w:rsidRPr="008C0C54">
        <w:t xml:space="preserve"> </w:t>
      </w:r>
      <w:r w:rsidR="00050035">
        <w:t xml:space="preserve">we find that </w:t>
      </w:r>
      <w:r w:rsidR="00050035" w:rsidRPr="008C0C54">
        <w:t>the FEECA Utilities</w:t>
      </w:r>
      <w:r w:rsidR="00050035">
        <w:t>’</w:t>
      </w:r>
      <w:r w:rsidR="00050035" w:rsidRPr="008C0C54">
        <w:t xml:space="preserve"> </w:t>
      </w:r>
      <w:r w:rsidR="00050035">
        <w:t>continued</w:t>
      </w:r>
      <w:r w:rsidR="00050035" w:rsidRPr="008C0C54">
        <w:t xml:space="preserve"> </w:t>
      </w:r>
      <w:r w:rsidR="000B4369">
        <w:t>implementation and compliance with Rule 25-6.065, F.A.C.,</w:t>
      </w:r>
      <w:r w:rsidR="00050035">
        <w:t xml:space="preserve"> is an </w:t>
      </w:r>
      <w:r w:rsidR="00050035" w:rsidRPr="008C0C54">
        <w:t>appropriate goal</w:t>
      </w:r>
      <w:r w:rsidR="00050035">
        <w:t xml:space="preserve"> </w:t>
      </w:r>
      <w:r w:rsidR="00050035" w:rsidRPr="008C0C54">
        <w:t>in this proceeding.</w:t>
      </w:r>
    </w:p>
    <w:p w:rsidR="00F46492" w:rsidRDefault="00F46492" w:rsidP="008C0C54"/>
    <w:p w:rsidR="00825B7E" w:rsidRDefault="00825B7E" w:rsidP="00825B7E">
      <w:pPr>
        <w:pStyle w:val="OrderBody"/>
      </w:pPr>
      <w:r>
        <w:tab/>
        <w:t>Based on the foregoing, it is</w:t>
      </w:r>
    </w:p>
    <w:p w:rsidR="00825B7E" w:rsidRDefault="00825B7E" w:rsidP="00825B7E">
      <w:pPr>
        <w:pStyle w:val="OrderBody"/>
      </w:pPr>
    </w:p>
    <w:p w:rsidR="00EC1980" w:rsidRDefault="00825B7E" w:rsidP="00825B7E">
      <w:pPr>
        <w:pStyle w:val="OrderBody"/>
      </w:pPr>
      <w:r>
        <w:tab/>
      </w:r>
      <w:proofErr w:type="gramStart"/>
      <w:r>
        <w:t>ORDERED by the Florida Public Service Commission that</w:t>
      </w:r>
      <w:r w:rsidR="00EC1980">
        <w:t xml:space="preserve"> </w:t>
      </w:r>
      <w:r w:rsidR="00776125">
        <w:t>the FEECA Utilities’</w:t>
      </w:r>
      <w:r w:rsidR="00EC1980">
        <w:t xml:space="preserve"> </w:t>
      </w:r>
      <w:r w:rsidR="00776125">
        <w:t>numeric conservation goals</w:t>
      </w:r>
      <w:r w:rsidR="00EC1980">
        <w:t xml:space="preserve"> are hereby approved as set forth </w:t>
      </w:r>
      <w:r w:rsidR="00776125">
        <w:t>in Attachment B</w:t>
      </w:r>
      <w:r w:rsidR="00EC1980">
        <w:t>.</w:t>
      </w:r>
      <w:proofErr w:type="gramEnd"/>
      <w:r w:rsidR="00EC1980">
        <w:t xml:space="preserve">  It is further</w:t>
      </w:r>
    </w:p>
    <w:p w:rsidR="00EC1980" w:rsidRDefault="00EC1980" w:rsidP="00EC1980">
      <w:pPr>
        <w:pStyle w:val="OrderBody"/>
      </w:pPr>
    </w:p>
    <w:p w:rsidR="000543D3" w:rsidRDefault="000543D3" w:rsidP="000543D3">
      <w:pPr>
        <w:pStyle w:val="OrderBody"/>
        <w:ind w:firstLine="720"/>
      </w:pPr>
      <w:proofErr w:type="gramStart"/>
      <w:r>
        <w:t xml:space="preserve">ORDERED that </w:t>
      </w:r>
      <w:r w:rsidRPr="008C0C54">
        <w:t xml:space="preserve">the FEECA Utilities </w:t>
      </w:r>
      <w:r>
        <w:t>shall continue</w:t>
      </w:r>
      <w:r w:rsidRPr="008C0C54">
        <w:t xml:space="preserve"> </w:t>
      </w:r>
      <w:r w:rsidR="000B4369">
        <w:t>to implement Rule 25-6.065, F.A.C.</w:t>
      </w:r>
      <w:proofErr w:type="gramEnd"/>
      <w:r w:rsidR="000B4369">
        <w:t xml:space="preserve"> </w:t>
      </w:r>
      <w:r>
        <w:t>It is further</w:t>
      </w:r>
    </w:p>
    <w:p w:rsidR="000543D3" w:rsidRDefault="000543D3" w:rsidP="00EC1980">
      <w:pPr>
        <w:pStyle w:val="OrderBody"/>
      </w:pPr>
    </w:p>
    <w:p w:rsidR="00EC1980" w:rsidRDefault="00EC1980" w:rsidP="00EC1980">
      <w:pPr>
        <w:pStyle w:val="OrderBody"/>
      </w:pPr>
      <w:r>
        <w:tab/>
        <w:t>ORDERED that</w:t>
      </w:r>
      <w:r w:rsidRPr="00EC1980">
        <w:t xml:space="preserve"> </w:t>
      </w:r>
      <w:r>
        <w:t>w</w:t>
      </w:r>
      <w:r w:rsidRPr="00825B7E">
        <w:t>ithin 90 days of the issuance of th</w:t>
      </w:r>
      <w:r>
        <w:t>is Order,</w:t>
      </w:r>
      <w:r w:rsidR="00914050">
        <w:t xml:space="preserve"> the FEECA Utilities</w:t>
      </w:r>
      <w:r w:rsidRPr="00825B7E">
        <w:t xml:space="preserve"> sh</w:t>
      </w:r>
      <w:r>
        <w:t>all</w:t>
      </w:r>
      <w:r w:rsidR="00914050">
        <w:t xml:space="preserve"> file individual </w:t>
      </w:r>
      <w:r w:rsidRPr="00825B7E">
        <w:t>demand-side manage</w:t>
      </w:r>
      <w:r>
        <w:t>ment plan</w:t>
      </w:r>
      <w:r w:rsidR="00914050">
        <w:t>s</w:t>
      </w:r>
      <w:r>
        <w:t xml:space="preserve"> designed to meet </w:t>
      </w:r>
      <w:r w:rsidR="00914050">
        <w:t>their</w:t>
      </w:r>
      <w:r w:rsidRPr="00825B7E">
        <w:t xml:space="preserve"> approved goals</w:t>
      </w:r>
      <w:r>
        <w:t>.  It is further</w:t>
      </w:r>
    </w:p>
    <w:p w:rsidR="00944EEB" w:rsidRDefault="00944EEB" w:rsidP="00EC1980">
      <w:pPr>
        <w:pStyle w:val="OrderBody"/>
      </w:pPr>
    </w:p>
    <w:p w:rsidR="00EC1980" w:rsidRDefault="00944EEB" w:rsidP="00EC1980">
      <w:pPr>
        <w:pStyle w:val="OrderBody"/>
      </w:pPr>
      <w:r>
        <w:tab/>
      </w:r>
      <w:r w:rsidR="00EC1980">
        <w:t>ORDERED that t</w:t>
      </w:r>
      <w:r w:rsidR="00EC1980" w:rsidRPr="00825B7E">
        <w:t>hese dockets sh</w:t>
      </w:r>
      <w:r w:rsidR="00EC1980">
        <w:t>all</w:t>
      </w:r>
      <w:r w:rsidR="00EC1980" w:rsidRPr="00825B7E">
        <w:t xml:space="preserve"> be closed after the time for filing an appeal has run</w:t>
      </w:r>
      <w:r w:rsidR="00EC1980">
        <w:t>.</w:t>
      </w:r>
    </w:p>
    <w:p w:rsidR="00825B7E" w:rsidRDefault="00825B7E" w:rsidP="00825B7E">
      <w:pPr>
        <w:pStyle w:val="OrderBody"/>
      </w:pPr>
    </w:p>
    <w:p w:rsidR="00825B7E" w:rsidRDefault="00825B7E" w:rsidP="00825B7E">
      <w:pPr>
        <w:pStyle w:val="OrderBody"/>
        <w:keepNext/>
        <w:keepLines/>
      </w:pPr>
      <w:r>
        <w:tab/>
        <w:t xml:space="preserve">By ORDER of the Florida Public Service Commission this </w:t>
      </w:r>
      <w:bookmarkStart w:id="8" w:name="replaceDate"/>
      <w:bookmarkEnd w:id="8"/>
      <w:r w:rsidR="005E7CB9">
        <w:rPr>
          <w:u w:val="single"/>
        </w:rPr>
        <w:t>26th</w:t>
      </w:r>
      <w:r w:rsidR="005E7CB9">
        <w:t xml:space="preserve"> day of </w:t>
      </w:r>
      <w:r w:rsidR="005E7CB9">
        <w:rPr>
          <w:u w:val="single"/>
        </w:rPr>
        <w:t>November</w:t>
      </w:r>
      <w:r w:rsidR="005E7CB9">
        <w:t xml:space="preserve">, </w:t>
      </w:r>
      <w:r w:rsidR="005E7CB9">
        <w:rPr>
          <w:u w:val="single"/>
        </w:rPr>
        <w:t>2019</w:t>
      </w:r>
      <w:r w:rsidR="005E7CB9">
        <w:t>.</w:t>
      </w:r>
    </w:p>
    <w:p w:rsidR="005E7CB9" w:rsidRPr="005E7CB9" w:rsidRDefault="005E7CB9" w:rsidP="00825B7E">
      <w:pPr>
        <w:pStyle w:val="OrderBody"/>
        <w:keepNext/>
        <w:keepLines/>
      </w:pPr>
    </w:p>
    <w:p w:rsidR="00825B7E" w:rsidRDefault="00825B7E" w:rsidP="00825B7E">
      <w:pPr>
        <w:pStyle w:val="OrderBody"/>
        <w:keepNext/>
        <w:keepLines/>
      </w:pPr>
    </w:p>
    <w:p w:rsidR="00825B7E" w:rsidRDefault="00825B7E" w:rsidP="00825B7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5B7E" w:rsidTr="00825B7E">
        <w:tc>
          <w:tcPr>
            <w:tcW w:w="720" w:type="dxa"/>
            <w:shd w:val="clear" w:color="auto" w:fill="auto"/>
          </w:tcPr>
          <w:p w:rsidR="00825B7E" w:rsidRDefault="00825B7E" w:rsidP="00825B7E">
            <w:pPr>
              <w:pStyle w:val="OrderBody"/>
              <w:keepNext/>
              <w:keepLines/>
            </w:pPr>
            <w:bookmarkStart w:id="9" w:name="bkmrkSignature" w:colFirst="0" w:colLast="0"/>
          </w:p>
        </w:tc>
        <w:tc>
          <w:tcPr>
            <w:tcW w:w="4320" w:type="dxa"/>
            <w:tcBorders>
              <w:bottom w:val="single" w:sz="4" w:space="0" w:color="auto"/>
            </w:tcBorders>
            <w:shd w:val="clear" w:color="auto" w:fill="auto"/>
          </w:tcPr>
          <w:p w:rsidR="00825B7E" w:rsidRDefault="005E7CB9" w:rsidP="00825B7E">
            <w:pPr>
              <w:pStyle w:val="OrderBody"/>
              <w:keepNext/>
              <w:keepLines/>
            </w:pPr>
            <w:r>
              <w:t>/s/ Adam J. Teitzman</w:t>
            </w:r>
            <w:bookmarkStart w:id="10" w:name="_GoBack"/>
            <w:bookmarkEnd w:id="10"/>
          </w:p>
        </w:tc>
      </w:tr>
      <w:bookmarkEnd w:id="9"/>
      <w:tr w:rsidR="00825B7E" w:rsidTr="00825B7E">
        <w:tc>
          <w:tcPr>
            <w:tcW w:w="720" w:type="dxa"/>
            <w:shd w:val="clear" w:color="auto" w:fill="auto"/>
          </w:tcPr>
          <w:p w:rsidR="00825B7E" w:rsidRDefault="00825B7E" w:rsidP="00825B7E">
            <w:pPr>
              <w:pStyle w:val="OrderBody"/>
              <w:keepNext/>
              <w:keepLines/>
            </w:pPr>
          </w:p>
        </w:tc>
        <w:tc>
          <w:tcPr>
            <w:tcW w:w="4320" w:type="dxa"/>
            <w:tcBorders>
              <w:top w:val="single" w:sz="4" w:space="0" w:color="auto"/>
            </w:tcBorders>
            <w:shd w:val="clear" w:color="auto" w:fill="auto"/>
          </w:tcPr>
          <w:p w:rsidR="00825B7E" w:rsidRDefault="00825B7E" w:rsidP="00825B7E">
            <w:pPr>
              <w:pStyle w:val="OrderBody"/>
              <w:keepNext/>
              <w:keepLines/>
            </w:pPr>
            <w:r>
              <w:t>ADAM J. TEITZMAN</w:t>
            </w:r>
          </w:p>
          <w:p w:rsidR="00825B7E" w:rsidRDefault="00825B7E" w:rsidP="00825B7E">
            <w:pPr>
              <w:pStyle w:val="OrderBody"/>
              <w:keepNext/>
              <w:keepLines/>
            </w:pPr>
            <w:r>
              <w:t>Commission Clerk</w:t>
            </w:r>
          </w:p>
        </w:tc>
      </w:tr>
    </w:tbl>
    <w:p w:rsidR="00825B7E" w:rsidRDefault="00825B7E" w:rsidP="00825B7E">
      <w:pPr>
        <w:pStyle w:val="OrderSigInfo"/>
        <w:keepNext/>
        <w:keepLines/>
      </w:pPr>
      <w:r>
        <w:t>Florida Public Service Commission</w:t>
      </w:r>
    </w:p>
    <w:p w:rsidR="00825B7E" w:rsidRDefault="00825B7E" w:rsidP="00825B7E">
      <w:pPr>
        <w:pStyle w:val="OrderSigInfo"/>
        <w:keepNext/>
        <w:keepLines/>
      </w:pPr>
      <w:r>
        <w:t>2540 Shumard Oak Boulevard</w:t>
      </w:r>
    </w:p>
    <w:p w:rsidR="00825B7E" w:rsidRDefault="00825B7E" w:rsidP="00825B7E">
      <w:pPr>
        <w:pStyle w:val="OrderSigInfo"/>
        <w:keepNext/>
        <w:keepLines/>
      </w:pPr>
      <w:r>
        <w:t>Tallahassee, Florida 32399</w:t>
      </w:r>
    </w:p>
    <w:p w:rsidR="00825B7E" w:rsidRDefault="00825B7E" w:rsidP="00825B7E">
      <w:pPr>
        <w:pStyle w:val="OrderSigInfo"/>
        <w:keepNext/>
        <w:keepLines/>
      </w:pPr>
      <w:r>
        <w:t>(850) 413</w:t>
      </w:r>
      <w:r>
        <w:noBreakHyphen/>
        <w:t>6770</w:t>
      </w:r>
    </w:p>
    <w:p w:rsidR="00825B7E" w:rsidRDefault="00825B7E" w:rsidP="00825B7E">
      <w:pPr>
        <w:pStyle w:val="OrderSigInfo"/>
        <w:keepNext/>
        <w:keepLines/>
      </w:pPr>
      <w:r>
        <w:t>www.floridapsc.com</w:t>
      </w:r>
    </w:p>
    <w:p w:rsidR="00825B7E" w:rsidRDefault="00825B7E" w:rsidP="00825B7E">
      <w:pPr>
        <w:pStyle w:val="OrderSigInfo"/>
        <w:keepNext/>
        <w:keepLines/>
      </w:pPr>
    </w:p>
    <w:p w:rsidR="00825B7E" w:rsidRDefault="00825B7E" w:rsidP="00825B7E">
      <w:pPr>
        <w:pStyle w:val="OrderSigInfo"/>
        <w:keepNext/>
        <w:keepLines/>
      </w:pPr>
      <w:r>
        <w:t>Copies furnished:  A copy of this document is provided to the parties of record at the time of issuance and, if applicable, interested persons.</w:t>
      </w:r>
    </w:p>
    <w:p w:rsidR="00825B7E" w:rsidRDefault="00825B7E" w:rsidP="00825B7E">
      <w:pPr>
        <w:pStyle w:val="OrderBody"/>
        <w:keepNext/>
        <w:keepLines/>
      </w:pPr>
      <w:r>
        <w:t>MAD</w:t>
      </w:r>
    </w:p>
    <w:p w:rsidR="002C6299" w:rsidRDefault="002C6299" w:rsidP="00EC1980">
      <w:pPr>
        <w:pStyle w:val="CenterUnderline"/>
      </w:pPr>
    </w:p>
    <w:p w:rsidR="008B52A6" w:rsidRDefault="008B52A6" w:rsidP="00EC1980">
      <w:pPr>
        <w:pStyle w:val="CenterUnderline"/>
      </w:pPr>
    </w:p>
    <w:p w:rsidR="00DB0EE7" w:rsidRDefault="00DB0EE7" w:rsidP="00EC1980">
      <w:pPr>
        <w:pStyle w:val="CenterUnderline"/>
      </w:pPr>
    </w:p>
    <w:p w:rsidR="005E7CB9" w:rsidRDefault="005E7CB9" w:rsidP="00DB0EE7">
      <w:pPr>
        <w:pStyle w:val="CenterUnderline"/>
        <w:jc w:val="both"/>
        <w:rPr>
          <w:u w:val="none"/>
        </w:rPr>
      </w:pPr>
    </w:p>
    <w:p w:rsidR="00DB0EE7" w:rsidRDefault="00DB0EE7" w:rsidP="00DB0EE7">
      <w:pPr>
        <w:pStyle w:val="CenterUnderline"/>
        <w:jc w:val="both"/>
        <w:rPr>
          <w:u w:val="none"/>
        </w:rPr>
      </w:pPr>
      <w:r>
        <w:rPr>
          <w:u w:val="none"/>
        </w:rPr>
        <w:lastRenderedPageBreak/>
        <w:t>COMMISSIONER CLARK CONCURS WITH OPINION:</w:t>
      </w:r>
    </w:p>
    <w:p w:rsidR="00DB0EE7" w:rsidRDefault="00DB0EE7" w:rsidP="00DB0EE7">
      <w:pPr>
        <w:pStyle w:val="CenterUnderline"/>
        <w:jc w:val="both"/>
        <w:rPr>
          <w:u w:val="none"/>
        </w:rPr>
      </w:pPr>
    </w:p>
    <w:p w:rsidR="00DB0EE7" w:rsidRDefault="00DB0EE7" w:rsidP="00DB0EE7">
      <w:pPr>
        <w:pStyle w:val="CenterUnderline"/>
        <w:ind w:firstLine="720"/>
        <w:jc w:val="both"/>
        <w:rPr>
          <w:u w:val="none"/>
        </w:rPr>
      </w:pPr>
      <w:proofErr w:type="gramStart"/>
      <w:r w:rsidRPr="00DB0EE7">
        <w:rPr>
          <w:u w:val="none"/>
        </w:rPr>
        <w:t>Commissioner Clark, concurring.</w:t>
      </w:r>
      <w:proofErr w:type="gramEnd"/>
    </w:p>
    <w:p w:rsidR="00DB0EE7" w:rsidRPr="00DB0EE7" w:rsidRDefault="00DB0EE7" w:rsidP="00DB0EE7">
      <w:pPr>
        <w:pStyle w:val="CenterUnderline"/>
        <w:jc w:val="both"/>
        <w:rPr>
          <w:u w:val="none"/>
        </w:rPr>
      </w:pPr>
    </w:p>
    <w:p w:rsidR="00DB0EE7" w:rsidRDefault="00DB0EE7" w:rsidP="00DB0EE7">
      <w:pPr>
        <w:pStyle w:val="CenterUnderline"/>
        <w:ind w:firstLine="720"/>
        <w:jc w:val="both"/>
        <w:rPr>
          <w:u w:val="none"/>
        </w:rPr>
      </w:pPr>
      <w:r w:rsidRPr="00DB0EE7">
        <w:rPr>
          <w:u w:val="none"/>
        </w:rPr>
        <w:t>This proceeding presents the Commission with a difficult balancing act. We must seek to obtain the most value for Floridians by ensuring that conservation and efficiency measures are widely implemented, and by requiring utilities to pursue such measures. At the same time, we must be cautious to not require programs that benefit some utility customers to the detriment of many who are unable to participate. The Commission is often tasked with balancing important policy goals that are in tension and we must strike a balance that is best for the State of Florida. I believe that we have done so here.</w:t>
      </w:r>
    </w:p>
    <w:p w:rsidR="00DB0EE7" w:rsidRPr="00DB0EE7" w:rsidRDefault="00DB0EE7" w:rsidP="00DB0EE7">
      <w:pPr>
        <w:pStyle w:val="CenterUnderline"/>
        <w:jc w:val="both"/>
        <w:rPr>
          <w:u w:val="none"/>
        </w:rPr>
      </w:pPr>
    </w:p>
    <w:p w:rsidR="00DB0EE7" w:rsidRDefault="00DB0EE7" w:rsidP="00DB0EE7">
      <w:pPr>
        <w:pStyle w:val="CenterUnderline"/>
        <w:ind w:firstLine="720"/>
        <w:jc w:val="both"/>
        <w:rPr>
          <w:u w:val="none"/>
        </w:rPr>
      </w:pPr>
      <w:r w:rsidRPr="00DB0EE7">
        <w:rPr>
          <w:u w:val="none"/>
        </w:rPr>
        <w:t>I concur with the order in this proceeding, but I must emphasiz</w:t>
      </w:r>
      <w:r>
        <w:rPr>
          <w:u w:val="none"/>
        </w:rPr>
        <w:t>e that the numeric conservation</w:t>
      </w:r>
      <w:r w:rsidRPr="00DB0EE7">
        <w:rPr>
          <w:u w:val="none"/>
        </w:rPr>
        <w:t xml:space="preserve"> goals adopted in Order No. PSC-14-0696-FOF-EU, issued December 16, 2014, were based on exclusion of utility incentives. I note that this Commission has never implemented that provision of the statute, and with this understanding, I concur</w:t>
      </w:r>
      <w:r>
        <w:rPr>
          <w:u w:val="none"/>
        </w:rPr>
        <w:t>.</w:t>
      </w:r>
    </w:p>
    <w:p w:rsidR="00DB0EE7" w:rsidRDefault="00DB0EE7" w:rsidP="00DB0EE7">
      <w:pPr>
        <w:pStyle w:val="CenterUnderline"/>
        <w:jc w:val="both"/>
        <w:rPr>
          <w:u w:val="none"/>
        </w:rPr>
      </w:pPr>
    </w:p>
    <w:p w:rsidR="00DB0EE7" w:rsidRDefault="00DB0EE7" w:rsidP="00DB0EE7">
      <w:pPr>
        <w:pStyle w:val="CenterUnderline"/>
        <w:jc w:val="both"/>
        <w:rPr>
          <w:u w:val="none"/>
        </w:rPr>
      </w:pPr>
    </w:p>
    <w:p w:rsidR="00DB0EE7" w:rsidRDefault="00DB0EE7" w:rsidP="00DB0EE7">
      <w:pPr>
        <w:pStyle w:val="CenterUnderline"/>
        <w:jc w:val="both"/>
        <w:rPr>
          <w:u w:val="none"/>
        </w:rPr>
      </w:pPr>
      <w:r>
        <w:rPr>
          <w:u w:val="none"/>
        </w:rPr>
        <w:t>CHAIRMAN GRAHAM DISSENTS WITH OPINION:</w:t>
      </w:r>
    </w:p>
    <w:p w:rsid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Chairman Graham dissents with opinion from the Commission’s decision that the 2014 goals can be retained, as follows:</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Section 366.82, F.S. requires the Commission to review the goals not less often than every five years, and directs that “the commission shall determine what further goals, programs, or plans are warranted and adopt them.”  The Commission has consistently held this to require developing an evidentiary record and setting goals based on that record.</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With a statutory mandate to set the goals every five years, and with the expiration of that period imminent, continuing the 2014 goals is expressly not an option available to the Commission.</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In retaining the 2014 goals, the Commission asserts it has considered the evidentiary record in this proceeding and chose to keep the existing goals in place, noting they are supported by the record of the previous goals proceeding.  The statutory requirement to set goals this year cannot be met, however, by going through the motions of “considering” the evidentiary record of the current proceeding and, unwilling to accept an outcome supported by that record, keeping in place goals founded on facts and circumstances that existed five years earlier.  By requiring a review of the goals at least every five years, the statute explicitly establishes the insufficiency of five year old goals that are supported by a five year old evidentiary record.</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 xml:space="preserve">Similarly, the rationale that the 2014 goals had a 10 year horizon fails to address the unambiguous statutory requirement that the goals be reviewed and adopted every five years and </w:t>
      </w:r>
      <w:r w:rsidRPr="00DB0EE7">
        <w:rPr>
          <w:u w:val="none"/>
        </w:rPr>
        <w:lastRenderedPageBreak/>
        <w:t>that the goals that are adopted should be based on the evidentiary record developed during the most recent review.</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 xml:space="preserve">The 2014 goals are not compatible with the evidentiary record in the current proceeding.  They are outside the realm of the credible testimony, and particularly run afoul of FDACS’ filed comments, required by 366.82(5), F.S., regarding achievement of “a least-cost strategy, including nonutility programs” and “the impact of state and local building codes and appliance efficiency standards on the need for utility-sponsored conservation and energy efficiency measures and programs.”   </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The record in this proceeding clearly establishes that much of the economic potential that existed five years ago has been eliminated by the steady march of increasing energy efficiency required by building codes and appliance standards, and it was further eroded by the achievements of the programs established under the Commission’s 2014 goals.</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Improperly keeping 2014 goals, which far exceed what currently can be justified under the RIM test, has material consequences.  Utilities will be forced to submit programs that will be far more expensive over the coming five years than meeting these goals has been to date, with customers paying substantially higher rates to offset the plummeting cost-effectiveness of the programs.</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 xml:space="preserve">Worse, giving short shrift to legislative direction to consider the costs and benefits to the general body of ratepayers, and disregarding the statutorily required consideration of the greatly diminished need for incentives, </w:t>
      </w:r>
      <w:proofErr w:type="gramStart"/>
      <w:r w:rsidRPr="00DB0EE7">
        <w:rPr>
          <w:u w:val="none"/>
        </w:rPr>
        <w:t>have</w:t>
      </w:r>
      <w:proofErr w:type="gramEnd"/>
      <w:r w:rsidRPr="00DB0EE7">
        <w:rPr>
          <w:u w:val="none"/>
        </w:rPr>
        <w:t xml:space="preserve"> a “reverse Robin Hood effect” on low-income customers.</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Already facing a greater financial vulnerability to higher utility bills, these low-income customers also have lower rates of homeownership, leaving them disproportionately unable to take advantage of most programs, including mainstays such as high-efficiency water heaters, air conditioning units, windows, and insulation.  Low-income customers will be paying higher rates to fund excessively costly programs that provide incentive payments and bill savings predominantly to those who can afford homeownership.</w:t>
      </w:r>
    </w:p>
    <w:p w:rsidR="00DB0EE7" w:rsidRPr="00DB0EE7" w:rsidRDefault="00DB0EE7" w:rsidP="00DB0EE7">
      <w:pPr>
        <w:pStyle w:val="CenterUnderline"/>
        <w:jc w:val="both"/>
        <w:rPr>
          <w:u w:val="none"/>
        </w:rPr>
      </w:pPr>
    </w:p>
    <w:p w:rsidR="00DB0EE7" w:rsidRPr="00DB0EE7" w:rsidRDefault="00DB0EE7" w:rsidP="00DB0EE7">
      <w:pPr>
        <w:pStyle w:val="CenterUnderline"/>
        <w:ind w:firstLine="720"/>
        <w:jc w:val="both"/>
        <w:rPr>
          <w:u w:val="none"/>
        </w:rPr>
      </w:pPr>
      <w:r w:rsidRPr="00DB0EE7">
        <w:rPr>
          <w:u w:val="none"/>
        </w:rPr>
        <w:t>Although I agree that greater conservation is a desirable social objective, the staff recommendation contains the appropriate goals under current state law and Commission precedent, and I therefore respectfully dissent from the Commission’s decision</w:t>
      </w:r>
      <w:r>
        <w:rPr>
          <w:u w:val="none"/>
        </w:rPr>
        <w:t>.</w:t>
      </w:r>
    </w:p>
    <w:p w:rsidR="00DB0EE7" w:rsidRDefault="00DB0EE7" w:rsidP="00EC1980">
      <w:pPr>
        <w:pStyle w:val="CenterUnderline"/>
      </w:pPr>
    </w:p>
    <w:p w:rsidR="008B52A6" w:rsidRDefault="008B52A6" w:rsidP="00EC1980">
      <w:pPr>
        <w:pStyle w:val="CenterUnderline"/>
      </w:pPr>
    </w:p>
    <w:p w:rsidR="007D0FEC" w:rsidRDefault="007D0FEC" w:rsidP="00EC1980">
      <w:pPr>
        <w:pStyle w:val="CenterUnderline"/>
      </w:pPr>
    </w:p>
    <w:p w:rsidR="007D0FEC" w:rsidRDefault="007D0FEC" w:rsidP="00EC1980">
      <w:pPr>
        <w:pStyle w:val="CenterUnderline"/>
      </w:pPr>
    </w:p>
    <w:p w:rsidR="007D0FEC" w:rsidRDefault="007D0FEC" w:rsidP="00EC1980">
      <w:pPr>
        <w:pStyle w:val="CenterUnderline"/>
      </w:pPr>
    </w:p>
    <w:p w:rsidR="007D0FEC" w:rsidRDefault="007D0FEC" w:rsidP="00EC1980">
      <w:pPr>
        <w:pStyle w:val="CenterUnderline"/>
      </w:pPr>
    </w:p>
    <w:p w:rsidR="007D0FEC" w:rsidRDefault="007D0FEC" w:rsidP="00EC1980">
      <w:pPr>
        <w:pStyle w:val="CenterUnderline"/>
      </w:pPr>
    </w:p>
    <w:p w:rsidR="007D0FEC" w:rsidRDefault="007D0FEC" w:rsidP="00EC1980">
      <w:pPr>
        <w:pStyle w:val="CenterUnderline"/>
      </w:pPr>
    </w:p>
    <w:p w:rsidR="007D0FEC" w:rsidRDefault="007D0FEC" w:rsidP="00EC1980">
      <w:pPr>
        <w:pStyle w:val="CenterUnderline"/>
      </w:pPr>
    </w:p>
    <w:p w:rsidR="00EC1980" w:rsidRDefault="00EC1980" w:rsidP="00EC1980">
      <w:pPr>
        <w:pStyle w:val="CenterUnderline"/>
      </w:pPr>
      <w:r>
        <w:lastRenderedPageBreak/>
        <w:t>NOTICE OF FURTHER PROCEEDINGS OR JUDICIAL REVIEW</w:t>
      </w:r>
    </w:p>
    <w:p w:rsidR="00825B7E" w:rsidRDefault="00825B7E" w:rsidP="00EC1980">
      <w:pPr>
        <w:pStyle w:val="CenterUnderline"/>
      </w:pPr>
    </w:p>
    <w:p w:rsidR="00EC1980" w:rsidRDefault="00EC1980" w:rsidP="00EC1980">
      <w:pPr>
        <w:pStyle w:val="OrderBody"/>
      </w:pPr>
    </w:p>
    <w:p w:rsidR="00EC1980" w:rsidRDefault="00EC1980" w:rsidP="00EC19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1980" w:rsidRDefault="00EC1980" w:rsidP="00EC1980">
      <w:pPr>
        <w:pStyle w:val="OrderBody"/>
      </w:pPr>
    </w:p>
    <w:p w:rsidR="00EC1980" w:rsidRDefault="00EC1980" w:rsidP="00EC198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617F2" w:rsidRDefault="006617F2" w:rsidP="00825B7E">
      <w:pPr>
        <w:pStyle w:val="OrderBody"/>
        <w:sectPr w:rsidR="006617F2">
          <w:headerReference w:type="default" r:id="rId9"/>
          <w:footerReference w:type="first" r:id="rId10"/>
          <w:pgSz w:w="12240" w:h="15840" w:code="1"/>
          <w:pgMar w:top="1440" w:right="1440" w:bottom="1440" w:left="1440" w:header="720" w:footer="720" w:gutter="0"/>
          <w:cols w:space="720"/>
          <w:titlePg/>
          <w:docGrid w:linePitch="360"/>
        </w:sectPr>
      </w:pPr>
    </w:p>
    <w:p w:rsidR="008B52A6" w:rsidRPr="000B16C6" w:rsidRDefault="008B52A6" w:rsidP="008B52A6">
      <w:pPr>
        <w:keepNext/>
        <w:jc w:val="center"/>
        <w:rPr>
          <w:b/>
          <w:bCs/>
          <w:szCs w:val="20"/>
          <w:u w:val="single"/>
        </w:rPr>
      </w:pPr>
      <w:r w:rsidRPr="000B16C6">
        <w:rPr>
          <w:b/>
          <w:bCs/>
          <w:szCs w:val="20"/>
          <w:u w:val="single"/>
        </w:rPr>
        <w:lastRenderedPageBreak/>
        <w:t>FEECA UTIL</w:t>
      </w:r>
      <w:r w:rsidR="000B16C6">
        <w:rPr>
          <w:b/>
          <w:bCs/>
          <w:szCs w:val="20"/>
          <w:u w:val="single"/>
        </w:rPr>
        <w:t>ITIES’ PROPOSED RESIDENTIAL AND</w:t>
      </w:r>
    </w:p>
    <w:p w:rsidR="008B52A6" w:rsidRPr="000B16C6" w:rsidRDefault="008B52A6" w:rsidP="008B52A6">
      <w:pPr>
        <w:keepNext/>
        <w:jc w:val="center"/>
        <w:rPr>
          <w:b/>
          <w:bCs/>
          <w:szCs w:val="20"/>
          <w:u w:val="single"/>
        </w:rPr>
      </w:pPr>
      <w:r w:rsidRPr="000B16C6">
        <w:rPr>
          <w:b/>
          <w:bCs/>
          <w:szCs w:val="20"/>
          <w:u w:val="single"/>
        </w:rPr>
        <w:t>COMMERCIAL/INDUSTRIAL GOALS</w:t>
      </w:r>
    </w:p>
    <w:p w:rsidR="008B52A6" w:rsidRDefault="008B52A6" w:rsidP="006617F2">
      <w:pPr>
        <w:keepNext/>
        <w:spacing w:before="120" w:after="120"/>
        <w:jc w:val="center"/>
        <w:rPr>
          <w:b/>
          <w:bCs/>
          <w:szCs w:val="20"/>
        </w:rPr>
      </w:pPr>
    </w:p>
    <w:p w:rsidR="008B52A6" w:rsidRDefault="008B52A6" w:rsidP="006617F2">
      <w:pPr>
        <w:keepNext/>
        <w:spacing w:before="120" w:after="120"/>
        <w:jc w:val="center"/>
        <w:rPr>
          <w:b/>
          <w:bCs/>
          <w:szCs w:val="20"/>
        </w:rPr>
      </w:pPr>
    </w:p>
    <w:p w:rsidR="006617F2" w:rsidRPr="000F6686" w:rsidRDefault="006617F2" w:rsidP="006617F2">
      <w:pPr>
        <w:keepNext/>
        <w:spacing w:before="120" w:after="120"/>
        <w:jc w:val="center"/>
        <w:rPr>
          <w:b/>
          <w:bCs/>
          <w:szCs w:val="20"/>
        </w:rPr>
      </w:pPr>
      <w:r w:rsidRPr="000F6686">
        <w:rPr>
          <w:b/>
          <w:bCs/>
          <w:szCs w:val="20"/>
        </w:rPr>
        <w:t xml:space="preserve">FPL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D56868" w:rsidTr="00FF2E22">
        <w:tc>
          <w:tcPr>
            <w:tcW w:w="1368" w:type="dxa"/>
          </w:tcPr>
          <w:p w:rsidR="00D56868" w:rsidRPr="00D56868" w:rsidRDefault="00D56868" w:rsidP="00825B7E">
            <w:pPr>
              <w:pStyle w:val="OrderBody"/>
              <w:rPr>
                <w:sz w:val="20"/>
                <w:szCs w:val="20"/>
              </w:rPr>
            </w:pPr>
          </w:p>
        </w:tc>
        <w:tc>
          <w:tcPr>
            <w:tcW w:w="4104" w:type="dxa"/>
            <w:gridSpan w:val="3"/>
          </w:tcPr>
          <w:p w:rsidR="00D56868" w:rsidRPr="00D56868" w:rsidRDefault="00D56868" w:rsidP="00D56868">
            <w:pPr>
              <w:pStyle w:val="OrderBody"/>
              <w:jc w:val="center"/>
              <w:rPr>
                <w:sz w:val="20"/>
                <w:szCs w:val="20"/>
              </w:rPr>
            </w:pPr>
            <w:r w:rsidRPr="00D56868">
              <w:rPr>
                <w:sz w:val="20"/>
                <w:szCs w:val="20"/>
              </w:rPr>
              <w:t>Residential</w:t>
            </w:r>
          </w:p>
        </w:tc>
        <w:tc>
          <w:tcPr>
            <w:tcW w:w="4104" w:type="dxa"/>
            <w:gridSpan w:val="3"/>
          </w:tcPr>
          <w:p w:rsidR="00D56868" w:rsidRPr="00D56868" w:rsidRDefault="00D56868" w:rsidP="00D56868">
            <w:pPr>
              <w:pStyle w:val="OrderBody"/>
              <w:jc w:val="center"/>
              <w:rPr>
                <w:sz w:val="20"/>
                <w:szCs w:val="20"/>
              </w:rPr>
            </w:pPr>
            <w:r w:rsidRPr="00D56868">
              <w:rPr>
                <w:sz w:val="20"/>
                <w:szCs w:val="20"/>
              </w:rPr>
              <w:t>Commercial/Industrial</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 </w:t>
            </w:r>
          </w:p>
          <w:p w:rsidR="00D56868" w:rsidRPr="00D56868" w:rsidRDefault="00D56868">
            <w:pPr>
              <w:jc w:val="center"/>
              <w:rPr>
                <w:sz w:val="20"/>
                <w:szCs w:val="20"/>
              </w:rPr>
            </w:pPr>
            <w:r w:rsidRPr="00D56868">
              <w:rPr>
                <w:sz w:val="20"/>
                <w:szCs w:val="20"/>
              </w:rPr>
              <w:t> </w:t>
            </w:r>
          </w:p>
          <w:p w:rsidR="00D56868" w:rsidRPr="00D56868" w:rsidRDefault="00D56868">
            <w:pPr>
              <w:jc w:val="center"/>
              <w:rPr>
                <w:rFonts w:eastAsiaTheme="minorHAnsi"/>
                <w:sz w:val="20"/>
                <w:szCs w:val="20"/>
              </w:rPr>
            </w:pPr>
            <w:r w:rsidRPr="00D56868">
              <w:rPr>
                <w:sz w:val="20"/>
                <w:szCs w:val="20"/>
              </w:rPr>
              <w:t>Year</w:t>
            </w:r>
          </w:p>
        </w:tc>
        <w:tc>
          <w:tcPr>
            <w:tcW w:w="1368" w:type="dxa"/>
          </w:tcPr>
          <w:p w:rsidR="00D56868" w:rsidRPr="00D56868" w:rsidRDefault="00D56868">
            <w:pPr>
              <w:keepNext/>
              <w:jc w:val="center"/>
              <w:rPr>
                <w:rFonts w:eastAsiaTheme="minorHAnsi"/>
                <w:sz w:val="20"/>
                <w:szCs w:val="20"/>
              </w:rPr>
            </w:pPr>
            <w:r w:rsidRPr="00D56868">
              <w:rPr>
                <w:sz w:val="20"/>
                <w:szCs w:val="20"/>
              </w:rPr>
              <w:t>Summer</w:t>
            </w:r>
          </w:p>
          <w:p w:rsidR="00D56868" w:rsidRPr="00D56868" w:rsidRDefault="00D56868">
            <w:pPr>
              <w:keepNext/>
              <w:jc w:val="center"/>
              <w:rPr>
                <w:sz w:val="20"/>
                <w:szCs w:val="20"/>
              </w:rPr>
            </w:pPr>
            <w:r w:rsidRPr="00D56868">
              <w:rPr>
                <w:sz w:val="20"/>
                <w:szCs w:val="20"/>
              </w:rPr>
              <w:t>Peak</w:t>
            </w:r>
          </w:p>
          <w:p w:rsidR="00D56868" w:rsidRPr="00D56868" w:rsidRDefault="00D56868">
            <w:pPr>
              <w:keepNext/>
              <w:jc w:val="center"/>
              <w:rPr>
                <w:sz w:val="20"/>
                <w:szCs w:val="20"/>
              </w:rPr>
            </w:pPr>
            <w:r w:rsidRPr="00D56868">
              <w:rPr>
                <w:sz w:val="20"/>
                <w:szCs w:val="20"/>
              </w:rPr>
              <w:t>Demand</w:t>
            </w:r>
          </w:p>
          <w:p w:rsidR="00D56868" w:rsidRPr="00D56868" w:rsidRDefault="00D56868">
            <w:pPr>
              <w:jc w:val="center"/>
              <w:rPr>
                <w:rFonts w:eastAsiaTheme="minorHAnsi"/>
                <w:sz w:val="20"/>
                <w:szCs w:val="20"/>
              </w:rPr>
            </w:pPr>
            <w:r w:rsidRPr="00D56868">
              <w:rPr>
                <w:sz w:val="20"/>
                <w:szCs w:val="20"/>
              </w:rPr>
              <w:t>(MW)</w:t>
            </w:r>
          </w:p>
        </w:tc>
        <w:tc>
          <w:tcPr>
            <w:tcW w:w="1368" w:type="dxa"/>
          </w:tcPr>
          <w:p w:rsidR="00D56868" w:rsidRPr="00D56868" w:rsidRDefault="00D56868">
            <w:pPr>
              <w:keepNext/>
              <w:jc w:val="center"/>
              <w:rPr>
                <w:rFonts w:eastAsiaTheme="minorHAnsi"/>
                <w:sz w:val="20"/>
                <w:szCs w:val="20"/>
              </w:rPr>
            </w:pPr>
            <w:r w:rsidRPr="00D56868">
              <w:rPr>
                <w:sz w:val="20"/>
                <w:szCs w:val="20"/>
              </w:rPr>
              <w:t>Winter</w:t>
            </w:r>
          </w:p>
          <w:p w:rsidR="00D56868" w:rsidRPr="00D56868" w:rsidRDefault="00D56868">
            <w:pPr>
              <w:keepNext/>
              <w:jc w:val="center"/>
              <w:rPr>
                <w:sz w:val="20"/>
                <w:szCs w:val="20"/>
              </w:rPr>
            </w:pPr>
            <w:r w:rsidRPr="00D56868">
              <w:rPr>
                <w:sz w:val="20"/>
                <w:szCs w:val="20"/>
              </w:rPr>
              <w:t>Peak</w:t>
            </w:r>
          </w:p>
          <w:p w:rsidR="00D56868" w:rsidRPr="00D56868" w:rsidRDefault="00D56868">
            <w:pPr>
              <w:keepNext/>
              <w:jc w:val="center"/>
              <w:rPr>
                <w:sz w:val="20"/>
                <w:szCs w:val="20"/>
              </w:rPr>
            </w:pPr>
            <w:r w:rsidRPr="00D56868">
              <w:rPr>
                <w:sz w:val="20"/>
                <w:szCs w:val="20"/>
              </w:rPr>
              <w:t>Demand</w:t>
            </w:r>
          </w:p>
          <w:p w:rsidR="00D56868" w:rsidRPr="00D56868" w:rsidRDefault="00D56868">
            <w:pPr>
              <w:jc w:val="center"/>
              <w:rPr>
                <w:rFonts w:eastAsiaTheme="minorHAnsi"/>
                <w:sz w:val="20"/>
                <w:szCs w:val="20"/>
              </w:rPr>
            </w:pPr>
            <w:r w:rsidRPr="00D56868">
              <w:rPr>
                <w:sz w:val="20"/>
                <w:szCs w:val="20"/>
              </w:rPr>
              <w:t>(MW)</w:t>
            </w:r>
          </w:p>
        </w:tc>
        <w:tc>
          <w:tcPr>
            <w:tcW w:w="1368" w:type="dxa"/>
          </w:tcPr>
          <w:p w:rsidR="00D56868" w:rsidRPr="00D56868" w:rsidRDefault="00D56868">
            <w:pPr>
              <w:keepNext/>
              <w:jc w:val="center"/>
              <w:rPr>
                <w:rFonts w:eastAsiaTheme="minorHAnsi"/>
                <w:sz w:val="20"/>
                <w:szCs w:val="20"/>
              </w:rPr>
            </w:pPr>
            <w:r w:rsidRPr="00D56868">
              <w:rPr>
                <w:sz w:val="20"/>
                <w:szCs w:val="20"/>
              </w:rPr>
              <w:t>Annual</w:t>
            </w:r>
          </w:p>
          <w:p w:rsidR="00D56868" w:rsidRPr="00D56868" w:rsidRDefault="00D56868">
            <w:pPr>
              <w:keepNext/>
              <w:jc w:val="center"/>
              <w:rPr>
                <w:sz w:val="20"/>
                <w:szCs w:val="20"/>
              </w:rPr>
            </w:pPr>
            <w:r w:rsidRPr="00D56868">
              <w:rPr>
                <w:sz w:val="20"/>
                <w:szCs w:val="20"/>
              </w:rPr>
              <w:t>Energy</w:t>
            </w:r>
          </w:p>
          <w:p w:rsidR="00D56868" w:rsidRPr="00D56868" w:rsidRDefault="00D56868">
            <w:pPr>
              <w:keepNext/>
              <w:jc w:val="center"/>
              <w:rPr>
                <w:sz w:val="20"/>
                <w:szCs w:val="20"/>
              </w:rPr>
            </w:pPr>
            <w:r w:rsidRPr="00D56868">
              <w:rPr>
                <w:sz w:val="20"/>
                <w:szCs w:val="20"/>
              </w:rPr>
              <w:t>Consumption</w:t>
            </w:r>
          </w:p>
          <w:p w:rsidR="00D56868" w:rsidRPr="00D56868" w:rsidRDefault="00D56868">
            <w:pPr>
              <w:jc w:val="center"/>
              <w:rPr>
                <w:rFonts w:eastAsiaTheme="minorHAnsi"/>
                <w:sz w:val="20"/>
                <w:szCs w:val="20"/>
              </w:rPr>
            </w:pPr>
            <w:r w:rsidRPr="00D56868">
              <w:rPr>
                <w:sz w:val="20"/>
                <w:szCs w:val="20"/>
              </w:rPr>
              <w:t>(GWh)</w:t>
            </w:r>
          </w:p>
        </w:tc>
        <w:tc>
          <w:tcPr>
            <w:tcW w:w="1368" w:type="dxa"/>
          </w:tcPr>
          <w:p w:rsidR="00D56868" w:rsidRPr="00D56868" w:rsidRDefault="00D56868">
            <w:pPr>
              <w:keepNext/>
              <w:jc w:val="center"/>
              <w:rPr>
                <w:rFonts w:eastAsiaTheme="minorHAnsi"/>
                <w:sz w:val="20"/>
                <w:szCs w:val="20"/>
              </w:rPr>
            </w:pPr>
            <w:r w:rsidRPr="00D56868">
              <w:rPr>
                <w:sz w:val="20"/>
                <w:szCs w:val="20"/>
              </w:rPr>
              <w:t>Summer</w:t>
            </w:r>
          </w:p>
          <w:p w:rsidR="00D56868" w:rsidRPr="00D56868" w:rsidRDefault="00D56868">
            <w:pPr>
              <w:keepNext/>
              <w:jc w:val="center"/>
              <w:rPr>
                <w:sz w:val="20"/>
                <w:szCs w:val="20"/>
              </w:rPr>
            </w:pPr>
            <w:r w:rsidRPr="00D56868">
              <w:rPr>
                <w:sz w:val="20"/>
                <w:szCs w:val="20"/>
              </w:rPr>
              <w:t>Peak</w:t>
            </w:r>
          </w:p>
          <w:p w:rsidR="00D56868" w:rsidRPr="00D56868" w:rsidRDefault="00D56868">
            <w:pPr>
              <w:keepNext/>
              <w:jc w:val="center"/>
              <w:rPr>
                <w:sz w:val="20"/>
                <w:szCs w:val="20"/>
              </w:rPr>
            </w:pPr>
            <w:r w:rsidRPr="00D56868">
              <w:rPr>
                <w:sz w:val="20"/>
                <w:szCs w:val="20"/>
              </w:rPr>
              <w:t>Demand</w:t>
            </w:r>
          </w:p>
          <w:p w:rsidR="00D56868" w:rsidRPr="00D56868" w:rsidRDefault="00D56868">
            <w:pPr>
              <w:jc w:val="center"/>
              <w:rPr>
                <w:rFonts w:eastAsiaTheme="minorHAnsi"/>
                <w:sz w:val="20"/>
                <w:szCs w:val="20"/>
              </w:rPr>
            </w:pPr>
            <w:r w:rsidRPr="00D56868">
              <w:rPr>
                <w:sz w:val="20"/>
                <w:szCs w:val="20"/>
              </w:rPr>
              <w:t>(MW)</w:t>
            </w:r>
          </w:p>
        </w:tc>
        <w:tc>
          <w:tcPr>
            <w:tcW w:w="1368" w:type="dxa"/>
          </w:tcPr>
          <w:p w:rsidR="00D56868" w:rsidRPr="00D56868" w:rsidRDefault="00D56868">
            <w:pPr>
              <w:keepNext/>
              <w:jc w:val="center"/>
              <w:rPr>
                <w:rFonts w:eastAsiaTheme="minorHAnsi"/>
                <w:sz w:val="20"/>
                <w:szCs w:val="20"/>
              </w:rPr>
            </w:pPr>
            <w:r w:rsidRPr="00D56868">
              <w:rPr>
                <w:sz w:val="20"/>
                <w:szCs w:val="20"/>
              </w:rPr>
              <w:t>Winter</w:t>
            </w:r>
          </w:p>
          <w:p w:rsidR="00D56868" w:rsidRPr="00D56868" w:rsidRDefault="00D56868">
            <w:pPr>
              <w:keepNext/>
              <w:jc w:val="center"/>
              <w:rPr>
                <w:sz w:val="20"/>
                <w:szCs w:val="20"/>
              </w:rPr>
            </w:pPr>
            <w:r w:rsidRPr="00D56868">
              <w:rPr>
                <w:sz w:val="20"/>
                <w:szCs w:val="20"/>
              </w:rPr>
              <w:t>Peak</w:t>
            </w:r>
          </w:p>
          <w:p w:rsidR="00D56868" w:rsidRPr="00D56868" w:rsidRDefault="00D56868">
            <w:pPr>
              <w:keepNext/>
              <w:jc w:val="center"/>
              <w:rPr>
                <w:sz w:val="20"/>
                <w:szCs w:val="20"/>
              </w:rPr>
            </w:pPr>
            <w:r w:rsidRPr="00D56868">
              <w:rPr>
                <w:sz w:val="20"/>
                <w:szCs w:val="20"/>
              </w:rPr>
              <w:t>Demand</w:t>
            </w:r>
          </w:p>
          <w:p w:rsidR="00D56868" w:rsidRPr="00D56868" w:rsidRDefault="00D56868">
            <w:pPr>
              <w:jc w:val="center"/>
              <w:rPr>
                <w:rFonts w:eastAsiaTheme="minorHAnsi"/>
                <w:sz w:val="20"/>
                <w:szCs w:val="20"/>
              </w:rPr>
            </w:pPr>
            <w:r w:rsidRPr="00D56868">
              <w:rPr>
                <w:sz w:val="20"/>
                <w:szCs w:val="20"/>
              </w:rPr>
              <w:t>(MW)</w:t>
            </w:r>
          </w:p>
        </w:tc>
        <w:tc>
          <w:tcPr>
            <w:tcW w:w="1368" w:type="dxa"/>
          </w:tcPr>
          <w:p w:rsidR="00D56868" w:rsidRPr="00D56868" w:rsidRDefault="00D56868">
            <w:pPr>
              <w:keepNext/>
              <w:jc w:val="center"/>
              <w:rPr>
                <w:rFonts w:eastAsiaTheme="minorHAnsi"/>
                <w:sz w:val="20"/>
                <w:szCs w:val="20"/>
              </w:rPr>
            </w:pPr>
            <w:r w:rsidRPr="00D56868">
              <w:rPr>
                <w:sz w:val="20"/>
                <w:szCs w:val="20"/>
              </w:rPr>
              <w:t>Annual</w:t>
            </w:r>
          </w:p>
          <w:p w:rsidR="00D56868" w:rsidRPr="00D56868" w:rsidRDefault="00D56868">
            <w:pPr>
              <w:keepNext/>
              <w:jc w:val="center"/>
              <w:rPr>
                <w:sz w:val="20"/>
                <w:szCs w:val="20"/>
              </w:rPr>
            </w:pPr>
            <w:r w:rsidRPr="00D56868">
              <w:rPr>
                <w:sz w:val="20"/>
                <w:szCs w:val="20"/>
              </w:rPr>
              <w:t>Energy</w:t>
            </w:r>
          </w:p>
          <w:p w:rsidR="00D56868" w:rsidRPr="00D56868" w:rsidRDefault="00D56868">
            <w:pPr>
              <w:keepNext/>
              <w:jc w:val="center"/>
              <w:rPr>
                <w:sz w:val="20"/>
                <w:szCs w:val="20"/>
              </w:rPr>
            </w:pPr>
            <w:r w:rsidRPr="00D56868">
              <w:rPr>
                <w:sz w:val="20"/>
                <w:szCs w:val="20"/>
              </w:rPr>
              <w:t>Consumption</w:t>
            </w:r>
          </w:p>
          <w:p w:rsidR="00D56868" w:rsidRPr="00D56868" w:rsidRDefault="00D56868">
            <w:pPr>
              <w:jc w:val="center"/>
              <w:rPr>
                <w:rFonts w:eastAsiaTheme="minorHAnsi"/>
                <w:sz w:val="20"/>
                <w:szCs w:val="20"/>
              </w:rPr>
            </w:pPr>
            <w:r w:rsidRPr="00D56868">
              <w:rPr>
                <w:sz w:val="20"/>
                <w:szCs w:val="20"/>
              </w:rPr>
              <w:t>(GWh)</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2020</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2021</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2022</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2023</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2024</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2025</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2026</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2027</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2028</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r w:rsidR="00D56868" w:rsidTr="00D56868">
        <w:tc>
          <w:tcPr>
            <w:tcW w:w="1368" w:type="dxa"/>
          </w:tcPr>
          <w:p w:rsidR="00D56868" w:rsidRPr="00D56868" w:rsidRDefault="00D56868">
            <w:pPr>
              <w:jc w:val="center"/>
              <w:rPr>
                <w:rFonts w:eastAsiaTheme="minorHAnsi"/>
                <w:sz w:val="20"/>
                <w:szCs w:val="20"/>
              </w:rPr>
            </w:pPr>
            <w:r w:rsidRPr="00D56868">
              <w:rPr>
                <w:sz w:val="20"/>
                <w:szCs w:val="20"/>
              </w:rPr>
              <w:t>2029</w:t>
            </w:r>
          </w:p>
        </w:tc>
        <w:tc>
          <w:tcPr>
            <w:tcW w:w="1368" w:type="dxa"/>
          </w:tcPr>
          <w:p w:rsidR="00D56868" w:rsidRPr="00D56868" w:rsidRDefault="00D56868">
            <w:pPr>
              <w:jc w:val="right"/>
              <w:rPr>
                <w:rFonts w:eastAsiaTheme="minorHAnsi"/>
                <w:sz w:val="20"/>
                <w:szCs w:val="20"/>
              </w:rPr>
            </w:pPr>
            <w:r w:rsidRPr="00D56868">
              <w:rPr>
                <w:sz w:val="20"/>
                <w:szCs w:val="20"/>
              </w:rPr>
              <w:t>24.0</w:t>
            </w:r>
          </w:p>
        </w:tc>
        <w:tc>
          <w:tcPr>
            <w:tcW w:w="1368" w:type="dxa"/>
          </w:tcPr>
          <w:p w:rsidR="00D56868" w:rsidRPr="00D56868" w:rsidRDefault="00D56868">
            <w:pPr>
              <w:jc w:val="right"/>
              <w:rPr>
                <w:rFonts w:eastAsiaTheme="minorHAnsi"/>
                <w:sz w:val="20"/>
                <w:szCs w:val="20"/>
              </w:rPr>
            </w:pPr>
            <w:r w:rsidRPr="00D56868">
              <w:rPr>
                <w:sz w:val="20"/>
                <w:szCs w:val="20"/>
              </w:rPr>
              <w:t>20.7</w:t>
            </w:r>
          </w:p>
        </w:tc>
        <w:tc>
          <w:tcPr>
            <w:tcW w:w="1368" w:type="dxa"/>
          </w:tcPr>
          <w:p w:rsidR="00D56868" w:rsidRPr="00D56868" w:rsidRDefault="00D56868">
            <w:pPr>
              <w:jc w:val="right"/>
              <w:rPr>
                <w:rFonts w:eastAsiaTheme="minorHAnsi"/>
                <w:sz w:val="20"/>
                <w:szCs w:val="20"/>
              </w:rPr>
            </w:pPr>
            <w:r w:rsidRPr="00D56868">
              <w:rPr>
                <w:sz w:val="20"/>
                <w:szCs w:val="20"/>
              </w:rPr>
              <w:t>0.012</w:t>
            </w:r>
          </w:p>
        </w:tc>
        <w:tc>
          <w:tcPr>
            <w:tcW w:w="1368" w:type="dxa"/>
          </w:tcPr>
          <w:p w:rsidR="00D56868" w:rsidRPr="00D56868" w:rsidRDefault="00D56868">
            <w:pPr>
              <w:jc w:val="right"/>
              <w:rPr>
                <w:rFonts w:eastAsiaTheme="minorHAnsi"/>
                <w:sz w:val="20"/>
                <w:szCs w:val="20"/>
              </w:rPr>
            </w:pPr>
            <w:r w:rsidRPr="00D56868">
              <w:rPr>
                <w:sz w:val="20"/>
                <w:szCs w:val="20"/>
              </w:rPr>
              <w:t>11.2</w:t>
            </w:r>
          </w:p>
        </w:tc>
        <w:tc>
          <w:tcPr>
            <w:tcW w:w="1368" w:type="dxa"/>
          </w:tcPr>
          <w:p w:rsidR="00D56868" w:rsidRPr="00D56868" w:rsidRDefault="00D56868">
            <w:pPr>
              <w:jc w:val="right"/>
              <w:rPr>
                <w:rFonts w:eastAsiaTheme="minorHAnsi"/>
                <w:sz w:val="20"/>
                <w:szCs w:val="20"/>
              </w:rPr>
            </w:pPr>
            <w:r w:rsidRPr="00D56868">
              <w:rPr>
                <w:sz w:val="20"/>
                <w:szCs w:val="20"/>
              </w:rPr>
              <w:t>5.1</w:t>
            </w:r>
          </w:p>
        </w:tc>
        <w:tc>
          <w:tcPr>
            <w:tcW w:w="1368" w:type="dxa"/>
          </w:tcPr>
          <w:p w:rsidR="00D56868" w:rsidRPr="00D56868" w:rsidRDefault="00D56868">
            <w:pPr>
              <w:jc w:val="right"/>
              <w:rPr>
                <w:rFonts w:eastAsiaTheme="minorHAnsi"/>
                <w:sz w:val="20"/>
                <w:szCs w:val="20"/>
              </w:rPr>
            </w:pPr>
            <w:r w:rsidRPr="00D56868">
              <w:rPr>
                <w:sz w:val="20"/>
                <w:szCs w:val="20"/>
              </w:rPr>
              <w:t>0.091</w:t>
            </w:r>
          </w:p>
        </w:tc>
      </w:tr>
    </w:tbl>
    <w:p w:rsidR="00D56868" w:rsidRDefault="00D56868" w:rsidP="00825B7E">
      <w:pPr>
        <w:pStyle w:val="OrderBody"/>
      </w:pPr>
    </w:p>
    <w:p w:rsidR="00D56868" w:rsidRDefault="00D56868"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D56868" w:rsidRPr="000F6686" w:rsidRDefault="00D56868" w:rsidP="00D56868">
      <w:pPr>
        <w:keepNext/>
        <w:spacing w:before="120" w:after="120"/>
        <w:jc w:val="center"/>
        <w:rPr>
          <w:b/>
          <w:bCs/>
          <w:szCs w:val="20"/>
        </w:rPr>
      </w:pPr>
      <w:r>
        <w:rPr>
          <w:b/>
          <w:bCs/>
          <w:szCs w:val="20"/>
        </w:rPr>
        <w:t>DEF</w:t>
      </w:r>
      <w:r w:rsidRPr="000F6686">
        <w:rPr>
          <w:b/>
          <w:bCs/>
          <w:szCs w:val="20"/>
        </w:rPr>
        <w:t xml:space="preserve">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D56868" w:rsidTr="00FF2E22">
        <w:tc>
          <w:tcPr>
            <w:tcW w:w="1368" w:type="dxa"/>
          </w:tcPr>
          <w:p w:rsidR="00D56868" w:rsidRPr="00D56868" w:rsidRDefault="00D56868" w:rsidP="00FF2E22">
            <w:pPr>
              <w:pStyle w:val="OrderBody"/>
              <w:rPr>
                <w:sz w:val="20"/>
                <w:szCs w:val="20"/>
              </w:rPr>
            </w:pPr>
          </w:p>
        </w:tc>
        <w:tc>
          <w:tcPr>
            <w:tcW w:w="4104" w:type="dxa"/>
            <w:gridSpan w:val="3"/>
          </w:tcPr>
          <w:p w:rsidR="00D56868" w:rsidRPr="00D56868" w:rsidRDefault="00D56868" w:rsidP="00FF2E22">
            <w:pPr>
              <w:pStyle w:val="OrderBody"/>
              <w:jc w:val="center"/>
              <w:rPr>
                <w:sz w:val="20"/>
                <w:szCs w:val="20"/>
              </w:rPr>
            </w:pPr>
            <w:r w:rsidRPr="00D56868">
              <w:rPr>
                <w:sz w:val="20"/>
                <w:szCs w:val="20"/>
              </w:rPr>
              <w:t>Residential</w:t>
            </w:r>
          </w:p>
        </w:tc>
        <w:tc>
          <w:tcPr>
            <w:tcW w:w="4104" w:type="dxa"/>
            <w:gridSpan w:val="3"/>
          </w:tcPr>
          <w:p w:rsidR="00D56868" w:rsidRPr="00D56868" w:rsidRDefault="00D56868" w:rsidP="00FF2E22">
            <w:pPr>
              <w:pStyle w:val="OrderBody"/>
              <w:jc w:val="center"/>
              <w:rPr>
                <w:sz w:val="20"/>
                <w:szCs w:val="20"/>
              </w:rPr>
            </w:pPr>
            <w:r w:rsidRPr="00D56868">
              <w:rPr>
                <w:sz w:val="20"/>
                <w:szCs w:val="20"/>
              </w:rPr>
              <w:t>Commercial/Industrial</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 </w:t>
            </w:r>
          </w:p>
          <w:p w:rsidR="00D56868" w:rsidRPr="00D56868" w:rsidRDefault="00D56868" w:rsidP="00FF2E22">
            <w:pPr>
              <w:jc w:val="center"/>
              <w:rPr>
                <w:sz w:val="20"/>
                <w:szCs w:val="20"/>
              </w:rPr>
            </w:pPr>
            <w:r w:rsidRPr="00D56868">
              <w:rPr>
                <w:sz w:val="20"/>
                <w:szCs w:val="20"/>
              </w:rPr>
              <w:t> </w:t>
            </w:r>
          </w:p>
          <w:p w:rsidR="00D56868" w:rsidRPr="00D56868" w:rsidRDefault="00D56868" w:rsidP="00FF2E22">
            <w:pPr>
              <w:jc w:val="center"/>
              <w:rPr>
                <w:rFonts w:eastAsiaTheme="minorHAnsi"/>
                <w:sz w:val="20"/>
                <w:szCs w:val="20"/>
              </w:rPr>
            </w:pPr>
            <w:r w:rsidRPr="00D56868">
              <w:rPr>
                <w:sz w:val="20"/>
                <w:szCs w:val="20"/>
              </w:rPr>
              <w:t>Year</w:t>
            </w:r>
          </w:p>
        </w:tc>
        <w:tc>
          <w:tcPr>
            <w:tcW w:w="1368" w:type="dxa"/>
          </w:tcPr>
          <w:p w:rsidR="00D56868" w:rsidRPr="00D56868" w:rsidRDefault="00D56868" w:rsidP="00FF2E22">
            <w:pPr>
              <w:keepNext/>
              <w:jc w:val="center"/>
              <w:rPr>
                <w:rFonts w:eastAsiaTheme="minorHAnsi"/>
                <w:sz w:val="20"/>
                <w:szCs w:val="20"/>
              </w:rPr>
            </w:pPr>
            <w:r w:rsidRPr="00D56868">
              <w:rPr>
                <w:sz w:val="20"/>
                <w:szCs w:val="20"/>
              </w:rPr>
              <w:t>Summer</w:t>
            </w:r>
          </w:p>
          <w:p w:rsidR="00D56868" w:rsidRPr="00D56868" w:rsidRDefault="00D56868" w:rsidP="00FF2E22">
            <w:pPr>
              <w:keepNext/>
              <w:jc w:val="center"/>
              <w:rPr>
                <w:sz w:val="20"/>
                <w:szCs w:val="20"/>
              </w:rPr>
            </w:pPr>
            <w:r w:rsidRPr="00D56868">
              <w:rPr>
                <w:sz w:val="20"/>
                <w:szCs w:val="20"/>
              </w:rPr>
              <w:t>Peak</w:t>
            </w:r>
          </w:p>
          <w:p w:rsidR="00D56868" w:rsidRPr="00D56868" w:rsidRDefault="00D56868" w:rsidP="00FF2E22">
            <w:pPr>
              <w:keepNext/>
              <w:jc w:val="center"/>
              <w:rPr>
                <w:sz w:val="20"/>
                <w:szCs w:val="20"/>
              </w:rPr>
            </w:pPr>
            <w:r w:rsidRPr="00D56868">
              <w:rPr>
                <w:sz w:val="20"/>
                <w:szCs w:val="20"/>
              </w:rPr>
              <w:t>Demand</w:t>
            </w:r>
          </w:p>
          <w:p w:rsidR="00D56868" w:rsidRPr="00D56868" w:rsidRDefault="00D56868" w:rsidP="00FF2E22">
            <w:pPr>
              <w:jc w:val="center"/>
              <w:rPr>
                <w:rFonts w:eastAsiaTheme="minorHAnsi"/>
                <w:sz w:val="20"/>
                <w:szCs w:val="20"/>
              </w:rPr>
            </w:pPr>
            <w:r w:rsidRPr="00D56868">
              <w:rPr>
                <w:sz w:val="20"/>
                <w:szCs w:val="20"/>
              </w:rPr>
              <w:t>(MW)</w:t>
            </w:r>
          </w:p>
        </w:tc>
        <w:tc>
          <w:tcPr>
            <w:tcW w:w="1368" w:type="dxa"/>
          </w:tcPr>
          <w:p w:rsidR="00D56868" w:rsidRPr="00D56868" w:rsidRDefault="00D56868" w:rsidP="00FF2E22">
            <w:pPr>
              <w:keepNext/>
              <w:jc w:val="center"/>
              <w:rPr>
                <w:rFonts w:eastAsiaTheme="minorHAnsi"/>
                <w:sz w:val="20"/>
                <w:szCs w:val="20"/>
              </w:rPr>
            </w:pPr>
            <w:r w:rsidRPr="00D56868">
              <w:rPr>
                <w:sz w:val="20"/>
                <w:szCs w:val="20"/>
              </w:rPr>
              <w:t>Winter</w:t>
            </w:r>
          </w:p>
          <w:p w:rsidR="00D56868" w:rsidRPr="00D56868" w:rsidRDefault="00D56868" w:rsidP="00FF2E22">
            <w:pPr>
              <w:keepNext/>
              <w:jc w:val="center"/>
              <w:rPr>
                <w:sz w:val="20"/>
                <w:szCs w:val="20"/>
              </w:rPr>
            </w:pPr>
            <w:r w:rsidRPr="00D56868">
              <w:rPr>
                <w:sz w:val="20"/>
                <w:szCs w:val="20"/>
              </w:rPr>
              <w:t>Peak</w:t>
            </w:r>
          </w:p>
          <w:p w:rsidR="00D56868" w:rsidRPr="00D56868" w:rsidRDefault="00D56868" w:rsidP="00FF2E22">
            <w:pPr>
              <w:keepNext/>
              <w:jc w:val="center"/>
              <w:rPr>
                <w:sz w:val="20"/>
                <w:szCs w:val="20"/>
              </w:rPr>
            </w:pPr>
            <w:r w:rsidRPr="00D56868">
              <w:rPr>
                <w:sz w:val="20"/>
                <w:szCs w:val="20"/>
              </w:rPr>
              <w:t>Demand</w:t>
            </w:r>
          </w:p>
          <w:p w:rsidR="00D56868" w:rsidRPr="00D56868" w:rsidRDefault="00D56868" w:rsidP="00FF2E22">
            <w:pPr>
              <w:jc w:val="center"/>
              <w:rPr>
                <w:rFonts w:eastAsiaTheme="minorHAnsi"/>
                <w:sz w:val="20"/>
                <w:szCs w:val="20"/>
              </w:rPr>
            </w:pPr>
            <w:r w:rsidRPr="00D56868">
              <w:rPr>
                <w:sz w:val="20"/>
                <w:szCs w:val="20"/>
              </w:rPr>
              <w:t>(MW)</w:t>
            </w:r>
          </w:p>
        </w:tc>
        <w:tc>
          <w:tcPr>
            <w:tcW w:w="1368" w:type="dxa"/>
          </w:tcPr>
          <w:p w:rsidR="00D56868" w:rsidRPr="00D56868" w:rsidRDefault="00D56868" w:rsidP="00FF2E22">
            <w:pPr>
              <w:keepNext/>
              <w:jc w:val="center"/>
              <w:rPr>
                <w:rFonts w:eastAsiaTheme="minorHAnsi"/>
                <w:sz w:val="20"/>
                <w:szCs w:val="20"/>
              </w:rPr>
            </w:pPr>
            <w:r w:rsidRPr="00D56868">
              <w:rPr>
                <w:sz w:val="20"/>
                <w:szCs w:val="20"/>
              </w:rPr>
              <w:t>Annual</w:t>
            </w:r>
          </w:p>
          <w:p w:rsidR="00D56868" w:rsidRPr="00D56868" w:rsidRDefault="00D56868" w:rsidP="00FF2E22">
            <w:pPr>
              <w:keepNext/>
              <w:jc w:val="center"/>
              <w:rPr>
                <w:sz w:val="20"/>
                <w:szCs w:val="20"/>
              </w:rPr>
            </w:pPr>
            <w:r w:rsidRPr="00D56868">
              <w:rPr>
                <w:sz w:val="20"/>
                <w:szCs w:val="20"/>
              </w:rPr>
              <w:t>Energy</w:t>
            </w:r>
          </w:p>
          <w:p w:rsidR="00D56868" w:rsidRPr="00D56868" w:rsidRDefault="00D56868" w:rsidP="00FF2E22">
            <w:pPr>
              <w:keepNext/>
              <w:jc w:val="center"/>
              <w:rPr>
                <w:sz w:val="20"/>
                <w:szCs w:val="20"/>
              </w:rPr>
            </w:pPr>
            <w:r w:rsidRPr="00D56868">
              <w:rPr>
                <w:sz w:val="20"/>
                <w:szCs w:val="20"/>
              </w:rPr>
              <w:t>Consumption</w:t>
            </w:r>
          </w:p>
          <w:p w:rsidR="00D56868" w:rsidRPr="00D56868" w:rsidRDefault="00D56868" w:rsidP="00FF2E22">
            <w:pPr>
              <w:jc w:val="center"/>
              <w:rPr>
                <w:rFonts w:eastAsiaTheme="minorHAnsi"/>
                <w:sz w:val="20"/>
                <w:szCs w:val="20"/>
              </w:rPr>
            </w:pPr>
            <w:r w:rsidRPr="00D56868">
              <w:rPr>
                <w:sz w:val="20"/>
                <w:szCs w:val="20"/>
              </w:rPr>
              <w:t>(GWh)</w:t>
            </w:r>
          </w:p>
        </w:tc>
        <w:tc>
          <w:tcPr>
            <w:tcW w:w="1368" w:type="dxa"/>
          </w:tcPr>
          <w:p w:rsidR="00D56868" w:rsidRPr="00D56868" w:rsidRDefault="00D56868" w:rsidP="00FF2E22">
            <w:pPr>
              <w:keepNext/>
              <w:jc w:val="center"/>
              <w:rPr>
                <w:rFonts w:eastAsiaTheme="minorHAnsi"/>
                <w:sz w:val="20"/>
                <w:szCs w:val="20"/>
              </w:rPr>
            </w:pPr>
            <w:r w:rsidRPr="00D56868">
              <w:rPr>
                <w:sz w:val="20"/>
                <w:szCs w:val="20"/>
              </w:rPr>
              <w:t>Summer</w:t>
            </w:r>
          </w:p>
          <w:p w:rsidR="00D56868" w:rsidRPr="00D56868" w:rsidRDefault="00D56868" w:rsidP="00FF2E22">
            <w:pPr>
              <w:keepNext/>
              <w:jc w:val="center"/>
              <w:rPr>
                <w:sz w:val="20"/>
                <w:szCs w:val="20"/>
              </w:rPr>
            </w:pPr>
            <w:r w:rsidRPr="00D56868">
              <w:rPr>
                <w:sz w:val="20"/>
                <w:szCs w:val="20"/>
              </w:rPr>
              <w:t>Peak</w:t>
            </w:r>
          </w:p>
          <w:p w:rsidR="00D56868" w:rsidRPr="00D56868" w:rsidRDefault="00D56868" w:rsidP="00FF2E22">
            <w:pPr>
              <w:keepNext/>
              <w:jc w:val="center"/>
              <w:rPr>
                <w:sz w:val="20"/>
                <w:szCs w:val="20"/>
              </w:rPr>
            </w:pPr>
            <w:r w:rsidRPr="00D56868">
              <w:rPr>
                <w:sz w:val="20"/>
                <w:szCs w:val="20"/>
              </w:rPr>
              <w:t>Demand</w:t>
            </w:r>
          </w:p>
          <w:p w:rsidR="00D56868" w:rsidRPr="00D56868" w:rsidRDefault="00D56868" w:rsidP="00FF2E22">
            <w:pPr>
              <w:jc w:val="center"/>
              <w:rPr>
                <w:rFonts w:eastAsiaTheme="minorHAnsi"/>
                <w:sz w:val="20"/>
                <w:szCs w:val="20"/>
              </w:rPr>
            </w:pPr>
            <w:r w:rsidRPr="00D56868">
              <w:rPr>
                <w:sz w:val="20"/>
                <w:szCs w:val="20"/>
              </w:rPr>
              <w:t>(MW)</w:t>
            </w:r>
          </w:p>
        </w:tc>
        <w:tc>
          <w:tcPr>
            <w:tcW w:w="1368" w:type="dxa"/>
          </w:tcPr>
          <w:p w:rsidR="00D56868" w:rsidRPr="00D56868" w:rsidRDefault="00D56868" w:rsidP="00FF2E22">
            <w:pPr>
              <w:keepNext/>
              <w:jc w:val="center"/>
              <w:rPr>
                <w:rFonts w:eastAsiaTheme="minorHAnsi"/>
                <w:sz w:val="20"/>
                <w:szCs w:val="20"/>
              </w:rPr>
            </w:pPr>
            <w:r w:rsidRPr="00D56868">
              <w:rPr>
                <w:sz w:val="20"/>
                <w:szCs w:val="20"/>
              </w:rPr>
              <w:t>Winter</w:t>
            </w:r>
          </w:p>
          <w:p w:rsidR="00D56868" w:rsidRPr="00D56868" w:rsidRDefault="00D56868" w:rsidP="00FF2E22">
            <w:pPr>
              <w:keepNext/>
              <w:jc w:val="center"/>
              <w:rPr>
                <w:sz w:val="20"/>
                <w:szCs w:val="20"/>
              </w:rPr>
            </w:pPr>
            <w:r w:rsidRPr="00D56868">
              <w:rPr>
                <w:sz w:val="20"/>
                <w:szCs w:val="20"/>
              </w:rPr>
              <w:t>Peak</w:t>
            </w:r>
          </w:p>
          <w:p w:rsidR="00D56868" w:rsidRPr="00D56868" w:rsidRDefault="00D56868" w:rsidP="00FF2E22">
            <w:pPr>
              <w:keepNext/>
              <w:jc w:val="center"/>
              <w:rPr>
                <w:sz w:val="20"/>
                <w:szCs w:val="20"/>
              </w:rPr>
            </w:pPr>
            <w:r w:rsidRPr="00D56868">
              <w:rPr>
                <w:sz w:val="20"/>
                <w:szCs w:val="20"/>
              </w:rPr>
              <w:t>Demand</w:t>
            </w:r>
          </w:p>
          <w:p w:rsidR="00D56868" w:rsidRPr="00D56868" w:rsidRDefault="00D56868" w:rsidP="00FF2E22">
            <w:pPr>
              <w:jc w:val="center"/>
              <w:rPr>
                <w:rFonts w:eastAsiaTheme="minorHAnsi"/>
                <w:sz w:val="20"/>
                <w:szCs w:val="20"/>
              </w:rPr>
            </w:pPr>
            <w:r w:rsidRPr="00D56868">
              <w:rPr>
                <w:sz w:val="20"/>
                <w:szCs w:val="20"/>
              </w:rPr>
              <w:t>(MW)</w:t>
            </w:r>
          </w:p>
        </w:tc>
        <w:tc>
          <w:tcPr>
            <w:tcW w:w="1368" w:type="dxa"/>
          </w:tcPr>
          <w:p w:rsidR="00D56868" w:rsidRPr="00D56868" w:rsidRDefault="00D56868" w:rsidP="00FF2E22">
            <w:pPr>
              <w:keepNext/>
              <w:jc w:val="center"/>
              <w:rPr>
                <w:rFonts w:eastAsiaTheme="minorHAnsi"/>
                <w:sz w:val="20"/>
                <w:szCs w:val="20"/>
              </w:rPr>
            </w:pPr>
            <w:r w:rsidRPr="00D56868">
              <w:rPr>
                <w:sz w:val="20"/>
                <w:szCs w:val="20"/>
              </w:rPr>
              <w:t>Annual</w:t>
            </w:r>
          </w:p>
          <w:p w:rsidR="00D56868" w:rsidRPr="00D56868" w:rsidRDefault="00D56868" w:rsidP="00FF2E22">
            <w:pPr>
              <w:keepNext/>
              <w:jc w:val="center"/>
              <w:rPr>
                <w:sz w:val="20"/>
                <w:szCs w:val="20"/>
              </w:rPr>
            </w:pPr>
            <w:r w:rsidRPr="00D56868">
              <w:rPr>
                <w:sz w:val="20"/>
                <w:szCs w:val="20"/>
              </w:rPr>
              <w:t>Energy</w:t>
            </w:r>
          </w:p>
          <w:p w:rsidR="00D56868" w:rsidRPr="00D56868" w:rsidRDefault="00D56868" w:rsidP="00FF2E22">
            <w:pPr>
              <w:keepNext/>
              <w:jc w:val="center"/>
              <w:rPr>
                <w:sz w:val="20"/>
                <w:szCs w:val="20"/>
              </w:rPr>
            </w:pPr>
            <w:r w:rsidRPr="00D56868">
              <w:rPr>
                <w:sz w:val="20"/>
                <w:szCs w:val="20"/>
              </w:rPr>
              <w:t>Consumption</w:t>
            </w:r>
          </w:p>
          <w:p w:rsidR="00D56868" w:rsidRPr="00D56868" w:rsidRDefault="00D56868" w:rsidP="00FF2E22">
            <w:pPr>
              <w:jc w:val="center"/>
              <w:rPr>
                <w:rFonts w:eastAsiaTheme="minorHAnsi"/>
                <w:sz w:val="20"/>
                <w:szCs w:val="20"/>
              </w:rPr>
            </w:pPr>
            <w:r w:rsidRPr="00D56868">
              <w:rPr>
                <w:sz w:val="20"/>
                <w:szCs w:val="20"/>
              </w:rPr>
              <w:t>(GWh)</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2020</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10</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17</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16</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9</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15</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7</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2025</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10</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5</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2026</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10</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7</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10</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3</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2027</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9</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7</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9</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13</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2</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2028</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9</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7</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8</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14</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12</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w:t>
            </w:r>
          </w:p>
        </w:tc>
      </w:tr>
      <w:tr w:rsidR="00D56868" w:rsidTr="00FF2E22">
        <w:tc>
          <w:tcPr>
            <w:tcW w:w="1368" w:type="dxa"/>
          </w:tcPr>
          <w:p w:rsidR="00D56868" w:rsidRPr="00D56868" w:rsidRDefault="00D56868" w:rsidP="00FF2E22">
            <w:pPr>
              <w:jc w:val="center"/>
              <w:rPr>
                <w:rFonts w:eastAsiaTheme="minorHAnsi"/>
                <w:sz w:val="20"/>
                <w:szCs w:val="20"/>
              </w:rPr>
            </w:pPr>
            <w:r w:rsidRPr="00D56868">
              <w:rPr>
                <w:sz w:val="20"/>
                <w:szCs w:val="20"/>
              </w:rPr>
              <w:t>2029</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9</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6</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7</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15</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11</w:t>
            </w:r>
          </w:p>
        </w:tc>
        <w:tc>
          <w:tcPr>
            <w:tcW w:w="1368" w:type="dxa"/>
          </w:tcPr>
          <w:p w:rsidR="00D56868" w:rsidRPr="00D56868" w:rsidRDefault="00D56868" w:rsidP="00FF2E22">
            <w:pPr>
              <w:jc w:val="right"/>
              <w:rPr>
                <w:rFonts w:eastAsiaTheme="minorHAnsi"/>
                <w:sz w:val="20"/>
                <w:szCs w:val="20"/>
              </w:rPr>
            </w:pPr>
            <w:r>
              <w:rPr>
                <w:rFonts w:eastAsiaTheme="minorHAnsi"/>
                <w:sz w:val="20"/>
                <w:szCs w:val="20"/>
              </w:rPr>
              <w:t>1</w:t>
            </w:r>
          </w:p>
        </w:tc>
      </w:tr>
    </w:tbl>
    <w:p w:rsidR="00D56868" w:rsidRDefault="00D56868" w:rsidP="00825B7E">
      <w:pPr>
        <w:pStyle w:val="OrderBody"/>
      </w:pPr>
    </w:p>
    <w:p w:rsidR="00D56868" w:rsidRDefault="00D56868" w:rsidP="00825B7E">
      <w:pPr>
        <w:pStyle w:val="OrderBody"/>
      </w:pPr>
    </w:p>
    <w:p w:rsidR="000120F9" w:rsidRDefault="000120F9" w:rsidP="00825B7E">
      <w:pPr>
        <w:pStyle w:val="OrderBody"/>
      </w:pPr>
    </w:p>
    <w:p w:rsidR="000120F9" w:rsidRDefault="000120F9" w:rsidP="00825B7E">
      <w:pPr>
        <w:pStyle w:val="OrderBody"/>
      </w:pPr>
    </w:p>
    <w:p w:rsidR="000120F9" w:rsidRPr="000F6686" w:rsidRDefault="000120F9" w:rsidP="000120F9">
      <w:pPr>
        <w:keepNext/>
        <w:spacing w:before="120" w:after="120"/>
        <w:jc w:val="center"/>
        <w:rPr>
          <w:b/>
          <w:bCs/>
          <w:szCs w:val="20"/>
        </w:rPr>
      </w:pPr>
      <w:r>
        <w:rPr>
          <w:b/>
          <w:bCs/>
          <w:szCs w:val="20"/>
        </w:rPr>
        <w:lastRenderedPageBreak/>
        <w:t>TECO</w:t>
      </w:r>
      <w:r w:rsidRPr="000F6686">
        <w:rPr>
          <w:b/>
          <w:bCs/>
          <w:szCs w:val="20"/>
        </w:rPr>
        <w:t xml:space="preserve">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120F9" w:rsidTr="00FF2E22">
        <w:tc>
          <w:tcPr>
            <w:tcW w:w="1368" w:type="dxa"/>
          </w:tcPr>
          <w:p w:rsidR="000120F9" w:rsidRPr="00D56868" w:rsidRDefault="000120F9" w:rsidP="00FF2E22">
            <w:pPr>
              <w:pStyle w:val="OrderBody"/>
              <w:rPr>
                <w:sz w:val="20"/>
                <w:szCs w:val="20"/>
              </w:rPr>
            </w:pPr>
          </w:p>
        </w:tc>
        <w:tc>
          <w:tcPr>
            <w:tcW w:w="4104" w:type="dxa"/>
            <w:gridSpan w:val="3"/>
          </w:tcPr>
          <w:p w:rsidR="000120F9" w:rsidRPr="00D56868" w:rsidRDefault="000120F9" w:rsidP="00FF2E22">
            <w:pPr>
              <w:pStyle w:val="OrderBody"/>
              <w:jc w:val="center"/>
              <w:rPr>
                <w:sz w:val="20"/>
                <w:szCs w:val="20"/>
              </w:rPr>
            </w:pPr>
            <w:r w:rsidRPr="00D56868">
              <w:rPr>
                <w:sz w:val="20"/>
                <w:szCs w:val="20"/>
              </w:rPr>
              <w:t>Residential</w:t>
            </w:r>
          </w:p>
        </w:tc>
        <w:tc>
          <w:tcPr>
            <w:tcW w:w="4104" w:type="dxa"/>
            <w:gridSpan w:val="3"/>
          </w:tcPr>
          <w:p w:rsidR="000120F9" w:rsidRPr="00D56868" w:rsidRDefault="000120F9" w:rsidP="00FF2E22">
            <w:pPr>
              <w:pStyle w:val="OrderBody"/>
              <w:jc w:val="center"/>
              <w:rPr>
                <w:sz w:val="20"/>
                <w:szCs w:val="20"/>
              </w:rPr>
            </w:pPr>
            <w:r w:rsidRPr="00D56868">
              <w:rPr>
                <w:sz w:val="20"/>
                <w:szCs w:val="20"/>
              </w:rPr>
              <w:t>Commercial/Industrial</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 </w:t>
            </w:r>
          </w:p>
          <w:p w:rsidR="000120F9" w:rsidRPr="00D56868" w:rsidRDefault="000120F9" w:rsidP="00FF2E22">
            <w:pPr>
              <w:jc w:val="center"/>
              <w:rPr>
                <w:sz w:val="20"/>
                <w:szCs w:val="20"/>
              </w:rPr>
            </w:pPr>
            <w:r w:rsidRPr="00D56868">
              <w:rPr>
                <w:sz w:val="20"/>
                <w:szCs w:val="20"/>
              </w:rPr>
              <w:t> </w:t>
            </w:r>
          </w:p>
          <w:p w:rsidR="000120F9" w:rsidRPr="00D56868" w:rsidRDefault="000120F9" w:rsidP="00FF2E22">
            <w:pPr>
              <w:jc w:val="center"/>
              <w:rPr>
                <w:rFonts w:eastAsiaTheme="minorHAnsi"/>
                <w:sz w:val="20"/>
                <w:szCs w:val="20"/>
              </w:rPr>
            </w:pPr>
            <w:r w:rsidRPr="00D56868">
              <w:rPr>
                <w:sz w:val="20"/>
                <w:szCs w:val="20"/>
              </w:rPr>
              <w:t>Year</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4.7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9.3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5.5</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4.9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9.6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6.5</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9.7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5.5</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10.0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6.5</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10.3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5.6</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10.7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6.7</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11.0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5.8</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11.3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6.8</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10.5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5.8</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11.3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6.8</w:t>
            </w:r>
          </w:p>
        </w:tc>
      </w:tr>
    </w:tbl>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0120F9">
      <w:pPr>
        <w:keepNext/>
        <w:spacing w:before="120" w:after="120"/>
        <w:jc w:val="center"/>
        <w:rPr>
          <w:b/>
          <w:bCs/>
          <w:szCs w:val="20"/>
        </w:rPr>
      </w:pPr>
      <w:r>
        <w:rPr>
          <w:b/>
          <w:bCs/>
          <w:szCs w:val="20"/>
        </w:rPr>
        <w:t>Gulf</w:t>
      </w:r>
      <w:r w:rsidRPr="000F6686">
        <w:rPr>
          <w:b/>
          <w:bCs/>
          <w:szCs w:val="20"/>
        </w:rPr>
        <w:t xml:space="preserve">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120F9" w:rsidTr="00FF2E22">
        <w:tc>
          <w:tcPr>
            <w:tcW w:w="1368" w:type="dxa"/>
          </w:tcPr>
          <w:p w:rsidR="000120F9" w:rsidRPr="00D56868" w:rsidRDefault="000120F9" w:rsidP="00FF2E22">
            <w:pPr>
              <w:pStyle w:val="OrderBody"/>
              <w:rPr>
                <w:sz w:val="20"/>
                <w:szCs w:val="20"/>
              </w:rPr>
            </w:pPr>
          </w:p>
        </w:tc>
        <w:tc>
          <w:tcPr>
            <w:tcW w:w="4104" w:type="dxa"/>
            <w:gridSpan w:val="3"/>
          </w:tcPr>
          <w:p w:rsidR="000120F9" w:rsidRPr="00D56868" w:rsidRDefault="000120F9" w:rsidP="00FF2E22">
            <w:pPr>
              <w:pStyle w:val="OrderBody"/>
              <w:jc w:val="center"/>
              <w:rPr>
                <w:sz w:val="20"/>
                <w:szCs w:val="20"/>
              </w:rPr>
            </w:pPr>
            <w:r w:rsidRPr="00D56868">
              <w:rPr>
                <w:sz w:val="20"/>
                <w:szCs w:val="20"/>
              </w:rPr>
              <w:t>Residential</w:t>
            </w:r>
          </w:p>
        </w:tc>
        <w:tc>
          <w:tcPr>
            <w:tcW w:w="4104" w:type="dxa"/>
            <w:gridSpan w:val="3"/>
          </w:tcPr>
          <w:p w:rsidR="000120F9" w:rsidRPr="00D56868" w:rsidRDefault="000120F9" w:rsidP="00FF2E22">
            <w:pPr>
              <w:pStyle w:val="OrderBody"/>
              <w:jc w:val="center"/>
              <w:rPr>
                <w:sz w:val="20"/>
                <w:szCs w:val="20"/>
              </w:rPr>
            </w:pPr>
            <w:r w:rsidRPr="00D56868">
              <w:rPr>
                <w:sz w:val="20"/>
                <w:szCs w:val="20"/>
              </w:rPr>
              <w:t>Commercial/Industrial</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 </w:t>
            </w:r>
          </w:p>
          <w:p w:rsidR="000120F9" w:rsidRPr="00D56868" w:rsidRDefault="000120F9" w:rsidP="00FF2E22">
            <w:pPr>
              <w:jc w:val="center"/>
              <w:rPr>
                <w:sz w:val="20"/>
                <w:szCs w:val="20"/>
              </w:rPr>
            </w:pPr>
            <w:r w:rsidRPr="00D56868">
              <w:rPr>
                <w:sz w:val="20"/>
                <w:szCs w:val="20"/>
              </w:rPr>
              <w:t> </w:t>
            </w:r>
          </w:p>
          <w:p w:rsidR="000120F9" w:rsidRPr="00D56868" w:rsidRDefault="000120F9" w:rsidP="00FF2E22">
            <w:pPr>
              <w:jc w:val="center"/>
              <w:rPr>
                <w:rFonts w:eastAsiaTheme="minorHAnsi"/>
                <w:sz w:val="20"/>
                <w:szCs w:val="20"/>
              </w:rPr>
            </w:pPr>
            <w:r w:rsidRPr="00D56868">
              <w:rPr>
                <w:sz w:val="20"/>
                <w:szCs w:val="20"/>
              </w:rPr>
              <w:t>Year</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bl>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0120F9">
      <w:pPr>
        <w:keepNext/>
        <w:spacing w:before="120" w:after="120"/>
        <w:jc w:val="center"/>
        <w:rPr>
          <w:b/>
          <w:bCs/>
          <w:szCs w:val="20"/>
        </w:rPr>
      </w:pPr>
      <w:r>
        <w:rPr>
          <w:b/>
          <w:bCs/>
          <w:szCs w:val="20"/>
        </w:rPr>
        <w:lastRenderedPageBreak/>
        <w:t>FPUC</w:t>
      </w:r>
      <w:r w:rsidRPr="000F6686">
        <w:rPr>
          <w:b/>
          <w:bCs/>
          <w:szCs w:val="20"/>
        </w:rPr>
        <w:t xml:space="preserve">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120F9" w:rsidTr="00FF2E22">
        <w:tc>
          <w:tcPr>
            <w:tcW w:w="1368" w:type="dxa"/>
          </w:tcPr>
          <w:p w:rsidR="000120F9" w:rsidRPr="00D56868" w:rsidRDefault="000120F9" w:rsidP="00FF2E22">
            <w:pPr>
              <w:pStyle w:val="OrderBody"/>
              <w:rPr>
                <w:sz w:val="20"/>
                <w:szCs w:val="20"/>
              </w:rPr>
            </w:pPr>
          </w:p>
        </w:tc>
        <w:tc>
          <w:tcPr>
            <w:tcW w:w="4104" w:type="dxa"/>
            <w:gridSpan w:val="3"/>
          </w:tcPr>
          <w:p w:rsidR="000120F9" w:rsidRPr="00D56868" w:rsidRDefault="000120F9" w:rsidP="00FF2E22">
            <w:pPr>
              <w:pStyle w:val="OrderBody"/>
              <w:jc w:val="center"/>
              <w:rPr>
                <w:sz w:val="20"/>
                <w:szCs w:val="20"/>
              </w:rPr>
            </w:pPr>
            <w:r w:rsidRPr="00D56868">
              <w:rPr>
                <w:sz w:val="20"/>
                <w:szCs w:val="20"/>
              </w:rPr>
              <w:t>Residential</w:t>
            </w:r>
          </w:p>
        </w:tc>
        <w:tc>
          <w:tcPr>
            <w:tcW w:w="4104" w:type="dxa"/>
            <w:gridSpan w:val="3"/>
          </w:tcPr>
          <w:p w:rsidR="000120F9" w:rsidRPr="00D56868" w:rsidRDefault="000120F9" w:rsidP="00FF2E22">
            <w:pPr>
              <w:pStyle w:val="OrderBody"/>
              <w:jc w:val="center"/>
              <w:rPr>
                <w:sz w:val="20"/>
                <w:szCs w:val="20"/>
              </w:rPr>
            </w:pPr>
            <w:r w:rsidRPr="00D56868">
              <w:rPr>
                <w:sz w:val="20"/>
                <w:szCs w:val="20"/>
              </w:rPr>
              <w:t>Commercial/Industrial</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 </w:t>
            </w:r>
          </w:p>
          <w:p w:rsidR="000120F9" w:rsidRPr="00D56868" w:rsidRDefault="000120F9" w:rsidP="00FF2E22">
            <w:pPr>
              <w:jc w:val="center"/>
              <w:rPr>
                <w:sz w:val="20"/>
                <w:szCs w:val="20"/>
              </w:rPr>
            </w:pPr>
            <w:r w:rsidRPr="00D56868">
              <w:rPr>
                <w:sz w:val="20"/>
                <w:szCs w:val="20"/>
              </w:rPr>
              <w:t> </w:t>
            </w:r>
          </w:p>
          <w:p w:rsidR="000120F9" w:rsidRPr="00D56868" w:rsidRDefault="000120F9" w:rsidP="00FF2E22">
            <w:pPr>
              <w:jc w:val="center"/>
              <w:rPr>
                <w:rFonts w:eastAsiaTheme="minorHAnsi"/>
                <w:sz w:val="20"/>
                <w:szCs w:val="20"/>
              </w:rPr>
            </w:pPr>
            <w:r w:rsidRPr="00D56868">
              <w:rPr>
                <w:sz w:val="20"/>
                <w:szCs w:val="20"/>
              </w:rPr>
              <w:t>Year</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bl>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0120F9">
      <w:pPr>
        <w:keepNext/>
        <w:spacing w:before="120" w:after="120"/>
        <w:jc w:val="center"/>
        <w:rPr>
          <w:b/>
          <w:bCs/>
          <w:szCs w:val="20"/>
        </w:rPr>
      </w:pPr>
      <w:r>
        <w:rPr>
          <w:b/>
          <w:bCs/>
          <w:szCs w:val="20"/>
        </w:rPr>
        <w:t>JEA</w:t>
      </w:r>
      <w:r w:rsidRPr="000F6686">
        <w:rPr>
          <w:b/>
          <w:bCs/>
          <w:szCs w:val="20"/>
        </w:rPr>
        <w:t xml:space="preserve">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120F9" w:rsidTr="00FF2E22">
        <w:tc>
          <w:tcPr>
            <w:tcW w:w="1368" w:type="dxa"/>
          </w:tcPr>
          <w:p w:rsidR="000120F9" w:rsidRPr="00D56868" w:rsidRDefault="000120F9" w:rsidP="00FF2E22">
            <w:pPr>
              <w:pStyle w:val="OrderBody"/>
              <w:rPr>
                <w:sz w:val="20"/>
                <w:szCs w:val="20"/>
              </w:rPr>
            </w:pPr>
          </w:p>
        </w:tc>
        <w:tc>
          <w:tcPr>
            <w:tcW w:w="4104" w:type="dxa"/>
            <w:gridSpan w:val="3"/>
          </w:tcPr>
          <w:p w:rsidR="000120F9" w:rsidRPr="00D56868" w:rsidRDefault="000120F9" w:rsidP="00FF2E22">
            <w:pPr>
              <w:pStyle w:val="OrderBody"/>
              <w:jc w:val="center"/>
              <w:rPr>
                <w:sz w:val="20"/>
                <w:szCs w:val="20"/>
              </w:rPr>
            </w:pPr>
            <w:r w:rsidRPr="00D56868">
              <w:rPr>
                <w:sz w:val="20"/>
                <w:szCs w:val="20"/>
              </w:rPr>
              <w:t>Residential</w:t>
            </w:r>
          </w:p>
        </w:tc>
        <w:tc>
          <w:tcPr>
            <w:tcW w:w="4104" w:type="dxa"/>
            <w:gridSpan w:val="3"/>
          </w:tcPr>
          <w:p w:rsidR="000120F9" w:rsidRPr="00D56868" w:rsidRDefault="000120F9" w:rsidP="00FF2E22">
            <w:pPr>
              <w:pStyle w:val="OrderBody"/>
              <w:jc w:val="center"/>
              <w:rPr>
                <w:sz w:val="20"/>
                <w:szCs w:val="20"/>
              </w:rPr>
            </w:pPr>
            <w:r w:rsidRPr="00D56868">
              <w:rPr>
                <w:sz w:val="20"/>
                <w:szCs w:val="20"/>
              </w:rPr>
              <w:t>Commercial/Industrial</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 </w:t>
            </w:r>
          </w:p>
          <w:p w:rsidR="000120F9" w:rsidRPr="00D56868" w:rsidRDefault="000120F9" w:rsidP="00FF2E22">
            <w:pPr>
              <w:jc w:val="center"/>
              <w:rPr>
                <w:sz w:val="20"/>
                <w:szCs w:val="20"/>
              </w:rPr>
            </w:pPr>
            <w:r w:rsidRPr="00D56868">
              <w:rPr>
                <w:sz w:val="20"/>
                <w:szCs w:val="20"/>
              </w:rPr>
              <w:t> </w:t>
            </w:r>
          </w:p>
          <w:p w:rsidR="000120F9" w:rsidRPr="00D56868" w:rsidRDefault="000120F9" w:rsidP="00FF2E22">
            <w:pPr>
              <w:jc w:val="center"/>
              <w:rPr>
                <w:rFonts w:eastAsiaTheme="minorHAnsi"/>
                <w:sz w:val="20"/>
                <w:szCs w:val="20"/>
              </w:rPr>
            </w:pPr>
            <w:r w:rsidRPr="00D56868">
              <w:rPr>
                <w:sz w:val="20"/>
                <w:szCs w:val="20"/>
              </w:rPr>
              <w:t>Year</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bl>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825B7E">
      <w:pPr>
        <w:pStyle w:val="OrderBody"/>
      </w:pPr>
    </w:p>
    <w:p w:rsidR="000120F9" w:rsidRDefault="000120F9" w:rsidP="000120F9">
      <w:pPr>
        <w:keepNext/>
        <w:spacing w:before="120" w:after="120"/>
        <w:jc w:val="center"/>
        <w:rPr>
          <w:b/>
          <w:bCs/>
          <w:szCs w:val="20"/>
        </w:rPr>
      </w:pPr>
      <w:r>
        <w:rPr>
          <w:b/>
          <w:bCs/>
          <w:szCs w:val="20"/>
        </w:rPr>
        <w:lastRenderedPageBreak/>
        <w:t>OUC</w:t>
      </w:r>
      <w:r w:rsidRPr="000F6686">
        <w:rPr>
          <w:b/>
          <w:bCs/>
          <w:szCs w:val="20"/>
        </w:rPr>
        <w:t xml:space="preserve"> </w:t>
      </w:r>
      <w:r>
        <w:rPr>
          <w:b/>
          <w:bCs/>
          <w:szCs w:val="20"/>
        </w:rPr>
        <w:t xml:space="preserve">Proposed </w:t>
      </w:r>
      <w:r w:rsidRPr="000F6686">
        <w:rPr>
          <w:b/>
          <w:bCs/>
          <w:szCs w:val="20"/>
        </w:rPr>
        <w:t>Annual Conservation Goals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120F9" w:rsidTr="00FF2E22">
        <w:tc>
          <w:tcPr>
            <w:tcW w:w="1368" w:type="dxa"/>
          </w:tcPr>
          <w:p w:rsidR="000120F9" w:rsidRPr="00D56868" w:rsidRDefault="000120F9" w:rsidP="00FF2E22">
            <w:pPr>
              <w:pStyle w:val="OrderBody"/>
              <w:rPr>
                <w:sz w:val="20"/>
                <w:szCs w:val="20"/>
              </w:rPr>
            </w:pPr>
          </w:p>
        </w:tc>
        <w:tc>
          <w:tcPr>
            <w:tcW w:w="4104" w:type="dxa"/>
            <w:gridSpan w:val="3"/>
          </w:tcPr>
          <w:p w:rsidR="000120F9" w:rsidRPr="00D56868" w:rsidRDefault="000120F9" w:rsidP="00FF2E22">
            <w:pPr>
              <w:pStyle w:val="OrderBody"/>
              <w:jc w:val="center"/>
              <w:rPr>
                <w:sz w:val="20"/>
                <w:szCs w:val="20"/>
              </w:rPr>
            </w:pPr>
            <w:r w:rsidRPr="00D56868">
              <w:rPr>
                <w:sz w:val="20"/>
                <w:szCs w:val="20"/>
              </w:rPr>
              <w:t>Residential</w:t>
            </w:r>
          </w:p>
        </w:tc>
        <w:tc>
          <w:tcPr>
            <w:tcW w:w="4104" w:type="dxa"/>
            <w:gridSpan w:val="3"/>
          </w:tcPr>
          <w:p w:rsidR="000120F9" w:rsidRPr="00D56868" w:rsidRDefault="000120F9" w:rsidP="00FF2E22">
            <w:pPr>
              <w:pStyle w:val="OrderBody"/>
              <w:jc w:val="center"/>
              <w:rPr>
                <w:sz w:val="20"/>
                <w:szCs w:val="20"/>
              </w:rPr>
            </w:pPr>
            <w:r w:rsidRPr="00D56868">
              <w:rPr>
                <w:sz w:val="20"/>
                <w:szCs w:val="20"/>
              </w:rPr>
              <w:t>Commercial/Industrial</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 </w:t>
            </w:r>
          </w:p>
          <w:p w:rsidR="000120F9" w:rsidRPr="00D56868" w:rsidRDefault="000120F9" w:rsidP="00FF2E22">
            <w:pPr>
              <w:jc w:val="center"/>
              <w:rPr>
                <w:sz w:val="20"/>
                <w:szCs w:val="20"/>
              </w:rPr>
            </w:pPr>
            <w:r w:rsidRPr="00D56868">
              <w:rPr>
                <w:sz w:val="20"/>
                <w:szCs w:val="20"/>
              </w:rPr>
              <w:t> </w:t>
            </w:r>
          </w:p>
          <w:p w:rsidR="000120F9" w:rsidRPr="00D56868" w:rsidRDefault="000120F9" w:rsidP="00FF2E22">
            <w:pPr>
              <w:jc w:val="center"/>
              <w:rPr>
                <w:rFonts w:eastAsiaTheme="minorHAnsi"/>
                <w:sz w:val="20"/>
                <w:szCs w:val="20"/>
              </w:rPr>
            </w:pPr>
            <w:r w:rsidRPr="00D56868">
              <w:rPr>
                <w:sz w:val="20"/>
                <w:szCs w:val="20"/>
              </w:rPr>
              <w:t>Year</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Summer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Winter</w:t>
            </w:r>
          </w:p>
          <w:p w:rsidR="000120F9" w:rsidRPr="00D56868" w:rsidRDefault="000120F9" w:rsidP="00FF2E22">
            <w:pPr>
              <w:keepNext/>
              <w:jc w:val="center"/>
              <w:rPr>
                <w:sz w:val="20"/>
                <w:szCs w:val="20"/>
              </w:rPr>
            </w:pPr>
            <w:r w:rsidRPr="00D56868">
              <w:rPr>
                <w:sz w:val="20"/>
                <w:szCs w:val="20"/>
              </w:rPr>
              <w:t>Peak</w:t>
            </w:r>
          </w:p>
          <w:p w:rsidR="000120F9" w:rsidRPr="00D56868" w:rsidRDefault="000120F9" w:rsidP="00FF2E22">
            <w:pPr>
              <w:keepNext/>
              <w:jc w:val="center"/>
              <w:rPr>
                <w:sz w:val="20"/>
                <w:szCs w:val="20"/>
              </w:rPr>
            </w:pPr>
            <w:r w:rsidRPr="00D56868">
              <w:rPr>
                <w:sz w:val="20"/>
                <w:szCs w:val="20"/>
              </w:rPr>
              <w:t>Demand</w:t>
            </w:r>
          </w:p>
          <w:p w:rsidR="000120F9" w:rsidRPr="00D56868" w:rsidRDefault="000120F9" w:rsidP="00FF2E22">
            <w:pPr>
              <w:jc w:val="center"/>
              <w:rPr>
                <w:rFonts w:eastAsiaTheme="minorHAnsi"/>
                <w:sz w:val="20"/>
                <w:szCs w:val="20"/>
              </w:rPr>
            </w:pPr>
            <w:r w:rsidRPr="00D56868">
              <w:rPr>
                <w:sz w:val="20"/>
                <w:szCs w:val="20"/>
              </w:rPr>
              <w:t>(MW)</w:t>
            </w:r>
          </w:p>
        </w:tc>
        <w:tc>
          <w:tcPr>
            <w:tcW w:w="1368" w:type="dxa"/>
          </w:tcPr>
          <w:p w:rsidR="000120F9" w:rsidRPr="00D56868" w:rsidRDefault="000120F9" w:rsidP="00FF2E22">
            <w:pPr>
              <w:keepNext/>
              <w:jc w:val="center"/>
              <w:rPr>
                <w:rFonts w:eastAsiaTheme="minorHAnsi"/>
                <w:sz w:val="20"/>
                <w:szCs w:val="20"/>
              </w:rPr>
            </w:pPr>
            <w:r w:rsidRPr="00D56868">
              <w:rPr>
                <w:sz w:val="20"/>
                <w:szCs w:val="20"/>
              </w:rPr>
              <w:t>Annual</w:t>
            </w:r>
          </w:p>
          <w:p w:rsidR="000120F9" w:rsidRPr="00D56868" w:rsidRDefault="000120F9" w:rsidP="00FF2E22">
            <w:pPr>
              <w:keepNext/>
              <w:jc w:val="center"/>
              <w:rPr>
                <w:sz w:val="20"/>
                <w:szCs w:val="20"/>
              </w:rPr>
            </w:pPr>
            <w:r w:rsidRPr="00D56868">
              <w:rPr>
                <w:sz w:val="20"/>
                <w:szCs w:val="20"/>
              </w:rPr>
              <w:t>Energy</w:t>
            </w:r>
          </w:p>
          <w:p w:rsidR="000120F9" w:rsidRPr="00D56868" w:rsidRDefault="000120F9" w:rsidP="00FF2E22">
            <w:pPr>
              <w:keepNext/>
              <w:jc w:val="center"/>
              <w:rPr>
                <w:sz w:val="20"/>
                <w:szCs w:val="20"/>
              </w:rPr>
            </w:pPr>
            <w:r w:rsidRPr="00D56868">
              <w:rPr>
                <w:sz w:val="20"/>
                <w:szCs w:val="20"/>
              </w:rPr>
              <w:t>Consumption</w:t>
            </w:r>
          </w:p>
          <w:p w:rsidR="000120F9" w:rsidRPr="00D56868" w:rsidRDefault="000120F9" w:rsidP="00FF2E22">
            <w:pPr>
              <w:jc w:val="center"/>
              <w:rPr>
                <w:rFonts w:eastAsiaTheme="minorHAnsi"/>
                <w:sz w:val="20"/>
                <w:szCs w:val="20"/>
              </w:rPr>
            </w:pPr>
            <w:r w:rsidRPr="00D56868">
              <w:rPr>
                <w:sz w:val="20"/>
                <w:szCs w:val="20"/>
              </w:rPr>
              <w:t>(GWh)</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2021</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2022</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2023</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2024</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2025</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2026</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2027</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2028</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r w:rsidR="000120F9" w:rsidTr="00FF2E22">
        <w:tc>
          <w:tcPr>
            <w:tcW w:w="1368" w:type="dxa"/>
          </w:tcPr>
          <w:p w:rsidR="000120F9" w:rsidRPr="00D56868" w:rsidRDefault="000120F9" w:rsidP="00FF2E22">
            <w:pPr>
              <w:jc w:val="center"/>
              <w:rPr>
                <w:rFonts w:eastAsiaTheme="minorHAnsi"/>
                <w:sz w:val="20"/>
                <w:szCs w:val="20"/>
              </w:rPr>
            </w:pPr>
            <w:r w:rsidRPr="00D56868">
              <w:rPr>
                <w:sz w:val="20"/>
                <w:szCs w:val="20"/>
              </w:rPr>
              <w:t>2029</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c>
          <w:tcPr>
            <w:tcW w:w="1368" w:type="dxa"/>
          </w:tcPr>
          <w:p w:rsidR="000120F9" w:rsidRPr="00D56868" w:rsidRDefault="000120F9" w:rsidP="00FF2E22">
            <w:pPr>
              <w:jc w:val="right"/>
              <w:rPr>
                <w:rFonts w:eastAsiaTheme="minorHAnsi"/>
                <w:sz w:val="20"/>
                <w:szCs w:val="20"/>
              </w:rPr>
            </w:pPr>
            <w:r>
              <w:rPr>
                <w:rFonts w:eastAsiaTheme="minorHAnsi"/>
                <w:sz w:val="20"/>
                <w:szCs w:val="20"/>
              </w:rPr>
              <w:t>0</w:t>
            </w:r>
          </w:p>
        </w:tc>
      </w:tr>
    </w:tbl>
    <w:p w:rsidR="000120F9" w:rsidRDefault="000120F9" w:rsidP="00825B7E">
      <w:pPr>
        <w:pStyle w:val="OrderBody"/>
      </w:pPr>
    </w:p>
    <w:p w:rsidR="000120F9" w:rsidRDefault="000120F9" w:rsidP="00825B7E">
      <w:pPr>
        <w:pStyle w:val="OrderBody"/>
      </w:pPr>
    </w:p>
    <w:p w:rsidR="000120F9" w:rsidRDefault="000120F9" w:rsidP="00825B7E">
      <w:pPr>
        <w:pStyle w:val="OrderBody"/>
        <w:sectPr w:rsidR="000120F9">
          <w:headerReference w:type="default" r:id="rId11"/>
          <w:headerReference w:type="first" r:id="rId12"/>
          <w:pgSz w:w="12240" w:h="15840" w:code="1"/>
          <w:pgMar w:top="1440" w:right="1440" w:bottom="1440" w:left="1440" w:header="720" w:footer="720" w:gutter="0"/>
          <w:cols w:space="720"/>
          <w:titlePg/>
          <w:docGrid w:linePitch="360"/>
        </w:sectPr>
      </w:pPr>
    </w:p>
    <w:p w:rsidR="008B52A6" w:rsidRPr="000B16C6" w:rsidRDefault="008B52A6" w:rsidP="008B52A6">
      <w:pPr>
        <w:keepNext/>
        <w:jc w:val="center"/>
        <w:rPr>
          <w:b/>
          <w:bCs/>
          <w:color w:val="000000"/>
          <w:u w:val="single"/>
        </w:rPr>
      </w:pPr>
      <w:r w:rsidRPr="000B16C6">
        <w:rPr>
          <w:b/>
          <w:bCs/>
          <w:color w:val="000000"/>
          <w:u w:val="single"/>
        </w:rPr>
        <w:lastRenderedPageBreak/>
        <w:t xml:space="preserve">COMMISSION APPROVED RESIDENTIAL AND </w:t>
      </w:r>
    </w:p>
    <w:p w:rsidR="008B52A6" w:rsidRPr="000B16C6" w:rsidRDefault="008B52A6" w:rsidP="008B52A6">
      <w:pPr>
        <w:keepNext/>
        <w:jc w:val="center"/>
        <w:rPr>
          <w:b/>
          <w:bCs/>
          <w:u w:val="single"/>
        </w:rPr>
      </w:pPr>
      <w:r w:rsidRPr="000B16C6">
        <w:rPr>
          <w:b/>
          <w:bCs/>
          <w:color w:val="000000"/>
          <w:u w:val="single"/>
        </w:rPr>
        <w:t>COMMERCIAL/INDUSTRIAL GOALS</w:t>
      </w:r>
    </w:p>
    <w:p w:rsidR="008B52A6" w:rsidRDefault="008B52A6" w:rsidP="000F6686">
      <w:pPr>
        <w:keepNext/>
        <w:spacing w:before="120" w:after="120"/>
        <w:jc w:val="center"/>
        <w:rPr>
          <w:b/>
          <w:bCs/>
          <w:szCs w:val="20"/>
        </w:rPr>
      </w:pPr>
    </w:p>
    <w:p w:rsidR="008B52A6" w:rsidRDefault="008B52A6" w:rsidP="000F6686">
      <w:pPr>
        <w:keepNext/>
        <w:spacing w:before="120" w:after="120"/>
        <w:jc w:val="center"/>
        <w:rPr>
          <w:b/>
          <w:bCs/>
          <w:szCs w:val="20"/>
        </w:rPr>
      </w:pPr>
    </w:p>
    <w:p w:rsidR="000F6686" w:rsidRPr="000F6686" w:rsidRDefault="000F6686" w:rsidP="000F6686">
      <w:pPr>
        <w:keepNext/>
        <w:spacing w:before="120" w:after="120"/>
        <w:jc w:val="center"/>
        <w:rPr>
          <w:b/>
          <w:bCs/>
          <w:szCs w:val="20"/>
        </w:rPr>
      </w:pPr>
      <w:r w:rsidRPr="000F6686">
        <w:rPr>
          <w:b/>
          <w:bCs/>
          <w:szCs w:val="20"/>
        </w:rPr>
        <w:t>FPL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26.9</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16.7</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25.0</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26.2</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16.1</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28.7</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27.3</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16.9</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25.7</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26.6</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16.5</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30.1</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27.6</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17.2</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26.5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27.1</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16.9</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31.6</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28.0</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17.5</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27.4</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27.5</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17.3</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33.1</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28.5</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17.8</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28.3</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28.0</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17.7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34.7</w:t>
            </w:r>
          </w:p>
        </w:tc>
      </w:tr>
    </w:tbl>
    <w:p w:rsidR="000F6686" w:rsidRPr="000F6686" w:rsidRDefault="000F6686" w:rsidP="000F6686">
      <w:pPr>
        <w:spacing w:before="120" w:after="120"/>
        <w:jc w:val="center"/>
        <w:rPr>
          <w:b/>
          <w:bCs/>
          <w:sz w:val="20"/>
          <w:szCs w:val="20"/>
        </w:rPr>
      </w:pPr>
    </w:p>
    <w:p w:rsidR="000F6686" w:rsidRPr="000F6686" w:rsidRDefault="000F6686" w:rsidP="000F6686">
      <w:pPr>
        <w:keepNext/>
        <w:spacing w:before="120" w:after="120"/>
        <w:jc w:val="center"/>
        <w:rPr>
          <w:b/>
          <w:bCs/>
          <w:szCs w:val="20"/>
        </w:rPr>
      </w:pPr>
      <w:r w:rsidRPr="000F6686">
        <w:rPr>
          <w:b/>
          <w:bCs/>
          <w:szCs w:val="20"/>
        </w:rPr>
        <w:t>DEF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15.5</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32.2</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9.3</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8.2</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5.2</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5.9</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13.7</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27.8</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6.2</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6.9</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4.8</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3.9</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12.2</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24.5</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3.8</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6.0</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4.7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2.4</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11.3</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22.3</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2.2</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5.6</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5.0</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1.4</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10.7</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20.9</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1.2</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5.0</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4.6</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0.8</w:t>
            </w:r>
          </w:p>
        </w:tc>
      </w:tr>
    </w:tbl>
    <w:p w:rsidR="000F6686" w:rsidRPr="000F6686" w:rsidRDefault="000F6686" w:rsidP="000F6686">
      <w:pPr>
        <w:spacing w:before="120" w:after="120"/>
        <w:jc w:val="center"/>
        <w:rPr>
          <w:b/>
          <w:bCs/>
          <w:sz w:val="20"/>
          <w:szCs w:val="20"/>
        </w:rPr>
      </w:pPr>
    </w:p>
    <w:p w:rsidR="000F6686" w:rsidRPr="000F6686" w:rsidRDefault="000F6686" w:rsidP="000F6686">
      <w:pPr>
        <w:keepNext/>
        <w:spacing w:before="120" w:after="120"/>
        <w:jc w:val="center"/>
        <w:rPr>
          <w:b/>
          <w:bCs/>
          <w:szCs w:val="20"/>
        </w:rPr>
      </w:pPr>
      <w:r w:rsidRPr="000F6686">
        <w:rPr>
          <w:b/>
          <w:bCs/>
          <w:szCs w:val="20"/>
        </w:rPr>
        <w:t>TECO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3.3</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7.6</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7.4</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3.5</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10.3</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3.3</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8.0</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7.7</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3.6</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1.9</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10.4</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3.0</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7.4</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6.9</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3.3</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1.9</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10.2</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2.9</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6.8</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6.3</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3.5</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1.8</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9.9</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2.5</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6.1</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jc w:val="right"/>
              <w:rPr>
                <w:color w:val="000000"/>
                <w:sz w:val="20"/>
                <w:szCs w:val="20"/>
              </w:rPr>
            </w:pPr>
            <w:r w:rsidRPr="000F6686">
              <w:rPr>
                <w:color w:val="000000"/>
                <w:sz w:val="20"/>
                <w:szCs w:val="20"/>
              </w:rPr>
              <w:t>5.5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3.2</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9.6</w:t>
            </w:r>
          </w:p>
        </w:tc>
      </w:tr>
    </w:tbl>
    <w:p w:rsidR="000F6686" w:rsidRPr="000F6686" w:rsidRDefault="000F6686" w:rsidP="000F6686">
      <w:pPr>
        <w:spacing w:before="120" w:after="120"/>
        <w:jc w:val="center"/>
        <w:rPr>
          <w:b/>
          <w:bCs/>
          <w:sz w:val="20"/>
          <w:szCs w:val="20"/>
        </w:rPr>
      </w:pPr>
    </w:p>
    <w:p w:rsidR="000F6686" w:rsidRPr="000F6686" w:rsidRDefault="000F6686" w:rsidP="000F6686">
      <w:pPr>
        <w:keepNext/>
        <w:spacing w:before="120" w:after="120"/>
        <w:jc w:val="center"/>
        <w:rPr>
          <w:b/>
          <w:bCs/>
          <w:szCs w:val="20"/>
        </w:rPr>
      </w:pPr>
      <w:r w:rsidRPr="000F6686">
        <w:rPr>
          <w:b/>
          <w:bCs/>
          <w:szCs w:val="20"/>
        </w:rPr>
        <w:lastRenderedPageBreak/>
        <w:t>Gulf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6.7</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3.8</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6.8</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0.8</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0.2</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2.5</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7.5</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4.3</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7.6</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0.2</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2.7</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8.1</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4.6</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8.3</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0.3</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3.0</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8.8</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5.0</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8.9</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1.0</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0.3</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3.2</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9.3</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5.3</w:t>
            </w:r>
          </w:p>
        </w:tc>
        <w:tc>
          <w:tcPr>
            <w:tcW w:w="1372"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9.5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1.1</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0.3</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3.4</w:t>
            </w:r>
          </w:p>
        </w:tc>
      </w:tr>
    </w:tbl>
    <w:p w:rsidR="000F6686" w:rsidRPr="000F6686" w:rsidRDefault="000F6686" w:rsidP="000F6686">
      <w:pPr>
        <w:spacing w:before="120" w:after="120"/>
        <w:jc w:val="center"/>
        <w:rPr>
          <w:b/>
          <w:bCs/>
          <w:sz w:val="20"/>
          <w:szCs w:val="20"/>
        </w:rPr>
      </w:pPr>
    </w:p>
    <w:p w:rsidR="000F6686" w:rsidRPr="000F6686" w:rsidRDefault="000F6686" w:rsidP="000F6686">
      <w:pPr>
        <w:keepNext/>
        <w:spacing w:before="120" w:after="120"/>
        <w:jc w:val="center"/>
        <w:rPr>
          <w:b/>
          <w:bCs/>
          <w:szCs w:val="20"/>
        </w:rPr>
      </w:pPr>
      <w:r w:rsidRPr="000F6686">
        <w:rPr>
          <w:b/>
          <w:bCs/>
          <w:szCs w:val="20"/>
        </w:rPr>
        <w:t>FPUC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0.089</w:t>
            </w:r>
          </w:p>
        </w:tc>
        <w:tc>
          <w:tcPr>
            <w:tcW w:w="1161"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0.028</w:t>
            </w:r>
          </w:p>
        </w:tc>
        <w:tc>
          <w:tcPr>
            <w:tcW w:w="1372"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0.060</w:t>
            </w:r>
          </w:p>
        </w:tc>
        <w:tc>
          <w:tcPr>
            <w:tcW w:w="1008"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0.052</w:t>
            </w:r>
          </w:p>
        </w:tc>
        <w:tc>
          <w:tcPr>
            <w:tcW w:w="939"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0.018</w:t>
            </w:r>
          </w:p>
        </w:tc>
        <w:tc>
          <w:tcPr>
            <w:tcW w:w="1372" w:type="dxa"/>
            <w:tcBorders>
              <w:top w:val="nil"/>
              <w:left w:val="nil"/>
              <w:bottom w:val="single" w:sz="4" w:space="0" w:color="auto"/>
              <w:right w:val="single" w:sz="4" w:space="0" w:color="auto"/>
            </w:tcBorders>
            <w:shd w:val="clear" w:color="auto" w:fill="auto"/>
          </w:tcPr>
          <w:p w:rsidR="000F6686" w:rsidRPr="000F6686" w:rsidRDefault="000F6686" w:rsidP="000F6686">
            <w:pPr>
              <w:jc w:val="right"/>
              <w:rPr>
                <w:sz w:val="20"/>
                <w:szCs w:val="20"/>
              </w:rPr>
            </w:pPr>
            <w:r w:rsidRPr="000F6686">
              <w:rPr>
                <w:sz w:val="20"/>
                <w:szCs w:val="20"/>
              </w:rPr>
              <w:t>0.168</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0.099</w:t>
            </w:r>
          </w:p>
        </w:tc>
        <w:tc>
          <w:tcPr>
            <w:tcW w:w="1161"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0.031</w:t>
            </w:r>
          </w:p>
        </w:tc>
        <w:tc>
          <w:tcPr>
            <w:tcW w:w="1372"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0.067</w:t>
            </w:r>
          </w:p>
        </w:tc>
        <w:tc>
          <w:tcPr>
            <w:tcW w:w="1008"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0.058</w:t>
            </w:r>
          </w:p>
        </w:tc>
        <w:tc>
          <w:tcPr>
            <w:tcW w:w="939"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0.018</w:t>
            </w:r>
          </w:p>
        </w:tc>
        <w:tc>
          <w:tcPr>
            <w:tcW w:w="1372" w:type="dxa"/>
            <w:tcBorders>
              <w:top w:val="nil"/>
              <w:left w:val="nil"/>
              <w:bottom w:val="single" w:sz="4" w:space="0" w:color="auto"/>
              <w:right w:val="single" w:sz="4" w:space="0" w:color="auto"/>
            </w:tcBorders>
            <w:shd w:val="clear" w:color="auto" w:fill="auto"/>
          </w:tcPr>
          <w:p w:rsidR="000F6686" w:rsidRPr="000F6686" w:rsidRDefault="000F6686" w:rsidP="000F6686">
            <w:pPr>
              <w:jc w:val="right"/>
              <w:rPr>
                <w:sz w:val="20"/>
                <w:szCs w:val="20"/>
              </w:rPr>
            </w:pPr>
            <w:r w:rsidRPr="000F6686">
              <w:rPr>
                <w:sz w:val="20"/>
                <w:szCs w:val="20"/>
              </w:rPr>
              <w:t>0.182</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0.107</w:t>
            </w:r>
          </w:p>
        </w:tc>
        <w:tc>
          <w:tcPr>
            <w:tcW w:w="1161"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0.034</w:t>
            </w:r>
          </w:p>
        </w:tc>
        <w:tc>
          <w:tcPr>
            <w:tcW w:w="1372"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0.073</w:t>
            </w:r>
          </w:p>
        </w:tc>
        <w:tc>
          <w:tcPr>
            <w:tcW w:w="1008"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0.058</w:t>
            </w:r>
          </w:p>
        </w:tc>
        <w:tc>
          <w:tcPr>
            <w:tcW w:w="939"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0.027</w:t>
            </w:r>
          </w:p>
        </w:tc>
        <w:tc>
          <w:tcPr>
            <w:tcW w:w="1372" w:type="dxa"/>
            <w:tcBorders>
              <w:top w:val="nil"/>
              <w:left w:val="nil"/>
              <w:bottom w:val="single" w:sz="4" w:space="0" w:color="auto"/>
              <w:right w:val="single" w:sz="4" w:space="0" w:color="auto"/>
            </w:tcBorders>
            <w:shd w:val="clear" w:color="auto" w:fill="auto"/>
          </w:tcPr>
          <w:p w:rsidR="000F6686" w:rsidRPr="000F6686" w:rsidRDefault="000F6686" w:rsidP="000F6686">
            <w:pPr>
              <w:jc w:val="right"/>
              <w:rPr>
                <w:sz w:val="20"/>
                <w:szCs w:val="20"/>
              </w:rPr>
            </w:pPr>
            <w:r w:rsidRPr="000F6686">
              <w:rPr>
                <w:sz w:val="20"/>
                <w:szCs w:val="20"/>
              </w:rPr>
              <w:t>0.202</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0.117</w:t>
            </w:r>
          </w:p>
        </w:tc>
        <w:tc>
          <w:tcPr>
            <w:tcW w:w="1161"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0.036</w:t>
            </w:r>
          </w:p>
        </w:tc>
        <w:tc>
          <w:tcPr>
            <w:tcW w:w="1372"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0.078</w:t>
            </w:r>
          </w:p>
        </w:tc>
        <w:tc>
          <w:tcPr>
            <w:tcW w:w="1008"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0.065</w:t>
            </w:r>
          </w:p>
        </w:tc>
        <w:tc>
          <w:tcPr>
            <w:tcW w:w="939"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0.027</w:t>
            </w:r>
          </w:p>
        </w:tc>
        <w:tc>
          <w:tcPr>
            <w:tcW w:w="1372" w:type="dxa"/>
            <w:tcBorders>
              <w:top w:val="nil"/>
              <w:left w:val="nil"/>
              <w:bottom w:val="single" w:sz="4" w:space="0" w:color="auto"/>
              <w:right w:val="single" w:sz="4" w:space="0" w:color="auto"/>
            </w:tcBorders>
            <w:shd w:val="clear" w:color="auto" w:fill="auto"/>
          </w:tcPr>
          <w:p w:rsidR="000F6686" w:rsidRPr="000F6686" w:rsidRDefault="000F6686" w:rsidP="000F6686">
            <w:pPr>
              <w:jc w:val="right"/>
              <w:rPr>
                <w:sz w:val="20"/>
                <w:szCs w:val="20"/>
              </w:rPr>
            </w:pPr>
            <w:r w:rsidRPr="000F6686">
              <w:rPr>
                <w:sz w:val="20"/>
                <w:szCs w:val="20"/>
              </w:rPr>
              <w:t>0.215</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0.123</w:t>
            </w:r>
          </w:p>
        </w:tc>
        <w:tc>
          <w:tcPr>
            <w:tcW w:w="1161"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0.039</w:t>
            </w:r>
          </w:p>
        </w:tc>
        <w:tc>
          <w:tcPr>
            <w:tcW w:w="1372"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0.084</w:t>
            </w:r>
          </w:p>
        </w:tc>
        <w:tc>
          <w:tcPr>
            <w:tcW w:w="1008"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0.071</w:t>
            </w:r>
          </w:p>
        </w:tc>
        <w:tc>
          <w:tcPr>
            <w:tcW w:w="939" w:type="dxa"/>
            <w:tcBorders>
              <w:top w:val="nil"/>
              <w:left w:val="nil"/>
              <w:bottom w:val="single" w:sz="4" w:space="0" w:color="auto"/>
              <w:right w:val="single" w:sz="4" w:space="0" w:color="auto"/>
            </w:tcBorders>
            <w:shd w:val="clear" w:color="auto" w:fill="auto"/>
            <w:noWrap/>
          </w:tcPr>
          <w:p w:rsidR="000F6686" w:rsidRPr="000F6686" w:rsidRDefault="000F6686" w:rsidP="000F6686">
            <w:pPr>
              <w:jc w:val="right"/>
              <w:rPr>
                <w:sz w:val="20"/>
                <w:szCs w:val="20"/>
              </w:rPr>
            </w:pPr>
            <w:r w:rsidRPr="000F6686">
              <w:rPr>
                <w:sz w:val="20"/>
                <w:szCs w:val="20"/>
              </w:rPr>
              <w:t>0.027</w:t>
            </w:r>
          </w:p>
        </w:tc>
        <w:tc>
          <w:tcPr>
            <w:tcW w:w="1372" w:type="dxa"/>
            <w:tcBorders>
              <w:top w:val="nil"/>
              <w:left w:val="nil"/>
              <w:bottom w:val="single" w:sz="4" w:space="0" w:color="auto"/>
              <w:right w:val="single" w:sz="4" w:space="0" w:color="auto"/>
            </w:tcBorders>
            <w:shd w:val="clear" w:color="auto" w:fill="auto"/>
          </w:tcPr>
          <w:p w:rsidR="000F6686" w:rsidRPr="000F6686" w:rsidRDefault="000F6686" w:rsidP="000F6686">
            <w:pPr>
              <w:jc w:val="right"/>
              <w:rPr>
                <w:sz w:val="20"/>
                <w:szCs w:val="20"/>
              </w:rPr>
            </w:pPr>
            <w:r w:rsidRPr="000F6686">
              <w:rPr>
                <w:sz w:val="20"/>
                <w:szCs w:val="20"/>
              </w:rPr>
              <w:t>0.229</w:t>
            </w:r>
          </w:p>
        </w:tc>
      </w:tr>
    </w:tbl>
    <w:p w:rsidR="000F6686" w:rsidRPr="000F6686" w:rsidRDefault="000F6686" w:rsidP="000F6686">
      <w:pPr>
        <w:spacing w:before="120" w:after="120"/>
        <w:jc w:val="center"/>
        <w:rPr>
          <w:b/>
          <w:bCs/>
          <w:sz w:val="20"/>
          <w:szCs w:val="20"/>
        </w:rPr>
      </w:pPr>
    </w:p>
    <w:p w:rsidR="000F6686" w:rsidRPr="000F6686" w:rsidRDefault="000F6686" w:rsidP="000F6686">
      <w:pPr>
        <w:keepNext/>
        <w:spacing w:before="120" w:after="120"/>
        <w:jc w:val="center"/>
        <w:rPr>
          <w:b/>
          <w:bCs/>
          <w:szCs w:val="20"/>
        </w:rPr>
      </w:pPr>
      <w:r w:rsidRPr="000F6686">
        <w:rPr>
          <w:b/>
          <w:bCs/>
          <w:szCs w:val="20"/>
        </w:rPr>
        <w:t>JEA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0.94</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0.96</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right"/>
              <w:rPr>
                <w:color w:val="000000"/>
                <w:sz w:val="20"/>
                <w:szCs w:val="20"/>
              </w:rPr>
            </w:pPr>
            <w:r w:rsidRPr="000F6686">
              <w:rPr>
                <w:color w:val="000000"/>
                <w:sz w:val="20"/>
                <w:szCs w:val="20"/>
              </w:rPr>
              <w:t>2.5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0.14</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0.007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0.08</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0.94</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0.96</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right"/>
              <w:rPr>
                <w:color w:val="000000"/>
                <w:sz w:val="20"/>
                <w:szCs w:val="20"/>
              </w:rPr>
            </w:pPr>
            <w:r w:rsidRPr="000F6686">
              <w:rPr>
                <w:color w:val="000000"/>
                <w:sz w:val="20"/>
                <w:szCs w:val="20"/>
              </w:rPr>
              <w:t>2.5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0.14</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0.007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0.08</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0.94</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0.96</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right"/>
              <w:rPr>
                <w:color w:val="000000"/>
                <w:sz w:val="20"/>
                <w:szCs w:val="20"/>
              </w:rPr>
            </w:pPr>
            <w:r w:rsidRPr="000F6686">
              <w:rPr>
                <w:color w:val="000000"/>
                <w:sz w:val="20"/>
                <w:szCs w:val="20"/>
              </w:rPr>
              <w:t>2.5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0.14</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0.007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0.08</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0.94</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0.96</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right"/>
              <w:rPr>
                <w:color w:val="000000"/>
                <w:sz w:val="20"/>
                <w:szCs w:val="20"/>
              </w:rPr>
            </w:pPr>
            <w:r w:rsidRPr="000F6686">
              <w:rPr>
                <w:color w:val="000000"/>
                <w:sz w:val="20"/>
                <w:szCs w:val="20"/>
              </w:rPr>
              <w:t>2.5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0.14</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0.007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0.08</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0.94</w:t>
            </w:r>
          </w:p>
        </w:tc>
        <w:tc>
          <w:tcPr>
            <w:tcW w:w="1161"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0.96</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right"/>
              <w:rPr>
                <w:color w:val="000000"/>
                <w:sz w:val="20"/>
                <w:szCs w:val="20"/>
              </w:rPr>
            </w:pPr>
            <w:r w:rsidRPr="000F6686">
              <w:rPr>
                <w:color w:val="000000"/>
                <w:sz w:val="20"/>
                <w:szCs w:val="20"/>
              </w:rPr>
              <w:t>2.5</w:t>
            </w:r>
          </w:p>
        </w:tc>
        <w:tc>
          <w:tcPr>
            <w:tcW w:w="1008"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0.14</w:t>
            </w:r>
          </w:p>
        </w:tc>
        <w:tc>
          <w:tcPr>
            <w:tcW w:w="939" w:type="dxa"/>
            <w:tcBorders>
              <w:top w:val="nil"/>
              <w:left w:val="nil"/>
              <w:bottom w:val="single" w:sz="4" w:space="0" w:color="auto"/>
              <w:right w:val="single" w:sz="4" w:space="0" w:color="auto"/>
            </w:tcBorders>
            <w:shd w:val="clear" w:color="auto" w:fill="auto"/>
            <w:noWrap/>
            <w:vAlign w:val="bottom"/>
          </w:tcPr>
          <w:p w:rsidR="000F6686" w:rsidRPr="000F6686" w:rsidRDefault="000F6686" w:rsidP="000F6686">
            <w:pPr>
              <w:keepNext/>
              <w:jc w:val="right"/>
              <w:rPr>
                <w:color w:val="000000"/>
                <w:sz w:val="20"/>
                <w:szCs w:val="20"/>
              </w:rPr>
            </w:pPr>
            <w:r w:rsidRPr="000F6686">
              <w:rPr>
                <w:color w:val="000000"/>
                <w:sz w:val="20"/>
                <w:szCs w:val="20"/>
              </w:rPr>
              <w:t>0.007</w:t>
            </w:r>
          </w:p>
        </w:tc>
        <w:tc>
          <w:tcPr>
            <w:tcW w:w="1372" w:type="dxa"/>
            <w:tcBorders>
              <w:top w:val="nil"/>
              <w:left w:val="nil"/>
              <w:bottom w:val="single" w:sz="4" w:space="0" w:color="auto"/>
              <w:right w:val="single" w:sz="4" w:space="0" w:color="auto"/>
            </w:tcBorders>
            <w:shd w:val="clear" w:color="auto" w:fill="auto"/>
            <w:vAlign w:val="bottom"/>
          </w:tcPr>
          <w:p w:rsidR="000F6686" w:rsidRPr="000F6686" w:rsidRDefault="000F6686" w:rsidP="000F6686">
            <w:pPr>
              <w:keepNext/>
              <w:jc w:val="right"/>
              <w:rPr>
                <w:color w:val="000000"/>
                <w:sz w:val="20"/>
                <w:szCs w:val="20"/>
              </w:rPr>
            </w:pPr>
            <w:r w:rsidRPr="000F6686">
              <w:rPr>
                <w:color w:val="000000"/>
                <w:sz w:val="20"/>
                <w:szCs w:val="20"/>
              </w:rPr>
              <w:t>0.08</w:t>
            </w:r>
          </w:p>
        </w:tc>
      </w:tr>
    </w:tbl>
    <w:p w:rsidR="000F6686" w:rsidRPr="000F6686" w:rsidRDefault="000F6686" w:rsidP="000F6686">
      <w:pPr>
        <w:spacing w:before="120" w:after="120"/>
        <w:jc w:val="center"/>
        <w:rPr>
          <w:b/>
          <w:bCs/>
          <w:sz w:val="20"/>
          <w:szCs w:val="20"/>
        </w:rPr>
      </w:pPr>
    </w:p>
    <w:p w:rsidR="000F6686" w:rsidRPr="000F6686" w:rsidRDefault="000F6686" w:rsidP="000F6686">
      <w:pPr>
        <w:keepNext/>
        <w:spacing w:before="120" w:after="120"/>
        <w:jc w:val="center"/>
        <w:rPr>
          <w:b/>
          <w:bCs/>
          <w:szCs w:val="20"/>
        </w:rPr>
      </w:pPr>
      <w:r w:rsidRPr="000F6686">
        <w:rPr>
          <w:b/>
          <w:bCs/>
          <w:szCs w:val="20"/>
        </w:rPr>
        <w:lastRenderedPageBreak/>
        <w:t>OUC Annual Conservation Goals</w:t>
      </w:r>
    </w:p>
    <w:tbl>
      <w:tblPr>
        <w:tblW w:w="7631" w:type="dxa"/>
        <w:jc w:val="center"/>
        <w:tblLook w:val="04A0" w:firstRow="1" w:lastRow="0" w:firstColumn="1" w:lastColumn="0" w:noHBand="0" w:noVBand="1"/>
      </w:tblPr>
      <w:tblGrid>
        <w:gridCol w:w="763"/>
        <w:gridCol w:w="1016"/>
        <w:gridCol w:w="1161"/>
        <w:gridCol w:w="1372"/>
        <w:gridCol w:w="1008"/>
        <w:gridCol w:w="939"/>
        <w:gridCol w:w="1372"/>
      </w:tblGrid>
      <w:tr w:rsidR="000F6686" w:rsidRPr="000F6686" w:rsidTr="008B52A6">
        <w:trPr>
          <w:trHeight w:val="255"/>
          <w:jc w:val="center"/>
        </w:trPr>
        <w:tc>
          <w:tcPr>
            <w:tcW w:w="763" w:type="dxa"/>
            <w:vMerge w:val="restart"/>
            <w:tcBorders>
              <w:top w:val="single" w:sz="4" w:space="0" w:color="auto"/>
              <w:left w:val="single" w:sz="4" w:space="0" w:color="auto"/>
              <w:right w:val="single" w:sz="4" w:space="0" w:color="auto"/>
            </w:tcBorders>
            <w:shd w:val="clear" w:color="auto" w:fill="auto"/>
            <w:noWrap/>
            <w:vAlign w:val="center"/>
            <w:hideMark/>
          </w:tcPr>
          <w:p w:rsidR="000F6686" w:rsidRPr="000F6686" w:rsidRDefault="000F6686" w:rsidP="000F6686">
            <w:pPr>
              <w:keepNext/>
              <w:jc w:val="center"/>
              <w:rPr>
                <w:bCs/>
                <w:color w:val="000000"/>
                <w:sz w:val="20"/>
                <w:szCs w:val="20"/>
              </w:rPr>
            </w:pPr>
            <w:r w:rsidRPr="000F6686">
              <w:rPr>
                <w:bCs/>
                <w:color w:val="000000"/>
                <w:sz w:val="20"/>
                <w:szCs w:val="20"/>
              </w:rPr>
              <w:t>Year</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Residential</w:t>
            </w:r>
          </w:p>
        </w:tc>
        <w:tc>
          <w:tcPr>
            <w:tcW w:w="3319" w:type="dxa"/>
            <w:gridSpan w:val="3"/>
            <w:tcBorders>
              <w:top w:val="single" w:sz="4" w:space="0" w:color="auto"/>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Commercial/Industrial</w:t>
            </w:r>
          </w:p>
        </w:tc>
      </w:tr>
      <w:tr w:rsidR="000F6686" w:rsidRPr="000F6686" w:rsidTr="006617F2">
        <w:trPr>
          <w:trHeight w:val="255"/>
          <w:jc w:val="center"/>
        </w:trPr>
        <w:tc>
          <w:tcPr>
            <w:tcW w:w="763" w:type="dxa"/>
            <w:vMerge/>
            <w:tcBorders>
              <w:left w:val="single" w:sz="4" w:space="0" w:color="auto"/>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Summer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keepNext/>
              <w:jc w:val="center"/>
              <w:rPr>
                <w:bCs/>
                <w:color w:val="000000"/>
                <w:sz w:val="20"/>
                <w:szCs w:val="20"/>
              </w:rPr>
            </w:pPr>
            <w:r w:rsidRPr="000F6686">
              <w:rPr>
                <w:bCs/>
                <w:color w:val="000000"/>
                <w:sz w:val="20"/>
                <w:szCs w:val="20"/>
              </w:rPr>
              <w:t>Winter</w:t>
            </w:r>
          </w:p>
          <w:p w:rsidR="000F6686" w:rsidRPr="000F6686" w:rsidRDefault="000F6686" w:rsidP="000F6686">
            <w:pPr>
              <w:keepNext/>
              <w:jc w:val="center"/>
              <w:rPr>
                <w:bCs/>
                <w:color w:val="000000"/>
                <w:sz w:val="20"/>
                <w:szCs w:val="20"/>
              </w:rPr>
            </w:pPr>
            <w:r w:rsidRPr="000F6686">
              <w:rPr>
                <w:bCs/>
                <w:color w:val="000000"/>
                <w:sz w:val="20"/>
                <w:szCs w:val="20"/>
              </w:rPr>
              <w:t>Peak</w:t>
            </w:r>
          </w:p>
          <w:p w:rsidR="000F6686" w:rsidRPr="000F6686" w:rsidRDefault="000F6686" w:rsidP="000F6686">
            <w:pPr>
              <w:keepNext/>
              <w:jc w:val="center"/>
              <w:rPr>
                <w:bCs/>
                <w:color w:val="000000"/>
                <w:sz w:val="20"/>
                <w:szCs w:val="20"/>
              </w:rPr>
            </w:pPr>
            <w:r w:rsidRPr="000F6686">
              <w:rPr>
                <w:bCs/>
                <w:color w:val="000000"/>
                <w:sz w:val="20"/>
                <w:szCs w:val="20"/>
              </w:rPr>
              <w:t>Demand</w:t>
            </w:r>
          </w:p>
          <w:p w:rsidR="000F6686" w:rsidRPr="000F6686" w:rsidRDefault="000F6686" w:rsidP="000F6686">
            <w:pPr>
              <w:keepNext/>
              <w:jc w:val="center"/>
              <w:rPr>
                <w:bCs/>
                <w:color w:val="000000"/>
                <w:sz w:val="20"/>
                <w:szCs w:val="20"/>
              </w:rPr>
            </w:pPr>
            <w:r w:rsidRPr="000F6686">
              <w:rPr>
                <w:bCs/>
                <w:color w:val="000000"/>
                <w:sz w:val="20"/>
                <w:szCs w:val="20"/>
              </w:rPr>
              <w:t>(MW)</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keepNext/>
              <w:jc w:val="center"/>
              <w:rPr>
                <w:bCs/>
                <w:color w:val="000000"/>
                <w:sz w:val="20"/>
                <w:szCs w:val="20"/>
              </w:rPr>
            </w:pPr>
            <w:r w:rsidRPr="000F6686">
              <w:rPr>
                <w:bCs/>
                <w:color w:val="000000"/>
                <w:sz w:val="20"/>
                <w:szCs w:val="20"/>
              </w:rPr>
              <w:t>Annual</w:t>
            </w:r>
          </w:p>
          <w:p w:rsidR="000F6686" w:rsidRPr="000F6686" w:rsidRDefault="000F6686" w:rsidP="000F6686">
            <w:pPr>
              <w:keepNext/>
              <w:jc w:val="center"/>
              <w:rPr>
                <w:bCs/>
                <w:color w:val="000000"/>
                <w:sz w:val="20"/>
                <w:szCs w:val="20"/>
              </w:rPr>
            </w:pPr>
            <w:r w:rsidRPr="000F6686">
              <w:rPr>
                <w:bCs/>
                <w:color w:val="000000"/>
                <w:sz w:val="20"/>
                <w:szCs w:val="20"/>
              </w:rPr>
              <w:t>Energy</w:t>
            </w:r>
          </w:p>
          <w:p w:rsidR="000F6686" w:rsidRPr="000F6686" w:rsidRDefault="000F6686" w:rsidP="000F6686">
            <w:pPr>
              <w:keepNext/>
              <w:jc w:val="center"/>
              <w:rPr>
                <w:bCs/>
                <w:color w:val="000000"/>
                <w:sz w:val="20"/>
                <w:szCs w:val="20"/>
              </w:rPr>
            </w:pPr>
            <w:r w:rsidRPr="000F6686">
              <w:rPr>
                <w:bCs/>
                <w:color w:val="000000"/>
                <w:sz w:val="20"/>
                <w:szCs w:val="20"/>
              </w:rPr>
              <w:t>Consumption</w:t>
            </w:r>
          </w:p>
          <w:p w:rsidR="000F6686" w:rsidRPr="000F6686" w:rsidRDefault="000F6686" w:rsidP="000F6686">
            <w:pPr>
              <w:keepNext/>
              <w:jc w:val="center"/>
              <w:rPr>
                <w:bCs/>
                <w:color w:val="000000"/>
                <w:sz w:val="20"/>
                <w:szCs w:val="20"/>
              </w:rPr>
            </w:pPr>
            <w:r w:rsidRPr="000F6686">
              <w:rPr>
                <w:bCs/>
                <w:color w:val="000000"/>
                <w:sz w:val="20"/>
                <w:szCs w:val="20"/>
              </w:rPr>
              <w:t>(GWh)</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2020</w:t>
            </w: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0.21</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0.21</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0.77</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0.39</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0.70</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jc w:val="right"/>
              <w:rPr>
                <w:bCs/>
                <w:color w:val="000000"/>
                <w:sz w:val="20"/>
                <w:szCs w:val="20"/>
              </w:rPr>
            </w:pPr>
            <w:r w:rsidRPr="000F6686">
              <w:rPr>
                <w:bCs/>
                <w:color w:val="000000"/>
                <w:sz w:val="20"/>
                <w:szCs w:val="20"/>
              </w:rPr>
              <w:t>0.85</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2021</w:t>
            </w: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0.21</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0.22</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0.80</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0.40</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0.78</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jc w:val="right"/>
              <w:rPr>
                <w:bCs/>
                <w:color w:val="000000"/>
                <w:sz w:val="20"/>
                <w:szCs w:val="20"/>
              </w:rPr>
            </w:pPr>
            <w:r w:rsidRPr="000F6686">
              <w:rPr>
                <w:bCs/>
                <w:color w:val="000000"/>
                <w:sz w:val="20"/>
                <w:szCs w:val="20"/>
              </w:rPr>
              <w:t>0.86</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2022</w:t>
            </w: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0.19</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0.20</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0.72</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0.37</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0.78</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jc w:val="right"/>
              <w:rPr>
                <w:bCs/>
                <w:color w:val="000000"/>
                <w:sz w:val="20"/>
                <w:szCs w:val="20"/>
              </w:rPr>
            </w:pPr>
            <w:r w:rsidRPr="000F6686">
              <w:rPr>
                <w:bCs/>
                <w:color w:val="000000"/>
                <w:sz w:val="20"/>
                <w:szCs w:val="20"/>
              </w:rPr>
              <w:t>0.85</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2023</w:t>
            </w: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0.19</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0.18</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0.66</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0.39</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0.74</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jc w:val="right"/>
              <w:rPr>
                <w:bCs/>
                <w:color w:val="000000"/>
                <w:sz w:val="20"/>
                <w:szCs w:val="20"/>
              </w:rPr>
            </w:pPr>
            <w:r w:rsidRPr="000F6686">
              <w:rPr>
                <w:bCs/>
                <w:color w:val="000000"/>
                <w:sz w:val="20"/>
                <w:szCs w:val="20"/>
              </w:rPr>
              <w:t>0.82</w:t>
            </w:r>
          </w:p>
        </w:tc>
      </w:tr>
      <w:tr w:rsidR="000F6686" w:rsidRPr="000F6686" w:rsidTr="006617F2">
        <w:trPr>
          <w:trHeight w:val="25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0F6686" w:rsidRPr="000F6686" w:rsidRDefault="000F6686" w:rsidP="000F6686">
            <w:pPr>
              <w:keepNext/>
              <w:jc w:val="center"/>
              <w:rPr>
                <w:bCs/>
                <w:color w:val="000000"/>
                <w:sz w:val="20"/>
                <w:szCs w:val="20"/>
              </w:rPr>
            </w:pPr>
            <w:r w:rsidRPr="000F6686">
              <w:rPr>
                <w:bCs/>
                <w:color w:val="000000"/>
                <w:sz w:val="20"/>
                <w:szCs w:val="20"/>
              </w:rPr>
              <w:t>2024</w:t>
            </w:r>
          </w:p>
        </w:tc>
        <w:tc>
          <w:tcPr>
            <w:tcW w:w="1016"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0.16</w:t>
            </w:r>
          </w:p>
        </w:tc>
        <w:tc>
          <w:tcPr>
            <w:tcW w:w="1161"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0.16</w:t>
            </w:r>
          </w:p>
        </w:tc>
        <w:tc>
          <w:tcPr>
            <w:tcW w:w="1372"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0.57</w:t>
            </w:r>
          </w:p>
        </w:tc>
        <w:tc>
          <w:tcPr>
            <w:tcW w:w="1008"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0.36</w:t>
            </w:r>
          </w:p>
        </w:tc>
        <w:tc>
          <w:tcPr>
            <w:tcW w:w="939" w:type="dxa"/>
            <w:tcBorders>
              <w:top w:val="nil"/>
              <w:left w:val="nil"/>
              <w:bottom w:val="single" w:sz="4" w:space="0" w:color="auto"/>
              <w:right w:val="single" w:sz="4" w:space="0" w:color="auto"/>
            </w:tcBorders>
            <w:shd w:val="clear" w:color="auto" w:fill="auto"/>
            <w:noWrap/>
            <w:vAlign w:val="center"/>
          </w:tcPr>
          <w:p w:rsidR="000F6686" w:rsidRPr="000F6686" w:rsidRDefault="000F6686" w:rsidP="000F6686">
            <w:pPr>
              <w:jc w:val="right"/>
              <w:rPr>
                <w:bCs/>
                <w:color w:val="000000"/>
                <w:sz w:val="20"/>
                <w:szCs w:val="20"/>
              </w:rPr>
            </w:pPr>
            <w:r w:rsidRPr="000F6686">
              <w:rPr>
                <w:bCs/>
                <w:color w:val="000000"/>
                <w:sz w:val="20"/>
                <w:szCs w:val="20"/>
              </w:rPr>
              <w:t>0.70</w:t>
            </w:r>
          </w:p>
        </w:tc>
        <w:tc>
          <w:tcPr>
            <w:tcW w:w="1372" w:type="dxa"/>
            <w:tcBorders>
              <w:top w:val="nil"/>
              <w:left w:val="nil"/>
              <w:bottom w:val="single" w:sz="4" w:space="0" w:color="auto"/>
              <w:right w:val="single" w:sz="4" w:space="0" w:color="auto"/>
            </w:tcBorders>
            <w:shd w:val="clear" w:color="auto" w:fill="auto"/>
            <w:vAlign w:val="center"/>
          </w:tcPr>
          <w:p w:rsidR="000F6686" w:rsidRPr="000F6686" w:rsidRDefault="000F6686" w:rsidP="000F6686">
            <w:pPr>
              <w:jc w:val="right"/>
              <w:rPr>
                <w:bCs/>
                <w:color w:val="000000"/>
                <w:sz w:val="20"/>
                <w:szCs w:val="20"/>
              </w:rPr>
            </w:pPr>
            <w:r w:rsidRPr="000F6686">
              <w:rPr>
                <w:bCs/>
                <w:color w:val="000000"/>
                <w:sz w:val="20"/>
                <w:szCs w:val="20"/>
              </w:rPr>
              <w:t>0.80</w:t>
            </w:r>
          </w:p>
        </w:tc>
      </w:tr>
    </w:tbl>
    <w:p w:rsidR="000F6686" w:rsidRPr="000F6686" w:rsidRDefault="000F6686" w:rsidP="000F6686">
      <w:pPr>
        <w:rPr>
          <w:sz w:val="20"/>
          <w:szCs w:val="20"/>
        </w:rPr>
      </w:pPr>
    </w:p>
    <w:p w:rsidR="00D20C4A" w:rsidRPr="00D20C4A" w:rsidRDefault="00D20C4A" w:rsidP="000F6686">
      <w:pPr>
        <w:jc w:val="center"/>
        <w:rPr>
          <w:sz w:val="20"/>
          <w:szCs w:val="20"/>
        </w:rPr>
      </w:pPr>
    </w:p>
    <w:sectPr w:rsidR="00D20C4A" w:rsidRPr="00D20C4A">
      <w:headerReference w:type="even" r:id="rId13"/>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E7" w:rsidRDefault="00DB0EE7">
      <w:r>
        <w:separator/>
      </w:r>
    </w:p>
  </w:endnote>
  <w:endnote w:type="continuationSeparator" w:id="0">
    <w:p w:rsidR="00DB0EE7" w:rsidRDefault="00DB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pPr>
      <w:pStyle w:val="Footer"/>
    </w:pPr>
  </w:p>
  <w:p w:rsidR="00DB0EE7" w:rsidRDefault="00DB0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E7" w:rsidRDefault="00DB0EE7">
      <w:r>
        <w:separator/>
      </w:r>
    </w:p>
  </w:footnote>
  <w:footnote w:type="continuationSeparator" w:id="0">
    <w:p w:rsidR="00DB0EE7" w:rsidRDefault="00DB0EE7">
      <w:r>
        <w:continuationSeparator/>
      </w:r>
    </w:p>
  </w:footnote>
  <w:footnote w:id="1">
    <w:p w:rsidR="00DB0EE7" w:rsidRDefault="00DB0EE7" w:rsidP="00E3198A">
      <w:pPr>
        <w:pStyle w:val="FootnoteText"/>
      </w:pPr>
      <w:r>
        <w:rPr>
          <w:rStyle w:val="FootnoteReference"/>
        </w:rPr>
        <w:footnoteRef/>
      </w:r>
      <w:r>
        <w:t xml:space="preserve"> </w:t>
      </w:r>
      <w:proofErr w:type="gramStart"/>
      <w:r>
        <w:t>Order No.</w:t>
      </w:r>
      <w:proofErr w:type="gramEnd"/>
      <w:r>
        <w:t xml:space="preserve"> PSC-14-0696-FOF-EU, issued December 16, 2014, in </w:t>
      </w:r>
      <w:r w:rsidRPr="00172C67">
        <w:t xml:space="preserve">Docket No. 20130199-EI, </w:t>
      </w:r>
      <w:r w:rsidRPr="00172C67">
        <w:rPr>
          <w:i/>
        </w:rPr>
        <w:t>In re: Commission review of numeric conservation goals (Florida Power &amp; Light Company)</w:t>
      </w:r>
      <w:r w:rsidRPr="00172C67">
        <w:t xml:space="preserve">, Docket No. 20130200-EI, </w:t>
      </w:r>
      <w:r w:rsidRPr="00172C67">
        <w:rPr>
          <w:i/>
        </w:rPr>
        <w:t>In re: Commission review of numeric conservation goals (Duke Energy Florida, Inc.)</w:t>
      </w:r>
      <w:r w:rsidRPr="00172C67">
        <w:t xml:space="preserve">, Docket No. 20130201-EI, </w:t>
      </w:r>
      <w:r w:rsidRPr="00172C67">
        <w:rPr>
          <w:i/>
        </w:rPr>
        <w:t>In re: Commission review of numeric conservation goals (Tampa Electric Company)</w:t>
      </w:r>
      <w:r w:rsidRPr="00172C67">
        <w:t xml:space="preserve">, Docket No. 20130202-EI, </w:t>
      </w:r>
      <w:r w:rsidRPr="00172C67">
        <w:rPr>
          <w:i/>
        </w:rPr>
        <w:t>In re: Commission review of numeric conservation goals (Gulf Power Company)</w:t>
      </w:r>
      <w:r w:rsidRPr="00172C67">
        <w:t xml:space="preserve">, Docket No. 20130203-EM, </w:t>
      </w:r>
      <w:r w:rsidRPr="00172C67">
        <w:rPr>
          <w:i/>
        </w:rPr>
        <w:t>In re: Commission review of numeric conservation goals (JEA)</w:t>
      </w:r>
      <w:r w:rsidRPr="00172C67">
        <w:t xml:space="preserve">, Docket No. 20130204-EM, </w:t>
      </w:r>
      <w:r w:rsidRPr="00172C67">
        <w:rPr>
          <w:i/>
        </w:rPr>
        <w:t>In re: Commission review of numeric conservation goals (Orlando Utilities Commission)</w:t>
      </w:r>
      <w:r w:rsidRPr="00172C67">
        <w:t xml:space="preserve">, and Docket No. 20130205-EI, </w:t>
      </w:r>
      <w:r w:rsidRPr="00172C67">
        <w:rPr>
          <w:i/>
        </w:rPr>
        <w:t>In re: Commission review of numeric conservation goals (Florida Public Utilities Company).</w:t>
      </w:r>
    </w:p>
  </w:footnote>
  <w:footnote w:id="2">
    <w:p w:rsidR="00DB0EE7" w:rsidRPr="000C5DD9" w:rsidRDefault="00DB0EE7" w:rsidP="00E3198A">
      <w:pPr>
        <w:pStyle w:val="FootnoteText"/>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color w:val="000000"/>
        </w:rPr>
        <w:t>PSC-2019-0080-PCO-EG.</w:t>
      </w:r>
      <w:proofErr w:type="gramEnd"/>
    </w:p>
  </w:footnote>
  <w:footnote w:id="3">
    <w:p w:rsidR="00DB0EE7" w:rsidRPr="000C5DD9" w:rsidRDefault="00DB0EE7" w:rsidP="00E3198A">
      <w:pPr>
        <w:pStyle w:val="FootnoteText"/>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rFonts w:eastAsiaTheme="minorHAnsi"/>
        </w:rPr>
        <w:t>PSC-2019-0137-PCO-EG</w:t>
      </w:r>
      <w:r w:rsidRPr="000C5DD9">
        <w:t>.</w:t>
      </w:r>
      <w:proofErr w:type="gramEnd"/>
    </w:p>
  </w:footnote>
  <w:footnote w:id="4">
    <w:p w:rsidR="00DB0EE7" w:rsidRPr="000C5DD9" w:rsidRDefault="00DB0EE7" w:rsidP="00E3198A">
      <w:pPr>
        <w:pStyle w:val="FootnoteText"/>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rFonts w:eastAsiaTheme="minorHAnsi"/>
        </w:rPr>
        <w:t>PSC-2019-0146-PCO-EG</w:t>
      </w:r>
      <w:r w:rsidRPr="000C5DD9">
        <w:t>.</w:t>
      </w:r>
      <w:proofErr w:type="gramEnd"/>
    </w:p>
  </w:footnote>
  <w:footnote w:id="5">
    <w:p w:rsidR="00DB0EE7" w:rsidRPr="000C5DD9" w:rsidRDefault="00DB0EE7" w:rsidP="00E3198A">
      <w:pPr>
        <w:pStyle w:val="FootnoteText"/>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rFonts w:eastAsiaTheme="minorHAnsi"/>
        </w:rPr>
        <w:t>PSC-2019-0182-PCO-EG</w:t>
      </w:r>
      <w:r w:rsidRPr="000C5DD9">
        <w:t>.</w:t>
      </w:r>
      <w:proofErr w:type="gramEnd"/>
    </w:p>
  </w:footnote>
  <w:footnote w:id="6">
    <w:p w:rsidR="00DB0EE7" w:rsidRPr="00E836E4" w:rsidRDefault="00DB0EE7" w:rsidP="00E3198A">
      <w:pPr>
        <w:pStyle w:val="FootnoteText"/>
        <w:rPr>
          <w:highlight w:val="yellow"/>
        </w:rPr>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rFonts w:eastAsiaTheme="minorHAnsi"/>
        </w:rPr>
        <w:t>PSC-2019-0185-PCO-EG</w:t>
      </w:r>
      <w:r w:rsidRPr="000C5DD9">
        <w:t>.</w:t>
      </w:r>
      <w:proofErr w:type="gramEnd"/>
    </w:p>
  </w:footnote>
  <w:footnote w:id="7">
    <w:p w:rsidR="00DB0EE7" w:rsidRPr="000C5DD9" w:rsidRDefault="00DB0EE7" w:rsidP="00E3198A">
      <w:pPr>
        <w:pStyle w:val="FootnoteText"/>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rFonts w:eastAsiaTheme="minorHAnsi"/>
        </w:rPr>
        <w:t>PSC-2019-0186-PCO-EG</w:t>
      </w:r>
      <w:r w:rsidRPr="000C5DD9">
        <w:t>.</w:t>
      </w:r>
      <w:proofErr w:type="gramEnd"/>
    </w:p>
  </w:footnote>
  <w:footnote w:id="8">
    <w:p w:rsidR="00DB0EE7" w:rsidRDefault="00DB0EE7" w:rsidP="00E3198A">
      <w:pPr>
        <w:pStyle w:val="FootnoteText"/>
      </w:pPr>
      <w:r w:rsidRPr="000C5DD9">
        <w:rPr>
          <w:rStyle w:val="FootnoteReference"/>
        </w:rPr>
        <w:footnoteRef/>
      </w:r>
      <w:r>
        <w:t xml:space="preserve"> </w:t>
      </w:r>
      <w:proofErr w:type="gramStart"/>
      <w:r w:rsidRPr="000C5DD9">
        <w:t>Order No.</w:t>
      </w:r>
      <w:proofErr w:type="gramEnd"/>
      <w:r w:rsidRPr="000C5DD9">
        <w:t xml:space="preserve"> </w:t>
      </w:r>
      <w:proofErr w:type="gramStart"/>
      <w:r w:rsidRPr="000C5DD9">
        <w:rPr>
          <w:rFonts w:eastAsiaTheme="minorHAnsi"/>
        </w:rPr>
        <w:t>PSC-2019-0293-PCO-EG</w:t>
      </w:r>
      <w:r w:rsidRPr="000C5DD9">
        <w:t>.</w:t>
      </w:r>
      <w:proofErr w:type="gramEnd"/>
    </w:p>
  </w:footnote>
  <w:footnote w:id="9">
    <w:p w:rsidR="00DB0EE7" w:rsidRDefault="00DB0EE7" w:rsidP="00EE55C7">
      <w:pPr>
        <w:pStyle w:val="FootnoteText"/>
      </w:pPr>
      <w:r>
        <w:rPr>
          <w:rStyle w:val="FootnoteReference"/>
        </w:rPr>
        <w:footnoteRef/>
      </w:r>
      <w:r>
        <w:t xml:space="preserve"> The RIM and TRC tests are defined by Rule 25-17.008, F.A.C., and determine if a demand-side management measure is economic for the general body of ratepayers.</w:t>
      </w:r>
    </w:p>
  </w:footnote>
  <w:footnote w:id="10">
    <w:p w:rsidR="00DB0EE7" w:rsidRDefault="00DB0EE7" w:rsidP="008C0C54">
      <w:pPr>
        <w:pStyle w:val="FootnoteText"/>
      </w:pPr>
      <w:r>
        <w:rPr>
          <w:rStyle w:val="FootnoteReference"/>
        </w:rPr>
        <w:footnoteRef/>
      </w:r>
      <w:r>
        <w:t xml:space="preserve"> </w:t>
      </w:r>
      <w:proofErr w:type="gramStart"/>
      <w:r w:rsidRPr="002D6C88">
        <w:t>Order No.</w:t>
      </w:r>
      <w:proofErr w:type="gramEnd"/>
      <w:r w:rsidRPr="002D6C88">
        <w:t xml:space="preserve"> PSC-</w:t>
      </w:r>
      <w:r>
        <w:t>09-0855</w:t>
      </w:r>
      <w:r w:rsidRPr="002D6C88">
        <w:t>-FOF-E</w:t>
      </w:r>
      <w:r>
        <w:t>G, issued December 30, 2009</w:t>
      </w:r>
      <w:r w:rsidRPr="002D6C88">
        <w:t xml:space="preserve">, in Docket No. </w:t>
      </w:r>
      <w:r>
        <w:t>20</w:t>
      </w:r>
      <w:r w:rsidRPr="002E5C49">
        <w:t>080407-EG</w:t>
      </w:r>
      <w:r w:rsidRPr="002D6C88">
        <w:t xml:space="preserve">, </w:t>
      </w:r>
      <w:r w:rsidRPr="00AA6134">
        <w:rPr>
          <w:i/>
        </w:rPr>
        <w:t>In re: Commission review of numeric conservation goals</w:t>
      </w:r>
      <w:r w:rsidRPr="002D6C88">
        <w:t xml:space="preserve"> </w:t>
      </w:r>
      <w:r w:rsidRPr="00FD232B">
        <w:rPr>
          <w:i/>
        </w:rPr>
        <w:t>(Florida Power &amp; Light Company)</w:t>
      </w:r>
      <w:r w:rsidRPr="002D6C88">
        <w:t xml:space="preserve">, Docket No. </w:t>
      </w:r>
      <w:r>
        <w:t>20</w:t>
      </w:r>
      <w:r w:rsidRPr="002E5C49">
        <w:t>080408-EG</w:t>
      </w:r>
      <w:r w:rsidRPr="002D6C88">
        <w:t xml:space="preserve">, </w:t>
      </w:r>
      <w:r w:rsidRPr="00AA6134">
        <w:rPr>
          <w:i/>
        </w:rPr>
        <w:t>In re: Commission review of numeric conservation goals</w:t>
      </w:r>
      <w:r w:rsidRPr="002D6C88">
        <w:t xml:space="preserve"> </w:t>
      </w:r>
      <w:r w:rsidRPr="00FD232B">
        <w:rPr>
          <w:i/>
        </w:rPr>
        <w:t>(Progress Energy Florida, Inc.)</w:t>
      </w:r>
      <w:r w:rsidRPr="002D6C88">
        <w:t xml:space="preserve">, Docket No. </w:t>
      </w:r>
      <w:r>
        <w:t>20</w:t>
      </w:r>
      <w:r w:rsidRPr="002E5C49">
        <w:t>080409-EG</w:t>
      </w:r>
      <w:r w:rsidRPr="002D6C88">
        <w:t xml:space="preserve">, </w:t>
      </w:r>
      <w:r w:rsidRPr="00AA6134">
        <w:rPr>
          <w:i/>
        </w:rPr>
        <w:t>In re: Commission review of numeric conservation goals</w:t>
      </w:r>
      <w:r w:rsidRPr="002D6C88">
        <w:t xml:space="preserve"> </w:t>
      </w:r>
      <w:r w:rsidRPr="00FD232B">
        <w:rPr>
          <w:i/>
        </w:rPr>
        <w:t>(Tampa Electric Company)</w:t>
      </w:r>
      <w:r>
        <w:t>, Docket No. 20</w:t>
      </w:r>
      <w:r w:rsidRPr="002E5C49">
        <w:t>080410-EG</w:t>
      </w:r>
      <w:r>
        <w:t>,</w:t>
      </w:r>
      <w:r w:rsidRPr="002D6C88">
        <w:t xml:space="preserve"> </w:t>
      </w:r>
      <w:r w:rsidRPr="00AA6134">
        <w:rPr>
          <w:i/>
        </w:rPr>
        <w:t>In re: Commission review of numeric conservation goals</w:t>
      </w:r>
      <w:r w:rsidRPr="002D6C88">
        <w:t xml:space="preserve"> </w:t>
      </w:r>
      <w:r w:rsidRPr="00FD232B">
        <w:rPr>
          <w:i/>
        </w:rPr>
        <w:t>(Gulf Power Company)</w:t>
      </w:r>
      <w:r w:rsidRPr="002D6C88">
        <w:t xml:space="preserve">, Docket No. </w:t>
      </w:r>
      <w:r>
        <w:t>20</w:t>
      </w:r>
      <w:r w:rsidRPr="002E5C49">
        <w:t>080411-EG</w:t>
      </w:r>
      <w:r w:rsidRPr="002D6C88">
        <w:t xml:space="preserve">, </w:t>
      </w:r>
      <w:r w:rsidRPr="00AA6134">
        <w:rPr>
          <w:i/>
        </w:rPr>
        <w:t>In re: Commission review of numeric conservation goals</w:t>
      </w:r>
      <w:r w:rsidRPr="002D6C88">
        <w:t xml:space="preserve"> </w:t>
      </w:r>
      <w:r w:rsidRPr="00FD232B">
        <w:rPr>
          <w:i/>
        </w:rPr>
        <w:t>(Florida Public Utilities Company)</w:t>
      </w:r>
      <w:r>
        <w:t>,</w:t>
      </w:r>
      <w:r w:rsidRPr="00F530BD">
        <w:t xml:space="preserve"> </w:t>
      </w:r>
      <w:r w:rsidRPr="002D6C88">
        <w:t xml:space="preserve">Docket No. </w:t>
      </w:r>
      <w:r>
        <w:t>20</w:t>
      </w:r>
      <w:r w:rsidRPr="002E5C49">
        <w:t>080412-EG</w:t>
      </w:r>
      <w:r w:rsidRPr="002D6C88">
        <w:t xml:space="preserve">, </w:t>
      </w:r>
      <w:r w:rsidRPr="00AA6134">
        <w:rPr>
          <w:i/>
        </w:rPr>
        <w:t>In re: Commission review of numeric conservation goals</w:t>
      </w:r>
      <w:r w:rsidRPr="002D6C88">
        <w:t xml:space="preserve"> </w:t>
      </w:r>
      <w:r w:rsidRPr="00FD232B">
        <w:rPr>
          <w:i/>
        </w:rPr>
        <w:t>(Orlando Utilities Commission)</w:t>
      </w:r>
      <w:r w:rsidRPr="002D6C88">
        <w:t>,</w:t>
      </w:r>
      <w:r>
        <w:t xml:space="preserve"> a</w:t>
      </w:r>
      <w:r w:rsidRPr="002D6C88">
        <w:t>n</w:t>
      </w:r>
      <w:r>
        <w:t>d</w:t>
      </w:r>
      <w:r w:rsidRPr="002D6C88">
        <w:t xml:space="preserve"> Docket No. </w:t>
      </w:r>
      <w:r>
        <w:t>20080413</w:t>
      </w:r>
      <w:r w:rsidRPr="002E5C49">
        <w:t>-EG</w:t>
      </w:r>
      <w:r w:rsidRPr="002D6C88">
        <w:t xml:space="preserve">, </w:t>
      </w:r>
      <w:r w:rsidRPr="00AA6134">
        <w:rPr>
          <w:i/>
        </w:rPr>
        <w:t>In re: Commission review of numeric conservation goals</w:t>
      </w:r>
      <w:r>
        <w:t xml:space="preserve"> </w:t>
      </w:r>
      <w:r w:rsidRPr="00FD232B">
        <w:rPr>
          <w:i/>
        </w:rPr>
        <w:t>(JEA)</w:t>
      </w:r>
      <w:r>
        <w:t>, p. 29.</w:t>
      </w:r>
    </w:p>
  </w:footnote>
  <w:footnote w:id="11">
    <w:p w:rsidR="00DB0EE7" w:rsidRDefault="00DB0EE7">
      <w:pPr>
        <w:pStyle w:val="FootnoteText"/>
      </w:pPr>
      <w:r>
        <w:rPr>
          <w:rStyle w:val="FootnoteReference"/>
        </w:rPr>
        <w:footnoteRef/>
      </w:r>
      <w:r>
        <w:t xml:space="preserve"> </w:t>
      </w:r>
      <w:proofErr w:type="gramStart"/>
      <w:r>
        <w:t>Order No.</w:t>
      </w:r>
      <w:proofErr w:type="gramEnd"/>
      <w:r>
        <w:t xml:space="preserve"> PSC-14-0696-FOF-EU at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pPr>
      <w:pStyle w:val="OrderHeader"/>
    </w:pPr>
    <w:r>
      <w:t xml:space="preserve">ORDER NO. </w:t>
    </w:r>
    <w:fldSimple w:instr=" REF OrderNo0509 ">
      <w:r w:rsidR="005E7CB9">
        <w:t>PSC-2019-0509-FOF-EG</w:t>
      </w:r>
    </w:fldSimple>
    <w:r>
      <w:tab/>
    </w:r>
    <w:r>
      <w:tab/>
    </w:r>
  </w:p>
  <w:p w:rsidR="00DB0EE7" w:rsidRDefault="00DB0EE7">
    <w:pPr>
      <w:pStyle w:val="OrderHeader"/>
    </w:pPr>
    <w:bookmarkStart w:id="11" w:name="HeaderDocketNo"/>
    <w:bookmarkEnd w:id="11"/>
    <w:r>
      <w:t xml:space="preserve">DOCKET NOS. 20190015-EG, 20190016-EG, 20190017-EG, </w:t>
    </w:r>
  </w:p>
  <w:p w:rsidR="00DB0EE7" w:rsidRDefault="00DB0EE7">
    <w:pPr>
      <w:pStyle w:val="OrderHeader"/>
    </w:pPr>
    <w:r>
      <w:t>20190018-EG, 20190019-EG, 20190020-EG, 20190021-EG</w:t>
    </w:r>
  </w:p>
  <w:p w:rsidR="00DB0EE7" w:rsidRDefault="00DB0EE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CB9">
      <w:rPr>
        <w:rStyle w:val="PageNumber"/>
        <w:noProof/>
      </w:rPr>
      <w:t>13</w:t>
    </w:r>
    <w:r>
      <w:rPr>
        <w:rStyle w:val="PageNumber"/>
      </w:rPr>
      <w:fldChar w:fldCharType="end"/>
    </w:r>
  </w:p>
  <w:p w:rsidR="00DB0EE7" w:rsidRDefault="00DB0EE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pPr>
      <w:pStyle w:val="OrderHeader"/>
    </w:pPr>
    <w:r>
      <w:t xml:space="preserve">ORDER NO. </w:t>
    </w:r>
    <w:r w:rsidR="005E7CB9" w:rsidRPr="005E7CB9">
      <w:t>PSC-2019-0509-FOF-EG</w:t>
    </w:r>
    <w:r>
      <w:tab/>
    </w:r>
    <w:r>
      <w:tab/>
      <w:t>Attachment A</w:t>
    </w:r>
  </w:p>
  <w:p w:rsidR="00DB0EE7" w:rsidRDefault="00DB0EE7">
    <w:pPr>
      <w:pStyle w:val="OrderHeader"/>
    </w:pPr>
    <w:r>
      <w:t xml:space="preserve">DOCKET NOS. 20190015-EG, 20190016-EG, 20190017-EG, </w:t>
    </w:r>
  </w:p>
  <w:p w:rsidR="00DB0EE7" w:rsidRDefault="00DB0EE7">
    <w:pPr>
      <w:pStyle w:val="OrderHeader"/>
    </w:pPr>
    <w:r>
      <w:t>20190018-EG, 20190019-EG, 20190020-EG, 20190021-EG</w:t>
    </w:r>
  </w:p>
  <w:p w:rsidR="00DB0EE7" w:rsidRDefault="00DB0EE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CB9">
      <w:rPr>
        <w:rStyle w:val="PageNumber"/>
        <w:noProof/>
      </w:rPr>
      <w:t>17</w:t>
    </w:r>
    <w:r>
      <w:rPr>
        <w:rStyle w:val="PageNumber"/>
      </w:rPr>
      <w:fldChar w:fldCharType="end"/>
    </w:r>
  </w:p>
  <w:p w:rsidR="00DB0EE7" w:rsidRDefault="00DB0EE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rsidP="006617F2">
    <w:pPr>
      <w:pStyle w:val="OrderHeader"/>
    </w:pPr>
    <w:r>
      <w:t xml:space="preserve">ORDER NO. </w:t>
    </w:r>
    <w:r w:rsidR="005E7CB9">
      <w:t>PSC-2019-0509-FOF-EG</w:t>
    </w:r>
    <w:r>
      <w:tab/>
    </w:r>
    <w:r>
      <w:tab/>
      <w:t>Attachment A</w:t>
    </w:r>
  </w:p>
  <w:p w:rsidR="00DB0EE7" w:rsidRDefault="00DB0EE7" w:rsidP="006617F2">
    <w:pPr>
      <w:pStyle w:val="OrderHeader"/>
    </w:pPr>
    <w:r>
      <w:t xml:space="preserve">DOCKET NOS. 20190015-EG, 20190016-EG, 20190017-EG, </w:t>
    </w:r>
  </w:p>
  <w:p w:rsidR="00DB0EE7" w:rsidRDefault="00DB0EE7" w:rsidP="006617F2">
    <w:pPr>
      <w:pStyle w:val="OrderHeader"/>
    </w:pPr>
    <w:r>
      <w:t>20190018-EG, 20190019-EG, 20190020-EG, 20190021-EG</w:t>
    </w:r>
  </w:p>
  <w:p w:rsidR="00DB0EE7" w:rsidRDefault="00DB0EE7" w:rsidP="006617F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CB9">
      <w:rPr>
        <w:rStyle w:val="PageNumber"/>
        <w:noProof/>
      </w:rPr>
      <w:t>14</w:t>
    </w:r>
    <w:r>
      <w:rPr>
        <w:rStyle w:val="PageNumber"/>
      </w:rPr>
      <w:fldChar w:fldCharType="end"/>
    </w:r>
  </w:p>
  <w:p w:rsidR="00DB0EE7" w:rsidRDefault="00DB0E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pPr>
      <w:pStyle w:val="OrderHeader"/>
    </w:pPr>
    <w:r>
      <w:t xml:space="preserve">ORDER NO. </w:t>
    </w:r>
    <w:r w:rsidR="005E7CB9" w:rsidRPr="005E7CB9">
      <w:t>PSC-2019-0509-FOF-EG</w:t>
    </w:r>
    <w:r>
      <w:tab/>
    </w:r>
    <w:r>
      <w:tab/>
      <w:t>Attachment B</w:t>
    </w:r>
  </w:p>
  <w:p w:rsidR="00DB0EE7" w:rsidRDefault="00DB0EE7">
    <w:pPr>
      <w:pStyle w:val="OrderHeader"/>
    </w:pPr>
    <w:r>
      <w:t xml:space="preserve">DOCKET NOS. 20190015-EG, 20190016-EG, 20190017-EG, </w:t>
    </w:r>
  </w:p>
  <w:p w:rsidR="00DB0EE7" w:rsidRDefault="00DB0EE7">
    <w:pPr>
      <w:pStyle w:val="OrderHeader"/>
    </w:pPr>
    <w:r>
      <w:t>20190018-EG, 20190019-EG, 20190020-EG, 20190021-EG</w:t>
    </w:r>
  </w:p>
  <w:p w:rsidR="00DB0EE7" w:rsidRDefault="00DB0EE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CB9">
      <w:rPr>
        <w:rStyle w:val="PageNumber"/>
        <w:noProof/>
      </w:rPr>
      <w:t>20</w:t>
    </w:r>
    <w:r>
      <w:rPr>
        <w:rStyle w:val="PageNumber"/>
      </w:rPr>
      <w:fldChar w:fldCharType="end"/>
    </w:r>
  </w:p>
  <w:p w:rsidR="00DB0EE7" w:rsidRDefault="00DB0EE7">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7" w:rsidRDefault="00DB0EE7" w:rsidP="00825B7E">
    <w:pPr>
      <w:pStyle w:val="OrderHeader"/>
      <w:tabs>
        <w:tab w:val="left" w:pos="7200"/>
      </w:tabs>
    </w:pPr>
    <w:r>
      <w:t xml:space="preserve">ORDER NO. </w:t>
    </w:r>
    <w:r w:rsidR="005E7CB9" w:rsidRPr="005E7CB9">
      <w:t>PSC-2019-0509-FOF-EG</w:t>
    </w:r>
    <w:r>
      <w:tab/>
    </w:r>
    <w:r>
      <w:tab/>
      <w:t>Attachment B</w:t>
    </w:r>
  </w:p>
  <w:p w:rsidR="00DB0EE7" w:rsidRDefault="00DB0EE7" w:rsidP="00825B7E">
    <w:pPr>
      <w:pStyle w:val="OrderHeader"/>
    </w:pPr>
    <w:r>
      <w:t xml:space="preserve">DOCKET NOS. 20190015-EG, 20190016-EG, 20190017-EG, </w:t>
    </w:r>
  </w:p>
  <w:p w:rsidR="00DB0EE7" w:rsidRDefault="00DB0EE7" w:rsidP="00825B7E">
    <w:pPr>
      <w:pStyle w:val="OrderHeader"/>
    </w:pPr>
    <w:r>
      <w:t>20190018-EG, 20190019-EG, 20190020-EG, 20190021-EG</w:t>
    </w:r>
  </w:p>
  <w:p w:rsidR="00DB0EE7" w:rsidRDefault="00DB0EE7" w:rsidP="00825B7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CB9">
      <w:rPr>
        <w:rStyle w:val="PageNumber"/>
        <w:noProof/>
      </w:rPr>
      <w:t>18</w:t>
    </w:r>
    <w:r>
      <w:rPr>
        <w:rStyle w:val="PageNumber"/>
      </w:rPr>
      <w:fldChar w:fldCharType="end"/>
    </w:r>
  </w:p>
  <w:p w:rsidR="00DB0EE7" w:rsidRDefault="00DB0EE7" w:rsidP="00825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25B25B3"/>
    <w:multiLevelType w:val="multilevel"/>
    <w:tmpl w:val="DD80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A4B24"/>
    <w:multiLevelType w:val="hybridMultilevel"/>
    <w:tmpl w:val="BF0E2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9B6EB0"/>
    <w:multiLevelType w:val="hybridMultilevel"/>
    <w:tmpl w:val="667628CE"/>
    <w:lvl w:ilvl="0" w:tplc="7C346426">
      <w:start w:val="36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6-EG, 20190017-EG, 20190018-EG, 20190019-EG, 20190020-EG, 20190021-EG"/>
  </w:docVars>
  <w:rsids>
    <w:rsidRoot w:val="00E3198A"/>
    <w:rsid w:val="000022B8"/>
    <w:rsid w:val="000120F9"/>
    <w:rsid w:val="000153EC"/>
    <w:rsid w:val="00031A69"/>
    <w:rsid w:val="0003433F"/>
    <w:rsid w:val="00035A8C"/>
    <w:rsid w:val="00050035"/>
    <w:rsid w:val="00052EA6"/>
    <w:rsid w:val="00053AB9"/>
    <w:rsid w:val="000543D3"/>
    <w:rsid w:val="00054524"/>
    <w:rsid w:val="00056229"/>
    <w:rsid w:val="00057AF1"/>
    <w:rsid w:val="00065FC2"/>
    <w:rsid w:val="00067685"/>
    <w:rsid w:val="00072EBB"/>
    <w:rsid w:val="00076E6B"/>
    <w:rsid w:val="0008247D"/>
    <w:rsid w:val="00087226"/>
    <w:rsid w:val="00090AFC"/>
    <w:rsid w:val="00095BD3"/>
    <w:rsid w:val="000B16C6"/>
    <w:rsid w:val="000B4369"/>
    <w:rsid w:val="000B783E"/>
    <w:rsid w:val="000D02B8"/>
    <w:rsid w:val="000D06E8"/>
    <w:rsid w:val="000D5256"/>
    <w:rsid w:val="000E050C"/>
    <w:rsid w:val="000E20F0"/>
    <w:rsid w:val="000E344D"/>
    <w:rsid w:val="000E3F6D"/>
    <w:rsid w:val="000E70EB"/>
    <w:rsid w:val="000F1C1A"/>
    <w:rsid w:val="000F359F"/>
    <w:rsid w:val="000F3B2C"/>
    <w:rsid w:val="000F63EB"/>
    <w:rsid w:val="000F648A"/>
    <w:rsid w:val="000F6686"/>
    <w:rsid w:val="000F7BE3"/>
    <w:rsid w:val="001052BA"/>
    <w:rsid w:val="001107B3"/>
    <w:rsid w:val="001114B1"/>
    <w:rsid w:val="001139D8"/>
    <w:rsid w:val="00116AD3"/>
    <w:rsid w:val="00121957"/>
    <w:rsid w:val="0012387E"/>
    <w:rsid w:val="00126593"/>
    <w:rsid w:val="00142A96"/>
    <w:rsid w:val="001443A0"/>
    <w:rsid w:val="001513DE"/>
    <w:rsid w:val="00154A71"/>
    <w:rsid w:val="00161C31"/>
    <w:rsid w:val="00187E32"/>
    <w:rsid w:val="00194E81"/>
    <w:rsid w:val="001A15E7"/>
    <w:rsid w:val="001A33C9"/>
    <w:rsid w:val="001A58F3"/>
    <w:rsid w:val="001C2847"/>
    <w:rsid w:val="001C3F8C"/>
    <w:rsid w:val="001C6097"/>
    <w:rsid w:val="001C6748"/>
    <w:rsid w:val="001D008A"/>
    <w:rsid w:val="001E0152"/>
    <w:rsid w:val="001E0FF5"/>
    <w:rsid w:val="001F7258"/>
    <w:rsid w:val="002002ED"/>
    <w:rsid w:val="00205478"/>
    <w:rsid w:val="0020789E"/>
    <w:rsid w:val="002170E5"/>
    <w:rsid w:val="00220D57"/>
    <w:rsid w:val="00221353"/>
    <w:rsid w:val="0022721A"/>
    <w:rsid w:val="002308D0"/>
    <w:rsid w:val="00230BB9"/>
    <w:rsid w:val="00232488"/>
    <w:rsid w:val="00241CEF"/>
    <w:rsid w:val="0025124E"/>
    <w:rsid w:val="00252B30"/>
    <w:rsid w:val="00260527"/>
    <w:rsid w:val="002613E4"/>
    <w:rsid w:val="0026544B"/>
    <w:rsid w:val="00265556"/>
    <w:rsid w:val="00276CDC"/>
    <w:rsid w:val="00277655"/>
    <w:rsid w:val="002824B7"/>
    <w:rsid w:val="00282AC4"/>
    <w:rsid w:val="0028487F"/>
    <w:rsid w:val="0028780A"/>
    <w:rsid w:val="00291115"/>
    <w:rsid w:val="002950DD"/>
    <w:rsid w:val="002A11AC"/>
    <w:rsid w:val="002A60A7"/>
    <w:rsid w:val="002A6F30"/>
    <w:rsid w:val="002B3111"/>
    <w:rsid w:val="002C6299"/>
    <w:rsid w:val="002C7908"/>
    <w:rsid w:val="002D391B"/>
    <w:rsid w:val="002D4B1F"/>
    <w:rsid w:val="002D4DF1"/>
    <w:rsid w:val="002D7D15"/>
    <w:rsid w:val="002E002C"/>
    <w:rsid w:val="002E1B2E"/>
    <w:rsid w:val="002E27EB"/>
    <w:rsid w:val="002E7712"/>
    <w:rsid w:val="002F2A9D"/>
    <w:rsid w:val="002F31C2"/>
    <w:rsid w:val="002F516C"/>
    <w:rsid w:val="00300799"/>
    <w:rsid w:val="003025B2"/>
    <w:rsid w:val="00303FDE"/>
    <w:rsid w:val="003140E8"/>
    <w:rsid w:val="003231C7"/>
    <w:rsid w:val="00323839"/>
    <w:rsid w:val="003270C4"/>
    <w:rsid w:val="00331ED0"/>
    <w:rsid w:val="00332B0A"/>
    <w:rsid w:val="003332EC"/>
    <w:rsid w:val="00333A41"/>
    <w:rsid w:val="00333DEF"/>
    <w:rsid w:val="0034473A"/>
    <w:rsid w:val="00345434"/>
    <w:rsid w:val="0035495B"/>
    <w:rsid w:val="00355A93"/>
    <w:rsid w:val="003610DF"/>
    <w:rsid w:val="00361522"/>
    <w:rsid w:val="00367D72"/>
    <w:rsid w:val="0037196E"/>
    <w:rsid w:val="003744F5"/>
    <w:rsid w:val="00387BDE"/>
    <w:rsid w:val="00390DD8"/>
    <w:rsid w:val="0039340D"/>
    <w:rsid w:val="00394DC6"/>
    <w:rsid w:val="00397C3E"/>
    <w:rsid w:val="003A7834"/>
    <w:rsid w:val="003B13F4"/>
    <w:rsid w:val="003B1A09"/>
    <w:rsid w:val="003C2DC3"/>
    <w:rsid w:val="003D04D2"/>
    <w:rsid w:val="003D4CCA"/>
    <w:rsid w:val="003D52A6"/>
    <w:rsid w:val="003D6416"/>
    <w:rsid w:val="003E1D48"/>
    <w:rsid w:val="003F1D2B"/>
    <w:rsid w:val="003F413D"/>
    <w:rsid w:val="004020C7"/>
    <w:rsid w:val="00411DF2"/>
    <w:rsid w:val="00411E8F"/>
    <w:rsid w:val="00415169"/>
    <w:rsid w:val="00420AFB"/>
    <w:rsid w:val="0042527B"/>
    <w:rsid w:val="00454816"/>
    <w:rsid w:val="0045537F"/>
    <w:rsid w:val="004562E8"/>
    <w:rsid w:val="00457DC7"/>
    <w:rsid w:val="004611A7"/>
    <w:rsid w:val="00462595"/>
    <w:rsid w:val="00467A86"/>
    <w:rsid w:val="00472BCC"/>
    <w:rsid w:val="00495878"/>
    <w:rsid w:val="004976BA"/>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2C0F"/>
    <w:rsid w:val="00514B1F"/>
    <w:rsid w:val="00515ECA"/>
    <w:rsid w:val="00522001"/>
    <w:rsid w:val="00525E93"/>
    <w:rsid w:val="0052671D"/>
    <w:rsid w:val="005300C0"/>
    <w:rsid w:val="00536D4F"/>
    <w:rsid w:val="00540FEF"/>
    <w:rsid w:val="0055595D"/>
    <w:rsid w:val="00556A10"/>
    <w:rsid w:val="00557F50"/>
    <w:rsid w:val="00571D3D"/>
    <w:rsid w:val="00577323"/>
    <w:rsid w:val="0058007A"/>
    <w:rsid w:val="0058264B"/>
    <w:rsid w:val="005868AA"/>
    <w:rsid w:val="00587367"/>
    <w:rsid w:val="00590845"/>
    <w:rsid w:val="005963C2"/>
    <w:rsid w:val="005A0C20"/>
    <w:rsid w:val="005A0D69"/>
    <w:rsid w:val="005A2DAF"/>
    <w:rsid w:val="005A31F4"/>
    <w:rsid w:val="005A4942"/>
    <w:rsid w:val="005A73EA"/>
    <w:rsid w:val="005B45F7"/>
    <w:rsid w:val="005B63EA"/>
    <w:rsid w:val="005C1A88"/>
    <w:rsid w:val="005C5033"/>
    <w:rsid w:val="005E6ACE"/>
    <w:rsid w:val="005E751B"/>
    <w:rsid w:val="005E7CB9"/>
    <w:rsid w:val="005F3354"/>
    <w:rsid w:val="0060005E"/>
    <w:rsid w:val="0060095B"/>
    <w:rsid w:val="00601266"/>
    <w:rsid w:val="00606A95"/>
    <w:rsid w:val="00610E73"/>
    <w:rsid w:val="00616DF2"/>
    <w:rsid w:val="006235AA"/>
    <w:rsid w:val="0063168D"/>
    <w:rsid w:val="006343A4"/>
    <w:rsid w:val="006531A4"/>
    <w:rsid w:val="00660774"/>
    <w:rsid w:val="006617F2"/>
    <w:rsid w:val="0066389A"/>
    <w:rsid w:val="0066495C"/>
    <w:rsid w:val="00665CC7"/>
    <w:rsid w:val="00667C50"/>
    <w:rsid w:val="00672612"/>
    <w:rsid w:val="00677F18"/>
    <w:rsid w:val="00693483"/>
    <w:rsid w:val="006A0BF3"/>
    <w:rsid w:val="006B0DA6"/>
    <w:rsid w:val="006B7993"/>
    <w:rsid w:val="006C35C1"/>
    <w:rsid w:val="006C547E"/>
    <w:rsid w:val="006D13DA"/>
    <w:rsid w:val="006D19EC"/>
    <w:rsid w:val="006D2B51"/>
    <w:rsid w:val="006D5575"/>
    <w:rsid w:val="006E42BE"/>
    <w:rsid w:val="006F4D9B"/>
    <w:rsid w:val="00704C5D"/>
    <w:rsid w:val="007072BC"/>
    <w:rsid w:val="00715275"/>
    <w:rsid w:val="00721B44"/>
    <w:rsid w:val="007232A2"/>
    <w:rsid w:val="00726366"/>
    <w:rsid w:val="00733B6B"/>
    <w:rsid w:val="00740808"/>
    <w:rsid w:val="007411D6"/>
    <w:rsid w:val="007467C4"/>
    <w:rsid w:val="00754B22"/>
    <w:rsid w:val="0076170F"/>
    <w:rsid w:val="00764BDF"/>
    <w:rsid w:val="00765800"/>
    <w:rsid w:val="0076669C"/>
    <w:rsid w:val="00766E46"/>
    <w:rsid w:val="00776125"/>
    <w:rsid w:val="00777727"/>
    <w:rsid w:val="00782B79"/>
    <w:rsid w:val="007865E9"/>
    <w:rsid w:val="00791ABC"/>
    <w:rsid w:val="00792383"/>
    <w:rsid w:val="00794D5A"/>
    <w:rsid w:val="00794DD9"/>
    <w:rsid w:val="007A060F"/>
    <w:rsid w:val="007B1FA0"/>
    <w:rsid w:val="007B350E"/>
    <w:rsid w:val="007C0FBC"/>
    <w:rsid w:val="007C36E3"/>
    <w:rsid w:val="007C7134"/>
    <w:rsid w:val="007D0FEC"/>
    <w:rsid w:val="007D1869"/>
    <w:rsid w:val="007D3D20"/>
    <w:rsid w:val="007D742E"/>
    <w:rsid w:val="007E1E01"/>
    <w:rsid w:val="007E3AFD"/>
    <w:rsid w:val="007E43BE"/>
    <w:rsid w:val="00801DAD"/>
    <w:rsid w:val="00802A15"/>
    <w:rsid w:val="00803189"/>
    <w:rsid w:val="00803291"/>
    <w:rsid w:val="00804E7A"/>
    <w:rsid w:val="00805FBB"/>
    <w:rsid w:val="008169A4"/>
    <w:rsid w:val="00825B7E"/>
    <w:rsid w:val="008278FE"/>
    <w:rsid w:val="00832598"/>
    <w:rsid w:val="0083397E"/>
    <w:rsid w:val="0083534B"/>
    <w:rsid w:val="00842602"/>
    <w:rsid w:val="00844668"/>
    <w:rsid w:val="008449F0"/>
    <w:rsid w:val="00846CC4"/>
    <w:rsid w:val="00847B45"/>
    <w:rsid w:val="00852AD7"/>
    <w:rsid w:val="00863A66"/>
    <w:rsid w:val="008703D7"/>
    <w:rsid w:val="00874429"/>
    <w:rsid w:val="00883D9A"/>
    <w:rsid w:val="008919EF"/>
    <w:rsid w:val="00892B20"/>
    <w:rsid w:val="008A12EC"/>
    <w:rsid w:val="008A1F5D"/>
    <w:rsid w:val="008B0143"/>
    <w:rsid w:val="008B19A6"/>
    <w:rsid w:val="008B52A6"/>
    <w:rsid w:val="008C0C54"/>
    <w:rsid w:val="008C21C8"/>
    <w:rsid w:val="008C360C"/>
    <w:rsid w:val="008C6375"/>
    <w:rsid w:val="008C6A5B"/>
    <w:rsid w:val="008D199A"/>
    <w:rsid w:val="008E26A5"/>
    <w:rsid w:val="008E42D2"/>
    <w:rsid w:val="008E6328"/>
    <w:rsid w:val="009040EE"/>
    <w:rsid w:val="009057FD"/>
    <w:rsid w:val="00906FBA"/>
    <w:rsid w:val="00910563"/>
    <w:rsid w:val="00914050"/>
    <w:rsid w:val="009163E8"/>
    <w:rsid w:val="009228C7"/>
    <w:rsid w:val="00922A7F"/>
    <w:rsid w:val="00923A5E"/>
    <w:rsid w:val="00924FE7"/>
    <w:rsid w:val="00926E27"/>
    <w:rsid w:val="00931C8C"/>
    <w:rsid w:val="00935D2B"/>
    <w:rsid w:val="009427D4"/>
    <w:rsid w:val="0094459F"/>
    <w:rsid w:val="00944BF2"/>
    <w:rsid w:val="00944EEB"/>
    <w:rsid w:val="0094504B"/>
    <w:rsid w:val="00964A38"/>
    <w:rsid w:val="00966A9D"/>
    <w:rsid w:val="0096742B"/>
    <w:rsid w:val="009677F3"/>
    <w:rsid w:val="009718C5"/>
    <w:rsid w:val="00983779"/>
    <w:rsid w:val="009924CF"/>
    <w:rsid w:val="00994100"/>
    <w:rsid w:val="00996563"/>
    <w:rsid w:val="009A6B17"/>
    <w:rsid w:val="009C3F03"/>
    <w:rsid w:val="009D2D00"/>
    <w:rsid w:val="009D48CA"/>
    <w:rsid w:val="009D4C29"/>
    <w:rsid w:val="009E6A67"/>
    <w:rsid w:val="009F6AD2"/>
    <w:rsid w:val="00A00D8D"/>
    <w:rsid w:val="00A01BB6"/>
    <w:rsid w:val="00A03C3D"/>
    <w:rsid w:val="00A07AE3"/>
    <w:rsid w:val="00A246EA"/>
    <w:rsid w:val="00A4303C"/>
    <w:rsid w:val="00A470FD"/>
    <w:rsid w:val="00A60210"/>
    <w:rsid w:val="00A62DAB"/>
    <w:rsid w:val="00A6757A"/>
    <w:rsid w:val="00A726A6"/>
    <w:rsid w:val="00A74842"/>
    <w:rsid w:val="00A97535"/>
    <w:rsid w:val="00AA1DE9"/>
    <w:rsid w:val="00AA2BAA"/>
    <w:rsid w:val="00AA714E"/>
    <w:rsid w:val="00AA73F1"/>
    <w:rsid w:val="00AB08E3"/>
    <w:rsid w:val="00AB0E1A"/>
    <w:rsid w:val="00AB1A30"/>
    <w:rsid w:val="00AB33FB"/>
    <w:rsid w:val="00AB3C36"/>
    <w:rsid w:val="00AC60CB"/>
    <w:rsid w:val="00AD10EB"/>
    <w:rsid w:val="00AD1ED3"/>
    <w:rsid w:val="00AE1D65"/>
    <w:rsid w:val="00AF04BC"/>
    <w:rsid w:val="00AF25C0"/>
    <w:rsid w:val="00B02001"/>
    <w:rsid w:val="00B03C50"/>
    <w:rsid w:val="00B0541A"/>
    <w:rsid w:val="00B0777D"/>
    <w:rsid w:val="00B11576"/>
    <w:rsid w:val="00B1195F"/>
    <w:rsid w:val="00B14D10"/>
    <w:rsid w:val="00B209C7"/>
    <w:rsid w:val="00B3644F"/>
    <w:rsid w:val="00B4057A"/>
    <w:rsid w:val="00B40894"/>
    <w:rsid w:val="00B41039"/>
    <w:rsid w:val="00B4165E"/>
    <w:rsid w:val="00B444AE"/>
    <w:rsid w:val="00B45E75"/>
    <w:rsid w:val="00B50876"/>
    <w:rsid w:val="00B51074"/>
    <w:rsid w:val="00B54DAA"/>
    <w:rsid w:val="00B55AB0"/>
    <w:rsid w:val="00B55EE5"/>
    <w:rsid w:val="00B71D1F"/>
    <w:rsid w:val="00B73DE6"/>
    <w:rsid w:val="00B761CD"/>
    <w:rsid w:val="00B86EF0"/>
    <w:rsid w:val="00B96392"/>
    <w:rsid w:val="00B96969"/>
    <w:rsid w:val="00B9768C"/>
    <w:rsid w:val="00B97900"/>
    <w:rsid w:val="00BA1229"/>
    <w:rsid w:val="00BA44A8"/>
    <w:rsid w:val="00BC786E"/>
    <w:rsid w:val="00BD5C92"/>
    <w:rsid w:val="00BD6A02"/>
    <w:rsid w:val="00BE2D4D"/>
    <w:rsid w:val="00BE50E6"/>
    <w:rsid w:val="00BE5A71"/>
    <w:rsid w:val="00BE629C"/>
    <w:rsid w:val="00BF6691"/>
    <w:rsid w:val="00C028FC"/>
    <w:rsid w:val="00C037F2"/>
    <w:rsid w:val="00C0386D"/>
    <w:rsid w:val="00C05710"/>
    <w:rsid w:val="00C065A1"/>
    <w:rsid w:val="00C10ED5"/>
    <w:rsid w:val="00C151A6"/>
    <w:rsid w:val="00C24098"/>
    <w:rsid w:val="00C30A4E"/>
    <w:rsid w:val="00C33290"/>
    <w:rsid w:val="00C3652A"/>
    <w:rsid w:val="00C40368"/>
    <w:rsid w:val="00C411F3"/>
    <w:rsid w:val="00C44105"/>
    <w:rsid w:val="00C47AEE"/>
    <w:rsid w:val="00C55A33"/>
    <w:rsid w:val="00C66692"/>
    <w:rsid w:val="00C673B5"/>
    <w:rsid w:val="00C7063D"/>
    <w:rsid w:val="00C723AB"/>
    <w:rsid w:val="00C830BC"/>
    <w:rsid w:val="00C8524D"/>
    <w:rsid w:val="00C85681"/>
    <w:rsid w:val="00C91123"/>
    <w:rsid w:val="00CA71FF"/>
    <w:rsid w:val="00CB4BD2"/>
    <w:rsid w:val="00CB5276"/>
    <w:rsid w:val="00CB5BFC"/>
    <w:rsid w:val="00CB68D7"/>
    <w:rsid w:val="00CB7091"/>
    <w:rsid w:val="00CC13AC"/>
    <w:rsid w:val="00CC7E68"/>
    <w:rsid w:val="00CD7132"/>
    <w:rsid w:val="00CD7CD4"/>
    <w:rsid w:val="00CE0E6F"/>
    <w:rsid w:val="00CE3B21"/>
    <w:rsid w:val="00CE56FC"/>
    <w:rsid w:val="00CF0749"/>
    <w:rsid w:val="00CF4CFE"/>
    <w:rsid w:val="00D02128"/>
    <w:rsid w:val="00D02E0F"/>
    <w:rsid w:val="00D03EE8"/>
    <w:rsid w:val="00D13535"/>
    <w:rsid w:val="00D15497"/>
    <w:rsid w:val="00D17B79"/>
    <w:rsid w:val="00D20C4A"/>
    <w:rsid w:val="00D20F0F"/>
    <w:rsid w:val="00D23FEA"/>
    <w:rsid w:val="00D269CA"/>
    <w:rsid w:val="00D30B48"/>
    <w:rsid w:val="00D3168A"/>
    <w:rsid w:val="00D35B86"/>
    <w:rsid w:val="00D46FAA"/>
    <w:rsid w:val="00D47A40"/>
    <w:rsid w:val="00D50B8C"/>
    <w:rsid w:val="00D51D33"/>
    <w:rsid w:val="00D52466"/>
    <w:rsid w:val="00D56868"/>
    <w:rsid w:val="00D57BB2"/>
    <w:rsid w:val="00D57E57"/>
    <w:rsid w:val="00D644AA"/>
    <w:rsid w:val="00D70752"/>
    <w:rsid w:val="00D80E2D"/>
    <w:rsid w:val="00D84D5E"/>
    <w:rsid w:val="00D8560E"/>
    <w:rsid w:val="00D869C3"/>
    <w:rsid w:val="00D8758F"/>
    <w:rsid w:val="00D907B8"/>
    <w:rsid w:val="00D91A6A"/>
    <w:rsid w:val="00D97C63"/>
    <w:rsid w:val="00DA2A93"/>
    <w:rsid w:val="00DA4EDD"/>
    <w:rsid w:val="00DA6B78"/>
    <w:rsid w:val="00DB0EE7"/>
    <w:rsid w:val="00DC1D94"/>
    <w:rsid w:val="00DC42CF"/>
    <w:rsid w:val="00DD69A8"/>
    <w:rsid w:val="00DE057F"/>
    <w:rsid w:val="00DE2082"/>
    <w:rsid w:val="00DE2289"/>
    <w:rsid w:val="00DE5EFA"/>
    <w:rsid w:val="00DF09A7"/>
    <w:rsid w:val="00DF2B0F"/>
    <w:rsid w:val="00E001D6"/>
    <w:rsid w:val="00E03A76"/>
    <w:rsid w:val="00E04410"/>
    <w:rsid w:val="00E07484"/>
    <w:rsid w:val="00E07A6F"/>
    <w:rsid w:val="00E11351"/>
    <w:rsid w:val="00E1467F"/>
    <w:rsid w:val="00E17B6F"/>
    <w:rsid w:val="00E23805"/>
    <w:rsid w:val="00E3198A"/>
    <w:rsid w:val="00E4225C"/>
    <w:rsid w:val="00E44879"/>
    <w:rsid w:val="00E66B5B"/>
    <w:rsid w:val="00E675EB"/>
    <w:rsid w:val="00E72914"/>
    <w:rsid w:val="00E73992"/>
    <w:rsid w:val="00E75AE0"/>
    <w:rsid w:val="00E83C1F"/>
    <w:rsid w:val="00E949F0"/>
    <w:rsid w:val="00E97656"/>
    <w:rsid w:val="00EA172C"/>
    <w:rsid w:val="00EA259B"/>
    <w:rsid w:val="00EA35A3"/>
    <w:rsid w:val="00EA3E6A"/>
    <w:rsid w:val="00EB18EF"/>
    <w:rsid w:val="00EB7951"/>
    <w:rsid w:val="00EC1980"/>
    <w:rsid w:val="00ED6A79"/>
    <w:rsid w:val="00EE17DF"/>
    <w:rsid w:val="00EE55C7"/>
    <w:rsid w:val="00EF4621"/>
    <w:rsid w:val="00EF4D52"/>
    <w:rsid w:val="00EF5030"/>
    <w:rsid w:val="00EF6312"/>
    <w:rsid w:val="00F038B0"/>
    <w:rsid w:val="00F07391"/>
    <w:rsid w:val="00F0755E"/>
    <w:rsid w:val="00F076D9"/>
    <w:rsid w:val="00F22B27"/>
    <w:rsid w:val="00F234A7"/>
    <w:rsid w:val="00F277B6"/>
    <w:rsid w:val="00F27DA5"/>
    <w:rsid w:val="00F34A3C"/>
    <w:rsid w:val="00F37B2B"/>
    <w:rsid w:val="00F37E07"/>
    <w:rsid w:val="00F4182A"/>
    <w:rsid w:val="00F42690"/>
    <w:rsid w:val="00F46492"/>
    <w:rsid w:val="00F54380"/>
    <w:rsid w:val="00F54B47"/>
    <w:rsid w:val="00F61247"/>
    <w:rsid w:val="00F62222"/>
    <w:rsid w:val="00F63416"/>
    <w:rsid w:val="00F6702E"/>
    <w:rsid w:val="00F70E84"/>
    <w:rsid w:val="00F75106"/>
    <w:rsid w:val="00F95C63"/>
    <w:rsid w:val="00FA092B"/>
    <w:rsid w:val="00FA4F6C"/>
    <w:rsid w:val="00FA6EFD"/>
    <w:rsid w:val="00FB6DFA"/>
    <w:rsid w:val="00FB74EA"/>
    <w:rsid w:val="00FD232B"/>
    <w:rsid w:val="00FD2C9E"/>
    <w:rsid w:val="00FD4786"/>
    <w:rsid w:val="00FD5BF2"/>
    <w:rsid w:val="00FD616C"/>
    <w:rsid w:val="00FE53F2"/>
    <w:rsid w:val="00FF0A00"/>
    <w:rsid w:val="00FF1C57"/>
    <w:rsid w:val="00FF2581"/>
    <w:rsid w:val="00FF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basedOn w:val="DefaultParagraphFont"/>
    <w:link w:val="FootnoteText"/>
    <w:rsid w:val="00E3198A"/>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C33290"/>
    <w:pPr>
      <w:spacing w:before="120"/>
      <w:ind w:left="1008" w:hanging="1008"/>
      <w:jc w:val="both"/>
    </w:pPr>
  </w:style>
  <w:style w:type="paragraph" w:customStyle="1" w:styleId="MastHeadPSC">
    <w:name w:val="MastHead PSC"/>
    <w:basedOn w:val="Normal"/>
    <w:next w:val="Normal"/>
    <w:rsid w:val="00C33290"/>
    <w:pPr>
      <w:jc w:val="center"/>
    </w:pPr>
    <w:rPr>
      <w:b/>
      <w:sz w:val="48"/>
      <w:szCs w:val="48"/>
    </w:rPr>
  </w:style>
  <w:style w:type="paragraph" w:customStyle="1" w:styleId="MastHeadMemorandum">
    <w:name w:val="MastHead Memorandum"/>
    <w:basedOn w:val="Normal"/>
    <w:next w:val="Normal"/>
    <w:rsid w:val="00C33290"/>
    <w:pPr>
      <w:jc w:val="center"/>
    </w:pPr>
    <w:rPr>
      <w:b/>
      <w:sz w:val="28"/>
      <w:szCs w:val="28"/>
    </w:rPr>
  </w:style>
  <w:style w:type="paragraph" w:customStyle="1" w:styleId="MastHeadAddress">
    <w:name w:val="MastHead Address"/>
    <w:basedOn w:val="Normal"/>
    <w:next w:val="Normal"/>
    <w:rsid w:val="00C33290"/>
    <w:pPr>
      <w:spacing w:after="200"/>
      <w:jc w:val="center"/>
    </w:pPr>
    <w:rPr>
      <w:b/>
      <w:smallCaps/>
      <w:sz w:val="20"/>
      <w:szCs w:val="20"/>
    </w:rPr>
  </w:style>
  <w:style w:type="paragraph" w:customStyle="1" w:styleId="MastHeadState">
    <w:name w:val="MastHead State"/>
    <w:basedOn w:val="Normal"/>
    <w:next w:val="Normal"/>
    <w:rsid w:val="00C33290"/>
    <w:pPr>
      <w:jc w:val="center"/>
    </w:pPr>
    <w:rPr>
      <w:b/>
      <w:sz w:val="28"/>
      <w:szCs w:val="28"/>
    </w:rPr>
  </w:style>
  <w:style w:type="paragraph" w:customStyle="1" w:styleId="MemoHeading">
    <w:name w:val="Memo Heading"/>
    <w:basedOn w:val="Normal"/>
    <w:next w:val="Normal"/>
    <w:rsid w:val="00C33290"/>
    <w:pPr>
      <w:jc w:val="both"/>
    </w:pPr>
  </w:style>
  <w:style w:type="paragraph" w:customStyle="1" w:styleId="BlockText5">
    <w:name w:val="Block Text .5&quot;"/>
    <w:basedOn w:val="Normal"/>
    <w:rsid w:val="00C33290"/>
    <w:pPr>
      <w:spacing w:after="120"/>
      <w:ind w:left="720" w:right="720"/>
    </w:pPr>
  </w:style>
  <w:style w:type="paragraph" w:customStyle="1" w:styleId="BlockText1">
    <w:name w:val="Block Text 1&quot;"/>
    <w:basedOn w:val="Normal"/>
    <w:rsid w:val="00C33290"/>
    <w:pPr>
      <w:spacing w:after="120"/>
      <w:ind w:left="1440" w:right="1440"/>
    </w:pPr>
  </w:style>
  <w:style w:type="paragraph" w:customStyle="1" w:styleId="BlockText15">
    <w:name w:val="Block Text 1.5&quot;"/>
    <w:basedOn w:val="Normal"/>
    <w:rsid w:val="00C33290"/>
    <w:pPr>
      <w:spacing w:after="120"/>
      <w:ind w:left="2160" w:right="2160"/>
    </w:pPr>
  </w:style>
  <w:style w:type="paragraph" w:customStyle="1" w:styleId="IssueHeading">
    <w:name w:val="Issue Heading"/>
    <w:basedOn w:val="Heading1"/>
    <w:next w:val="BodyText"/>
    <w:link w:val="IssueHeadingChar"/>
    <w:qFormat/>
    <w:rsid w:val="00C33290"/>
    <w:pPr>
      <w:keepNext w:val="0"/>
    </w:pPr>
    <w:rPr>
      <w:rFonts w:ascii="Arial" w:hAnsi="Arial"/>
      <w:b/>
      <w:i/>
    </w:rPr>
  </w:style>
  <w:style w:type="character" w:customStyle="1" w:styleId="IssueHeadingChar">
    <w:name w:val="Issue Heading Char"/>
    <w:link w:val="IssueHeading"/>
    <w:rsid w:val="00C33290"/>
    <w:rPr>
      <w:rFonts w:ascii="Arial" w:hAnsi="Arial" w:cs="Arial"/>
      <w:b/>
      <w:bCs/>
      <w:i/>
      <w:kern w:val="32"/>
      <w:sz w:val="24"/>
      <w:szCs w:val="32"/>
    </w:rPr>
  </w:style>
  <w:style w:type="paragraph" w:customStyle="1" w:styleId="MemoHeadingRe">
    <w:name w:val="Memo Heading Re"/>
    <w:basedOn w:val="MemoHeading"/>
    <w:rsid w:val="00C33290"/>
    <w:pPr>
      <w:tabs>
        <w:tab w:val="left" w:pos="2520"/>
        <w:tab w:val="left" w:pos="2736"/>
      </w:tabs>
    </w:pPr>
  </w:style>
  <w:style w:type="paragraph" w:styleId="TOC1">
    <w:name w:val="toc 1"/>
    <w:basedOn w:val="Normal"/>
    <w:next w:val="Normal"/>
    <w:uiPriority w:val="39"/>
    <w:rsid w:val="00C33290"/>
    <w:pPr>
      <w:tabs>
        <w:tab w:val="left" w:pos="864"/>
        <w:tab w:val="right" w:leader="dot" w:pos="9360"/>
      </w:tabs>
      <w:spacing w:line="360" w:lineRule="auto"/>
      <w:ind w:left="864" w:right="360" w:hanging="864"/>
    </w:pPr>
  </w:style>
  <w:style w:type="character" w:styleId="Hyperlink">
    <w:name w:val="Hyperlink"/>
    <w:uiPriority w:val="99"/>
    <w:rsid w:val="00C33290"/>
    <w:rPr>
      <w:color w:val="0000FF"/>
      <w:u w:val="single"/>
    </w:rPr>
  </w:style>
  <w:style w:type="paragraph" w:customStyle="1" w:styleId="RecommendationMajorSectionHeading">
    <w:name w:val="Recommendation Major Section Heading"/>
    <w:basedOn w:val="Heading1"/>
    <w:next w:val="BodyText"/>
    <w:rsid w:val="00C3329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33290"/>
    <w:pPr>
      <w:keepNext w:val="0"/>
    </w:pPr>
    <w:rPr>
      <w:rFonts w:ascii="Arial" w:hAnsi="Arial"/>
      <w:b/>
      <w:i/>
    </w:rPr>
  </w:style>
  <w:style w:type="character" w:customStyle="1" w:styleId="IssueSubsectionHeadingChar">
    <w:name w:val="Issue Subsection Heading Char"/>
    <w:link w:val="IssueSubsectionHeading"/>
    <w:rsid w:val="00C33290"/>
    <w:rPr>
      <w:rFonts w:ascii="Arial" w:hAnsi="Arial" w:cs="Arial"/>
      <w:b/>
      <w:bCs/>
      <w:i/>
      <w:iCs/>
      <w:sz w:val="24"/>
      <w:szCs w:val="28"/>
    </w:rPr>
  </w:style>
  <w:style w:type="paragraph" w:customStyle="1" w:styleId="RecommendationHeading">
    <w:name w:val="Recommendation Heading"/>
    <w:basedOn w:val="Heading1"/>
    <w:next w:val="BodyText"/>
    <w:rsid w:val="00C33290"/>
    <w:pPr>
      <w:keepNext w:val="0"/>
      <w:jc w:val="center"/>
    </w:pPr>
    <w:rPr>
      <w:b/>
      <w:u w:val="single"/>
    </w:rPr>
  </w:style>
  <w:style w:type="paragraph" w:customStyle="1" w:styleId="DiscussionofIssues">
    <w:name w:val="Discussion of Issues"/>
    <w:basedOn w:val="RecommendationMajorSectionHeading"/>
    <w:next w:val="BodyText"/>
    <w:rsid w:val="00C33290"/>
    <w:pPr>
      <w:spacing w:after="0"/>
    </w:pPr>
  </w:style>
  <w:style w:type="paragraph" w:customStyle="1" w:styleId="TOCColumnHeadings">
    <w:name w:val="TOC Column Headings"/>
    <w:basedOn w:val="Normal"/>
    <w:rsid w:val="00C33290"/>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C33290"/>
    <w:pPr>
      <w:keepNext w:val="0"/>
      <w:spacing w:before="240"/>
    </w:pPr>
    <w:rPr>
      <w:b/>
      <w:u w:val="single"/>
    </w:rPr>
  </w:style>
  <w:style w:type="character" w:customStyle="1" w:styleId="StyleHeading1BoldUnderlineChar">
    <w:name w:val="Style Heading 1 + Bold Underline Char"/>
    <w:link w:val="StyleHeading1BoldUnderline"/>
    <w:rsid w:val="00C33290"/>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33290"/>
    <w:pPr>
      <w:jc w:val="left"/>
    </w:pPr>
  </w:style>
  <w:style w:type="paragraph" w:styleId="TOC3">
    <w:name w:val="toc 3"/>
    <w:basedOn w:val="TOC2"/>
    <w:next w:val="Normal"/>
    <w:rsid w:val="00C33290"/>
    <w:pPr>
      <w:tabs>
        <w:tab w:val="clear" w:pos="1152"/>
        <w:tab w:val="left" w:pos="1584"/>
      </w:tabs>
      <w:ind w:left="1584" w:hanging="432"/>
    </w:pPr>
  </w:style>
  <w:style w:type="paragraph" w:styleId="TOC2">
    <w:name w:val="toc 2"/>
    <w:basedOn w:val="TOC1"/>
    <w:next w:val="Normal"/>
    <w:rsid w:val="00C33290"/>
    <w:pPr>
      <w:tabs>
        <w:tab w:val="clear" w:pos="864"/>
        <w:tab w:val="left" w:pos="1152"/>
      </w:tabs>
      <w:ind w:left="1152" w:hanging="288"/>
    </w:pPr>
  </w:style>
  <w:style w:type="paragraph" w:styleId="DocumentMap">
    <w:name w:val="Document Map"/>
    <w:basedOn w:val="Normal"/>
    <w:link w:val="DocumentMapChar"/>
    <w:rsid w:val="00C33290"/>
    <w:pPr>
      <w:shd w:val="clear" w:color="auto" w:fill="000080"/>
    </w:pPr>
    <w:rPr>
      <w:rFonts w:ascii="Tahoma" w:hAnsi="Tahoma" w:cs="Tahoma"/>
    </w:rPr>
  </w:style>
  <w:style w:type="character" w:customStyle="1" w:styleId="DocumentMapChar">
    <w:name w:val="Document Map Char"/>
    <w:basedOn w:val="DefaultParagraphFont"/>
    <w:link w:val="DocumentMap"/>
    <w:rsid w:val="00C33290"/>
    <w:rPr>
      <w:rFonts w:ascii="Tahoma" w:hAnsi="Tahoma" w:cs="Tahoma"/>
      <w:sz w:val="24"/>
      <w:szCs w:val="24"/>
      <w:shd w:val="clear" w:color="auto" w:fill="000080"/>
    </w:rPr>
  </w:style>
  <w:style w:type="paragraph" w:styleId="BalloonText">
    <w:name w:val="Balloon Text"/>
    <w:basedOn w:val="Normal"/>
    <w:link w:val="BalloonTextChar"/>
    <w:rsid w:val="00C33290"/>
    <w:rPr>
      <w:rFonts w:ascii="Tahoma" w:hAnsi="Tahoma" w:cs="Tahoma"/>
      <w:sz w:val="16"/>
      <w:szCs w:val="16"/>
    </w:rPr>
  </w:style>
  <w:style w:type="character" w:customStyle="1" w:styleId="BalloonTextChar">
    <w:name w:val="Balloon Text Char"/>
    <w:basedOn w:val="DefaultParagraphFont"/>
    <w:link w:val="BalloonText"/>
    <w:rsid w:val="00C33290"/>
    <w:rPr>
      <w:rFonts w:ascii="Tahoma" w:hAnsi="Tahoma" w:cs="Tahoma"/>
      <w:sz w:val="16"/>
      <w:szCs w:val="16"/>
    </w:rPr>
  </w:style>
  <w:style w:type="paragraph" w:styleId="BlockText">
    <w:name w:val="Block Text"/>
    <w:basedOn w:val="Normal"/>
    <w:rsid w:val="00C33290"/>
    <w:pPr>
      <w:spacing w:after="120"/>
      <w:ind w:left="1440" w:right="1440"/>
    </w:pPr>
  </w:style>
  <w:style w:type="paragraph" w:styleId="BodyText2">
    <w:name w:val="Body Text 2"/>
    <w:basedOn w:val="Normal"/>
    <w:link w:val="BodyText2Char"/>
    <w:rsid w:val="00C33290"/>
    <w:pPr>
      <w:spacing w:after="120" w:line="480" w:lineRule="auto"/>
    </w:pPr>
  </w:style>
  <w:style w:type="character" w:customStyle="1" w:styleId="BodyText2Char">
    <w:name w:val="Body Text 2 Char"/>
    <w:basedOn w:val="DefaultParagraphFont"/>
    <w:link w:val="BodyText2"/>
    <w:rsid w:val="00C33290"/>
    <w:rPr>
      <w:sz w:val="24"/>
      <w:szCs w:val="24"/>
    </w:rPr>
  </w:style>
  <w:style w:type="paragraph" w:styleId="BodyText3">
    <w:name w:val="Body Text 3"/>
    <w:basedOn w:val="Normal"/>
    <w:link w:val="BodyText3Char"/>
    <w:rsid w:val="00C33290"/>
    <w:pPr>
      <w:spacing w:after="120"/>
    </w:pPr>
    <w:rPr>
      <w:sz w:val="16"/>
      <w:szCs w:val="16"/>
    </w:rPr>
  </w:style>
  <w:style w:type="character" w:customStyle="1" w:styleId="BodyText3Char">
    <w:name w:val="Body Text 3 Char"/>
    <w:basedOn w:val="DefaultParagraphFont"/>
    <w:link w:val="BodyText3"/>
    <w:rsid w:val="00C33290"/>
    <w:rPr>
      <w:sz w:val="16"/>
      <w:szCs w:val="16"/>
    </w:rPr>
  </w:style>
  <w:style w:type="paragraph" w:styleId="BodyTextFirstIndent">
    <w:name w:val="Body Text First Indent"/>
    <w:basedOn w:val="BodyText"/>
    <w:link w:val="BodyTextFirstIndentChar"/>
    <w:rsid w:val="00C33290"/>
    <w:pPr>
      <w:ind w:firstLine="210"/>
    </w:pPr>
  </w:style>
  <w:style w:type="character" w:customStyle="1" w:styleId="BodyTextFirstIndentChar">
    <w:name w:val="Body Text First Indent Char"/>
    <w:basedOn w:val="BodyTextChar"/>
    <w:link w:val="BodyTextFirstIndent"/>
    <w:rsid w:val="00C33290"/>
    <w:rPr>
      <w:sz w:val="24"/>
      <w:szCs w:val="24"/>
    </w:rPr>
  </w:style>
  <w:style w:type="paragraph" w:styleId="BodyTextIndent">
    <w:name w:val="Body Text Indent"/>
    <w:basedOn w:val="Normal"/>
    <w:link w:val="BodyTextIndentChar"/>
    <w:rsid w:val="00C33290"/>
    <w:pPr>
      <w:spacing w:after="120"/>
      <w:ind w:left="360"/>
    </w:pPr>
  </w:style>
  <w:style w:type="character" w:customStyle="1" w:styleId="BodyTextIndentChar">
    <w:name w:val="Body Text Indent Char"/>
    <w:basedOn w:val="DefaultParagraphFont"/>
    <w:link w:val="BodyTextIndent"/>
    <w:rsid w:val="00C33290"/>
    <w:rPr>
      <w:sz w:val="24"/>
      <w:szCs w:val="24"/>
    </w:rPr>
  </w:style>
  <w:style w:type="paragraph" w:styleId="BodyTextFirstIndent2">
    <w:name w:val="Body Text First Indent 2"/>
    <w:basedOn w:val="BodyTextIndent"/>
    <w:link w:val="BodyTextFirstIndent2Char"/>
    <w:rsid w:val="00C33290"/>
    <w:pPr>
      <w:ind w:firstLine="210"/>
    </w:pPr>
  </w:style>
  <w:style w:type="character" w:customStyle="1" w:styleId="BodyTextFirstIndent2Char">
    <w:name w:val="Body Text First Indent 2 Char"/>
    <w:basedOn w:val="BodyTextIndentChar"/>
    <w:link w:val="BodyTextFirstIndent2"/>
    <w:rsid w:val="00C33290"/>
    <w:rPr>
      <w:sz w:val="24"/>
      <w:szCs w:val="24"/>
    </w:rPr>
  </w:style>
  <w:style w:type="paragraph" w:styleId="BodyTextIndent2">
    <w:name w:val="Body Text Indent 2"/>
    <w:basedOn w:val="Normal"/>
    <w:link w:val="BodyTextIndent2Char"/>
    <w:rsid w:val="00C33290"/>
    <w:pPr>
      <w:spacing w:after="120" w:line="480" w:lineRule="auto"/>
      <w:ind w:left="360"/>
    </w:pPr>
  </w:style>
  <w:style w:type="character" w:customStyle="1" w:styleId="BodyTextIndent2Char">
    <w:name w:val="Body Text Indent 2 Char"/>
    <w:basedOn w:val="DefaultParagraphFont"/>
    <w:link w:val="BodyTextIndent2"/>
    <w:rsid w:val="00C33290"/>
    <w:rPr>
      <w:sz w:val="24"/>
      <w:szCs w:val="24"/>
    </w:rPr>
  </w:style>
  <w:style w:type="paragraph" w:styleId="BodyTextIndent3">
    <w:name w:val="Body Text Indent 3"/>
    <w:basedOn w:val="Normal"/>
    <w:link w:val="BodyTextIndent3Char"/>
    <w:rsid w:val="00C33290"/>
    <w:pPr>
      <w:spacing w:after="120"/>
      <w:ind w:left="360"/>
    </w:pPr>
    <w:rPr>
      <w:sz w:val="16"/>
      <w:szCs w:val="16"/>
    </w:rPr>
  </w:style>
  <w:style w:type="character" w:customStyle="1" w:styleId="BodyTextIndent3Char">
    <w:name w:val="Body Text Indent 3 Char"/>
    <w:basedOn w:val="DefaultParagraphFont"/>
    <w:link w:val="BodyTextIndent3"/>
    <w:rsid w:val="00C33290"/>
    <w:rPr>
      <w:sz w:val="16"/>
      <w:szCs w:val="16"/>
    </w:rPr>
  </w:style>
  <w:style w:type="paragraph" w:styleId="Caption">
    <w:name w:val="caption"/>
    <w:basedOn w:val="Normal"/>
    <w:next w:val="Normal"/>
    <w:qFormat/>
    <w:rsid w:val="00C33290"/>
    <w:pPr>
      <w:spacing w:before="120" w:after="120"/>
    </w:pPr>
    <w:rPr>
      <w:b/>
      <w:bCs/>
      <w:sz w:val="20"/>
      <w:szCs w:val="20"/>
    </w:rPr>
  </w:style>
  <w:style w:type="paragraph" w:styleId="Closing">
    <w:name w:val="Closing"/>
    <w:basedOn w:val="Normal"/>
    <w:link w:val="ClosingChar"/>
    <w:rsid w:val="00C33290"/>
    <w:pPr>
      <w:ind w:left="4320"/>
    </w:pPr>
  </w:style>
  <w:style w:type="character" w:customStyle="1" w:styleId="ClosingChar">
    <w:name w:val="Closing Char"/>
    <w:basedOn w:val="DefaultParagraphFont"/>
    <w:link w:val="Closing"/>
    <w:rsid w:val="00C33290"/>
    <w:rPr>
      <w:sz w:val="24"/>
      <w:szCs w:val="24"/>
    </w:rPr>
  </w:style>
  <w:style w:type="paragraph" w:styleId="CommentText">
    <w:name w:val="annotation text"/>
    <w:basedOn w:val="Normal"/>
    <w:link w:val="CommentTextChar"/>
    <w:rsid w:val="00C33290"/>
    <w:rPr>
      <w:sz w:val="20"/>
      <w:szCs w:val="20"/>
    </w:rPr>
  </w:style>
  <w:style w:type="character" w:customStyle="1" w:styleId="CommentTextChar">
    <w:name w:val="Comment Text Char"/>
    <w:basedOn w:val="DefaultParagraphFont"/>
    <w:link w:val="CommentText"/>
    <w:rsid w:val="00C33290"/>
  </w:style>
  <w:style w:type="paragraph" w:styleId="CommentSubject">
    <w:name w:val="annotation subject"/>
    <w:basedOn w:val="CommentText"/>
    <w:next w:val="CommentText"/>
    <w:link w:val="CommentSubjectChar"/>
    <w:rsid w:val="00C33290"/>
    <w:rPr>
      <w:b/>
      <w:bCs/>
    </w:rPr>
  </w:style>
  <w:style w:type="character" w:customStyle="1" w:styleId="CommentSubjectChar">
    <w:name w:val="Comment Subject Char"/>
    <w:basedOn w:val="CommentTextChar"/>
    <w:link w:val="CommentSubject"/>
    <w:rsid w:val="00C33290"/>
    <w:rPr>
      <w:b/>
      <w:bCs/>
    </w:rPr>
  </w:style>
  <w:style w:type="paragraph" w:styleId="Date">
    <w:name w:val="Date"/>
    <w:basedOn w:val="Normal"/>
    <w:next w:val="Normal"/>
    <w:link w:val="DateChar"/>
    <w:rsid w:val="00C33290"/>
  </w:style>
  <w:style w:type="character" w:customStyle="1" w:styleId="DateChar">
    <w:name w:val="Date Char"/>
    <w:basedOn w:val="DefaultParagraphFont"/>
    <w:link w:val="Date"/>
    <w:rsid w:val="00C33290"/>
    <w:rPr>
      <w:sz w:val="24"/>
      <w:szCs w:val="24"/>
    </w:rPr>
  </w:style>
  <w:style w:type="paragraph" w:styleId="E-mailSignature">
    <w:name w:val="E-mail Signature"/>
    <w:basedOn w:val="Normal"/>
    <w:link w:val="E-mailSignatureChar"/>
    <w:rsid w:val="00C33290"/>
  </w:style>
  <w:style w:type="character" w:customStyle="1" w:styleId="E-mailSignatureChar">
    <w:name w:val="E-mail Signature Char"/>
    <w:basedOn w:val="DefaultParagraphFont"/>
    <w:link w:val="E-mailSignature"/>
    <w:rsid w:val="00C33290"/>
    <w:rPr>
      <w:sz w:val="24"/>
      <w:szCs w:val="24"/>
    </w:rPr>
  </w:style>
  <w:style w:type="paragraph" w:styleId="EndnoteText">
    <w:name w:val="endnote text"/>
    <w:basedOn w:val="Normal"/>
    <w:link w:val="EndnoteTextChar"/>
    <w:rsid w:val="00C33290"/>
    <w:rPr>
      <w:sz w:val="20"/>
      <w:szCs w:val="20"/>
    </w:rPr>
  </w:style>
  <w:style w:type="character" w:customStyle="1" w:styleId="EndnoteTextChar">
    <w:name w:val="Endnote Text Char"/>
    <w:basedOn w:val="DefaultParagraphFont"/>
    <w:link w:val="EndnoteText"/>
    <w:rsid w:val="00C33290"/>
  </w:style>
  <w:style w:type="paragraph" w:styleId="EnvelopeAddress">
    <w:name w:val="envelope address"/>
    <w:basedOn w:val="Normal"/>
    <w:rsid w:val="00C332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3290"/>
    <w:rPr>
      <w:rFonts w:ascii="Arial" w:hAnsi="Arial" w:cs="Arial"/>
      <w:sz w:val="20"/>
      <w:szCs w:val="20"/>
    </w:rPr>
  </w:style>
  <w:style w:type="paragraph" w:styleId="HTMLAddress">
    <w:name w:val="HTML Address"/>
    <w:basedOn w:val="Normal"/>
    <w:link w:val="HTMLAddressChar"/>
    <w:rsid w:val="00C33290"/>
    <w:rPr>
      <w:i/>
      <w:iCs/>
    </w:rPr>
  </w:style>
  <w:style w:type="character" w:customStyle="1" w:styleId="HTMLAddressChar">
    <w:name w:val="HTML Address Char"/>
    <w:basedOn w:val="DefaultParagraphFont"/>
    <w:link w:val="HTMLAddress"/>
    <w:rsid w:val="00C33290"/>
    <w:rPr>
      <w:i/>
      <w:iCs/>
      <w:sz w:val="24"/>
      <w:szCs w:val="24"/>
    </w:rPr>
  </w:style>
  <w:style w:type="paragraph" w:styleId="HTMLPreformatted">
    <w:name w:val="HTML Preformatted"/>
    <w:basedOn w:val="Normal"/>
    <w:link w:val="HTMLPreformattedChar"/>
    <w:rsid w:val="00C33290"/>
    <w:rPr>
      <w:rFonts w:ascii="Courier New" w:hAnsi="Courier New" w:cs="Courier New"/>
      <w:sz w:val="20"/>
      <w:szCs w:val="20"/>
    </w:rPr>
  </w:style>
  <w:style w:type="character" w:customStyle="1" w:styleId="HTMLPreformattedChar">
    <w:name w:val="HTML Preformatted Char"/>
    <w:basedOn w:val="DefaultParagraphFont"/>
    <w:link w:val="HTMLPreformatted"/>
    <w:rsid w:val="00C33290"/>
    <w:rPr>
      <w:rFonts w:ascii="Courier New" w:hAnsi="Courier New" w:cs="Courier New"/>
    </w:rPr>
  </w:style>
  <w:style w:type="paragraph" w:styleId="Index1">
    <w:name w:val="index 1"/>
    <w:basedOn w:val="Normal"/>
    <w:next w:val="Normal"/>
    <w:autoRedefine/>
    <w:rsid w:val="00C33290"/>
    <w:pPr>
      <w:ind w:left="240" w:hanging="240"/>
    </w:pPr>
  </w:style>
  <w:style w:type="paragraph" w:styleId="Index2">
    <w:name w:val="index 2"/>
    <w:basedOn w:val="Normal"/>
    <w:next w:val="Normal"/>
    <w:autoRedefine/>
    <w:rsid w:val="00C33290"/>
    <w:pPr>
      <w:ind w:left="480" w:hanging="240"/>
    </w:pPr>
  </w:style>
  <w:style w:type="paragraph" w:styleId="Index3">
    <w:name w:val="index 3"/>
    <w:basedOn w:val="Normal"/>
    <w:next w:val="Normal"/>
    <w:autoRedefine/>
    <w:rsid w:val="00C33290"/>
    <w:pPr>
      <w:ind w:left="720" w:hanging="240"/>
    </w:pPr>
  </w:style>
  <w:style w:type="paragraph" w:styleId="Index4">
    <w:name w:val="index 4"/>
    <w:basedOn w:val="Normal"/>
    <w:next w:val="Normal"/>
    <w:autoRedefine/>
    <w:rsid w:val="00C33290"/>
    <w:pPr>
      <w:ind w:left="960" w:hanging="240"/>
    </w:pPr>
  </w:style>
  <w:style w:type="paragraph" w:styleId="Index5">
    <w:name w:val="index 5"/>
    <w:basedOn w:val="Normal"/>
    <w:next w:val="Normal"/>
    <w:autoRedefine/>
    <w:rsid w:val="00C33290"/>
    <w:pPr>
      <w:ind w:left="1200" w:hanging="240"/>
    </w:pPr>
  </w:style>
  <w:style w:type="paragraph" w:styleId="Index6">
    <w:name w:val="index 6"/>
    <w:basedOn w:val="Normal"/>
    <w:next w:val="Normal"/>
    <w:autoRedefine/>
    <w:rsid w:val="00C33290"/>
    <w:pPr>
      <w:ind w:left="1440" w:hanging="240"/>
    </w:pPr>
  </w:style>
  <w:style w:type="paragraph" w:styleId="Index7">
    <w:name w:val="index 7"/>
    <w:basedOn w:val="Normal"/>
    <w:next w:val="Normal"/>
    <w:autoRedefine/>
    <w:rsid w:val="00C33290"/>
    <w:pPr>
      <w:ind w:left="1680" w:hanging="240"/>
    </w:pPr>
  </w:style>
  <w:style w:type="paragraph" w:styleId="Index8">
    <w:name w:val="index 8"/>
    <w:basedOn w:val="Normal"/>
    <w:next w:val="Normal"/>
    <w:autoRedefine/>
    <w:rsid w:val="00C33290"/>
    <w:pPr>
      <w:ind w:left="1920" w:hanging="240"/>
    </w:pPr>
  </w:style>
  <w:style w:type="paragraph" w:styleId="Index9">
    <w:name w:val="index 9"/>
    <w:basedOn w:val="Normal"/>
    <w:next w:val="Normal"/>
    <w:autoRedefine/>
    <w:rsid w:val="00C33290"/>
    <w:pPr>
      <w:ind w:left="2160" w:hanging="240"/>
    </w:pPr>
  </w:style>
  <w:style w:type="paragraph" w:styleId="IndexHeading">
    <w:name w:val="index heading"/>
    <w:basedOn w:val="Normal"/>
    <w:next w:val="Index1"/>
    <w:rsid w:val="00C33290"/>
    <w:rPr>
      <w:rFonts w:ascii="Arial" w:hAnsi="Arial" w:cs="Arial"/>
      <w:b/>
      <w:bCs/>
    </w:rPr>
  </w:style>
  <w:style w:type="paragraph" w:styleId="List">
    <w:name w:val="List"/>
    <w:basedOn w:val="Normal"/>
    <w:rsid w:val="00C33290"/>
    <w:pPr>
      <w:ind w:left="360" w:hanging="360"/>
    </w:pPr>
  </w:style>
  <w:style w:type="paragraph" w:styleId="List2">
    <w:name w:val="List 2"/>
    <w:basedOn w:val="Normal"/>
    <w:rsid w:val="00C33290"/>
    <w:pPr>
      <w:ind w:left="720" w:hanging="360"/>
    </w:pPr>
  </w:style>
  <w:style w:type="paragraph" w:styleId="List3">
    <w:name w:val="List 3"/>
    <w:basedOn w:val="Normal"/>
    <w:rsid w:val="00C33290"/>
    <w:pPr>
      <w:ind w:left="1080" w:hanging="360"/>
    </w:pPr>
  </w:style>
  <w:style w:type="paragraph" w:styleId="List4">
    <w:name w:val="List 4"/>
    <w:basedOn w:val="Normal"/>
    <w:rsid w:val="00C33290"/>
    <w:pPr>
      <w:ind w:left="1440" w:hanging="360"/>
    </w:pPr>
  </w:style>
  <w:style w:type="paragraph" w:styleId="List5">
    <w:name w:val="List 5"/>
    <w:basedOn w:val="Normal"/>
    <w:rsid w:val="00C33290"/>
    <w:pPr>
      <w:ind w:left="1800" w:hanging="360"/>
    </w:pPr>
  </w:style>
  <w:style w:type="paragraph" w:styleId="ListBullet">
    <w:name w:val="List Bullet"/>
    <w:basedOn w:val="Normal"/>
    <w:autoRedefine/>
    <w:rsid w:val="00C33290"/>
    <w:pPr>
      <w:tabs>
        <w:tab w:val="num" w:pos="360"/>
      </w:tabs>
      <w:ind w:left="360" w:hanging="360"/>
    </w:pPr>
  </w:style>
  <w:style w:type="paragraph" w:styleId="ListBullet2">
    <w:name w:val="List Bullet 2"/>
    <w:basedOn w:val="Normal"/>
    <w:autoRedefine/>
    <w:rsid w:val="00C33290"/>
    <w:pPr>
      <w:tabs>
        <w:tab w:val="num" w:pos="720"/>
      </w:tabs>
      <w:ind w:left="720" w:hanging="360"/>
    </w:pPr>
  </w:style>
  <w:style w:type="paragraph" w:styleId="ListBullet3">
    <w:name w:val="List Bullet 3"/>
    <w:basedOn w:val="Normal"/>
    <w:autoRedefine/>
    <w:rsid w:val="00C33290"/>
    <w:pPr>
      <w:tabs>
        <w:tab w:val="num" w:pos="1080"/>
      </w:tabs>
      <w:ind w:left="1080" w:hanging="360"/>
    </w:pPr>
  </w:style>
  <w:style w:type="paragraph" w:styleId="ListBullet4">
    <w:name w:val="List Bullet 4"/>
    <w:basedOn w:val="Normal"/>
    <w:autoRedefine/>
    <w:rsid w:val="00C33290"/>
    <w:pPr>
      <w:tabs>
        <w:tab w:val="num" w:pos="1440"/>
      </w:tabs>
      <w:ind w:left="1440" w:hanging="360"/>
    </w:pPr>
  </w:style>
  <w:style w:type="paragraph" w:styleId="ListBullet5">
    <w:name w:val="List Bullet 5"/>
    <w:basedOn w:val="Normal"/>
    <w:autoRedefine/>
    <w:rsid w:val="00C33290"/>
    <w:pPr>
      <w:tabs>
        <w:tab w:val="num" w:pos="1800"/>
      </w:tabs>
      <w:ind w:left="1800" w:hanging="360"/>
    </w:pPr>
  </w:style>
  <w:style w:type="paragraph" w:styleId="ListContinue">
    <w:name w:val="List Continue"/>
    <w:basedOn w:val="Normal"/>
    <w:rsid w:val="00C33290"/>
    <w:pPr>
      <w:spacing w:after="120"/>
      <w:ind w:left="360"/>
    </w:pPr>
  </w:style>
  <w:style w:type="paragraph" w:styleId="ListContinue2">
    <w:name w:val="List Continue 2"/>
    <w:basedOn w:val="Normal"/>
    <w:rsid w:val="00C33290"/>
    <w:pPr>
      <w:spacing w:after="120"/>
      <w:ind w:left="720"/>
    </w:pPr>
  </w:style>
  <w:style w:type="paragraph" w:styleId="ListContinue3">
    <w:name w:val="List Continue 3"/>
    <w:basedOn w:val="Normal"/>
    <w:rsid w:val="00C33290"/>
    <w:pPr>
      <w:spacing w:after="120"/>
      <w:ind w:left="1080"/>
    </w:pPr>
  </w:style>
  <w:style w:type="paragraph" w:styleId="ListContinue4">
    <w:name w:val="List Continue 4"/>
    <w:basedOn w:val="Normal"/>
    <w:rsid w:val="00C33290"/>
    <w:pPr>
      <w:spacing w:after="120"/>
      <w:ind w:left="1440"/>
    </w:pPr>
  </w:style>
  <w:style w:type="paragraph" w:styleId="ListContinue5">
    <w:name w:val="List Continue 5"/>
    <w:basedOn w:val="Normal"/>
    <w:rsid w:val="00C33290"/>
    <w:pPr>
      <w:spacing w:after="120"/>
      <w:ind w:left="1800"/>
    </w:pPr>
  </w:style>
  <w:style w:type="paragraph" w:styleId="ListNumber">
    <w:name w:val="List Number"/>
    <w:basedOn w:val="Normal"/>
    <w:rsid w:val="00C33290"/>
    <w:pPr>
      <w:tabs>
        <w:tab w:val="num" w:pos="360"/>
      </w:tabs>
      <w:ind w:left="360" w:hanging="360"/>
    </w:pPr>
  </w:style>
  <w:style w:type="paragraph" w:styleId="ListNumber2">
    <w:name w:val="List Number 2"/>
    <w:basedOn w:val="Normal"/>
    <w:rsid w:val="00C33290"/>
    <w:pPr>
      <w:tabs>
        <w:tab w:val="num" w:pos="720"/>
      </w:tabs>
      <w:ind w:left="720" w:hanging="360"/>
    </w:pPr>
  </w:style>
  <w:style w:type="paragraph" w:styleId="ListNumber3">
    <w:name w:val="List Number 3"/>
    <w:basedOn w:val="Normal"/>
    <w:rsid w:val="00C33290"/>
    <w:pPr>
      <w:tabs>
        <w:tab w:val="num" w:pos="1080"/>
      </w:tabs>
      <w:ind w:left="1080" w:hanging="360"/>
    </w:pPr>
  </w:style>
  <w:style w:type="paragraph" w:styleId="ListNumber4">
    <w:name w:val="List Number 4"/>
    <w:basedOn w:val="Normal"/>
    <w:rsid w:val="00C33290"/>
    <w:pPr>
      <w:tabs>
        <w:tab w:val="num" w:pos="1440"/>
      </w:tabs>
      <w:ind w:left="1440" w:hanging="360"/>
    </w:pPr>
  </w:style>
  <w:style w:type="paragraph" w:styleId="ListNumber5">
    <w:name w:val="List Number 5"/>
    <w:basedOn w:val="Normal"/>
    <w:rsid w:val="00C33290"/>
    <w:pPr>
      <w:tabs>
        <w:tab w:val="num" w:pos="1800"/>
      </w:tabs>
      <w:ind w:left="1800" w:hanging="360"/>
    </w:pPr>
  </w:style>
  <w:style w:type="paragraph" w:styleId="MacroText">
    <w:name w:val="macro"/>
    <w:link w:val="MacroTextChar"/>
    <w:rsid w:val="00C33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33290"/>
    <w:rPr>
      <w:rFonts w:ascii="Courier New" w:hAnsi="Courier New" w:cs="Courier New"/>
    </w:rPr>
  </w:style>
  <w:style w:type="paragraph" w:styleId="MessageHeader">
    <w:name w:val="Message Header"/>
    <w:basedOn w:val="Normal"/>
    <w:link w:val="MessageHeaderChar"/>
    <w:rsid w:val="00C332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33290"/>
    <w:rPr>
      <w:rFonts w:ascii="Arial" w:hAnsi="Arial" w:cs="Arial"/>
      <w:sz w:val="24"/>
      <w:szCs w:val="24"/>
      <w:shd w:val="pct20" w:color="auto" w:fill="auto"/>
    </w:rPr>
  </w:style>
  <w:style w:type="paragraph" w:styleId="NormalWeb">
    <w:name w:val="Normal (Web)"/>
    <w:basedOn w:val="Normal"/>
    <w:rsid w:val="00C33290"/>
  </w:style>
  <w:style w:type="paragraph" w:styleId="NormalIndent">
    <w:name w:val="Normal Indent"/>
    <w:basedOn w:val="Normal"/>
    <w:rsid w:val="00C33290"/>
    <w:pPr>
      <w:ind w:left="720"/>
    </w:pPr>
  </w:style>
  <w:style w:type="paragraph" w:styleId="NoteHeading">
    <w:name w:val="Note Heading"/>
    <w:basedOn w:val="Normal"/>
    <w:next w:val="Normal"/>
    <w:link w:val="NoteHeadingChar"/>
    <w:rsid w:val="00C33290"/>
  </w:style>
  <w:style w:type="character" w:customStyle="1" w:styleId="NoteHeadingChar">
    <w:name w:val="Note Heading Char"/>
    <w:basedOn w:val="DefaultParagraphFont"/>
    <w:link w:val="NoteHeading"/>
    <w:rsid w:val="00C33290"/>
    <w:rPr>
      <w:sz w:val="24"/>
      <w:szCs w:val="24"/>
    </w:rPr>
  </w:style>
  <w:style w:type="paragraph" w:styleId="PlainText">
    <w:name w:val="Plain Text"/>
    <w:basedOn w:val="Normal"/>
    <w:link w:val="PlainTextChar"/>
    <w:rsid w:val="00C33290"/>
    <w:rPr>
      <w:rFonts w:ascii="Courier New" w:hAnsi="Courier New" w:cs="Courier New"/>
      <w:sz w:val="20"/>
      <w:szCs w:val="20"/>
    </w:rPr>
  </w:style>
  <w:style w:type="character" w:customStyle="1" w:styleId="PlainTextChar">
    <w:name w:val="Plain Text Char"/>
    <w:basedOn w:val="DefaultParagraphFont"/>
    <w:link w:val="PlainText"/>
    <w:rsid w:val="00C33290"/>
    <w:rPr>
      <w:rFonts w:ascii="Courier New" w:hAnsi="Courier New" w:cs="Courier New"/>
    </w:rPr>
  </w:style>
  <w:style w:type="paragraph" w:styleId="Salutation">
    <w:name w:val="Salutation"/>
    <w:basedOn w:val="Normal"/>
    <w:next w:val="Normal"/>
    <w:link w:val="SalutationChar"/>
    <w:rsid w:val="00C33290"/>
  </w:style>
  <w:style w:type="character" w:customStyle="1" w:styleId="SalutationChar">
    <w:name w:val="Salutation Char"/>
    <w:basedOn w:val="DefaultParagraphFont"/>
    <w:link w:val="Salutation"/>
    <w:rsid w:val="00C33290"/>
    <w:rPr>
      <w:sz w:val="24"/>
      <w:szCs w:val="24"/>
    </w:rPr>
  </w:style>
  <w:style w:type="paragraph" w:styleId="Signature">
    <w:name w:val="Signature"/>
    <w:basedOn w:val="Normal"/>
    <w:link w:val="SignatureChar"/>
    <w:rsid w:val="00C33290"/>
    <w:pPr>
      <w:ind w:left="4320"/>
    </w:pPr>
  </w:style>
  <w:style w:type="character" w:customStyle="1" w:styleId="SignatureChar">
    <w:name w:val="Signature Char"/>
    <w:basedOn w:val="DefaultParagraphFont"/>
    <w:link w:val="Signature"/>
    <w:rsid w:val="00C33290"/>
    <w:rPr>
      <w:sz w:val="24"/>
      <w:szCs w:val="24"/>
    </w:rPr>
  </w:style>
  <w:style w:type="paragraph" w:styleId="Subtitle">
    <w:name w:val="Subtitle"/>
    <w:basedOn w:val="Normal"/>
    <w:link w:val="SubtitleChar"/>
    <w:qFormat/>
    <w:rsid w:val="00C33290"/>
    <w:pPr>
      <w:spacing w:after="60"/>
      <w:jc w:val="center"/>
      <w:outlineLvl w:val="1"/>
    </w:pPr>
    <w:rPr>
      <w:rFonts w:ascii="Arial" w:hAnsi="Arial" w:cs="Arial"/>
    </w:rPr>
  </w:style>
  <w:style w:type="character" w:customStyle="1" w:styleId="SubtitleChar">
    <w:name w:val="Subtitle Char"/>
    <w:basedOn w:val="DefaultParagraphFont"/>
    <w:link w:val="Subtitle"/>
    <w:rsid w:val="00C33290"/>
    <w:rPr>
      <w:rFonts w:ascii="Arial" w:hAnsi="Arial" w:cs="Arial"/>
      <w:sz w:val="24"/>
      <w:szCs w:val="24"/>
    </w:rPr>
  </w:style>
  <w:style w:type="paragraph" w:styleId="TableofAuthorities">
    <w:name w:val="table of authorities"/>
    <w:basedOn w:val="Normal"/>
    <w:next w:val="Normal"/>
    <w:rsid w:val="00C33290"/>
    <w:pPr>
      <w:ind w:left="240" w:hanging="240"/>
    </w:pPr>
  </w:style>
  <w:style w:type="paragraph" w:styleId="TableofFigures">
    <w:name w:val="table of figures"/>
    <w:basedOn w:val="Normal"/>
    <w:next w:val="Normal"/>
    <w:rsid w:val="00C33290"/>
    <w:pPr>
      <w:ind w:left="480" w:hanging="480"/>
    </w:pPr>
  </w:style>
  <w:style w:type="paragraph" w:styleId="Title">
    <w:name w:val="Title"/>
    <w:basedOn w:val="Normal"/>
    <w:link w:val="TitleChar"/>
    <w:qFormat/>
    <w:rsid w:val="00C3329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3290"/>
    <w:rPr>
      <w:rFonts w:ascii="Arial" w:hAnsi="Arial" w:cs="Arial"/>
      <w:b/>
      <w:bCs/>
      <w:kern w:val="28"/>
      <w:sz w:val="32"/>
      <w:szCs w:val="32"/>
    </w:rPr>
  </w:style>
  <w:style w:type="paragraph" w:styleId="TOAHeading">
    <w:name w:val="toa heading"/>
    <w:basedOn w:val="Normal"/>
    <w:next w:val="Normal"/>
    <w:rsid w:val="00C33290"/>
    <w:pPr>
      <w:spacing w:before="120"/>
    </w:pPr>
    <w:rPr>
      <w:rFonts w:ascii="Arial" w:hAnsi="Arial" w:cs="Arial"/>
      <w:b/>
      <w:bCs/>
    </w:rPr>
  </w:style>
  <w:style w:type="paragraph" w:styleId="TOC4">
    <w:name w:val="toc 4"/>
    <w:basedOn w:val="Normal"/>
    <w:next w:val="Normal"/>
    <w:autoRedefine/>
    <w:rsid w:val="00C33290"/>
    <w:pPr>
      <w:ind w:left="720"/>
    </w:pPr>
  </w:style>
  <w:style w:type="paragraph" w:styleId="TOC5">
    <w:name w:val="toc 5"/>
    <w:basedOn w:val="Normal"/>
    <w:next w:val="Normal"/>
    <w:autoRedefine/>
    <w:rsid w:val="00C33290"/>
    <w:pPr>
      <w:ind w:left="960"/>
    </w:pPr>
  </w:style>
  <w:style w:type="paragraph" w:styleId="TOC6">
    <w:name w:val="toc 6"/>
    <w:basedOn w:val="Normal"/>
    <w:next w:val="Normal"/>
    <w:autoRedefine/>
    <w:rsid w:val="00C33290"/>
    <w:pPr>
      <w:ind w:left="1200"/>
    </w:pPr>
  </w:style>
  <w:style w:type="paragraph" w:styleId="TOC9">
    <w:name w:val="toc 9"/>
    <w:basedOn w:val="TOC1"/>
    <w:next w:val="Normal"/>
    <w:autoRedefine/>
    <w:rsid w:val="00C33290"/>
    <w:pPr>
      <w:ind w:left="1728"/>
    </w:pPr>
    <w:rPr>
      <w:u w:val="single"/>
    </w:rPr>
  </w:style>
  <w:style w:type="paragraph" w:customStyle="1" w:styleId="MemoHeadingLabel">
    <w:name w:val="Memo Heading Label"/>
    <w:basedOn w:val="MemoHeading"/>
    <w:qFormat/>
    <w:rsid w:val="00C33290"/>
    <w:rPr>
      <w:rFonts w:ascii="Arial" w:hAnsi="Arial"/>
      <w:b/>
    </w:rPr>
  </w:style>
  <w:style w:type="paragraph" w:customStyle="1" w:styleId="First-LevelSubheading">
    <w:name w:val="First-Level Subheading"/>
    <w:basedOn w:val="IssueSubsectionHeading"/>
    <w:next w:val="BodyText"/>
    <w:qFormat/>
    <w:rsid w:val="00C33290"/>
    <w:pPr>
      <w:spacing w:after="0"/>
      <w:outlineLvl w:val="2"/>
    </w:pPr>
    <w:rPr>
      <w:i w:val="0"/>
    </w:rPr>
  </w:style>
  <w:style w:type="paragraph" w:customStyle="1" w:styleId="Second-LevelSubheading">
    <w:name w:val="Second-Level Subheading"/>
    <w:basedOn w:val="First-LevelSubheading"/>
    <w:next w:val="BodyText"/>
    <w:qFormat/>
    <w:rsid w:val="00C33290"/>
    <w:pPr>
      <w:ind w:left="720"/>
      <w:outlineLvl w:val="3"/>
    </w:pPr>
    <w:rPr>
      <w:i/>
    </w:rPr>
  </w:style>
  <w:style w:type="paragraph" w:customStyle="1" w:styleId="TableNumber">
    <w:name w:val="Table Number"/>
    <w:basedOn w:val="BodyText"/>
    <w:next w:val="BodyText"/>
    <w:qFormat/>
    <w:rsid w:val="00C33290"/>
    <w:pPr>
      <w:spacing w:before="480" w:after="0"/>
      <w:jc w:val="center"/>
    </w:pPr>
    <w:rPr>
      <w:rFonts w:ascii="Arial" w:hAnsi="Arial"/>
      <w:b/>
    </w:rPr>
  </w:style>
  <w:style w:type="paragraph" w:customStyle="1" w:styleId="TableTitle">
    <w:name w:val="Table Title"/>
    <w:basedOn w:val="BodyText"/>
    <w:next w:val="BodyText"/>
    <w:qFormat/>
    <w:rsid w:val="00C33290"/>
    <w:pPr>
      <w:spacing w:after="0"/>
      <w:jc w:val="center"/>
    </w:pPr>
    <w:rPr>
      <w:rFonts w:ascii="Arial" w:hAnsi="Arial"/>
      <w:b/>
    </w:rPr>
  </w:style>
  <w:style w:type="paragraph" w:customStyle="1" w:styleId="TableSource">
    <w:name w:val="Table Source"/>
    <w:basedOn w:val="BodyText"/>
    <w:next w:val="BodyText"/>
    <w:qFormat/>
    <w:rsid w:val="00C33290"/>
    <w:pPr>
      <w:spacing w:after="480"/>
      <w:jc w:val="both"/>
    </w:pPr>
  </w:style>
  <w:style w:type="paragraph" w:customStyle="1" w:styleId="PartyName">
    <w:name w:val="Party Name"/>
    <w:basedOn w:val="IssueSubsectionHeading"/>
    <w:next w:val="BodyText"/>
    <w:qFormat/>
    <w:rsid w:val="00C33290"/>
    <w:rPr>
      <w:i w:val="0"/>
    </w:rPr>
  </w:style>
  <w:style w:type="paragraph" w:customStyle="1" w:styleId="Third-LevelSubheading">
    <w:name w:val="Third-Level Subheading"/>
    <w:basedOn w:val="Second-LevelSubheading"/>
    <w:next w:val="BodyText"/>
    <w:qFormat/>
    <w:rsid w:val="00C33290"/>
    <w:pPr>
      <w:ind w:left="1440"/>
      <w:outlineLvl w:val="4"/>
    </w:pPr>
  </w:style>
  <w:style w:type="paragraph" w:styleId="ListParagraph">
    <w:name w:val="List Paragraph"/>
    <w:basedOn w:val="Normal"/>
    <w:uiPriority w:val="34"/>
    <w:qFormat/>
    <w:rsid w:val="00C33290"/>
    <w:pPr>
      <w:ind w:left="720"/>
      <w:contextualSpacing/>
    </w:pPr>
  </w:style>
  <w:style w:type="table" w:customStyle="1" w:styleId="TableMasthead">
    <w:name w:val="Table Masthead"/>
    <w:basedOn w:val="TableGrid"/>
    <w:rsid w:val="00D20C4A"/>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basedOn w:val="DefaultParagraphFont"/>
    <w:link w:val="FootnoteText"/>
    <w:rsid w:val="00E3198A"/>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C33290"/>
    <w:pPr>
      <w:spacing w:before="120"/>
      <w:ind w:left="1008" w:hanging="1008"/>
      <w:jc w:val="both"/>
    </w:pPr>
  </w:style>
  <w:style w:type="paragraph" w:customStyle="1" w:styleId="MastHeadPSC">
    <w:name w:val="MastHead PSC"/>
    <w:basedOn w:val="Normal"/>
    <w:next w:val="Normal"/>
    <w:rsid w:val="00C33290"/>
    <w:pPr>
      <w:jc w:val="center"/>
    </w:pPr>
    <w:rPr>
      <w:b/>
      <w:sz w:val="48"/>
      <w:szCs w:val="48"/>
    </w:rPr>
  </w:style>
  <w:style w:type="paragraph" w:customStyle="1" w:styleId="MastHeadMemorandum">
    <w:name w:val="MastHead Memorandum"/>
    <w:basedOn w:val="Normal"/>
    <w:next w:val="Normal"/>
    <w:rsid w:val="00C33290"/>
    <w:pPr>
      <w:jc w:val="center"/>
    </w:pPr>
    <w:rPr>
      <w:b/>
      <w:sz w:val="28"/>
      <w:szCs w:val="28"/>
    </w:rPr>
  </w:style>
  <w:style w:type="paragraph" w:customStyle="1" w:styleId="MastHeadAddress">
    <w:name w:val="MastHead Address"/>
    <w:basedOn w:val="Normal"/>
    <w:next w:val="Normal"/>
    <w:rsid w:val="00C33290"/>
    <w:pPr>
      <w:spacing w:after="200"/>
      <w:jc w:val="center"/>
    </w:pPr>
    <w:rPr>
      <w:b/>
      <w:smallCaps/>
      <w:sz w:val="20"/>
      <w:szCs w:val="20"/>
    </w:rPr>
  </w:style>
  <w:style w:type="paragraph" w:customStyle="1" w:styleId="MastHeadState">
    <w:name w:val="MastHead State"/>
    <w:basedOn w:val="Normal"/>
    <w:next w:val="Normal"/>
    <w:rsid w:val="00C33290"/>
    <w:pPr>
      <w:jc w:val="center"/>
    </w:pPr>
    <w:rPr>
      <w:b/>
      <w:sz w:val="28"/>
      <w:szCs w:val="28"/>
    </w:rPr>
  </w:style>
  <w:style w:type="paragraph" w:customStyle="1" w:styleId="MemoHeading">
    <w:name w:val="Memo Heading"/>
    <w:basedOn w:val="Normal"/>
    <w:next w:val="Normal"/>
    <w:rsid w:val="00C33290"/>
    <w:pPr>
      <w:jc w:val="both"/>
    </w:pPr>
  </w:style>
  <w:style w:type="paragraph" w:customStyle="1" w:styleId="BlockText5">
    <w:name w:val="Block Text .5&quot;"/>
    <w:basedOn w:val="Normal"/>
    <w:rsid w:val="00C33290"/>
    <w:pPr>
      <w:spacing w:after="120"/>
      <w:ind w:left="720" w:right="720"/>
    </w:pPr>
  </w:style>
  <w:style w:type="paragraph" w:customStyle="1" w:styleId="BlockText1">
    <w:name w:val="Block Text 1&quot;"/>
    <w:basedOn w:val="Normal"/>
    <w:rsid w:val="00C33290"/>
    <w:pPr>
      <w:spacing w:after="120"/>
      <w:ind w:left="1440" w:right="1440"/>
    </w:pPr>
  </w:style>
  <w:style w:type="paragraph" w:customStyle="1" w:styleId="BlockText15">
    <w:name w:val="Block Text 1.5&quot;"/>
    <w:basedOn w:val="Normal"/>
    <w:rsid w:val="00C33290"/>
    <w:pPr>
      <w:spacing w:after="120"/>
      <w:ind w:left="2160" w:right="2160"/>
    </w:pPr>
  </w:style>
  <w:style w:type="paragraph" w:customStyle="1" w:styleId="IssueHeading">
    <w:name w:val="Issue Heading"/>
    <w:basedOn w:val="Heading1"/>
    <w:next w:val="BodyText"/>
    <w:link w:val="IssueHeadingChar"/>
    <w:qFormat/>
    <w:rsid w:val="00C33290"/>
    <w:pPr>
      <w:keepNext w:val="0"/>
    </w:pPr>
    <w:rPr>
      <w:rFonts w:ascii="Arial" w:hAnsi="Arial"/>
      <w:b/>
      <w:i/>
    </w:rPr>
  </w:style>
  <w:style w:type="character" w:customStyle="1" w:styleId="IssueHeadingChar">
    <w:name w:val="Issue Heading Char"/>
    <w:link w:val="IssueHeading"/>
    <w:rsid w:val="00C33290"/>
    <w:rPr>
      <w:rFonts w:ascii="Arial" w:hAnsi="Arial" w:cs="Arial"/>
      <w:b/>
      <w:bCs/>
      <w:i/>
      <w:kern w:val="32"/>
      <w:sz w:val="24"/>
      <w:szCs w:val="32"/>
    </w:rPr>
  </w:style>
  <w:style w:type="paragraph" w:customStyle="1" w:styleId="MemoHeadingRe">
    <w:name w:val="Memo Heading Re"/>
    <w:basedOn w:val="MemoHeading"/>
    <w:rsid w:val="00C33290"/>
    <w:pPr>
      <w:tabs>
        <w:tab w:val="left" w:pos="2520"/>
        <w:tab w:val="left" w:pos="2736"/>
      </w:tabs>
    </w:pPr>
  </w:style>
  <w:style w:type="paragraph" w:styleId="TOC1">
    <w:name w:val="toc 1"/>
    <w:basedOn w:val="Normal"/>
    <w:next w:val="Normal"/>
    <w:uiPriority w:val="39"/>
    <w:rsid w:val="00C33290"/>
    <w:pPr>
      <w:tabs>
        <w:tab w:val="left" w:pos="864"/>
        <w:tab w:val="right" w:leader="dot" w:pos="9360"/>
      </w:tabs>
      <w:spacing w:line="360" w:lineRule="auto"/>
      <w:ind w:left="864" w:right="360" w:hanging="864"/>
    </w:pPr>
  </w:style>
  <w:style w:type="character" w:styleId="Hyperlink">
    <w:name w:val="Hyperlink"/>
    <w:uiPriority w:val="99"/>
    <w:rsid w:val="00C33290"/>
    <w:rPr>
      <w:color w:val="0000FF"/>
      <w:u w:val="single"/>
    </w:rPr>
  </w:style>
  <w:style w:type="paragraph" w:customStyle="1" w:styleId="RecommendationMajorSectionHeading">
    <w:name w:val="Recommendation Major Section Heading"/>
    <w:basedOn w:val="Heading1"/>
    <w:next w:val="BodyText"/>
    <w:rsid w:val="00C3329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33290"/>
    <w:pPr>
      <w:keepNext w:val="0"/>
    </w:pPr>
    <w:rPr>
      <w:rFonts w:ascii="Arial" w:hAnsi="Arial"/>
      <w:b/>
      <w:i/>
    </w:rPr>
  </w:style>
  <w:style w:type="character" w:customStyle="1" w:styleId="IssueSubsectionHeadingChar">
    <w:name w:val="Issue Subsection Heading Char"/>
    <w:link w:val="IssueSubsectionHeading"/>
    <w:rsid w:val="00C33290"/>
    <w:rPr>
      <w:rFonts w:ascii="Arial" w:hAnsi="Arial" w:cs="Arial"/>
      <w:b/>
      <w:bCs/>
      <w:i/>
      <w:iCs/>
      <w:sz w:val="24"/>
      <w:szCs w:val="28"/>
    </w:rPr>
  </w:style>
  <w:style w:type="paragraph" w:customStyle="1" w:styleId="RecommendationHeading">
    <w:name w:val="Recommendation Heading"/>
    <w:basedOn w:val="Heading1"/>
    <w:next w:val="BodyText"/>
    <w:rsid w:val="00C33290"/>
    <w:pPr>
      <w:keepNext w:val="0"/>
      <w:jc w:val="center"/>
    </w:pPr>
    <w:rPr>
      <w:b/>
      <w:u w:val="single"/>
    </w:rPr>
  </w:style>
  <w:style w:type="paragraph" w:customStyle="1" w:styleId="DiscussionofIssues">
    <w:name w:val="Discussion of Issues"/>
    <w:basedOn w:val="RecommendationMajorSectionHeading"/>
    <w:next w:val="BodyText"/>
    <w:rsid w:val="00C33290"/>
    <w:pPr>
      <w:spacing w:after="0"/>
    </w:pPr>
  </w:style>
  <w:style w:type="paragraph" w:customStyle="1" w:styleId="TOCColumnHeadings">
    <w:name w:val="TOC Column Headings"/>
    <w:basedOn w:val="Normal"/>
    <w:rsid w:val="00C33290"/>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C33290"/>
    <w:pPr>
      <w:keepNext w:val="0"/>
      <w:spacing w:before="240"/>
    </w:pPr>
    <w:rPr>
      <w:b/>
      <w:u w:val="single"/>
    </w:rPr>
  </w:style>
  <w:style w:type="character" w:customStyle="1" w:styleId="StyleHeading1BoldUnderlineChar">
    <w:name w:val="Style Heading 1 + Bold Underline Char"/>
    <w:link w:val="StyleHeading1BoldUnderline"/>
    <w:rsid w:val="00C33290"/>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33290"/>
    <w:pPr>
      <w:jc w:val="left"/>
    </w:pPr>
  </w:style>
  <w:style w:type="paragraph" w:styleId="TOC3">
    <w:name w:val="toc 3"/>
    <w:basedOn w:val="TOC2"/>
    <w:next w:val="Normal"/>
    <w:rsid w:val="00C33290"/>
    <w:pPr>
      <w:tabs>
        <w:tab w:val="clear" w:pos="1152"/>
        <w:tab w:val="left" w:pos="1584"/>
      </w:tabs>
      <w:ind w:left="1584" w:hanging="432"/>
    </w:pPr>
  </w:style>
  <w:style w:type="paragraph" w:styleId="TOC2">
    <w:name w:val="toc 2"/>
    <w:basedOn w:val="TOC1"/>
    <w:next w:val="Normal"/>
    <w:rsid w:val="00C33290"/>
    <w:pPr>
      <w:tabs>
        <w:tab w:val="clear" w:pos="864"/>
        <w:tab w:val="left" w:pos="1152"/>
      </w:tabs>
      <w:ind w:left="1152" w:hanging="288"/>
    </w:pPr>
  </w:style>
  <w:style w:type="paragraph" w:styleId="DocumentMap">
    <w:name w:val="Document Map"/>
    <w:basedOn w:val="Normal"/>
    <w:link w:val="DocumentMapChar"/>
    <w:rsid w:val="00C33290"/>
    <w:pPr>
      <w:shd w:val="clear" w:color="auto" w:fill="000080"/>
    </w:pPr>
    <w:rPr>
      <w:rFonts w:ascii="Tahoma" w:hAnsi="Tahoma" w:cs="Tahoma"/>
    </w:rPr>
  </w:style>
  <w:style w:type="character" w:customStyle="1" w:styleId="DocumentMapChar">
    <w:name w:val="Document Map Char"/>
    <w:basedOn w:val="DefaultParagraphFont"/>
    <w:link w:val="DocumentMap"/>
    <w:rsid w:val="00C33290"/>
    <w:rPr>
      <w:rFonts w:ascii="Tahoma" w:hAnsi="Tahoma" w:cs="Tahoma"/>
      <w:sz w:val="24"/>
      <w:szCs w:val="24"/>
      <w:shd w:val="clear" w:color="auto" w:fill="000080"/>
    </w:rPr>
  </w:style>
  <w:style w:type="paragraph" w:styleId="BalloonText">
    <w:name w:val="Balloon Text"/>
    <w:basedOn w:val="Normal"/>
    <w:link w:val="BalloonTextChar"/>
    <w:rsid w:val="00C33290"/>
    <w:rPr>
      <w:rFonts w:ascii="Tahoma" w:hAnsi="Tahoma" w:cs="Tahoma"/>
      <w:sz w:val="16"/>
      <w:szCs w:val="16"/>
    </w:rPr>
  </w:style>
  <w:style w:type="character" w:customStyle="1" w:styleId="BalloonTextChar">
    <w:name w:val="Balloon Text Char"/>
    <w:basedOn w:val="DefaultParagraphFont"/>
    <w:link w:val="BalloonText"/>
    <w:rsid w:val="00C33290"/>
    <w:rPr>
      <w:rFonts w:ascii="Tahoma" w:hAnsi="Tahoma" w:cs="Tahoma"/>
      <w:sz w:val="16"/>
      <w:szCs w:val="16"/>
    </w:rPr>
  </w:style>
  <w:style w:type="paragraph" w:styleId="BlockText">
    <w:name w:val="Block Text"/>
    <w:basedOn w:val="Normal"/>
    <w:rsid w:val="00C33290"/>
    <w:pPr>
      <w:spacing w:after="120"/>
      <w:ind w:left="1440" w:right="1440"/>
    </w:pPr>
  </w:style>
  <w:style w:type="paragraph" w:styleId="BodyText2">
    <w:name w:val="Body Text 2"/>
    <w:basedOn w:val="Normal"/>
    <w:link w:val="BodyText2Char"/>
    <w:rsid w:val="00C33290"/>
    <w:pPr>
      <w:spacing w:after="120" w:line="480" w:lineRule="auto"/>
    </w:pPr>
  </w:style>
  <w:style w:type="character" w:customStyle="1" w:styleId="BodyText2Char">
    <w:name w:val="Body Text 2 Char"/>
    <w:basedOn w:val="DefaultParagraphFont"/>
    <w:link w:val="BodyText2"/>
    <w:rsid w:val="00C33290"/>
    <w:rPr>
      <w:sz w:val="24"/>
      <w:szCs w:val="24"/>
    </w:rPr>
  </w:style>
  <w:style w:type="paragraph" w:styleId="BodyText3">
    <w:name w:val="Body Text 3"/>
    <w:basedOn w:val="Normal"/>
    <w:link w:val="BodyText3Char"/>
    <w:rsid w:val="00C33290"/>
    <w:pPr>
      <w:spacing w:after="120"/>
    </w:pPr>
    <w:rPr>
      <w:sz w:val="16"/>
      <w:szCs w:val="16"/>
    </w:rPr>
  </w:style>
  <w:style w:type="character" w:customStyle="1" w:styleId="BodyText3Char">
    <w:name w:val="Body Text 3 Char"/>
    <w:basedOn w:val="DefaultParagraphFont"/>
    <w:link w:val="BodyText3"/>
    <w:rsid w:val="00C33290"/>
    <w:rPr>
      <w:sz w:val="16"/>
      <w:szCs w:val="16"/>
    </w:rPr>
  </w:style>
  <w:style w:type="paragraph" w:styleId="BodyTextFirstIndent">
    <w:name w:val="Body Text First Indent"/>
    <w:basedOn w:val="BodyText"/>
    <w:link w:val="BodyTextFirstIndentChar"/>
    <w:rsid w:val="00C33290"/>
    <w:pPr>
      <w:ind w:firstLine="210"/>
    </w:pPr>
  </w:style>
  <w:style w:type="character" w:customStyle="1" w:styleId="BodyTextFirstIndentChar">
    <w:name w:val="Body Text First Indent Char"/>
    <w:basedOn w:val="BodyTextChar"/>
    <w:link w:val="BodyTextFirstIndent"/>
    <w:rsid w:val="00C33290"/>
    <w:rPr>
      <w:sz w:val="24"/>
      <w:szCs w:val="24"/>
    </w:rPr>
  </w:style>
  <w:style w:type="paragraph" w:styleId="BodyTextIndent">
    <w:name w:val="Body Text Indent"/>
    <w:basedOn w:val="Normal"/>
    <w:link w:val="BodyTextIndentChar"/>
    <w:rsid w:val="00C33290"/>
    <w:pPr>
      <w:spacing w:after="120"/>
      <w:ind w:left="360"/>
    </w:pPr>
  </w:style>
  <w:style w:type="character" w:customStyle="1" w:styleId="BodyTextIndentChar">
    <w:name w:val="Body Text Indent Char"/>
    <w:basedOn w:val="DefaultParagraphFont"/>
    <w:link w:val="BodyTextIndent"/>
    <w:rsid w:val="00C33290"/>
    <w:rPr>
      <w:sz w:val="24"/>
      <w:szCs w:val="24"/>
    </w:rPr>
  </w:style>
  <w:style w:type="paragraph" w:styleId="BodyTextFirstIndent2">
    <w:name w:val="Body Text First Indent 2"/>
    <w:basedOn w:val="BodyTextIndent"/>
    <w:link w:val="BodyTextFirstIndent2Char"/>
    <w:rsid w:val="00C33290"/>
    <w:pPr>
      <w:ind w:firstLine="210"/>
    </w:pPr>
  </w:style>
  <w:style w:type="character" w:customStyle="1" w:styleId="BodyTextFirstIndent2Char">
    <w:name w:val="Body Text First Indent 2 Char"/>
    <w:basedOn w:val="BodyTextIndentChar"/>
    <w:link w:val="BodyTextFirstIndent2"/>
    <w:rsid w:val="00C33290"/>
    <w:rPr>
      <w:sz w:val="24"/>
      <w:szCs w:val="24"/>
    </w:rPr>
  </w:style>
  <w:style w:type="paragraph" w:styleId="BodyTextIndent2">
    <w:name w:val="Body Text Indent 2"/>
    <w:basedOn w:val="Normal"/>
    <w:link w:val="BodyTextIndent2Char"/>
    <w:rsid w:val="00C33290"/>
    <w:pPr>
      <w:spacing w:after="120" w:line="480" w:lineRule="auto"/>
      <w:ind w:left="360"/>
    </w:pPr>
  </w:style>
  <w:style w:type="character" w:customStyle="1" w:styleId="BodyTextIndent2Char">
    <w:name w:val="Body Text Indent 2 Char"/>
    <w:basedOn w:val="DefaultParagraphFont"/>
    <w:link w:val="BodyTextIndent2"/>
    <w:rsid w:val="00C33290"/>
    <w:rPr>
      <w:sz w:val="24"/>
      <w:szCs w:val="24"/>
    </w:rPr>
  </w:style>
  <w:style w:type="paragraph" w:styleId="BodyTextIndent3">
    <w:name w:val="Body Text Indent 3"/>
    <w:basedOn w:val="Normal"/>
    <w:link w:val="BodyTextIndent3Char"/>
    <w:rsid w:val="00C33290"/>
    <w:pPr>
      <w:spacing w:after="120"/>
      <w:ind w:left="360"/>
    </w:pPr>
    <w:rPr>
      <w:sz w:val="16"/>
      <w:szCs w:val="16"/>
    </w:rPr>
  </w:style>
  <w:style w:type="character" w:customStyle="1" w:styleId="BodyTextIndent3Char">
    <w:name w:val="Body Text Indent 3 Char"/>
    <w:basedOn w:val="DefaultParagraphFont"/>
    <w:link w:val="BodyTextIndent3"/>
    <w:rsid w:val="00C33290"/>
    <w:rPr>
      <w:sz w:val="16"/>
      <w:szCs w:val="16"/>
    </w:rPr>
  </w:style>
  <w:style w:type="paragraph" w:styleId="Caption">
    <w:name w:val="caption"/>
    <w:basedOn w:val="Normal"/>
    <w:next w:val="Normal"/>
    <w:qFormat/>
    <w:rsid w:val="00C33290"/>
    <w:pPr>
      <w:spacing w:before="120" w:after="120"/>
    </w:pPr>
    <w:rPr>
      <w:b/>
      <w:bCs/>
      <w:sz w:val="20"/>
      <w:szCs w:val="20"/>
    </w:rPr>
  </w:style>
  <w:style w:type="paragraph" w:styleId="Closing">
    <w:name w:val="Closing"/>
    <w:basedOn w:val="Normal"/>
    <w:link w:val="ClosingChar"/>
    <w:rsid w:val="00C33290"/>
    <w:pPr>
      <w:ind w:left="4320"/>
    </w:pPr>
  </w:style>
  <w:style w:type="character" w:customStyle="1" w:styleId="ClosingChar">
    <w:name w:val="Closing Char"/>
    <w:basedOn w:val="DefaultParagraphFont"/>
    <w:link w:val="Closing"/>
    <w:rsid w:val="00C33290"/>
    <w:rPr>
      <w:sz w:val="24"/>
      <w:szCs w:val="24"/>
    </w:rPr>
  </w:style>
  <w:style w:type="paragraph" w:styleId="CommentText">
    <w:name w:val="annotation text"/>
    <w:basedOn w:val="Normal"/>
    <w:link w:val="CommentTextChar"/>
    <w:rsid w:val="00C33290"/>
    <w:rPr>
      <w:sz w:val="20"/>
      <w:szCs w:val="20"/>
    </w:rPr>
  </w:style>
  <w:style w:type="character" w:customStyle="1" w:styleId="CommentTextChar">
    <w:name w:val="Comment Text Char"/>
    <w:basedOn w:val="DefaultParagraphFont"/>
    <w:link w:val="CommentText"/>
    <w:rsid w:val="00C33290"/>
  </w:style>
  <w:style w:type="paragraph" w:styleId="CommentSubject">
    <w:name w:val="annotation subject"/>
    <w:basedOn w:val="CommentText"/>
    <w:next w:val="CommentText"/>
    <w:link w:val="CommentSubjectChar"/>
    <w:rsid w:val="00C33290"/>
    <w:rPr>
      <w:b/>
      <w:bCs/>
    </w:rPr>
  </w:style>
  <w:style w:type="character" w:customStyle="1" w:styleId="CommentSubjectChar">
    <w:name w:val="Comment Subject Char"/>
    <w:basedOn w:val="CommentTextChar"/>
    <w:link w:val="CommentSubject"/>
    <w:rsid w:val="00C33290"/>
    <w:rPr>
      <w:b/>
      <w:bCs/>
    </w:rPr>
  </w:style>
  <w:style w:type="paragraph" w:styleId="Date">
    <w:name w:val="Date"/>
    <w:basedOn w:val="Normal"/>
    <w:next w:val="Normal"/>
    <w:link w:val="DateChar"/>
    <w:rsid w:val="00C33290"/>
  </w:style>
  <w:style w:type="character" w:customStyle="1" w:styleId="DateChar">
    <w:name w:val="Date Char"/>
    <w:basedOn w:val="DefaultParagraphFont"/>
    <w:link w:val="Date"/>
    <w:rsid w:val="00C33290"/>
    <w:rPr>
      <w:sz w:val="24"/>
      <w:szCs w:val="24"/>
    </w:rPr>
  </w:style>
  <w:style w:type="paragraph" w:styleId="E-mailSignature">
    <w:name w:val="E-mail Signature"/>
    <w:basedOn w:val="Normal"/>
    <w:link w:val="E-mailSignatureChar"/>
    <w:rsid w:val="00C33290"/>
  </w:style>
  <w:style w:type="character" w:customStyle="1" w:styleId="E-mailSignatureChar">
    <w:name w:val="E-mail Signature Char"/>
    <w:basedOn w:val="DefaultParagraphFont"/>
    <w:link w:val="E-mailSignature"/>
    <w:rsid w:val="00C33290"/>
    <w:rPr>
      <w:sz w:val="24"/>
      <w:szCs w:val="24"/>
    </w:rPr>
  </w:style>
  <w:style w:type="paragraph" w:styleId="EndnoteText">
    <w:name w:val="endnote text"/>
    <w:basedOn w:val="Normal"/>
    <w:link w:val="EndnoteTextChar"/>
    <w:rsid w:val="00C33290"/>
    <w:rPr>
      <w:sz w:val="20"/>
      <w:szCs w:val="20"/>
    </w:rPr>
  </w:style>
  <w:style w:type="character" w:customStyle="1" w:styleId="EndnoteTextChar">
    <w:name w:val="Endnote Text Char"/>
    <w:basedOn w:val="DefaultParagraphFont"/>
    <w:link w:val="EndnoteText"/>
    <w:rsid w:val="00C33290"/>
  </w:style>
  <w:style w:type="paragraph" w:styleId="EnvelopeAddress">
    <w:name w:val="envelope address"/>
    <w:basedOn w:val="Normal"/>
    <w:rsid w:val="00C332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3290"/>
    <w:rPr>
      <w:rFonts w:ascii="Arial" w:hAnsi="Arial" w:cs="Arial"/>
      <w:sz w:val="20"/>
      <w:szCs w:val="20"/>
    </w:rPr>
  </w:style>
  <w:style w:type="paragraph" w:styleId="HTMLAddress">
    <w:name w:val="HTML Address"/>
    <w:basedOn w:val="Normal"/>
    <w:link w:val="HTMLAddressChar"/>
    <w:rsid w:val="00C33290"/>
    <w:rPr>
      <w:i/>
      <w:iCs/>
    </w:rPr>
  </w:style>
  <w:style w:type="character" w:customStyle="1" w:styleId="HTMLAddressChar">
    <w:name w:val="HTML Address Char"/>
    <w:basedOn w:val="DefaultParagraphFont"/>
    <w:link w:val="HTMLAddress"/>
    <w:rsid w:val="00C33290"/>
    <w:rPr>
      <w:i/>
      <w:iCs/>
      <w:sz w:val="24"/>
      <w:szCs w:val="24"/>
    </w:rPr>
  </w:style>
  <w:style w:type="paragraph" w:styleId="HTMLPreformatted">
    <w:name w:val="HTML Preformatted"/>
    <w:basedOn w:val="Normal"/>
    <w:link w:val="HTMLPreformattedChar"/>
    <w:rsid w:val="00C33290"/>
    <w:rPr>
      <w:rFonts w:ascii="Courier New" w:hAnsi="Courier New" w:cs="Courier New"/>
      <w:sz w:val="20"/>
      <w:szCs w:val="20"/>
    </w:rPr>
  </w:style>
  <w:style w:type="character" w:customStyle="1" w:styleId="HTMLPreformattedChar">
    <w:name w:val="HTML Preformatted Char"/>
    <w:basedOn w:val="DefaultParagraphFont"/>
    <w:link w:val="HTMLPreformatted"/>
    <w:rsid w:val="00C33290"/>
    <w:rPr>
      <w:rFonts w:ascii="Courier New" w:hAnsi="Courier New" w:cs="Courier New"/>
    </w:rPr>
  </w:style>
  <w:style w:type="paragraph" w:styleId="Index1">
    <w:name w:val="index 1"/>
    <w:basedOn w:val="Normal"/>
    <w:next w:val="Normal"/>
    <w:autoRedefine/>
    <w:rsid w:val="00C33290"/>
    <w:pPr>
      <w:ind w:left="240" w:hanging="240"/>
    </w:pPr>
  </w:style>
  <w:style w:type="paragraph" w:styleId="Index2">
    <w:name w:val="index 2"/>
    <w:basedOn w:val="Normal"/>
    <w:next w:val="Normal"/>
    <w:autoRedefine/>
    <w:rsid w:val="00C33290"/>
    <w:pPr>
      <w:ind w:left="480" w:hanging="240"/>
    </w:pPr>
  </w:style>
  <w:style w:type="paragraph" w:styleId="Index3">
    <w:name w:val="index 3"/>
    <w:basedOn w:val="Normal"/>
    <w:next w:val="Normal"/>
    <w:autoRedefine/>
    <w:rsid w:val="00C33290"/>
    <w:pPr>
      <w:ind w:left="720" w:hanging="240"/>
    </w:pPr>
  </w:style>
  <w:style w:type="paragraph" w:styleId="Index4">
    <w:name w:val="index 4"/>
    <w:basedOn w:val="Normal"/>
    <w:next w:val="Normal"/>
    <w:autoRedefine/>
    <w:rsid w:val="00C33290"/>
    <w:pPr>
      <w:ind w:left="960" w:hanging="240"/>
    </w:pPr>
  </w:style>
  <w:style w:type="paragraph" w:styleId="Index5">
    <w:name w:val="index 5"/>
    <w:basedOn w:val="Normal"/>
    <w:next w:val="Normal"/>
    <w:autoRedefine/>
    <w:rsid w:val="00C33290"/>
    <w:pPr>
      <w:ind w:left="1200" w:hanging="240"/>
    </w:pPr>
  </w:style>
  <w:style w:type="paragraph" w:styleId="Index6">
    <w:name w:val="index 6"/>
    <w:basedOn w:val="Normal"/>
    <w:next w:val="Normal"/>
    <w:autoRedefine/>
    <w:rsid w:val="00C33290"/>
    <w:pPr>
      <w:ind w:left="1440" w:hanging="240"/>
    </w:pPr>
  </w:style>
  <w:style w:type="paragraph" w:styleId="Index7">
    <w:name w:val="index 7"/>
    <w:basedOn w:val="Normal"/>
    <w:next w:val="Normal"/>
    <w:autoRedefine/>
    <w:rsid w:val="00C33290"/>
    <w:pPr>
      <w:ind w:left="1680" w:hanging="240"/>
    </w:pPr>
  </w:style>
  <w:style w:type="paragraph" w:styleId="Index8">
    <w:name w:val="index 8"/>
    <w:basedOn w:val="Normal"/>
    <w:next w:val="Normal"/>
    <w:autoRedefine/>
    <w:rsid w:val="00C33290"/>
    <w:pPr>
      <w:ind w:left="1920" w:hanging="240"/>
    </w:pPr>
  </w:style>
  <w:style w:type="paragraph" w:styleId="Index9">
    <w:name w:val="index 9"/>
    <w:basedOn w:val="Normal"/>
    <w:next w:val="Normal"/>
    <w:autoRedefine/>
    <w:rsid w:val="00C33290"/>
    <w:pPr>
      <w:ind w:left="2160" w:hanging="240"/>
    </w:pPr>
  </w:style>
  <w:style w:type="paragraph" w:styleId="IndexHeading">
    <w:name w:val="index heading"/>
    <w:basedOn w:val="Normal"/>
    <w:next w:val="Index1"/>
    <w:rsid w:val="00C33290"/>
    <w:rPr>
      <w:rFonts w:ascii="Arial" w:hAnsi="Arial" w:cs="Arial"/>
      <w:b/>
      <w:bCs/>
    </w:rPr>
  </w:style>
  <w:style w:type="paragraph" w:styleId="List">
    <w:name w:val="List"/>
    <w:basedOn w:val="Normal"/>
    <w:rsid w:val="00C33290"/>
    <w:pPr>
      <w:ind w:left="360" w:hanging="360"/>
    </w:pPr>
  </w:style>
  <w:style w:type="paragraph" w:styleId="List2">
    <w:name w:val="List 2"/>
    <w:basedOn w:val="Normal"/>
    <w:rsid w:val="00C33290"/>
    <w:pPr>
      <w:ind w:left="720" w:hanging="360"/>
    </w:pPr>
  </w:style>
  <w:style w:type="paragraph" w:styleId="List3">
    <w:name w:val="List 3"/>
    <w:basedOn w:val="Normal"/>
    <w:rsid w:val="00C33290"/>
    <w:pPr>
      <w:ind w:left="1080" w:hanging="360"/>
    </w:pPr>
  </w:style>
  <w:style w:type="paragraph" w:styleId="List4">
    <w:name w:val="List 4"/>
    <w:basedOn w:val="Normal"/>
    <w:rsid w:val="00C33290"/>
    <w:pPr>
      <w:ind w:left="1440" w:hanging="360"/>
    </w:pPr>
  </w:style>
  <w:style w:type="paragraph" w:styleId="List5">
    <w:name w:val="List 5"/>
    <w:basedOn w:val="Normal"/>
    <w:rsid w:val="00C33290"/>
    <w:pPr>
      <w:ind w:left="1800" w:hanging="360"/>
    </w:pPr>
  </w:style>
  <w:style w:type="paragraph" w:styleId="ListBullet">
    <w:name w:val="List Bullet"/>
    <w:basedOn w:val="Normal"/>
    <w:autoRedefine/>
    <w:rsid w:val="00C33290"/>
    <w:pPr>
      <w:tabs>
        <w:tab w:val="num" w:pos="360"/>
      </w:tabs>
      <w:ind w:left="360" w:hanging="360"/>
    </w:pPr>
  </w:style>
  <w:style w:type="paragraph" w:styleId="ListBullet2">
    <w:name w:val="List Bullet 2"/>
    <w:basedOn w:val="Normal"/>
    <w:autoRedefine/>
    <w:rsid w:val="00C33290"/>
    <w:pPr>
      <w:tabs>
        <w:tab w:val="num" w:pos="720"/>
      </w:tabs>
      <w:ind w:left="720" w:hanging="360"/>
    </w:pPr>
  </w:style>
  <w:style w:type="paragraph" w:styleId="ListBullet3">
    <w:name w:val="List Bullet 3"/>
    <w:basedOn w:val="Normal"/>
    <w:autoRedefine/>
    <w:rsid w:val="00C33290"/>
    <w:pPr>
      <w:tabs>
        <w:tab w:val="num" w:pos="1080"/>
      </w:tabs>
      <w:ind w:left="1080" w:hanging="360"/>
    </w:pPr>
  </w:style>
  <w:style w:type="paragraph" w:styleId="ListBullet4">
    <w:name w:val="List Bullet 4"/>
    <w:basedOn w:val="Normal"/>
    <w:autoRedefine/>
    <w:rsid w:val="00C33290"/>
    <w:pPr>
      <w:tabs>
        <w:tab w:val="num" w:pos="1440"/>
      </w:tabs>
      <w:ind w:left="1440" w:hanging="360"/>
    </w:pPr>
  </w:style>
  <w:style w:type="paragraph" w:styleId="ListBullet5">
    <w:name w:val="List Bullet 5"/>
    <w:basedOn w:val="Normal"/>
    <w:autoRedefine/>
    <w:rsid w:val="00C33290"/>
    <w:pPr>
      <w:tabs>
        <w:tab w:val="num" w:pos="1800"/>
      </w:tabs>
      <w:ind w:left="1800" w:hanging="360"/>
    </w:pPr>
  </w:style>
  <w:style w:type="paragraph" w:styleId="ListContinue">
    <w:name w:val="List Continue"/>
    <w:basedOn w:val="Normal"/>
    <w:rsid w:val="00C33290"/>
    <w:pPr>
      <w:spacing w:after="120"/>
      <w:ind w:left="360"/>
    </w:pPr>
  </w:style>
  <w:style w:type="paragraph" w:styleId="ListContinue2">
    <w:name w:val="List Continue 2"/>
    <w:basedOn w:val="Normal"/>
    <w:rsid w:val="00C33290"/>
    <w:pPr>
      <w:spacing w:after="120"/>
      <w:ind w:left="720"/>
    </w:pPr>
  </w:style>
  <w:style w:type="paragraph" w:styleId="ListContinue3">
    <w:name w:val="List Continue 3"/>
    <w:basedOn w:val="Normal"/>
    <w:rsid w:val="00C33290"/>
    <w:pPr>
      <w:spacing w:after="120"/>
      <w:ind w:left="1080"/>
    </w:pPr>
  </w:style>
  <w:style w:type="paragraph" w:styleId="ListContinue4">
    <w:name w:val="List Continue 4"/>
    <w:basedOn w:val="Normal"/>
    <w:rsid w:val="00C33290"/>
    <w:pPr>
      <w:spacing w:after="120"/>
      <w:ind w:left="1440"/>
    </w:pPr>
  </w:style>
  <w:style w:type="paragraph" w:styleId="ListContinue5">
    <w:name w:val="List Continue 5"/>
    <w:basedOn w:val="Normal"/>
    <w:rsid w:val="00C33290"/>
    <w:pPr>
      <w:spacing w:after="120"/>
      <w:ind w:left="1800"/>
    </w:pPr>
  </w:style>
  <w:style w:type="paragraph" w:styleId="ListNumber">
    <w:name w:val="List Number"/>
    <w:basedOn w:val="Normal"/>
    <w:rsid w:val="00C33290"/>
    <w:pPr>
      <w:tabs>
        <w:tab w:val="num" w:pos="360"/>
      </w:tabs>
      <w:ind w:left="360" w:hanging="360"/>
    </w:pPr>
  </w:style>
  <w:style w:type="paragraph" w:styleId="ListNumber2">
    <w:name w:val="List Number 2"/>
    <w:basedOn w:val="Normal"/>
    <w:rsid w:val="00C33290"/>
    <w:pPr>
      <w:tabs>
        <w:tab w:val="num" w:pos="720"/>
      </w:tabs>
      <w:ind w:left="720" w:hanging="360"/>
    </w:pPr>
  </w:style>
  <w:style w:type="paragraph" w:styleId="ListNumber3">
    <w:name w:val="List Number 3"/>
    <w:basedOn w:val="Normal"/>
    <w:rsid w:val="00C33290"/>
    <w:pPr>
      <w:tabs>
        <w:tab w:val="num" w:pos="1080"/>
      </w:tabs>
      <w:ind w:left="1080" w:hanging="360"/>
    </w:pPr>
  </w:style>
  <w:style w:type="paragraph" w:styleId="ListNumber4">
    <w:name w:val="List Number 4"/>
    <w:basedOn w:val="Normal"/>
    <w:rsid w:val="00C33290"/>
    <w:pPr>
      <w:tabs>
        <w:tab w:val="num" w:pos="1440"/>
      </w:tabs>
      <w:ind w:left="1440" w:hanging="360"/>
    </w:pPr>
  </w:style>
  <w:style w:type="paragraph" w:styleId="ListNumber5">
    <w:name w:val="List Number 5"/>
    <w:basedOn w:val="Normal"/>
    <w:rsid w:val="00C33290"/>
    <w:pPr>
      <w:tabs>
        <w:tab w:val="num" w:pos="1800"/>
      </w:tabs>
      <w:ind w:left="1800" w:hanging="360"/>
    </w:pPr>
  </w:style>
  <w:style w:type="paragraph" w:styleId="MacroText">
    <w:name w:val="macro"/>
    <w:link w:val="MacroTextChar"/>
    <w:rsid w:val="00C33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33290"/>
    <w:rPr>
      <w:rFonts w:ascii="Courier New" w:hAnsi="Courier New" w:cs="Courier New"/>
    </w:rPr>
  </w:style>
  <w:style w:type="paragraph" w:styleId="MessageHeader">
    <w:name w:val="Message Header"/>
    <w:basedOn w:val="Normal"/>
    <w:link w:val="MessageHeaderChar"/>
    <w:rsid w:val="00C332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33290"/>
    <w:rPr>
      <w:rFonts w:ascii="Arial" w:hAnsi="Arial" w:cs="Arial"/>
      <w:sz w:val="24"/>
      <w:szCs w:val="24"/>
      <w:shd w:val="pct20" w:color="auto" w:fill="auto"/>
    </w:rPr>
  </w:style>
  <w:style w:type="paragraph" w:styleId="NormalWeb">
    <w:name w:val="Normal (Web)"/>
    <w:basedOn w:val="Normal"/>
    <w:rsid w:val="00C33290"/>
  </w:style>
  <w:style w:type="paragraph" w:styleId="NormalIndent">
    <w:name w:val="Normal Indent"/>
    <w:basedOn w:val="Normal"/>
    <w:rsid w:val="00C33290"/>
    <w:pPr>
      <w:ind w:left="720"/>
    </w:pPr>
  </w:style>
  <w:style w:type="paragraph" w:styleId="NoteHeading">
    <w:name w:val="Note Heading"/>
    <w:basedOn w:val="Normal"/>
    <w:next w:val="Normal"/>
    <w:link w:val="NoteHeadingChar"/>
    <w:rsid w:val="00C33290"/>
  </w:style>
  <w:style w:type="character" w:customStyle="1" w:styleId="NoteHeadingChar">
    <w:name w:val="Note Heading Char"/>
    <w:basedOn w:val="DefaultParagraphFont"/>
    <w:link w:val="NoteHeading"/>
    <w:rsid w:val="00C33290"/>
    <w:rPr>
      <w:sz w:val="24"/>
      <w:szCs w:val="24"/>
    </w:rPr>
  </w:style>
  <w:style w:type="paragraph" w:styleId="PlainText">
    <w:name w:val="Plain Text"/>
    <w:basedOn w:val="Normal"/>
    <w:link w:val="PlainTextChar"/>
    <w:rsid w:val="00C33290"/>
    <w:rPr>
      <w:rFonts w:ascii="Courier New" w:hAnsi="Courier New" w:cs="Courier New"/>
      <w:sz w:val="20"/>
      <w:szCs w:val="20"/>
    </w:rPr>
  </w:style>
  <w:style w:type="character" w:customStyle="1" w:styleId="PlainTextChar">
    <w:name w:val="Plain Text Char"/>
    <w:basedOn w:val="DefaultParagraphFont"/>
    <w:link w:val="PlainText"/>
    <w:rsid w:val="00C33290"/>
    <w:rPr>
      <w:rFonts w:ascii="Courier New" w:hAnsi="Courier New" w:cs="Courier New"/>
    </w:rPr>
  </w:style>
  <w:style w:type="paragraph" w:styleId="Salutation">
    <w:name w:val="Salutation"/>
    <w:basedOn w:val="Normal"/>
    <w:next w:val="Normal"/>
    <w:link w:val="SalutationChar"/>
    <w:rsid w:val="00C33290"/>
  </w:style>
  <w:style w:type="character" w:customStyle="1" w:styleId="SalutationChar">
    <w:name w:val="Salutation Char"/>
    <w:basedOn w:val="DefaultParagraphFont"/>
    <w:link w:val="Salutation"/>
    <w:rsid w:val="00C33290"/>
    <w:rPr>
      <w:sz w:val="24"/>
      <w:szCs w:val="24"/>
    </w:rPr>
  </w:style>
  <w:style w:type="paragraph" w:styleId="Signature">
    <w:name w:val="Signature"/>
    <w:basedOn w:val="Normal"/>
    <w:link w:val="SignatureChar"/>
    <w:rsid w:val="00C33290"/>
    <w:pPr>
      <w:ind w:left="4320"/>
    </w:pPr>
  </w:style>
  <w:style w:type="character" w:customStyle="1" w:styleId="SignatureChar">
    <w:name w:val="Signature Char"/>
    <w:basedOn w:val="DefaultParagraphFont"/>
    <w:link w:val="Signature"/>
    <w:rsid w:val="00C33290"/>
    <w:rPr>
      <w:sz w:val="24"/>
      <w:szCs w:val="24"/>
    </w:rPr>
  </w:style>
  <w:style w:type="paragraph" w:styleId="Subtitle">
    <w:name w:val="Subtitle"/>
    <w:basedOn w:val="Normal"/>
    <w:link w:val="SubtitleChar"/>
    <w:qFormat/>
    <w:rsid w:val="00C33290"/>
    <w:pPr>
      <w:spacing w:after="60"/>
      <w:jc w:val="center"/>
      <w:outlineLvl w:val="1"/>
    </w:pPr>
    <w:rPr>
      <w:rFonts w:ascii="Arial" w:hAnsi="Arial" w:cs="Arial"/>
    </w:rPr>
  </w:style>
  <w:style w:type="character" w:customStyle="1" w:styleId="SubtitleChar">
    <w:name w:val="Subtitle Char"/>
    <w:basedOn w:val="DefaultParagraphFont"/>
    <w:link w:val="Subtitle"/>
    <w:rsid w:val="00C33290"/>
    <w:rPr>
      <w:rFonts w:ascii="Arial" w:hAnsi="Arial" w:cs="Arial"/>
      <w:sz w:val="24"/>
      <w:szCs w:val="24"/>
    </w:rPr>
  </w:style>
  <w:style w:type="paragraph" w:styleId="TableofAuthorities">
    <w:name w:val="table of authorities"/>
    <w:basedOn w:val="Normal"/>
    <w:next w:val="Normal"/>
    <w:rsid w:val="00C33290"/>
    <w:pPr>
      <w:ind w:left="240" w:hanging="240"/>
    </w:pPr>
  </w:style>
  <w:style w:type="paragraph" w:styleId="TableofFigures">
    <w:name w:val="table of figures"/>
    <w:basedOn w:val="Normal"/>
    <w:next w:val="Normal"/>
    <w:rsid w:val="00C33290"/>
    <w:pPr>
      <w:ind w:left="480" w:hanging="480"/>
    </w:pPr>
  </w:style>
  <w:style w:type="paragraph" w:styleId="Title">
    <w:name w:val="Title"/>
    <w:basedOn w:val="Normal"/>
    <w:link w:val="TitleChar"/>
    <w:qFormat/>
    <w:rsid w:val="00C3329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3290"/>
    <w:rPr>
      <w:rFonts w:ascii="Arial" w:hAnsi="Arial" w:cs="Arial"/>
      <w:b/>
      <w:bCs/>
      <w:kern w:val="28"/>
      <w:sz w:val="32"/>
      <w:szCs w:val="32"/>
    </w:rPr>
  </w:style>
  <w:style w:type="paragraph" w:styleId="TOAHeading">
    <w:name w:val="toa heading"/>
    <w:basedOn w:val="Normal"/>
    <w:next w:val="Normal"/>
    <w:rsid w:val="00C33290"/>
    <w:pPr>
      <w:spacing w:before="120"/>
    </w:pPr>
    <w:rPr>
      <w:rFonts w:ascii="Arial" w:hAnsi="Arial" w:cs="Arial"/>
      <w:b/>
      <w:bCs/>
    </w:rPr>
  </w:style>
  <w:style w:type="paragraph" w:styleId="TOC4">
    <w:name w:val="toc 4"/>
    <w:basedOn w:val="Normal"/>
    <w:next w:val="Normal"/>
    <w:autoRedefine/>
    <w:rsid w:val="00C33290"/>
    <w:pPr>
      <w:ind w:left="720"/>
    </w:pPr>
  </w:style>
  <w:style w:type="paragraph" w:styleId="TOC5">
    <w:name w:val="toc 5"/>
    <w:basedOn w:val="Normal"/>
    <w:next w:val="Normal"/>
    <w:autoRedefine/>
    <w:rsid w:val="00C33290"/>
    <w:pPr>
      <w:ind w:left="960"/>
    </w:pPr>
  </w:style>
  <w:style w:type="paragraph" w:styleId="TOC6">
    <w:name w:val="toc 6"/>
    <w:basedOn w:val="Normal"/>
    <w:next w:val="Normal"/>
    <w:autoRedefine/>
    <w:rsid w:val="00C33290"/>
    <w:pPr>
      <w:ind w:left="1200"/>
    </w:pPr>
  </w:style>
  <w:style w:type="paragraph" w:styleId="TOC9">
    <w:name w:val="toc 9"/>
    <w:basedOn w:val="TOC1"/>
    <w:next w:val="Normal"/>
    <w:autoRedefine/>
    <w:rsid w:val="00C33290"/>
    <w:pPr>
      <w:ind w:left="1728"/>
    </w:pPr>
    <w:rPr>
      <w:u w:val="single"/>
    </w:rPr>
  </w:style>
  <w:style w:type="paragraph" w:customStyle="1" w:styleId="MemoHeadingLabel">
    <w:name w:val="Memo Heading Label"/>
    <w:basedOn w:val="MemoHeading"/>
    <w:qFormat/>
    <w:rsid w:val="00C33290"/>
    <w:rPr>
      <w:rFonts w:ascii="Arial" w:hAnsi="Arial"/>
      <w:b/>
    </w:rPr>
  </w:style>
  <w:style w:type="paragraph" w:customStyle="1" w:styleId="First-LevelSubheading">
    <w:name w:val="First-Level Subheading"/>
    <w:basedOn w:val="IssueSubsectionHeading"/>
    <w:next w:val="BodyText"/>
    <w:qFormat/>
    <w:rsid w:val="00C33290"/>
    <w:pPr>
      <w:spacing w:after="0"/>
      <w:outlineLvl w:val="2"/>
    </w:pPr>
    <w:rPr>
      <w:i w:val="0"/>
    </w:rPr>
  </w:style>
  <w:style w:type="paragraph" w:customStyle="1" w:styleId="Second-LevelSubheading">
    <w:name w:val="Second-Level Subheading"/>
    <w:basedOn w:val="First-LevelSubheading"/>
    <w:next w:val="BodyText"/>
    <w:qFormat/>
    <w:rsid w:val="00C33290"/>
    <w:pPr>
      <w:ind w:left="720"/>
      <w:outlineLvl w:val="3"/>
    </w:pPr>
    <w:rPr>
      <w:i/>
    </w:rPr>
  </w:style>
  <w:style w:type="paragraph" w:customStyle="1" w:styleId="TableNumber">
    <w:name w:val="Table Number"/>
    <w:basedOn w:val="BodyText"/>
    <w:next w:val="BodyText"/>
    <w:qFormat/>
    <w:rsid w:val="00C33290"/>
    <w:pPr>
      <w:spacing w:before="480" w:after="0"/>
      <w:jc w:val="center"/>
    </w:pPr>
    <w:rPr>
      <w:rFonts w:ascii="Arial" w:hAnsi="Arial"/>
      <w:b/>
    </w:rPr>
  </w:style>
  <w:style w:type="paragraph" w:customStyle="1" w:styleId="TableTitle">
    <w:name w:val="Table Title"/>
    <w:basedOn w:val="BodyText"/>
    <w:next w:val="BodyText"/>
    <w:qFormat/>
    <w:rsid w:val="00C33290"/>
    <w:pPr>
      <w:spacing w:after="0"/>
      <w:jc w:val="center"/>
    </w:pPr>
    <w:rPr>
      <w:rFonts w:ascii="Arial" w:hAnsi="Arial"/>
      <w:b/>
    </w:rPr>
  </w:style>
  <w:style w:type="paragraph" w:customStyle="1" w:styleId="TableSource">
    <w:name w:val="Table Source"/>
    <w:basedOn w:val="BodyText"/>
    <w:next w:val="BodyText"/>
    <w:qFormat/>
    <w:rsid w:val="00C33290"/>
    <w:pPr>
      <w:spacing w:after="480"/>
      <w:jc w:val="both"/>
    </w:pPr>
  </w:style>
  <w:style w:type="paragraph" w:customStyle="1" w:styleId="PartyName">
    <w:name w:val="Party Name"/>
    <w:basedOn w:val="IssueSubsectionHeading"/>
    <w:next w:val="BodyText"/>
    <w:qFormat/>
    <w:rsid w:val="00C33290"/>
    <w:rPr>
      <w:i w:val="0"/>
    </w:rPr>
  </w:style>
  <w:style w:type="paragraph" w:customStyle="1" w:styleId="Third-LevelSubheading">
    <w:name w:val="Third-Level Subheading"/>
    <w:basedOn w:val="Second-LevelSubheading"/>
    <w:next w:val="BodyText"/>
    <w:qFormat/>
    <w:rsid w:val="00C33290"/>
    <w:pPr>
      <w:ind w:left="1440"/>
      <w:outlineLvl w:val="4"/>
    </w:pPr>
  </w:style>
  <w:style w:type="paragraph" w:styleId="ListParagraph">
    <w:name w:val="List Paragraph"/>
    <w:basedOn w:val="Normal"/>
    <w:uiPriority w:val="34"/>
    <w:qFormat/>
    <w:rsid w:val="00C33290"/>
    <w:pPr>
      <w:ind w:left="720"/>
      <w:contextualSpacing/>
    </w:pPr>
  </w:style>
  <w:style w:type="table" w:customStyle="1" w:styleId="TableMasthead">
    <w:name w:val="Table Masthead"/>
    <w:basedOn w:val="TableGrid"/>
    <w:rsid w:val="00D20C4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A711-97C7-47D3-89AC-195BA19C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20</Pages>
  <Words>5335</Words>
  <Characters>28894</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2019-11-26T16:27:00Z</dcterms:created>
  <dcterms:modified xsi:type="dcterms:W3CDTF">2019-11-26T18:48:00Z</dcterms:modified>
</cp:coreProperties>
</file>